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90162"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9016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90162"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69016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90162" w:rsidTr="002E5576">
        <w:tc>
          <w:tcPr>
            <w:tcW w:w="4518" w:type="dxa"/>
          </w:tcPr>
          <w:p w:rsidR="00BF25F3" w:rsidRPr="002E2327" w:rsidRDefault="00D921D7"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D921D7"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690162"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690162"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690162">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690162">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A66355" w:rsidP="00F0068D">
      <w:pPr>
        <w:pBdr>
          <w:bottom w:val="single" w:sz="6" w:space="1" w:color="auto"/>
        </w:pBdr>
        <w:tabs>
          <w:tab w:val="center" w:pos="4680"/>
          <w:tab w:val="right" w:pos="9360"/>
        </w:tabs>
        <w:rPr>
          <w:lang w:val="fr-CA"/>
        </w:rPr>
      </w:pPr>
      <w:r>
        <w:rPr>
          <w:lang w:val="fr-CA"/>
        </w:rPr>
        <w:t>November</w:t>
      </w:r>
      <w:r w:rsidR="00440E24" w:rsidRPr="00675479">
        <w:rPr>
          <w:lang w:val="fr-CA"/>
        </w:rPr>
        <w:t xml:space="preserve"> </w:t>
      </w:r>
      <w:r>
        <w:rPr>
          <w:lang w:val="fr-CA"/>
        </w:rPr>
        <w:t>21</w:t>
      </w:r>
      <w:r w:rsidR="00440E24" w:rsidRPr="00675479">
        <w:rPr>
          <w:lang w:val="fr-CA"/>
        </w:rPr>
        <w:t>, 201</w:t>
      </w:r>
      <w:r w:rsidR="00501F3C">
        <w:rPr>
          <w:lang w:val="fr-CA"/>
        </w:rPr>
        <w:t>4</w:t>
      </w:r>
      <w:r w:rsidR="00F0068D" w:rsidRPr="00675479">
        <w:rPr>
          <w:lang w:val="fr-CA"/>
        </w:rPr>
        <w:tab/>
        <w:t>1</w:t>
      </w:r>
      <w:r>
        <w:rPr>
          <w:lang w:val="fr-CA"/>
        </w:rPr>
        <w:t>805</w:t>
      </w:r>
      <w:r w:rsidR="00F0068D" w:rsidRPr="00675479">
        <w:rPr>
          <w:lang w:val="fr-CA"/>
        </w:rPr>
        <w:t xml:space="preserve"> - </w:t>
      </w:r>
      <w:r w:rsidR="00BB7FA0">
        <w:rPr>
          <w:lang w:val="fr-CA"/>
        </w:rPr>
        <w:t>1871</w:t>
      </w:r>
      <w:r w:rsidR="00440E24" w:rsidRPr="00675479">
        <w:rPr>
          <w:lang w:val="fr-CA"/>
        </w:rPr>
        <w:tab/>
      </w:r>
      <w:r w:rsidR="00440E24" w:rsidRPr="002E2327">
        <w:rPr>
          <w:lang w:val="fr-CA"/>
        </w:rPr>
        <w:t>Le</w:t>
      </w:r>
      <w:r w:rsidR="00C73D06">
        <w:rPr>
          <w:lang w:val="fr-CA"/>
        </w:rPr>
        <w:t xml:space="preserve"> </w:t>
      </w:r>
      <w:r>
        <w:rPr>
          <w:lang w:val="fr-CA"/>
        </w:rPr>
        <w:t>21</w:t>
      </w:r>
      <w:r w:rsidR="00C73D06">
        <w:rPr>
          <w:lang w:val="fr-CA"/>
        </w:rPr>
        <w:t xml:space="preserve"> n</w:t>
      </w:r>
      <w:r>
        <w:rPr>
          <w:lang w:val="fr-CA"/>
        </w:rPr>
        <w:t>o</w:t>
      </w:r>
      <w:r w:rsidR="00440E24" w:rsidRPr="002E2327">
        <w:rPr>
          <w:lang w:val="fr-CA"/>
        </w:rPr>
        <w:t>v</w:t>
      </w:r>
      <w:r>
        <w:rPr>
          <w:lang w:val="fr-CA"/>
        </w:rPr>
        <w:t>emb</w:t>
      </w:r>
      <w:r w:rsidR="00C73D06">
        <w:rPr>
          <w:lang w:val="fr-CA"/>
        </w:rPr>
        <w:t>r</w:t>
      </w:r>
      <w:r>
        <w:rPr>
          <w:lang w:val="fr-CA"/>
        </w:rPr>
        <w:t>e</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663A96">
            <w:pPr>
              <w:tabs>
                <w:tab w:val="right" w:pos="9360"/>
              </w:tabs>
              <w:rPr>
                <w:rFonts w:cs="Times New Roman"/>
                <w:sz w:val="20"/>
                <w:szCs w:val="20"/>
              </w:rPr>
            </w:pPr>
          </w:p>
        </w:tc>
        <w:tc>
          <w:tcPr>
            <w:tcW w:w="1980" w:type="dxa"/>
          </w:tcPr>
          <w:p w:rsidR="0095096B" w:rsidRPr="002E2327" w:rsidRDefault="00BD4A76" w:rsidP="0095096B">
            <w:pPr>
              <w:jc w:val="center"/>
              <w:rPr>
                <w:rFonts w:cs="Times New Roman"/>
                <w:sz w:val="20"/>
                <w:szCs w:val="20"/>
              </w:rPr>
            </w:pPr>
            <w:r>
              <w:rPr>
                <w:rFonts w:cs="Times New Roman"/>
                <w:sz w:val="20"/>
                <w:szCs w:val="20"/>
              </w:rPr>
              <w:t xml:space="preserve">1805 </w:t>
            </w:r>
            <w:r w:rsidR="00D921D7" w:rsidRPr="002E2327">
              <w:rPr>
                <w:rFonts w:cs="Times New Roman"/>
                <w:sz w:val="20"/>
                <w:szCs w:val="20"/>
              </w:rPr>
              <w:fldChar w:fldCharType="begin"/>
            </w:r>
            <w:r w:rsidR="0095096B" w:rsidRPr="002E2327">
              <w:rPr>
                <w:rFonts w:cs="Times New Roman"/>
                <w:sz w:val="20"/>
                <w:szCs w:val="20"/>
              </w:rPr>
              <w:instrText xml:space="preserve"> SEQ CHAPTER \h \r 1</w:instrText>
            </w:r>
            <w:r w:rsidR="00D921D7" w:rsidRPr="002E2327">
              <w:rPr>
                <w:rFonts w:cs="Times New Roman"/>
                <w:sz w:val="20"/>
                <w:szCs w:val="20"/>
              </w:rPr>
              <w:fldChar w:fldCharType="end"/>
            </w:r>
            <w:r w:rsidR="0095096B" w:rsidRPr="002E2327">
              <w:rPr>
                <w:rFonts w:cs="Times New Roman"/>
                <w:sz w:val="20"/>
                <w:szCs w:val="20"/>
              </w:rPr>
              <w:t>-</w:t>
            </w:r>
            <w:r w:rsidR="00F60F69">
              <w:rPr>
                <w:rFonts w:cs="Times New Roman"/>
                <w:sz w:val="20"/>
                <w:szCs w:val="20"/>
              </w:rPr>
              <w:t xml:space="preserve"> 1806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60F69" w:rsidP="0095096B">
            <w:pPr>
              <w:jc w:val="center"/>
              <w:rPr>
                <w:rFonts w:cs="Times New Roman"/>
                <w:sz w:val="20"/>
                <w:szCs w:val="20"/>
              </w:rPr>
            </w:pPr>
            <w:r>
              <w:rPr>
                <w:rFonts w:cs="Times New Roman"/>
                <w:sz w:val="20"/>
                <w:szCs w:val="20"/>
              </w:rPr>
              <w:t>1807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15D6A" w:rsidP="0095096B">
            <w:pPr>
              <w:jc w:val="center"/>
              <w:rPr>
                <w:rFonts w:cs="Times New Roman"/>
                <w:sz w:val="20"/>
                <w:szCs w:val="20"/>
              </w:rPr>
            </w:pPr>
            <w:r>
              <w:rPr>
                <w:rFonts w:cs="Times New Roman"/>
                <w:sz w:val="20"/>
                <w:szCs w:val="20"/>
              </w:rPr>
              <w:t xml:space="preserve">1808 </w:t>
            </w:r>
            <w:r w:rsidR="0095096B" w:rsidRPr="002E2327">
              <w:rPr>
                <w:rFonts w:cs="Times New Roman"/>
                <w:sz w:val="20"/>
                <w:szCs w:val="20"/>
              </w:rPr>
              <w:t>-</w:t>
            </w:r>
            <w:r w:rsidR="00650BC1">
              <w:rPr>
                <w:rFonts w:cs="Times New Roman"/>
                <w:sz w:val="20"/>
                <w:szCs w:val="20"/>
              </w:rPr>
              <w:t xml:space="preserve"> 1836</w:t>
            </w:r>
          </w:p>
          <w:p w:rsidR="0095096B" w:rsidRDefault="0095096B" w:rsidP="0095096B">
            <w:pPr>
              <w:jc w:val="center"/>
              <w:rPr>
                <w:rFonts w:cs="Times New Roman"/>
                <w:sz w:val="20"/>
                <w:szCs w:val="20"/>
              </w:rPr>
            </w:pPr>
          </w:p>
          <w:p w:rsidR="00915D6A" w:rsidRPr="002E2327" w:rsidRDefault="00915D6A" w:rsidP="0095096B">
            <w:pPr>
              <w:jc w:val="center"/>
              <w:rPr>
                <w:rFonts w:cs="Times New Roman"/>
                <w:sz w:val="20"/>
                <w:szCs w:val="20"/>
              </w:rPr>
            </w:pPr>
          </w:p>
          <w:p w:rsidR="0095096B" w:rsidRPr="002E2327" w:rsidRDefault="00650BC1" w:rsidP="0095096B">
            <w:pPr>
              <w:jc w:val="center"/>
              <w:rPr>
                <w:rFonts w:cs="Times New Roman"/>
                <w:sz w:val="20"/>
                <w:szCs w:val="20"/>
              </w:rPr>
            </w:pPr>
            <w:r>
              <w:rPr>
                <w:rFonts w:cs="Times New Roman"/>
                <w:sz w:val="20"/>
                <w:szCs w:val="20"/>
              </w:rPr>
              <w:t xml:space="preserve">1837 </w:t>
            </w:r>
            <w:r w:rsidR="0095096B" w:rsidRPr="002E2327">
              <w:rPr>
                <w:rFonts w:cs="Times New Roman"/>
                <w:sz w:val="20"/>
                <w:szCs w:val="20"/>
              </w:rPr>
              <w:t>-</w:t>
            </w:r>
            <w:r>
              <w:rPr>
                <w:rFonts w:cs="Times New Roman"/>
                <w:sz w:val="20"/>
                <w:szCs w:val="20"/>
              </w:rPr>
              <w:t xml:space="preserve"> 1843</w:t>
            </w:r>
          </w:p>
          <w:p w:rsidR="0095096B" w:rsidRPr="002E2327" w:rsidRDefault="0095096B" w:rsidP="0095096B">
            <w:pPr>
              <w:jc w:val="center"/>
              <w:rPr>
                <w:rFonts w:cs="Times New Roman"/>
                <w:sz w:val="20"/>
                <w:szCs w:val="20"/>
              </w:rPr>
            </w:pPr>
          </w:p>
          <w:p w:rsidR="0095096B" w:rsidRPr="002E2327" w:rsidRDefault="00650BC1" w:rsidP="0095096B">
            <w:pPr>
              <w:jc w:val="center"/>
              <w:rPr>
                <w:rFonts w:cs="Times New Roman"/>
                <w:sz w:val="20"/>
                <w:szCs w:val="20"/>
              </w:rPr>
            </w:pPr>
            <w:r>
              <w:rPr>
                <w:rFonts w:cs="Times New Roman"/>
                <w:sz w:val="20"/>
                <w:szCs w:val="20"/>
              </w:rPr>
              <w:t xml:space="preserve">1844 </w:t>
            </w:r>
            <w:r w:rsidR="0095096B" w:rsidRPr="002E2327">
              <w:rPr>
                <w:rFonts w:cs="Times New Roman"/>
                <w:sz w:val="20"/>
                <w:szCs w:val="20"/>
              </w:rPr>
              <w:t>-</w:t>
            </w:r>
            <w:r>
              <w:rPr>
                <w:rFonts w:cs="Times New Roman"/>
                <w:sz w:val="20"/>
                <w:szCs w:val="20"/>
              </w:rPr>
              <w:t xml:space="preserve"> 1845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50BC1" w:rsidP="0095096B">
            <w:pPr>
              <w:jc w:val="center"/>
              <w:rPr>
                <w:rFonts w:cs="Times New Roman"/>
                <w:sz w:val="20"/>
                <w:szCs w:val="20"/>
              </w:rPr>
            </w:pPr>
            <w:r>
              <w:rPr>
                <w:rFonts w:cs="Times New Roman"/>
                <w:sz w:val="20"/>
                <w:szCs w:val="20"/>
              </w:rPr>
              <w:t>1846</w:t>
            </w:r>
          </w:p>
          <w:p w:rsidR="0095096B" w:rsidRDefault="0095096B" w:rsidP="0095096B">
            <w:pPr>
              <w:jc w:val="center"/>
              <w:rPr>
                <w:rFonts w:cs="Times New Roman"/>
                <w:sz w:val="20"/>
                <w:szCs w:val="20"/>
              </w:rPr>
            </w:pPr>
          </w:p>
          <w:p w:rsidR="00915D6A" w:rsidRPr="002E2327" w:rsidRDefault="00915D6A" w:rsidP="0095096B">
            <w:pPr>
              <w:jc w:val="center"/>
              <w:rPr>
                <w:rFonts w:cs="Times New Roman"/>
                <w:sz w:val="20"/>
                <w:szCs w:val="20"/>
              </w:rPr>
            </w:pPr>
          </w:p>
          <w:p w:rsidR="0095096B" w:rsidRPr="002E2327" w:rsidRDefault="00650BC1" w:rsidP="0095096B">
            <w:pPr>
              <w:jc w:val="center"/>
              <w:rPr>
                <w:rFonts w:cs="Times New Roman"/>
                <w:sz w:val="20"/>
                <w:szCs w:val="20"/>
              </w:rPr>
            </w:pPr>
            <w:r>
              <w:rPr>
                <w:rFonts w:cs="Times New Roman"/>
                <w:sz w:val="20"/>
                <w:szCs w:val="20"/>
              </w:rPr>
              <w:t>1847</w:t>
            </w:r>
          </w:p>
          <w:p w:rsidR="0095096B" w:rsidRPr="002E2327" w:rsidRDefault="0095096B" w:rsidP="0095096B">
            <w:pPr>
              <w:jc w:val="center"/>
              <w:rPr>
                <w:rFonts w:cs="Times New Roman"/>
                <w:sz w:val="20"/>
                <w:szCs w:val="20"/>
              </w:rPr>
            </w:pPr>
          </w:p>
          <w:p w:rsidR="0095096B" w:rsidRPr="002E2327" w:rsidRDefault="00650BC1" w:rsidP="0095096B">
            <w:pPr>
              <w:jc w:val="center"/>
              <w:rPr>
                <w:rFonts w:cs="Times New Roman"/>
                <w:sz w:val="20"/>
                <w:szCs w:val="20"/>
              </w:rPr>
            </w:pPr>
            <w:r>
              <w:rPr>
                <w:rFonts w:cs="Times New Roman"/>
                <w:sz w:val="20"/>
                <w:szCs w:val="20"/>
              </w:rPr>
              <w:t xml:space="preserve">1848 </w:t>
            </w:r>
            <w:r w:rsidR="0095096B" w:rsidRPr="002E2327">
              <w:rPr>
                <w:rFonts w:cs="Times New Roman"/>
                <w:sz w:val="20"/>
                <w:szCs w:val="20"/>
              </w:rPr>
              <w:t>-</w:t>
            </w:r>
            <w:r>
              <w:rPr>
                <w:rFonts w:cs="Times New Roman"/>
                <w:sz w:val="20"/>
                <w:szCs w:val="20"/>
              </w:rPr>
              <w:t xml:space="preserve"> 1871</w:t>
            </w:r>
          </w:p>
          <w:p w:rsidR="00A87207" w:rsidRPr="002E2327" w:rsidRDefault="00A87207" w:rsidP="00915D6A">
            <w:pPr>
              <w:jc w:val="center"/>
              <w:rPr>
                <w:rFonts w:cs="Times New Roman"/>
                <w:sz w:val="20"/>
                <w:szCs w:val="20"/>
              </w:rPr>
            </w:pPr>
          </w:p>
        </w:tc>
        <w:tc>
          <w:tcPr>
            <w:tcW w:w="3888" w:type="dxa"/>
          </w:tcPr>
          <w:p w:rsidR="0095096B" w:rsidRPr="002E2327" w:rsidRDefault="00D921D7"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663A96">
            <w:pPr>
              <w:tabs>
                <w:tab w:val="right" w:pos="9360"/>
              </w:tabs>
              <w:rPr>
                <w:rFonts w:cs="Times New Roman"/>
                <w:sz w:val="20"/>
                <w:szCs w:val="20"/>
                <w:lang w:val="fr-CA"/>
              </w:rPr>
            </w:pPr>
          </w:p>
        </w:tc>
      </w:tr>
    </w:tbl>
    <w:p w:rsidR="0095096B" w:rsidRPr="00915D6A" w:rsidRDefault="0095096B" w:rsidP="0095096B">
      <w:pPr>
        <w:tabs>
          <w:tab w:val="right" w:pos="9360"/>
        </w:tabs>
        <w:rPr>
          <w:sz w:val="20"/>
          <w:szCs w:val="20"/>
        </w:rPr>
      </w:pPr>
    </w:p>
    <w:p w:rsidR="00663A96" w:rsidRPr="00915D6A" w:rsidRDefault="00663A96" w:rsidP="0095096B">
      <w:pPr>
        <w:tabs>
          <w:tab w:val="right" w:pos="9360"/>
        </w:tabs>
        <w:rPr>
          <w:sz w:val="20"/>
          <w:szCs w:val="20"/>
        </w:rPr>
      </w:pPr>
    </w:p>
    <w:p w:rsidR="00915D6A" w:rsidRPr="00915D6A" w:rsidRDefault="00915D6A" w:rsidP="0095096B">
      <w:pPr>
        <w:tabs>
          <w:tab w:val="right" w:pos="9360"/>
        </w:tabs>
        <w:rPr>
          <w:sz w:val="20"/>
          <w:szCs w:val="20"/>
        </w:rPr>
      </w:pPr>
    </w:p>
    <w:p w:rsidR="00663A96" w:rsidRPr="00915D6A" w:rsidRDefault="00663A96" w:rsidP="0095096B">
      <w:pPr>
        <w:tabs>
          <w:tab w:val="right" w:pos="9360"/>
        </w:tabs>
        <w:rPr>
          <w:sz w:val="20"/>
          <w:szCs w:val="20"/>
        </w:rPr>
      </w:pPr>
    </w:p>
    <w:p w:rsidR="00663A96" w:rsidRPr="00915D6A" w:rsidRDefault="00663A96" w:rsidP="0095096B">
      <w:pPr>
        <w:tabs>
          <w:tab w:val="right" w:pos="9360"/>
        </w:tabs>
        <w:rPr>
          <w:sz w:val="20"/>
          <w:szCs w:val="20"/>
        </w:rPr>
      </w:pPr>
    </w:p>
    <w:tbl>
      <w:tblPr>
        <w:tblStyle w:val="TableGrid"/>
        <w:tblW w:w="0" w:type="auto"/>
        <w:tblLook w:val="04A0" w:firstRow="1" w:lastRow="0" w:firstColumn="1" w:lastColumn="0" w:noHBand="0" w:noVBand="1"/>
      </w:tblPr>
      <w:tblGrid>
        <w:gridCol w:w="9576"/>
      </w:tblGrid>
      <w:tr w:rsidR="0079724F" w:rsidRPr="00690162"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6A47CE" w:rsidRPr="00690162" w:rsidTr="00C80C4E">
        <w:tc>
          <w:tcPr>
            <w:tcW w:w="4320" w:type="dxa"/>
            <w:shd w:val="clear" w:color="auto" w:fill="auto"/>
          </w:tcPr>
          <w:p w:rsidR="006A47CE" w:rsidRPr="006A47CE" w:rsidRDefault="006A47CE" w:rsidP="00C80C4E">
            <w:pPr>
              <w:rPr>
                <w:b/>
                <w:sz w:val="20"/>
                <w:szCs w:val="20"/>
              </w:rPr>
            </w:pPr>
            <w:r w:rsidRPr="006A47CE">
              <w:rPr>
                <w:b/>
                <w:sz w:val="20"/>
                <w:szCs w:val="20"/>
              </w:rPr>
              <w:t xml:space="preserve">Grant R. Wilson </w:t>
            </w:r>
          </w:p>
          <w:p w:rsidR="006A47CE" w:rsidRPr="006A47CE" w:rsidRDefault="006A47CE" w:rsidP="00C80C4E">
            <w:pPr>
              <w:tabs>
                <w:tab w:val="left" w:pos="-1440"/>
                <w:tab w:val="left" w:pos="-720"/>
              </w:tabs>
              <w:rPr>
                <w:sz w:val="20"/>
                <w:szCs w:val="20"/>
              </w:rPr>
            </w:pPr>
            <w:r w:rsidRPr="006A47CE">
              <w:rPr>
                <w:sz w:val="20"/>
                <w:szCs w:val="20"/>
              </w:rPr>
              <w:tab/>
              <w:t xml:space="preserve">Grant R. Wilson </w:t>
            </w:r>
          </w:p>
          <w:p w:rsidR="006A47CE" w:rsidRPr="006A47CE" w:rsidRDefault="006A47CE" w:rsidP="00C80C4E">
            <w:pPr>
              <w:tabs>
                <w:tab w:val="left" w:pos="-1440"/>
                <w:tab w:val="left" w:pos="-720"/>
              </w:tabs>
              <w:rPr>
                <w:sz w:val="20"/>
                <w:szCs w:val="20"/>
              </w:rPr>
            </w:pPr>
          </w:p>
          <w:p w:rsidR="006A47CE" w:rsidRPr="006A47CE" w:rsidRDefault="006A47CE" w:rsidP="00C80C4E">
            <w:pPr>
              <w:tabs>
                <w:tab w:val="left" w:pos="-1440"/>
                <w:tab w:val="left" w:pos="-720"/>
              </w:tabs>
              <w:rPr>
                <w:sz w:val="20"/>
                <w:szCs w:val="20"/>
              </w:rPr>
            </w:pPr>
            <w:r w:rsidRPr="006A47CE">
              <w:rPr>
                <w:sz w:val="20"/>
                <w:szCs w:val="20"/>
              </w:rPr>
              <w:tab/>
              <w:t>v. (36139)</w:t>
            </w:r>
          </w:p>
          <w:p w:rsidR="006A47CE" w:rsidRPr="006A47CE" w:rsidRDefault="006A47CE" w:rsidP="00C80C4E">
            <w:pPr>
              <w:tabs>
                <w:tab w:val="left" w:pos="-1440"/>
                <w:tab w:val="left" w:pos="-720"/>
              </w:tabs>
              <w:rPr>
                <w:sz w:val="20"/>
                <w:szCs w:val="20"/>
              </w:rPr>
            </w:pPr>
          </w:p>
          <w:p w:rsidR="006A47CE" w:rsidRPr="006A47CE" w:rsidRDefault="006A47CE" w:rsidP="00C80C4E">
            <w:pPr>
              <w:tabs>
                <w:tab w:val="left" w:pos="-1440"/>
                <w:tab w:val="left" w:pos="-720"/>
              </w:tabs>
              <w:rPr>
                <w:b/>
                <w:sz w:val="20"/>
                <w:szCs w:val="20"/>
              </w:rPr>
            </w:pPr>
            <w:r w:rsidRPr="006A47CE">
              <w:rPr>
                <w:b/>
                <w:sz w:val="20"/>
                <w:szCs w:val="20"/>
              </w:rPr>
              <w:t>Canada Revenue Agency</w:t>
            </w:r>
            <w:r w:rsidRPr="006A47CE">
              <w:rPr>
                <w:sz w:val="20"/>
                <w:szCs w:val="20"/>
              </w:rPr>
              <w:t xml:space="preserve"> </w:t>
            </w:r>
            <w:r w:rsidRPr="006A47CE">
              <w:rPr>
                <w:b/>
                <w:sz w:val="20"/>
                <w:szCs w:val="20"/>
              </w:rPr>
              <w:t>(F.C.)</w:t>
            </w:r>
          </w:p>
          <w:p w:rsidR="006A47CE" w:rsidRPr="006A47CE" w:rsidRDefault="006A47CE" w:rsidP="00C80C4E">
            <w:pPr>
              <w:tabs>
                <w:tab w:val="left" w:pos="-1440"/>
                <w:tab w:val="left" w:pos="-720"/>
              </w:tabs>
              <w:rPr>
                <w:sz w:val="20"/>
                <w:szCs w:val="20"/>
              </w:rPr>
            </w:pPr>
            <w:r w:rsidRPr="006A47CE">
              <w:rPr>
                <w:sz w:val="20"/>
                <w:szCs w:val="20"/>
              </w:rPr>
              <w:tab/>
              <w:t>Maria Vujnovic</w:t>
            </w:r>
          </w:p>
          <w:p w:rsidR="006A47CE" w:rsidRPr="006A47CE" w:rsidRDefault="006A47CE" w:rsidP="00C80C4E">
            <w:pPr>
              <w:tabs>
                <w:tab w:val="left" w:pos="-1440"/>
                <w:tab w:val="left" w:pos="-720"/>
              </w:tabs>
              <w:rPr>
                <w:sz w:val="20"/>
                <w:szCs w:val="20"/>
              </w:rPr>
            </w:pPr>
            <w:r w:rsidRPr="006A47CE">
              <w:rPr>
                <w:sz w:val="20"/>
                <w:szCs w:val="20"/>
              </w:rPr>
              <w:tab/>
              <w:t>A.G. of Canada</w:t>
            </w:r>
          </w:p>
          <w:p w:rsidR="006A47CE" w:rsidRPr="006A47CE" w:rsidRDefault="006A47CE" w:rsidP="00C80C4E">
            <w:pPr>
              <w:tabs>
                <w:tab w:val="left" w:pos="-1440"/>
                <w:tab w:val="left" w:pos="-720"/>
              </w:tabs>
              <w:rPr>
                <w:sz w:val="20"/>
                <w:szCs w:val="20"/>
              </w:rPr>
            </w:pPr>
          </w:p>
          <w:p w:rsidR="006A47CE" w:rsidRPr="00E752E3" w:rsidRDefault="006A47CE" w:rsidP="00C80C4E">
            <w:pPr>
              <w:rPr>
                <w:sz w:val="20"/>
                <w:szCs w:val="20"/>
                <w:lang w:val="fr-CA"/>
              </w:rPr>
            </w:pPr>
            <w:r w:rsidRPr="00E752E3">
              <w:rPr>
                <w:sz w:val="20"/>
                <w:szCs w:val="20"/>
                <w:lang w:val="fr-CA"/>
              </w:rPr>
              <w:t>FILING DATE: 0</w:t>
            </w:r>
            <w:r>
              <w:rPr>
                <w:sz w:val="20"/>
                <w:szCs w:val="20"/>
                <w:lang w:val="fr-CA"/>
              </w:rPr>
              <w:t>3</w:t>
            </w:r>
            <w:r w:rsidRPr="00E752E3">
              <w:rPr>
                <w:sz w:val="20"/>
                <w:szCs w:val="20"/>
                <w:lang w:val="fr-CA"/>
              </w:rPr>
              <w:t>.</w:t>
            </w:r>
            <w:r>
              <w:rPr>
                <w:sz w:val="20"/>
                <w:szCs w:val="20"/>
                <w:lang w:val="fr-CA"/>
              </w:rPr>
              <w:t>07</w:t>
            </w:r>
            <w:r w:rsidRPr="00E752E3">
              <w:rPr>
                <w:sz w:val="20"/>
                <w:szCs w:val="20"/>
                <w:lang w:val="fr-CA"/>
              </w:rPr>
              <w:t>.201</w:t>
            </w:r>
            <w:r>
              <w:rPr>
                <w:sz w:val="20"/>
                <w:szCs w:val="20"/>
                <w:lang w:val="fr-CA"/>
              </w:rPr>
              <w:t>4</w:t>
            </w:r>
            <w:r w:rsidR="00690162">
              <w:rPr>
                <w:sz w:val="20"/>
                <w:szCs w:val="20"/>
                <w:lang w:val="fr-CA"/>
              </w:rPr>
              <w:pict>
                <v:rect id="_x0000_i1025" style="width:108pt;height:1pt" o:hrpct="0" o:hralign="center" o:hrstd="t" o:hrnoshade="t" o:hr="t" fillcolor="black [3213]" stroked="f"/>
              </w:pict>
            </w:r>
          </w:p>
        </w:tc>
        <w:tc>
          <w:tcPr>
            <w:tcW w:w="1181" w:type="dxa"/>
            <w:shd w:val="clear" w:color="auto" w:fill="auto"/>
          </w:tcPr>
          <w:p w:rsidR="006A47CE" w:rsidRPr="00E752E3" w:rsidRDefault="006A47CE" w:rsidP="00C80C4E">
            <w:pPr>
              <w:jc w:val="center"/>
              <w:rPr>
                <w:sz w:val="20"/>
                <w:szCs w:val="20"/>
                <w:lang w:val="fr-CA"/>
              </w:rPr>
            </w:pPr>
          </w:p>
          <w:p w:rsidR="006A47CE" w:rsidRPr="00E752E3" w:rsidRDefault="006A47CE" w:rsidP="00C80C4E">
            <w:pPr>
              <w:jc w:val="center"/>
              <w:rPr>
                <w:sz w:val="20"/>
                <w:szCs w:val="20"/>
                <w:lang w:val="fr-CA"/>
              </w:rPr>
            </w:pPr>
          </w:p>
          <w:p w:rsidR="006A47CE" w:rsidRPr="00E752E3" w:rsidRDefault="006A47CE" w:rsidP="00C80C4E">
            <w:pPr>
              <w:jc w:val="center"/>
              <w:rPr>
                <w:sz w:val="20"/>
                <w:szCs w:val="20"/>
                <w:lang w:val="fr-CA"/>
              </w:rPr>
            </w:pPr>
          </w:p>
          <w:p w:rsidR="006A47CE" w:rsidRPr="00E752E3" w:rsidRDefault="006A47CE" w:rsidP="00C80C4E">
            <w:pPr>
              <w:jc w:val="center"/>
              <w:rPr>
                <w:sz w:val="20"/>
                <w:szCs w:val="20"/>
                <w:lang w:val="fr-CA"/>
              </w:rPr>
            </w:pPr>
          </w:p>
          <w:p w:rsidR="006A47CE" w:rsidRPr="00E752E3" w:rsidRDefault="006A47CE" w:rsidP="00C80C4E">
            <w:pPr>
              <w:jc w:val="center"/>
              <w:rPr>
                <w:sz w:val="20"/>
                <w:szCs w:val="20"/>
                <w:lang w:val="fr-CA"/>
              </w:rPr>
            </w:pPr>
          </w:p>
          <w:p w:rsidR="006A47CE" w:rsidRPr="00E752E3" w:rsidRDefault="006A47CE" w:rsidP="00C80C4E">
            <w:pPr>
              <w:jc w:val="center"/>
              <w:rPr>
                <w:sz w:val="20"/>
                <w:szCs w:val="20"/>
                <w:lang w:val="fr-CA"/>
              </w:rPr>
            </w:pPr>
          </w:p>
          <w:p w:rsidR="006A47CE" w:rsidRPr="00E752E3" w:rsidRDefault="006A47CE" w:rsidP="00C80C4E">
            <w:pPr>
              <w:jc w:val="center"/>
              <w:rPr>
                <w:sz w:val="20"/>
                <w:szCs w:val="20"/>
                <w:lang w:val="fr-CA"/>
              </w:rPr>
            </w:pPr>
          </w:p>
          <w:p w:rsidR="006A47CE" w:rsidRPr="00E752E3" w:rsidRDefault="006A47CE" w:rsidP="00C80C4E">
            <w:pPr>
              <w:jc w:val="center"/>
              <w:rPr>
                <w:sz w:val="20"/>
                <w:szCs w:val="20"/>
                <w:lang w:val="fr-CA"/>
              </w:rPr>
            </w:pPr>
          </w:p>
          <w:p w:rsidR="006A47CE" w:rsidRPr="00E752E3" w:rsidRDefault="006A47CE" w:rsidP="00C80C4E">
            <w:pPr>
              <w:jc w:val="center"/>
              <w:rPr>
                <w:sz w:val="20"/>
                <w:szCs w:val="20"/>
                <w:lang w:val="fr-CA"/>
              </w:rPr>
            </w:pPr>
          </w:p>
          <w:p w:rsidR="006A47CE" w:rsidRPr="00E752E3" w:rsidRDefault="006A47CE" w:rsidP="00C80C4E">
            <w:pPr>
              <w:jc w:val="center"/>
              <w:rPr>
                <w:sz w:val="20"/>
                <w:szCs w:val="20"/>
                <w:lang w:val="fr-CA"/>
              </w:rPr>
            </w:pPr>
          </w:p>
          <w:p w:rsidR="006A47CE" w:rsidRPr="00E752E3" w:rsidRDefault="006A47CE" w:rsidP="00C80C4E">
            <w:pPr>
              <w:jc w:val="center"/>
              <w:rPr>
                <w:sz w:val="20"/>
                <w:szCs w:val="20"/>
                <w:lang w:val="fr-CA"/>
              </w:rPr>
            </w:pPr>
          </w:p>
          <w:p w:rsidR="006A47CE" w:rsidRPr="00E752E3" w:rsidRDefault="006A47CE" w:rsidP="00C80C4E">
            <w:pPr>
              <w:jc w:val="center"/>
              <w:rPr>
                <w:sz w:val="20"/>
                <w:szCs w:val="20"/>
                <w:lang w:val="fr-CA"/>
              </w:rPr>
            </w:pPr>
          </w:p>
        </w:tc>
        <w:tc>
          <w:tcPr>
            <w:tcW w:w="4320" w:type="dxa"/>
            <w:shd w:val="clear" w:color="auto" w:fill="auto"/>
          </w:tcPr>
          <w:p w:rsidR="006A47CE" w:rsidRPr="00A935AA" w:rsidRDefault="006A47CE" w:rsidP="00C80C4E">
            <w:pPr>
              <w:keepNext/>
              <w:keepLines/>
              <w:tabs>
                <w:tab w:val="left" w:pos="-1440"/>
                <w:tab w:val="left" w:pos="-720"/>
              </w:tabs>
              <w:rPr>
                <w:b/>
                <w:sz w:val="20"/>
                <w:szCs w:val="20"/>
                <w:lang w:val="fr-CA"/>
              </w:rPr>
            </w:pPr>
            <w:r>
              <w:rPr>
                <w:b/>
                <w:sz w:val="20"/>
                <w:szCs w:val="20"/>
                <w:lang w:val="fr-CA"/>
              </w:rPr>
              <w:t>Chuang Ma</w:t>
            </w:r>
          </w:p>
          <w:p w:rsidR="006A47CE" w:rsidRPr="00E752E3" w:rsidRDefault="006A47CE" w:rsidP="00C80C4E">
            <w:pPr>
              <w:keepNext/>
              <w:keepLines/>
              <w:tabs>
                <w:tab w:val="left" w:pos="-1440"/>
                <w:tab w:val="left" w:pos="-720"/>
              </w:tabs>
              <w:rPr>
                <w:sz w:val="20"/>
                <w:szCs w:val="20"/>
                <w:lang w:val="fr-CA"/>
              </w:rPr>
            </w:pPr>
            <w:r w:rsidRPr="00A935AA">
              <w:rPr>
                <w:sz w:val="20"/>
                <w:szCs w:val="20"/>
                <w:lang w:val="fr-CA"/>
              </w:rPr>
              <w:tab/>
            </w:r>
            <w:r>
              <w:rPr>
                <w:sz w:val="20"/>
                <w:szCs w:val="20"/>
                <w:lang w:val="fr-CA"/>
              </w:rPr>
              <w:t>Chuang Ma</w:t>
            </w:r>
          </w:p>
          <w:p w:rsidR="006A47CE" w:rsidRPr="00E752E3" w:rsidRDefault="006A47CE" w:rsidP="00C80C4E">
            <w:pPr>
              <w:keepNext/>
              <w:keepLines/>
              <w:tabs>
                <w:tab w:val="left" w:pos="-1440"/>
                <w:tab w:val="left" w:pos="-720"/>
              </w:tabs>
              <w:rPr>
                <w:sz w:val="20"/>
                <w:szCs w:val="20"/>
                <w:lang w:val="fr-CA"/>
              </w:rPr>
            </w:pPr>
          </w:p>
          <w:p w:rsidR="006A47CE" w:rsidRPr="00E752E3" w:rsidRDefault="006A47CE" w:rsidP="00C80C4E">
            <w:pPr>
              <w:keepNext/>
              <w:keepLines/>
              <w:tabs>
                <w:tab w:val="left" w:pos="-1440"/>
                <w:tab w:val="left" w:pos="-720"/>
              </w:tabs>
              <w:rPr>
                <w:sz w:val="20"/>
                <w:szCs w:val="20"/>
                <w:lang w:val="fr-CA"/>
              </w:rPr>
            </w:pPr>
            <w:r w:rsidRPr="00E752E3">
              <w:rPr>
                <w:sz w:val="20"/>
                <w:szCs w:val="20"/>
                <w:lang w:val="fr-CA"/>
              </w:rPr>
              <w:tab/>
              <w:t>v. (36155)</w:t>
            </w:r>
          </w:p>
          <w:p w:rsidR="006A47CE" w:rsidRPr="00E752E3" w:rsidRDefault="006A47CE" w:rsidP="00C80C4E">
            <w:pPr>
              <w:keepNext/>
              <w:keepLines/>
              <w:tabs>
                <w:tab w:val="left" w:pos="-1440"/>
                <w:tab w:val="left" w:pos="-720"/>
              </w:tabs>
              <w:rPr>
                <w:sz w:val="20"/>
                <w:szCs w:val="20"/>
                <w:lang w:val="fr-CA"/>
              </w:rPr>
            </w:pPr>
          </w:p>
          <w:p w:rsidR="006A47CE" w:rsidRPr="00E752E3" w:rsidRDefault="006A47CE" w:rsidP="00C80C4E">
            <w:pPr>
              <w:keepNext/>
              <w:keepLines/>
              <w:tabs>
                <w:tab w:val="left" w:pos="-1440"/>
                <w:tab w:val="left" w:pos="-720"/>
              </w:tabs>
              <w:rPr>
                <w:b/>
                <w:sz w:val="20"/>
                <w:szCs w:val="20"/>
                <w:lang w:val="fr-CA"/>
              </w:rPr>
            </w:pPr>
            <w:r>
              <w:rPr>
                <w:b/>
                <w:sz w:val="20"/>
                <w:szCs w:val="20"/>
                <w:lang w:val="fr-CA"/>
              </w:rPr>
              <w:t xml:space="preserve">Ville de Gatineau </w:t>
            </w:r>
            <w:r w:rsidRPr="00E752E3">
              <w:rPr>
                <w:b/>
                <w:sz w:val="20"/>
                <w:szCs w:val="20"/>
                <w:lang w:val="fr-CA"/>
              </w:rPr>
              <w:t>(Que.)</w:t>
            </w:r>
          </w:p>
          <w:p w:rsidR="006A47CE" w:rsidRPr="00E752E3" w:rsidRDefault="006A47CE" w:rsidP="00C80C4E">
            <w:pPr>
              <w:keepNext/>
              <w:keepLines/>
              <w:tabs>
                <w:tab w:val="left" w:pos="-1440"/>
                <w:tab w:val="left" w:pos="-720"/>
              </w:tabs>
              <w:rPr>
                <w:sz w:val="20"/>
                <w:szCs w:val="20"/>
                <w:lang w:val="fr-CA"/>
              </w:rPr>
            </w:pPr>
            <w:r w:rsidRPr="00E752E3">
              <w:rPr>
                <w:sz w:val="20"/>
                <w:szCs w:val="20"/>
                <w:lang w:val="fr-CA"/>
              </w:rPr>
              <w:tab/>
              <w:t>Claudine Lacasse</w:t>
            </w:r>
          </w:p>
          <w:p w:rsidR="006A47CE" w:rsidRPr="00E752E3" w:rsidRDefault="006A47CE" w:rsidP="00C80C4E">
            <w:pPr>
              <w:keepNext/>
              <w:keepLines/>
              <w:tabs>
                <w:tab w:val="left" w:pos="-1440"/>
                <w:tab w:val="left" w:pos="-720"/>
              </w:tabs>
              <w:rPr>
                <w:sz w:val="20"/>
                <w:szCs w:val="20"/>
                <w:lang w:val="fr-CA"/>
              </w:rPr>
            </w:pPr>
            <w:r w:rsidRPr="00E752E3">
              <w:rPr>
                <w:sz w:val="20"/>
                <w:szCs w:val="20"/>
                <w:lang w:val="fr-CA"/>
              </w:rPr>
              <w:tab/>
            </w:r>
            <w:r>
              <w:rPr>
                <w:sz w:val="20"/>
                <w:szCs w:val="20"/>
                <w:lang w:val="fr-CA"/>
              </w:rPr>
              <w:t>Ville de Gatineau</w:t>
            </w:r>
          </w:p>
          <w:p w:rsidR="006A47CE" w:rsidRPr="00E752E3" w:rsidRDefault="006A47CE" w:rsidP="00C80C4E">
            <w:pPr>
              <w:keepNext/>
              <w:keepLines/>
              <w:tabs>
                <w:tab w:val="left" w:pos="-1440"/>
                <w:tab w:val="left" w:pos="-720"/>
              </w:tabs>
              <w:rPr>
                <w:sz w:val="20"/>
                <w:szCs w:val="20"/>
                <w:lang w:val="fr-CA"/>
              </w:rPr>
            </w:pPr>
          </w:p>
          <w:p w:rsidR="006A47CE" w:rsidRPr="00E752E3" w:rsidRDefault="006A47CE" w:rsidP="00C80C4E">
            <w:pPr>
              <w:rPr>
                <w:sz w:val="20"/>
                <w:szCs w:val="20"/>
                <w:lang w:val="fr-CA"/>
              </w:rPr>
            </w:pPr>
            <w:r w:rsidRPr="00E752E3">
              <w:rPr>
                <w:sz w:val="20"/>
                <w:szCs w:val="20"/>
                <w:lang w:val="fr-CA"/>
              </w:rPr>
              <w:t>FILING DATE: 03.10.2014</w:t>
            </w:r>
            <w:r w:rsidR="00690162">
              <w:rPr>
                <w:sz w:val="20"/>
                <w:szCs w:val="20"/>
                <w:lang w:val="fr-CA"/>
              </w:rPr>
              <w:pict>
                <v:rect id="_x0000_i1026" style="width:108pt;height:1pt" o:hrpct="0" o:hralign="center" o:hrstd="t" o:hrnoshade="t" o:hr="t" fillcolor="black [3213]" stroked="f"/>
              </w:pict>
            </w:r>
          </w:p>
        </w:tc>
      </w:tr>
      <w:tr w:rsidR="006A47CE" w:rsidRPr="00A935AA" w:rsidTr="00C80C4E">
        <w:tc>
          <w:tcPr>
            <w:tcW w:w="4320" w:type="dxa"/>
            <w:shd w:val="clear" w:color="auto" w:fill="auto"/>
          </w:tcPr>
          <w:p w:rsidR="006A47CE" w:rsidRPr="00E752E3" w:rsidRDefault="006A47CE" w:rsidP="00C80C4E">
            <w:pPr>
              <w:rPr>
                <w:b/>
                <w:sz w:val="20"/>
                <w:szCs w:val="20"/>
              </w:rPr>
            </w:pPr>
            <w:r w:rsidRPr="00E752E3">
              <w:rPr>
                <w:b/>
                <w:sz w:val="20"/>
                <w:szCs w:val="20"/>
              </w:rPr>
              <w:t>Charles Eli Kembo</w:t>
            </w:r>
          </w:p>
          <w:p w:rsidR="006A47CE" w:rsidRPr="00E752E3" w:rsidRDefault="006A47CE" w:rsidP="00C80C4E">
            <w:pPr>
              <w:tabs>
                <w:tab w:val="left" w:pos="-1440"/>
                <w:tab w:val="left" w:pos="-720"/>
              </w:tabs>
              <w:rPr>
                <w:sz w:val="20"/>
                <w:szCs w:val="20"/>
              </w:rPr>
            </w:pPr>
            <w:r w:rsidRPr="00E752E3">
              <w:rPr>
                <w:sz w:val="20"/>
                <w:szCs w:val="20"/>
              </w:rPr>
              <w:tab/>
              <w:t xml:space="preserve">Thomas M. </w:t>
            </w:r>
            <w:r>
              <w:rPr>
                <w:sz w:val="20"/>
                <w:szCs w:val="20"/>
              </w:rPr>
              <w:t>Arbogast</w:t>
            </w:r>
          </w:p>
          <w:p w:rsidR="006A47CE" w:rsidRPr="00E752E3" w:rsidRDefault="006A47CE" w:rsidP="00C80C4E">
            <w:pPr>
              <w:tabs>
                <w:tab w:val="left" w:pos="-1440"/>
                <w:tab w:val="left" w:pos="-720"/>
              </w:tabs>
              <w:rPr>
                <w:sz w:val="20"/>
                <w:szCs w:val="20"/>
              </w:rPr>
            </w:pPr>
            <w:r w:rsidRPr="00E752E3">
              <w:rPr>
                <w:sz w:val="20"/>
                <w:szCs w:val="20"/>
              </w:rPr>
              <w:tab/>
            </w:r>
            <w:r>
              <w:rPr>
                <w:sz w:val="20"/>
                <w:szCs w:val="20"/>
              </w:rPr>
              <w:t>Wilson Butcher</w:t>
            </w:r>
          </w:p>
          <w:p w:rsidR="006A47CE" w:rsidRPr="00E752E3" w:rsidRDefault="006A47CE" w:rsidP="00C80C4E">
            <w:pPr>
              <w:tabs>
                <w:tab w:val="left" w:pos="-1440"/>
                <w:tab w:val="left" w:pos="-720"/>
              </w:tabs>
              <w:rPr>
                <w:sz w:val="20"/>
                <w:szCs w:val="20"/>
              </w:rPr>
            </w:pPr>
          </w:p>
          <w:p w:rsidR="006A47CE" w:rsidRPr="00A935AA" w:rsidRDefault="006A47CE" w:rsidP="00C80C4E">
            <w:pPr>
              <w:tabs>
                <w:tab w:val="left" w:pos="-1440"/>
                <w:tab w:val="left" w:pos="-720"/>
              </w:tabs>
              <w:rPr>
                <w:sz w:val="20"/>
                <w:szCs w:val="20"/>
              </w:rPr>
            </w:pPr>
            <w:r w:rsidRPr="00E752E3">
              <w:rPr>
                <w:sz w:val="20"/>
                <w:szCs w:val="20"/>
              </w:rPr>
              <w:tab/>
            </w:r>
            <w:r w:rsidRPr="00A935AA">
              <w:rPr>
                <w:sz w:val="20"/>
                <w:szCs w:val="20"/>
              </w:rPr>
              <w:t>v. (3</w:t>
            </w:r>
            <w:r>
              <w:rPr>
                <w:sz w:val="20"/>
                <w:szCs w:val="20"/>
              </w:rPr>
              <w:t>6130</w:t>
            </w:r>
            <w:r w:rsidRPr="00A935AA">
              <w:rPr>
                <w:sz w:val="20"/>
                <w:szCs w:val="20"/>
              </w:rPr>
              <w:t>)</w:t>
            </w:r>
          </w:p>
          <w:p w:rsidR="006A47CE" w:rsidRPr="00A935AA" w:rsidRDefault="006A47CE" w:rsidP="00C80C4E">
            <w:pPr>
              <w:tabs>
                <w:tab w:val="left" w:pos="-1440"/>
                <w:tab w:val="left" w:pos="-720"/>
              </w:tabs>
              <w:rPr>
                <w:sz w:val="20"/>
                <w:szCs w:val="20"/>
              </w:rPr>
            </w:pPr>
          </w:p>
          <w:p w:rsidR="006A47CE" w:rsidRPr="00A935AA" w:rsidRDefault="006A47CE" w:rsidP="00C80C4E">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B.C</w:t>
            </w:r>
            <w:r w:rsidRPr="00A935AA">
              <w:rPr>
                <w:b/>
                <w:sz w:val="20"/>
                <w:szCs w:val="20"/>
              </w:rPr>
              <w:t>.)</w:t>
            </w:r>
          </w:p>
          <w:p w:rsidR="006A47CE" w:rsidRPr="00A935AA" w:rsidRDefault="006A47CE" w:rsidP="00C80C4E">
            <w:pPr>
              <w:tabs>
                <w:tab w:val="left" w:pos="-1440"/>
                <w:tab w:val="left" w:pos="-720"/>
              </w:tabs>
              <w:rPr>
                <w:sz w:val="20"/>
                <w:szCs w:val="20"/>
              </w:rPr>
            </w:pPr>
            <w:r w:rsidRPr="00A935AA">
              <w:rPr>
                <w:sz w:val="20"/>
                <w:szCs w:val="20"/>
              </w:rPr>
              <w:tab/>
            </w:r>
            <w:r>
              <w:rPr>
                <w:sz w:val="20"/>
                <w:szCs w:val="20"/>
              </w:rPr>
              <w:t>John M. Gordon, Q.C.</w:t>
            </w:r>
          </w:p>
          <w:p w:rsidR="006A47CE" w:rsidRPr="00A935AA" w:rsidRDefault="006A47CE" w:rsidP="00C80C4E">
            <w:pPr>
              <w:tabs>
                <w:tab w:val="left" w:pos="-1440"/>
                <w:tab w:val="left" w:pos="-720"/>
              </w:tabs>
              <w:rPr>
                <w:sz w:val="20"/>
                <w:szCs w:val="20"/>
              </w:rPr>
            </w:pPr>
            <w:r w:rsidRPr="00A935AA">
              <w:rPr>
                <w:sz w:val="20"/>
                <w:szCs w:val="20"/>
              </w:rPr>
              <w:tab/>
            </w:r>
            <w:r>
              <w:rPr>
                <w:sz w:val="20"/>
                <w:szCs w:val="20"/>
              </w:rPr>
              <w:t>A.G. of British Columbia</w:t>
            </w:r>
          </w:p>
          <w:p w:rsidR="006A47CE" w:rsidRPr="00A935AA" w:rsidRDefault="006A47CE" w:rsidP="00C80C4E">
            <w:pPr>
              <w:tabs>
                <w:tab w:val="left" w:pos="-1440"/>
                <w:tab w:val="left" w:pos="-720"/>
              </w:tabs>
              <w:rPr>
                <w:sz w:val="20"/>
                <w:szCs w:val="20"/>
              </w:rPr>
            </w:pPr>
          </w:p>
          <w:p w:rsidR="006A47CE" w:rsidRPr="00A935AA" w:rsidRDefault="006A47CE" w:rsidP="00C80C4E">
            <w:pPr>
              <w:rPr>
                <w:sz w:val="20"/>
                <w:szCs w:val="20"/>
              </w:rPr>
            </w:pPr>
            <w:r w:rsidRPr="00A935AA">
              <w:rPr>
                <w:sz w:val="20"/>
                <w:szCs w:val="20"/>
              </w:rPr>
              <w:t xml:space="preserve">FILING DATE: </w:t>
            </w:r>
            <w:r>
              <w:rPr>
                <w:sz w:val="20"/>
                <w:szCs w:val="20"/>
              </w:rPr>
              <w:t>15</w:t>
            </w:r>
            <w:r w:rsidRPr="00A935AA">
              <w:rPr>
                <w:sz w:val="20"/>
                <w:szCs w:val="20"/>
              </w:rPr>
              <w:t>.</w:t>
            </w:r>
            <w:r>
              <w:rPr>
                <w:sz w:val="20"/>
                <w:szCs w:val="20"/>
              </w:rPr>
              <w:t>1</w:t>
            </w:r>
            <w:r w:rsidRPr="00A935AA">
              <w:rPr>
                <w:sz w:val="20"/>
                <w:szCs w:val="20"/>
              </w:rPr>
              <w:t>0.201</w:t>
            </w:r>
            <w:r>
              <w:rPr>
                <w:sz w:val="20"/>
                <w:szCs w:val="20"/>
              </w:rPr>
              <w:t>4</w:t>
            </w:r>
            <w:r w:rsidR="00690162">
              <w:rPr>
                <w:sz w:val="20"/>
                <w:szCs w:val="20"/>
                <w:lang w:val="fr-CA"/>
              </w:rPr>
              <w:pict>
                <v:rect id="_x0000_i1027" style="width:108pt;height:1pt" o:hrpct="0" o:hralign="center" o:hrstd="t" o:hrnoshade="t" o:hr="t" fillcolor="black [3213]" stroked="f"/>
              </w:pict>
            </w:r>
          </w:p>
        </w:tc>
        <w:tc>
          <w:tcPr>
            <w:tcW w:w="1181" w:type="dxa"/>
            <w:shd w:val="clear" w:color="auto" w:fill="auto"/>
          </w:tcPr>
          <w:p w:rsidR="006A47CE" w:rsidRPr="00A935AA" w:rsidRDefault="006A47CE" w:rsidP="00C80C4E">
            <w:pPr>
              <w:jc w:val="center"/>
              <w:rPr>
                <w:sz w:val="20"/>
                <w:szCs w:val="20"/>
              </w:rPr>
            </w:pPr>
          </w:p>
          <w:p w:rsidR="006A47CE" w:rsidRPr="00A935AA" w:rsidRDefault="006A47CE" w:rsidP="00C80C4E">
            <w:pPr>
              <w:jc w:val="center"/>
              <w:rPr>
                <w:sz w:val="20"/>
                <w:szCs w:val="20"/>
              </w:rPr>
            </w:pPr>
          </w:p>
          <w:p w:rsidR="006A47CE" w:rsidRPr="00A935AA" w:rsidRDefault="006A47CE" w:rsidP="00C80C4E">
            <w:pPr>
              <w:jc w:val="center"/>
              <w:rPr>
                <w:sz w:val="20"/>
                <w:szCs w:val="20"/>
              </w:rPr>
            </w:pPr>
          </w:p>
          <w:p w:rsidR="006A47CE" w:rsidRPr="00A935AA" w:rsidRDefault="006A47CE" w:rsidP="00C80C4E">
            <w:pPr>
              <w:jc w:val="center"/>
              <w:rPr>
                <w:sz w:val="20"/>
                <w:szCs w:val="20"/>
              </w:rPr>
            </w:pPr>
          </w:p>
          <w:p w:rsidR="006A47CE" w:rsidRPr="00A935AA" w:rsidRDefault="006A47CE" w:rsidP="00C80C4E">
            <w:pPr>
              <w:jc w:val="center"/>
              <w:rPr>
                <w:sz w:val="20"/>
                <w:szCs w:val="20"/>
              </w:rPr>
            </w:pPr>
          </w:p>
          <w:p w:rsidR="006A47CE" w:rsidRPr="00A935AA" w:rsidRDefault="006A47CE" w:rsidP="00C80C4E">
            <w:pPr>
              <w:jc w:val="center"/>
              <w:rPr>
                <w:sz w:val="20"/>
                <w:szCs w:val="20"/>
              </w:rPr>
            </w:pPr>
          </w:p>
          <w:p w:rsidR="006A47CE" w:rsidRPr="00A935AA" w:rsidRDefault="006A47CE" w:rsidP="00C80C4E">
            <w:pPr>
              <w:jc w:val="center"/>
              <w:rPr>
                <w:sz w:val="20"/>
                <w:szCs w:val="20"/>
              </w:rPr>
            </w:pPr>
          </w:p>
          <w:p w:rsidR="006A47CE" w:rsidRPr="00A935AA" w:rsidRDefault="006A47CE" w:rsidP="00C80C4E">
            <w:pPr>
              <w:jc w:val="center"/>
              <w:rPr>
                <w:sz w:val="20"/>
                <w:szCs w:val="20"/>
              </w:rPr>
            </w:pPr>
          </w:p>
          <w:p w:rsidR="006A47CE" w:rsidRPr="00A935AA" w:rsidRDefault="006A47CE" w:rsidP="00C80C4E">
            <w:pPr>
              <w:jc w:val="center"/>
              <w:rPr>
                <w:sz w:val="20"/>
                <w:szCs w:val="20"/>
              </w:rPr>
            </w:pPr>
          </w:p>
          <w:p w:rsidR="006A47CE" w:rsidRPr="00A935AA" w:rsidRDefault="006A47CE" w:rsidP="00C80C4E">
            <w:pPr>
              <w:jc w:val="center"/>
              <w:rPr>
                <w:sz w:val="20"/>
                <w:szCs w:val="20"/>
              </w:rPr>
            </w:pPr>
          </w:p>
          <w:p w:rsidR="006A47CE" w:rsidRPr="00A935AA" w:rsidRDefault="006A47CE" w:rsidP="00C80C4E">
            <w:pPr>
              <w:jc w:val="center"/>
              <w:rPr>
                <w:sz w:val="20"/>
                <w:szCs w:val="20"/>
              </w:rPr>
            </w:pPr>
          </w:p>
          <w:p w:rsidR="006A47CE" w:rsidRPr="00A935AA" w:rsidRDefault="006A47CE" w:rsidP="00C80C4E">
            <w:pPr>
              <w:jc w:val="center"/>
              <w:rPr>
                <w:sz w:val="20"/>
                <w:szCs w:val="20"/>
              </w:rPr>
            </w:pPr>
          </w:p>
        </w:tc>
        <w:tc>
          <w:tcPr>
            <w:tcW w:w="4320" w:type="dxa"/>
            <w:shd w:val="clear" w:color="auto" w:fill="auto"/>
          </w:tcPr>
          <w:p w:rsidR="006A47CE" w:rsidRPr="00E752E3" w:rsidRDefault="006A47CE" w:rsidP="00C80C4E">
            <w:pPr>
              <w:keepNext/>
              <w:keepLines/>
              <w:tabs>
                <w:tab w:val="left" w:pos="-1440"/>
                <w:tab w:val="left" w:pos="-720"/>
              </w:tabs>
              <w:rPr>
                <w:b/>
                <w:sz w:val="20"/>
                <w:szCs w:val="20"/>
              </w:rPr>
            </w:pPr>
            <w:r>
              <w:rPr>
                <w:b/>
                <w:sz w:val="20"/>
                <w:szCs w:val="20"/>
              </w:rPr>
              <w:t>Robert Roy</w:t>
            </w:r>
          </w:p>
          <w:p w:rsidR="006A47CE" w:rsidRPr="00E752E3" w:rsidRDefault="006A47CE" w:rsidP="00C80C4E">
            <w:pPr>
              <w:keepNext/>
              <w:keepLines/>
              <w:tabs>
                <w:tab w:val="left" w:pos="-1440"/>
                <w:tab w:val="left" w:pos="-720"/>
              </w:tabs>
              <w:rPr>
                <w:sz w:val="20"/>
                <w:szCs w:val="20"/>
              </w:rPr>
            </w:pPr>
            <w:r w:rsidRPr="00E752E3">
              <w:rPr>
                <w:sz w:val="20"/>
                <w:szCs w:val="20"/>
              </w:rPr>
              <w:tab/>
            </w:r>
            <w:r>
              <w:rPr>
                <w:sz w:val="20"/>
                <w:szCs w:val="20"/>
              </w:rPr>
              <w:t>Robert Roy</w:t>
            </w:r>
          </w:p>
          <w:p w:rsidR="006A47CE" w:rsidRPr="00A935AA" w:rsidRDefault="006A47CE" w:rsidP="00C80C4E">
            <w:pPr>
              <w:keepNext/>
              <w:keepLines/>
              <w:tabs>
                <w:tab w:val="left" w:pos="-1440"/>
                <w:tab w:val="left" w:pos="-720"/>
              </w:tabs>
              <w:rPr>
                <w:sz w:val="20"/>
                <w:szCs w:val="20"/>
              </w:rPr>
            </w:pPr>
          </w:p>
          <w:p w:rsidR="006A47CE" w:rsidRPr="00A935AA" w:rsidRDefault="006A47CE" w:rsidP="00C80C4E">
            <w:pPr>
              <w:keepNext/>
              <w:keepLines/>
              <w:tabs>
                <w:tab w:val="left" w:pos="-1440"/>
                <w:tab w:val="left" w:pos="-720"/>
              </w:tabs>
              <w:rPr>
                <w:sz w:val="20"/>
                <w:szCs w:val="20"/>
              </w:rPr>
            </w:pPr>
            <w:r w:rsidRPr="00A935AA">
              <w:rPr>
                <w:sz w:val="20"/>
                <w:szCs w:val="20"/>
              </w:rPr>
              <w:tab/>
              <w:t>v. (3</w:t>
            </w:r>
            <w:r>
              <w:rPr>
                <w:sz w:val="20"/>
                <w:szCs w:val="20"/>
              </w:rPr>
              <w:t>6146</w:t>
            </w:r>
            <w:r w:rsidRPr="00A935AA">
              <w:rPr>
                <w:sz w:val="20"/>
                <w:szCs w:val="20"/>
              </w:rPr>
              <w:t>)</w:t>
            </w:r>
          </w:p>
          <w:p w:rsidR="006A47CE" w:rsidRPr="00A935AA" w:rsidRDefault="006A47CE" w:rsidP="00C80C4E">
            <w:pPr>
              <w:keepNext/>
              <w:keepLines/>
              <w:tabs>
                <w:tab w:val="left" w:pos="-1440"/>
                <w:tab w:val="left" w:pos="-720"/>
              </w:tabs>
              <w:rPr>
                <w:sz w:val="20"/>
                <w:szCs w:val="20"/>
              </w:rPr>
            </w:pPr>
          </w:p>
          <w:p w:rsidR="006A47CE" w:rsidRPr="00A935AA" w:rsidRDefault="006A47CE" w:rsidP="00C80C4E">
            <w:pPr>
              <w:keepNext/>
              <w:keepLines/>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F.C</w:t>
            </w:r>
            <w:r w:rsidRPr="00A935AA">
              <w:rPr>
                <w:b/>
                <w:sz w:val="20"/>
                <w:szCs w:val="20"/>
              </w:rPr>
              <w:t>.)</w:t>
            </w:r>
          </w:p>
          <w:p w:rsidR="006A47CE" w:rsidRPr="00A935AA" w:rsidRDefault="006A47CE" w:rsidP="00C80C4E">
            <w:pPr>
              <w:keepNext/>
              <w:keepLines/>
              <w:tabs>
                <w:tab w:val="left" w:pos="-1440"/>
                <w:tab w:val="left" w:pos="-720"/>
              </w:tabs>
              <w:rPr>
                <w:sz w:val="20"/>
                <w:szCs w:val="20"/>
              </w:rPr>
            </w:pPr>
            <w:r w:rsidRPr="00A935AA">
              <w:rPr>
                <w:sz w:val="20"/>
                <w:szCs w:val="20"/>
              </w:rPr>
              <w:tab/>
            </w:r>
            <w:r>
              <w:rPr>
                <w:sz w:val="20"/>
                <w:szCs w:val="20"/>
              </w:rPr>
              <w:t>Susan Inglis</w:t>
            </w:r>
          </w:p>
          <w:p w:rsidR="006A47CE" w:rsidRPr="00A935AA" w:rsidRDefault="006A47CE" w:rsidP="00C80C4E">
            <w:pPr>
              <w:keepNext/>
              <w:keepLines/>
              <w:tabs>
                <w:tab w:val="left" w:pos="-1440"/>
                <w:tab w:val="left" w:pos="-720"/>
              </w:tabs>
              <w:rPr>
                <w:sz w:val="20"/>
                <w:szCs w:val="20"/>
              </w:rPr>
            </w:pPr>
            <w:r w:rsidRPr="00A935AA">
              <w:rPr>
                <w:sz w:val="20"/>
                <w:szCs w:val="20"/>
              </w:rPr>
              <w:tab/>
            </w:r>
            <w:r>
              <w:rPr>
                <w:sz w:val="20"/>
                <w:szCs w:val="20"/>
              </w:rPr>
              <w:t>Department of Justice</w:t>
            </w:r>
          </w:p>
          <w:p w:rsidR="006A47CE" w:rsidRPr="00A935AA" w:rsidRDefault="006A47CE" w:rsidP="00C80C4E">
            <w:pPr>
              <w:keepNext/>
              <w:keepLines/>
              <w:tabs>
                <w:tab w:val="left" w:pos="-1440"/>
                <w:tab w:val="left" w:pos="-720"/>
              </w:tabs>
              <w:rPr>
                <w:sz w:val="20"/>
                <w:szCs w:val="20"/>
              </w:rPr>
            </w:pPr>
          </w:p>
          <w:p w:rsidR="006A47CE" w:rsidRPr="00A935AA" w:rsidRDefault="006A47CE" w:rsidP="00C80C4E">
            <w:pPr>
              <w:rPr>
                <w:sz w:val="20"/>
                <w:szCs w:val="20"/>
              </w:rPr>
            </w:pPr>
            <w:r w:rsidRPr="00A935AA">
              <w:rPr>
                <w:sz w:val="20"/>
                <w:szCs w:val="20"/>
              </w:rPr>
              <w:t xml:space="preserve">FILING DATE: </w:t>
            </w:r>
            <w:r>
              <w:rPr>
                <w:sz w:val="20"/>
                <w:szCs w:val="20"/>
              </w:rPr>
              <w:t>16</w:t>
            </w:r>
            <w:r w:rsidRPr="00A935AA">
              <w:rPr>
                <w:sz w:val="20"/>
                <w:szCs w:val="20"/>
              </w:rPr>
              <w:t>.</w:t>
            </w:r>
            <w:r>
              <w:rPr>
                <w:sz w:val="20"/>
                <w:szCs w:val="20"/>
              </w:rPr>
              <w:t>1</w:t>
            </w:r>
            <w:r w:rsidRPr="00A935AA">
              <w:rPr>
                <w:sz w:val="20"/>
                <w:szCs w:val="20"/>
              </w:rPr>
              <w:t>0.201</w:t>
            </w:r>
            <w:r>
              <w:rPr>
                <w:sz w:val="20"/>
                <w:szCs w:val="20"/>
              </w:rPr>
              <w:t>4</w:t>
            </w:r>
            <w:r w:rsidR="00690162">
              <w:rPr>
                <w:sz w:val="20"/>
                <w:szCs w:val="20"/>
                <w:lang w:val="fr-CA"/>
              </w:rPr>
              <w:pict>
                <v:rect id="_x0000_i1028" style="width:108pt;height:1pt" o:hrpct="0" o:hralign="center" o:hrstd="t" o:hrnoshade="t" o:hr="t" fillcolor="black [3213]" stroked="f"/>
              </w:pict>
            </w:r>
          </w:p>
        </w:tc>
      </w:tr>
      <w:tr w:rsidR="006A47CE" w:rsidRPr="00A935AA" w:rsidTr="00C80C4E">
        <w:tc>
          <w:tcPr>
            <w:tcW w:w="4320" w:type="dxa"/>
            <w:shd w:val="clear" w:color="auto" w:fill="auto"/>
          </w:tcPr>
          <w:p w:rsidR="006A47CE" w:rsidRDefault="006A47CE" w:rsidP="00C80C4E">
            <w:pPr>
              <w:rPr>
                <w:b/>
                <w:sz w:val="20"/>
                <w:szCs w:val="20"/>
              </w:rPr>
            </w:pPr>
          </w:p>
          <w:p w:rsidR="006A47CE" w:rsidRPr="00A935AA" w:rsidRDefault="006A47CE" w:rsidP="00C80C4E">
            <w:pPr>
              <w:rPr>
                <w:b/>
                <w:sz w:val="20"/>
                <w:szCs w:val="20"/>
              </w:rPr>
            </w:pPr>
            <w:r>
              <w:rPr>
                <w:b/>
                <w:sz w:val="20"/>
                <w:szCs w:val="20"/>
              </w:rPr>
              <w:t>G.S.</w:t>
            </w:r>
          </w:p>
          <w:p w:rsidR="006A47CE" w:rsidRPr="00A935AA" w:rsidRDefault="006A47CE" w:rsidP="00C80C4E">
            <w:pPr>
              <w:tabs>
                <w:tab w:val="left" w:pos="-1440"/>
                <w:tab w:val="left" w:pos="-720"/>
              </w:tabs>
              <w:rPr>
                <w:sz w:val="20"/>
                <w:szCs w:val="20"/>
              </w:rPr>
            </w:pPr>
            <w:r w:rsidRPr="00A935AA">
              <w:rPr>
                <w:sz w:val="20"/>
                <w:szCs w:val="20"/>
              </w:rPr>
              <w:tab/>
            </w:r>
            <w:r>
              <w:rPr>
                <w:sz w:val="20"/>
                <w:szCs w:val="20"/>
              </w:rPr>
              <w:t>G.S.</w:t>
            </w:r>
          </w:p>
          <w:p w:rsidR="006A47CE" w:rsidRPr="00A935AA" w:rsidRDefault="006A47CE" w:rsidP="00C80C4E">
            <w:pPr>
              <w:tabs>
                <w:tab w:val="left" w:pos="-1440"/>
                <w:tab w:val="left" w:pos="-720"/>
              </w:tabs>
              <w:rPr>
                <w:sz w:val="20"/>
                <w:szCs w:val="20"/>
              </w:rPr>
            </w:pPr>
          </w:p>
          <w:p w:rsidR="006A47CE" w:rsidRPr="00A935AA" w:rsidRDefault="006A47CE" w:rsidP="00C80C4E">
            <w:pPr>
              <w:tabs>
                <w:tab w:val="left" w:pos="-1440"/>
                <w:tab w:val="left" w:pos="-720"/>
              </w:tabs>
              <w:rPr>
                <w:sz w:val="20"/>
                <w:szCs w:val="20"/>
              </w:rPr>
            </w:pPr>
            <w:r w:rsidRPr="00A935AA">
              <w:rPr>
                <w:sz w:val="20"/>
                <w:szCs w:val="20"/>
              </w:rPr>
              <w:tab/>
              <w:t>v. (3</w:t>
            </w:r>
            <w:r>
              <w:rPr>
                <w:sz w:val="20"/>
                <w:szCs w:val="20"/>
              </w:rPr>
              <w:t>6138</w:t>
            </w:r>
            <w:r w:rsidRPr="00A935AA">
              <w:rPr>
                <w:sz w:val="20"/>
                <w:szCs w:val="20"/>
              </w:rPr>
              <w:t>)</w:t>
            </w:r>
          </w:p>
          <w:p w:rsidR="006A47CE" w:rsidRPr="00A935AA" w:rsidRDefault="006A47CE" w:rsidP="00C80C4E">
            <w:pPr>
              <w:tabs>
                <w:tab w:val="left" w:pos="-1440"/>
                <w:tab w:val="left" w:pos="-720"/>
              </w:tabs>
              <w:rPr>
                <w:sz w:val="20"/>
                <w:szCs w:val="20"/>
              </w:rPr>
            </w:pPr>
          </w:p>
          <w:p w:rsidR="006A47CE" w:rsidRPr="00A935AA" w:rsidRDefault="006A47CE" w:rsidP="00C80C4E">
            <w:pPr>
              <w:tabs>
                <w:tab w:val="left" w:pos="-1440"/>
                <w:tab w:val="left" w:pos="-720"/>
              </w:tabs>
              <w:rPr>
                <w:b/>
                <w:sz w:val="20"/>
                <w:szCs w:val="20"/>
              </w:rPr>
            </w:pPr>
            <w:r>
              <w:rPr>
                <w:b/>
                <w:sz w:val="20"/>
                <w:szCs w:val="20"/>
              </w:rPr>
              <w:t xml:space="preserve">L.S. </w:t>
            </w:r>
            <w:r w:rsidRPr="00A935AA">
              <w:rPr>
                <w:b/>
                <w:sz w:val="20"/>
                <w:szCs w:val="20"/>
              </w:rPr>
              <w:t>(</w:t>
            </w:r>
            <w:r>
              <w:rPr>
                <w:b/>
                <w:sz w:val="20"/>
                <w:szCs w:val="20"/>
              </w:rPr>
              <w:t>B.C</w:t>
            </w:r>
            <w:r w:rsidRPr="00A935AA">
              <w:rPr>
                <w:b/>
                <w:sz w:val="20"/>
                <w:szCs w:val="20"/>
              </w:rPr>
              <w:t>.)</w:t>
            </w:r>
          </w:p>
          <w:p w:rsidR="006A47CE" w:rsidRPr="00A935AA" w:rsidRDefault="006A47CE" w:rsidP="00C80C4E">
            <w:pPr>
              <w:tabs>
                <w:tab w:val="left" w:pos="-1440"/>
                <w:tab w:val="left" w:pos="-720"/>
              </w:tabs>
              <w:rPr>
                <w:sz w:val="20"/>
                <w:szCs w:val="20"/>
              </w:rPr>
            </w:pPr>
            <w:r w:rsidRPr="00A935AA">
              <w:rPr>
                <w:sz w:val="20"/>
                <w:szCs w:val="20"/>
              </w:rPr>
              <w:tab/>
            </w:r>
            <w:r>
              <w:rPr>
                <w:sz w:val="20"/>
                <w:szCs w:val="20"/>
              </w:rPr>
              <w:t>Ben J. Ingram</w:t>
            </w:r>
          </w:p>
          <w:p w:rsidR="006A47CE" w:rsidRPr="00A935AA" w:rsidRDefault="006A47CE" w:rsidP="00C80C4E">
            <w:pPr>
              <w:tabs>
                <w:tab w:val="left" w:pos="-1440"/>
                <w:tab w:val="left" w:pos="-720"/>
              </w:tabs>
              <w:rPr>
                <w:sz w:val="20"/>
                <w:szCs w:val="20"/>
              </w:rPr>
            </w:pPr>
            <w:r w:rsidRPr="00A935AA">
              <w:rPr>
                <w:sz w:val="20"/>
                <w:szCs w:val="20"/>
              </w:rPr>
              <w:tab/>
            </w:r>
            <w:r>
              <w:rPr>
                <w:sz w:val="20"/>
                <w:szCs w:val="20"/>
              </w:rPr>
              <w:t>Ben Ingram &amp; Associates</w:t>
            </w:r>
          </w:p>
          <w:p w:rsidR="006A47CE" w:rsidRPr="00A935AA" w:rsidRDefault="006A47CE" w:rsidP="00C80C4E">
            <w:pPr>
              <w:tabs>
                <w:tab w:val="left" w:pos="-1440"/>
                <w:tab w:val="left" w:pos="-720"/>
              </w:tabs>
              <w:rPr>
                <w:sz w:val="20"/>
                <w:szCs w:val="20"/>
              </w:rPr>
            </w:pPr>
          </w:p>
          <w:p w:rsidR="006A47CE" w:rsidRPr="00A935AA" w:rsidRDefault="006A47CE" w:rsidP="00C80C4E">
            <w:pPr>
              <w:rPr>
                <w:sz w:val="20"/>
                <w:szCs w:val="20"/>
              </w:rPr>
            </w:pPr>
            <w:r w:rsidRPr="00A935AA">
              <w:rPr>
                <w:sz w:val="20"/>
                <w:szCs w:val="20"/>
              </w:rPr>
              <w:t>FILING DATE: 2</w:t>
            </w:r>
            <w:r>
              <w:rPr>
                <w:sz w:val="20"/>
                <w:szCs w:val="20"/>
              </w:rPr>
              <w:t>0</w:t>
            </w:r>
            <w:r w:rsidRPr="00A935AA">
              <w:rPr>
                <w:sz w:val="20"/>
                <w:szCs w:val="20"/>
              </w:rPr>
              <w:t>.</w:t>
            </w:r>
            <w:r>
              <w:rPr>
                <w:sz w:val="20"/>
                <w:szCs w:val="20"/>
              </w:rPr>
              <w:t>1</w:t>
            </w:r>
            <w:r w:rsidRPr="00A935AA">
              <w:rPr>
                <w:sz w:val="20"/>
                <w:szCs w:val="20"/>
              </w:rPr>
              <w:t>0.201</w:t>
            </w:r>
            <w:r>
              <w:rPr>
                <w:sz w:val="20"/>
                <w:szCs w:val="20"/>
              </w:rPr>
              <w:t>4</w:t>
            </w:r>
            <w:r w:rsidR="00690162">
              <w:rPr>
                <w:sz w:val="20"/>
                <w:szCs w:val="20"/>
                <w:lang w:val="fr-CA"/>
              </w:rPr>
              <w:pict>
                <v:rect id="_x0000_i1029" style="width:108pt;height:1pt" o:hrpct="0" o:hralign="center" o:hrstd="t" o:hrnoshade="t" o:hr="t" fillcolor="black [3213]" stroked="f"/>
              </w:pict>
            </w:r>
          </w:p>
        </w:tc>
        <w:tc>
          <w:tcPr>
            <w:tcW w:w="1181" w:type="dxa"/>
            <w:shd w:val="clear" w:color="auto" w:fill="auto"/>
          </w:tcPr>
          <w:p w:rsidR="006A47CE" w:rsidRPr="00A935AA" w:rsidRDefault="006A47CE" w:rsidP="00C80C4E">
            <w:pPr>
              <w:jc w:val="center"/>
              <w:rPr>
                <w:sz w:val="20"/>
                <w:szCs w:val="20"/>
              </w:rPr>
            </w:pPr>
          </w:p>
          <w:p w:rsidR="006A47CE" w:rsidRPr="00A935AA" w:rsidRDefault="006A47CE" w:rsidP="00C80C4E">
            <w:pPr>
              <w:jc w:val="center"/>
              <w:rPr>
                <w:sz w:val="20"/>
                <w:szCs w:val="20"/>
              </w:rPr>
            </w:pPr>
          </w:p>
          <w:p w:rsidR="006A47CE" w:rsidRPr="00A935AA" w:rsidRDefault="006A47CE" w:rsidP="00C80C4E">
            <w:pPr>
              <w:jc w:val="center"/>
              <w:rPr>
                <w:sz w:val="20"/>
                <w:szCs w:val="20"/>
              </w:rPr>
            </w:pPr>
          </w:p>
          <w:p w:rsidR="006A47CE" w:rsidRPr="00A935AA" w:rsidRDefault="006A47CE" w:rsidP="00C80C4E">
            <w:pPr>
              <w:jc w:val="center"/>
              <w:rPr>
                <w:sz w:val="20"/>
                <w:szCs w:val="20"/>
              </w:rPr>
            </w:pPr>
          </w:p>
          <w:p w:rsidR="006A47CE" w:rsidRPr="00A935AA" w:rsidRDefault="006A47CE" w:rsidP="00C80C4E">
            <w:pPr>
              <w:jc w:val="center"/>
              <w:rPr>
                <w:sz w:val="20"/>
                <w:szCs w:val="20"/>
              </w:rPr>
            </w:pPr>
          </w:p>
          <w:p w:rsidR="006A47CE" w:rsidRPr="00A935AA" w:rsidRDefault="006A47CE" w:rsidP="00C80C4E">
            <w:pPr>
              <w:jc w:val="center"/>
              <w:rPr>
                <w:sz w:val="20"/>
                <w:szCs w:val="20"/>
              </w:rPr>
            </w:pPr>
          </w:p>
          <w:p w:rsidR="006A47CE" w:rsidRPr="00A935AA" w:rsidRDefault="006A47CE" w:rsidP="00C80C4E">
            <w:pPr>
              <w:jc w:val="center"/>
              <w:rPr>
                <w:sz w:val="20"/>
                <w:szCs w:val="20"/>
              </w:rPr>
            </w:pPr>
          </w:p>
          <w:p w:rsidR="006A47CE" w:rsidRPr="00A935AA" w:rsidRDefault="006A47CE" w:rsidP="00C80C4E">
            <w:pPr>
              <w:jc w:val="center"/>
              <w:rPr>
                <w:sz w:val="20"/>
                <w:szCs w:val="20"/>
              </w:rPr>
            </w:pPr>
          </w:p>
          <w:p w:rsidR="006A47CE" w:rsidRPr="00A935AA" w:rsidRDefault="006A47CE" w:rsidP="00C80C4E">
            <w:pPr>
              <w:jc w:val="center"/>
              <w:rPr>
                <w:sz w:val="20"/>
                <w:szCs w:val="20"/>
              </w:rPr>
            </w:pPr>
          </w:p>
          <w:p w:rsidR="006A47CE" w:rsidRPr="00A935AA" w:rsidRDefault="006A47CE" w:rsidP="00C80C4E">
            <w:pPr>
              <w:jc w:val="center"/>
              <w:rPr>
                <w:sz w:val="20"/>
                <w:szCs w:val="20"/>
              </w:rPr>
            </w:pPr>
          </w:p>
          <w:p w:rsidR="006A47CE" w:rsidRPr="00A935AA" w:rsidRDefault="006A47CE" w:rsidP="00C80C4E">
            <w:pPr>
              <w:jc w:val="center"/>
              <w:rPr>
                <w:sz w:val="20"/>
                <w:szCs w:val="20"/>
              </w:rPr>
            </w:pPr>
          </w:p>
        </w:tc>
        <w:tc>
          <w:tcPr>
            <w:tcW w:w="4320" w:type="dxa"/>
            <w:shd w:val="clear" w:color="auto" w:fill="auto"/>
          </w:tcPr>
          <w:p w:rsidR="006A47CE" w:rsidRPr="00E752E3" w:rsidRDefault="006A47CE" w:rsidP="00C80C4E">
            <w:pPr>
              <w:keepNext/>
              <w:keepLines/>
              <w:tabs>
                <w:tab w:val="left" w:pos="-1440"/>
                <w:tab w:val="left" w:pos="-720"/>
              </w:tabs>
              <w:rPr>
                <w:b/>
                <w:sz w:val="20"/>
                <w:szCs w:val="20"/>
              </w:rPr>
            </w:pPr>
            <w:r>
              <w:rPr>
                <w:b/>
                <w:sz w:val="20"/>
                <w:szCs w:val="20"/>
              </w:rPr>
              <w:t>Stephen Patrick Burrows</w:t>
            </w:r>
          </w:p>
          <w:p w:rsidR="006A47CE" w:rsidRPr="00E752E3" w:rsidRDefault="006A47CE" w:rsidP="00C80C4E">
            <w:pPr>
              <w:keepNext/>
              <w:keepLines/>
              <w:tabs>
                <w:tab w:val="left" w:pos="-1440"/>
                <w:tab w:val="left" w:pos="-720"/>
              </w:tabs>
              <w:rPr>
                <w:sz w:val="20"/>
                <w:szCs w:val="20"/>
              </w:rPr>
            </w:pPr>
            <w:r w:rsidRPr="00E752E3">
              <w:rPr>
                <w:sz w:val="20"/>
                <w:szCs w:val="20"/>
              </w:rPr>
              <w:tab/>
            </w:r>
            <w:r>
              <w:rPr>
                <w:sz w:val="20"/>
                <w:szCs w:val="20"/>
              </w:rPr>
              <w:t>Stephen Patrick Burrows</w:t>
            </w:r>
          </w:p>
          <w:p w:rsidR="006A47CE" w:rsidRPr="00A935AA" w:rsidRDefault="006A47CE" w:rsidP="00C80C4E">
            <w:pPr>
              <w:keepNext/>
              <w:keepLines/>
              <w:tabs>
                <w:tab w:val="left" w:pos="-1440"/>
                <w:tab w:val="left" w:pos="-720"/>
              </w:tabs>
              <w:rPr>
                <w:sz w:val="20"/>
                <w:szCs w:val="20"/>
              </w:rPr>
            </w:pPr>
          </w:p>
          <w:p w:rsidR="006A47CE" w:rsidRPr="00A935AA" w:rsidRDefault="006A47CE" w:rsidP="00C80C4E">
            <w:pPr>
              <w:keepNext/>
              <w:keepLines/>
              <w:tabs>
                <w:tab w:val="left" w:pos="-1440"/>
                <w:tab w:val="left" w:pos="-720"/>
              </w:tabs>
              <w:rPr>
                <w:sz w:val="20"/>
                <w:szCs w:val="20"/>
              </w:rPr>
            </w:pPr>
            <w:r w:rsidRPr="00A935AA">
              <w:rPr>
                <w:sz w:val="20"/>
                <w:szCs w:val="20"/>
              </w:rPr>
              <w:tab/>
              <w:t>v. (3</w:t>
            </w:r>
            <w:r>
              <w:rPr>
                <w:sz w:val="20"/>
                <w:szCs w:val="20"/>
              </w:rPr>
              <w:t>6147</w:t>
            </w:r>
            <w:r w:rsidRPr="00A935AA">
              <w:rPr>
                <w:sz w:val="20"/>
                <w:szCs w:val="20"/>
              </w:rPr>
              <w:t>)</w:t>
            </w:r>
          </w:p>
          <w:p w:rsidR="006A47CE" w:rsidRPr="00A935AA" w:rsidRDefault="006A47CE" w:rsidP="00C80C4E">
            <w:pPr>
              <w:keepNext/>
              <w:keepLines/>
              <w:tabs>
                <w:tab w:val="left" w:pos="-1440"/>
                <w:tab w:val="left" w:pos="-720"/>
              </w:tabs>
              <w:rPr>
                <w:sz w:val="20"/>
                <w:szCs w:val="20"/>
              </w:rPr>
            </w:pPr>
          </w:p>
          <w:p w:rsidR="006A47CE" w:rsidRPr="00A935AA" w:rsidRDefault="006A47CE" w:rsidP="00C80C4E">
            <w:pPr>
              <w:keepNext/>
              <w:keepLines/>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F.C</w:t>
            </w:r>
            <w:r w:rsidRPr="00A935AA">
              <w:rPr>
                <w:b/>
                <w:sz w:val="20"/>
                <w:szCs w:val="20"/>
              </w:rPr>
              <w:t>.)</w:t>
            </w:r>
          </w:p>
          <w:p w:rsidR="006A47CE" w:rsidRPr="00A935AA" w:rsidRDefault="006A47CE" w:rsidP="00C80C4E">
            <w:pPr>
              <w:keepNext/>
              <w:keepLines/>
              <w:tabs>
                <w:tab w:val="left" w:pos="-1440"/>
                <w:tab w:val="left" w:pos="-720"/>
              </w:tabs>
              <w:rPr>
                <w:sz w:val="20"/>
                <w:szCs w:val="20"/>
              </w:rPr>
            </w:pPr>
            <w:r w:rsidRPr="00A935AA">
              <w:rPr>
                <w:sz w:val="20"/>
                <w:szCs w:val="20"/>
              </w:rPr>
              <w:tab/>
            </w:r>
            <w:r>
              <w:rPr>
                <w:sz w:val="20"/>
                <w:szCs w:val="20"/>
              </w:rPr>
              <w:t>Susan Inglis</w:t>
            </w:r>
          </w:p>
          <w:p w:rsidR="006A47CE" w:rsidRPr="00A935AA" w:rsidRDefault="006A47CE" w:rsidP="00C80C4E">
            <w:pPr>
              <w:keepNext/>
              <w:keepLines/>
              <w:tabs>
                <w:tab w:val="left" w:pos="-1440"/>
                <w:tab w:val="left" w:pos="-720"/>
              </w:tabs>
              <w:rPr>
                <w:sz w:val="20"/>
                <w:szCs w:val="20"/>
              </w:rPr>
            </w:pPr>
            <w:r w:rsidRPr="00A935AA">
              <w:rPr>
                <w:sz w:val="20"/>
                <w:szCs w:val="20"/>
              </w:rPr>
              <w:tab/>
            </w:r>
            <w:r>
              <w:rPr>
                <w:sz w:val="20"/>
                <w:szCs w:val="20"/>
              </w:rPr>
              <w:t>Department of Justice</w:t>
            </w:r>
          </w:p>
          <w:p w:rsidR="006A47CE" w:rsidRPr="00A935AA" w:rsidRDefault="006A47CE" w:rsidP="00C80C4E">
            <w:pPr>
              <w:keepNext/>
              <w:keepLines/>
              <w:tabs>
                <w:tab w:val="left" w:pos="-1440"/>
                <w:tab w:val="left" w:pos="-720"/>
              </w:tabs>
              <w:rPr>
                <w:sz w:val="20"/>
                <w:szCs w:val="20"/>
              </w:rPr>
            </w:pPr>
          </w:p>
          <w:p w:rsidR="006A47CE" w:rsidRPr="00A935AA" w:rsidRDefault="006A47CE" w:rsidP="00C80C4E">
            <w:pPr>
              <w:rPr>
                <w:sz w:val="20"/>
                <w:szCs w:val="20"/>
              </w:rPr>
            </w:pPr>
            <w:r w:rsidRPr="00A935AA">
              <w:rPr>
                <w:sz w:val="20"/>
                <w:szCs w:val="20"/>
              </w:rPr>
              <w:t xml:space="preserve">FILING DATE: </w:t>
            </w:r>
            <w:r>
              <w:rPr>
                <w:sz w:val="20"/>
                <w:szCs w:val="20"/>
              </w:rPr>
              <w:t>16</w:t>
            </w:r>
            <w:r w:rsidRPr="00A935AA">
              <w:rPr>
                <w:sz w:val="20"/>
                <w:szCs w:val="20"/>
              </w:rPr>
              <w:t>.</w:t>
            </w:r>
            <w:r>
              <w:rPr>
                <w:sz w:val="20"/>
                <w:szCs w:val="20"/>
              </w:rPr>
              <w:t>1</w:t>
            </w:r>
            <w:r w:rsidRPr="00A935AA">
              <w:rPr>
                <w:sz w:val="20"/>
                <w:szCs w:val="20"/>
              </w:rPr>
              <w:t>0.201</w:t>
            </w:r>
            <w:r>
              <w:rPr>
                <w:sz w:val="20"/>
                <w:szCs w:val="20"/>
              </w:rPr>
              <w:t>4</w:t>
            </w:r>
            <w:r w:rsidR="00690162">
              <w:rPr>
                <w:sz w:val="20"/>
                <w:szCs w:val="20"/>
                <w:lang w:val="fr-CA"/>
              </w:rPr>
              <w:pict>
                <v:rect id="_x0000_i1030" style="width:108pt;height:1pt" o:hrpct="0" o:hralign="center" o:hrstd="t" o:hrnoshade="t" o:hr="t" fillcolor="black [3213]" stroked="f"/>
              </w:pict>
            </w:r>
          </w:p>
        </w:tc>
      </w:tr>
      <w:tr w:rsidR="006A47CE" w:rsidRPr="00A935AA" w:rsidTr="00C80C4E">
        <w:trPr>
          <w:cantSplit/>
        </w:trPr>
        <w:tc>
          <w:tcPr>
            <w:tcW w:w="4320" w:type="dxa"/>
            <w:shd w:val="clear" w:color="auto" w:fill="auto"/>
          </w:tcPr>
          <w:p w:rsidR="006A47CE" w:rsidRDefault="006A47CE" w:rsidP="00C80C4E">
            <w:pPr>
              <w:rPr>
                <w:b/>
                <w:sz w:val="20"/>
                <w:szCs w:val="20"/>
              </w:rPr>
            </w:pPr>
          </w:p>
          <w:p w:rsidR="006A47CE" w:rsidRPr="00D33B0E" w:rsidRDefault="006A47CE" w:rsidP="00C80C4E">
            <w:pPr>
              <w:rPr>
                <w:b/>
                <w:sz w:val="20"/>
                <w:szCs w:val="20"/>
                <w:lang w:val="fr-CA"/>
              </w:rPr>
            </w:pPr>
            <w:r w:rsidRPr="00D33B0E">
              <w:rPr>
                <w:b/>
                <w:sz w:val="20"/>
                <w:szCs w:val="20"/>
                <w:lang w:val="fr-CA"/>
              </w:rPr>
              <w:t>IEC Holden Inc.</w:t>
            </w:r>
          </w:p>
          <w:p w:rsidR="006A47CE" w:rsidRPr="00D33B0E" w:rsidRDefault="006A47CE" w:rsidP="00C80C4E">
            <w:pPr>
              <w:tabs>
                <w:tab w:val="left" w:pos="-1440"/>
                <w:tab w:val="left" w:pos="-720"/>
              </w:tabs>
              <w:rPr>
                <w:sz w:val="20"/>
                <w:szCs w:val="20"/>
                <w:lang w:val="fr-CA"/>
              </w:rPr>
            </w:pPr>
            <w:r w:rsidRPr="00D33B0E">
              <w:rPr>
                <w:sz w:val="20"/>
                <w:szCs w:val="20"/>
                <w:lang w:val="fr-CA"/>
              </w:rPr>
              <w:tab/>
              <w:t>Carl LaRoche</w:t>
            </w:r>
          </w:p>
          <w:p w:rsidR="006A47CE" w:rsidRPr="00D33B0E" w:rsidRDefault="006A47CE" w:rsidP="00C80C4E">
            <w:pPr>
              <w:tabs>
                <w:tab w:val="left" w:pos="-1440"/>
                <w:tab w:val="left" w:pos="-720"/>
              </w:tabs>
              <w:rPr>
                <w:sz w:val="20"/>
                <w:szCs w:val="20"/>
                <w:lang w:val="fr-CA"/>
              </w:rPr>
            </w:pPr>
            <w:r w:rsidRPr="00D33B0E">
              <w:rPr>
                <w:sz w:val="20"/>
                <w:szCs w:val="20"/>
                <w:lang w:val="fr-CA"/>
              </w:rPr>
              <w:tab/>
              <w:t>Carl LaRoche, avocat</w:t>
            </w:r>
          </w:p>
          <w:p w:rsidR="006A47CE" w:rsidRPr="00D33B0E" w:rsidRDefault="006A47CE" w:rsidP="00C80C4E">
            <w:pPr>
              <w:tabs>
                <w:tab w:val="left" w:pos="-1440"/>
                <w:tab w:val="left" w:pos="-720"/>
              </w:tabs>
              <w:rPr>
                <w:sz w:val="20"/>
                <w:szCs w:val="20"/>
                <w:lang w:val="fr-CA"/>
              </w:rPr>
            </w:pPr>
          </w:p>
          <w:p w:rsidR="006A47CE" w:rsidRPr="00D33B0E" w:rsidRDefault="006A47CE" w:rsidP="00C80C4E">
            <w:pPr>
              <w:tabs>
                <w:tab w:val="left" w:pos="-1440"/>
                <w:tab w:val="left" w:pos="-720"/>
              </w:tabs>
              <w:rPr>
                <w:sz w:val="20"/>
                <w:szCs w:val="20"/>
                <w:lang w:val="fr-CA"/>
              </w:rPr>
            </w:pPr>
            <w:r w:rsidRPr="00D33B0E">
              <w:rPr>
                <w:sz w:val="20"/>
                <w:szCs w:val="20"/>
                <w:lang w:val="fr-CA"/>
              </w:rPr>
              <w:tab/>
            </w:r>
            <w:r w:rsidR="00FB2CB4">
              <w:rPr>
                <w:sz w:val="20"/>
                <w:szCs w:val="20"/>
                <w:lang w:val="fr-CA"/>
              </w:rPr>
              <w:t>c</w:t>
            </w:r>
            <w:r w:rsidRPr="00D33B0E">
              <w:rPr>
                <w:sz w:val="20"/>
                <w:szCs w:val="20"/>
                <w:lang w:val="fr-CA"/>
              </w:rPr>
              <w:t>. (36135)</w:t>
            </w:r>
          </w:p>
          <w:p w:rsidR="006A47CE" w:rsidRPr="00D33B0E" w:rsidRDefault="006A47CE" w:rsidP="00C80C4E">
            <w:pPr>
              <w:tabs>
                <w:tab w:val="left" w:pos="-1440"/>
                <w:tab w:val="left" w:pos="-720"/>
              </w:tabs>
              <w:rPr>
                <w:sz w:val="20"/>
                <w:szCs w:val="20"/>
                <w:lang w:val="fr-CA"/>
              </w:rPr>
            </w:pPr>
          </w:p>
          <w:p w:rsidR="006A47CE" w:rsidRPr="00D33B0E" w:rsidRDefault="006A47CE" w:rsidP="00C80C4E">
            <w:pPr>
              <w:tabs>
                <w:tab w:val="left" w:pos="-1440"/>
                <w:tab w:val="left" w:pos="-720"/>
              </w:tabs>
              <w:rPr>
                <w:b/>
                <w:sz w:val="20"/>
                <w:szCs w:val="20"/>
                <w:lang w:val="fr-CA"/>
              </w:rPr>
            </w:pPr>
            <w:r w:rsidRPr="00D33B0E">
              <w:rPr>
                <w:b/>
                <w:sz w:val="20"/>
                <w:szCs w:val="20"/>
                <w:lang w:val="fr-CA"/>
              </w:rPr>
              <w:t>Commission des normes du travail (Qc)</w:t>
            </w:r>
          </w:p>
          <w:p w:rsidR="006A47CE" w:rsidRPr="00094F1A" w:rsidRDefault="006A47CE" w:rsidP="00C80C4E">
            <w:pPr>
              <w:tabs>
                <w:tab w:val="left" w:pos="-1440"/>
                <w:tab w:val="left" w:pos="-720"/>
              </w:tabs>
              <w:rPr>
                <w:sz w:val="20"/>
                <w:szCs w:val="20"/>
                <w:lang w:val="fr-CA"/>
              </w:rPr>
            </w:pPr>
            <w:r w:rsidRPr="00D33B0E">
              <w:rPr>
                <w:sz w:val="20"/>
                <w:szCs w:val="20"/>
                <w:lang w:val="fr-CA"/>
              </w:rPr>
              <w:tab/>
            </w:r>
            <w:r w:rsidRPr="00094F1A">
              <w:rPr>
                <w:sz w:val="20"/>
                <w:szCs w:val="20"/>
                <w:lang w:val="fr-CA"/>
              </w:rPr>
              <w:t>Jessica LaForest</w:t>
            </w:r>
          </w:p>
          <w:p w:rsidR="006A47CE" w:rsidRPr="00094F1A" w:rsidRDefault="006A47CE" w:rsidP="00C80C4E">
            <w:pPr>
              <w:tabs>
                <w:tab w:val="left" w:pos="-1440"/>
                <w:tab w:val="left" w:pos="-720"/>
              </w:tabs>
              <w:rPr>
                <w:sz w:val="20"/>
                <w:szCs w:val="20"/>
                <w:lang w:val="fr-CA"/>
              </w:rPr>
            </w:pPr>
            <w:r w:rsidRPr="00094F1A">
              <w:rPr>
                <w:sz w:val="20"/>
                <w:szCs w:val="20"/>
                <w:lang w:val="fr-CA"/>
              </w:rPr>
              <w:tab/>
              <w:t>Rivest, Tellier, Paradis</w:t>
            </w:r>
          </w:p>
          <w:p w:rsidR="006A47CE" w:rsidRPr="00094F1A" w:rsidRDefault="006A47CE" w:rsidP="00C80C4E">
            <w:pPr>
              <w:tabs>
                <w:tab w:val="left" w:pos="-1440"/>
                <w:tab w:val="left" w:pos="-720"/>
              </w:tabs>
              <w:rPr>
                <w:sz w:val="20"/>
                <w:szCs w:val="20"/>
                <w:lang w:val="fr-CA"/>
              </w:rPr>
            </w:pPr>
          </w:p>
          <w:p w:rsidR="006A47CE" w:rsidRPr="00094F1A" w:rsidRDefault="00FB2CB4" w:rsidP="00C80C4E">
            <w:pPr>
              <w:rPr>
                <w:sz w:val="20"/>
                <w:szCs w:val="20"/>
                <w:lang w:val="fr-CA"/>
              </w:rPr>
            </w:pPr>
            <w:r w:rsidRPr="00806A5B">
              <w:rPr>
                <w:sz w:val="20"/>
                <w:szCs w:val="20"/>
                <w:lang w:val="fr-CA"/>
              </w:rPr>
              <w:t>DATE DE PRODUCTION</w:t>
            </w:r>
            <w:r>
              <w:rPr>
                <w:sz w:val="20"/>
                <w:szCs w:val="20"/>
                <w:lang w:val="fr-CA"/>
              </w:rPr>
              <w:t xml:space="preserve"> </w:t>
            </w:r>
            <w:r w:rsidR="006A47CE" w:rsidRPr="00094F1A">
              <w:rPr>
                <w:sz w:val="20"/>
                <w:szCs w:val="20"/>
                <w:lang w:val="fr-CA"/>
              </w:rPr>
              <w:t>: 21.10.2014</w:t>
            </w:r>
            <w:r w:rsidR="00690162">
              <w:rPr>
                <w:sz w:val="20"/>
                <w:szCs w:val="20"/>
                <w:lang w:val="fr-CA"/>
              </w:rPr>
              <w:pict>
                <v:rect id="_x0000_i1031" style="width:108pt;height:1pt" o:hrpct="0" o:hralign="center" o:hrstd="t" o:hrnoshade="t" o:hr="t" fillcolor="black [3213]" stroked="f"/>
              </w:pict>
            </w:r>
          </w:p>
        </w:tc>
        <w:tc>
          <w:tcPr>
            <w:tcW w:w="1181" w:type="dxa"/>
            <w:shd w:val="clear" w:color="auto" w:fill="auto"/>
          </w:tcPr>
          <w:p w:rsidR="006A47CE" w:rsidRPr="00094F1A" w:rsidRDefault="006A47CE" w:rsidP="00C80C4E">
            <w:pPr>
              <w:jc w:val="center"/>
              <w:rPr>
                <w:sz w:val="20"/>
                <w:szCs w:val="20"/>
                <w:lang w:val="fr-CA"/>
              </w:rPr>
            </w:pPr>
          </w:p>
          <w:p w:rsidR="006A47CE" w:rsidRPr="00094F1A" w:rsidRDefault="006A47CE" w:rsidP="00C80C4E">
            <w:pPr>
              <w:jc w:val="center"/>
              <w:rPr>
                <w:sz w:val="20"/>
                <w:szCs w:val="20"/>
                <w:lang w:val="fr-CA"/>
              </w:rPr>
            </w:pPr>
          </w:p>
          <w:p w:rsidR="006A47CE" w:rsidRPr="00094F1A" w:rsidRDefault="006A47CE" w:rsidP="00C80C4E">
            <w:pPr>
              <w:jc w:val="center"/>
              <w:rPr>
                <w:sz w:val="20"/>
                <w:szCs w:val="20"/>
                <w:lang w:val="fr-CA"/>
              </w:rPr>
            </w:pPr>
          </w:p>
          <w:p w:rsidR="006A47CE" w:rsidRPr="00094F1A" w:rsidRDefault="006A47CE" w:rsidP="00C80C4E">
            <w:pPr>
              <w:jc w:val="center"/>
              <w:rPr>
                <w:sz w:val="20"/>
                <w:szCs w:val="20"/>
                <w:lang w:val="fr-CA"/>
              </w:rPr>
            </w:pPr>
          </w:p>
          <w:p w:rsidR="006A47CE" w:rsidRPr="00094F1A" w:rsidRDefault="006A47CE" w:rsidP="00C80C4E">
            <w:pPr>
              <w:jc w:val="center"/>
              <w:rPr>
                <w:sz w:val="20"/>
                <w:szCs w:val="20"/>
                <w:lang w:val="fr-CA"/>
              </w:rPr>
            </w:pPr>
          </w:p>
          <w:p w:rsidR="006A47CE" w:rsidRPr="00094F1A" w:rsidRDefault="006A47CE" w:rsidP="00C80C4E">
            <w:pPr>
              <w:jc w:val="center"/>
              <w:rPr>
                <w:sz w:val="20"/>
                <w:szCs w:val="20"/>
                <w:lang w:val="fr-CA"/>
              </w:rPr>
            </w:pPr>
          </w:p>
          <w:p w:rsidR="006A47CE" w:rsidRPr="00094F1A" w:rsidRDefault="006A47CE" w:rsidP="00C80C4E">
            <w:pPr>
              <w:jc w:val="center"/>
              <w:rPr>
                <w:sz w:val="20"/>
                <w:szCs w:val="20"/>
                <w:lang w:val="fr-CA"/>
              </w:rPr>
            </w:pPr>
          </w:p>
          <w:p w:rsidR="006A47CE" w:rsidRPr="00094F1A" w:rsidRDefault="006A47CE" w:rsidP="00C80C4E">
            <w:pPr>
              <w:jc w:val="center"/>
              <w:rPr>
                <w:sz w:val="20"/>
                <w:szCs w:val="20"/>
                <w:lang w:val="fr-CA"/>
              </w:rPr>
            </w:pPr>
          </w:p>
          <w:p w:rsidR="006A47CE" w:rsidRPr="00094F1A" w:rsidRDefault="006A47CE" w:rsidP="00C80C4E">
            <w:pPr>
              <w:jc w:val="center"/>
              <w:rPr>
                <w:sz w:val="20"/>
                <w:szCs w:val="20"/>
                <w:lang w:val="fr-CA"/>
              </w:rPr>
            </w:pPr>
          </w:p>
          <w:p w:rsidR="006A47CE" w:rsidRPr="00094F1A" w:rsidRDefault="006A47CE" w:rsidP="00C80C4E">
            <w:pPr>
              <w:jc w:val="center"/>
              <w:rPr>
                <w:sz w:val="20"/>
                <w:szCs w:val="20"/>
                <w:lang w:val="fr-CA"/>
              </w:rPr>
            </w:pPr>
          </w:p>
          <w:p w:rsidR="006A47CE" w:rsidRPr="00094F1A" w:rsidRDefault="006A47CE" w:rsidP="00C80C4E">
            <w:pPr>
              <w:jc w:val="center"/>
              <w:rPr>
                <w:sz w:val="20"/>
                <w:szCs w:val="20"/>
                <w:lang w:val="fr-CA"/>
              </w:rPr>
            </w:pPr>
          </w:p>
          <w:p w:rsidR="006A47CE" w:rsidRPr="00094F1A" w:rsidRDefault="006A47CE" w:rsidP="00C80C4E">
            <w:pPr>
              <w:jc w:val="center"/>
              <w:rPr>
                <w:sz w:val="20"/>
                <w:szCs w:val="20"/>
                <w:lang w:val="fr-CA"/>
              </w:rPr>
            </w:pPr>
          </w:p>
          <w:p w:rsidR="006A47CE" w:rsidRPr="00094F1A" w:rsidRDefault="006A47CE" w:rsidP="00C80C4E">
            <w:pPr>
              <w:jc w:val="center"/>
              <w:rPr>
                <w:sz w:val="20"/>
                <w:szCs w:val="20"/>
                <w:lang w:val="fr-CA"/>
              </w:rPr>
            </w:pPr>
          </w:p>
        </w:tc>
        <w:tc>
          <w:tcPr>
            <w:tcW w:w="4320" w:type="dxa"/>
            <w:shd w:val="clear" w:color="auto" w:fill="auto"/>
          </w:tcPr>
          <w:p w:rsidR="006A47CE" w:rsidRPr="00E752E3" w:rsidRDefault="006A47CE" w:rsidP="00C80C4E">
            <w:pPr>
              <w:keepNext/>
              <w:keepLines/>
              <w:tabs>
                <w:tab w:val="left" w:pos="-1440"/>
                <w:tab w:val="left" w:pos="-720"/>
              </w:tabs>
              <w:rPr>
                <w:b/>
                <w:sz w:val="20"/>
                <w:szCs w:val="20"/>
              </w:rPr>
            </w:pPr>
            <w:r>
              <w:rPr>
                <w:b/>
                <w:sz w:val="20"/>
                <w:szCs w:val="20"/>
              </w:rPr>
              <w:t>Raymond Turmel</w:t>
            </w:r>
          </w:p>
          <w:p w:rsidR="006A47CE" w:rsidRPr="00E752E3" w:rsidRDefault="006A47CE" w:rsidP="00C80C4E">
            <w:pPr>
              <w:keepNext/>
              <w:keepLines/>
              <w:tabs>
                <w:tab w:val="left" w:pos="-1440"/>
                <w:tab w:val="left" w:pos="-720"/>
              </w:tabs>
              <w:rPr>
                <w:sz w:val="20"/>
                <w:szCs w:val="20"/>
              </w:rPr>
            </w:pPr>
            <w:r w:rsidRPr="00E752E3">
              <w:rPr>
                <w:sz w:val="20"/>
                <w:szCs w:val="20"/>
              </w:rPr>
              <w:tab/>
            </w:r>
            <w:r>
              <w:rPr>
                <w:sz w:val="20"/>
                <w:szCs w:val="20"/>
              </w:rPr>
              <w:t>Raymond Turmel</w:t>
            </w:r>
          </w:p>
          <w:p w:rsidR="006A47CE" w:rsidRPr="00A935AA" w:rsidRDefault="006A47CE" w:rsidP="00C80C4E">
            <w:pPr>
              <w:keepNext/>
              <w:keepLines/>
              <w:tabs>
                <w:tab w:val="left" w:pos="-1440"/>
                <w:tab w:val="left" w:pos="-720"/>
              </w:tabs>
              <w:rPr>
                <w:sz w:val="20"/>
                <w:szCs w:val="20"/>
              </w:rPr>
            </w:pPr>
          </w:p>
          <w:p w:rsidR="006A47CE" w:rsidRPr="00A935AA" w:rsidRDefault="006A47CE" w:rsidP="00C80C4E">
            <w:pPr>
              <w:keepNext/>
              <w:keepLines/>
              <w:tabs>
                <w:tab w:val="left" w:pos="-1440"/>
                <w:tab w:val="left" w:pos="-720"/>
              </w:tabs>
              <w:rPr>
                <w:sz w:val="20"/>
                <w:szCs w:val="20"/>
              </w:rPr>
            </w:pPr>
            <w:r w:rsidRPr="00A935AA">
              <w:rPr>
                <w:sz w:val="20"/>
                <w:szCs w:val="20"/>
              </w:rPr>
              <w:tab/>
              <w:t>v. (3</w:t>
            </w:r>
            <w:r>
              <w:rPr>
                <w:sz w:val="20"/>
                <w:szCs w:val="20"/>
              </w:rPr>
              <w:t>6159</w:t>
            </w:r>
            <w:r w:rsidRPr="00A935AA">
              <w:rPr>
                <w:sz w:val="20"/>
                <w:szCs w:val="20"/>
              </w:rPr>
              <w:t>)</w:t>
            </w:r>
          </w:p>
          <w:p w:rsidR="006A47CE" w:rsidRPr="00A935AA" w:rsidRDefault="006A47CE" w:rsidP="00C80C4E">
            <w:pPr>
              <w:keepNext/>
              <w:keepLines/>
              <w:tabs>
                <w:tab w:val="left" w:pos="-1440"/>
                <w:tab w:val="left" w:pos="-720"/>
              </w:tabs>
              <w:rPr>
                <w:sz w:val="20"/>
                <w:szCs w:val="20"/>
              </w:rPr>
            </w:pPr>
          </w:p>
          <w:p w:rsidR="006A47CE" w:rsidRPr="00A935AA" w:rsidRDefault="006A47CE" w:rsidP="00C80C4E">
            <w:pPr>
              <w:keepNext/>
              <w:keepLines/>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F.C</w:t>
            </w:r>
            <w:r w:rsidRPr="00A935AA">
              <w:rPr>
                <w:b/>
                <w:sz w:val="20"/>
                <w:szCs w:val="20"/>
              </w:rPr>
              <w:t>.)</w:t>
            </w:r>
          </w:p>
          <w:p w:rsidR="006A47CE" w:rsidRPr="00A935AA" w:rsidRDefault="006A47CE" w:rsidP="00C80C4E">
            <w:pPr>
              <w:keepNext/>
              <w:keepLines/>
              <w:tabs>
                <w:tab w:val="left" w:pos="-1440"/>
                <w:tab w:val="left" w:pos="-720"/>
              </w:tabs>
              <w:rPr>
                <w:sz w:val="20"/>
                <w:szCs w:val="20"/>
              </w:rPr>
            </w:pPr>
            <w:r w:rsidRPr="00A935AA">
              <w:rPr>
                <w:sz w:val="20"/>
                <w:szCs w:val="20"/>
              </w:rPr>
              <w:tab/>
            </w:r>
            <w:r>
              <w:rPr>
                <w:sz w:val="20"/>
                <w:szCs w:val="20"/>
              </w:rPr>
              <w:t>Susan Inglis</w:t>
            </w:r>
          </w:p>
          <w:p w:rsidR="006A47CE" w:rsidRPr="00A935AA" w:rsidRDefault="006A47CE" w:rsidP="00C80C4E">
            <w:pPr>
              <w:keepNext/>
              <w:keepLines/>
              <w:tabs>
                <w:tab w:val="left" w:pos="-1440"/>
                <w:tab w:val="left" w:pos="-720"/>
              </w:tabs>
              <w:rPr>
                <w:sz w:val="20"/>
                <w:szCs w:val="20"/>
              </w:rPr>
            </w:pPr>
            <w:r w:rsidRPr="00A935AA">
              <w:rPr>
                <w:sz w:val="20"/>
                <w:szCs w:val="20"/>
              </w:rPr>
              <w:tab/>
            </w:r>
            <w:r>
              <w:rPr>
                <w:sz w:val="20"/>
                <w:szCs w:val="20"/>
              </w:rPr>
              <w:t>Department of Justice</w:t>
            </w:r>
          </w:p>
          <w:p w:rsidR="006A47CE" w:rsidRPr="00A935AA" w:rsidRDefault="006A47CE" w:rsidP="00C80C4E">
            <w:pPr>
              <w:keepNext/>
              <w:keepLines/>
              <w:tabs>
                <w:tab w:val="left" w:pos="-1440"/>
                <w:tab w:val="left" w:pos="-720"/>
              </w:tabs>
              <w:rPr>
                <w:sz w:val="20"/>
                <w:szCs w:val="20"/>
              </w:rPr>
            </w:pPr>
          </w:p>
          <w:p w:rsidR="006A47CE" w:rsidRPr="00A935AA" w:rsidRDefault="006A47CE" w:rsidP="00C80C4E">
            <w:pPr>
              <w:rPr>
                <w:sz w:val="20"/>
                <w:szCs w:val="20"/>
              </w:rPr>
            </w:pPr>
            <w:r w:rsidRPr="00A935AA">
              <w:rPr>
                <w:sz w:val="20"/>
                <w:szCs w:val="20"/>
              </w:rPr>
              <w:t xml:space="preserve">FILING DATE: </w:t>
            </w:r>
            <w:r>
              <w:rPr>
                <w:sz w:val="20"/>
                <w:szCs w:val="20"/>
              </w:rPr>
              <w:t>14</w:t>
            </w:r>
            <w:r w:rsidRPr="00A935AA">
              <w:rPr>
                <w:sz w:val="20"/>
                <w:szCs w:val="20"/>
              </w:rPr>
              <w:t>.</w:t>
            </w:r>
            <w:r>
              <w:rPr>
                <w:sz w:val="20"/>
                <w:szCs w:val="20"/>
              </w:rPr>
              <w:t>1</w:t>
            </w:r>
            <w:r w:rsidRPr="00A935AA">
              <w:rPr>
                <w:sz w:val="20"/>
                <w:szCs w:val="20"/>
              </w:rPr>
              <w:t>0.201</w:t>
            </w:r>
            <w:r>
              <w:rPr>
                <w:sz w:val="20"/>
                <w:szCs w:val="20"/>
              </w:rPr>
              <w:t>4</w:t>
            </w:r>
            <w:r w:rsidR="00690162">
              <w:rPr>
                <w:sz w:val="20"/>
                <w:szCs w:val="20"/>
                <w:lang w:val="fr-CA"/>
              </w:rPr>
              <w:pict>
                <v:rect id="_x0000_i1032" style="width:108pt;height:1pt" o:hrpct="0" o:hralign="center" o:hrstd="t" o:hrnoshade="t" o:hr="t" fillcolor="black [3213]" stroked="f"/>
              </w:pict>
            </w:r>
          </w:p>
        </w:tc>
      </w:tr>
      <w:tr w:rsidR="00C80C4E" w:rsidRPr="00A935AA" w:rsidTr="00C80C4E">
        <w:trPr>
          <w:cantSplit/>
        </w:trPr>
        <w:tc>
          <w:tcPr>
            <w:tcW w:w="4320" w:type="dxa"/>
            <w:shd w:val="clear" w:color="auto" w:fill="auto"/>
          </w:tcPr>
          <w:p w:rsidR="00C80C4E" w:rsidRPr="00A935AA" w:rsidRDefault="00C80C4E" w:rsidP="00C80C4E">
            <w:pPr>
              <w:rPr>
                <w:b/>
                <w:sz w:val="20"/>
                <w:szCs w:val="20"/>
              </w:rPr>
            </w:pPr>
            <w:r>
              <w:rPr>
                <w:b/>
                <w:sz w:val="20"/>
                <w:szCs w:val="20"/>
              </w:rPr>
              <w:lastRenderedPageBreak/>
              <w:t>Abdikarim Hilowle</w:t>
            </w:r>
          </w:p>
          <w:p w:rsidR="00C80C4E" w:rsidRPr="00A935AA" w:rsidRDefault="00C80C4E" w:rsidP="00C80C4E">
            <w:pPr>
              <w:tabs>
                <w:tab w:val="left" w:pos="-1440"/>
                <w:tab w:val="left" w:pos="-720"/>
              </w:tabs>
              <w:rPr>
                <w:sz w:val="20"/>
                <w:szCs w:val="20"/>
              </w:rPr>
            </w:pPr>
            <w:r w:rsidRPr="00A935AA">
              <w:rPr>
                <w:sz w:val="20"/>
                <w:szCs w:val="20"/>
              </w:rPr>
              <w:tab/>
            </w:r>
            <w:r>
              <w:rPr>
                <w:sz w:val="20"/>
                <w:szCs w:val="20"/>
              </w:rPr>
              <w:t>Craig Goebel</w:t>
            </w:r>
          </w:p>
          <w:p w:rsidR="00C80C4E" w:rsidRPr="00A935AA" w:rsidRDefault="00C80C4E" w:rsidP="00C80C4E">
            <w:pPr>
              <w:tabs>
                <w:tab w:val="left" w:pos="-1440"/>
                <w:tab w:val="left" w:pos="-720"/>
              </w:tabs>
              <w:rPr>
                <w:sz w:val="20"/>
                <w:szCs w:val="20"/>
              </w:rPr>
            </w:pPr>
            <w:r w:rsidRPr="00A935AA">
              <w:rPr>
                <w:sz w:val="20"/>
                <w:szCs w:val="20"/>
              </w:rPr>
              <w:tab/>
            </w:r>
            <w:r>
              <w:rPr>
                <w:sz w:val="20"/>
                <w:szCs w:val="20"/>
              </w:rPr>
              <w:t>Legal Aid Saskatchewan</w:t>
            </w:r>
          </w:p>
          <w:p w:rsidR="00C80C4E" w:rsidRPr="00A935AA" w:rsidRDefault="00C80C4E" w:rsidP="00C80C4E">
            <w:pPr>
              <w:tabs>
                <w:tab w:val="left" w:pos="-1440"/>
                <w:tab w:val="left" w:pos="-720"/>
              </w:tabs>
              <w:rPr>
                <w:sz w:val="20"/>
                <w:szCs w:val="20"/>
              </w:rPr>
            </w:pPr>
          </w:p>
          <w:p w:rsidR="00C80C4E" w:rsidRPr="00A935AA" w:rsidRDefault="00C80C4E" w:rsidP="00C80C4E">
            <w:pPr>
              <w:tabs>
                <w:tab w:val="left" w:pos="-1440"/>
                <w:tab w:val="left" w:pos="-720"/>
              </w:tabs>
              <w:rPr>
                <w:sz w:val="20"/>
                <w:szCs w:val="20"/>
              </w:rPr>
            </w:pPr>
            <w:r w:rsidRPr="00A935AA">
              <w:rPr>
                <w:sz w:val="20"/>
                <w:szCs w:val="20"/>
              </w:rPr>
              <w:tab/>
              <w:t>v. (3</w:t>
            </w:r>
            <w:r>
              <w:rPr>
                <w:sz w:val="20"/>
                <w:szCs w:val="20"/>
              </w:rPr>
              <w:t>6062</w:t>
            </w:r>
            <w:r w:rsidRPr="00A935AA">
              <w:rPr>
                <w:sz w:val="20"/>
                <w:szCs w:val="20"/>
              </w:rPr>
              <w:t>)</w:t>
            </w:r>
          </w:p>
          <w:p w:rsidR="00C80C4E" w:rsidRPr="00A935AA" w:rsidRDefault="00C80C4E" w:rsidP="00C80C4E">
            <w:pPr>
              <w:tabs>
                <w:tab w:val="left" w:pos="-1440"/>
                <w:tab w:val="left" w:pos="-720"/>
              </w:tabs>
              <w:rPr>
                <w:sz w:val="20"/>
                <w:szCs w:val="20"/>
              </w:rPr>
            </w:pPr>
          </w:p>
          <w:p w:rsidR="00C80C4E" w:rsidRPr="00A935AA" w:rsidRDefault="00C80C4E" w:rsidP="00C80C4E">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Sask</w:t>
            </w:r>
            <w:r w:rsidRPr="00A935AA">
              <w:rPr>
                <w:b/>
                <w:sz w:val="20"/>
                <w:szCs w:val="20"/>
              </w:rPr>
              <w:t>.)</w:t>
            </w:r>
          </w:p>
          <w:p w:rsidR="00C80C4E" w:rsidRPr="00A935AA" w:rsidRDefault="00C80C4E" w:rsidP="00C80C4E">
            <w:pPr>
              <w:tabs>
                <w:tab w:val="left" w:pos="-1440"/>
                <w:tab w:val="left" w:pos="-720"/>
              </w:tabs>
              <w:rPr>
                <w:sz w:val="20"/>
                <w:szCs w:val="20"/>
              </w:rPr>
            </w:pPr>
            <w:r w:rsidRPr="00A935AA">
              <w:rPr>
                <w:sz w:val="20"/>
                <w:szCs w:val="20"/>
              </w:rPr>
              <w:tab/>
            </w:r>
            <w:r>
              <w:rPr>
                <w:sz w:val="20"/>
                <w:szCs w:val="20"/>
              </w:rPr>
              <w:t>Anthony B. Gerein</w:t>
            </w:r>
          </w:p>
          <w:p w:rsidR="00C80C4E" w:rsidRPr="00A935AA" w:rsidRDefault="00C80C4E" w:rsidP="00C80C4E">
            <w:pPr>
              <w:tabs>
                <w:tab w:val="left" w:pos="-1440"/>
                <w:tab w:val="left" w:pos="-720"/>
              </w:tabs>
              <w:rPr>
                <w:sz w:val="20"/>
                <w:szCs w:val="20"/>
              </w:rPr>
            </w:pPr>
            <w:r w:rsidRPr="00A935AA">
              <w:rPr>
                <w:sz w:val="20"/>
                <w:szCs w:val="20"/>
              </w:rPr>
              <w:tab/>
            </w:r>
            <w:r>
              <w:rPr>
                <w:sz w:val="20"/>
                <w:szCs w:val="20"/>
              </w:rPr>
              <w:t>A.G. of Saskatchewan</w:t>
            </w:r>
          </w:p>
          <w:p w:rsidR="00C80C4E" w:rsidRPr="00A935AA" w:rsidRDefault="00C80C4E" w:rsidP="00C80C4E">
            <w:pPr>
              <w:tabs>
                <w:tab w:val="left" w:pos="-1440"/>
                <w:tab w:val="left" w:pos="-720"/>
              </w:tabs>
              <w:rPr>
                <w:sz w:val="20"/>
                <w:szCs w:val="20"/>
              </w:rPr>
            </w:pPr>
          </w:p>
          <w:p w:rsidR="00C80C4E" w:rsidRPr="00A935AA" w:rsidRDefault="00C80C4E" w:rsidP="00C80C4E">
            <w:pPr>
              <w:rPr>
                <w:sz w:val="20"/>
                <w:szCs w:val="20"/>
              </w:rPr>
            </w:pPr>
            <w:r w:rsidRPr="00A935AA">
              <w:rPr>
                <w:sz w:val="20"/>
                <w:szCs w:val="20"/>
              </w:rPr>
              <w:t>FILING DATE: 2</w:t>
            </w:r>
            <w:r>
              <w:rPr>
                <w:sz w:val="20"/>
                <w:szCs w:val="20"/>
              </w:rPr>
              <w:t>3</w:t>
            </w:r>
            <w:r w:rsidRPr="00A935AA">
              <w:rPr>
                <w:sz w:val="20"/>
                <w:szCs w:val="20"/>
              </w:rPr>
              <w:t>.</w:t>
            </w:r>
            <w:r>
              <w:rPr>
                <w:sz w:val="20"/>
                <w:szCs w:val="20"/>
              </w:rPr>
              <w:t>1</w:t>
            </w:r>
            <w:r w:rsidRPr="00A935AA">
              <w:rPr>
                <w:sz w:val="20"/>
                <w:szCs w:val="20"/>
              </w:rPr>
              <w:t>0.201</w:t>
            </w:r>
            <w:r>
              <w:rPr>
                <w:sz w:val="20"/>
                <w:szCs w:val="20"/>
              </w:rPr>
              <w:t>4</w:t>
            </w:r>
            <w:r w:rsidR="00690162">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80C4E" w:rsidRPr="00A935AA" w:rsidRDefault="00C80C4E" w:rsidP="00C80C4E">
            <w:pPr>
              <w:jc w:val="center"/>
              <w:rPr>
                <w:sz w:val="20"/>
                <w:szCs w:val="20"/>
              </w:rPr>
            </w:pPr>
          </w:p>
          <w:p w:rsidR="00C80C4E" w:rsidRPr="00A935AA" w:rsidRDefault="00C80C4E" w:rsidP="00C80C4E">
            <w:pPr>
              <w:jc w:val="center"/>
              <w:rPr>
                <w:sz w:val="20"/>
                <w:szCs w:val="20"/>
              </w:rPr>
            </w:pPr>
          </w:p>
          <w:p w:rsidR="00C80C4E" w:rsidRPr="00A935AA" w:rsidRDefault="00C80C4E" w:rsidP="00C80C4E">
            <w:pPr>
              <w:jc w:val="center"/>
              <w:rPr>
                <w:sz w:val="20"/>
                <w:szCs w:val="20"/>
              </w:rPr>
            </w:pPr>
          </w:p>
          <w:p w:rsidR="00C80C4E" w:rsidRPr="00A935AA" w:rsidRDefault="00C80C4E" w:rsidP="00C80C4E">
            <w:pPr>
              <w:jc w:val="center"/>
              <w:rPr>
                <w:sz w:val="20"/>
                <w:szCs w:val="20"/>
              </w:rPr>
            </w:pPr>
          </w:p>
          <w:p w:rsidR="00C80C4E" w:rsidRPr="00A935AA" w:rsidRDefault="00C80C4E" w:rsidP="00C80C4E">
            <w:pPr>
              <w:jc w:val="center"/>
              <w:rPr>
                <w:sz w:val="20"/>
                <w:szCs w:val="20"/>
              </w:rPr>
            </w:pPr>
          </w:p>
          <w:p w:rsidR="00C80C4E" w:rsidRPr="00A935AA" w:rsidRDefault="00C80C4E" w:rsidP="00C80C4E">
            <w:pPr>
              <w:jc w:val="center"/>
              <w:rPr>
                <w:sz w:val="20"/>
                <w:szCs w:val="20"/>
              </w:rPr>
            </w:pPr>
          </w:p>
          <w:p w:rsidR="00C80C4E" w:rsidRPr="00A935AA" w:rsidRDefault="00C80C4E" w:rsidP="00C80C4E">
            <w:pPr>
              <w:jc w:val="center"/>
              <w:rPr>
                <w:sz w:val="20"/>
                <w:szCs w:val="20"/>
              </w:rPr>
            </w:pPr>
          </w:p>
          <w:p w:rsidR="00C80C4E" w:rsidRPr="00A935AA" w:rsidRDefault="00C80C4E" w:rsidP="00C80C4E">
            <w:pPr>
              <w:jc w:val="center"/>
              <w:rPr>
                <w:sz w:val="20"/>
                <w:szCs w:val="20"/>
              </w:rPr>
            </w:pPr>
          </w:p>
          <w:p w:rsidR="00C80C4E" w:rsidRPr="00A935AA" w:rsidRDefault="00C80C4E" w:rsidP="00C80C4E">
            <w:pPr>
              <w:jc w:val="center"/>
              <w:rPr>
                <w:sz w:val="20"/>
                <w:szCs w:val="20"/>
              </w:rPr>
            </w:pPr>
          </w:p>
          <w:p w:rsidR="00C80C4E" w:rsidRPr="00A935AA" w:rsidRDefault="00C80C4E" w:rsidP="00C80C4E">
            <w:pPr>
              <w:jc w:val="center"/>
              <w:rPr>
                <w:sz w:val="20"/>
                <w:szCs w:val="20"/>
              </w:rPr>
            </w:pPr>
          </w:p>
          <w:p w:rsidR="00C80C4E" w:rsidRPr="00A935AA" w:rsidRDefault="00C80C4E" w:rsidP="00C80C4E">
            <w:pPr>
              <w:jc w:val="center"/>
              <w:rPr>
                <w:sz w:val="20"/>
                <w:szCs w:val="20"/>
              </w:rPr>
            </w:pPr>
          </w:p>
          <w:p w:rsidR="00C80C4E" w:rsidRPr="00A935AA" w:rsidRDefault="00C80C4E" w:rsidP="00C80C4E">
            <w:pPr>
              <w:jc w:val="center"/>
              <w:rPr>
                <w:sz w:val="20"/>
                <w:szCs w:val="20"/>
              </w:rPr>
            </w:pPr>
          </w:p>
          <w:p w:rsidR="00C80C4E" w:rsidRPr="00A935AA" w:rsidRDefault="00C80C4E" w:rsidP="00C80C4E">
            <w:pPr>
              <w:jc w:val="center"/>
              <w:rPr>
                <w:sz w:val="20"/>
                <w:szCs w:val="20"/>
              </w:rPr>
            </w:pPr>
          </w:p>
        </w:tc>
        <w:tc>
          <w:tcPr>
            <w:tcW w:w="4320" w:type="dxa"/>
            <w:shd w:val="clear" w:color="auto" w:fill="auto"/>
          </w:tcPr>
          <w:p w:rsidR="00C80C4E" w:rsidRPr="00A935AA" w:rsidRDefault="00C80C4E" w:rsidP="00C80C4E">
            <w:pPr>
              <w:rPr>
                <w:b/>
                <w:sz w:val="20"/>
                <w:szCs w:val="20"/>
              </w:rPr>
            </w:pPr>
            <w:r>
              <w:rPr>
                <w:b/>
                <w:sz w:val="20"/>
                <w:szCs w:val="20"/>
              </w:rPr>
              <w:t>Alberta Securities Commission</w:t>
            </w:r>
          </w:p>
          <w:p w:rsidR="00C80C4E" w:rsidRPr="00A935AA" w:rsidRDefault="00C80C4E" w:rsidP="00C80C4E">
            <w:pPr>
              <w:tabs>
                <w:tab w:val="left" w:pos="-1440"/>
                <w:tab w:val="left" w:pos="-720"/>
              </w:tabs>
              <w:rPr>
                <w:sz w:val="20"/>
                <w:szCs w:val="20"/>
              </w:rPr>
            </w:pPr>
            <w:r w:rsidRPr="00A935AA">
              <w:rPr>
                <w:sz w:val="20"/>
                <w:szCs w:val="20"/>
              </w:rPr>
              <w:tab/>
            </w:r>
            <w:r>
              <w:rPr>
                <w:sz w:val="20"/>
                <w:szCs w:val="20"/>
              </w:rPr>
              <w:t>Cynthia J. Campbell</w:t>
            </w:r>
          </w:p>
          <w:p w:rsidR="00C80C4E" w:rsidRPr="00094F1A" w:rsidRDefault="00C80C4E" w:rsidP="00C80C4E">
            <w:pPr>
              <w:tabs>
                <w:tab w:val="left" w:pos="-1440"/>
                <w:tab w:val="left" w:pos="-720"/>
              </w:tabs>
              <w:rPr>
                <w:sz w:val="20"/>
                <w:szCs w:val="20"/>
                <w:lang w:val="fr-CA"/>
              </w:rPr>
            </w:pPr>
            <w:r w:rsidRPr="00A935AA">
              <w:rPr>
                <w:sz w:val="20"/>
                <w:szCs w:val="20"/>
              </w:rPr>
              <w:tab/>
            </w:r>
            <w:r w:rsidRPr="00094F1A">
              <w:rPr>
                <w:sz w:val="20"/>
                <w:szCs w:val="20"/>
                <w:lang w:val="fr-CA"/>
              </w:rPr>
              <w:t>Alberta Securities Commission</w:t>
            </w:r>
          </w:p>
          <w:p w:rsidR="00C80C4E" w:rsidRPr="00094F1A" w:rsidRDefault="00C80C4E" w:rsidP="00C80C4E">
            <w:pPr>
              <w:tabs>
                <w:tab w:val="left" w:pos="-1440"/>
                <w:tab w:val="left" w:pos="-720"/>
              </w:tabs>
              <w:rPr>
                <w:sz w:val="20"/>
                <w:szCs w:val="20"/>
                <w:lang w:val="fr-CA"/>
              </w:rPr>
            </w:pPr>
          </w:p>
          <w:p w:rsidR="00C80C4E" w:rsidRPr="00C80C4E" w:rsidRDefault="00C80C4E" w:rsidP="00C80C4E">
            <w:pPr>
              <w:tabs>
                <w:tab w:val="left" w:pos="-1440"/>
                <w:tab w:val="left" w:pos="-720"/>
              </w:tabs>
              <w:rPr>
                <w:sz w:val="20"/>
                <w:szCs w:val="20"/>
                <w:lang w:val="fr-CA"/>
              </w:rPr>
            </w:pPr>
            <w:r w:rsidRPr="00094F1A">
              <w:rPr>
                <w:sz w:val="20"/>
                <w:szCs w:val="20"/>
                <w:lang w:val="fr-CA"/>
              </w:rPr>
              <w:tab/>
            </w:r>
            <w:r w:rsidRPr="00C80C4E">
              <w:rPr>
                <w:sz w:val="20"/>
                <w:szCs w:val="20"/>
                <w:lang w:val="fr-CA"/>
              </w:rPr>
              <w:t>v. (36140)</w:t>
            </w:r>
          </w:p>
          <w:p w:rsidR="00C80C4E" w:rsidRPr="00C80C4E" w:rsidRDefault="00C80C4E" w:rsidP="00C80C4E">
            <w:pPr>
              <w:tabs>
                <w:tab w:val="left" w:pos="-1440"/>
                <w:tab w:val="left" w:pos="-720"/>
              </w:tabs>
              <w:rPr>
                <w:sz w:val="20"/>
                <w:szCs w:val="20"/>
                <w:lang w:val="fr-CA"/>
              </w:rPr>
            </w:pPr>
          </w:p>
          <w:p w:rsidR="00C80C4E" w:rsidRPr="00094F1A" w:rsidRDefault="00C80C4E" w:rsidP="00C80C4E">
            <w:pPr>
              <w:tabs>
                <w:tab w:val="left" w:pos="-1440"/>
                <w:tab w:val="left" w:pos="-720"/>
              </w:tabs>
              <w:rPr>
                <w:b/>
                <w:sz w:val="20"/>
                <w:szCs w:val="20"/>
                <w:lang w:val="fr-CA"/>
              </w:rPr>
            </w:pPr>
            <w:r w:rsidRPr="00C80C4E">
              <w:rPr>
                <w:b/>
                <w:sz w:val="20"/>
                <w:szCs w:val="20"/>
                <w:lang w:val="fr-CA"/>
              </w:rPr>
              <w:t xml:space="preserve">Gayle Marie Walton et al. </w:t>
            </w:r>
            <w:r w:rsidRPr="00094F1A">
              <w:rPr>
                <w:b/>
                <w:sz w:val="20"/>
                <w:szCs w:val="20"/>
                <w:lang w:val="fr-CA"/>
              </w:rPr>
              <w:t>(Alta.)</w:t>
            </w:r>
          </w:p>
          <w:p w:rsidR="00C80C4E" w:rsidRPr="00C80C4E" w:rsidRDefault="00C80C4E" w:rsidP="00C80C4E">
            <w:pPr>
              <w:tabs>
                <w:tab w:val="left" w:pos="-1440"/>
                <w:tab w:val="left" w:pos="-720"/>
              </w:tabs>
              <w:rPr>
                <w:sz w:val="20"/>
                <w:szCs w:val="20"/>
                <w:lang w:val="fr-CA"/>
              </w:rPr>
            </w:pPr>
            <w:r w:rsidRPr="00094F1A">
              <w:rPr>
                <w:sz w:val="20"/>
                <w:szCs w:val="20"/>
                <w:lang w:val="fr-CA"/>
              </w:rPr>
              <w:tab/>
            </w:r>
            <w:r w:rsidRPr="00C80C4E">
              <w:rPr>
                <w:sz w:val="20"/>
                <w:szCs w:val="20"/>
                <w:lang w:val="fr-CA"/>
              </w:rPr>
              <w:t>Simon M. Renouf, Q.C.</w:t>
            </w:r>
          </w:p>
          <w:p w:rsidR="00C80C4E" w:rsidRPr="00C80C4E" w:rsidRDefault="00C80C4E" w:rsidP="00C80C4E">
            <w:pPr>
              <w:tabs>
                <w:tab w:val="left" w:pos="-1440"/>
                <w:tab w:val="left" w:pos="-720"/>
              </w:tabs>
              <w:rPr>
                <w:sz w:val="20"/>
                <w:szCs w:val="20"/>
                <w:lang w:val="fr-CA"/>
              </w:rPr>
            </w:pPr>
            <w:r w:rsidRPr="00C80C4E">
              <w:rPr>
                <w:sz w:val="20"/>
                <w:szCs w:val="20"/>
                <w:lang w:val="fr-CA"/>
              </w:rPr>
              <w:tab/>
            </w:r>
            <w:r>
              <w:rPr>
                <w:sz w:val="20"/>
                <w:szCs w:val="20"/>
                <w:lang w:val="fr-CA"/>
              </w:rPr>
              <w:t>Simon Renouf Professional Corporation</w:t>
            </w:r>
          </w:p>
          <w:p w:rsidR="00C80C4E" w:rsidRPr="00C80C4E" w:rsidRDefault="00C80C4E" w:rsidP="00C80C4E">
            <w:pPr>
              <w:tabs>
                <w:tab w:val="left" w:pos="-1440"/>
                <w:tab w:val="left" w:pos="-720"/>
              </w:tabs>
              <w:rPr>
                <w:sz w:val="20"/>
                <w:szCs w:val="20"/>
                <w:lang w:val="fr-CA"/>
              </w:rPr>
            </w:pPr>
          </w:p>
          <w:p w:rsidR="00C80C4E" w:rsidRPr="00A935AA" w:rsidRDefault="00C80C4E" w:rsidP="00C80C4E">
            <w:pPr>
              <w:rPr>
                <w:sz w:val="20"/>
                <w:szCs w:val="20"/>
              </w:rPr>
            </w:pPr>
            <w:r w:rsidRPr="00A935AA">
              <w:rPr>
                <w:sz w:val="20"/>
                <w:szCs w:val="20"/>
              </w:rPr>
              <w:t>FILING DATE: 2</w:t>
            </w:r>
            <w:r>
              <w:rPr>
                <w:sz w:val="20"/>
                <w:szCs w:val="20"/>
              </w:rPr>
              <w:t>4</w:t>
            </w:r>
            <w:r w:rsidRPr="00A935AA">
              <w:rPr>
                <w:sz w:val="20"/>
                <w:szCs w:val="20"/>
              </w:rPr>
              <w:t>.</w:t>
            </w:r>
            <w:r>
              <w:rPr>
                <w:sz w:val="20"/>
                <w:szCs w:val="20"/>
              </w:rPr>
              <w:t>1</w:t>
            </w:r>
            <w:r w:rsidRPr="00A935AA">
              <w:rPr>
                <w:sz w:val="20"/>
                <w:szCs w:val="20"/>
              </w:rPr>
              <w:t>0.201</w:t>
            </w:r>
            <w:r>
              <w:rPr>
                <w:sz w:val="20"/>
                <w:szCs w:val="20"/>
              </w:rPr>
              <w:t>4</w:t>
            </w:r>
            <w:r w:rsidR="00690162">
              <w:rPr>
                <w:sz w:val="20"/>
                <w:szCs w:val="20"/>
                <w:lang w:val="fr-CA"/>
              </w:rPr>
              <w:pict>
                <v:rect id="_x0000_i1034" style="width:108pt;height:1pt" o:hrpct="0" o:hralign="center" o:hrstd="t" o:hrnoshade="t" o:hr="t" fillcolor="black [3213]" stroked="f"/>
              </w:pict>
            </w:r>
          </w:p>
        </w:tc>
      </w:tr>
      <w:tr w:rsidR="006A47CE" w:rsidRPr="00C80C4E" w:rsidTr="00C80C4E">
        <w:trPr>
          <w:cantSplit/>
        </w:trPr>
        <w:tc>
          <w:tcPr>
            <w:tcW w:w="4320" w:type="dxa"/>
            <w:shd w:val="clear" w:color="auto" w:fill="auto"/>
          </w:tcPr>
          <w:p w:rsidR="006A47CE" w:rsidRPr="00C80C4E" w:rsidRDefault="00C80C4E" w:rsidP="00C80C4E">
            <w:pPr>
              <w:rPr>
                <w:b/>
                <w:sz w:val="20"/>
                <w:szCs w:val="20"/>
                <w:lang w:val="fr-CA"/>
              </w:rPr>
            </w:pPr>
            <w:r w:rsidRPr="00C80C4E">
              <w:rPr>
                <w:b/>
                <w:sz w:val="20"/>
                <w:szCs w:val="20"/>
                <w:lang w:val="fr-CA"/>
              </w:rPr>
              <w:t>Kerfalla Toure et autre</w:t>
            </w:r>
          </w:p>
          <w:p w:rsidR="006A47CE" w:rsidRPr="00C80C4E" w:rsidRDefault="006A47CE" w:rsidP="00C80C4E">
            <w:pPr>
              <w:tabs>
                <w:tab w:val="left" w:pos="-1440"/>
                <w:tab w:val="left" w:pos="-720"/>
              </w:tabs>
              <w:rPr>
                <w:sz w:val="20"/>
                <w:szCs w:val="20"/>
                <w:lang w:val="fr-CA"/>
              </w:rPr>
            </w:pPr>
            <w:r w:rsidRPr="00C80C4E">
              <w:rPr>
                <w:sz w:val="20"/>
                <w:szCs w:val="20"/>
                <w:lang w:val="fr-CA"/>
              </w:rPr>
              <w:tab/>
            </w:r>
            <w:r w:rsidR="00C80C4E" w:rsidRPr="00C80C4E">
              <w:rPr>
                <w:sz w:val="20"/>
                <w:szCs w:val="20"/>
                <w:lang w:val="fr-CA"/>
              </w:rPr>
              <w:t>David Bourgoin</w:t>
            </w:r>
          </w:p>
          <w:p w:rsidR="006A47CE" w:rsidRPr="00C80C4E" w:rsidRDefault="006A47CE" w:rsidP="00C80C4E">
            <w:pPr>
              <w:tabs>
                <w:tab w:val="left" w:pos="-1440"/>
                <w:tab w:val="left" w:pos="-720"/>
              </w:tabs>
              <w:rPr>
                <w:sz w:val="20"/>
                <w:szCs w:val="20"/>
                <w:lang w:val="fr-CA"/>
              </w:rPr>
            </w:pPr>
            <w:r w:rsidRPr="00C80C4E">
              <w:rPr>
                <w:sz w:val="20"/>
                <w:szCs w:val="20"/>
                <w:lang w:val="fr-CA"/>
              </w:rPr>
              <w:tab/>
            </w:r>
            <w:r w:rsidR="00C80C4E">
              <w:rPr>
                <w:sz w:val="20"/>
                <w:szCs w:val="20"/>
                <w:lang w:val="fr-CA"/>
              </w:rPr>
              <w:t>BGA Avocats, s.e.n.c.r.l.</w:t>
            </w:r>
          </w:p>
          <w:p w:rsidR="006A47CE" w:rsidRPr="00C80C4E" w:rsidRDefault="006A47CE" w:rsidP="00C80C4E">
            <w:pPr>
              <w:tabs>
                <w:tab w:val="left" w:pos="-1440"/>
                <w:tab w:val="left" w:pos="-720"/>
              </w:tabs>
              <w:rPr>
                <w:sz w:val="20"/>
                <w:szCs w:val="20"/>
                <w:lang w:val="fr-CA"/>
              </w:rPr>
            </w:pPr>
          </w:p>
          <w:p w:rsidR="006A47CE" w:rsidRPr="00C80C4E" w:rsidRDefault="006A47CE" w:rsidP="00C80C4E">
            <w:pPr>
              <w:tabs>
                <w:tab w:val="left" w:pos="-1440"/>
                <w:tab w:val="left" w:pos="-720"/>
              </w:tabs>
              <w:rPr>
                <w:sz w:val="20"/>
                <w:szCs w:val="20"/>
                <w:lang w:val="fr-CA"/>
              </w:rPr>
            </w:pPr>
            <w:r w:rsidRPr="00C80C4E">
              <w:rPr>
                <w:sz w:val="20"/>
                <w:szCs w:val="20"/>
                <w:lang w:val="fr-CA"/>
              </w:rPr>
              <w:tab/>
            </w:r>
            <w:r w:rsidR="00C80C4E">
              <w:rPr>
                <w:sz w:val="20"/>
                <w:szCs w:val="20"/>
                <w:lang w:val="fr-CA"/>
              </w:rPr>
              <w:t>c</w:t>
            </w:r>
            <w:r w:rsidRPr="00C80C4E">
              <w:rPr>
                <w:sz w:val="20"/>
                <w:szCs w:val="20"/>
                <w:lang w:val="fr-CA"/>
              </w:rPr>
              <w:t>. (3</w:t>
            </w:r>
            <w:r w:rsidR="00C80C4E" w:rsidRPr="00C80C4E">
              <w:rPr>
                <w:sz w:val="20"/>
                <w:szCs w:val="20"/>
                <w:lang w:val="fr-CA"/>
              </w:rPr>
              <w:t>6142</w:t>
            </w:r>
            <w:r w:rsidRPr="00C80C4E">
              <w:rPr>
                <w:sz w:val="20"/>
                <w:szCs w:val="20"/>
                <w:lang w:val="fr-CA"/>
              </w:rPr>
              <w:t>)</w:t>
            </w:r>
          </w:p>
          <w:p w:rsidR="006A47CE" w:rsidRPr="00C80C4E" w:rsidRDefault="006A47CE" w:rsidP="00C80C4E">
            <w:pPr>
              <w:tabs>
                <w:tab w:val="left" w:pos="-1440"/>
                <w:tab w:val="left" w:pos="-720"/>
              </w:tabs>
              <w:rPr>
                <w:sz w:val="20"/>
                <w:szCs w:val="20"/>
                <w:lang w:val="fr-CA"/>
              </w:rPr>
            </w:pPr>
          </w:p>
          <w:p w:rsidR="006A47CE" w:rsidRPr="00C80C4E" w:rsidRDefault="00C80C4E" w:rsidP="00C80C4E">
            <w:pPr>
              <w:tabs>
                <w:tab w:val="left" w:pos="-1440"/>
                <w:tab w:val="left" w:pos="-720"/>
              </w:tabs>
              <w:rPr>
                <w:b/>
                <w:sz w:val="20"/>
                <w:szCs w:val="20"/>
                <w:lang w:val="fr-CA"/>
              </w:rPr>
            </w:pPr>
            <w:r w:rsidRPr="00C80C4E">
              <w:rPr>
                <w:b/>
                <w:sz w:val="20"/>
                <w:szCs w:val="20"/>
                <w:lang w:val="fr-CA"/>
              </w:rPr>
              <w:t xml:space="preserve">Brault &amp; Martineau Inc. et autre </w:t>
            </w:r>
            <w:r w:rsidR="006A47CE" w:rsidRPr="00C80C4E">
              <w:rPr>
                <w:b/>
                <w:sz w:val="20"/>
                <w:szCs w:val="20"/>
                <w:lang w:val="fr-CA"/>
              </w:rPr>
              <w:t>(</w:t>
            </w:r>
            <w:r w:rsidRPr="00C80C4E">
              <w:rPr>
                <w:b/>
                <w:sz w:val="20"/>
                <w:szCs w:val="20"/>
                <w:lang w:val="fr-CA"/>
              </w:rPr>
              <w:t>Qc</w:t>
            </w:r>
            <w:r w:rsidR="006A47CE" w:rsidRPr="00C80C4E">
              <w:rPr>
                <w:b/>
                <w:sz w:val="20"/>
                <w:szCs w:val="20"/>
                <w:lang w:val="fr-CA"/>
              </w:rPr>
              <w:t>)</w:t>
            </w:r>
          </w:p>
          <w:p w:rsidR="006A47CE" w:rsidRPr="00C80C4E" w:rsidRDefault="006A47CE" w:rsidP="00C80C4E">
            <w:pPr>
              <w:tabs>
                <w:tab w:val="left" w:pos="-1440"/>
                <w:tab w:val="left" w:pos="-720"/>
              </w:tabs>
              <w:rPr>
                <w:sz w:val="20"/>
                <w:szCs w:val="20"/>
              </w:rPr>
            </w:pPr>
            <w:r w:rsidRPr="00C80C4E">
              <w:rPr>
                <w:sz w:val="20"/>
                <w:szCs w:val="20"/>
                <w:lang w:val="fr-CA"/>
              </w:rPr>
              <w:tab/>
            </w:r>
            <w:r w:rsidR="00C80C4E" w:rsidRPr="00C80C4E">
              <w:rPr>
                <w:sz w:val="20"/>
                <w:szCs w:val="20"/>
              </w:rPr>
              <w:t>Nicholas Rodrigo</w:t>
            </w:r>
          </w:p>
          <w:p w:rsidR="006A47CE" w:rsidRPr="00C80C4E" w:rsidRDefault="006A47CE" w:rsidP="00C80C4E">
            <w:pPr>
              <w:tabs>
                <w:tab w:val="left" w:pos="-1440"/>
                <w:tab w:val="left" w:pos="-720"/>
              </w:tabs>
              <w:rPr>
                <w:sz w:val="20"/>
                <w:szCs w:val="20"/>
              </w:rPr>
            </w:pPr>
            <w:r w:rsidRPr="00C80C4E">
              <w:rPr>
                <w:sz w:val="20"/>
                <w:szCs w:val="20"/>
              </w:rPr>
              <w:tab/>
            </w:r>
            <w:r w:rsidR="00C80C4E" w:rsidRPr="00C80C4E">
              <w:rPr>
                <w:sz w:val="20"/>
                <w:szCs w:val="20"/>
              </w:rPr>
              <w:t xml:space="preserve">Davies Ward Phillips &amp; Vineberg, </w:t>
            </w:r>
            <w:r w:rsidR="00C80C4E">
              <w:rPr>
                <w:sz w:val="20"/>
                <w:szCs w:val="20"/>
              </w:rPr>
              <w:tab/>
            </w:r>
            <w:r w:rsidR="00C80C4E" w:rsidRPr="00C80C4E">
              <w:rPr>
                <w:sz w:val="20"/>
                <w:szCs w:val="20"/>
              </w:rPr>
              <w:t>s.e.n.c.r.l.,</w:t>
            </w:r>
            <w:r w:rsidR="00C80C4E">
              <w:rPr>
                <w:sz w:val="20"/>
                <w:szCs w:val="20"/>
              </w:rPr>
              <w:t xml:space="preserve"> s.r.l.</w:t>
            </w:r>
          </w:p>
          <w:p w:rsidR="006A47CE" w:rsidRPr="00C80C4E" w:rsidRDefault="006A47CE" w:rsidP="00C80C4E">
            <w:pPr>
              <w:tabs>
                <w:tab w:val="left" w:pos="-1440"/>
                <w:tab w:val="left" w:pos="-720"/>
              </w:tabs>
              <w:rPr>
                <w:sz w:val="20"/>
                <w:szCs w:val="20"/>
              </w:rPr>
            </w:pPr>
          </w:p>
          <w:p w:rsidR="006A47CE" w:rsidRPr="00C80C4E" w:rsidRDefault="00C80C4E" w:rsidP="00C80C4E">
            <w:pPr>
              <w:rPr>
                <w:sz w:val="20"/>
                <w:szCs w:val="20"/>
              </w:rPr>
            </w:pPr>
            <w:r w:rsidRPr="00806A5B">
              <w:rPr>
                <w:sz w:val="20"/>
                <w:szCs w:val="20"/>
                <w:lang w:val="fr-CA"/>
              </w:rPr>
              <w:t>DATE DE PRODUCTION</w:t>
            </w:r>
            <w:r>
              <w:rPr>
                <w:sz w:val="20"/>
                <w:szCs w:val="20"/>
                <w:lang w:val="fr-CA"/>
              </w:rPr>
              <w:t xml:space="preserve"> </w:t>
            </w:r>
            <w:r w:rsidR="006A47CE" w:rsidRPr="00C80C4E">
              <w:rPr>
                <w:sz w:val="20"/>
                <w:szCs w:val="20"/>
              </w:rPr>
              <w:t>: 2</w:t>
            </w:r>
            <w:r>
              <w:rPr>
                <w:sz w:val="20"/>
                <w:szCs w:val="20"/>
              </w:rPr>
              <w:t>7</w:t>
            </w:r>
            <w:r w:rsidR="006A47CE" w:rsidRPr="00C80C4E">
              <w:rPr>
                <w:sz w:val="20"/>
                <w:szCs w:val="20"/>
              </w:rPr>
              <w:t>.</w:t>
            </w:r>
            <w:r>
              <w:rPr>
                <w:sz w:val="20"/>
                <w:szCs w:val="20"/>
              </w:rPr>
              <w:t>1</w:t>
            </w:r>
            <w:r w:rsidR="006A47CE" w:rsidRPr="00C80C4E">
              <w:rPr>
                <w:sz w:val="20"/>
                <w:szCs w:val="20"/>
              </w:rPr>
              <w:t>0.2014</w:t>
            </w:r>
            <w:r w:rsidR="00690162">
              <w:rPr>
                <w:sz w:val="20"/>
                <w:szCs w:val="20"/>
                <w:lang w:val="fr-CA"/>
              </w:rPr>
              <w:pict>
                <v:rect id="_x0000_i1035" style="width:108pt;height:1pt" o:hrpct="0" o:hralign="center" o:hrstd="t" o:hrnoshade="t" o:hr="t" fillcolor="black [3213]" stroked="f"/>
              </w:pict>
            </w:r>
          </w:p>
        </w:tc>
        <w:tc>
          <w:tcPr>
            <w:tcW w:w="1181" w:type="dxa"/>
            <w:shd w:val="clear" w:color="auto" w:fill="auto"/>
          </w:tcPr>
          <w:p w:rsidR="006A47CE" w:rsidRPr="00C80C4E" w:rsidRDefault="006A47CE" w:rsidP="00C80C4E">
            <w:pPr>
              <w:jc w:val="center"/>
              <w:rPr>
                <w:sz w:val="20"/>
                <w:szCs w:val="20"/>
              </w:rPr>
            </w:pPr>
          </w:p>
          <w:p w:rsidR="006A47CE" w:rsidRPr="00C80C4E" w:rsidRDefault="006A47CE" w:rsidP="00C80C4E">
            <w:pPr>
              <w:jc w:val="center"/>
              <w:rPr>
                <w:sz w:val="20"/>
                <w:szCs w:val="20"/>
              </w:rPr>
            </w:pPr>
          </w:p>
          <w:p w:rsidR="006A47CE" w:rsidRPr="00C80C4E" w:rsidRDefault="006A47CE" w:rsidP="00C80C4E">
            <w:pPr>
              <w:jc w:val="center"/>
              <w:rPr>
                <w:sz w:val="20"/>
                <w:szCs w:val="20"/>
              </w:rPr>
            </w:pPr>
          </w:p>
          <w:p w:rsidR="006A47CE" w:rsidRPr="00C80C4E" w:rsidRDefault="006A47CE" w:rsidP="00C80C4E">
            <w:pPr>
              <w:jc w:val="center"/>
              <w:rPr>
                <w:sz w:val="20"/>
                <w:szCs w:val="20"/>
              </w:rPr>
            </w:pPr>
          </w:p>
          <w:p w:rsidR="006A47CE" w:rsidRPr="00C80C4E" w:rsidRDefault="006A47CE" w:rsidP="00C80C4E">
            <w:pPr>
              <w:jc w:val="center"/>
              <w:rPr>
                <w:sz w:val="20"/>
                <w:szCs w:val="20"/>
              </w:rPr>
            </w:pPr>
          </w:p>
          <w:p w:rsidR="006A47CE" w:rsidRPr="00C80C4E" w:rsidRDefault="006A47CE" w:rsidP="00C80C4E">
            <w:pPr>
              <w:jc w:val="center"/>
              <w:rPr>
                <w:sz w:val="20"/>
                <w:szCs w:val="20"/>
              </w:rPr>
            </w:pPr>
          </w:p>
          <w:p w:rsidR="006A47CE" w:rsidRPr="00C80C4E" w:rsidRDefault="006A47CE" w:rsidP="00C80C4E">
            <w:pPr>
              <w:jc w:val="center"/>
              <w:rPr>
                <w:sz w:val="20"/>
                <w:szCs w:val="20"/>
              </w:rPr>
            </w:pPr>
          </w:p>
          <w:p w:rsidR="006A47CE" w:rsidRPr="00C80C4E" w:rsidRDefault="006A47CE" w:rsidP="00C80C4E">
            <w:pPr>
              <w:jc w:val="center"/>
              <w:rPr>
                <w:sz w:val="20"/>
                <w:szCs w:val="20"/>
              </w:rPr>
            </w:pPr>
          </w:p>
          <w:p w:rsidR="006A47CE" w:rsidRPr="00C80C4E" w:rsidRDefault="006A47CE" w:rsidP="00C80C4E">
            <w:pPr>
              <w:jc w:val="center"/>
              <w:rPr>
                <w:sz w:val="20"/>
                <w:szCs w:val="20"/>
              </w:rPr>
            </w:pPr>
          </w:p>
          <w:p w:rsidR="006A47CE" w:rsidRPr="00C80C4E" w:rsidRDefault="006A47CE" w:rsidP="00C80C4E">
            <w:pPr>
              <w:jc w:val="center"/>
              <w:rPr>
                <w:sz w:val="20"/>
                <w:szCs w:val="20"/>
              </w:rPr>
            </w:pPr>
          </w:p>
          <w:p w:rsidR="006A47CE" w:rsidRDefault="006A47CE" w:rsidP="00C80C4E">
            <w:pPr>
              <w:jc w:val="center"/>
              <w:rPr>
                <w:sz w:val="20"/>
                <w:szCs w:val="20"/>
              </w:rPr>
            </w:pPr>
          </w:p>
          <w:p w:rsidR="00C80C4E" w:rsidRPr="00C80C4E" w:rsidRDefault="00C80C4E" w:rsidP="00C80C4E">
            <w:pPr>
              <w:jc w:val="center"/>
              <w:rPr>
                <w:sz w:val="20"/>
                <w:szCs w:val="20"/>
              </w:rPr>
            </w:pPr>
          </w:p>
          <w:p w:rsidR="006A47CE" w:rsidRPr="00C80C4E" w:rsidRDefault="006A47CE" w:rsidP="00C80C4E">
            <w:pPr>
              <w:jc w:val="center"/>
              <w:rPr>
                <w:sz w:val="20"/>
                <w:szCs w:val="20"/>
              </w:rPr>
            </w:pPr>
          </w:p>
          <w:p w:rsidR="006A47CE" w:rsidRPr="00C80C4E" w:rsidRDefault="006A47CE" w:rsidP="00C80C4E">
            <w:pPr>
              <w:jc w:val="center"/>
              <w:rPr>
                <w:sz w:val="20"/>
                <w:szCs w:val="20"/>
              </w:rPr>
            </w:pPr>
          </w:p>
        </w:tc>
        <w:tc>
          <w:tcPr>
            <w:tcW w:w="4320" w:type="dxa"/>
            <w:shd w:val="clear" w:color="auto" w:fill="auto"/>
          </w:tcPr>
          <w:p w:rsidR="006A47CE" w:rsidRPr="00C80C4E" w:rsidRDefault="00C80C4E" w:rsidP="00C80C4E">
            <w:pPr>
              <w:rPr>
                <w:b/>
                <w:sz w:val="20"/>
                <w:szCs w:val="20"/>
              </w:rPr>
            </w:pPr>
            <w:r>
              <w:rPr>
                <w:b/>
                <w:sz w:val="20"/>
                <w:szCs w:val="20"/>
              </w:rPr>
              <w:t>Gary Donald Johnston</w:t>
            </w:r>
          </w:p>
          <w:p w:rsidR="006A47CE" w:rsidRPr="00C80C4E" w:rsidRDefault="006A47CE" w:rsidP="00C80C4E">
            <w:pPr>
              <w:tabs>
                <w:tab w:val="left" w:pos="-1440"/>
                <w:tab w:val="left" w:pos="-720"/>
              </w:tabs>
              <w:rPr>
                <w:sz w:val="20"/>
                <w:szCs w:val="20"/>
              </w:rPr>
            </w:pPr>
            <w:r w:rsidRPr="00C80C4E">
              <w:rPr>
                <w:sz w:val="20"/>
                <w:szCs w:val="20"/>
              </w:rPr>
              <w:tab/>
            </w:r>
            <w:r w:rsidR="00C80C4E">
              <w:rPr>
                <w:sz w:val="20"/>
                <w:szCs w:val="20"/>
              </w:rPr>
              <w:t>Brent B. Olthuis</w:t>
            </w:r>
          </w:p>
          <w:p w:rsidR="006A47CE" w:rsidRPr="00C80C4E" w:rsidRDefault="006A47CE" w:rsidP="00C80C4E">
            <w:pPr>
              <w:tabs>
                <w:tab w:val="left" w:pos="-1440"/>
                <w:tab w:val="left" w:pos="-720"/>
              </w:tabs>
              <w:rPr>
                <w:sz w:val="20"/>
                <w:szCs w:val="20"/>
              </w:rPr>
            </w:pPr>
            <w:r w:rsidRPr="00C80C4E">
              <w:rPr>
                <w:sz w:val="20"/>
                <w:szCs w:val="20"/>
              </w:rPr>
              <w:tab/>
            </w:r>
            <w:r w:rsidR="00C80C4E">
              <w:rPr>
                <w:sz w:val="20"/>
                <w:szCs w:val="20"/>
              </w:rPr>
              <w:t xml:space="preserve">Hunter Litigation Chambers Law </w:t>
            </w:r>
            <w:r w:rsidR="00C80C4E">
              <w:rPr>
                <w:sz w:val="20"/>
                <w:szCs w:val="20"/>
              </w:rPr>
              <w:tab/>
              <w:t>Corporation</w:t>
            </w:r>
          </w:p>
          <w:p w:rsidR="006A47CE" w:rsidRPr="00C80C4E" w:rsidRDefault="006A47CE" w:rsidP="00C80C4E">
            <w:pPr>
              <w:tabs>
                <w:tab w:val="left" w:pos="-1440"/>
                <w:tab w:val="left" w:pos="-720"/>
              </w:tabs>
              <w:rPr>
                <w:sz w:val="20"/>
                <w:szCs w:val="20"/>
              </w:rPr>
            </w:pPr>
          </w:p>
          <w:p w:rsidR="006A47CE" w:rsidRPr="00094F1A" w:rsidRDefault="006A47CE" w:rsidP="00C80C4E">
            <w:pPr>
              <w:tabs>
                <w:tab w:val="left" w:pos="-1440"/>
                <w:tab w:val="left" w:pos="-720"/>
              </w:tabs>
              <w:rPr>
                <w:sz w:val="20"/>
                <w:szCs w:val="20"/>
              </w:rPr>
            </w:pPr>
            <w:r w:rsidRPr="00C80C4E">
              <w:rPr>
                <w:sz w:val="20"/>
                <w:szCs w:val="20"/>
              </w:rPr>
              <w:tab/>
            </w:r>
            <w:r w:rsidRPr="00094F1A">
              <w:rPr>
                <w:sz w:val="20"/>
                <w:szCs w:val="20"/>
              </w:rPr>
              <w:t>v. (3</w:t>
            </w:r>
            <w:r w:rsidR="00C80C4E" w:rsidRPr="00094F1A">
              <w:rPr>
                <w:sz w:val="20"/>
                <w:szCs w:val="20"/>
              </w:rPr>
              <w:t>6144</w:t>
            </w:r>
            <w:r w:rsidRPr="00094F1A">
              <w:rPr>
                <w:sz w:val="20"/>
                <w:szCs w:val="20"/>
              </w:rPr>
              <w:t>)</w:t>
            </w:r>
          </w:p>
          <w:p w:rsidR="006A47CE" w:rsidRPr="00094F1A" w:rsidRDefault="006A47CE" w:rsidP="00C80C4E">
            <w:pPr>
              <w:tabs>
                <w:tab w:val="left" w:pos="-1440"/>
                <w:tab w:val="left" w:pos="-720"/>
              </w:tabs>
              <w:rPr>
                <w:sz w:val="20"/>
                <w:szCs w:val="20"/>
              </w:rPr>
            </w:pPr>
          </w:p>
          <w:p w:rsidR="006A47CE" w:rsidRPr="00C80C4E" w:rsidRDefault="00C80C4E" w:rsidP="00C80C4E">
            <w:pPr>
              <w:tabs>
                <w:tab w:val="left" w:pos="-1440"/>
                <w:tab w:val="left" w:pos="-720"/>
              </w:tabs>
              <w:rPr>
                <w:b/>
                <w:sz w:val="20"/>
                <w:szCs w:val="20"/>
              </w:rPr>
            </w:pPr>
            <w:r w:rsidRPr="00C80C4E">
              <w:rPr>
                <w:b/>
                <w:sz w:val="20"/>
                <w:szCs w:val="20"/>
              </w:rPr>
              <w:t xml:space="preserve">Her Majesty the Queen </w:t>
            </w:r>
            <w:r w:rsidR="006A47CE" w:rsidRPr="00C80C4E">
              <w:rPr>
                <w:b/>
                <w:sz w:val="20"/>
                <w:szCs w:val="20"/>
              </w:rPr>
              <w:t>(</w:t>
            </w:r>
            <w:r w:rsidRPr="00C80C4E">
              <w:rPr>
                <w:b/>
                <w:sz w:val="20"/>
                <w:szCs w:val="20"/>
              </w:rPr>
              <w:t>B.C</w:t>
            </w:r>
            <w:r w:rsidR="006A47CE" w:rsidRPr="00C80C4E">
              <w:rPr>
                <w:b/>
                <w:sz w:val="20"/>
                <w:szCs w:val="20"/>
              </w:rPr>
              <w:t>.)</w:t>
            </w:r>
          </w:p>
          <w:p w:rsidR="006A47CE" w:rsidRPr="00C80C4E" w:rsidRDefault="006A47CE" w:rsidP="00C80C4E">
            <w:pPr>
              <w:tabs>
                <w:tab w:val="left" w:pos="-1440"/>
                <w:tab w:val="left" w:pos="-720"/>
              </w:tabs>
              <w:rPr>
                <w:sz w:val="20"/>
                <w:szCs w:val="20"/>
              </w:rPr>
            </w:pPr>
            <w:r w:rsidRPr="00C80C4E">
              <w:rPr>
                <w:sz w:val="20"/>
                <w:szCs w:val="20"/>
              </w:rPr>
              <w:tab/>
            </w:r>
            <w:r w:rsidR="00C80C4E" w:rsidRPr="00C80C4E">
              <w:rPr>
                <w:sz w:val="20"/>
                <w:szCs w:val="20"/>
              </w:rPr>
              <w:t>Marian K. Brown</w:t>
            </w:r>
          </w:p>
          <w:p w:rsidR="006A47CE" w:rsidRPr="00C80C4E" w:rsidRDefault="006A47CE" w:rsidP="00C80C4E">
            <w:pPr>
              <w:tabs>
                <w:tab w:val="left" w:pos="-1440"/>
                <w:tab w:val="left" w:pos="-720"/>
              </w:tabs>
              <w:rPr>
                <w:sz w:val="20"/>
                <w:szCs w:val="20"/>
              </w:rPr>
            </w:pPr>
            <w:r w:rsidRPr="00C80C4E">
              <w:rPr>
                <w:sz w:val="20"/>
                <w:szCs w:val="20"/>
              </w:rPr>
              <w:tab/>
            </w:r>
            <w:r w:rsidR="00C80C4E" w:rsidRPr="00C80C4E">
              <w:rPr>
                <w:sz w:val="20"/>
                <w:szCs w:val="20"/>
              </w:rPr>
              <w:t>A.G. of British Columbia</w:t>
            </w:r>
          </w:p>
          <w:p w:rsidR="006A47CE" w:rsidRPr="00C80C4E" w:rsidRDefault="006A47CE" w:rsidP="00C80C4E">
            <w:pPr>
              <w:tabs>
                <w:tab w:val="left" w:pos="-1440"/>
                <w:tab w:val="left" w:pos="-720"/>
              </w:tabs>
              <w:rPr>
                <w:sz w:val="20"/>
                <w:szCs w:val="20"/>
              </w:rPr>
            </w:pPr>
          </w:p>
          <w:p w:rsidR="006A47CE" w:rsidRPr="00C80C4E" w:rsidRDefault="006A47CE" w:rsidP="00C80C4E">
            <w:pPr>
              <w:rPr>
                <w:sz w:val="20"/>
                <w:szCs w:val="20"/>
                <w:lang w:val="fr-CA"/>
              </w:rPr>
            </w:pPr>
            <w:r w:rsidRPr="00C80C4E">
              <w:rPr>
                <w:sz w:val="20"/>
                <w:szCs w:val="20"/>
                <w:lang w:val="fr-CA"/>
              </w:rPr>
              <w:t xml:space="preserve">FILING DATE: </w:t>
            </w:r>
            <w:r w:rsidR="00C80C4E">
              <w:rPr>
                <w:sz w:val="20"/>
                <w:szCs w:val="20"/>
                <w:lang w:val="fr-CA"/>
              </w:rPr>
              <w:t>30</w:t>
            </w:r>
            <w:r w:rsidRPr="00C80C4E">
              <w:rPr>
                <w:sz w:val="20"/>
                <w:szCs w:val="20"/>
                <w:lang w:val="fr-CA"/>
              </w:rPr>
              <w:t>.</w:t>
            </w:r>
            <w:r w:rsidR="00C80C4E">
              <w:rPr>
                <w:sz w:val="20"/>
                <w:szCs w:val="20"/>
                <w:lang w:val="fr-CA"/>
              </w:rPr>
              <w:t>1</w:t>
            </w:r>
            <w:r w:rsidRPr="00C80C4E">
              <w:rPr>
                <w:sz w:val="20"/>
                <w:szCs w:val="20"/>
                <w:lang w:val="fr-CA"/>
              </w:rPr>
              <w:t>0.2014</w:t>
            </w:r>
            <w:r w:rsidR="00690162">
              <w:rPr>
                <w:sz w:val="20"/>
                <w:szCs w:val="20"/>
                <w:lang w:val="fr-CA"/>
              </w:rPr>
              <w:pict>
                <v:rect id="_x0000_i1036" style="width:108pt;height:1pt" o:hrpct="0" o:hralign="center" o:hrstd="t" o:hrnoshade="t" o:hr="t" fillcolor="black [3213]" stroked="f"/>
              </w:pict>
            </w:r>
          </w:p>
        </w:tc>
      </w:tr>
      <w:tr w:rsidR="001411FF" w:rsidRPr="00A935AA" w:rsidTr="00C80C4E">
        <w:trPr>
          <w:cantSplit/>
        </w:trPr>
        <w:tc>
          <w:tcPr>
            <w:tcW w:w="4320" w:type="dxa"/>
            <w:shd w:val="clear" w:color="auto" w:fill="auto"/>
          </w:tcPr>
          <w:p w:rsidR="001411FF" w:rsidRPr="00690162" w:rsidRDefault="001411FF" w:rsidP="00C80C4E">
            <w:pPr>
              <w:rPr>
                <w:b/>
                <w:sz w:val="20"/>
                <w:szCs w:val="20"/>
              </w:rPr>
            </w:pPr>
            <w:r w:rsidRPr="00690162">
              <w:rPr>
                <w:b/>
                <w:sz w:val="20"/>
                <w:szCs w:val="20"/>
              </w:rPr>
              <w:t>Gilbert Liu</w:t>
            </w:r>
          </w:p>
          <w:p w:rsidR="001411FF" w:rsidRPr="00690162" w:rsidRDefault="001411FF" w:rsidP="00C80C4E">
            <w:pPr>
              <w:tabs>
                <w:tab w:val="left" w:pos="-1440"/>
                <w:tab w:val="left" w:pos="-720"/>
              </w:tabs>
              <w:rPr>
                <w:sz w:val="20"/>
                <w:szCs w:val="20"/>
              </w:rPr>
            </w:pPr>
            <w:r w:rsidRPr="00690162">
              <w:rPr>
                <w:sz w:val="20"/>
                <w:szCs w:val="20"/>
              </w:rPr>
              <w:tab/>
              <w:t>Gérald R. Tremblay, c.r.</w:t>
            </w:r>
          </w:p>
          <w:p w:rsidR="001411FF" w:rsidRPr="00690162" w:rsidRDefault="001411FF" w:rsidP="00C80C4E">
            <w:pPr>
              <w:tabs>
                <w:tab w:val="left" w:pos="-1440"/>
                <w:tab w:val="left" w:pos="-720"/>
              </w:tabs>
              <w:rPr>
                <w:sz w:val="20"/>
                <w:szCs w:val="20"/>
              </w:rPr>
            </w:pPr>
            <w:r w:rsidRPr="00690162">
              <w:rPr>
                <w:sz w:val="20"/>
                <w:szCs w:val="20"/>
              </w:rPr>
              <w:tab/>
              <w:t>McCarthy Tétrault, s.e.n.c.r.l., s.r.l.</w:t>
            </w:r>
          </w:p>
          <w:p w:rsidR="001411FF" w:rsidRPr="00690162" w:rsidRDefault="001411FF" w:rsidP="00C80C4E">
            <w:pPr>
              <w:tabs>
                <w:tab w:val="left" w:pos="-1440"/>
                <w:tab w:val="left" w:pos="-720"/>
              </w:tabs>
              <w:rPr>
                <w:sz w:val="20"/>
                <w:szCs w:val="20"/>
              </w:rPr>
            </w:pPr>
          </w:p>
          <w:p w:rsidR="001411FF" w:rsidRPr="00C80C4E" w:rsidRDefault="001411FF" w:rsidP="00C80C4E">
            <w:pPr>
              <w:tabs>
                <w:tab w:val="left" w:pos="-1440"/>
                <w:tab w:val="left" w:pos="-720"/>
              </w:tabs>
              <w:rPr>
                <w:sz w:val="20"/>
                <w:szCs w:val="20"/>
                <w:lang w:val="fr-CA"/>
              </w:rPr>
            </w:pPr>
            <w:r w:rsidRPr="00690162">
              <w:rPr>
                <w:sz w:val="20"/>
                <w:szCs w:val="20"/>
              </w:rPr>
              <w:tab/>
            </w:r>
            <w:r>
              <w:rPr>
                <w:sz w:val="20"/>
                <w:szCs w:val="20"/>
                <w:lang w:val="fr-CA"/>
              </w:rPr>
              <w:t>c</w:t>
            </w:r>
            <w:r w:rsidRPr="00C80C4E">
              <w:rPr>
                <w:sz w:val="20"/>
                <w:szCs w:val="20"/>
                <w:lang w:val="fr-CA"/>
              </w:rPr>
              <w:t>. (3</w:t>
            </w:r>
            <w:r>
              <w:rPr>
                <w:sz w:val="20"/>
                <w:szCs w:val="20"/>
                <w:lang w:val="fr-CA"/>
              </w:rPr>
              <w:t>6151</w:t>
            </w:r>
            <w:r w:rsidRPr="00C80C4E">
              <w:rPr>
                <w:sz w:val="20"/>
                <w:szCs w:val="20"/>
                <w:lang w:val="fr-CA"/>
              </w:rPr>
              <w:t>)</w:t>
            </w:r>
          </w:p>
          <w:p w:rsidR="001411FF" w:rsidRPr="00C80C4E" w:rsidRDefault="001411FF" w:rsidP="00C80C4E">
            <w:pPr>
              <w:tabs>
                <w:tab w:val="left" w:pos="-1440"/>
                <w:tab w:val="left" w:pos="-720"/>
              </w:tabs>
              <w:rPr>
                <w:sz w:val="20"/>
                <w:szCs w:val="20"/>
                <w:lang w:val="fr-CA"/>
              </w:rPr>
            </w:pPr>
          </w:p>
          <w:p w:rsidR="001411FF" w:rsidRPr="00C80C4E" w:rsidRDefault="001411FF" w:rsidP="00C80C4E">
            <w:pPr>
              <w:tabs>
                <w:tab w:val="left" w:pos="-1440"/>
                <w:tab w:val="left" w:pos="-720"/>
              </w:tabs>
              <w:rPr>
                <w:b/>
                <w:sz w:val="20"/>
                <w:szCs w:val="20"/>
                <w:lang w:val="fr-CA"/>
              </w:rPr>
            </w:pPr>
            <w:r>
              <w:rPr>
                <w:b/>
                <w:sz w:val="20"/>
                <w:szCs w:val="20"/>
                <w:lang w:val="fr-CA"/>
              </w:rPr>
              <w:t xml:space="preserve">Comité de discipline du centre de santé et de services sociaux Haut-Richelieu-Rouville et autres </w:t>
            </w:r>
            <w:r w:rsidRPr="00C80C4E">
              <w:rPr>
                <w:b/>
                <w:sz w:val="20"/>
                <w:szCs w:val="20"/>
                <w:lang w:val="fr-CA"/>
              </w:rPr>
              <w:t>(</w:t>
            </w:r>
            <w:r>
              <w:rPr>
                <w:b/>
                <w:sz w:val="20"/>
                <w:szCs w:val="20"/>
                <w:lang w:val="fr-CA"/>
              </w:rPr>
              <w:t>Qc</w:t>
            </w:r>
            <w:r w:rsidRPr="00C80C4E">
              <w:rPr>
                <w:b/>
                <w:sz w:val="20"/>
                <w:szCs w:val="20"/>
                <w:lang w:val="fr-CA"/>
              </w:rPr>
              <w:t>)</w:t>
            </w:r>
          </w:p>
          <w:p w:rsidR="001411FF" w:rsidRPr="001411FF" w:rsidRDefault="001411FF" w:rsidP="00C80C4E">
            <w:pPr>
              <w:tabs>
                <w:tab w:val="left" w:pos="-1440"/>
                <w:tab w:val="left" w:pos="-720"/>
              </w:tabs>
              <w:rPr>
                <w:sz w:val="20"/>
                <w:szCs w:val="20"/>
              </w:rPr>
            </w:pPr>
            <w:r w:rsidRPr="00C80C4E">
              <w:rPr>
                <w:sz w:val="20"/>
                <w:szCs w:val="20"/>
                <w:lang w:val="fr-CA"/>
              </w:rPr>
              <w:tab/>
            </w:r>
            <w:r w:rsidRPr="001411FF">
              <w:rPr>
                <w:sz w:val="20"/>
                <w:szCs w:val="20"/>
              </w:rPr>
              <w:t>Patrick A. Molinari</w:t>
            </w:r>
          </w:p>
          <w:p w:rsidR="001411FF" w:rsidRPr="001411FF" w:rsidRDefault="001411FF" w:rsidP="00C80C4E">
            <w:pPr>
              <w:tabs>
                <w:tab w:val="left" w:pos="-1440"/>
                <w:tab w:val="left" w:pos="-720"/>
              </w:tabs>
              <w:rPr>
                <w:sz w:val="20"/>
                <w:szCs w:val="20"/>
              </w:rPr>
            </w:pPr>
            <w:r w:rsidRPr="001411FF">
              <w:rPr>
                <w:sz w:val="20"/>
                <w:szCs w:val="20"/>
              </w:rPr>
              <w:tab/>
              <w:t>Lavery, de Billy</w:t>
            </w:r>
          </w:p>
          <w:p w:rsidR="001411FF" w:rsidRPr="001411FF" w:rsidRDefault="001411FF" w:rsidP="00C80C4E">
            <w:pPr>
              <w:tabs>
                <w:tab w:val="left" w:pos="-1440"/>
                <w:tab w:val="left" w:pos="-720"/>
              </w:tabs>
              <w:rPr>
                <w:sz w:val="20"/>
                <w:szCs w:val="20"/>
              </w:rPr>
            </w:pPr>
          </w:p>
          <w:p w:rsidR="001411FF" w:rsidRPr="00C80C4E" w:rsidRDefault="001411FF" w:rsidP="001411FF">
            <w:pPr>
              <w:rPr>
                <w:sz w:val="20"/>
                <w:szCs w:val="20"/>
                <w:lang w:val="fr-CA"/>
              </w:rPr>
            </w:pPr>
            <w:r w:rsidRPr="00806A5B">
              <w:rPr>
                <w:sz w:val="20"/>
                <w:szCs w:val="20"/>
                <w:lang w:val="fr-CA"/>
              </w:rPr>
              <w:t>DATE DE PRODUCTION</w:t>
            </w:r>
            <w:r>
              <w:rPr>
                <w:sz w:val="20"/>
                <w:szCs w:val="20"/>
                <w:lang w:val="fr-CA"/>
              </w:rPr>
              <w:t xml:space="preserve"> </w:t>
            </w:r>
            <w:r w:rsidRPr="00C80C4E">
              <w:rPr>
                <w:sz w:val="20"/>
                <w:szCs w:val="20"/>
                <w:lang w:val="fr-CA"/>
              </w:rPr>
              <w:t xml:space="preserve">: </w:t>
            </w:r>
            <w:r>
              <w:rPr>
                <w:sz w:val="20"/>
                <w:szCs w:val="20"/>
                <w:lang w:val="fr-CA"/>
              </w:rPr>
              <w:t>03</w:t>
            </w:r>
            <w:r w:rsidRPr="00C80C4E">
              <w:rPr>
                <w:sz w:val="20"/>
                <w:szCs w:val="20"/>
                <w:lang w:val="fr-CA"/>
              </w:rPr>
              <w:t>.1</w:t>
            </w:r>
            <w:r>
              <w:rPr>
                <w:sz w:val="20"/>
                <w:szCs w:val="20"/>
                <w:lang w:val="fr-CA"/>
              </w:rPr>
              <w:t>1</w:t>
            </w:r>
            <w:r w:rsidRPr="00C80C4E">
              <w:rPr>
                <w:sz w:val="20"/>
                <w:szCs w:val="20"/>
                <w:lang w:val="fr-CA"/>
              </w:rPr>
              <w:t>.2014</w:t>
            </w:r>
            <w:r w:rsidR="00690162">
              <w:rPr>
                <w:sz w:val="20"/>
                <w:szCs w:val="20"/>
                <w:lang w:val="fr-CA"/>
              </w:rPr>
              <w:pict>
                <v:rect id="_x0000_i1037" style="width:108pt;height:1pt" o:hrpct="0" o:hralign="center" o:hrstd="t" o:hrnoshade="t" o:hr="t" fillcolor="black [3213]" stroked="f"/>
              </w:pict>
            </w:r>
          </w:p>
        </w:tc>
        <w:tc>
          <w:tcPr>
            <w:tcW w:w="1181" w:type="dxa"/>
            <w:shd w:val="clear" w:color="auto" w:fill="auto"/>
          </w:tcPr>
          <w:p w:rsidR="001411FF" w:rsidRPr="00C80C4E" w:rsidRDefault="001411FF" w:rsidP="00C80C4E">
            <w:pPr>
              <w:jc w:val="center"/>
              <w:rPr>
                <w:sz w:val="20"/>
                <w:szCs w:val="20"/>
                <w:lang w:val="fr-CA"/>
              </w:rPr>
            </w:pPr>
          </w:p>
          <w:p w:rsidR="001411FF" w:rsidRPr="00C80C4E" w:rsidRDefault="001411FF" w:rsidP="00C80C4E">
            <w:pPr>
              <w:jc w:val="center"/>
              <w:rPr>
                <w:sz w:val="20"/>
                <w:szCs w:val="20"/>
                <w:lang w:val="fr-CA"/>
              </w:rPr>
            </w:pPr>
          </w:p>
          <w:p w:rsidR="001411FF" w:rsidRPr="00C80C4E" w:rsidRDefault="001411FF" w:rsidP="00C80C4E">
            <w:pPr>
              <w:jc w:val="center"/>
              <w:rPr>
                <w:sz w:val="20"/>
                <w:szCs w:val="20"/>
                <w:lang w:val="fr-CA"/>
              </w:rPr>
            </w:pPr>
          </w:p>
          <w:p w:rsidR="001411FF" w:rsidRPr="00C80C4E" w:rsidRDefault="001411FF" w:rsidP="00C80C4E">
            <w:pPr>
              <w:jc w:val="center"/>
              <w:rPr>
                <w:sz w:val="20"/>
                <w:szCs w:val="20"/>
                <w:lang w:val="fr-CA"/>
              </w:rPr>
            </w:pPr>
          </w:p>
          <w:p w:rsidR="001411FF" w:rsidRPr="00C80C4E" w:rsidRDefault="001411FF" w:rsidP="00C80C4E">
            <w:pPr>
              <w:jc w:val="center"/>
              <w:rPr>
                <w:sz w:val="20"/>
                <w:szCs w:val="20"/>
                <w:lang w:val="fr-CA"/>
              </w:rPr>
            </w:pPr>
          </w:p>
          <w:p w:rsidR="001411FF" w:rsidRPr="00C80C4E" w:rsidRDefault="001411FF" w:rsidP="00C80C4E">
            <w:pPr>
              <w:jc w:val="center"/>
              <w:rPr>
                <w:sz w:val="20"/>
                <w:szCs w:val="20"/>
                <w:lang w:val="fr-CA"/>
              </w:rPr>
            </w:pPr>
          </w:p>
          <w:p w:rsidR="001411FF" w:rsidRPr="00C80C4E" w:rsidRDefault="001411FF" w:rsidP="00C80C4E">
            <w:pPr>
              <w:jc w:val="center"/>
              <w:rPr>
                <w:sz w:val="20"/>
                <w:szCs w:val="20"/>
                <w:lang w:val="fr-CA"/>
              </w:rPr>
            </w:pPr>
          </w:p>
          <w:p w:rsidR="001411FF" w:rsidRPr="00C80C4E" w:rsidRDefault="001411FF" w:rsidP="00C80C4E">
            <w:pPr>
              <w:jc w:val="center"/>
              <w:rPr>
                <w:sz w:val="20"/>
                <w:szCs w:val="20"/>
                <w:lang w:val="fr-CA"/>
              </w:rPr>
            </w:pPr>
          </w:p>
          <w:p w:rsidR="001411FF" w:rsidRPr="00C80C4E" w:rsidRDefault="001411FF" w:rsidP="00C80C4E">
            <w:pPr>
              <w:jc w:val="center"/>
              <w:rPr>
                <w:sz w:val="20"/>
                <w:szCs w:val="20"/>
                <w:lang w:val="fr-CA"/>
              </w:rPr>
            </w:pPr>
          </w:p>
          <w:p w:rsidR="001411FF" w:rsidRPr="00C80C4E" w:rsidRDefault="001411FF" w:rsidP="00C80C4E">
            <w:pPr>
              <w:jc w:val="center"/>
              <w:rPr>
                <w:sz w:val="20"/>
                <w:szCs w:val="20"/>
                <w:lang w:val="fr-CA"/>
              </w:rPr>
            </w:pPr>
          </w:p>
          <w:p w:rsidR="001411FF" w:rsidRPr="00C80C4E" w:rsidRDefault="001411FF" w:rsidP="00C80C4E">
            <w:pPr>
              <w:jc w:val="center"/>
              <w:rPr>
                <w:sz w:val="20"/>
                <w:szCs w:val="20"/>
                <w:lang w:val="fr-CA"/>
              </w:rPr>
            </w:pPr>
          </w:p>
          <w:p w:rsidR="001411FF" w:rsidRPr="00C80C4E" w:rsidRDefault="001411FF" w:rsidP="00C80C4E">
            <w:pPr>
              <w:jc w:val="center"/>
              <w:rPr>
                <w:sz w:val="20"/>
                <w:szCs w:val="20"/>
                <w:lang w:val="fr-CA"/>
              </w:rPr>
            </w:pPr>
          </w:p>
          <w:p w:rsidR="001411FF" w:rsidRPr="00C80C4E" w:rsidRDefault="001411FF" w:rsidP="00C80C4E">
            <w:pPr>
              <w:jc w:val="center"/>
              <w:rPr>
                <w:sz w:val="20"/>
                <w:szCs w:val="20"/>
                <w:lang w:val="fr-CA"/>
              </w:rPr>
            </w:pPr>
          </w:p>
        </w:tc>
        <w:tc>
          <w:tcPr>
            <w:tcW w:w="4320" w:type="dxa"/>
            <w:shd w:val="clear" w:color="auto" w:fill="auto"/>
          </w:tcPr>
          <w:p w:rsidR="001411FF" w:rsidRPr="00A935AA" w:rsidRDefault="001411FF" w:rsidP="00CF582C">
            <w:pPr>
              <w:rPr>
                <w:b/>
                <w:sz w:val="20"/>
                <w:szCs w:val="20"/>
              </w:rPr>
            </w:pPr>
            <w:r>
              <w:rPr>
                <w:b/>
                <w:sz w:val="20"/>
                <w:szCs w:val="20"/>
              </w:rPr>
              <w:t>Sean Michael Heickert</w:t>
            </w:r>
          </w:p>
          <w:p w:rsidR="001411FF" w:rsidRPr="00A935AA" w:rsidRDefault="001411FF" w:rsidP="00CF582C">
            <w:pPr>
              <w:tabs>
                <w:tab w:val="left" w:pos="-1440"/>
                <w:tab w:val="left" w:pos="-720"/>
              </w:tabs>
              <w:rPr>
                <w:sz w:val="20"/>
                <w:szCs w:val="20"/>
              </w:rPr>
            </w:pPr>
            <w:r w:rsidRPr="00A935AA">
              <w:rPr>
                <w:sz w:val="20"/>
                <w:szCs w:val="20"/>
              </w:rPr>
              <w:tab/>
            </w:r>
            <w:r>
              <w:rPr>
                <w:sz w:val="20"/>
                <w:szCs w:val="20"/>
              </w:rPr>
              <w:t>Amanda Sansregret</w:t>
            </w:r>
          </w:p>
          <w:p w:rsidR="001411FF" w:rsidRPr="00A935AA" w:rsidRDefault="001411FF" w:rsidP="00CF582C">
            <w:pPr>
              <w:tabs>
                <w:tab w:val="left" w:pos="-1440"/>
                <w:tab w:val="left" w:pos="-720"/>
              </w:tabs>
              <w:rPr>
                <w:sz w:val="20"/>
                <w:szCs w:val="20"/>
              </w:rPr>
            </w:pPr>
            <w:r w:rsidRPr="00A935AA">
              <w:rPr>
                <w:sz w:val="20"/>
                <w:szCs w:val="20"/>
              </w:rPr>
              <w:tab/>
            </w:r>
            <w:r>
              <w:rPr>
                <w:sz w:val="20"/>
                <w:szCs w:val="20"/>
              </w:rPr>
              <w:t>Legal Aid Manitoba</w:t>
            </w:r>
          </w:p>
          <w:p w:rsidR="001411FF" w:rsidRPr="00A935AA" w:rsidRDefault="001411FF" w:rsidP="00CF582C">
            <w:pPr>
              <w:tabs>
                <w:tab w:val="left" w:pos="-1440"/>
                <w:tab w:val="left" w:pos="-720"/>
              </w:tabs>
              <w:rPr>
                <w:sz w:val="20"/>
                <w:szCs w:val="20"/>
              </w:rPr>
            </w:pPr>
          </w:p>
          <w:p w:rsidR="001411FF" w:rsidRPr="00A935AA" w:rsidRDefault="001411FF" w:rsidP="00CF582C">
            <w:pPr>
              <w:tabs>
                <w:tab w:val="left" w:pos="-1440"/>
                <w:tab w:val="left" w:pos="-720"/>
              </w:tabs>
              <w:rPr>
                <w:sz w:val="20"/>
                <w:szCs w:val="20"/>
              </w:rPr>
            </w:pPr>
            <w:r w:rsidRPr="00A935AA">
              <w:rPr>
                <w:sz w:val="20"/>
                <w:szCs w:val="20"/>
              </w:rPr>
              <w:tab/>
              <w:t>v. (3</w:t>
            </w:r>
            <w:r>
              <w:rPr>
                <w:sz w:val="20"/>
                <w:szCs w:val="20"/>
              </w:rPr>
              <w:t>6149</w:t>
            </w:r>
            <w:r w:rsidRPr="00A935AA">
              <w:rPr>
                <w:sz w:val="20"/>
                <w:szCs w:val="20"/>
              </w:rPr>
              <w:t>)</w:t>
            </w:r>
          </w:p>
          <w:p w:rsidR="001411FF" w:rsidRPr="00A935AA" w:rsidRDefault="001411FF" w:rsidP="00CF582C">
            <w:pPr>
              <w:tabs>
                <w:tab w:val="left" w:pos="-1440"/>
                <w:tab w:val="left" w:pos="-720"/>
              </w:tabs>
              <w:rPr>
                <w:sz w:val="20"/>
                <w:szCs w:val="20"/>
              </w:rPr>
            </w:pPr>
          </w:p>
          <w:p w:rsidR="001411FF" w:rsidRPr="00A935AA" w:rsidRDefault="001411FF" w:rsidP="00CF582C">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Man</w:t>
            </w:r>
            <w:r w:rsidRPr="00A935AA">
              <w:rPr>
                <w:b/>
                <w:sz w:val="20"/>
                <w:szCs w:val="20"/>
              </w:rPr>
              <w:t>.)</w:t>
            </w:r>
          </w:p>
          <w:p w:rsidR="001411FF" w:rsidRPr="00A935AA" w:rsidRDefault="001411FF" w:rsidP="00CF582C">
            <w:pPr>
              <w:tabs>
                <w:tab w:val="left" w:pos="-1440"/>
                <w:tab w:val="left" w:pos="-720"/>
              </w:tabs>
              <w:rPr>
                <w:sz w:val="20"/>
                <w:szCs w:val="20"/>
              </w:rPr>
            </w:pPr>
            <w:r w:rsidRPr="00A935AA">
              <w:rPr>
                <w:sz w:val="20"/>
                <w:szCs w:val="20"/>
              </w:rPr>
              <w:tab/>
            </w:r>
            <w:r>
              <w:rPr>
                <w:sz w:val="20"/>
                <w:szCs w:val="20"/>
              </w:rPr>
              <w:t>Neil N. Cutler</w:t>
            </w:r>
          </w:p>
          <w:p w:rsidR="001411FF" w:rsidRPr="00A935AA" w:rsidRDefault="001411FF" w:rsidP="00CF582C">
            <w:pPr>
              <w:tabs>
                <w:tab w:val="left" w:pos="-1440"/>
                <w:tab w:val="left" w:pos="-720"/>
              </w:tabs>
              <w:rPr>
                <w:sz w:val="20"/>
                <w:szCs w:val="20"/>
              </w:rPr>
            </w:pPr>
            <w:r w:rsidRPr="00A935AA">
              <w:rPr>
                <w:sz w:val="20"/>
                <w:szCs w:val="20"/>
              </w:rPr>
              <w:tab/>
            </w:r>
            <w:r>
              <w:rPr>
                <w:sz w:val="20"/>
                <w:szCs w:val="20"/>
              </w:rPr>
              <w:t>A.G. of Manitoba</w:t>
            </w:r>
          </w:p>
          <w:p w:rsidR="001411FF" w:rsidRPr="00A935AA" w:rsidRDefault="001411FF" w:rsidP="00CF582C">
            <w:pPr>
              <w:tabs>
                <w:tab w:val="left" w:pos="-1440"/>
                <w:tab w:val="left" w:pos="-720"/>
              </w:tabs>
              <w:rPr>
                <w:sz w:val="20"/>
                <w:szCs w:val="20"/>
              </w:rPr>
            </w:pPr>
          </w:p>
          <w:p w:rsidR="001411FF" w:rsidRPr="00A935AA" w:rsidRDefault="001411FF" w:rsidP="001411FF">
            <w:pPr>
              <w:rPr>
                <w:sz w:val="20"/>
                <w:szCs w:val="20"/>
              </w:rPr>
            </w:pPr>
            <w:r>
              <w:rPr>
                <w:sz w:val="20"/>
                <w:szCs w:val="20"/>
              </w:rPr>
              <w:t>FILING DATE: 04</w:t>
            </w:r>
            <w:r w:rsidRPr="00A935AA">
              <w:rPr>
                <w:sz w:val="20"/>
                <w:szCs w:val="20"/>
              </w:rPr>
              <w:t>.</w:t>
            </w:r>
            <w:r>
              <w:rPr>
                <w:sz w:val="20"/>
                <w:szCs w:val="20"/>
              </w:rPr>
              <w:t>11</w:t>
            </w:r>
            <w:r w:rsidRPr="00A935AA">
              <w:rPr>
                <w:sz w:val="20"/>
                <w:szCs w:val="20"/>
              </w:rPr>
              <w:t>.201</w:t>
            </w:r>
            <w:r>
              <w:rPr>
                <w:sz w:val="20"/>
                <w:szCs w:val="20"/>
              </w:rPr>
              <w:t>4</w:t>
            </w:r>
            <w:r w:rsidR="00690162">
              <w:rPr>
                <w:sz w:val="20"/>
                <w:szCs w:val="20"/>
                <w:lang w:val="fr-CA"/>
              </w:rPr>
              <w:pict>
                <v:rect id="_x0000_i1038" style="width:108pt;height:1pt" o:hrpct="0" o:hralign="center" o:hrstd="t" o:hrnoshade="t" o:hr="t" fillcolor="black [3213]" stroked="f"/>
              </w:pict>
            </w:r>
          </w:p>
        </w:tc>
      </w:tr>
    </w:tbl>
    <w:p w:rsidR="006A47CE" w:rsidRDefault="006A47CE" w:rsidP="006A47CE">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BD4A76">
          <w:headerReference w:type="default" r:id="rId16"/>
          <w:footerReference w:type="default" r:id="rId17"/>
          <w:headerReference w:type="first" r:id="rId18"/>
          <w:footerReference w:type="first" r:id="rId19"/>
          <w:pgSz w:w="12240" w:h="15840"/>
          <w:pgMar w:top="720" w:right="965" w:bottom="1080" w:left="1656" w:header="706" w:footer="706" w:gutter="0"/>
          <w:pgNumType w:start="180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690162"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N</w:t>
      </w:r>
      <w:r w:rsidR="00626536">
        <w:rPr>
          <w:b/>
          <w:sz w:val="20"/>
          <w:szCs w:val="20"/>
        </w:rPr>
        <w:t>OVEMBE</w:t>
      </w:r>
      <w:r>
        <w:rPr>
          <w:b/>
          <w:sz w:val="20"/>
          <w:szCs w:val="20"/>
        </w:rPr>
        <w:t xml:space="preserve">R </w:t>
      </w:r>
      <w:r w:rsidR="00626536">
        <w:rPr>
          <w:b/>
          <w:sz w:val="20"/>
          <w:szCs w:val="20"/>
        </w:rPr>
        <w:t>1</w:t>
      </w:r>
      <w:r>
        <w:rPr>
          <w:b/>
          <w:sz w:val="20"/>
          <w:szCs w:val="20"/>
        </w:rPr>
        <w:t>7</w:t>
      </w:r>
      <w:r w:rsidRPr="00C50A5C">
        <w:rPr>
          <w:b/>
          <w:sz w:val="20"/>
          <w:szCs w:val="20"/>
        </w:rPr>
        <w:t>, 201</w:t>
      </w:r>
      <w:r>
        <w:rPr>
          <w:b/>
          <w:sz w:val="20"/>
          <w:szCs w:val="20"/>
        </w:rPr>
        <w:t>4</w:t>
      </w:r>
      <w:r w:rsidRPr="00C50A5C">
        <w:rPr>
          <w:b/>
          <w:sz w:val="20"/>
          <w:szCs w:val="20"/>
        </w:rPr>
        <w:t xml:space="preserve"> / LE </w:t>
      </w:r>
      <w:r w:rsidR="00626536">
        <w:rPr>
          <w:b/>
          <w:sz w:val="20"/>
          <w:szCs w:val="20"/>
        </w:rPr>
        <w:t>1</w:t>
      </w:r>
      <w:r>
        <w:rPr>
          <w:b/>
          <w:sz w:val="20"/>
          <w:szCs w:val="20"/>
        </w:rPr>
        <w:t>7 N</w:t>
      </w:r>
      <w:r w:rsidR="00626536">
        <w:rPr>
          <w:b/>
          <w:sz w:val="20"/>
          <w:szCs w:val="20"/>
        </w:rPr>
        <w:t>O</w:t>
      </w:r>
      <w:r>
        <w:rPr>
          <w:b/>
          <w:sz w:val="20"/>
          <w:szCs w:val="20"/>
        </w:rPr>
        <w:t>VE</w:t>
      </w:r>
      <w:r w:rsidR="00626536">
        <w:rPr>
          <w:b/>
          <w:sz w:val="20"/>
          <w:szCs w:val="20"/>
        </w:rPr>
        <w:t>MB</w:t>
      </w:r>
      <w:r>
        <w:rPr>
          <w:b/>
          <w:sz w:val="20"/>
          <w:szCs w:val="20"/>
        </w:rPr>
        <w:t>R</w:t>
      </w:r>
      <w:r w:rsidR="00626536">
        <w:rPr>
          <w:b/>
          <w:sz w:val="20"/>
          <w:szCs w:val="20"/>
        </w:rPr>
        <w:t>E</w:t>
      </w:r>
      <w:r w:rsidRPr="00C50A5C">
        <w:rPr>
          <w:b/>
          <w:sz w:val="20"/>
          <w:szCs w:val="20"/>
        </w:rPr>
        <w:t xml:space="preserve"> 201</w:t>
      </w:r>
      <w:r>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CB3520" w:rsidRPr="00C50A5C" w:rsidRDefault="00CB3520" w:rsidP="00CB3520">
      <w:pPr>
        <w:widowControl w:val="0"/>
        <w:rPr>
          <w:sz w:val="20"/>
          <w:szCs w:val="20"/>
          <w:lang w:val="fr-CA"/>
        </w:rPr>
      </w:pPr>
    </w:p>
    <w:p w:rsidR="00CB3520" w:rsidRPr="00C50A5C" w:rsidRDefault="000279CB" w:rsidP="00CB3520">
      <w:pPr>
        <w:pStyle w:val="ListParagraph"/>
        <w:widowControl w:val="0"/>
        <w:numPr>
          <w:ilvl w:val="0"/>
          <w:numId w:val="1"/>
        </w:numPr>
        <w:ind w:hanging="720"/>
        <w:jc w:val="both"/>
        <w:rPr>
          <w:sz w:val="20"/>
          <w:szCs w:val="20"/>
        </w:rPr>
      </w:pPr>
      <w:r w:rsidRPr="000279CB">
        <w:rPr>
          <w:i/>
          <w:sz w:val="20"/>
          <w:szCs w:val="20"/>
        </w:rPr>
        <w:t>S.A. v. Her Majesty the Queen</w:t>
      </w:r>
      <w:r w:rsidRPr="00815CC5">
        <w:rPr>
          <w:sz w:val="20"/>
          <w:szCs w:val="20"/>
        </w:rPr>
        <w:t xml:space="preserve"> (Alta.) (Crim.) (By Leave)</w:t>
      </w:r>
      <w:r w:rsidRPr="00C50A5C">
        <w:rPr>
          <w:sz w:val="20"/>
          <w:szCs w:val="20"/>
        </w:rPr>
        <w:t xml:space="preserve"> </w:t>
      </w:r>
      <w:r w:rsidR="00CB3520" w:rsidRPr="00C50A5C">
        <w:rPr>
          <w:sz w:val="20"/>
          <w:szCs w:val="20"/>
        </w:rPr>
        <w:t>(3</w:t>
      </w:r>
      <w:r w:rsidR="00CB3520">
        <w:rPr>
          <w:sz w:val="20"/>
          <w:szCs w:val="20"/>
        </w:rPr>
        <w:t>6</w:t>
      </w:r>
      <w:r>
        <w:rPr>
          <w:sz w:val="20"/>
          <w:szCs w:val="20"/>
        </w:rPr>
        <w:t>050</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0279CB" w:rsidP="00CB3520">
      <w:pPr>
        <w:pStyle w:val="ListParagraph"/>
        <w:widowControl w:val="0"/>
        <w:numPr>
          <w:ilvl w:val="0"/>
          <w:numId w:val="1"/>
        </w:numPr>
        <w:ind w:hanging="720"/>
        <w:jc w:val="both"/>
        <w:rPr>
          <w:sz w:val="20"/>
          <w:szCs w:val="20"/>
        </w:rPr>
      </w:pPr>
      <w:r w:rsidRPr="000279CB">
        <w:rPr>
          <w:i/>
          <w:sz w:val="20"/>
          <w:szCs w:val="20"/>
        </w:rPr>
        <w:t xml:space="preserve">Sebastian Miazga </w:t>
      </w:r>
      <w:r w:rsidR="00B57EC8">
        <w:rPr>
          <w:i/>
          <w:sz w:val="20"/>
          <w:szCs w:val="20"/>
        </w:rPr>
        <w:t xml:space="preserve">v. </w:t>
      </w:r>
      <w:r w:rsidRPr="000279CB">
        <w:rPr>
          <w:i/>
          <w:sz w:val="20"/>
          <w:szCs w:val="20"/>
        </w:rPr>
        <w:t>Her Majesty the Queen</w:t>
      </w:r>
      <w:r w:rsidRPr="00815CC5">
        <w:rPr>
          <w:sz w:val="20"/>
          <w:szCs w:val="20"/>
        </w:rPr>
        <w:t xml:space="preserve"> (B.C.) (Crim.) (By Leave)</w:t>
      </w:r>
      <w:r>
        <w:rPr>
          <w:sz w:val="20"/>
          <w:szCs w:val="20"/>
        </w:rPr>
        <w:t xml:space="preserve"> </w:t>
      </w:r>
      <w:r w:rsidR="00CB3520" w:rsidRPr="00C612D0">
        <w:rPr>
          <w:sz w:val="20"/>
          <w:szCs w:val="20"/>
        </w:rPr>
        <w:t>(3</w:t>
      </w:r>
      <w:r w:rsidR="00CB3520">
        <w:rPr>
          <w:sz w:val="20"/>
          <w:szCs w:val="20"/>
        </w:rPr>
        <w:t>6</w:t>
      </w:r>
      <w:r>
        <w:rPr>
          <w:sz w:val="20"/>
          <w:szCs w:val="20"/>
        </w:rPr>
        <w:t>114</w:t>
      </w:r>
      <w:r w:rsidR="00CB3520" w:rsidRPr="00C612D0">
        <w:rPr>
          <w:sz w:val="20"/>
          <w:szCs w:val="20"/>
        </w:rPr>
        <w:t>)</w:t>
      </w:r>
    </w:p>
    <w:p w:rsidR="00CB3520" w:rsidRPr="00C612D0" w:rsidRDefault="00CB3520" w:rsidP="00CB3520">
      <w:pPr>
        <w:widowControl w:val="0"/>
        <w:jc w:val="both"/>
        <w:rPr>
          <w:sz w:val="20"/>
          <w:szCs w:val="20"/>
        </w:rPr>
      </w:pPr>
    </w:p>
    <w:p w:rsidR="00CB3520" w:rsidRPr="000279CB" w:rsidRDefault="000279CB" w:rsidP="00CB3520">
      <w:pPr>
        <w:pStyle w:val="ListParagraph"/>
        <w:widowControl w:val="0"/>
        <w:numPr>
          <w:ilvl w:val="0"/>
          <w:numId w:val="1"/>
        </w:numPr>
        <w:ind w:hanging="720"/>
        <w:jc w:val="both"/>
        <w:rPr>
          <w:sz w:val="20"/>
          <w:szCs w:val="20"/>
          <w:lang w:val="fr-CA"/>
        </w:rPr>
      </w:pPr>
      <w:r w:rsidRPr="000279CB">
        <w:rPr>
          <w:i/>
          <w:sz w:val="20"/>
          <w:szCs w:val="20"/>
          <w:lang w:val="fr-CA"/>
        </w:rPr>
        <w:t>Pharmaprix Inc. et al. v. Régie de l’assurance maladie du Québec et al.</w:t>
      </w:r>
      <w:r w:rsidRPr="00815CC5">
        <w:rPr>
          <w:sz w:val="20"/>
          <w:szCs w:val="20"/>
          <w:lang w:val="fr-CA"/>
        </w:rPr>
        <w:t xml:space="preserve"> (Que.) (Civil) (By Leave)</w:t>
      </w:r>
      <w:r w:rsidRPr="000279CB">
        <w:rPr>
          <w:sz w:val="20"/>
          <w:szCs w:val="20"/>
          <w:lang w:val="fr-CA"/>
        </w:rPr>
        <w:t xml:space="preserve"> </w:t>
      </w:r>
      <w:r w:rsidR="00CB3520" w:rsidRPr="000279CB">
        <w:rPr>
          <w:sz w:val="20"/>
          <w:szCs w:val="20"/>
          <w:lang w:val="fr-CA"/>
        </w:rPr>
        <w:t>(3</w:t>
      </w:r>
      <w:r w:rsidRPr="000279CB">
        <w:rPr>
          <w:sz w:val="20"/>
          <w:szCs w:val="20"/>
          <w:lang w:val="fr-CA"/>
        </w:rPr>
        <w:t>60</w:t>
      </w:r>
      <w:r w:rsidR="00CB3520" w:rsidRPr="000279CB">
        <w:rPr>
          <w:sz w:val="20"/>
          <w:szCs w:val="20"/>
          <w:lang w:val="fr-CA"/>
        </w:rPr>
        <w:t>40)</w:t>
      </w:r>
    </w:p>
    <w:p w:rsidR="00CB3520" w:rsidRPr="000279CB" w:rsidRDefault="00CB3520" w:rsidP="00CB3520">
      <w:pPr>
        <w:widowControl w:val="0"/>
        <w:rPr>
          <w:sz w:val="20"/>
          <w:szCs w:val="20"/>
          <w:lang w:val="fr-CA"/>
        </w:rPr>
      </w:pPr>
    </w:p>
    <w:p w:rsidR="00CB3520" w:rsidRPr="00C50A5C" w:rsidRDefault="000279CB" w:rsidP="00CB3520">
      <w:pPr>
        <w:pStyle w:val="ListParagraph"/>
        <w:widowControl w:val="0"/>
        <w:numPr>
          <w:ilvl w:val="0"/>
          <w:numId w:val="1"/>
        </w:numPr>
        <w:ind w:hanging="720"/>
        <w:jc w:val="both"/>
        <w:rPr>
          <w:sz w:val="20"/>
          <w:szCs w:val="20"/>
        </w:rPr>
      </w:pPr>
      <w:r w:rsidRPr="000279CB">
        <w:rPr>
          <w:i/>
          <w:sz w:val="20"/>
          <w:szCs w:val="20"/>
        </w:rPr>
        <w:t>Caroline Wang v. British Columbia Medical Association (Canadian Medical Association - B.C. Division) et</w:t>
      </w:r>
      <w:r w:rsidR="00BB3A55">
        <w:rPr>
          <w:i/>
          <w:sz w:val="20"/>
          <w:szCs w:val="20"/>
        </w:rPr>
        <w:t> </w:t>
      </w:r>
      <w:r w:rsidRPr="000279CB">
        <w:rPr>
          <w:i/>
          <w:sz w:val="20"/>
          <w:szCs w:val="20"/>
        </w:rPr>
        <w:t>al.</w:t>
      </w:r>
      <w:r w:rsidRPr="00815CC5">
        <w:rPr>
          <w:sz w:val="20"/>
          <w:szCs w:val="20"/>
        </w:rPr>
        <w:t xml:space="preserve"> (B.C.) (Civil) (By Leave)</w:t>
      </w:r>
      <w:r w:rsidRPr="00C50A5C">
        <w:rPr>
          <w:sz w:val="20"/>
          <w:szCs w:val="20"/>
        </w:rPr>
        <w:t xml:space="preserve"> </w:t>
      </w:r>
      <w:r w:rsidR="00CB3520" w:rsidRPr="00C50A5C">
        <w:rPr>
          <w:sz w:val="20"/>
          <w:szCs w:val="20"/>
        </w:rPr>
        <w:t>(3</w:t>
      </w:r>
      <w:r w:rsidR="00CB3520">
        <w:rPr>
          <w:sz w:val="20"/>
          <w:szCs w:val="20"/>
        </w:rPr>
        <w:t>5</w:t>
      </w:r>
      <w:r>
        <w:rPr>
          <w:sz w:val="20"/>
          <w:szCs w:val="20"/>
        </w:rPr>
        <w:t>948</w:t>
      </w:r>
      <w:r w:rsidR="00CB3520" w:rsidRPr="00C50A5C">
        <w:rPr>
          <w:sz w:val="20"/>
          <w:szCs w:val="20"/>
        </w:rPr>
        <w:t>)</w:t>
      </w:r>
    </w:p>
    <w:p w:rsidR="00CB3520" w:rsidRDefault="00CB3520" w:rsidP="00CB3520">
      <w:pPr>
        <w:widowControl w:val="0"/>
        <w:jc w:val="both"/>
        <w:rPr>
          <w:sz w:val="20"/>
          <w:szCs w:val="20"/>
        </w:rPr>
      </w:pPr>
    </w:p>
    <w:p w:rsidR="000279CB" w:rsidRDefault="000279CB" w:rsidP="00CB3520">
      <w:pPr>
        <w:widowControl w:val="0"/>
        <w:jc w:val="both"/>
        <w:rPr>
          <w:sz w:val="20"/>
          <w:szCs w:val="20"/>
        </w:rPr>
      </w:pPr>
    </w:p>
    <w:p w:rsidR="000279CB" w:rsidRPr="00C50A5C" w:rsidRDefault="000279CB" w:rsidP="000279CB">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Gascon</w:t>
      </w:r>
      <w:r w:rsidRPr="00C50A5C">
        <w:rPr>
          <w:b/>
          <w:sz w:val="20"/>
          <w:szCs w:val="20"/>
        </w:rPr>
        <w:t xml:space="preserve"> JJ.</w:t>
      </w:r>
    </w:p>
    <w:p w:rsidR="000279CB" w:rsidRPr="00C50A5C" w:rsidRDefault="000279CB" w:rsidP="000279CB">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Gascon</w:t>
      </w:r>
    </w:p>
    <w:p w:rsidR="000279CB" w:rsidRPr="000279CB" w:rsidRDefault="000279CB" w:rsidP="00CB3520">
      <w:pPr>
        <w:widowControl w:val="0"/>
        <w:jc w:val="both"/>
        <w:rPr>
          <w:sz w:val="20"/>
          <w:szCs w:val="20"/>
          <w:lang w:val="fr-CA"/>
        </w:rPr>
      </w:pPr>
    </w:p>
    <w:p w:rsidR="00CB3520" w:rsidRPr="009C5D38" w:rsidRDefault="000279CB" w:rsidP="00CB3520">
      <w:pPr>
        <w:pStyle w:val="ListParagraph"/>
        <w:widowControl w:val="0"/>
        <w:numPr>
          <w:ilvl w:val="0"/>
          <w:numId w:val="1"/>
        </w:numPr>
        <w:ind w:hanging="720"/>
        <w:jc w:val="both"/>
        <w:rPr>
          <w:sz w:val="20"/>
          <w:szCs w:val="20"/>
        </w:rPr>
      </w:pPr>
      <w:r w:rsidRPr="000279CB">
        <w:rPr>
          <w:i/>
          <w:sz w:val="20"/>
          <w:szCs w:val="20"/>
        </w:rPr>
        <w:t>Her Majesty the Queen v. Nawaf Barerh Al-Enzi</w:t>
      </w:r>
      <w:r w:rsidRPr="00815CC5">
        <w:rPr>
          <w:sz w:val="20"/>
          <w:szCs w:val="20"/>
        </w:rPr>
        <w:t xml:space="preserve"> (Ont.) (Crim.) (By Leave)</w:t>
      </w:r>
      <w:r w:rsidRPr="009C5D38">
        <w:rPr>
          <w:sz w:val="20"/>
          <w:szCs w:val="20"/>
        </w:rPr>
        <w:t xml:space="preserve"> </w:t>
      </w:r>
      <w:r w:rsidR="00CB3520" w:rsidRPr="009C5D38">
        <w:rPr>
          <w:sz w:val="20"/>
          <w:szCs w:val="20"/>
        </w:rPr>
        <w:t>(36</w:t>
      </w:r>
      <w:r>
        <w:rPr>
          <w:sz w:val="20"/>
          <w:szCs w:val="20"/>
        </w:rPr>
        <w:t>08</w:t>
      </w:r>
      <w:r w:rsidR="00CB3520" w:rsidRPr="009C5D38">
        <w:rPr>
          <w:sz w:val="20"/>
          <w:szCs w:val="20"/>
        </w:rPr>
        <w:t>3)</w:t>
      </w:r>
    </w:p>
    <w:p w:rsidR="00CB3520" w:rsidRPr="000279CB" w:rsidRDefault="00CB3520" w:rsidP="00CB3520">
      <w:pPr>
        <w:widowControl w:val="0"/>
        <w:jc w:val="both"/>
        <w:rPr>
          <w:sz w:val="20"/>
          <w:szCs w:val="20"/>
        </w:rPr>
      </w:pPr>
    </w:p>
    <w:p w:rsidR="00CB3520" w:rsidRPr="000279CB" w:rsidRDefault="000279CB" w:rsidP="00CB3520">
      <w:pPr>
        <w:pStyle w:val="ListParagraph"/>
        <w:widowControl w:val="0"/>
        <w:numPr>
          <w:ilvl w:val="0"/>
          <w:numId w:val="1"/>
        </w:numPr>
        <w:ind w:hanging="720"/>
        <w:jc w:val="both"/>
        <w:rPr>
          <w:sz w:val="20"/>
          <w:szCs w:val="20"/>
        </w:rPr>
      </w:pPr>
      <w:r w:rsidRPr="000279CB">
        <w:rPr>
          <w:i/>
          <w:sz w:val="20"/>
          <w:szCs w:val="20"/>
        </w:rPr>
        <w:t>Terry Theo Thompson v. Her Majesty the Queen</w:t>
      </w:r>
      <w:r w:rsidRPr="00815CC5">
        <w:rPr>
          <w:sz w:val="20"/>
          <w:szCs w:val="20"/>
        </w:rPr>
        <w:t xml:space="preserve"> (Ont.) (Crim.) (By Leave)</w:t>
      </w:r>
      <w:r>
        <w:rPr>
          <w:sz w:val="20"/>
          <w:szCs w:val="20"/>
        </w:rPr>
        <w:t xml:space="preserve"> (</w:t>
      </w:r>
      <w:r w:rsidR="00CB3520" w:rsidRPr="000279CB">
        <w:rPr>
          <w:sz w:val="20"/>
          <w:szCs w:val="20"/>
        </w:rPr>
        <w:t>36</w:t>
      </w:r>
      <w:r>
        <w:rPr>
          <w:sz w:val="20"/>
          <w:szCs w:val="20"/>
        </w:rPr>
        <w:t>111</w:t>
      </w:r>
      <w:r w:rsidR="00CB3520" w:rsidRPr="000279CB">
        <w:rPr>
          <w:sz w:val="20"/>
          <w:szCs w:val="20"/>
        </w:rPr>
        <w:t>)</w:t>
      </w:r>
    </w:p>
    <w:p w:rsidR="00CB3520" w:rsidRPr="000279CB" w:rsidRDefault="00CB3520" w:rsidP="00CB3520">
      <w:pPr>
        <w:widowControl w:val="0"/>
        <w:jc w:val="both"/>
        <w:rPr>
          <w:sz w:val="20"/>
          <w:szCs w:val="20"/>
        </w:rPr>
      </w:pPr>
    </w:p>
    <w:p w:rsidR="00CB3520" w:rsidRPr="009C5D38" w:rsidRDefault="000279CB" w:rsidP="00CB3520">
      <w:pPr>
        <w:pStyle w:val="ListParagraph"/>
        <w:widowControl w:val="0"/>
        <w:numPr>
          <w:ilvl w:val="0"/>
          <w:numId w:val="1"/>
        </w:numPr>
        <w:ind w:hanging="720"/>
        <w:jc w:val="both"/>
        <w:rPr>
          <w:sz w:val="20"/>
          <w:szCs w:val="20"/>
        </w:rPr>
      </w:pPr>
      <w:r w:rsidRPr="000279CB">
        <w:rPr>
          <w:i/>
          <w:sz w:val="20"/>
          <w:szCs w:val="20"/>
        </w:rPr>
        <w:t>Kelly Hartle, Warden of the Edmonton Institution et al. v. Omar Ahmed Khadr</w:t>
      </w:r>
      <w:r w:rsidRPr="00815CC5">
        <w:rPr>
          <w:sz w:val="20"/>
          <w:szCs w:val="20"/>
        </w:rPr>
        <w:t xml:space="preserve"> (Alta.) (Crim.) (By Leave)</w:t>
      </w:r>
      <w:r w:rsidRPr="009C5D38">
        <w:rPr>
          <w:sz w:val="20"/>
          <w:szCs w:val="20"/>
        </w:rPr>
        <w:t xml:space="preserve"> </w:t>
      </w:r>
      <w:r w:rsidR="00CB3520" w:rsidRPr="009C5D38">
        <w:rPr>
          <w:sz w:val="20"/>
          <w:szCs w:val="20"/>
        </w:rPr>
        <w:t>(36</w:t>
      </w:r>
      <w:r>
        <w:rPr>
          <w:sz w:val="20"/>
          <w:szCs w:val="20"/>
        </w:rPr>
        <w:t>081</w:t>
      </w:r>
      <w:r w:rsidR="00CB3520" w:rsidRPr="009C5D38">
        <w:rPr>
          <w:sz w:val="20"/>
          <w:szCs w:val="20"/>
        </w:rPr>
        <w:t>)</w:t>
      </w:r>
    </w:p>
    <w:p w:rsidR="00CB3520" w:rsidRPr="009C5D38" w:rsidRDefault="00CB3520" w:rsidP="00CB3520">
      <w:pPr>
        <w:widowControl w:val="0"/>
        <w:jc w:val="both"/>
        <w:rPr>
          <w:sz w:val="20"/>
          <w:szCs w:val="20"/>
        </w:rPr>
      </w:pPr>
    </w:p>
    <w:p w:rsidR="00CB3520" w:rsidRPr="000279CB" w:rsidRDefault="000279CB" w:rsidP="00CB3520">
      <w:pPr>
        <w:pStyle w:val="ListParagraph"/>
        <w:widowControl w:val="0"/>
        <w:numPr>
          <w:ilvl w:val="0"/>
          <w:numId w:val="1"/>
        </w:numPr>
        <w:ind w:hanging="720"/>
        <w:jc w:val="both"/>
        <w:rPr>
          <w:sz w:val="20"/>
          <w:szCs w:val="20"/>
        </w:rPr>
      </w:pPr>
      <w:r w:rsidRPr="000279CB">
        <w:rPr>
          <w:i/>
          <w:sz w:val="20"/>
          <w:szCs w:val="20"/>
          <w:lang w:val="fr-CA"/>
        </w:rPr>
        <w:t>Jules Bossé et al. v. Financement Agricole Canada</w:t>
      </w:r>
      <w:r w:rsidRPr="000279CB">
        <w:rPr>
          <w:sz w:val="20"/>
          <w:szCs w:val="20"/>
          <w:lang w:val="fr-CA"/>
        </w:rPr>
        <w:t xml:space="preserve"> (N.B.) </w:t>
      </w:r>
      <w:r w:rsidRPr="00815CC5">
        <w:rPr>
          <w:sz w:val="20"/>
          <w:szCs w:val="20"/>
        </w:rPr>
        <w:t>(Civil) (By Leave)</w:t>
      </w:r>
      <w:r w:rsidRPr="000279CB">
        <w:rPr>
          <w:sz w:val="20"/>
          <w:szCs w:val="20"/>
        </w:rPr>
        <w:t xml:space="preserve"> </w:t>
      </w:r>
      <w:r w:rsidR="00CB3520" w:rsidRPr="000279CB">
        <w:rPr>
          <w:sz w:val="20"/>
          <w:szCs w:val="20"/>
        </w:rPr>
        <w:t>(36</w:t>
      </w:r>
      <w:r w:rsidRPr="000279CB">
        <w:rPr>
          <w:sz w:val="20"/>
          <w:szCs w:val="20"/>
        </w:rPr>
        <w:t>0</w:t>
      </w:r>
      <w:r w:rsidR="00CB3520" w:rsidRPr="000279CB">
        <w:rPr>
          <w:sz w:val="20"/>
          <w:szCs w:val="20"/>
        </w:rPr>
        <w:t>2</w:t>
      </w:r>
      <w:r w:rsidRPr="000279CB">
        <w:rPr>
          <w:sz w:val="20"/>
          <w:szCs w:val="20"/>
        </w:rPr>
        <w:t>6</w:t>
      </w:r>
      <w:r w:rsidR="00CB3520" w:rsidRPr="000279CB">
        <w:rPr>
          <w:sz w:val="20"/>
          <w:szCs w:val="20"/>
        </w:rPr>
        <w:t>)</w:t>
      </w:r>
    </w:p>
    <w:p w:rsidR="00CB3520" w:rsidRPr="000279CB" w:rsidRDefault="00CB3520" w:rsidP="00CB3520">
      <w:pPr>
        <w:widowControl w:val="0"/>
        <w:rPr>
          <w:sz w:val="20"/>
          <w:szCs w:val="20"/>
        </w:rPr>
      </w:pPr>
    </w:p>
    <w:p w:rsidR="000279CB" w:rsidRPr="000279CB" w:rsidRDefault="000279CB" w:rsidP="00CB3520">
      <w:pPr>
        <w:widowControl w:val="0"/>
        <w:rPr>
          <w:sz w:val="20"/>
          <w:szCs w:val="20"/>
        </w:rPr>
      </w:pPr>
    </w:p>
    <w:p w:rsidR="000279CB" w:rsidRPr="00C50A5C" w:rsidRDefault="000279CB" w:rsidP="000279CB">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0279CB" w:rsidRPr="00C50A5C" w:rsidRDefault="000279CB" w:rsidP="000279CB">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0279CB" w:rsidRDefault="000279CB" w:rsidP="00CB3520">
      <w:pPr>
        <w:widowControl w:val="0"/>
        <w:rPr>
          <w:sz w:val="20"/>
          <w:szCs w:val="20"/>
          <w:lang w:val="fr-CA"/>
        </w:rPr>
      </w:pPr>
    </w:p>
    <w:p w:rsidR="00CB3520" w:rsidRPr="000279CB" w:rsidRDefault="000279CB" w:rsidP="00CB3520">
      <w:pPr>
        <w:pStyle w:val="ListParagraph"/>
        <w:widowControl w:val="0"/>
        <w:numPr>
          <w:ilvl w:val="0"/>
          <w:numId w:val="1"/>
        </w:numPr>
        <w:ind w:hanging="720"/>
        <w:jc w:val="both"/>
        <w:rPr>
          <w:sz w:val="20"/>
          <w:szCs w:val="20"/>
        </w:rPr>
      </w:pPr>
      <w:r w:rsidRPr="000279CB">
        <w:rPr>
          <w:i/>
          <w:sz w:val="20"/>
          <w:szCs w:val="20"/>
        </w:rPr>
        <w:t>Brandon William Lane a.k.a "BossHiaka" v. Attorney General of Canada on behalf of the United States of America</w:t>
      </w:r>
      <w:r w:rsidRPr="00815CC5">
        <w:rPr>
          <w:sz w:val="20"/>
          <w:szCs w:val="20"/>
        </w:rPr>
        <w:t xml:space="preserve"> (Ont.) (Crim.) (By Leave)</w:t>
      </w:r>
      <w:r w:rsidRPr="000279CB">
        <w:rPr>
          <w:sz w:val="20"/>
          <w:szCs w:val="20"/>
        </w:rPr>
        <w:t xml:space="preserve"> </w:t>
      </w:r>
      <w:r w:rsidR="00CB3520" w:rsidRPr="000279CB">
        <w:rPr>
          <w:sz w:val="20"/>
          <w:szCs w:val="20"/>
        </w:rPr>
        <w:t>(360</w:t>
      </w:r>
      <w:r w:rsidRPr="000279CB">
        <w:rPr>
          <w:sz w:val="20"/>
          <w:szCs w:val="20"/>
        </w:rPr>
        <w:t>94</w:t>
      </w:r>
      <w:r w:rsidR="00CB3520" w:rsidRPr="000279CB">
        <w:rPr>
          <w:sz w:val="20"/>
          <w:szCs w:val="20"/>
        </w:rPr>
        <w:t>)</w:t>
      </w:r>
    </w:p>
    <w:p w:rsidR="00CB3520" w:rsidRPr="000279CB" w:rsidRDefault="00CB3520" w:rsidP="00CB3520">
      <w:pPr>
        <w:widowControl w:val="0"/>
        <w:jc w:val="both"/>
        <w:rPr>
          <w:sz w:val="20"/>
          <w:szCs w:val="20"/>
        </w:rPr>
      </w:pPr>
    </w:p>
    <w:p w:rsidR="00CB3520" w:rsidRPr="00115C9E" w:rsidRDefault="000279CB" w:rsidP="00CB3520">
      <w:pPr>
        <w:pStyle w:val="ListParagraph"/>
        <w:widowControl w:val="0"/>
        <w:numPr>
          <w:ilvl w:val="0"/>
          <w:numId w:val="1"/>
        </w:numPr>
        <w:ind w:hanging="720"/>
        <w:jc w:val="both"/>
        <w:rPr>
          <w:sz w:val="20"/>
          <w:szCs w:val="20"/>
        </w:rPr>
      </w:pPr>
      <w:r w:rsidRPr="000279CB">
        <w:rPr>
          <w:i/>
          <w:sz w:val="20"/>
          <w:szCs w:val="20"/>
        </w:rPr>
        <w:t>Minister of Justice and Attorney General for Alberta v. Heng Kiet Kouch</w:t>
      </w:r>
      <w:r w:rsidRPr="00815CC5">
        <w:rPr>
          <w:sz w:val="20"/>
          <w:szCs w:val="20"/>
        </w:rPr>
        <w:t xml:space="preserve"> (Alta.) (Crim.) (By Leave)</w:t>
      </w:r>
      <w:r w:rsidRPr="00115C9E">
        <w:rPr>
          <w:sz w:val="20"/>
          <w:szCs w:val="20"/>
        </w:rPr>
        <w:t xml:space="preserve"> </w:t>
      </w:r>
      <w:r w:rsidR="00CB3520" w:rsidRPr="00115C9E">
        <w:rPr>
          <w:sz w:val="20"/>
          <w:szCs w:val="20"/>
        </w:rPr>
        <w:t>(3</w:t>
      </w:r>
      <w:r>
        <w:rPr>
          <w:sz w:val="20"/>
          <w:szCs w:val="20"/>
        </w:rPr>
        <w:t>6</w:t>
      </w:r>
      <w:r w:rsidR="00CB3520">
        <w:rPr>
          <w:sz w:val="20"/>
          <w:szCs w:val="20"/>
        </w:rPr>
        <w:t>1</w:t>
      </w:r>
      <w:r>
        <w:rPr>
          <w:sz w:val="20"/>
          <w:szCs w:val="20"/>
        </w:rPr>
        <w:t>05</w:t>
      </w:r>
      <w:r w:rsidR="00CB3520" w:rsidRPr="00115C9E">
        <w:rPr>
          <w:sz w:val="20"/>
          <w:szCs w:val="20"/>
        </w:rPr>
        <w:t>)</w:t>
      </w:r>
    </w:p>
    <w:p w:rsidR="00CB3520" w:rsidRPr="000279CB" w:rsidRDefault="00CB3520" w:rsidP="00CB3520">
      <w:pPr>
        <w:widowControl w:val="0"/>
        <w:jc w:val="both"/>
        <w:rPr>
          <w:sz w:val="20"/>
          <w:szCs w:val="20"/>
        </w:rPr>
      </w:pPr>
    </w:p>
    <w:p w:rsidR="00CB3520" w:rsidRPr="00115C9E" w:rsidRDefault="000279CB" w:rsidP="00CB3520">
      <w:pPr>
        <w:pStyle w:val="ListParagraph"/>
        <w:widowControl w:val="0"/>
        <w:numPr>
          <w:ilvl w:val="0"/>
          <w:numId w:val="1"/>
        </w:numPr>
        <w:ind w:hanging="720"/>
        <w:jc w:val="both"/>
        <w:rPr>
          <w:sz w:val="20"/>
          <w:szCs w:val="20"/>
        </w:rPr>
      </w:pPr>
      <w:r w:rsidRPr="000279CB">
        <w:rPr>
          <w:i/>
          <w:sz w:val="20"/>
          <w:szCs w:val="20"/>
        </w:rPr>
        <w:t>572757 Alberta Ltd. et al. v. Sprague-Rosser Contracting Co. Ltd.</w:t>
      </w:r>
      <w:r w:rsidRPr="000279CB">
        <w:rPr>
          <w:sz w:val="20"/>
          <w:szCs w:val="20"/>
        </w:rPr>
        <w:t xml:space="preserve"> </w:t>
      </w:r>
      <w:r w:rsidRPr="000279CB">
        <w:rPr>
          <w:sz w:val="20"/>
          <w:szCs w:val="20"/>
          <w:lang w:val="fr-CA"/>
        </w:rPr>
        <w:t xml:space="preserve">(Alta.) </w:t>
      </w:r>
      <w:r w:rsidRPr="00815CC5">
        <w:rPr>
          <w:sz w:val="20"/>
          <w:szCs w:val="20"/>
        </w:rPr>
        <w:t>(Civil) (By Leave)</w:t>
      </w:r>
      <w:r w:rsidRPr="00115C9E">
        <w:rPr>
          <w:sz w:val="20"/>
          <w:szCs w:val="20"/>
        </w:rPr>
        <w:t xml:space="preserve"> </w:t>
      </w:r>
      <w:r w:rsidR="00CB3520" w:rsidRPr="00115C9E">
        <w:rPr>
          <w:sz w:val="20"/>
          <w:szCs w:val="20"/>
        </w:rPr>
        <w:t>(3</w:t>
      </w:r>
      <w:r w:rsidR="00CB3520">
        <w:rPr>
          <w:sz w:val="20"/>
          <w:szCs w:val="20"/>
        </w:rPr>
        <w:t>60</w:t>
      </w:r>
      <w:r>
        <w:rPr>
          <w:sz w:val="20"/>
          <w:szCs w:val="20"/>
        </w:rPr>
        <w:t>25</w:t>
      </w:r>
      <w:r w:rsidR="00CB3520" w:rsidRPr="00115C9E">
        <w:rPr>
          <w:sz w:val="20"/>
          <w:szCs w:val="20"/>
        </w:rPr>
        <w:t>)</w:t>
      </w:r>
    </w:p>
    <w:p w:rsidR="00CB3520" w:rsidRPr="00115C9E" w:rsidRDefault="00CB3520" w:rsidP="00CB3520">
      <w:pPr>
        <w:widowControl w:val="0"/>
        <w:jc w:val="both"/>
        <w:rPr>
          <w:sz w:val="20"/>
          <w:szCs w:val="20"/>
        </w:rPr>
      </w:pPr>
    </w:p>
    <w:p w:rsidR="00CB3520" w:rsidRDefault="000279CB" w:rsidP="00CB3520">
      <w:pPr>
        <w:pStyle w:val="ListParagraph"/>
        <w:widowControl w:val="0"/>
        <w:numPr>
          <w:ilvl w:val="0"/>
          <w:numId w:val="1"/>
        </w:numPr>
        <w:ind w:hanging="720"/>
        <w:jc w:val="both"/>
        <w:rPr>
          <w:sz w:val="20"/>
          <w:szCs w:val="20"/>
        </w:rPr>
      </w:pPr>
      <w:r w:rsidRPr="000279CB">
        <w:rPr>
          <w:i/>
          <w:sz w:val="20"/>
          <w:szCs w:val="20"/>
        </w:rPr>
        <w:t>Edward  Goldentuler v. Mercedes-Benz Canada Inc. et al.</w:t>
      </w:r>
      <w:r w:rsidRPr="00815CC5">
        <w:rPr>
          <w:sz w:val="20"/>
          <w:szCs w:val="20"/>
        </w:rPr>
        <w:t xml:space="preserve"> (Ont.) (Civil) (By Leave)</w:t>
      </w:r>
      <w:r w:rsidRPr="00C50A5C">
        <w:rPr>
          <w:sz w:val="20"/>
          <w:szCs w:val="20"/>
        </w:rPr>
        <w:t xml:space="preserve"> </w:t>
      </w:r>
      <w:r w:rsidR="00CB3520" w:rsidRPr="00C50A5C">
        <w:rPr>
          <w:sz w:val="20"/>
          <w:szCs w:val="20"/>
        </w:rPr>
        <w:t>(3</w:t>
      </w:r>
      <w:r w:rsidR="00CB3520">
        <w:rPr>
          <w:sz w:val="20"/>
          <w:szCs w:val="20"/>
        </w:rPr>
        <w:t>6</w:t>
      </w:r>
      <w:r>
        <w:rPr>
          <w:sz w:val="20"/>
          <w:szCs w:val="20"/>
        </w:rPr>
        <w:t>06</w:t>
      </w:r>
      <w:r w:rsidR="00CB3520">
        <w:rPr>
          <w:sz w:val="20"/>
          <w:szCs w:val="20"/>
        </w:rPr>
        <w:t>3</w:t>
      </w:r>
      <w:r w:rsidR="00CB3520" w:rsidRPr="00C50A5C">
        <w:rPr>
          <w:sz w:val="20"/>
          <w:szCs w:val="20"/>
        </w:rPr>
        <w:t>)</w:t>
      </w:r>
    </w:p>
    <w:p w:rsidR="002E2327" w:rsidRPr="00CB3520" w:rsidRDefault="002E2327" w:rsidP="002E2327">
      <w:pPr>
        <w:widowControl w:val="0"/>
        <w:rPr>
          <w:sz w:val="20"/>
          <w:szCs w:val="20"/>
        </w:rPr>
      </w:pPr>
    </w:p>
    <w:p w:rsidR="002E2327" w:rsidRDefault="00690162" w:rsidP="002E2327">
      <w:pPr>
        <w:widowControl w:val="0"/>
        <w:rPr>
          <w:sz w:val="20"/>
          <w:szCs w:val="20"/>
        </w:rPr>
      </w:pPr>
      <w:r>
        <w:rPr>
          <w:sz w:val="20"/>
          <w:szCs w:val="20"/>
        </w:rPr>
        <w:pict>
          <v:rect id="_x0000_i1041" style="width:2in;height:1pt" o:hrpct="0" o:hralign="center" o:hrstd="t" o:hrnoshade="t" o:hr="t" fillcolor="black [3213]" stroked="f"/>
        </w:pict>
      </w:r>
    </w:p>
    <w:p w:rsidR="00D94028" w:rsidRDefault="00D94028" w:rsidP="002E2327">
      <w:pPr>
        <w:widowControl w:val="0"/>
        <w:rPr>
          <w:sz w:val="20"/>
          <w:szCs w:val="20"/>
        </w:rPr>
      </w:pPr>
    </w:p>
    <w:p w:rsidR="00815CC5" w:rsidRPr="00815CC5" w:rsidRDefault="00815CC5" w:rsidP="00815CC5">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690162"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915D6A" w:rsidP="000E2959">
      <w:pPr>
        <w:rPr>
          <w:b/>
          <w:sz w:val="20"/>
          <w:szCs w:val="20"/>
        </w:rPr>
      </w:pPr>
      <w:r>
        <w:rPr>
          <w:b/>
          <w:sz w:val="20"/>
          <w:szCs w:val="20"/>
        </w:rPr>
        <w:t xml:space="preserve">NOVEMBER </w:t>
      </w:r>
      <w:r w:rsidR="000E2959" w:rsidRPr="00C50A5C">
        <w:rPr>
          <w:b/>
          <w:sz w:val="20"/>
          <w:szCs w:val="20"/>
        </w:rPr>
        <w:t>2</w:t>
      </w:r>
      <w:r>
        <w:rPr>
          <w:b/>
          <w:sz w:val="20"/>
          <w:szCs w:val="20"/>
        </w:rPr>
        <w:t>0</w:t>
      </w:r>
      <w:r w:rsidR="000E2959" w:rsidRPr="00C50A5C">
        <w:rPr>
          <w:b/>
          <w:sz w:val="20"/>
          <w:szCs w:val="20"/>
        </w:rPr>
        <w:t>, 201</w:t>
      </w:r>
      <w:r>
        <w:rPr>
          <w:b/>
          <w:sz w:val="20"/>
          <w:szCs w:val="20"/>
        </w:rPr>
        <w:t>4</w:t>
      </w:r>
      <w:r w:rsidR="000E2959" w:rsidRPr="00C50A5C">
        <w:rPr>
          <w:b/>
          <w:sz w:val="20"/>
          <w:szCs w:val="20"/>
        </w:rPr>
        <w:t xml:space="preserve"> / LE 2</w:t>
      </w:r>
      <w:r>
        <w:rPr>
          <w:b/>
          <w:sz w:val="20"/>
          <w:szCs w:val="20"/>
        </w:rPr>
        <w:t>0 NOVE</w:t>
      </w:r>
      <w:r w:rsidR="000E2959">
        <w:rPr>
          <w:b/>
          <w:sz w:val="20"/>
          <w:szCs w:val="20"/>
        </w:rPr>
        <w:t>M</w:t>
      </w:r>
      <w:r>
        <w:rPr>
          <w:b/>
          <w:sz w:val="20"/>
          <w:szCs w:val="20"/>
        </w:rPr>
        <w:t>BRE</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B1FB0" w:rsidRPr="006B1FB0" w:rsidTr="00650BC1">
        <w:trPr>
          <w:cantSplit/>
        </w:trPr>
        <w:tc>
          <w:tcPr>
            <w:tcW w:w="1458" w:type="dxa"/>
          </w:tcPr>
          <w:p w:rsidR="006B1FB0" w:rsidRPr="006B1FB0" w:rsidRDefault="006B1FB0" w:rsidP="006B1FB0">
            <w:pPr>
              <w:rPr>
                <w:sz w:val="20"/>
              </w:rPr>
            </w:pPr>
            <w:r w:rsidRPr="006B1FB0">
              <w:rPr>
                <w:b/>
                <w:sz w:val="20"/>
                <w:lang w:val="fr-CA"/>
              </w:rPr>
              <w:t>35825</w:t>
            </w:r>
          </w:p>
          <w:p w:rsidR="006B1FB0" w:rsidRPr="006B1FB0" w:rsidRDefault="006B1FB0" w:rsidP="006B1FB0">
            <w:pPr>
              <w:rPr>
                <w:b/>
                <w:sz w:val="20"/>
                <w:lang w:val="fr-CA"/>
              </w:rPr>
            </w:pPr>
          </w:p>
        </w:tc>
        <w:tc>
          <w:tcPr>
            <w:tcW w:w="8118" w:type="dxa"/>
          </w:tcPr>
          <w:p w:rsidR="006B1FB0" w:rsidRPr="006B1FB0" w:rsidRDefault="006B1FB0" w:rsidP="006B1FB0">
            <w:pPr>
              <w:rPr>
                <w:sz w:val="20"/>
              </w:rPr>
            </w:pPr>
            <w:r w:rsidRPr="006B1FB0">
              <w:rPr>
                <w:b/>
                <w:sz w:val="20"/>
                <w:u w:val="single"/>
              </w:rPr>
              <w:t>Tanya Sietzema v. Economical Mutual Insurance Company</w:t>
            </w:r>
            <w:r w:rsidRPr="006B1FB0">
              <w:rPr>
                <w:sz w:val="20"/>
              </w:rPr>
              <w:t xml:space="preserve"> (Ont.) (Civil) (By Leave)</w:t>
            </w:r>
          </w:p>
          <w:p w:rsidR="006B1FB0" w:rsidRPr="006B1FB0" w:rsidRDefault="006B1FB0" w:rsidP="006B1FB0">
            <w:pPr>
              <w:rPr>
                <w:sz w:val="20"/>
              </w:rPr>
            </w:pPr>
          </w:p>
        </w:tc>
      </w:tr>
      <w:tr w:rsidR="006B1FB0" w:rsidRPr="006B1FB0" w:rsidTr="00650BC1">
        <w:trPr>
          <w:cantSplit/>
        </w:trPr>
        <w:tc>
          <w:tcPr>
            <w:tcW w:w="1458" w:type="dxa"/>
          </w:tcPr>
          <w:p w:rsidR="006B1FB0" w:rsidRPr="006B1FB0" w:rsidRDefault="006B1FB0" w:rsidP="006B1FB0">
            <w:pPr>
              <w:rPr>
                <w:sz w:val="20"/>
              </w:rPr>
            </w:pPr>
            <w:r w:rsidRPr="006B1FB0">
              <w:rPr>
                <w:sz w:val="20"/>
              </w:rPr>
              <w:t>Coram :</w:t>
            </w:r>
          </w:p>
        </w:tc>
        <w:tc>
          <w:tcPr>
            <w:tcW w:w="8118" w:type="dxa"/>
          </w:tcPr>
          <w:p w:rsidR="006B1FB0" w:rsidRPr="006B1FB0" w:rsidRDefault="006B1FB0" w:rsidP="006B1FB0">
            <w:pPr>
              <w:rPr>
                <w:sz w:val="20"/>
              </w:rPr>
            </w:pPr>
            <w:r w:rsidRPr="006B1FB0">
              <w:rPr>
                <w:sz w:val="20"/>
                <w:u w:val="single"/>
              </w:rPr>
              <w:t>LeBel, Karakatsanis and Gascon JJ.</w:t>
            </w:r>
          </w:p>
          <w:p w:rsidR="006B1FB0" w:rsidRPr="006B1FB0" w:rsidRDefault="006B1FB0" w:rsidP="006B1FB0">
            <w:pPr>
              <w:rPr>
                <w:sz w:val="20"/>
                <w:u w:val="single"/>
              </w:rPr>
            </w:pPr>
          </w:p>
        </w:tc>
      </w:tr>
      <w:tr w:rsidR="006B1FB0" w:rsidRPr="00690162" w:rsidTr="00650BC1">
        <w:trPr>
          <w:cantSplit/>
        </w:trPr>
        <w:tc>
          <w:tcPr>
            <w:tcW w:w="9576" w:type="dxa"/>
            <w:gridSpan w:val="2"/>
          </w:tcPr>
          <w:p w:rsidR="006B1FB0" w:rsidRPr="006B1FB0" w:rsidRDefault="006B1FB0" w:rsidP="006B1FB0">
            <w:pPr>
              <w:ind w:firstLine="720"/>
              <w:jc w:val="both"/>
              <w:rPr>
                <w:sz w:val="20"/>
              </w:rPr>
            </w:pPr>
            <w:r w:rsidRPr="006B1FB0">
              <w:rPr>
                <w:sz w:val="20"/>
              </w:rPr>
              <w:t>The application for leave to appeal from the judgment of the Court of Appeal for Ontario, Number C57368, 2014 ONCA 111, dated February 11, 2014, is dismissed with costs.</w:t>
            </w:r>
          </w:p>
          <w:p w:rsidR="006B1FB0" w:rsidRPr="006B1FB0" w:rsidRDefault="006B1FB0" w:rsidP="006B1FB0">
            <w:pPr>
              <w:jc w:val="both"/>
              <w:rPr>
                <w:sz w:val="20"/>
              </w:rPr>
            </w:pPr>
          </w:p>
          <w:p w:rsidR="006B1FB0" w:rsidRPr="006B1FB0" w:rsidRDefault="006B1FB0" w:rsidP="006B1FB0">
            <w:pPr>
              <w:ind w:firstLine="720"/>
              <w:jc w:val="both"/>
              <w:rPr>
                <w:sz w:val="20"/>
                <w:lang w:val="fr-CA"/>
              </w:rPr>
            </w:pPr>
            <w:r w:rsidRPr="006B1FB0">
              <w:rPr>
                <w:sz w:val="20"/>
                <w:lang w:val="fr-CA"/>
              </w:rPr>
              <w:t>La demande d’autorisation d’appel de l’arrêt de la Cour d’appel de l’Ontario, numéro C57368, 2014 ONCA 111, daté du 11 février 2014, est rejetée avec dépens.</w:t>
            </w:r>
          </w:p>
        </w:tc>
      </w:tr>
    </w:tbl>
    <w:p w:rsidR="00915D6A" w:rsidRPr="0016547E" w:rsidRDefault="00915D6A" w:rsidP="00915D6A">
      <w:pPr>
        <w:rPr>
          <w:sz w:val="20"/>
          <w:szCs w:val="20"/>
          <w:lang w:val="fr-CA"/>
        </w:rPr>
      </w:pPr>
    </w:p>
    <w:p w:rsidR="00915D6A" w:rsidRPr="001B157C" w:rsidRDefault="00915D6A" w:rsidP="00915D6A">
      <w:pPr>
        <w:rPr>
          <w:sz w:val="20"/>
          <w:szCs w:val="20"/>
          <w:u w:val="single"/>
        </w:rPr>
      </w:pPr>
      <w:r w:rsidRPr="001B157C">
        <w:rPr>
          <w:sz w:val="20"/>
          <w:szCs w:val="20"/>
          <w:u w:val="single"/>
        </w:rPr>
        <w:t>CASE SUMMARY</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14D8D" w:rsidRPr="00A16F83" w:rsidTr="004B1C37">
        <w:tc>
          <w:tcPr>
            <w:tcW w:w="5000" w:type="pct"/>
            <w:gridSpan w:val="3"/>
          </w:tcPr>
          <w:p w:rsidR="00614D8D" w:rsidRPr="00A16F83" w:rsidRDefault="00614D8D" w:rsidP="004B1C37">
            <w:pPr>
              <w:jc w:val="both"/>
              <w:rPr>
                <w:rFonts w:eastAsia="Calibri"/>
                <w:sz w:val="20"/>
                <w:szCs w:val="20"/>
              </w:rPr>
            </w:pPr>
            <w:r w:rsidRPr="00A16F83">
              <w:rPr>
                <w:rFonts w:eastAsia="Calibri"/>
                <w:sz w:val="20"/>
                <w:szCs w:val="20"/>
              </w:rPr>
              <w:t>Limitation of actions – Insurance Law – Whether insurer’s refusal to pay a benefit must be clear and unequivocal in order to trigger a limitation period – What is required of insurer to meet a clear and unequivocal standard.</w:t>
            </w:r>
          </w:p>
        </w:tc>
      </w:tr>
      <w:tr w:rsidR="00614D8D" w:rsidRPr="00A16F83" w:rsidTr="004B1C37">
        <w:tc>
          <w:tcPr>
            <w:tcW w:w="5000" w:type="pct"/>
            <w:gridSpan w:val="3"/>
          </w:tcPr>
          <w:p w:rsidR="00614D8D" w:rsidRPr="00A16F83" w:rsidRDefault="00614D8D" w:rsidP="004B1C37">
            <w:pPr>
              <w:jc w:val="both"/>
              <w:rPr>
                <w:rFonts w:eastAsia="Calibri"/>
                <w:sz w:val="20"/>
                <w:szCs w:val="20"/>
              </w:rPr>
            </w:pPr>
          </w:p>
        </w:tc>
      </w:tr>
      <w:tr w:rsidR="00614D8D" w:rsidRPr="00A16F83" w:rsidTr="004B1C37">
        <w:tc>
          <w:tcPr>
            <w:tcW w:w="5000" w:type="pct"/>
            <w:gridSpan w:val="3"/>
          </w:tcPr>
          <w:p w:rsidR="00614D8D" w:rsidRPr="00A16F83" w:rsidRDefault="00614D8D" w:rsidP="004B1C37">
            <w:pPr>
              <w:jc w:val="both"/>
              <w:rPr>
                <w:rFonts w:eastAsia="Calibri"/>
                <w:sz w:val="20"/>
                <w:szCs w:val="20"/>
              </w:rPr>
            </w:pPr>
            <w:r w:rsidRPr="00A16F83">
              <w:rPr>
                <w:rFonts w:eastAsia="Calibri"/>
                <w:sz w:val="20"/>
                <w:szCs w:val="20"/>
              </w:rPr>
              <w:t xml:space="preserve">Ms. Sietzema was injured in a car accident in 2005.  On December 19, 2005, Economical Mutual Insurance Company denied Non-Earner Benefits, stating that it did so because Ms. Sietzema was employed at the time of the accident.  It paid Income Replacement Benefits of $400 per week until March 2, 2006.  Ms. Sietzema returned to work in February, 2006. </w:t>
            </w:r>
            <w:r w:rsidRPr="00A16F83">
              <w:rPr>
                <w:rFonts w:eastAsia="Calibri"/>
                <w:i/>
                <w:sz w:val="20"/>
                <w:szCs w:val="20"/>
              </w:rPr>
              <w:t>Galdamez v. Allstate Insurance Company of Canada</w:t>
            </w:r>
            <w:r w:rsidRPr="00A16F83">
              <w:rPr>
                <w:rFonts w:eastAsia="Calibri"/>
                <w:sz w:val="20"/>
                <w:szCs w:val="20"/>
              </w:rPr>
              <w:t xml:space="preserve">, </w:t>
            </w:r>
            <w:hyperlink r:id="rId24" w:tgtFrame="_parent" w:history="1">
              <w:r w:rsidRPr="00A16F83">
                <w:rPr>
                  <w:rFonts w:eastAsia="Calibri"/>
                  <w:color w:val="000000"/>
                  <w:sz w:val="20"/>
                  <w:szCs w:val="20"/>
                  <w:u w:val="single"/>
                </w:rPr>
                <w:t>2012 ONCA 508</w:t>
              </w:r>
            </w:hyperlink>
            <w:r w:rsidRPr="00A16F83">
              <w:rPr>
                <w:rFonts w:eastAsia="Calibri"/>
                <w:color w:val="000000"/>
                <w:sz w:val="20"/>
                <w:szCs w:val="20"/>
              </w:rPr>
              <w:t>,</w:t>
            </w:r>
            <w:r w:rsidRPr="00A16F83">
              <w:rPr>
                <w:rFonts w:eastAsia="Calibri"/>
                <w:sz w:val="20"/>
                <w:szCs w:val="20"/>
              </w:rPr>
              <w:t xml:space="preserve"> subsequently clarified that a person able to continue to work may nevertheless qualify for Non-Earner Benefits.  Ms. Sietzema filed for arbitration seeking Non-Earner Benefits in April 2012 and then filed a Statement of Claim on April 14, 2011.  Economical Mutual Insurance Company applied for summary judgment dismissing the claim, arguing it was statute-barred by a two year limitation period that began when it denied Non-Earner Benefits.</w:t>
            </w:r>
          </w:p>
          <w:p w:rsidR="00614D8D" w:rsidRPr="00A16F83" w:rsidRDefault="00614D8D" w:rsidP="004B1C37">
            <w:pPr>
              <w:jc w:val="both"/>
              <w:rPr>
                <w:rFonts w:eastAsia="Calibri"/>
                <w:sz w:val="20"/>
                <w:szCs w:val="20"/>
              </w:rPr>
            </w:pPr>
          </w:p>
        </w:tc>
      </w:tr>
      <w:tr w:rsidR="00614D8D" w:rsidRPr="00A16F83" w:rsidTr="004B1C37">
        <w:tc>
          <w:tcPr>
            <w:tcW w:w="2427" w:type="pct"/>
          </w:tcPr>
          <w:p w:rsidR="00614D8D" w:rsidRPr="00A16F83" w:rsidRDefault="00614D8D" w:rsidP="004B1C37">
            <w:pPr>
              <w:jc w:val="both"/>
              <w:rPr>
                <w:rFonts w:eastAsia="Calibri"/>
                <w:sz w:val="20"/>
                <w:szCs w:val="20"/>
              </w:rPr>
            </w:pPr>
            <w:r w:rsidRPr="00A16F83">
              <w:rPr>
                <w:rFonts w:eastAsia="Calibri"/>
                <w:sz w:val="20"/>
                <w:szCs w:val="20"/>
              </w:rPr>
              <w:t>June 21, 2013</w:t>
            </w:r>
          </w:p>
          <w:p w:rsidR="00614D8D" w:rsidRPr="00A16F83" w:rsidRDefault="00614D8D" w:rsidP="004B1C37">
            <w:pPr>
              <w:jc w:val="both"/>
              <w:rPr>
                <w:rFonts w:eastAsia="Calibri"/>
                <w:sz w:val="20"/>
                <w:szCs w:val="20"/>
              </w:rPr>
            </w:pPr>
            <w:r w:rsidRPr="00A16F83">
              <w:rPr>
                <w:rFonts w:eastAsia="Calibri"/>
                <w:sz w:val="20"/>
                <w:szCs w:val="20"/>
              </w:rPr>
              <w:t>Ontario Superior Court of Justice</w:t>
            </w:r>
          </w:p>
          <w:p w:rsidR="00614D8D" w:rsidRPr="00A16F83" w:rsidRDefault="00614D8D" w:rsidP="004B1C37">
            <w:pPr>
              <w:jc w:val="both"/>
              <w:rPr>
                <w:rFonts w:eastAsia="Calibri"/>
                <w:sz w:val="20"/>
                <w:szCs w:val="20"/>
              </w:rPr>
            </w:pPr>
            <w:r w:rsidRPr="00A16F83">
              <w:rPr>
                <w:rFonts w:eastAsia="Calibri"/>
                <w:sz w:val="20"/>
                <w:szCs w:val="20"/>
              </w:rPr>
              <w:t>(Sloan J.)</w:t>
            </w:r>
          </w:p>
          <w:p w:rsidR="00614D8D" w:rsidRPr="00A16F83" w:rsidRDefault="00690162" w:rsidP="004B1C37">
            <w:pPr>
              <w:jc w:val="both"/>
              <w:rPr>
                <w:rFonts w:eastAsia="Calibri"/>
                <w:sz w:val="20"/>
                <w:szCs w:val="20"/>
              </w:rPr>
            </w:pPr>
            <w:hyperlink r:id="rId25" w:history="1">
              <w:r w:rsidR="00614D8D" w:rsidRPr="00A16F83">
                <w:rPr>
                  <w:rFonts w:eastAsia="Calibri"/>
                  <w:color w:val="0000FF"/>
                  <w:sz w:val="20"/>
                  <w:szCs w:val="20"/>
                  <w:u w:val="single"/>
                </w:rPr>
                <w:t>2013 ONSC 4299</w:t>
              </w:r>
            </w:hyperlink>
            <w:r w:rsidR="00614D8D" w:rsidRPr="00A16F83">
              <w:rPr>
                <w:rFonts w:eastAsia="Calibri"/>
                <w:sz w:val="20"/>
                <w:szCs w:val="20"/>
              </w:rPr>
              <w:t xml:space="preserve"> </w:t>
            </w:r>
          </w:p>
          <w:p w:rsidR="00614D8D" w:rsidRPr="00A16F83" w:rsidRDefault="00614D8D" w:rsidP="004B1C37">
            <w:pPr>
              <w:jc w:val="both"/>
              <w:rPr>
                <w:rFonts w:eastAsia="Calibri"/>
                <w:sz w:val="20"/>
                <w:szCs w:val="20"/>
              </w:rPr>
            </w:pPr>
          </w:p>
        </w:tc>
        <w:tc>
          <w:tcPr>
            <w:tcW w:w="243" w:type="pct"/>
          </w:tcPr>
          <w:p w:rsidR="00614D8D" w:rsidRPr="00A16F83" w:rsidRDefault="00614D8D" w:rsidP="004B1C37">
            <w:pPr>
              <w:jc w:val="both"/>
              <w:rPr>
                <w:rFonts w:eastAsia="Calibri"/>
                <w:sz w:val="20"/>
                <w:szCs w:val="20"/>
              </w:rPr>
            </w:pPr>
          </w:p>
        </w:tc>
        <w:tc>
          <w:tcPr>
            <w:tcW w:w="2330" w:type="pct"/>
          </w:tcPr>
          <w:p w:rsidR="00614D8D" w:rsidRPr="00A16F83" w:rsidRDefault="00614D8D" w:rsidP="004B1C37">
            <w:pPr>
              <w:jc w:val="both"/>
              <w:rPr>
                <w:rFonts w:eastAsia="Calibri"/>
                <w:sz w:val="20"/>
                <w:szCs w:val="20"/>
              </w:rPr>
            </w:pPr>
            <w:r w:rsidRPr="00A16F83">
              <w:rPr>
                <w:rFonts w:eastAsia="Calibri"/>
                <w:sz w:val="20"/>
                <w:szCs w:val="20"/>
              </w:rPr>
              <w:t>Summary judgment granted; claim held statute-barred by limitation period and dismissed</w:t>
            </w:r>
          </w:p>
        </w:tc>
      </w:tr>
      <w:tr w:rsidR="00614D8D" w:rsidRPr="00A16F83" w:rsidTr="004B1C37">
        <w:tc>
          <w:tcPr>
            <w:tcW w:w="2427" w:type="pct"/>
          </w:tcPr>
          <w:p w:rsidR="00614D8D" w:rsidRPr="00A16F83" w:rsidRDefault="00614D8D" w:rsidP="004B1C37">
            <w:pPr>
              <w:jc w:val="both"/>
              <w:rPr>
                <w:rFonts w:eastAsia="Calibri"/>
                <w:sz w:val="20"/>
                <w:szCs w:val="20"/>
              </w:rPr>
            </w:pPr>
            <w:r w:rsidRPr="00A16F83">
              <w:rPr>
                <w:rFonts w:eastAsia="Calibri"/>
                <w:sz w:val="20"/>
                <w:szCs w:val="20"/>
              </w:rPr>
              <w:t>February 11, 2014</w:t>
            </w:r>
          </w:p>
          <w:p w:rsidR="00614D8D" w:rsidRPr="00A16F83" w:rsidRDefault="00614D8D" w:rsidP="004B1C37">
            <w:pPr>
              <w:jc w:val="both"/>
              <w:rPr>
                <w:rFonts w:eastAsia="Calibri"/>
                <w:sz w:val="20"/>
                <w:szCs w:val="20"/>
              </w:rPr>
            </w:pPr>
            <w:r w:rsidRPr="00A16F83">
              <w:rPr>
                <w:rFonts w:eastAsia="Calibri"/>
                <w:sz w:val="20"/>
                <w:szCs w:val="20"/>
              </w:rPr>
              <w:t>Court of Appeal for Ontario</w:t>
            </w:r>
          </w:p>
          <w:p w:rsidR="00614D8D" w:rsidRPr="00A16F83" w:rsidRDefault="00614D8D" w:rsidP="004B1C37">
            <w:pPr>
              <w:jc w:val="both"/>
              <w:rPr>
                <w:rFonts w:eastAsia="Calibri"/>
                <w:sz w:val="20"/>
                <w:szCs w:val="20"/>
              </w:rPr>
            </w:pPr>
            <w:r w:rsidRPr="00A16F83">
              <w:rPr>
                <w:rFonts w:eastAsia="Calibri"/>
                <w:sz w:val="20"/>
                <w:szCs w:val="20"/>
              </w:rPr>
              <w:t xml:space="preserve">(Juriansz, Pepall, Strathy (ad hoc) </w:t>
            </w:r>
          </w:p>
          <w:p w:rsidR="00614D8D" w:rsidRPr="00A16F83" w:rsidRDefault="00614D8D" w:rsidP="004B1C37">
            <w:pPr>
              <w:jc w:val="both"/>
              <w:rPr>
                <w:rFonts w:eastAsia="Calibri"/>
                <w:sz w:val="20"/>
                <w:szCs w:val="20"/>
              </w:rPr>
            </w:pPr>
            <w:r w:rsidRPr="00A16F83">
              <w:rPr>
                <w:rFonts w:eastAsia="Calibri"/>
                <w:sz w:val="20"/>
                <w:szCs w:val="20"/>
              </w:rPr>
              <w:t>JJ.A.)</w:t>
            </w:r>
          </w:p>
          <w:p w:rsidR="00614D8D" w:rsidRPr="00A16F83" w:rsidRDefault="00614D8D" w:rsidP="004B1C37">
            <w:pPr>
              <w:jc w:val="both"/>
              <w:rPr>
                <w:rFonts w:eastAsia="Calibri"/>
                <w:sz w:val="20"/>
                <w:szCs w:val="20"/>
              </w:rPr>
            </w:pPr>
            <w:r w:rsidRPr="00A16F83">
              <w:rPr>
                <w:rFonts w:eastAsia="Calibri"/>
                <w:sz w:val="20"/>
                <w:szCs w:val="20"/>
              </w:rPr>
              <w:t xml:space="preserve">C57638; </w:t>
            </w:r>
            <w:hyperlink r:id="rId26" w:history="1">
              <w:r w:rsidRPr="00A16F83">
                <w:rPr>
                  <w:rFonts w:eastAsia="Calibri"/>
                  <w:color w:val="0000FF"/>
                  <w:sz w:val="20"/>
                  <w:szCs w:val="20"/>
                  <w:u w:val="single"/>
                </w:rPr>
                <w:t>2014 ONCA 111</w:t>
              </w:r>
            </w:hyperlink>
          </w:p>
          <w:p w:rsidR="00614D8D" w:rsidRPr="00A16F83" w:rsidRDefault="00614D8D" w:rsidP="004B1C37">
            <w:pPr>
              <w:jc w:val="both"/>
              <w:rPr>
                <w:rFonts w:eastAsia="Calibri"/>
                <w:sz w:val="20"/>
                <w:szCs w:val="20"/>
              </w:rPr>
            </w:pPr>
          </w:p>
        </w:tc>
        <w:tc>
          <w:tcPr>
            <w:tcW w:w="243" w:type="pct"/>
          </w:tcPr>
          <w:p w:rsidR="00614D8D" w:rsidRPr="00A16F83" w:rsidRDefault="00614D8D" w:rsidP="004B1C37">
            <w:pPr>
              <w:jc w:val="both"/>
              <w:rPr>
                <w:rFonts w:eastAsia="Calibri"/>
                <w:sz w:val="20"/>
                <w:szCs w:val="20"/>
              </w:rPr>
            </w:pPr>
          </w:p>
        </w:tc>
        <w:tc>
          <w:tcPr>
            <w:tcW w:w="2330" w:type="pct"/>
          </w:tcPr>
          <w:p w:rsidR="00614D8D" w:rsidRPr="00A16F83" w:rsidRDefault="00614D8D" w:rsidP="004B1C37">
            <w:pPr>
              <w:jc w:val="both"/>
              <w:rPr>
                <w:rFonts w:eastAsia="Calibri"/>
                <w:sz w:val="20"/>
                <w:szCs w:val="20"/>
              </w:rPr>
            </w:pPr>
            <w:r w:rsidRPr="00A16F83">
              <w:rPr>
                <w:rFonts w:eastAsia="Calibri"/>
                <w:sz w:val="20"/>
                <w:szCs w:val="20"/>
              </w:rPr>
              <w:t>Appeal dismissed</w:t>
            </w:r>
          </w:p>
        </w:tc>
      </w:tr>
      <w:tr w:rsidR="00614D8D" w:rsidRPr="00A16F83" w:rsidTr="004B1C37">
        <w:tc>
          <w:tcPr>
            <w:tcW w:w="2427" w:type="pct"/>
          </w:tcPr>
          <w:p w:rsidR="00614D8D" w:rsidRPr="00A16F83" w:rsidRDefault="00614D8D" w:rsidP="004B1C37">
            <w:pPr>
              <w:jc w:val="both"/>
              <w:rPr>
                <w:rFonts w:eastAsia="Calibri"/>
                <w:sz w:val="20"/>
                <w:szCs w:val="20"/>
              </w:rPr>
            </w:pPr>
            <w:r w:rsidRPr="00A16F83">
              <w:rPr>
                <w:rFonts w:eastAsia="Calibri"/>
                <w:sz w:val="20"/>
                <w:szCs w:val="20"/>
              </w:rPr>
              <w:t>April 11, 2014</w:t>
            </w:r>
          </w:p>
          <w:p w:rsidR="00614D8D" w:rsidRPr="00A16F83" w:rsidRDefault="00614D8D" w:rsidP="004B1C37">
            <w:pPr>
              <w:jc w:val="both"/>
              <w:rPr>
                <w:rFonts w:eastAsia="Calibri"/>
                <w:sz w:val="20"/>
                <w:szCs w:val="20"/>
              </w:rPr>
            </w:pPr>
            <w:r w:rsidRPr="00A16F83">
              <w:rPr>
                <w:rFonts w:eastAsia="Calibri"/>
                <w:sz w:val="20"/>
                <w:szCs w:val="20"/>
              </w:rPr>
              <w:t>Supreme Court of Canada</w:t>
            </w:r>
          </w:p>
        </w:tc>
        <w:tc>
          <w:tcPr>
            <w:tcW w:w="243" w:type="pct"/>
          </w:tcPr>
          <w:p w:rsidR="00614D8D" w:rsidRPr="00A16F83" w:rsidRDefault="00614D8D" w:rsidP="004B1C37">
            <w:pPr>
              <w:jc w:val="both"/>
              <w:rPr>
                <w:rFonts w:eastAsia="Calibri"/>
                <w:sz w:val="20"/>
                <w:szCs w:val="20"/>
              </w:rPr>
            </w:pPr>
          </w:p>
        </w:tc>
        <w:tc>
          <w:tcPr>
            <w:tcW w:w="2330" w:type="pct"/>
          </w:tcPr>
          <w:p w:rsidR="00614D8D" w:rsidRPr="00A16F83" w:rsidRDefault="00614D8D" w:rsidP="004B1C37">
            <w:pPr>
              <w:jc w:val="both"/>
              <w:rPr>
                <w:rFonts w:eastAsia="Calibri"/>
                <w:sz w:val="20"/>
                <w:szCs w:val="20"/>
              </w:rPr>
            </w:pPr>
            <w:r w:rsidRPr="00A16F83">
              <w:rPr>
                <w:rFonts w:eastAsia="Calibri"/>
                <w:sz w:val="20"/>
                <w:szCs w:val="20"/>
              </w:rPr>
              <w:t>Application for leave to appeal filed</w:t>
            </w:r>
          </w:p>
        </w:tc>
      </w:tr>
    </w:tbl>
    <w:p w:rsidR="00915D6A" w:rsidRDefault="00915D6A" w:rsidP="00915D6A">
      <w:pPr>
        <w:rPr>
          <w:sz w:val="20"/>
          <w:szCs w:val="20"/>
        </w:rPr>
      </w:pPr>
    </w:p>
    <w:p w:rsidR="00915D6A" w:rsidRPr="00C50A5C" w:rsidRDefault="00690162" w:rsidP="00915D6A">
      <w:pPr>
        <w:rPr>
          <w:sz w:val="20"/>
          <w:szCs w:val="20"/>
        </w:rPr>
      </w:pPr>
      <w:r>
        <w:rPr>
          <w:sz w:val="20"/>
          <w:szCs w:val="20"/>
          <w:lang w:val="fr-CA"/>
        </w:rPr>
        <w:pict>
          <v:rect id="_x0000_i1044" style="width:2in;height:1pt" o:hrpct="0" o:hralign="center" o:hrstd="t" o:hrnoshade="t" o:hr="t" fillcolor="black [3213]" stroked="f"/>
        </w:pict>
      </w:r>
    </w:p>
    <w:p w:rsidR="00915D6A" w:rsidRDefault="00915D6A" w:rsidP="00915D6A">
      <w:pPr>
        <w:rPr>
          <w:sz w:val="20"/>
          <w:szCs w:val="20"/>
        </w:rPr>
      </w:pPr>
    </w:p>
    <w:p w:rsidR="00915D6A" w:rsidRPr="001B157C" w:rsidRDefault="00915D6A" w:rsidP="00915D6A">
      <w:pPr>
        <w:rPr>
          <w:sz w:val="20"/>
          <w:szCs w:val="20"/>
          <w:u w:val="single"/>
          <w:lang w:val="fr-CA"/>
        </w:rPr>
      </w:pPr>
      <w:r w:rsidRPr="001B157C">
        <w:rPr>
          <w:sz w:val="20"/>
          <w:szCs w:val="20"/>
          <w:u w:val="single"/>
          <w:lang w:val="fr-CA"/>
        </w:rPr>
        <w:t>RÉSUMÉ DE L’AFFAIRE</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14D8D" w:rsidRPr="00690162" w:rsidTr="004B1C37">
        <w:tc>
          <w:tcPr>
            <w:tcW w:w="5000" w:type="pct"/>
            <w:gridSpan w:val="3"/>
          </w:tcPr>
          <w:p w:rsidR="00614D8D" w:rsidRPr="00A16F83" w:rsidRDefault="00614D8D" w:rsidP="004B1C37">
            <w:pPr>
              <w:jc w:val="both"/>
              <w:rPr>
                <w:rFonts w:eastAsia="Calibri"/>
                <w:sz w:val="20"/>
                <w:szCs w:val="20"/>
                <w:lang w:val="fr-CA"/>
              </w:rPr>
            </w:pPr>
            <w:r w:rsidRPr="00A16F83">
              <w:rPr>
                <w:rFonts w:eastAsia="Calibri"/>
                <w:sz w:val="20"/>
                <w:szCs w:val="20"/>
                <w:lang w:val="fr-CA"/>
              </w:rPr>
              <w:t>Prescription – Droit des assurances – Le refus de l’assureur de verser une indemnité doit-il être clair et sans équivoque pour déclencher la prescription? – Que doit faire l’assureur pour répondre à une norme de clarté sans équivoque?</w:t>
            </w:r>
          </w:p>
        </w:tc>
      </w:tr>
      <w:tr w:rsidR="00614D8D" w:rsidRPr="00690162" w:rsidTr="004B1C37">
        <w:tc>
          <w:tcPr>
            <w:tcW w:w="5000" w:type="pct"/>
            <w:gridSpan w:val="3"/>
          </w:tcPr>
          <w:p w:rsidR="00614D8D" w:rsidRPr="00A16F83" w:rsidRDefault="00614D8D" w:rsidP="004B1C37">
            <w:pPr>
              <w:jc w:val="both"/>
              <w:rPr>
                <w:rFonts w:eastAsia="Calibri"/>
                <w:sz w:val="20"/>
                <w:szCs w:val="20"/>
                <w:lang w:val="fr-CA"/>
              </w:rPr>
            </w:pPr>
          </w:p>
        </w:tc>
      </w:tr>
      <w:tr w:rsidR="00614D8D" w:rsidRPr="00690162" w:rsidTr="004B1C37">
        <w:tc>
          <w:tcPr>
            <w:tcW w:w="5000" w:type="pct"/>
            <w:gridSpan w:val="3"/>
          </w:tcPr>
          <w:p w:rsidR="00614D8D" w:rsidRPr="00A16F83" w:rsidRDefault="00614D8D" w:rsidP="004B1C37">
            <w:pPr>
              <w:jc w:val="both"/>
              <w:rPr>
                <w:rFonts w:eastAsia="Calibri"/>
                <w:sz w:val="20"/>
                <w:szCs w:val="20"/>
                <w:lang w:val="fr-CA"/>
              </w:rPr>
            </w:pPr>
            <w:r w:rsidRPr="00A16F83">
              <w:rPr>
                <w:rFonts w:eastAsia="Calibri"/>
                <w:sz w:val="20"/>
                <w:szCs w:val="20"/>
                <w:lang w:val="fr-CA"/>
              </w:rPr>
              <w:lastRenderedPageBreak/>
              <w:t>En 2005, M</w:t>
            </w:r>
            <w:r w:rsidRPr="00A16F83">
              <w:rPr>
                <w:rFonts w:eastAsia="Calibri"/>
                <w:sz w:val="20"/>
                <w:szCs w:val="20"/>
                <w:vertAlign w:val="superscript"/>
                <w:lang w:val="fr-CA"/>
              </w:rPr>
              <w:t>me</w:t>
            </w:r>
            <w:r w:rsidRPr="00A16F83">
              <w:rPr>
                <w:rFonts w:eastAsia="Calibri"/>
                <w:sz w:val="20"/>
                <w:szCs w:val="20"/>
                <w:lang w:val="fr-CA"/>
              </w:rPr>
              <w:t> Sietzema a subi des blessures lors d’un accident de voiture.  Le 19 décembre de la même année, Economical, Compagnie mutuelle d’assurance (« ECMA ») a refusé de verser à M</w:t>
            </w:r>
            <w:r w:rsidRPr="00A16F83">
              <w:rPr>
                <w:rFonts w:eastAsia="Calibri"/>
                <w:sz w:val="20"/>
                <w:szCs w:val="20"/>
                <w:vertAlign w:val="superscript"/>
                <w:lang w:val="fr-CA"/>
              </w:rPr>
              <w:t>me</w:t>
            </w:r>
            <w:r w:rsidRPr="00A16F83">
              <w:rPr>
                <w:rFonts w:eastAsia="Calibri"/>
                <w:sz w:val="20"/>
                <w:szCs w:val="20"/>
                <w:lang w:val="fr-CA"/>
              </w:rPr>
              <w:t xml:space="preserve"> Sietzema une indemnité pour personne sans revenu au motif que cette dernière travaillait au moment de l’accident.  ECMA lui a versé une indemnité de remplacement de revenu de 400 $ par semaine jusqu’au 2 mars 2006.  M</w:t>
            </w:r>
            <w:r w:rsidRPr="00A16F83">
              <w:rPr>
                <w:rFonts w:eastAsia="Calibri"/>
                <w:sz w:val="20"/>
                <w:szCs w:val="20"/>
                <w:vertAlign w:val="superscript"/>
                <w:lang w:val="fr-CA"/>
              </w:rPr>
              <w:t>me</w:t>
            </w:r>
            <w:r w:rsidRPr="00A16F83">
              <w:rPr>
                <w:rFonts w:eastAsia="Calibri"/>
                <w:sz w:val="20"/>
                <w:szCs w:val="20"/>
                <w:lang w:val="fr-CA"/>
              </w:rPr>
              <w:t xml:space="preserve"> Sietzema a repris le travail en février 2006.  Suivant l’arrêt </w:t>
            </w:r>
            <w:r w:rsidRPr="00A16F83">
              <w:rPr>
                <w:rFonts w:eastAsia="Calibri"/>
                <w:i/>
                <w:sz w:val="20"/>
                <w:szCs w:val="20"/>
                <w:lang w:val="fr-CA"/>
              </w:rPr>
              <w:t>Galdamez c. Allstate Insurance Company of Canada</w:t>
            </w:r>
            <w:r w:rsidRPr="00A16F83">
              <w:rPr>
                <w:rFonts w:eastAsia="Calibri"/>
                <w:sz w:val="20"/>
                <w:szCs w:val="20"/>
                <w:lang w:val="fr-CA"/>
              </w:rPr>
              <w:t xml:space="preserve">, </w:t>
            </w:r>
            <w:hyperlink r:id="rId27" w:tgtFrame="_parent" w:history="1">
              <w:r w:rsidRPr="00A16F83">
                <w:rPr>
                  <w:rFonts w:eastAsia="Calibri"/>
                  <w:color w:val="000000"/>
                  <w:sz w:val="20"/>
                  <w:szCs w:val="20"/>
                  <w:u w:val="single"/>
                  <w:lang w:val="fr-CA"/>
                </w:rPr>
                <w:t>2012 ONCA 508</w:t>
              </w:r>
            </w:hyperlink>
            <w:r w:rsidRPr="00A16F83">
              <w:rPr>
                <w:rFonts w:eastAsia="Calibri"/>
                <w:sz w:val="20"/>
                <w:szCs w:val="20"/>
                <w:lang w:val="fr-CA"/>
              </w:rPr>
              <w:t>, rendu subséquemment, une personne apte à travailler peut néanmoins être admissible à recevoir une indemnité pour personne sans revenu.  M</w:t>
            </w:r>
            <w:r w:rsidRPr="00A16F83">
              <w:rPr>
                <w:rFonts w:eastAsia="Calibri"/>
                <w:sz w:val="20"/>
                <w:szCs w:val="20"/>
                <w:vertAlign w:val="superscript"/>
                <w:lang w:val="fr-CA"/>
              </w:rPr>
              <w:t>me</w:t>
            </w:r>
            <w:r w:rsidRPr="00A16F83">
              <w:rPr>
                <w:rFonts w:eastAsia="Calibri"/>
                <w:sz w:val="20"/>
                <w:szCs w:val="20"/>
                <w:lang w:val="fr-CA"/>
              </w:rPr>
              <w:t> Sietzema a demandé l’arbitrage en avril 2012 pour recevoir cette indemnité et elle a déposé une déclaration le 14 avril 2011.  Par requête en jugement sommaire, ECMA a demandé le rejet de l’action, invoquant la prescription et le délai de deux ans écoulé depuis son refus de verser l’indemnité pour personne sans revenu.</w:t>
            </w:r>
          </w:p>
          <w:p w:rsidR="00614D8D" w:rsidRPr="00A16F83" w:rsidRDefault="00614D8D" w:rsidP="004B1C37">
            <w:pPr>
              <w:jc w:val="both"/>
              <w:rPr>
                <w:rFonts w:eastAsia="Calibri"/>
                <w:sz w:val="20"/>
                <w:szCs w:val="20"/>
                <w:lang w:val="fr-CA"/>
              </w:rPr>
            </w:pPr>
          </w:p>
        </w:tc>
      </w:tr>
      <w:tr w:rsidR="00614D8D" w:rsidRPr="00690162" w:rsidTr="004B1C37">
        <w:tc>
          <w:tcPr>
            <w:tcW w:w="2427" w:type="pct"/>
          </w:tcPr>
          <w:p w:rsidR="00614D8D" w:rsidRPr="00A16F83" w:rsidRDefault="00614D8D" w:rsidP="004B1C37">
            <w:pPr>
              <w:jc w:val="both"/>
              <w:rPr>
                <w:rFonts w:eastAsia="Calibri"/>
                <w:sz w:val="20"/>
                <w:szCs w:val="20"/>
                <w:lang w:val="fr-CA"/>
              </w:rPr>
            </w:pPr>
            <w:r w:rsidRPr="00A16F83">
              <w:rPr>
                <w:rFonts w:eastAsia="Calibri"/>
                <w:sz w:val="20"/>
                <w:szCs w:val="20"/>
                <w:lang w:val="fr-CA"/>
              </w:rPr>
              <w:t>21 juin 2013</w:t>
            </w:r>
          </w:p>
          <w:p w:rsidR="00614D8D" w:rsidRPr="00A16F83" w:rsidRDefault="00614D8D" w:rsidP="004B1C37">
            <w:pPr>
              <w:jc w:val="both"/>
              <w:rPr>
                <w:rFonts w:eastAsia="Calibri"/>
                <w:sz w:val="20"/>
                <w:szCs w:val="20"/>
                <w:lang w:val="fr-CA"/>
              </w:rPr>
            </w:pPr>
            <w:r w:rsidRPr="00A16F83">
              <w:rPr>
                <w:rFonts w:eastAsia="Calibri"/>
                <w:sz w:val="20"/>
                <w:szCs w:val="20"/>
                <w:lang w:val="fr-CA"/>
              </w:rPr>
              <w:t>Cour supérieure de justice de l’Ontario</w:t>
            </w:r>
          </w:p>
          <w:p w:rsidR="00614D8D" w:rsidRPr="00A16F83" w:rsidRDefault="00614D8D" w:rsidP="004B1C37">
            <w:pPr>
              <w:jc w:val="both"/>
              <w:rPr>
                <w:rFonts w:eastAsia="Calibri"/>
                <w:sz w:val="20"/>
                <w:szCs w:val="20"/>
                <w:lang w:val="fr-CA"/>
              </w:rPr>
            </w:pPr>
            <w:r w:rsidRPr="00A16F83">
              <w:rPr>
                <w:rFonts w:eastAsia="Calibri"/>
                <w:sz w:val="20"/>
                <w:szCs w:val="20"/>
                <w:lang w:val="fr-CA"/>
              </w:rPr>
              <w:t>(Juge Sloan)</w:t>
            </w:r>
          </w:p>
          <w:p w:rsidR="00614D8D" w:rsidRPr="00A16F83" w:rsidRDefault="00690162" w:rsidP="004B1C37">
            <w:pPr>
              <w:jc w:val="both"/>
              <w:rPr>
                <w:rFonts w:eastAsia="Calibri"/>
                <w:sz w:val="20"/>
                <w:szCs w:val="20"/>
                <w:lang w:val="fr-CA"/>
              </w:rPr>
            </w:pPr>
            <w:hyperlink r:id="rId28" w:history="1">
              <w:r w:rsidR="00614D8D" w:rsidRPr="00A16F83">
                <w:rPr>
                  <w:rFonts w:eastAsia="Calibri"/>
                  <w:color w:val="0000FF"/>
                  <w:sz w:val="20"/>
                  <w:szCs w:val="20"/>
                  <w:u w:val="single"/>
                  <w:lang w:val="fr-CA"/>
                </w:rPr>
                <w:t>2013 ONSC 4299</w:t>
              </w:r>
            </w:hyperlink>
            <w:r w:rsidR="00614D8D" w:rsidRPr="00A16F83">
              <w:rPr>
                <w:rFonts w:eastAsia="Calibri"/>
                <w:sz w:val="20"/>
                <w:szCs w:val="20"/>
                <w:lang w:val="fr-CA"/>
              </w:rPr>
              <w:t xml:space="preserve"> </w:t>
            </w:r>
          </w:p>
          <w:p w:rsidR="00614D8D" w:rsidRPr="00A16F83" w:rsidRDefault="00614D8D" w:rsidP="004B1C37">
            <w:pPr>
              <w:jc w:val="both"/>
              <w:rPr>
                <w:rFonts w:eastAsia="Calibri"/>
                <w:sz w:val="20"/>
                <w:szCs w:val="20"/>
                <w:lang w:val="fr-CA"/>
              </w:rPr>
            </w:pPr>
          </w:p>
        </w:tc>
        <w:tc>
          <w:tcPr>
            <w:tcW w:w="243" w:type="pct"/>
          </w:tcPr>
          <w:p w:rsidR="00614D8D" w:rsidRPr="00A16F83" w:rsidRDefault="00614D8D" w:rsidP="004B1C37">
            <w:pPr>
              <w:jc w:val="both"/>
              <w:rPr>
                <w:rFonts w:eastAsia="Calibri"/>
                <w:sz w:val="20"/>
                <w:szCs w:val="20"/>
                <w:lang w:val="fr-CA"/>
              </w:rPr>
            </w:pPr>
          </w:p>
        </w:tc>
        <w:tc>
          <w:tcPr>
            <w:tcW w:w="2330" w:type="pct"/>
          </w:tcPr>
          <w:p w:rsidR="00614D8D" w:rsidRPr="00A16F83" w:rsidRDefault="00614D8D" w:rsidP="004B1C37">
            <w:pPr>
              <w:jc w:val="both"/>
              <w:rPr>
                <w:rFonts w:eastAsia="Calibri"/>
                <w:sz w:val="20"/>
                <w:szCs w:val="20"/>
                <w:lang w:val="fr-CA"/>
              </w:rPr>
            </w:pPr>
            <w:r w:rsidRPr="00A16F83">
              <w:rPr>
                <w:rFonts w:eastAsia="Calibri"/>
                <w:sz w:val="20"/>
                <w:szCs w:val="20"/>
                <w:lang w:val="fr-CA"/>
              </w:rPr>
              <w:t>Requête en jugement sommaire accueillie; demande rejetée parce que prescrite</w:t>
            </w:r>
          </w:p>
        </w:tc>
      </w:tr>
      <w:tr w:rsidR="00614D8D" w:rsidRPr="00A16F83" w:rsidTr="004B1C37">
        <w:tc>
          <w:tcPr>
            <w:tcW w:w="2427" w:type="pct"/>
          </w:tcPr>
          <w:p w:rsidR="00614D8D" w:rsidRPr="00A16F83" w:rsidRDefault="00614D8D" w:rsidP="004B1C37">
            <w:pPr>
              <w:jc w:val="both"/>
              <w:rPr>
                <w:rFonts w:eastAsia="Calibri"/>
                <w:sz w:val="20"/>
                <w:szCs w:val="20"/>
                <w:lang w:val="fr-CA"/>
              </w:rPr>
            </w:pPr>
            <w:r w:rsidRPr="00A16F83">
              <w:rPr>
                <w:rFonts w:eastAsia="Calibri"/>
                <w:sz w:val="20"/>
                <w:szCs w:val="20"/>
                <w:lang w:val="fr-CA"/>
              </w:rPr>
              <w:t>11 février 2014</w:t>
            </w:r>
          </w:p>
          <w:p w:rsidR="00614D8D" w:rsidRPr="00A16F83" w:rsidRDefault="00614D8D" w:rsidP="004B1C37">
            <w:pPr>
              <w:jc w:val="both"/>
              <w:rPr>
                <w:rFonts w:eastAsia="Calibri"/>
                <w:sz w:val="20"/>
                <w:szCs w:val="20"/>
                <w:lang w:val="fr-CA"/>
              </w:rPr>
            </w:pPr>
            <w:r w:rsidRPr="00A16F83">
              <w:rPr>
                <w:rFonts w:eastAsia="Calibri"/>
                <w:sz w:val="20"/>
                <w:szCs w:val="20"/>
                <w:lang w:val="fr-CA"/>
              </w:rPr>
              <w:t>Cour d’appel de l’Ontario</w:t>
            </w:r>
          </w:p>
          <w:p w:rsidR="00614D8D" w:rsidRPr="00A16F83" w:rsidRDefault="00614D8D" w:rsidP="004B1C37">
            <w:pPr>
              <w:jc w:val="both"/>
              <w:rPr>
                <w:rFonts w:eastAsia="Calibri"/>
                <w:sz w:val="20"/>
                <w:szCs w:val="20"/>
                <w:lang w:val="fr-CA"/>
              </w:rPr>
            </w:pPr>
            <w:r w:rsidRPr="00A16F83">
              <w:rPr>
                <w:rFonts w:eastAsia="Calibri"/>
                <w:sz w:val="20"/>
                <w:szCs w:val="20"/>
                <w:lang w:val="fr-CA"/>
              </w:rPr>
              <w:t>(Juges Juriansz, Pepall, Strathy (ad hoc))</w:t>
            </w:r>
          </w:p>
          <w:p w:rsidR="00614D8D" w:rsidRPr="00A16F83" w:rsidRDefault="00614D8D" w:rsidP="004B1C37">
            <w:pPr>
              <w:jc w:val="both"/>
              <w:rPr>
                <w:rFonts w:eastAsia="Calibri"/>
                <w:sz w:val="20"/>
                <w:szCs w:val="20"/>
                <w:lang w:val="fr-CA"/>
              </w:rPr>
            </w:pPr>
            <w:r w:rsidRPr="00A16F83">
              <w:rPr>
                <w:rFonts w:eastAsia="Calibri"/>
                <w:sz w:val="20"/>
                <w:szCs w:val="20"/>
                <w:lang w:val="fr-CA"/>
              </w:rPr>
              <w:t xml:space="preserve">C57638; </w:t>
            </w:r>
            <w:hyperlink r:id="rId29" w:history="1">
              <w:r w:rsidRPr="00A16F83">
                <w:rPr>
                  <w:rFonts w:eastAsia="Calibri"/>
                  <w:color w:val="0000FF"/>
                  <w:sz w:val="20"/>
                  <w:szCs w:val="20"/>
                  <w:u w:val="single"/>
                  <w:lang w:val="fr-CA"/>
                </w:rPr>
                <w:t>2014 ONCA 111</w:t>
              </w:r>
            </w:hyperlink>
          </w:p>
          <w:p w:rsidR="00614D8D" w:rsidRPr="00A16F83" w:rsidRDefault="00614D8D" w:rsidP="004B1C37">
            <w:pPr>
              <w:jc w:val="both"/>
              <w:rPr>
                <w:rFonts w:eastAsia="Calibri"/>
                <w:sz w:val="20"/>
                <w:szCs w:val="20"/>
                <w:lang w:val="fr-CA"/>
              </w:rPr>
            </w:pPr>
          </w:p>
        </w:tc>
        <w:tc>
          <w:tcPr>
            <w:tcW w:w="243" w:type="pct"/>
          </w:tcPr>
          <w:p w:rsidR="00614D8D" w:rsidRPr="00A16F83" w:rsidRDefault="00614D8D" w:rsidP="004B1C37">
            <w:pPr>
              <w:jc w:val="both"/>
              <w:rPr>
                <w:rFonts w:eastAsia="Calibri"/>
                <w:sz w:val="20"/>
                <w:szCs w:val="20"/>
                <w:lang w:val="fr-CA"/>
              </w:rPr>
            </w:pPr>
          </w:p>
        </w:tc>
        <w:tc>
          <w:tcPr>
            <w:tcW w:w="2330" w:type="pct"/>
          </w:tcPr>
          <w:p w:rsidR="00614D8D" w:rsidRPr="00A16F83" w:rsidRDefault="00614D8D" w:rsidP="004B1C37">
            <w:pPr>
              <w:jc w:val="both"/>
              <w:rPr>
                <w:rFonts w:eastAsia="Calibri"/>
                <w:sz w:val="20"/>
                <w:szCs w:val="20"/>
                <w:lang w:val="fr-CA"/>
              </w:rPr>
            </w:pPr>
            <w:r w:rsidRPr="00A16F83">
              <w:rPr>
                <w:rFonts w:eastAsia="Calibri"/>
                <w:sz w:val="20"/>
                <w:szCs w:val="20"/>
                <w:lang w:val="fr-CA"/>
              </w:rPr>
              <w:t>Appel rejeté</w:t>
            </w:r>
          </w:p>
        </w:tc>
      </w:tr>
      <w:tr w:rsidR="00614D8D" w:rsidRPr="00A16F83" w:rsidTr="004B1C37">
        <w:tc>
          <w:tcPr>
            <w:tcW w:w="2427" w:type="pct"/>
          </w:tcPr>
          <w:p w:rsidR="00614D8D" w:rsidRPr="00A16F83" w:rsidRDefault="00614D8D" w:rsidP="004B1C37">
            <w:pPr>
              <w:jc w:val="both"/>
              <w:rPr>
                <w:rFonts w:eastAsia="Calibri"/>
                <w:sz w:val="20"/>
                <w:szCs w:val="20"/>
                <w:lang w:val="fr-CA"/>
              </w:rPr>
            </w:pPr>
            <w:r w:rsidRPr="00A16F83">
              <w:rPr>
                <w:rFonts w:eastAsia="Calibri"/>
                <w:sz w:val="20"/>
                <w:szCs w:val="20"/>
                <w:lang w:val="fr-CA"/>
              </w:rPr>
              <w:t>11 avril 2014</w:t>
            </w:r>
          </w:p>
          <w:p w:rsidR="00614D8D" w:rsidRPr="00A16F83" w:rsidRDefault="00614D8D" w:rsidP="004B1C37">
            <w:pPr>
              <w:jc w:val="both"/>
              <w:rPr>
                <w:rFonts w:eastAsia="Calibri"/>
                <w:sz w:val="20"/>
                <w:szCs w:val="20"/>
                <w:lang w:val="fr-CA"/>
              </w:rPr>
            </w:pPr>
            <w:r w:rsidRPr="00A16F83">
              <w:rPr>
                <w:rFonts w:eastAsia="Calibri"/>
                <w:sz w:val="20"/>
                <w:szCs w:val="20"/>
                <w:lang w:val="fr-CA"/>
              </w:rPr>
              <w:t>Cour suprême du Canada</w:t>
            </w:r>
          </w:p>
        </w:tc>
        <w:tc>
          <w:tcPr>
            <w:tcW w:w="243" w:type="pct"/>
          </w:tcPr>
          <w:p w:rsidR="00614D8D" w:rsidRPr="00A16F83" w:rsidRDefault="00614D8D" w:rsidP="004B1C37">
            <w:pPr>
              <w:jc w:val="both"/>
              <w:rPr>
                <w:rFonts w:eastAsia="Calibri"/>
                <w:sz w:val="20"/>
                <w:szCs w:val="20"/>
                <w:lang w:val="fr-CA"/>
              </w:rPr>
            </w:pPr>
          </w:p>
        </w:tc>
        <w:tc>
          <w:tcPr>
            <w:tcW w:w="2330" w:type="pct"/>
          </w:tcPr>
          <w:p w:rsidR="00614D8D" w:rsidRPr="00A16F83" w:rsidRDefault="00614D8D" w:rsidP="004B1C37">
            <w:pPr>
              <w:jc w:val="both"/>
              <w:rPr>
                <w:rFonts w:eastAsia="Calibri"/>
                <w:sz w:val="20"/>
                <w:szCs w:val="20"/>
                <w:lang w:val="fr-CA"/>
              </w:rPr>
            </w:pPr>
            <w:r w:rsidRPr="00A16F83">
              <w:rPr>
                <w:rFonts w:eastAsia="Calibri"/>
                <w:sz w:val="20"/>
                <w:szCs w:val="20"/>
                <w:lang w:val="fr-CA"/>
              </w:rPr>
              <w:t>Demande d’autorisation d’appel déposée</w:t>
            </w:r>
          </w:p>
        </w:tc>
      </w:tr>
    </w:tbl>
    <w:p w:rsidR="00915D6A" w:rsidRDefault="00915D6A" w:rsidP="00915D6A">
      <w:pPr>
        <w:rPr>
          <w:sz w:val="20"/>
          <w:szCs w:val="20"/>
        </w:rPr>
      </w:pPr>
    </w:p>
    <w:p w:rsidR="00915D6A" w:rsidRDefault="00690162" w:rsidP="00915D6A">
      <w:pPr>
        <w:rPr>
          <w:sz w:val="20"/>
          <w:szCs w:val="20"/>
        </w:rPr>
      </w:pPr>
      <w:r>
        <w:rPr>
          <w:sz w:val="20"/>
          <w:szCs w:val="20"/>
          <w:lang w:val="fr-CA"/>
        </w:rPr>
        <w:pict>
          <v:rect id="_x0000_i1045" style="width:2in;height:1pt" o:hrpct="0" o:hralign="center" o:hrstd="t" o:hrnoshade="t" o:hr="t" fillcolor="black [3213]" stroked="f"/>
        </w:pict>
      </w:r>
    </w:p>
    <w:p w:rsidR="00915D6A" w:rsidRDefault="00915D6A" w:rsidP="00915D6A">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B1FB0" w:rsidRPr="006B1FB0" w:rsidTr="00650BC1">
        <w:trPr>
          <w:cantSplit/>
        </w:trPr>
        <w:tc>
          <w:tcPr>
            <w:tcW w:w="1458" w:type="dxa"/>
          </w:tcPr>
          <w:p w:rsidR="006B1FB0" w:rsidRPr="006B1FB0" w:rsidRDefault="006B1FB0" w:rsidP="006B1FB0">
            <w:pPr>
              <w:rPr>
                <w:sz w:val="20"/>
              </w:rPr>
            </w:pPr>
            <w:r w:rsidRPr="006B1FB0">
              <w:rPr>
                <w:b/>
                <w:sz w:val="20"/>
                <w:lang w:val="fr-CA"/>
              </w:rPr>
              <w:t>35945</w:t>
            </w:r>
          </w:p>
          <w:p w:rsidR="006B1FB0" w:rsidRPr="006B1FB0" w:rsidRDefault="006B1FB0" w:rsidP="006B1FB0">
            <w:pPr>
              <w:rPr>
                <w:b/>
                <w:sz w:val="20"/>
                <w:lang w:val="fr-CA"/>
              </w:rPr>
            </w:pPr>
          </w:p>
        </w:tc>
        <w:tc>
          <w:tcPr>
            <w:tcW w:w="8118" w:type="dxa"/>
          </w:tcPr>
          <w:p w:rsidR="006B1FB0" w:rsidRPr="006B1FB0" w:rsidRDefault="006B1FB0" w:rsidP="006B1FB0">
            <w:pPr>
              <w:jc w:val="both"/>
              <w:rPr>
                <w:sz w:val="20"/>
              </w:rPr>
            </w:pPr>
            <w:r w:rsidRPr="006B1FB0">
              <w:rPr>
                <w:b/>
                <w:sz w:val="20"/>
                <w:u w:val="single"/>
              </w:rPr>
              <w:t>Harry Daniels, Gabriel Daniels, Leah Gardner, Terry Joudrey and The Congress of Aboriginal Peoples v. Her Majesty the Queen as represented by The Minister of Indian Affairs and Northern Development</w:t>
            </w:r>
            <w:r w:rsidR="00BB7FA0">
              <w:rPr>
                <w:b/>
                <w:sz w:val="20"/>
                <w:u w:val="single"/>
              </w:rPr>
              <w:t xml:space="preserve"> and</w:t>
            </w:r>
            <w:r w:rsidRPr="006B1FB0">
              <w:rPr>
                <w:b/>
                <w:sz w:val="20"/>
                <w:u w:val="single"/>
              </w:rPr>
              <w:t xml:space="preserve"> Attorney General of Canada</w:t>
            </w:r>
            <w:r w:rsidRPr="006B1FB0">
              <w:rPr>
                <w:sz w:val="20"/>
              </w:rPr>
              <w:t xml:space="preserve"> (F.C.) (Civil) (By Leave)</w:t>
            </w:r>
          </w:p>
          <w:p w:rsidR="006B1FB0" w:rsidRPr="006B1FB0" w:rsidRDefault="006B1FB0" w:rsidP="006B1FB0">
            <w:pPr>
              <w:jc w:val="both"/>
              <w:rPr>
                <w:sz w:val="20"/>
              </w:rPr>
            </w:pPr>
          </w:p>
        </w:tc>
      </w:tr>
      <w:tr w:rsidR="006B1FB0" w:rsidRPr="006B1FB0" w:rsidTr="00650BC1">
        <w:trPr>
          <w:cantSplit/>
        </w:trPr>
        <w:tc>
          <w:tcPr>
            <w:tcW w:w="1458" w:type="dxa"/>
          </w:tcPr>
          <w:p w:rsidR="006B1FB0" w:rsidRPr="006B1FB0" w:rsidRDefault="006B1FB0" w:rsidP="006B1FB0">
            <w:pPr>
              <w:rPr>
                <w:sz w:val="20"/>
              </w:rPr>
            </w:pPr>
            <w:r w:rsidRPr="006B1FB0">
              <w:rPr>
                <w:sz w:val="20"/>
              </w:rPr>
              <w:t>Coram :</w:t>
            </w:r>
          </w:p>
        </w:tc>
        <w:tc>
          <w:tcPr>
            <w:tcW w:w="8118" w:type="dxa"/>
          </w:tcPr>
          <w:p w:rsidR="006B1FB0" w:rsidRPr="006B1FB0" w:rsidRDefault="006B1FB0" w:rsidP="006B1FB0">
            <w:pPr>
              <w:rPr>
                <w:sz w:val="20"/>
              </w:rPr>
            </w:pPr>
            <w:r w:rsidRPr="006B1FB0">
              <w:rPr>
                <w:sz w:val="20"/>
                <w:u w:val="single"/>
              </w:rPr>
              <w:t>McLachlin C.J. and Cromwell and Wagner JJ.</w:t>
            </w:r>
          </w:p>
          <w:p w:rsidR="006B1FB0" w:rsidRPr="006B1FB0" w:rsidRDefault="006B1FB0" w:rsidP="006B1FB0">
            <w:pPr>
              <w:rPr>
                <w:sz w:val="20"/>
                <w:u w:val="single"/>
              </w:rPr>
            </w:pPr>
          </w:p>
        </w:tc>
      </w:tr>
      <w:tr w:rsidR="006B1FB0" w:rsidRPr="00690162" w:rsidTr="00650BC1">
        <w:trPr>
          <w:cantSplit/>
        </w:trPr>
        <w:tc>
          <w:tcPr>
            <w:tcW w:w="9576" w:type="dxa"/>
            <w:gridSpan w:val="2"/>
          </w:tcPr>
          <w:p w:rsidR="006B1FB0" w:rsidRPr="006B1FB0" w:rsidRDefault="006B1FB0" w:rsidP="006B1FB0">
            <w:pPr>
              <w:ind w:firstLine="720"/>
              <w:jc w:val="both"/>
              <w:rPr>
                <w:sz w:val="20"/>
              </w:rPr>
            </w:pPr>
            <w:r w:rsidRPr="006B1FB0">
              <w:rPr>
                <w:sz w:val="20"/>
              </w:rPr>
              <w:t>The motion of the intervener Métis National Council for an extension of time to serve and file a response to the application for leave to appeal and for leave to file a response to the application for leave to cross-appeal is granted.  The application for leave to appeal from the judgment of the Federal Court of Appeal, Number A-49-13, 2014 FCA 101, dated April 17, 2014, is granted with costs in any event of the cause. The application for leave to cross-appeal is granted.  A party having intervened in the Federal Court of Appeal and wishing to intervene before this Court shall seek leave to intervene.</w:t>
            </w:r>
          </w:p>
          <w:p w:rsidR="006B1FB0" w:rsidRPr="006B1FB0" w:rsidRDefault="006B1FB0" w:rsidP="006B1FB0">
            <w:pPr>
              <w:jc w:val="both"/>
              <w:rPr>
                <w:sz w:val="20"/>
              </w:rPr>
            </w:pPr>
          </w:p>
          <w:p w:rsidR="006B1FB0" w:rsidRPr="006B1FB0" w:rsidRDefault="006B1FB0" w:rsidP="006B1FB0">
            <w:pPr>
              <w:ind w:firstLine="720"/>
              <w:jc w:val="both"/>
              <w:rPr>
                <w:sz w:val="20"/>
                <w:lang w:val="fr-CA"/>
              </w:rPr>
            </w:pPr>
            <w:r w:rsidRPr="006B1FB0">
              <w:rPr>
                <w:sz w:val="20"/>
                <w:lang w:val="fr-CA"/>
              </w:rPr>
              <w:t>La requête de l’intervenant le Ralliement national des Métis sollicitant la prorogation du délai de signification et de dépôt de la réponse à la demande d’autorisation d’appel ainsi que l’autorisation de déposer une réponse à la demande d’autorisation d’appel incident est accueillie. La demande d’autorisation d’appel de l’arrêt de la Cour d’appel fédérale, numéro A-49-13, 2014 CAF 101, daté du 17 avril 2014, est accueillie avec dépens quelle que soit l’issue de la cause. La demande d’autorisation d’appel incident est accueillie. Les parties qui sont intervenues devant la Cour d’appel fédérale et souhaitent intervenir devant notre Cour doivent demander l’autorisation de le faire.</w:t>
            </w:r>
          </w:p>
        </w:tc>
      </w:tr>
    </w:tbl>
    <w:p w:rsidR="00915D6A" w:rsidRPr="0016547E" w:rsidRDefault="00915D6A" w:rsidP="00915D6A">
      <w:pPr>
        <w:rPr>
          <w:sz w:val="20"/>
          <w:szCs w:val="20"/>
          <w:lang w:val="fr-CA"/>
        </w:rPr>
      </w:pPr>
    </w:p>
    <w:p w:rsidR="00915D6A" w:rsidRPr="001B157C" w:rsidRDefault="00915D6A" w:rsidP="00915D6A">
      <w:pPr>
        <w:rPr>
          <w:sz w:val="20"/>
          <w:szCs w:val="20"/>
          <w:u w:val="single"/>
        </w:rPr>
      </w:pPr>
      <w:r w:rsidRPr="001B157C">
        <w:rPr>
          <w:sz w:val="20"/>
          <w:szCs w:val="20"/>
          <w:u w:val="single"/>
        </w:rPr>
        <w:t>CASE SUMMARY</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14D8D" w:rsidRPr="00A16F83" w:rsidTr="004B1C37">
        <w:tc>
          <w:tcPr>
            <w:tcW w:w="5000" w:type="pct"/>
            <w:gridSpan w:val="3"/>
          </w:tcPr>
          <w:p w:rsidR="00614D8D" w:rsidRPr="00A16F83" w:rsidRDefault="00614D8D" w:rsidP="004B1C37">
            <w:pPr>
              <w:jc w:val="both"/>
              <w:rPr>
                <w:rFonts w:eastAsia="Calibri"/>
                <w:sz w:val="20"/>
                <w:szCs w:val="20"/>
              </w:rPr>
            </w:pPr>
            <w:r w:rsidRPr="00A16F83">
              <w:rPr>
                <w:rFonts w:eastAsia="Calibri"/>
                <w:sz w:val="20"/>
                <w:szCs w:val="20"/>
              </w:rPr>
              <w:t xml:space="preserve">Constitutional law — Division of powers — Aboriginal law — Métis — Trial court issuing declaration that Métis and non-status Indians are “Indians” pursuant to s. 91(24) of the </w:t>
            </w:r>
            <w:r w:rsidRPr="00A16F83">
              <w:rPr>
                <w:rFonts w:eastAsia="Calibri"/>
                <w:i/>
                <w:sz w:val="20"/>
                <w:szCs w:val="20"/>
              </w:rPr>
              <w:t xml:space="preserve">Constitution Act, 1867 </w:t>
            </w:r>
            <w:r w:rsidRPr="00A16F83">
              <w:rPr>
                <w:rFonts w:eastAsia="Calibri"/>
                <w:sz w:val="20"/>
                <w:szCs w:val="20"/>
              </w:rPr>
              <w:t xml:space="preserve">— Court of appeal varying declaration so as to exclude non-status Indians from scope of declaration — Whether Métis and non-status Indians are </w:t>
            </w:r>
            <w:r w:rsidRPr="00A16F83">
              <w:rPr>
                <w:rFonts w:eastAsia="Calibri"/>
                <w:sz w:val="20"/>
                <w:szCs w:val="20"/>
              </w:rPr>
              <w:lastRenderedPageBreak/>
              <w:t xml:space="preserve">“Indians” pursuant to s. 91(24) so that the federal government has jurisdiction to make laws with respect to those peoples — Whether court of appeal erred in varying terms of declaration — Whether court of appeal erred in declining to grant additional declarations sought by applicants — </w:t>
            </w:r>
            <w:r w:rsidRPr="00A16F83">
              <w:rPr>
                <w:rFonts w:eastAsia="Calibri"/>
                <w:i/>
                <w:sz w:val="20"/>
                <w:szCs w:val="20"/>
              </w:rPr>
              <w:t>Constitution Act, 1867</w:t>
            </w:r>
            <w:r w:rsidRPr="00A16F83">
              <w:rPr>
                <w:rFonts w:eastAsia="Calibri"/>
                <w:sz w:val="20"/>
                <w:szCs w:val="20"/>
              </w:rPr>
              <w:t>, s. 91(24)</w:t>
            </w:r>
          </w:p>
        </w:tc>
      </w:tr>
      <w:tr w:rsidR="00614D8D" w:rsidRPr="00A16F83" w:rsidTr="004B1C37">
        <w:tc>
          <w:tcPr>
            <w:tcW w:w="5000" w:type="pct"/>
            <w:gridSpan w:val="3"/>
          </w:tcPr>
          <w:p w:rsidR="00614D8D" w:rsidRPr="00A16F83" w:rsidRDefault="00614D8D" w:rsidP="004B1C37">
            <w:pPr>
              <w:jc w:val="both"/>
              <w:rPr>
                <w:rFonts w:eastAsia="Calibri"/>
                <w:sz w:val="20"/>
                <w:szCs w:val="20"/>
              </w:rPr>
            </w:pPr>
          </w:p>
        </w:tc>
      </w:tr>
      <w:tr w:rsidR="00614D8D" w:rsidRPr="00A16F83" w:rsidTr="004B1C37">
        <w:tc>
          <w:tcPr>
            <w:tcW w:w="5000" w:type="pct"/>
            <w:gridSpan w:val="3"/>
          </w:tcPr>
          <w:p w:rsidR="00614D8D" w:rsidRPr="00A16F83" w:rsidRDefault="00614D8D" w:rsidP="004B1C37">
            <w:pPr>
              <w:jc w:val="both"/>
              <w:rPr>
                <w:rFonts w:eastAsia="Calibri"/>
                <w:sz w:val="20"/>
                <w:szCs w:val="20"/>
              </w:rPr>
            </w:pPr>
            <w:r w:rsidRPr="00A16F83">
              <w:rPr>
                <w:rFonts w:eastAsia="Calibri"/>
                <w:sz w:val="20"/>
                <w:szCs w:val="20"/>
              </w:rPr>
              <w:t>In 1999, the applicants instituted proceedings in Federal Court in order to resolve a long-standing issue as to which of Canada or the provinces has jurisdiction over the Métis and non-status Indian peoples. Specifically, they sought to obtain a determination that the federal government has constitutional jurisdiction pursuant to s. 91(24) of the</w:t>
            </w:r>
            <w:r w:rsidRPr="00A16F83">
              <w:rPr>
                <w:rFonts w:eastAsia="Calibri"/>
                <w:i/>
                <w:sz w:val="20"/>
                <w:szCs w:val="20"/>
              </w:rPr>
              <w:t xml:space="preserve"> Constitution Act, 1867</w:t>
            </w:r>
            <w:r w:rsidRPr="00A16F83">
              <w:rPr>
                <w:rFonts w:eastAsia="Calibri"/>
                <w:sz w:val="20"/>
                <w:szCs w:val="20"/>
              </w:rPr>
              <w:t xml:space="preserve"> over Métis and non­status Indians.  In Federal Court, they sought the following declarations:</w:t>
            </w:r>
          </w:p>
          <w:p w:rsidR="00614D8D" w:rsidRDefault="00614D8D" w:rsidP="004B1C37">
            <w:pPr>
              <w:tabs>
                <w:tab w:val="left" w:pos="1300"/>
              </w:tabs>
              <w:ind w:left="567"/>
              <w:jc w:val="both"/>
              <w:rPr>
                <w:rFonts w:eastAsia="Calibri"/>
                <w:sz w:val="20"/>
              </w:rPr>
            </w:pPr>
          </w:p>
          <w:p w:rsidR="00614D8D" w:rsidRPr="00A16F83" w:rsidRDefault="00614D8D" w:rsidP="004B1C37">
            <w:pPr>
              <w:tabs>
                <w:tab w:val="left" w:pos="1300"/>
              </w:tabs>
              <w:ind w:left="567"/>
              <w:jc w:val="both"/>
              <w:rPr>
                <w:rFonts w:eastAsia="Calibri"/>
                <w:sz w:val="20"/>
                <w:szCs w:val="20"/>
              </w:rPr>
            </w:pPr>
            <w:r w:rsidRPr="00A16F83">
              <w:rPr>
                <w:rFonts w:eastAsia="Calibri"/>
                <w:sz w:val="20"/>
                <w:szCs w:val="20"/>
              </w:rPr>
              <w:t xml:space="preserve">(a) that Métis and non-status Indians are “Indians” within the meaning of the expression “Indians and lands reserved for Indians” in s 91(24) of the </w:t>
            </w:r>
            <w:r w:rsidRPr="00A16F83">
              <w:rPr>
                <w:rFonts w:eastAsia="Calibri"/>
                <w:i/>
                <w:sz w:val="20"/>
                <w:szCs w:val="20"/>
              </w:rPr>
              <w:t>Constitution Act, 1867</w:t>
            </w:r>
            <w:r w:rsidRPr="00A16F83">
              <w:rPr>
                <w:rFonts w:eastAsia="Calibri"/>
                <w:sz w:val="20"/>
                <w:szCs w:val="20"/>
              </w:rPr>
              <w:t>;</w:t>
            </w:r>
          </w:p>
          <w:p w:rsidR="00614D8D" w:rsidRDefault="00614D8D" w:rsidP="004B1C37">
            <w:pPr>
              <w:tabs>
                <w:tab w:val="left" w:pos="1300"/>
              </w:tabs>
              <w:ind w:left="567"/>
              <w:jc w:val="both"/>
              <w:rPr>
                <w:rFonts w:eastAsia="Calibri"/>
                <w:sz w:val="20"/>
              </w:rPr>
            </w:pPr>
          </w:p>
          <w:p w:rsidR="00614D8D" w:rsidRPr="00A16F83" w:rsidRDefault="00614D8D" w:rsidP="004B1C37">
            <w:pPr>
              <w:tabs>
                <w:tab w:val="left" w:pos="1300"/>
              </w:tabs>
              <w:ind w:left="567"/>
              <w:jc w:val="both"/>
              <w:rPr>
                <w:rFonts w:eastAsia="Calibri"/>
                <w:sz w:val="20"/>
                <w:szCs w:val="20"/>
              </w:rPr>
            </w:pPr>
            <w:r w:rsidRPr="00A16F83">
              <w:rPr>
                <w:rFonts w:eastAsia="Calibri"/>
                <w:sz w:val="20"/>
                <w:szCs w:val="20"/>
              </w:rPr>
              <w:t>(b) that the Queen (in right of Canada) owes a fiduciary duty to Métis and non-status Indians as Aboriginal people; and</w:t>
            </w:r>
          </w:p>
          <w:p w:rsidR="00614D8D" w:rsidRDefault="00614D8D" w:rsidP="004B1C37">
            <w:pPr>
              <w:tabs>
                <w:tab w:val="left" w:pos="1290"/>
              </w:tabs>
              <w:ind w:left="567"/>
              <w:jc w:val="both"/>
              <w:rPr>
                <w:rFonts w:eastAsia="Calibri"/>
                <w:sz w:val="20"/>
              </w:rPr>
            </w:pPr>
          </w:p>
          <w:p w:rsidR="00614D8D" w:rsidRPr="00A16F83" w:rsidRDefault="00614D8D" w:rsidP="004B1C37">
            <w:pPr>
              <w:tabs>
                <w:tab w:val="left" w:pos="1290"/>
              </w:tabs>
              <w:ind w:left="567"/>
              <w:jc w:val="both"/>
              <w:rPr>
                <w:rFonts w:eastAsia="Calibri"/>
                <w:sz w:val="20"/>
                <w:szCs w:val="20"/>
              </w:rPr>
            </w:pPr>
            <w:r w:rsidRPr="00A16F83">
              <w:rPr>
                <w:rFonts w:eastAsia="Calibri"/>
                <w:sz w:val="20"/>
                <w:szCs w:val="20"/>
              </w:rPr>
              <w:t>(c) that the Métis and non-status Indian peoples of Canada have the right to be consulted and negotiated with, in good faith, by the federal government on a collective basis through representatives of their choice, respecting all their rights, interests and needs as Aboriginal peoples.</w:t>
            </w:r>
          </w:p>
          <w:p w:rsidR="00614D8D" w:rsidRPr="00A16F83" w:rsidRDefault="00614D8D" w:rsidP="004B1C37">
            <w:pPr>
              <w:jc w:val="both"/>
              <w:rPr>
                <w:rFonts w:eastAsia="Calibri"/>
                <w:sz w:val="20"/>
                <w:szCs w:val="20"/>
              </w:rPr>
            </w:pPr>
          </w:p>
        </w:tc>
      </w:tr>
      <w:tr w:rsidR="00614D8D" w:rsidRPr="00A16F83" w:rsidTr="004B1C37">
        <w:tc>
          <w:tcPr>
            <w:tcW w:w="2427" w:type="pct"/>
          </w:tcPr>
          <w:p w:rsidR="00614D8D" w:rsidRPr="00A16F83" w:rsidRDefault="00614D8D" w:rsidP="004B1C37">
            <w:pPr>
              <w:jc w:val="both"/>
              <w:rPr>
                <w:rFonts w:eastAsia="Calibri"/>
                <w:sz w:val="20"/>
                <w:szCs w:val="20"/>
              </w:rPr>
            </w:pPr>
            <w:r w:rsidRPr="00A16F83">
              <w:rPr>
                <w:rFonts w:eastAsia="Calibri"/>
                <w:sz w:val="20"/>
                <w:szCs w:val="20"/>
              </w:rPr>
              <w:t>January 8, 2013</w:t>
            </w:r>
          </w:p>
          <w:p w:rsidR="00614D8D" w:rsidRPr="00A16F83" w:rsidRDefault="00614D8D" w:rsidP="004B1C37">
            <w:pPr>
              <w:jc w:val="both"/>
              <w:rPr>
                <w:rFonts w:eastAsia="Calibri"/>
                <w:sz w:val="20"/>
                <w:szCs w:val="20"/>
              </w:rPr>
            </w:pPr>
            <w:r w:rsidRPr="00A16F83">
              <w:rPr>
                <w:rFonts w:eastAsia="Calibri"/>
                <w:sz w:val="20"/>
                <w:szCs w:val="20"/>
              </w:rPr>
              <w:t>Federal Court</w:t>
            </w:r>
          </w:p>
          <w:p w:rsidR="00614D8D" w:rsidRPr="00A16F83" w:rsidRDefault="00614D8D" w:rsidP="004B1C37">
            <w:pPr>
              <w:jc w:val="both"/>
              <w:rPr>
                <w:rFonts w:eastAsia="Calibri"/>
                <w:sz w:val="20"/>
                <w:szCs w:val="20"/>
              </w:rPr>
            </w:pPr>
            <w:r w:rsidRPr="00A16F83">
              <w:rPr>
                <w:rFonts w:eastAsia="Calibri"/>
                <w:sz w:val="20"/>
                <w:szCs w:val="20"/>
              </w:rPr>
              <w:t>(Phelan J.)</w:t>
            </w:r>
          </w:p>
          <w:p w:rsidR="00614D8D" w:rsidRPr="00A16F83" w:rsidRDefault="00690162" w:rsidP="004B1C37">
            <w:pPr>
              <w:jc w:val="both"/>
              <w:rPr>
                <w:rFonts w:eastAsia="Calibri"/>
                <w:sz w:val="20"/>
                <w:szCs w:val="20"/>
              </w:rPr>
            </w:pPr>
            <w:hyperlink r:id="rId30" w:history="1">
              <w:r w:rsidR="00614D8D" w:rsidRPr="00A16F83">
                <w:rPr>
                  <w:rFonts w:eastAsia="Calibri"/>
                  <w:color w:val="0000FF"/>
                  <w:sz w:val="20"/>
                  <w:szCs w:val="20"/>
                  <w:u w:val="single"/>
                </w:rPr>
                <w:t>2013 FC 6</w:t>
              </w:r>
            </w:hyperlink>
          </w:p>
        </w:tc>
        <w:tc>
          <w:tcPr>
            <w:tcW w:w="243" w:type="pct"/>
          </w:tcPr>
          <w:p w:rsidR="00614D8D" w:rsidRPr="00A16F83" w:rsidRDefault="00614D8D" w:rsidP="004B1C37">
            <w:pPr>
              <w:jc w:val="both"/>
              <w:rPr>
                <w:rFonts w:eastAsia="Calibri"/>
                <w:sz w:val="20"/>
                <w:szCs w:val="20"/>
              </w:rPr>
            </w:pPr>
          </w:p>
        </w:tc>
        <w:tc>
          <w:tcPr>
            <w:tcW w:w="2330" w:type="pct"/>
          </w:tcPr>
          <w:p w:rsidR="00614D8D" w:rsidRPr="00A16F83" w:rsidRDefault="00614D8D" w:rsidP="004B1C37">
            <w:pPr>
              <w:jc w:val="both"/>
              <w:rPr>
                <w:rFonts w:eastAsia="Calibri"/>
                <w:sz w:val="20"/>
                <w:szCs w:val="20"/>
              </w:rPr>
            </w:pPr>
            <w:r w:rsidRPr="00A16F83">
              <w:rPr>
                <w:rFonts w:eastAsia="Calibri"/>
                <w:sz w:val="20"/>
                <w:szCs w:val="20"/>
              </w:rPr>
              <w:t xml:space="preserve">Declaration issued that “those persons who are Métis and those who are non-status Indians [...] are ‘Indians’ within the meaning of the expression ‘Indians and Lands reserved for the Indians’ contained in s. 91(24) of the </w:t>
            </w:r>
            <w:r w:rsidRPr="00A16F83">
              <w:rPr>
                <w:rFonts w:eastAsia="Calibri"/>
                <w:i/>
                <w:sz w:val="20"/>
                <w:szCs w:val="20"/>
              </w:rPr>
              <w:t>Constitution Act, 1867</w:t>
            </w:r>
            <w:r w:rsidRPr="00A16F83">
              <w:rPr>
                <w:rFonts w:eastAsia="Calibri"/>
                <w:sz w:val="20"/>
                <w:szCs w:val="20"/>
              </w:rPr>
              <w:t>”; Further declaratory relief, denied</w:t>
            </w:r>
          </w:p>
          <w:p w:rsidR="00614D8D" w:rsidRPr="00A16F83" w:rsidRDefault="00614D8D" w:rsidP="004B1C37">
            <w:pPr>
              <w:jc w:val="both"/>
              <w:rPr>
                <w:rFonts w:eastAsia="Calibri"/>
                <w:sz w:val="20"/>
                <w:szCs w:val="20"/>
              </w:rPr>
            </w:pPr>
          </w:p>
        </w:tc>
      </w:tr>
      <w:tr w:rsidR="00614D8D" w:rsidRPr="00A16F83" w:rsidTr="004B1C37">
        <w:tc>
          <w:tcPr>
            <w:tcW w:w="2427" w:type="pct"/>
          </w:tcPr>
          <w:p w:rsidR="00614D8D" w:rsidRPr="00A16F83" w:rsidRDefault="00614D8D" w:rsidP="004B1C37">
            <w:pPr>
              <w:jc w:val="both"/>
              <w:rPr>
                <w:rFonts w:eastAsia="Calibri"/>
                <w:sz w:val="20"/>
                <w:szCs w:val="20"/>
              </w:rPr>
            </w:pPr>
            <w:r w:rsidRPr="00A16F83">
              <w:rPr>
                <w:rFonts w:eastAsia="Calibri"/>
                <w:sz w:val="20"/>
                <w:szCs w:val="20"/>
              </w:rPr>
              <w:t>April 17, 2014</w:t>
            </w:r>
          </w:p>
          <w:p w:rsidR="00614D8D" w:rsidRPr="00A16F83" w:rsidRDefault="00614D8D" w:rsidP="004B1C37">
            <w:pPr>
              <w:jc w:val="both"/>
              <w:rPr>
                <w:rFonts w:eastAsia="Calibri"/>
                <w:sz w:val="20"/>
                <w:szCs w:val="20"/>
              </w:rPr>
            </w:pPr>
            <w:r w:rsidRPr="00A16F83">
              <w:rPr>
                <w:rFonts w:eastAsia="Calibri"/>
                <w:sz w:val="20"/>
                <w:szCs w:val="20"/>
              </w:rPr>
              <w:t>Federal Court of Appeal</w:t>
            </w:r>
          </w:p>
          <w:p w:rsidR="00614D8D" w:rsidRPr="00A16F83" w:rsidRDefault="00614D8D" w:rsidP="004B1C37">
            <w:pPr>
              <w:jc w:val="both"/>
              <w:rPr>
                <w:rFonts w:eastAsia="Calibri"/>
                <w:sz w:val="20"/>
                <w:szCs w:val="20"/>
              </w:rPr>
            </w:pPr>
            <w:r w:rsidRPr="00A16F83">
              <w:rPr>
                <w:rFonts w:eastAsia="Calibri"/>
                <w:sz w:val="20"/>
                <w:szCs w:val="20"/>
              </w:rPr>
              <w:t>(Noël, Dawson and Trudel JJ.A.)</w:t>
            </w:r>
          </w:p>
          <w:p w:rsidR="00614D8D" w:rsidRPr="00A16F83" w:rsidRDefault="00690162" w:rsidP="004B1C37">
            <w:pPr>
              <w:jc w:val="both"/>
              <w:rPr>
                <w:rFonts w:eastAsia="Calibri"/>
                <w:sz w:val="20"/>
                <w:szCs w:val="20"/>
              </w:rPr>
            </w:pPr>
            <w:hyperlink r:id="rId31" w:history="1">
              <w:r w:rsidR="00614D8D" w:rsidRPr="00A16F83">
                <w:rPr>
                  <w:rFonts w:eastAsia="Calibri"/>
                  <w:color w:val="0000FF"/>
                  <w:sz w:val="20"/>
                  <w:szCs w:val="20"/>
                  <w:u w:val="single"/>
                </w:rPr>
                <w:t>2014 FCA 101</w:t>
              </w:r>
            </w:hyperlink>
          </w:p>
          <w:p w:rsidR="00614D8D" w:rsidRPr="00A16F83" w:rsidRDefault="00614D8D" w:rsidP="004B1C37">
            <w:pPr>
              <w:jc w:val="both"/>
              <w:rPr>
                <w:rFonts w:eastAsia="Calibri"/>
                <w:sz w:val="20"/>
                <w:szCs w:val="20"/>
              </w:rPr>
            </w:pPr>
          </w:p>
        </w:tc>
        <w:tc>
          <w:tcPr>
            <w:tcW w:w="243" w:type="pct"/>
          </w:tcPr>
          <w:p w:rsidR="00614D8D" w:rsidRPr="00A16F83" w:rsidRDefault="00614D8D" w:rsidP="004B1C37">
            <w:pPr>
              <w:jc w:val="both"/>
              <w:rPr>
                <w:rFonts w:eastAsia="Calibri"/>
                <w:sz w:val="20"/>
                <w:szCs w:val="20"/>
              </w:rPr>
            </w:pPr>
          </w:p>
        </w:tc>
        <w:tc>
          <w:tcPr>
            <w:tcW w:w="2330" w:type="pct"/>
          </w:tcPr>
          <w:p w:rsidR="00614D8D" w:rsidRPr="00A16F83" w:rsidRDefault="00614D8D" w:rsidP="004B1C37">
            <w:pPr>
              <w:jc w:val="both"/>
              <w:rPr>
                <w:rFonts w:eastAsia="Calibri"/>
                <w:sz w:val="20"/>
                <w:szCs w:val="20"/>
              </w:rPr>
            </w:pPr>
            <w:r w:rsidRPr="00A16F83">
              <w:rPr>
                <w:rFonts w:eastAsia="Calibri"/>
                <w:sz w:val="20"/>
                <w:szCs w:val="20"/>
              </w:rPr>
              <w:t>Appeal allowed, in part; Cross-appeal dismissed; Declaration set aside and restated by deleting reference to “non-status Indians”</w:t>
            </w:r>
          </w:p>
        </w:tc>
      </w:tr>
      <w:tr w:rsidR="00614D8D" w:rsidRPr="00A16F83" w:rsidTr="004B1C37">
        <w:tc>
          <w:tcPr>
            <w:tcW w:w="2427" w:type="pct"/>
          </w:tcPr>
          <w:p w:rsidR="00614D8D" w:rsidRPr="00A16F83" w:rsidRDefault="00614D8D" w:rsidP="004B1C37">
            <w:pPr>
              <w:jc w:val="both"/>
              <w:rPr>
                <w:rFonts w:eastAsia="Calibri"/>
                <w:sz w:val="20"/>
                <w:szCs w:val="20"/>
              </w:rPr>
            </w:pPr>
            <w:r w:rsidRPr="00A16F83">
              <w:rPr>
                <w:rFonts w:eastAsia="Calibri"/>
                <w:sz w:val="20"/>
                <w:szCs w:val="20"/>
              </w:rPr>
              <w:t>June 16, 2014</w:t>
            </w:r>
          </w:p>
          <w:p w:rsidR="00614D8D" w:rsidRPr="00A16F83" w:rsidRDefault="00614D8D" w:rsidP="004B1C37">
            <w:pPr>
              <w:jc w:val="both"/>
              <w:rPr>
                <w:rFonts w:eastAsia="Calibri"/>
                <w:sz w:val="20"/>
                <w:szCs w:val="20"/>
              </w:rPr>
            </w:pPr>
            <w:r w:rsidRPr="00A16F83">
              <w:rPr>
                <w:rFonts w:eastAsia="Calibri"/>
                <w:sz w:val="20"/>
                <w:szCs w:val="20"/>
              </w:rPr>
              <w:t>Supreme Court of Canada</w:t>
            </w:r>
          </w:p>
          <w:p w:rsidR="00614D8D" w:rsidRPr="00A16F83" w:rsidRDefault="00614D8D" w:rsidP="004B1C37">
            <w:pPr>
              <w:jc w:val="both"/>
              <w:rPr>
                <w:rFonts w:eastAsia="Calibri"/>
                <w:sz w:val="20"/>
                <w:szCs w:val="20"/>
              </w:rPr>
            </w:pPr>
          </w:p>
        </w:tc>
        <w:tc>
          <w:tcPr>
            <w:tcW w:w="243" w:type="pct"/>
          </w:tcPr>
          <w:p w:rsidR="00614D8D" w:rsidRPr="00A16F83" w:rsidRDefault="00614D8D" w:rsidP="004B1C37">
            <w:pPr>
              <w:jc w:val="both"/>
              <w:rPr>
                <w:rFonts w:eastAsia="Calibri"/>
                <w:sz w:val="20"/>
                <w:szCs w:val="20"/>
              </w:rPr>
            </w:pPr>
          </w:p>
        </w:tc>
        <w:tc>
          <w:tcPr>
            <w:tcW w:w="2330" w:type="pct"/>
          </w:tcPr>
          <w:p w:rsidR="00614D8D" w:rsidRPr="00A16F83" w:rsidRDefault="00614D8D" w:rsidP="004B1C37">
            <w:pPr>
              <w:jc w:val="both"/>
              <w:rPr>
                <w:rFonts w:eastAsia="Calibri"/>
                <w:sz w:val="20"/>
                <w:szCs w:val="20"/>
              </w:rPr>
            </w:pPr>
            <w:r w:rsidRPr="00A16F83">
              <w:rPr>
                <w:rFonts w:eastAsia="Calibri"/>
                <w:sz w:val="20"/>
                <w:szCs w:val="20"/>
              </w:rPr>
              <w:t>Application for leave to appeal filed</w:t>
            </w:r>
          </w:p>
        </w:tc>
      </w:tr>
      <w:tr w:rsidR="00614D8D" w:rsidRPr="00A16F83" w:rsidTr="004B1C37">
        <w:tc>
          <w:tcPr>
            <w:tcW w:w="2427" w:type="pct"/>
          </w:tcPr>
          <w:p w:rsidR="00614D8D" w:rsidRPr="00A16F83" w:rsidRDefault="00614D8D" w:rsidP="004B1C37">
            <w:pPr>
              <w:jc w:val="both"/>
              <w:rPr>
                <w:rFonts w:eastAsia="Calibri"/>
                <w:sz w:val="20"/>
                <w:szCs w:val="20"/>
              </w:rPr>
            </w:pPr>
            <w:r w:rsidRPr="00A16F83">
              <w:rPr>
                <w:rFonts w:eastAsia="Calibri"/>
                <w:sz w:val="20"/>
                <w:szCs w:val="20"/>
              </w:rPr>
              <w:t>August 14, 2014</w:t>
            </w:r>
          </w:p>
          <w:p w:rsidR="00614D8D" w:rsidRPr="00A16F83" w:rsidRDefault="00614D8D" w:rsidP="004B1C37">
            <w:pPr>
              <w:jc w:val="both"/>
              <w:rPr>
                <w:rFonts w:eastAsia="Calibri"/>
                <w:sz w:val="20"/>
                <w:szCs w:val="20"/>
              </w:rPr>
            </w:pPr>
            <w:r w:rsidRPr="00A16F83">
              <w:rPr>
                <w:rFonts w:eastAsia="Calibri"/>
                <w:sz w:val="20"/>
                <w:szCs w:val="20"/>
              </w:rPr>
              <w:t>Supreme Court of Canada</w:t>
            </w:r>
          </w:p>
          <w:p w:rsidR="00614D8D" w:rsidRPr="00A16F83" w:rsidRDefault="00614D8D" w:rsidP="004B1C37">
            <w:pPr>
              <w:jc w:val="both"/>
              <w:rPr>
                <w:rFonts w:eastAsia="Calibri"/>
                <w:sz w:val="20"/>
                <w:szCs w:val="20"/>
              </w:rPr>
            </w:pPr>
          </w:p>
        </w:tc>
        <w:tc>
          <w:tcPr>
            <w:tcW w:w="243" w:type="pct"/>
          </w:tcPr>
          <w:p w:rsidR="00614D8D" w:rsidRPr="00A16F83" w:rsidRDefault="00614D8D" w:rsidP="004B1C37">
            <w:pPr>
              <w:jc w:val="both"/>
              <w:rPr>
                <w:rFonts w:eastAsia="Calibri"/>
                <w:sz w:val="20"/>
                <w:szCs w:val="20"/>
              </w:rPr>
            </w:pPr>
          </w:p>
        </w:tc>
        <w:tc>
          <w:tcPr>
            <w:tcW w:w="2330" w:type="pct"/>
          </w:tcPr>
          <w:p w:rsidR="00614D8D" w:rsidRPr="00A16F83" w:rsidRDefault="00614D8D" w:rsidP="004B1C37">
            <w:pPr>
              <w:jc w:val="both"/>
              <w:rPr>
                <w:rFonts w:eastAsia="Calibri"/>
                <w:sz w:val="20"/>
                <w:szCs w:val="20"/>
              </w:rPr>
            </w:pPr>
            <w:r w:rsidRPr="00A16F83">
              <w:rPr>
                <w:rFonts w:eastAsia="Calibri"/>
                <w:sz w:val="20"/>
                <w:szCs w:val="20"/>
              </w:rPr>
              <w:t>Conditional application for leave to cross-appeal, filed</w:t>
            </w:r>
          </w:p>
        </w:tc>
      </w:tr>
      <w:tr w:rsidR="00614D8D" w:rsidRPr="00A16F83" w:rsidTr="004B1C37">
        <w:tc>
          <w:tcPr>
            <w:tcW w:w="2427" w:type="pct"/>
          </w:tcPr>
          <w:p w:rsidR="00614D8D" w:rsidRPr="00A16F83" w:rsidRDefault="00614D8D" w:rsidP="004B1C37">
            <w:pPr>
              <w:jc w:val="both"/>
              <w:rPr>
                <w:rFonts w:eastAsia="Calibri"/>
                <w:sz w:val="20"/>
                <w:szCs w:val="20"/>
              </w:rPr>
            </w:pPr>
            <w:r w:rsidRPr="00A16F83">
              <w:rPr>
                <w:rFonts w:eastAsia="Calibri"/>
                <w:sz w:val="20"/>
                <w:szCs w:val="20"/>
              </w:rPr>
              <w:t>August 21, 2014</w:t>
            </w:r>
          </w:p>
          <w:p w:rsidR="00614D8D" w:rsidRPr="00A16F83" w:rsidRDefault="00614D8D" w:rsidP="004B1C37">
            <w:pPr>
              <w:jc w:val="both"/>
              <w:rPr>
                <w:rFonts w:eastAsia="Calibri"/>
                <w:sz w:val="20"/>
                <w:szCs w:val="20"/>
              </w:rPr>
            </w:pPr>
            <w:r w:rsidRPr="00A16F83">
              <w:rPr>
                <w:rFonts w:eastAsia="Calibri"/>
                <w:sz w:val="20"/>
                <w:szCs w:val="20"/>
              </w:rPr>
              <w:t>Supreme Court of Canada</w:t>
            </w:r>
          </w:p>
        </w:tc>
        <w:tc>
          <w:tcPr>
            <w:tcW w:w="243" w:type="pct"/>
          </w:tcPr>
          <w:p w:rsidR="00614D8D" w:rsidRPr="00A16F83" w:rsidRDefault="00614D8D" w:rsidP="004B1C37">
            <w:pPr>
              <w:jc w:val="both"/>
              <w:rPr>
                <w:rFonts w:eastAsia="Calibri"/>
                <w:sz w:val="20"/>
                <w:szCs w:val="20"/>
              </w:rPr>
            </w:pPr>
          </w:p>
        </w:tc>
        <w:tc>
          <w:tcPr>
            <w:tcW w:w="2330" w:type="pct"/>
          </w:tcPr>
          <w:p w:rsidR="00614D8D" w:rsidRPr="00A16F83" w:rsidRDefault="00614D8D" w:rsidP="004B1C37">
            <w:pPr>
              <w:jc w:val="both"/>
              <w:rPr>
                <w:rFonts w:eastAsia="Calibri"/>
                <w:sz w:val="20"/>
                <w:szCs w:val="20"/>
              </w:rPr>
            </w:pPr>
            <w:r w:rsidRPr="00A16F83">
              <w:rPr>
                <w:rFonts w:eastAsia="Calibri"/>
                <w:sz w:val="20"/>
                <w:szCs w:val="20"/>
              </w:rPr>
              <w:t>Motion for an extension of time to file a response to the application for leave to appeal and for leave to file a response to the application for leave to cross-appeal, filed by the intervener Métis National Council</w:t>
            </w:r>
          </w:p>
        </w:tc>
      </w:tr>
    </w:tbl>
    <w:p w:rsidR="00915D6A" w:rsidRDefault="00915D6A" w:rsidP="00915D6A">
      <w:pPr>
        <w:rPr>
          <w:sz w:val="20"/>
          <w:szCs w:val="20"/>
        </w:rPr>
      </w:pPr>
    </w:p>
    <w:p w:rsidR="00915D6A" w:rsidRPr="00C50A5C" w:rsidRDefault="00690162" w:rsidP="00915D6A">
      <w:pPr>
        <w:rPr>
          <w:sz w:val="20"/>
          <w:szCs w:val="20"/>
        </w:rPr>
      </w:pPr>
      <w:r>
        <w:rPr>
          <w:sz w:val="20"/>
          <w:szCs w:val="20"/>
          <w:lang w:val="fr-CA"/>
        </w:rPr>
        <w:pict>
          <v:rect id="_x0000_i1046" style="width:2in;height:1pt" o:hrpct="0" o:hralign="center" o:hrstd="t" o:hrnoshade="t" o:hr="t" fillcolor="black [3213]" stroked="f"/>
        </w:pict>
      </w:r>
    </w:p>
    <w:p w:rsidR="00915D6A" w:rsidRDefault="00915D6A" w:rsidP="00915D6A">
      <w:pPr>
        <w:rPr>
          <w:sz w:val="20"/>
          <w:szCs w:val="20"/>
        </w:rPr>
      </w:pPr>
    </w:p>
    <w:p w:rsidR="00915D6A" w:rsidRPr="001B157C" w:rsidRDefault="00915D6A" w:rsidP="00915D6A">
      <w:pPr>
        <w:rPr>
          <w:sz w:val="20"/>
          <w:szCs w:val="20"/>
          <w:u w:val="single"/>
          <w:lang w:val="fr-CA"/>
        </w:rPr>
      </w:pPr>
      <w:r w:rsidRPr="001B157C">
        <w:rPr>
          <w:sz w:val="20"/>
          <w:szCs w:val="20"/>
          <w:u w:val="single"/>
          <w:lang w:val="fr-CA"/>
        </w:rPr>
        <w:t>RÉSUMÉ DE L’AFFAIRE</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14D8D" w:rsidRPr="00690162" w:rsidTr="004B1C37">
        <w:tc>
          <w:tcPr>
            <w:tcW w:w="5000" w:type="pct"/>
            <w:gridSpan w:val="3"/>
          </w:tcPr>
          <w:p w:rsidR="00614D8D" w:rsidRPr="00A16F83" w:rsidRDefault="00614D8D" w:rsidP="004B1C37">
            <w:pPr>
              <w:jc w:val="both"/>
              <w:rPr>
                <w:rFonts w:eastAsia="Calibri"/>
                <w:sz w:val="20"/>
                <w:szCs w:val="20"/>
                <w:lang w:val="fr-CA"/>
              </w:rPr>
            </w:pPr>
            <w:r w:rsidRPr="00A16F83">
              <w:rPr>
                <w:rFonts w:eastAsia="Calibri"/>
                <w:sz w:val="20"/>
                <w:szCs w:val="20"/>
                <w:lang w:val="fr-CA"/>
              </w:rPr>
              <w:t>Droit constitutionnel — Partage des compétences — Droit des Autochtones — Métis — Le tribunal de première instance a rendu un jugement déclarant que les Métis et les Indiens non inscrits sont des « Indiens »  au sens du par. 91(24) de la </w:t>
            </w:r>
            <w:r w:rsidRPr="00A16F83">
              <w:rPr>
                <w:rFonts w:eastAsia="Calibri"/>
                <w:i/>
                <w:iCs/>
                <w:sz w:val="20"/>
                <w:szCs w:val="20"/>
                <w:lang w:val="fr-CA"/>
              </w:rPr>
              <w:t>Loi constitutionnelle de 1867</w:t>
            </w:r>
            <w:r w:rsidRPr="00A16F83">
              <w:rPr>
                <w:rFonts w:eastAsia="Calibri"/>
                <w:i/>
                <w:sz w:val="20"/>
                <w:szCs w:val="20"/>
                <w:lang w:val="fr-CA"/>
              </w:rPr>
              <w:t xml:space="preserve"> </w:t>
            </w:r>
            <w:r w:rsidRPr="00A16F83">
              <w:rPr>
                <w:rFonts w:eastAsia="Calibri"/>
                <w:sz w:val="20"/>
                <w:szCs w:val="20"/>
                <w:lang w:val="fr-CA"/>
              </w:rPr>
              <w:t xml:space="preserve">— La Cour d’appel a modifié le jugement déclaratoire de manière à exclure les Indiens non inscrits de la portée du jugement — Les Métis et les Indiens non inscrits sont-ils des </w:t>
            </w:r>
            <w:r w:rsidRPr="00A16F83">
              <w:rPr>
                <w:rFonts w:eastAsia="Calibri"/>
                <w:sz w:val="20"/>
                <w:szCs w:val="20"/>
                <w:lang w:val="fr-CA"/>
              </w:rPr>
              <w:lastRenderedPageBreak/>
              <w:t xml:space="preserve">« Indiens » au sens du paragraphe. 91(24), si bien que le gouvernement fédéral a compétence législative à l’égard de ces personnes? — La Cour d’appel a-t-elle eu tort de modifier les dispositions du jugement déclaratoire? — La Cour d’appel a-t-elle eu tort de refuser de prononcer les jugements déclaratoires supplémentaires demandés par les demandeurs? — </w:t>
            </w:r>
            <w:r w:rsidRPr="00A16F83">
              <w:rPr>
                <w:rFonts w:eastAsia="Calibri"/>
                <w:i/>
                <w:sz w:val="20"/>
                <w:szCs w:val="20"/>
                <w:lang w:val="fr-CA"/>
              </w:rPr>
              <w:t>Loi constitutionnelle de 1867</w:t>
            </w:r>
            <w:r w:rsidRPr="00A16F83">
              <w:rPr>
                <w:rFonts w:eastAsia="Calibri"/>
                <w:sz w:val="20"/>
                <w:szCs w:val="20"/>
                <w:lang w:val="fr-CA"/>
              </w:rPr>
              <w:t>, par. 91(24).</w:t>
            </w:r>
          </w:p>
        </w:tc>
      </w:tr>
      <w:tr w:rsidR="00614D8D" w:rsidRPr="00690162" w:rsidTr="004B1C37">
        <w:tc>
          <w:tcPr>
            <w:tcW w:w="5000" w:type="pct"/>
            <w:gridSpan w:val="3"/>
          </w:tcPr>
          <w:p w:rsidR="00614D8D" w:rsidRPr="00A16F83" w:rsidRDefault="00614D8D" w:rsidP="004B1C37">
            <w:pPr>
              <w:jc w:val="both"/>
              <w:rPr>
                <w:rFonts w:eastAsia="Calibri"/>
                <w:sz w:val="20"/>
                <w:szCs w:val="20"/>
                <w:lang w:val="fr-CA"/>
              </w:rPr>
            </w:pPr>
          </w:p>
        </w:tc>
      </w:tr>
      <w:tr w:rsidR="00614D8D" w:rsidRPr="00690162" w:rsidTr="004B1C37">
        <w:tc>
          <w:tcPr>
            <w:tcW w:w="5000" w:type="pct"/>
            <w:gridSpan w:val="3"/>
          </w:tcPr>
          <w:p w:rsidR="00614D8D" w:rsidRPr="00A16F83" w:rsidRDefault="00614D8D" w:rsidP="004B1C37">
            <w:pPr>
              <w:jc w:val="both"/>
              <w:rPr>
                <w:rFonts w:eastAsia="Calibri"/>
                <w:sz w:val="20"/>
                <w:szCs w:val="20"/>
                <w:lang w:val="fr-CA"/>
              </w:rPr>
            </w:pPr>
            <w:r w:rsidRPr="00A16F83">
              <w:rPr>
                <w:rFonts w:eastAsia="Calibri"/>
                <w:sz w:val="20"/>
                <w:szCs w:val="20"/>
                <w:lang w:val="fr-CA"/>
              </w:rPr>
              <w:t>En 1999, les demandeurs ont introduit une instance en Cour fédérale en vue de résoudre une question qui se pose de longue date, à savoir qui, du Canada ou des provinces, a compétence à l’égard des Métis et des Indiens non inscrits.  Plus particulièrement, ils ont demandé un jugement déclarant que le gouvernement fédéral avait compétence constitutionnelle en application du par. 91(24) de la</w:t>
            </w:r>
            <w:r w:rsidRPr="00A16F83">
              <w:rPr>
                <w:rFonts w:eastAsia="Calibri"/>
                <w:i/>
                <w:sz w:val="20"/>
                <w:szCs w:val="20"/>
                <w:lang w:val="fr-CA"/>
              </w:rPr>
              <w:t xml:space="preserve"> Loi constitutionnelle de 1867 </w:t>
            </w:r>
            <w:r w:rsidRPr="00A16F83">
              <w:rPr>
                <w:rFonts w:eastAsia="Calibri"/>
                <w:sz w:val="20"/>
                <w:szCs w:val="20"/>
                <w:lang w:val="fr-CA"/>
              </w:rPr>
              <w:t>à l’égard des Métis et des Indiens non inscrits.  En Cour fédérale, ils ont demandé les jugements déclaratoires suivants :</w:t>
            </w:r>
          </w:p>
          <w:p w:rsidR="00614D8D" w:rsidRDefault="00614D8D" w:rsidP="004B1C37">
            <w:pPr>
              <w:tabs>
                <w:tab w:val="left" w:pos="1300"/>
              </w:tabs>
              <w:ind w:left="567"/>
              <w:jc w:val="both"/>
              <w:rPr>
                <w:rFonts w:eastAsia="Calibri"/>
                <w:sz w:val="20"/>
                <w:lang w:val="fr-CA"/>
              </w:rPr>
            </w:pPr>
          </w:p>
          <w:p w:rsidR="00614D8D" w:rsidRPr="00A16F83" w:rsidRDefault="00614D8D" w:rsidP="004B1C37">
            <w:pPr>
              <w:tabs>
                <w:tab w:val="left" w:pos="1300"/>
              </w:tabs>
              <w:ind w:left="567"/>
              <w:jc w:val="both"/>
              <w:rPr>
                <w:rFonts w:eastAsia="Calibri"/>
                <w:sz w:val="20"/>
                <w:szCs w:val="20"/>
                <w:lang w:val="fr-CA"/>
              </w:rPr>
            </w:pPr>
            <w:r w:rsidRPr="00A16F83">
              <w:rPr>
                <w:rFonts w:eastAsia="Calibri"/>
                <w:sz w:val="20"/>
                <w:szCs w:val="20"/>
                <w:lang w:val="fr-CA"/>
              </w:rPr>
              <w:t>a) que les Métis et les Indiens non inscrits sont des « Indiens » au sens de l’expression « Indiens et terres réservées pour les Indiens » du par. 91(24) de la </w:t>
            </w:r>
            <w:r w:rsidRPr="00A16F83">
              <w:rPr>
                <w:rFonts w:eastAsia="Calibri"/>
                <w:i/>
                <w:iCs/>
                <w:sz w:val="20"/>
                <w:szCs w:val="20"/>
                <w:lang w:val="fr-CA"/>
              </w:rPr>
              <w:t>Loi constitutionnelle de 1867</w:t>
            </w:r>
            <w:r w:rsidRPr="00A16F83">
              <w:rPr>
                <w:rFonts w:eastAsia="Calibri"/>
                <w:sz w:val="20"/>
                <w:szCs w:val="20"/>
                <w:lang w:val="fr-CA"/>
              </w:rPr>
              <w:t>;</w:t>
            </w:r>
          </w:p>
          <w:p w:rsidR="00614D8D" w:rsidRDefault="00614D8D" w:rsidP="004B1C37">
            <w:pPr>
              <w:tabs>
                <w:tab w:val="left" w:pos="1300"/>
              </w:tabs>
              <w:ind w:left="567"/>
              <w:jc w:val="both"/>
              <w:rPr>
                <w:rFonts w:eastAsia="Calibri"/>
                <w:sz w:val="20"/>
                <w:lang w:val="fr-CA"/>
              </w:rPr>
            </w:pPr>
          </w:p>
          <w:p w:rsidR="00614D8D" w:rsidRPr="00A16F83" w:rsidRDefault="00614D8D" w:rsidP="004B1C37">
            <w:pPr>
              <w:tabs>
                <w:tab w:val="left" w:pos="1300"/>
              </w:tabs>
              <w:ind w:left="567"/>
              <w:jc w:val="both"/>
              <w:rPr>
                <w:rFonts w:eastAsia="Calibri"/>
                <w:sz w:val="20"/>
                <w:szCs w:val="20"/>
                <w:lang w:val="fr-CA"/>
              </w:rPr>
            </w:pPr>
            <w:r w:rsidRPr="00A16F83">
              <w:rPr>
                <w:rFonts w:eastAsia="Calibri"/>
                <w:sz w:val="20"/>
                <w:szCs w:val="20"/>
                <w:lang w:val="fr-CA"/>
              </w:rPr>
              <w:t xml:space="preserve">b) que la Reine (du chef du Canada) a une obligation de fiduciaire envers les Métis et les Indiens non inscrits, puisque ceux-ci sont des Autochtones; </w:t>
            </w:r>
          </w:p>
          <w:p w:rsidR="00614D8D" w:rsidRDefault="00614D8D" w:rsidP="004B1C37">
            <w:pPr>
              <w:tabs>
                <w:tab w:val="left" w:pos="1290"/>
              </w:tabs>
              <w:ind w:left="567"/>
              <w:jc w:val="both"/>
              <w:rPr>
                <w:rFonts w:eastAsia="Calibri"/>
                <w:sz w:val="20"/>
                <w:lang w:val="fr-CA"/>
              </w:rPr>
            </w:pPr>
          </w:p>
          <w:p w:rsidR="00614D8D" w:rsidRPr="00A16F83" w:rsidRDefault="00614D8D" w:rsidP="004B1C37">
            <w:pPr>
              <w:tabs>
                <w:tab w:val="left" w:pos="1290"/>
              </w:tabs>
              <w:ind w:left="567"/>
              <w:jc w:val="both"/>
              <w:rPr>
                <w:rFonts w:eastAsia="Calibri"/>
                <w:sz w:val="20"/>
                <w:szCs w:val="20"/>
                <w:lang w:val="fr-CA"/>
              </w:rPr>
            </w:pPr>
            <w:r w:rsidRPr="00A16F83">
              <w:rPr>
                <w:rFonts w:eastAsia="Calibri"/>
                <w:sz w:val="20"/>
                <w:szCs w:val="20"/>
                <w:lang w:val="fr-CA"/>
              </w:rPr>
              <w:t>c) que les Métis et les Indiens non inscrits du Canada ont le droit d’être présents aux négociations et d’être consultés de bonne foi par le gouvernement fédéral sur une base collective, et avec la représentation de leur choix, en ce qui concerne leurs droits, leurs intérêts et leurs besoins en tant qu’Autochtones.</w:t>
            </w:r>
          </w:p>
          <w:p w:rsidR="00614D8D" w:rsidRPr="00A16F83" w:rsidRDefault="00614D8D" w:rsidP="004B1C37">
            <w:pPr>
              <w:jc w:val="both"/>
              <w:rPr>
                <w:rFonts w:eastAsia="Calibri"/>
                <w:sz w:val="20"/>
                <w:szCs w:val="20"/>
                <w:lang w:val="fr-CA"/>
              </w:rPr>
            </w:pPr>
          </w:p>
        </w:tc>
      </w:tr>
      <w:tr w:rsidR="00614D8D" w:rsidRPr="00690162" w:rsidTr="004B1C37">
        <w:tc>
          <w:tcPr>
            <w:tcW w:w="2427" w:type="pct"/>
          </w:tcPr>
          <w:p w:rsidR="00614D8D" w:rsidRPr="00A16F83" w:rsidRDefault="00614D8D" w:rsidP="004B1C37">
            <w:pPr>
              <w:jc w:val="both"/>
              <w:rPr>
                <w:rFonts w:eastAsia="Calibri"/>
                <w:sz w:val="20"/>
                <w:szCs w:val="20"/>
                <w:lang w:val="fr-CA"/>
              </w:rPr>
            </w:pPr>
            <w:r w:rsidRPr="00A16F83">
              <w:rPr>
                <w:rFonts w:eastAsia="Calibri"/>
                <w:sz w:val="20"/>
                <w:szCs w:val="20"/>
                <w:lang w:val="fr-CA"/>
              </w:rPr>
              <w:t>8 janvier 2013</w:t>
            </w:r>
          </w:p>
          <w:p w:rsidR="00614D8D" w:rsidRPr="00A16F83" w:rsidRDefault="00614D8D" w:rsidP="004B1C37">
            <w:pPr>
              <w:jc w:val="both"/>
              <w:rPr>
                <w:rFonts w:eastAsia="Calibri"/>
                <w:sz w:val="20"/>
                <w:szCs w:val="20"/>
                <w:lang w:val="fr-CA"/>
              </w:rPr>
            </w:pPr>
            <w:r w:rsidRPr="00A16F83">
              <w:rPr>
                <w:rFonts w:eastAsia="Calibri"/>
                <w:sz w:val="20"/>
                <w:szCs w:val="20"/>
                <w:lang w:val="fr-CA"/>
              </w:rPr>
              <w:t xml:space="preserve">Cour fédérale </w:t>
            </w:r>
          </w:p>
          <w:p w:rsidR="00614D8D" w:rsidRPr="00A16F83" w:rsidRDefault="00614D8D" w:rsidP="004B1C37">
            <w:pPr>
              <w:jc w:val="both"/>
              <w:rPr>
                <w:rFonts w:eastAsia="Calibri"/>
                <w:sz w:val="20"/>
                <w:szCs w:val="20"/>
                <w:lang w:val="fr-CA"/>
              </w:rPr>
            </w:pPr>
            <w:r w:rsidRPr="00A16F83">
              <w:rPr>
                <w:rFonts w:eastAsia="Calibri"/>
                <w:sz w:val="20"/>
                <w:szCs w:val="20"/>
                <w:lang w:val="fr-CA"/>
              </w:rPr>
              <w:t>(Juge Phelan)</w:t>
            </w:r>
          </w:p>
          <w:p w:rsidR="00614D8D" w:rsidRPr="00A16F83" w:rsidRDefault="00690162" w:rsidP="004B1C37">
            <w:pPr>
              <w:jc w:val="both"/>
              <w:rPr>
                <w:rFonts w:eastAsia="Calibri"/>
                <w:sz w:val="20"/>
                <w:szCs w:val="20"/>
                <w:lang w:val="fr-CA"/>
              </w:rPr>
            </w:pPr>
            <w:hyperlink r:id="rId32" w:history="1">
              <w:r w:rsidR="00614D8D" w:rsidRPr="00A16F83">
                <w:rPr>
                  <w:rFonts w:eastAsia="Calibri"/>
                  <w:color w:val="0000FF"/>
                  <w:sz w:val="20"/>
                  <w:szCs w:val="20"/>
                  <w:u w:val="single"/>
                  <w:lang w:val="fr-CA"/>
                </w:rPr>
                <w:t>2013 FC 6</w:t>
              </w:r>
            </w:hyperlink>
          </w:p>
        </w:tc>
        <w:tc>
          <w:tcPr>
            <w:tcW w:w="243" w:type="pct"/>
          </w:tcPr>
          <w:p w:rsidR="00614D8D" w:rsidRPr="00A16F83" w:rsidRDefault="00614D8D" w:rsidP="004B1C37">
            <w:pPr>
              <w:jc w:val="both"/>
              <w:rPr>
                <w:rFonts w:eastAsia="Calibri"/>
                <w:sz w:val="20"/>
                <w:szCs w:val="20"/>
                <w:lang w:val="fr-CA"/>
              </w:rPr>
            </w:pPr>
          </w:p>
        </w:tc>
        <w:tc>
          <w:tcPr>
            <w:tcW w:w="2330" w:type="pct"/>
          </w:tcPr>
          <w:p w:rsidR="00614D8D" w:rsidRPr="00A16F83" w:rsidRDefault="00614D8D" w:rsidP="004B1C37">
            <w:pPr>
              <w:jc w:val="both"/>
              <w:rPr>
                <w:rFonts w:eastAsia="Calibri"/>
                <w:sz w:val="20"/>
                <w:szCs w:val="20"/>
                <w:lang w:val="fr-CA"/>
              </w:rPr>
            </w:pPr>
            <w:r w:rsidRPr="00A16F83">
              <w:rPr>
                <w:rFonts w:eastAsia="Calibri"/>
                <w:sz w:val="20"/>
                <w:szCs w:val="20"/>
                <w:lang w:val="fr-CA"/>
              </w:rPr>
              <w:t>Jugement déclarant que « les Métis et les Indiens non inscrits sont des “Indiens”  au sens de l’expression “Indiens et terres réservées pour les Indiens” du par. 91(24) de la </w:t>
            </w:r>
            <w:r w:rsidRPr="00A16F83">
              <w:rPr>
                <w:rFonts w:eastAsia="Calibri"/>
                <w:i/>
                <w:iCs/>
                <w:sz w:val="20"/>
                <w:szCs w:val="20"/>
                <w:lang w:val="fr-CA"/>
              </w:rPr>
              <w:t>Loi constitutionnelle de 1867</w:t>
            </w:r>
            <w:r w:rsidRPr="00A16F83">
              <w:rPr>
                <w:rFonts w:eastAsia="Calibri"/>
                <w:iCs/>
                <w:sz w:val="20"/>
                <w:szCs w:val="20"/>
                <w:lang w:val="fr-CA"/>
              </w:rPr>
              <w:t> »</w:t>
            </w:r>
            <w:r w:rsidRPr="00A16F83">
              <w:rPr>
                <w:rFonts w:eastAsia="Calibri"/>
                <w:sz w:val="20"/>
                <w:szCs w:val="20"/>
                <w:lang w:val="fr-CA"/>
              </w:rPr>
              <w:t>; jugement déclaratoire supplémentaire, refusé</w:t>
            </w:r>
          </w:p>
          <w:p w:rsidR="00614D8D" w:rsidRPr="00A16F83" w:rsidRDefault="00614D8D" w:rsidP="004B1C37">
            <w:pPr>
              <w:jc w:val="both"/>
              <w:rPr>
                <w:rFonts w:eastAsia="Calibri"/>
                <w:sz w:val="20"/>
                <w:szCs w:val="20"/>
                <w:lang w:val="fr-CA"/>
              </w:rPr>
            </w:pPr>
          </w:p>
        </w:tc>
      </w:tr>
      <w:tr w:rsidR="00614D8D" w:rsidRPr="00690162" w:rsidTr="004B1C37">
        <w:tc>
          <w:tcPr>
            <w:tcW w:w="2427" w:type="pct"/>
          </w:tcPr>
          <w:p w:rsidR="00614D8D" w:rsidRPr="00A16F83" w:rsidRDefault="00614D8D" w:rsidP="004B1C37">
            <w:pPr>
              <w:jc w:val="both"/>
              <w:rPr>
                <w:rFonts w:eastAsia="Calibri"/>
                <w:sz w:val="20"/>
                <w:szCs w:val="20"/>
                <w:lang w:val="fr-CA"/>
              </w:rPr>
            </w:pPr>
            <w:r w:rsidRPr="00A16F83">
              <w:rPr>
                <w:rFonts w:eastAsia="Calibri"/>
                <w:sz w:val="20"/>
                <w:szCs w:val="20"/>
                <w:lang w:val="fr-CA"/>
              </w:rPr>
              <w:t>17 avril 2014</w:t>
            </w:r>
          </w:p>
          <w:p w:rsidR="00614D8D" w:rsidRPr="00A16F83" w:rsidRDefault="00614D8D" w:rsidP="004B1C37">
            <w:pPr>
              <w:jc w:val="both"/>
              <w:rPr>
                <w:rFonts w:eastAsia="Calibri"/>
                <w:sz w:val="20"/>
                <w:szCs w:val="20"/>
                <w:lang w:val="fr-CA"/>
              </w:rPr>
            </w:pPr>
            <w:r w:rsidRPr="00A16F83">
              <w:rPr>
                <w:rFonts w:eastAsia="Calibri"/>
                <w:sz w:val="20"/>
                <w:szCs w:val="20"/>
                <w:lang w:val="fr-CA"/>
              </w:rPr>
              <w:t xml:space="preserve">Cour d’appel fédérale </w:t>
            </w:r>
          </w:p>
          <w:p w:rsidR="00614D8D" w:rsidRPr="00A16F83" w:rsidRDefault="00614D8D" w:rsidP="004B1C37">
            <w:pPr>
              <w:jc w:val="both"/>
              <w:rPr>
                <w:rFonts w:eastAsia="Calibri"/>
                <w:sz w:val="20"/>
                <w:szCs w:val="20"/>
                <w:lang w:val="fr-CA"/>
              </w:rPr>
            </w:pPr>
            <w:r w:rsidRPr="00A16F83">
              <w:rPr>
                <w:rFonts w:eastAsia="Calibri"/>
                <w:sz w:val="20"/>
                <w:szCs w:val="20"/>
                <w:lang w:val="fr-CA"/>
              </w:rPr>
              <w:t>(Juges Noël, Dawson et Trudel)</w:t>
            </w:r>
          </w:p>
          <w:p w:rsidR="00614D8D" w:rsidRPr="00A16F83" w:rsidRDefault="00690162" w:rsidP="004B1C37">
            <w:pPr>
              <w:jc w:val="both"/>
              <w:rPr>
                <w:rFonts w:eastAsia="Calibri"/>
                <w:sz w:val="20"/>
                <w:szCs w:val="20"/>
                <w:lang w:val="fr-CA"/>
              </w:rPr>
            </w:pPr>
            <w:hyperlink r:id="rId33" w:history="1">
              <w:r w:rsidR="00614D8D" w:rsidRPr="00A16F83">
                <w:rPr>
                  <w:rFonts w:eastAsia="Calibri"/>
                  <w:color w:val="0000FF"/>
                  <w:sz w:val="20"/>
                  <w:szCs w:val="20"/>
                  <w:u w:val="single"/>
                  <w:lang w:val="fr-CA"/>
                </w:rPr>
                <w:t>2014 FCA 101</w:t>
              </w:r>
            </w:hyperlink>
          </w:p>
          <w:p w:rsidR="00614D8D" w:rsidRPr="00A16F83" w:rsidRDefault="00614D8D" w:rsidP="004B1C37">
            <w:pPr>
              <w:jc w:val="both"/>
              <w:rPr>
                <w:rFonts w:eastAsia="Calibri"/>
                <w:sz w:val="20"/>
                <w:szCs w:val="20"/>
                <w:lang w:val="fr-CA"/>
              </w:rPr>
            </w:pPr>
          </w:p>
        </w:tc>
        <w:tc>
          <w:tcPr>
            <w:tcW w:w="243" w:type="pct"/>
          </w:tcPr>
          <w:p w:rsidR="00614D8D" w:rsidRPr="00A16F83" w:rsidRDefault="00614D8D" w:rsidP="004B1C37">
            <w:pPr>
              <w:jc w:val="both"/>
              <w:rPr>
                <w:rFonts w:eastAsia="Calibri"/>
                <w:sz w:val="20"/>
                <w:szCs w:val="20"/>
                <w:lang w:val="fr-CA"/>
              </w:rPr>
            </w:pPr>
          </w:p>
        </w:tc>
        <w:tc>
          <w:tcPr>
            <w:tcW w:w="2330" w:type="pct"/>
          </w:tcPr>
          <w:p w:rsidR="00614D8D" w:rsidRPr="00A16F83" w:rsidRDefault="00614D8D" w:rsidP="004B1C37">
            <w:pPr>
              <w:jc w:val="both"/>
              <w:rPr>
                <w:rFonts w:eastAsia="Calibri"/>
                <w:sz w:val="20"/>
                <w:szCs w:val="20"/>
                <w:lang w:val="fr-CA"/>
              </w:rPr>
            </w:pPr>
            <w:r w:rsidRPr="00A16F83">
              <w:rPr>
                <w:rFonts w:eastAsia="Calibri"/>
                <w:sz w:val="20"/>
                <w:szCs w:val="20"/>
                <w:lang w:val="fr-CA"/>
              </w:rPr>
              <w:t>Appel accueilli en partie; appel incident rejeté; jugement déclaratoire annulé et rétabli en supprimant la référence aux Indiens non inscrits</w:t>
            </w:r>
          </w:p>
        </w:tc>
      </w:tr>
      <w:tr w:rsidR="00614D8D" w:rsidRPr="00A16F83" w:rsidTr="004B1C37">
        <w:tc>
          <w:tcPr>
            <w:tcW w:w="2427" w:type="pct"/>
          </w:tcPr>
          <w:p w:rsidR="00614D8D" w:rsidRPr="00A16F83" w:rsidRDefault="00614D8D" w:rsidP="004B1C37">
            <w:pPr>
              <w:jc w:val="both"/>
              <w:rPr>
                <w:rFonts w:eastAsia="Calibri"/>
                <w:sz w:val="20"/>
                <w:szCs w:val="20"/>
                <w:lang w:val="fr-CA"/>
              </w:rPr>
            </w:pPr>
            <w:r w:rsidRPr="00A16F83">
              <w:rPr>
                <w:rFonts w:eastAsia="Calibri"/>
                <w:sz w:val="20"/>
                <w:szCs w:val="20"/>
                <w:lang w:val="fr-CA"/>
              </w:rPr>
              <w:t>16 juin 2014</w:t>
            </w:r>
          </w:p>
          <w:p w:rsidR="00614D8D" w:rsidRPr="00A16F83" w:rsidRDefault="00614D8D" w:rsidP="004B1C37">
            <w:pPr>
              <w:jc w:val="both"/>
              <w:rPr>
                <w:rFonts w:eastAsia="Calibri"/>
                <w:sz w:val="20"/>
                <w:szCs w:val="20"/>
                <w:lang w:val="fr-CA"/>
              </w:rPr>
            </w:pPr>
            <w:r w:rsidRPr="00A16F83">
              <w:rPr>
                <w:rFonts w:eastAsia="Calibri"/>
                <w:sz w:val="20"/>
                <w:szCs w:val="20"/>
                <w:lang w:val="fr-CA"/>
              </w:rPr>
              <w:t>Cour suprême du Canada</w:t>
            </w:r>
          </w:p>
          <w:p w:rsidR="00614D8D" w:rsidRPr="00A16F83" w:rsidRDefault="00614D8D" w:rsidP="004B1C37">
            <w:pPr>
              <w:jc w:val="both"/>
              <w:rPr>
                <w:rFonts w:eastAsia="Calibri"/>
                <w:sz w:val="20"/>
                <w:szCs w:val="20"/>
                <w:lang w:val="fr-CA"/>
              </w:rPr>
            </w:pPr>
          </w:p>
        </w:tc>
        <w:tc>
          <w:tcPr>
            <w:tcW w:w="243" w:type="pct"/>
          </w:tcPr>
          <w:p w:rsidR="00614D8D" w:rsidRPr="00A16F83" w:rsidRDefault="00614D8D" w:rsidP="004B1C37">
            <w:pPr>
              <w:jc w:val="both"/>
              <w:rPr>
                <w:rFonts w:eastAsia="Calibri"/>
                <w:sz w:val="20"/>
                <w:szCs w:val="20"/>
                <w:lang w:val="fr-CA"/>
              </w:rPr>
            </w:pPr>
          </w:p>
        </w:tc>
        <w:tc>
          <w:tcPr>
            <w:tcW w:w="2330" w:type="pct"/>
          </w:tcPr>
          <w:p w:rsidR="00614D8D" w:rsidRPr="00A16F83" w:rsidRDefault="00614D8D" w:rsidP="004B1C37">
            <w:pPr>
              <w:jc w:val="both"/>
              <w:rPr>
                <w:rFonts w:eastAsia="Calibri"/>
                <w:sz w:val="20"/>
                <w:szCs w:val="20"/>
                <w:lang w:val="fr-CA"/>
              </w:rPr>
            </w:pPr>
            <w:r w:rsidRPr="00A16F83">
              <w:rPr>
                <w:rFonts w:eastAsia="Calibri"/>
                <w:sz w:val="20"/>
                <w:szCs w:val="20"/>
                <w:lang w:val="fr-CA"/>
              </w:rPr>
              <w:t>Demande d’autorisation d’appel, déposée</w:t>
            </w:r>
          </w:p>
        </w:tc>
      </w:tr>
      <w:tr w:rsidR="00614D8D" w:rsidRPr="00690162" w:rsidTr="004B1C37">
        <w:tc>
          <w:tcPr>
            <w:tcW w:w="2427" w:type="pct"/>
          </w:tcPr>
          <w:p w:rsidR="00614D8D" w:rsidRPr="00A16F83" w:rsidRDefault="00614D8D" w:rsidP="004B1C37">
            <w:pPr>
              <w:jc w:val="both"/>
              <w:rPr>
                <w:rFonts w:eastAsia="Calibri"/>
                <w:sz w:val="20"/>
                <w:szCs w:val="20"/>
                <w:lang w:val="fr-CA"/>
              </w:rPr>
            </w:pPr>
            <w:r w:rsidRPr="00A16F83">
              <w:rPr>
                <w:rFonts w:eastAsia="Calibri"/>
                <w:sz w:val="20"/>
                <w:szCs w:val="20"/>
                <w:lang w:val="fr-CA"/>
              </w:rPr>
              <w:t>14 août 2014</w:t>
            </w:r>
          </w:p>
          <w:p w:rsidR="00614D8D" w:rsidRPr="00A16F83" w:rsidRDefault="00614D8D" w:rsidP="004B1C37">
            <w:pPr>
              <w:jc w:val="both"/>
              <w:rPr>
                <w:rFonts w:eastAsia="Calibri"/>
                <w:sz w:val="20"/>
                <w:szCs w:val="20"/>
                <w:lang w:val="fr-CA"/>
              </w:rPr>
            </w:pPr>
            <w:r w:rsidRPr="00A16F83">
              <w:rPr>
                <w:rFonts w:eastAsia="Calibri"/>
                <w:sz w:val="20"/>
                <w:szCs w:val="20"/>
                <w:lang w:val="fr-CA"/>
              </w:rPr>
              <w:t>Cour suprême du Canada</w:t>
            </w:r>
          </w:p>
          <w:p w:rsidR="00614D8D" w:rsidRPr="00A16F83" w:rsidRDefault="00614D8D" w:rsidP="004B1C37">
            <w:pPr>
              <w:jc w:val="both"/>
              <w:rPr>
                <w:rFonts w:eastAsia="Calibri"/>
                <w:sz w:val="20"/>
                <w:szCs w:val="20"/>
                <w:lang w:val="fr-CA"/>
              </w:rPr>
            </w:pPr>
          </w:p>
        </w:tc>
        <w:tc>
          <w:tcPr>
            <w:tcW w:w="243" w:type="pct"/>
          </w:tcPr>
          <w:p w:rsidR="00614D8D" w:rsidRPr="00A16F83" w:rsidRDefault="00614D8D" w:rsidP="004B1C37">
            <w:pPr>
              <w:jc w:val="both"/>
              <w:rPr>
                <w:rFonts w:eastAsia="Calibri"/>
                <w:sz w:val="20"/>
                <w:szCs w:val="20"/>
                <w:lang w:val="fr-CA"/>
              </w:rPr>
            </w:pPr>
          </w:p>
        </w:tc>
        <w:tc>
          <w:tcPr>
            <w:tcW w:w="2330" w:type="pct"/>
          </w:tcPr>
          <w:p w:rsidR="00614D8D" w:rsidRPr="00A16F83" w:rsidRDefault="00614D8D" w:rsidP="004B1C37">
            <w:pPr>
              <w:jc w:val="both"/>
              <w:rPr>
                <w:rFonts w:eastAsia="Calibri"/>
                <w:sz w:val="20"/>
                <w:szCs w:val="20"/>
                <w:lang w:val="fr-CA"/>
              </w:rPr>
            </w:pPr>
            <w:r w:rsidRPr="00A16F83">
              <w:rPr>
                <w:rFonts w:eastAsia="Calibri"/>
                <w:sz w:val="20"/>
                <w:szCs w:val="20"/>
                <w:lang w:val="fr-CA"/>
              </w:rPr>
              <w:t>Demande conditionnelle d’autorisation d’appel incident, déposée</w:t>
            </w:r>
          </w:p>
        </w:tc>
      </w:tr>
      <w:tr w:rsidR="00614D8D" w:rsidRPr="00690162" w:rsidTr="004B1C37">
        <w:tc>
          <w:tcPr>
            <w:tcW w:w="2427" w:type="pct"/>
          </w:tcPr>
          <w:p w:rsidR="00614D8D" w:rsidRPr="00A16F83" w:rsidRDefault="00614D8D" w:rsidP="004B1C37">
            <w:pPr>
              <w:jc w:val="both"/>
              <w:rPr>
                <w:rFonts w:eastAsia="Calibri"/>
                <w:sz w:val="20"/>
                <w:szCs w:val="20"/>
                <w:lang w:val="fr-CA"/>
              </w:rPr>
            </w:pPr>
            <w:r w:rsidRPr="00A16F83">
              <w:rPr>
                <w:rFonts w:eastAsia="Calibri"/>
                <w:sz w:val="20"/>
                <w:szCs w:val="20"/>
                <w:lang w:val="fr-CA"/>
              </w:rPr>
              <w:t>21 août 2014</w:t>
            </w:r>
          </w:p>
          <w:p w:rsidR="00614D8D" w:rsidRPr="00A16F83" w:rsidRDefault="00614D8D" w:rsidP="004B1C37">
            <w:pPr>
              <w:jc w:val="both"/>
              <w:rPr>
                <w:rFonts w:eastAsia="Calibri"/>
                <w:sz w:val="20"/>
                <w:szCs w:val="20"/>
                <w:lang w:val="fr-CA"/>
              </w:rPr>
            </w:pPr>
            <w:r w:rsidRPr="00A16F83">
              <w:rPr>
                <w:rFonts w:eastAsia="Calibri"/>
                <w:sz w:val="20"/>
                <w:szCs w:val="20"/>
                <w:lang w:val="fr-CA"/>
              </w:rPr>
              <w:t>Cour suprême du Canada</w:t>
            </w:r>
          </w:p>
        </w:tc>
        <w:tc>
          <w:tcPr>
            <w:tcW w:w="243" w:type="pct"/>
          </w:tcPr>
          <w:p w:rsidR="00614D8D" w:rsidRPr="00A16F83" w:rsidRDefault="00614D8D" w:rsidP="004B1C37">
            <w:pPr>
              <w:jc w:val="both"/>
              <w:rPr>
                <w:rFonts w:eastAsia="Calibri"/>
                <w:sz w:val="20"/>
                <w:szCs w:val="20"/>
                <w:lang w:val="fr-CA"/>
              </w:rPr>
            </w:pPr>
          </w:p>
        </w:tc>
        <w:tc>
          <w:tcPr>
            <w:tcW w:w="2330" w:type="pct"/>
          </w:tcPr>
          <w:p w:rsidR="00614D8D" w:rsidRPr="00A16F83" w:rsidRDefault="00614D8D" w:rsidP="004B1C37">
            <w:pPr>
              <w:jc w:val="both"/>
              <w:rPr>
                <w:rFonts w:eastAsia="Calibri"/>
                <w:sz w:val="20"/>
                <w:szCs w:val="20"/>
                <w:lang w:val="fr-CA"/>
              </w:rPr>
            </w:pPr>
            <w:r w:rsidRPr="00A16F83">
              <w:rPr>
                <w:rFonts w:eastAsia="Calibri"/>
                <w:sz w:val="20"/>
                <w:szCs w:val="20"/>
                <w:lang w:val="fr-CA"/>
              </w:rPr>
              <w:t>Requête en prorogation du délai de dépôt d’une réponse à la demande d’autorisation d’appel et en autorisation de déposer une réponse à la demande d’autorisation d’appel incident, déposée par l’intervenant, Ralliement national des Métis</w:t>
            </w:r>
          </w:p>
        </w:tc>
      </w:tr>
    </w:tbl>
    <w:p w:rsidR="00915D6A" w:rsidRPr="00614D8D" w:rsidRDefault="00915D6A" w:rsidP="00915D6A">
      <w:pPr>
        <w:rPr>
          <w:sz w:val="20"/>
          <w:szCs w:val="20"/>
          <w:lang w:val="fr-CA"/>
        </w:rPr>
      </w:pPr>
    </w:p>
    <w:p w:rsidR="00915D6A" w:rsidRDefault="00690162" w:rsidP="00915D6A">
      <w:pPr>
        <w:rPr>
          <w:sz w:val="20"/>
          <w:szCs w:val="20"/>
        </w:rPr>
      </w:pPr>
      <w:r>
        <w:rPr>
          <w:sz w:val="20"/>
          <w:szCs w:val="20"/>
          <w:lang w:val="fr-CA"/>
        </w:rPr>
        <w:pict>
          <v:rect id="_x0000_i1047" style="width:2in;height:1pt" o:hrpct="0" o:hralign="center" o:hrstd="t" o:hrnoshade="t" o:hr="t" fillcolor="black [3213]" stroked="f"/>
        </w:pict>
      </w:r>
    </w:p>
    <w:p w:rsidR="00915D6A" w:rsidRDefault="00915D6A" w:rsidP="00915D6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B1FB0" w:rsidRPr="00186B1A" w:rsidTr="00650BC1">
        <w:trPr>
          <w:cantSplit/>
        </w:trPr>
        <w:tc>
          <w:tcPr>
            <w:tcW w:w="1458" w:type="dxa"/>
          </w:tcPr>
          <w:p w:rsidR="006B1FB0" w:rsidRPr="00186B1A" w:rsidRDefault="006B1FB0" w:rsidP="00650BC1">
            <w:pPr>
              <w:rPr>
                <w:sz w:val="20"/>
                <w:szCs w:val="20"/>
              </w:rPr>
            </w:pPr>
            <w:r w:rsidRPr="00186B1A">
              <w:rPr>
                <w:rStyle w:val="SCCFileNumberChar"/>
                <w:sz w:val="20"/>
                <w:szCs w:val="20"/>
              </w:rPr>
              <w:t>35954</w:t>
            </w:r>
          </w:p>
          <w:p w:rsidR="006B1FB0" w:rsidRPr="00186B1A" w:rsidRDefault="006B1FB0" w:rsidP="00650BC1">
            <w:pPr>
              <w:rPr>
                <w:b/>
                <w:sz w:val="20"/>
                <w:szCs w:val="20"/>
                <w:lang w:val="fr-CA"/>
              </w:rPr>
            </w:pPr>
          </w:p>
        </w:tc>
        <w:tc>
          <w:tcPr>
            <w:tcW w:w="8118" w:type="dxa"/>
          </w:tcPr>
          <w:p w:rsidR="006B1FB0" w:rsidRPr="00186B1A" w:rsidRDefault="006B1FB0" w:rsidP="00650BC1">
            <w:pPr>
              <w:rPr>
                <w:sz w:val="20"/>
                <w:szCs w:val="20"/>
              </w:rPr>
            </w:pPr>
            <w:r w:rsidRPr="006B1FB0">
              <w:rPr>
                <w:rStyle w:val="SCCLsocChar"/>
                <w:sz w:val="20"/>
                <w:szCs w:val="20"/>
                <w:lang w:val="en-CA"/>
              </w:rPr>
              <w:t>Lucian Bogdan Molea v. Malcolm Rains</w:t>
            </w:r>
            <w:r w:rsidRPr="00186B1A">
              <w:rPr>
                <w:sz w:val="20"/>
                <w:szCs w:val="20"/>
              </w:rPr>
              <w:t xml:space="preserve"> (Ont.) (Civil) (By Leave)</w:t>
            </w:r>
          </w:p>
          <w:p w:rsidR="006B1FB0" w:rsidRPr="00186B1A" w:rsidRDefault="006B1FB0" w:rsidP="00650BC1">
            <w:pPr>
              <w:rPr>
                <w:sz w:val="20"/>
                <w:szCs w:val="20"/>
              </w:rPr>
            </w:pPr>
          </w:p>
        </w:tc>
      </w:tr>
      <w:tr w:rsidR="006B1FB0" w:rsidRPr="00186B1A" w:rsidTr="00650BC1">
        <w:trPr>
          <w:cantSplit/>
        </w:trPr>
        <w:tc>
          <w:tcPr>
            <w:tcW w:w="1458" w:type="dxa"/>
          </w:tcPr>
          <w:p w:rsidR="006B1FB0" w:rsidRPr="00186B1A" w:rsidRDefault="006B1FB0" w:rsidP="00650BC1">
            <w:pPr>
              <w:rPr>
                <w:sz w:val="20"/>
                <w:szCs w:val="20"/>
              </w:rPr>
            </w:pPr>
            <w:r w:rsidRPr="00186B1A">
              <w:rPr>
                <w:sz w:val="20"/>
                <w:szCs w:val="20"/>
              </w:rPr>
              <w:t>Coram :</w:t>
            </w:r>
          </w:p>
        </w:tc>
        <w:tc>
          <w:tcPr>
            <w:tcW w:w="8118" w:type="dxa"/>
          </w:tcPr>
          <w:p w:rsidR="006B1FB0" w:rsidRPr="00186B1A" w:rsidRDefault="006B1FB0" w:rsidP="00650BC1">
            <w:pPr>
              <w:rPr>
                <w:sz w:val="20"/>
                <w:szCs w:val="20"/>
              </w:rPr>
            </w:pPr>
            <w:r w:rsidRPr="006B1FB0">
              <w:rPr>
                <w:rStyle w:val="SCCCoramChar"/>
                <w:sz w:val="20"/>
                <w:szCs w:val="20"/>
                <w:lang w:val="en-CA"/>
              </w:rPr>
              <w:t>Abella, Rothstein and Moldaver JJ.</w:t>
            </w:r>
          </w:p>
          <w:p w:rsidR="006B1FB0" w:rsidRPr="00186B1A" w:rsidRDefault="006B1FB0" w:rsidP="00650BC1">
            <w:pPr>
              <w:rPr>
                <w:sz w:val="20"/>
                <w:szCs w:val="20"/>
                <w:u w:val="single"/>
              </w:rPr>
            </w:pPr>
          </w:p>
        </w:tc>
      </w:tr>
      <w:tr w:rsidR="006B1FB0" w:rsidRPr="00690162" w:rsidTr="00650BC1">
        <w:trPr>
          <w:cantSplit/>
        </w:trPr>
        <w:tc>
          <w:tcPr>
            <w:tcW w:w="9576" w:type="dxa"/>
            <w:gridSpan w:val="2"/>
          </w:tcPr>
          <w:p w:rsidR="006B1FB0" w:rsidRPr="00186B1A" w:rsidRDefault="006B1FB0" w:rsidP="00650BC1">
            <w:pPr>
              <w:pStyle w:val="SCCShortJudgment"/>
              <w:rPr>
                <w:szCs w:val="20"/>
              </w:rPr>
            </w:pPr>
            <w:r w:rsidRPr="00186B1A">
              <w:rPr>
                <w:szCs w:val="20"/>
              </w:rPr>
              <w:lastRenderedPageBreak/>
              <w:t>The application for leave to appeal from the judgment of the Court of Appeal for Ontario, Number M43029, dated April 25, 2014, is dismissed with costs.</w:t>
            </w:r>
          </w:p>
          <w:p w:rsidR="006B1FB0" w:rsidRPr="00186B1A" w:rsidRDefault="006B1FB0" w:rsidP="00650BC1">
            <w:pPr>
              <w:pStyle w:val="SCCShortJudgment"/>
              <w:ind w:firstLine="0"/>
              <w:rPr>
                <w:szCs w:val="20"/>
              </w:rPr>
            </w:pPr>
          </w:p>
          <w:p w:rsidR="006B1FB0" w:rsidRPr="00186B1A" w:rsidRDefault="006B1FB0" w:rsidP="00650BC1">
            <w:pPr>
              <w:pStyle w:val="SCCShortJudgment"/>
              <w:rPr>
                <w:szCs w:val="20"/>
                <w:lang w:val="fr-CA"/>
              </w:rPr>
            </w:pPr>
            <w:r w:rsidRPr="00186B1A">
              <w:rPr>
                <w:szCs w:val="20"/>
                <w:lang w:val="fr-CA"/>
              </w:rPr>
              <w:t>La demande d’autorisation d’appel de l’arrêt de la Cour d’appel de l’Ontario, numéro M43029, daté du 25 avril 2014, est rejetée avec dépens.</w:t>
            </w:r>
          </w:p>
        </w:tc>
      </w:tr>
    </w:tbl>
    <w:p w:rsidR="00915D6A" w:rsidRPr="0016547E" w:rsidRDefault="00915D6A" w:rsidP="00915D6A">
      <w:pPr>
        <w:rPr>
          <w:sz w:val="20"/>
          <w:szCs w:val="20"/>
          <w:lang w:val="fr-CA"/>
        </w:rPr>
      </w:pPr>
    </w:p>
    <w:p w:rsidR="00915D6A" w:rsidRPr="001B157C" w:rsidRDefault="00915D6A" w:rsidP="00915D6A">
      <w:pPr>
        <w:rPr>
          <w:sz w:val="20"/>
          <w:szCs w:val="20"/>
          <w:u w:val="single"/>
        </w:rPr>
      </w:pPr>
      <w:r w:rsidRPr="001B157C">
        <w:rPr>
          <w:sz w:val="20"/>
          <w:szCs w:val="20"/>
          <w:u w:val="single"/>
        </w:rPr>
        <w:t>CASE SUMMARY</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B1C37" w:rsidRPr="00A16F83" w:rsidTr="004B1C37">
        <w:tc>
          <w:tcPr>
            <w:tcW w:w="5000" w:type="pct"/>
            <w:gridSpan w:val="3"/>
          </w:tcPr>
          <w:p w:rsidR="004B1C37" w:rsidRPr="00A16F83" w:rsidRDefault="004B1C37" w:rsidP="004B1C37">
            <w:pPr>
              <w:jc w:val="both"/>
              <w:rPr>
                <w:rFonts w:eastAsia="Calibri"/>
                <w:sz w:val="20"/>
                <w:szCs w:val="20"/>
              </w:rPr>
            </w:pPr>
            <w:r w:rsidRPr="00A16F83">
              <w:rPr>
                <w:rFonts w:eastAsia="Calibri"/>
                <w:sz w:val="20"/>
                <w:szCs w:val="20"/>
              </w:rPr>
              <w:t xml:space="preserve">Civil procedure – Costs – Defendant successful at trial of copyright infringement action – Both parties represented by counsel on a </w:t>
            </w:r>
            <w:r w:rsidRPr="00A16F83">
              <w:rPr>
                <w:rFonts w:eastAsia="Calibri"/>
                <w:i/>
                <w:sz w:val="20"/>
                <w:szCs w:val="20"/>
              </w:rPr>
              <w:t>pro bono</w:t>
            </w:r>
            <w:r w:rsidRPr="00A16F83">
              <w:rPr>
                <w:rFonts w:eastAsia="Calibri"/>
                <w:sz w:val="20"/>
                <w:szCs w:val="20"/>
              </w:rPr>
              <w:t xml:space="preserve"> basis – Trial judge refusing request for costs on a substantial indemnity basis and awarding successful defendant disbursements only – Whether costs should have been awarded to the successful defendant.</w:t>
            </w:r>
          </w:p>
        </w:tc>
      </w:tr>
      <w:tr w:rsidR="004B1C37" w:rsidRPr="00A16F83" w:rsidTr="004B1C37">
        <w:tc>
          <w:tcPr>
            <w:tcW w:w="5000" w:type="pct"/>
            <w:gridSpan w:val="3"/>
          </w:tcPr>
          <w:p w:rsidR="004B1C37" w:rsidRPr="00A16F83" w:rsidRDefault="004B1C37" w:rsidP="004B1C37">
            <w:pPr>
              <w:jc w:val="both"/>
              <w:rPr>
                <w:rFonts w:eastAsia="Calibri"/>
                <w:sz w:val="20"/>
                <w:szCs w:val="20"/>
              </w:rPr>
            </w:pPr>
          </w:p>
        </w:tc>
      </w:tr>
      <w:tr w:rsidR="004B1C37" w:rsidRPr="00A16F83" w:rsidTr="004B1C37">
        <w:tc>
          <w:tcPr>
            <w:tcW w:w="5000" w:type="pct"/>
            <w:gridSpan w:val="3"/>
          </w:tcPr>
          <w:p w:rsidR="004B1C37" w:rsidRPr="00A16F83" w:rsidRDefault="004B1C37" w:rsidP="004B1C37">
            <w:pPr>
              <w:jc w:val="both"/>
              <w:rPr>
                <w:rFonts w:eastAsia="Calibri"/>
                <w:sz w:val="20"/>
                <w:szCs w:val="20"/>
              </w:rPr>
            </w:pPr>
            <w:r w:rsidRPr="00A16F83">
              <w:rPr>
                <w:rFonts w:eastAsia="Calibri"/>
                <w:sz w:val="20"/>
                <w:szCs w:val="20"/>
              </w:rPr>
              <w:t xml:space="preserve">The respondent, Mr. Rains, sued the applicant, Mr. Molea, for copyright infringement, seeking damages of about $6 million.  The Ontario Superior Court of Justice dismissed the action.  Both parties were represented by counsel acting on a </w:t>
            </w:r>
            <w:r w:rsidRPr="00A16F83">
              <w:rPr>
                <w:rFonts w:eastAsia="Calibri"/>
                <w:i/>
                <w:sz w:val="20"/>
                <w:szCs w:val="20"/>
              </w:rPr>
              <w:t>pro bono</w:t>
            </w:r>
            <w:r w:rsidRPr="00A16F83">
              <w:rPr>
                <w:rFonts w:eastAsia="Calibri"/>
                <w:sz w:val="20"/>
                <w:szCs w:val="20"/>
              </w:rPr>
              <w:t xml:space="preserve"> basis.  Mr. Molea then requested costs on a substantial indemnity basis.  Relying on </w:t>
            </w:r>
            <w:r w:rsidRPr="00A16F83">
              <w:rPr>
                <w:rFonts w:eastAsia="Calibri"/>
                <w:i/>
                <w:sz w:val="20"/>
                <w:szCs w:val="20"/>
              </w:rPr>
              <w:t>1465778 Ontario Inc. v. 1172077 Ontario Ltd.</w:t>
            </w:r>
            <w:r w:rsidRPr="00A16F83">
              <w:rPr>
                <w:rFonts w:eastAsia="Calibri"/>
                <w:sz w:val="20"/>
                <w:szCs w:val="20"/>
              </w:rPr>
              <w:t xml:space="preserve"> (2006), 82 O.R. (3d) 757, he asserted that a </w:t>
            </w:r>
            <w:r w:rsidRPr="00A16F83">
              <w:rPr>
                <w:rFonts w:eastAsia="Calibri"/>
                <w:i/>
                <w:sz w:val="20"/>
                <w:szCs w:val="20"/>
              </w:rPr>
              <w:t>pro bono</w:t>
            </w:r>
            <w:r w:rsidRPr="00A16F83">
              <w:rPr>
                <w:rFonts w:eastAsia="Calibri"/>
                <w:sz w:val="20"/>
                <w:szCs w:val="20"/>
              </w:rPr>
              <w:t xml:space="preserve"> party should be entitled to costs.</w:t>
            </w:r>
          </w:p>
          <w:p w:rsidR="004B1C37" w:rsidRPr="00A16F83" w:rsidRDefault="004B1C37" w:rsidP="004B1C37">
            <w:pPr>
              <w:jc w:val="both"/>
              <w:rPr>
                <w:rFonts w:eastAsia="Calibri"/>
                <w:sz w:val="20"/>
                <w:szCs w:val="20"/>
              </w:rPr>
            </w:pPr>
          </w:p>
          <w:p w:rsidR="004B1C37" w:rsidRPr="00A16F83" w:rsidRDefault="004B1C37" w:rsidP="004B1C37">
            <w:pPr>
              <w:jc w:val="both"/>
              <w:rPr>
                <w:rFonts w:eastAsia="Calibri"/>
                <w:sz w:val="20"/>
                <w:szCs w:val="20"/>
              </w:rPr>
            </w:pPr>
            <w:r w:rsidRPr="00A16F83">
              <w:rPr>
                <w:rFonts w:eastAsia="Calibri"/>
                <w:sz w:val="20"/>
                <w:szCs w:val="20"/>
              </w:rPr>
              <w:t>The trial judge agreed, but decided to only award Mr. Molea his disbursements ($18,724.41 plus tax) in the circumstances.  The Court of Appeal dismissed Mr. Molea’s application for leave to appeal on the costs issue, without reasons.</w:t>
            </w:r>
          </w:p>
          <w:p w:rsidR="004B1C37" w:rsidRPr="00A16F83" w:rsidRDefault="004B1C37" w:rsidP="004B1C37">
            <w:pPr>
              <w:jc w:val="both"/>
              <w:rPr>
                <w:rFonts w:eastAsia="Calibri"/>
                <w:sz w:val="20"/>
                <w:szCs w:val="20"/>
              </w:rPr>
            </w:pPr>
          </w:p>
        </w:tc>
      </w:tr>
      <w:tr w:rsidR="004B1C37" w:rsidRPr="00A16F83" w:rsidTr="004B1C37">
        <w:tc>
          <w:tcPr>
            <w:tcW w:w="2427" w:type="pct"/>
          </w:tcPr>
          <w:p w:rsidR="004B1C37" w:rsidRPr="00A16F83" w:rsidRDefault="004B1C37" w:rsidP="004B1C37">
            <w:pPr>
              <w:jc w:val="both"/>
              <w:rPr>
                <w:rFonts w:eastAsia="Calibri"/>
                <w:sz w:val="20"/>
                <w:szCs w:val="20"/>
              </w:rPr>
            </w:pPr>
            <w:r w:rsidRPr="00A16F83">
              <w:rPr>
                <w:rFonts w:eastAsia="Calibri"/>
                <w:sz w:val="20"/>
                <w:szCs w:val="20"/>
              </w:rPr>
              <w:t>August 15, 2013</w:t>
            </w:r>
          </w:p>
          <w:p w:rsidR="004B1C37" w:rsidRPr="00A16F83" w:rsidRDefault="004B1C37" w:rsidP="004B1C37">
            <w:pPr>
              <w:jc w:val="both"/>
              <w:rPr>
                <w:rFonts w:eastAsia="Calibri"/>
                <w:sz w:val="20"/>
                <w:szCs w:val="20"/>
              </w:rPr>
            </w:pPr>
            <w:r w:rsidRPr="00A16F83">
              <w:rPr>
                <w:rFonts w:eastAsia="Calibri"/>
                <w:sz w:val="20"/>
                <w:szCs w:val="20"/>
              </w:rPr>
              <w:t>Ontario Superior Court of Justice</w:t>
            </w:r>
          </w:p>
          <w:p w:rsidR="004B1C37" w:rsidRPr="00A16F83" w:rsidRDefault="004B1C37" w:rsidP="004B1C37">
            <w:pPr>
              <w:jc w:val="both"/>
              <w:rPr>
                <w:rFonts w:eastAsia="Calibri"/>
                <w:sz w:val="20"/>
                <w:szCs w:val="20"/>
              </w:rPr>
            </w:pPr>
            <w:r w:rsidRPr="00A16F83">
              <w:rPr>
                <w:rFonts w:eastAsia="Calibri"/>
                <w:sz w:val="20"/>
                <w:szCs w:val="20"/>
              </w:rPr>
              <w:t>(Chiapetta V.)</w:t>
            </w:r>
          </w:p>
          <w:p w:rsidR="004B1C37" w:rsidRPr="00A16F83" w:rsidRDefault="00690162" w:rsidP="004B1C37">
            <w:pPr>
              <w:jc w:val="both"/>
              <w:rPr>
                <w:rFonts w:eastAsia="Calibri"/>
                <w:sz w:val="20"/>
                <w:szCs w:val="20"/>
              </w:rPr>
            </w:pPr>
            <w:hyperlink r:id="rId34" w:history="1">
              <w:r w:rsidR="004B1C37" w:rsidRPr="00A16F83">
                <w:rPr>
                  <w:rFonts w:eastAsia="Calibri"/>
                  <w:color w:val="0000FF"/>
                  <w:sz w:val="20"/>
                  <w:szCs w:val="20"/>
                  <w:u w:val="single"/>
                </w:rPr>
                <w:t>2013 ONSC 5016</w:t>
              </w:r>
            </w:hyperlink>
          </w:p>
          <w:p w:rsidR="004B1C37" w:rsidRPr="00A16F83" w:rsidRDefault="004B1C37" w:rsidP="004B1C37">
            <w:pPr>
              <w:jc w:val="both"/>
              <w:rPr>
                <w:rFonts w:eastAsia="Calibri"/>
                <w:sz w:val="20"/>
                <w:szCs w:val="20"/>
              </w:rPr>
            </w:pPr>
          </w:p>
        </w:tc>
        <w:tc>
          <w:tcPr>
            <w:tcW w:w="243" w:type="pct"/>
          </w:tcPr>
          <w:p w:rsidR="004B1C37" w:rsidRPr="00A16F83" w:rsidRDefault="004B1C37" w:rsidP="004B1C37">
            <w:pPr>
              <w:jc w:val="both"/>
              <w:rPr>
                <w:rFonts w:eastAsia="Calibri"/>
                <w:sz w:val="20"/>
                <w:szCs w:val="20"/>
              </w:rPr>
            </w:pPr>
          </w:p>
        </w:tc>
        <w:tc>
          <w:tcPr>
            <w:tcW w:w="2330" w:type="pct"/>
          </w:tcPr>
          <w:p w:rsidR="004B1C37" w:rsidRPr="00A16F83" w:rsidRDefault="004B1C37" w:rsidP="004B1C37">
            <w:pPr>
              <w:jc w:val="both"/>
              <w:rPr>
                <w:rFonts w:eastAsia="Calibri"/>
                <w:sz w:val="20"/>
                <w:szCs w:val="20"/>
              </w:rPr>
            </w:pPr>
            <w:r w:rsidRPr="00A16F83">
              <w:rPr>
                <w:rFonts w:eastAsia="Calibri"/>
                <w:sz w:val="20"/>
                <w:szCs w:val="20"/>
              </w:rPr>
              <w:t>Action for copyright infringement dismissed</w:t>
            </w:r>
          </w:p>
        </w:tc>
      </w:tr>
      <w:tr w:rsidR="004B1C37" w:rsidRPr="00A16F83" w:rsidTr="004B1C37">
        <w:tc>
          <w:tcPr>
            <w:tcW w:w="2427" w:type="pct"/>
          </w:tcPr>
          <w:p w:rsidR="004B1C37" w:rsidRPr="00A16F83" w:rsidRDefault="004B1C37" w:rsidP="004B1C37">
            <w:pPr>
              <w:jc w:val="both"/>
              <w:rPr>
                <w:rFonts w:eastAsia="Calibri"/>
                <w:sz w:val="20"/>
                <w:szCs w:val="20"/>
              </w:rPr>
            </w:pPr>
            <w:r w:rsidRPr="00A16F83">
              <w:rPr>
                <w:rFonts w:eastAsia="Calibri"/>
                <w:sz w:val="20"/>
                <w:szCs w:val="20"/>
              </w:rPr>
              <w:t>November 7, 2013</w:t>
            </w:r>
          </w:p>
          <w:p w:rsidR="004B1C37" w:rsidRPr="00A16F83" w:rsidRDefault="004B1C37" w:rsidP="004B1C37">
            <w:pPr>
              <w:jc w:val="both"/>
              <w:rPr>
                <w:rFonts w:eastAsia="Calibri"/>
                <w:sz w:val="20"/>
                <w:szCs w:val="20"/>
              </w:rPr>
            </w:pPr>
            <w:r w:rsidRPr="00A16F83">
              <w:rPr>
                <w:rFonts w:eastAsia="Calibri"/>
                <w:sz w:val="20"/>
                <w:szCs w:val="20"/>
              </w:rPr>
              <w:t>Ontario Superior Court of Justice</w:t>
            </w:r>
          </w:p>
          <w:p w:rsidR="004B1C37" w:rsidRPr="00A16F83" w:rsidRDefault="004B1C37" w:rsidP="004B1C37">
            <w:pPr>
              <w:jc w:val="both"/>
              <w:rPr>
                <w:rFonts w:eastAsia="Calibri"/>
                <w:sz w:val="20"/>
                <w:szCs w:val="20"/>
              </w:rPr>
            </w:pPr>
            <w:r w:rsidRPr="00A16F83">
              <w:rPr>
                <w:rFonts w:eastAsia="Calibri"/>
                <w:sz w:val="20"/>
                <w:szCs w:val="20"/>
              </w:rPr>
              <w:t>(Chiapetta V.)</w:t>
            </w:r>
          </w:p>
          <w:p w:rsidR="004B1C37" w:rsidRPr="00A16F83" w:rsidRDefault="004B1C37" w:rsidP="004B1C37">
            <w:pPr>
              <w:jc w:val="both"/>
              <w:rPr>
                <w:rFonts w:eastAsia="Calibri"/>
                <w:sz w:val="20"/>
                <w:szCs w:val="20"/>
              </w:rPr>
            </w:pPr>
            <w:r w:rsidRPr="00A16F83">
              <w:rPr>
                <w:rFonts w:eastAsia="Calibri"/>
                <w:sz w:val="20"/>
                <w:szCs w:val="20"/>
              </w:rPr>
              <w:t>2013 ONSC 6306</w:t>
            </w:r>
          </w:p>
          <w:p w:rsidR="004B1C37" w:rsidRPr="00A16F83" w:rsidRDefault="004B1C37" w:rsidP="004B1C37">
            <w:pPr>
              <w:jc w:val="both"/>
              <w:rPr>
                <w:rFonts w:eastAsia="Calibri"/>
                <w:sz w:val="20"/>
                <w:szCs w:val="20"/>
              </w:rPr>
            </w:pPr>
          </w:p>
        </w:tc>
        <w:tc>
          <w:tcPr>
            <w:tcW w:w="243" w:type="pct"/>
          </w:tcPr>
          <w:p w:rsidR="004B1C37" w:rsidRPr="00A16F83" w:rsidRDefault="004B1C37" w:rsidP="004B1C37">
            <w:pPr>
              <w:jc w:val="both"/>
              <w:rPr>
                <w:rFonts w:eastAsia="Calibri"/>
                <w:sz w:val="20"/>
                <w:szCs w:val="20"/>
              </w:rPr>
            </w:pPr>
          </w:p>
        </w:tc>
        <w:tc>
          <w:tcPr>
            <w:tcW w:w="2330" w:type="pct"/>
          </w:tcPr>
          <w:p w:rsidR="004B1C37" w:rsidRPr="00A16F83" w:rsidRDefault="004B1C37" w:rsidP="004B1C37">
            <w:pPr>
              <w:jc w:val="both"/>
              <w:rPr>
                <w:rFonts w:eastAsia="Calibri"/>
                <w:sz w:val="20"/>
                <w:szCs w:val="20"/>
              </w:rPr>
            </w:pPr>
            <w:r w:rsidRPr="00A16F83">
              <w:rPr>
                <w:rFonts w:eastAsia="Calibri"/>
                <w:sz w:val="20"/>
                <w:szCs w:val="20"/>
              </w:rPr>
              <w:t>Disbursements awarded in favour of defendant; substantial indemnity costs not awarded</w:t>
            </w:r>
          </w:p>
        </w:tc>
      </w:tr>
      <w:tr w:rsidR="004B1C37" w:rsidRPr="00A16F83" w:rsidTr="004B1C37">
        <w:tc>
          <w:tcPr>
            <w:tcW w:w="2427" w:type="pct"/>
          </w:tcPr>
          <w:p w:rsidR="004B1C37" w:rsidRPr="00A16F83" w:rsidRDefault="004B1C37" w:rsidP="004B1C37">
            <w:pPr>
              <w:jc w:val="both"/>
              <w:rPr>
                <w:rFonts w:eastAsia="Calibri"/>
                <w:sz w:val="20"/>
                <w:szCs w:val="20"/>
              </w:rPr>
            </w:pPr>
            <w:r w:rsidRPr="00A16F83">
              <w:rPr>
                <w:rFonts w:eastAsia="Calibri"/>
                <w:sz w:val="20"/>
                <w:szCs w:val="20"/>
              </w:rPr>
              <w:t>April 25, 2014</w:t>
            </w:r>
          </w:p>
          <w:p w:rsidR="004B1C37" w:rsidRPr="00A16F83" w:rsidRDefault="004B1C37" w:rsidP="004B1C37">
            <w:pPr>
              <w:jc w:val="both"/>
              <w:rPr>
                <w:rFonts w:eastAsia="Calibri"/>
                <w:sz w:val="20"/>
                <w:szCs w:val="20"/>
              </w:rPr>
            </w:pPr>
            <w:r w:rsidRPr="00A16F83">
              <w:rPr>
                <w:rFonts w:eastAsia="Calibri"/>
                <w:sz w:val="20"/>
                <w:szCs w:val="20"/>
              </w:rPr>
              <w:t>Court of Appeal for Ontario</w:t>
            </w:r>
          </w:p>
          <w:p w:rsidR="004B1C37" w:rsidRPr="00A16F83" w:rsidRDefault="004B1C37" w:rsidP="004B1C37">
            <w:pPr>
              <w:jc w:val="both"/>
              <w:rPr>
                <w:rFonts w:eastAsia="Calibri"/>
                <w:sz w:val="20"/>
                <w:szCs w:val="20"/>
              </w:rPr>
            </w:pPr>
            <w:r w:rsidRPr="00A16F83">
              <w:rPr>
                <w:rFonts w:eastAsia="Calibri"/>
                <w:sz w:val="20"/>
                <w:szCs w:val="20"/>
              </w:rPr>
              <w:t>(MacPherson, Blair and Pepall JJ.A.)</w:t>
            </w:r>
          </w:p>
          <w:p w:rsidR="004B1C37" w:rsidRPr="00A16F83" w:rsidRDefault="004B1C37" w:rsidP="004B1C37">
            <w:pPr>
              <w:jc w:val="both"/>
              <w:rPr>
                <w:rFonts w:eastAsia="Calibri"/>
                <w:sz w:val="20"/>
                <w:szCs w:val="20"/>
              </w:rPr>
            </w:pPr>
            <w:r w:rsidRPr="00A16F83">
              <w:rPr>
                <w:rFonts w:eastAsia="Calibri"/>
                <w:sz w:val="20"/>
                <w:szCs w:val="20"/>
              </w:rPr>
              <w:t>Court of Appeal File No: M43029</w:t>
            </w:r>
          </w:p>
          <w:p w:rsidR="004B1C37" w:rsidRPr="00A16F83" w:rsidRDefault="004B1C37" w:rsidP="004B1C37">
            <w:pPr>
              <w:jc w:val="both"/>
              <w:rPr>
                <w:rFonts w:eastAsia="Calibri"/>
                <w:sz w:val="20"/>
                <w:szCs w:val="20"/>
              </w:rPr>
            </w:pPr>
          </w:p>
        </w:tc>
        <w:tc>
          <w:tcPr>
            <w:tcW w:w="243" w:type="pct"/>
          </w:tcPr>
          <w:p w:rsidR="004B1C37" w:rsidRPr="00A16F83" w:rsidRDefault="004B1C37" w:rsidP="004B1C37">
            <w:pPr>
              <w:jc w:val="both"/>
              <w:rPr>
                <w:rFonts w:eastAsia="Calibri"/>
                <w:sz w:val="20"/>
                <w:szCs w:val="20"/>
              </w:rPr>
            </w:pPr>
          </w:p>
        </w:tc>
        <w:tc>
          <w:tcPr>
            <w:tcW w:w="2330" w:type="pct"/>
          </w:tcPr>
          <w:p w:rsidR="004B1C37" w:rsidRPr="00A16F83" w:rsidRDefault="004B1C37" w:rsidP="004B1C37">
            <w:pPr>
              <w:jc w:val="both"/>
              <w:rPr>
                <w:rFonts w:eastAsia="Calibri"/>
                <w:sz w:val="20"/>
                <w:szCs w:val="20"/>
              </w:rPr>
            </w:pPr>
            <w:r w:rsidRPr="00A16F83">
              <w:rPr>
                <w:rFonts w:eastAsia="Calibri"/>
                <w:sz w:val="20"/>
                <w:szCs w:val="20"/>
              </w:rPr>
              <w:t>Application for leave to appeal dismissed without costs</w:t>
            </w:r>
          </w:p>
        </w:tc>
      </w:tr>
      <w:tr w:rsidR="004B1C37" w:rsidRPr="00A16F83" w:rsidTr="004B1C37">
        <w:tc>
          <w:tcPr>
            <w:tcW w:w="2427" w:type="pct"/>
          </w:tcPr>
          <w:p w:rsidR="004B1C37" w:rsidRPr="00A16F83" w:rsidRDefault="004B1C37" w:rsidP="004B1C37">
            <w:pPr>
              <w:jc w:val="both"/>
              <w:rPr>
                <w:rFonts w:eastAsia="Calibri"/>
                <w:sz w:val="20"/>
                <w:szCs w:val="20"/>
              </w:rPr>
            </w:pPr>
            <w:r w:rsidRPr="00A16F83">
              <w:rPr>
                <w:rFonts w:eastAsia="Calibri"/>
                <w:sz w:val="20"/>
                <w:szCs w:val="20"/>
              </w:rPr>
              <w:t>June 23, 2014</w:t>
            </w:r>
          </w:p>
          <w:p w:rsidR="004B1C37" w:rsidRPr="00A16F83" w:rsidRDefault="004B1C37" w:rsidP="004B1C37">
            <w:pPr>
              <w:jc w:val="both"/>
              <w:rPr>
                <w:rFonts w:eastAsia="Calibri"/>
                <w:sz w:val="20"/>
                <w:szCs w:val="20"/>
              </w:rPr>
            </w:pPr>
            <w:r w:rsidRPr="00A16F83">
              <w:rPr>
                <w:rFonts w:eastAsia="Calibri"/>
                <w:sz w:val="20"/>
                <w:szCs w:val="20"/>
              </w:rPr>
              <w:t>Supreme Court of Canada</w:t>
            </w:r>
          </w:p>
        </w:tc>
        <w:tc>
          <w:tcPr>
            <w:tcW w:w="243" w:type="pct"/>
          </w:tcPr>
          <w:p w:rsidR="004B1C37" w:rsidRPr="00A16F83" w:rsidRDefault="004B1C37" w:rsidP="004B1C37">
            <w:pPr>
              <w:jc w:val="both"/>
              <w:rPr>
                <w:rFonts w:eastAsia="Calibri"/>
                <w:sz w:val="20"/>
                <w:szCs w:val="20"/>
              </w:rPr>
            </w:pPr>
          </w:p>
        </w:tc>
        <w:tc>
          <w:tcPr>
            <w:tcW w:w="2330" w:type="pct"/>
          </w:tcPr>
          <w:p w:rsidR="004B1C37" w:rsidRPr="00A16F83" w:rsidRDefault="004B1C37" w:rsidP="004B1C37">
            <w:pPr>
              <w:jc w:val="both"/>
              <w:rPr>
                <w:rFonts w:eastAsia="Calibri"/>
                <w:sz w:val="20"/>
                <w:szCs w:val="20"/>
              </w:rPr>
            </w:pPr>
            <w:r w:rsidRPr="00A16F83">
              <w:rPr>
                <w:rFonts w:eastAsia="Calibri"/>
                <w:sz w:val="20"/>
                <w:szCs w:val="20"/>
              </w:rPr>
              <w:t>Application for leave to appeal filed</w:t>
            </w:r>
          </w:p>
        </w:tc>
      </w:tr>
    </w:tbl>
    <w:p w:rsidR="00915D6A" w:rsidRDefault="00915D6A" w:rsidP="00915D6A">
      <w:pPr>
        <w:rPr>
          <w:sz w:val="20"/>
          <w:szCs w:val="20"/>
        </w:rPr>
      </w:pPr>
    </w:p>
    <w:p w:rsidR="00915D6A" w:rsidRPr="00C50A5C" w:rsidRDefault="00690162" w:rsidP="00915D6A">
      <w:pPr>
        <w:rPr>
          <w:sz w:val="20"/>
          <w:szCs w:val="20"/>
        </w:rPr>
      </w:pPr>
      <w:r>
        <w:rPr>
          <w:sz w:val="20"/>
          <w:szCs w:val="20"/>
          <w:lang w:val="fr-CA"/>
        </w:rPr>
        <w:pict>
          <v:rect id="_x0000_i1048" style="width:2in;height:1pt" o:hrpct="0" o:hralign="center" o:hrstd="t" o:hrnoshade="t" o:hr="t" fillcolor="black [3213]" stroked="f"/>
        </w:pict>
      </w:r>
    </w:p>
    <w:p w:rsidR="00915D6A" w:rsidRDefault="00915D6A" w:rsidP="00915D6A">
      <w:pPr>
        <w:rPr>
          <w:sz w:val="20"/>
          <w:szCs w:val="20"/>
        </w:rPr>
      </w:pPr>
    </w:p>
    <w:p w:rsidR="00915D6A" w:rsidRPr="001B157C" w:rsidRDefault="00915D6A" w:rsidP="00915D6A">
      <w:pPr>
        <w:rPr>
          <w:sz w:val="20"/>
          <w:szCs w:val="20"/>
          <w:u w:val="single"/>
          <w:lang w:val="fr-CA"/>
        </w:rPr>
      </w:pPr>
      <w:r w:rsidRPr="001B157C">
        <w:rPr>
          <w:sz w:val="20"/>
          <w:szCs w:val="20"/>
          <w:u w:val="single"/>
          <w:lang w:val="fr-CA"/>
        </w:rPr>
        <w:t>RÉSUMÉ DE L’AFFAIRE</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9137F" w:rsidRPr="00690162" w:rsidTr="004275A1">
        <w:tc>
          <w:tcPr>
            <w:tcW w:w="5000" w:type="pct"/>
            <w:gridSpan w:val="3"/>
          </w:tcPr>
          <w:p w:rsidR="0029137F" w:rsidRPr="00A16F83" w:rsidRDefault="0029137F" w:rsidP="004275A1">
            <w:pPr>
              <w:jc w:val="both"/>
              <w:rPr>
                <w:rFonts w:eastAsia="Calibri"/>
                <w:sz w:val="20"/>
                <w:lang w:val="fr-CA"/>
              </w:rPr>
            </w:pPr>
            <w:r w:rsidRPr="00A16F83">
              <w:rPr>
                <w:rFonts w:eastAsia="Calibri"/>
                <w:sz w:val="20"/>
                <w:lang w:val="fr-CA"/>
              </w:rPr>
              <w:t>Procédure civile – Dépens – Dans une action en violation de droit d’auteur, le défendeur a eu gain de cause au terme d’un procès – Les deux parties étaient représentées par des avocats qui agissaient à titre bénévole – La juge de première instance a refusé une demande de dépens sur une base d’indemnisation substantielle et a accordé au défendeur qui a eu gain de cause ses débours seulement – Les dépens auraient-ils dû être accordés au défendeur qui a eu gain de cause?</w:t>
            </w:r>
          </w:p>
        </w:tc>
      </w:tr>
      <w:tr w:rsidR="0029137F" w:rsidRPr="00690162" w:rsidTr="004275A1">
        <w:tc>
          <w:tcPr>
            <w:tcW w:w="5000" w:type="pct"/>
            <w:gridSpan w:val="3"/>
          </w:tcPr>
          <w:p w:rsidR="0029137F" w:rsidRPr="00A16F83" w:rsidRDefault="0029137F" w:rsidP="004275A1">
            <w:pPr>
              <w:jc w:val="both"/>
              <w:rPr>
                <w:rFonts w:eastAsia="Calibri"/>
                <w:sz w:val="20"/>
                <w:lang w:val="fr-CA"/>
              </w:rPr>
            </w:pPr>
          </w:p>
        </w:tc>
      </w:tr>
      <w:tr w:rsidR="0029137F" w:rsidRPr="00690162" w:rsidTr="004275A1">
        <w:tc>
          <w:tcPr>
            <w:tcW w:w="5000" w:type="pct"/>
            <w:gridSpan w:val="3"/>
          </w:tcPr>
          <w:p w:rsidR="0029137F" w:rsidRPr="00A16F83" w:rsidRDefault="0029137F" w:rsidP="004275A1">
            <w:pPr>
              <w:jc w:val="both"/>
              <w:rPr>
                <w:rFonts w:eastAsia="Calibri"/>
                <w:sz w:val="20"/>
                <w:lang w:val="fr-CA"/>
              </w:rPr>
            </w:pPr>
            <w:r w:rsidRPr="00A16F83">
              <w:rPr>
                <w:rFonts w:eastAsia="Calibri"/>
                <w:sz w:val="20"/>
                <w:lang w:val="fr-CA"/>
              </w:rPr>
              <w:lastRenderedPageBreak/>
              <w:t xml:space="preserve">L’intimé, M. Rains, a poursuivi le demandeur, M. Molea, pour violation de droit d’auteur, réclamant des dommages-intérêts d’environ 6 millions de dollars.  La Cour supérieure de justice de l’Ontario a rejeté l’action.  Les deux parties étaient représentées par des avocats qui agissaient à titre bénévole.  Monsieur Molea a alors demandé les dépens sur une base d’indemnisation substantielle.  S’appuyant sur </w:t>
            </w:r>
            <w:r w:rsidRPr="00A16F83">
              <w:rPr>
                <w:rFonts w:eastAsia="Calibri"/>
                <w:i/>
                <w:sz w:val="20"/>
                <w:lang w:val="fr-CA"/>
              </w:rPr>
              <w:t>1465778 Ontario Inc. c. 1172077 Ontario Ltd.</w:t>
            </w:r>
            <w:r w:rsidRPr="00A16F83">
              <w:rPr>
                <w:rFonts w:eastAsia="Calibri"/>
                <w:sz w:val="20"/>
                <w:lang w:val="fr-CA"/>
              </w:rPr>
              <w:t xml:space="preserve"> (2006), 82 O.R. (3d) 757, il a prétendu qu’une partie représentée par un avocat bénévole devait avoir droit aux dépens.</w:t>
            </w:r>
          </w:p>
          <w:p w:rsidR="0029137F" w:rsidRPr="00A16F83" w:rsidRDefault="0029137F" w:rsidP="004275A1">
            <w:pPr>
              <w:jc w:val="both"/>
              <w:rPr>
                <w:rFonts w:eastAsia="Calibri"/>
                <w:sz w:val="20"/>
                <w:lang w:val="fr-CA"/>
              </w:rPr>
            </w:pPr>
          </w:p>
          <w:p w:rsidR="0029137F" w:rsidRPr="00A16F83" w:rsidRDefault="0029137F" w:rsidP="004275A1">
            <w:pPr>
              <w:jc w:val="both"/>
              <w:rPr>
                <w:rFonts w:eastAsia="Calibri"/>
                <w:sz w:val="20"/>
                <w:lang w:val="fr-CA"/>
              </w:rPr>
            </w:pPr>
            <w:r w:rsidRPr="00A16F83">
              <w:rPr>
                <w:rFonts w:eastAsia="Calibri"/>
                <w:sz w:val="20"/>
                <w:lang w:val="fr-CA"/>
              </w:rPr>
              <w:t>La juge de première instance a donné raison à M. Molea, mais a décidé de ne lui accorder que ses débours (18 724,41 $ plus les taxes) en l’espèce.  La Cour d’appel a rejeté la demande d’autorisation d’appel présentée par M. Molea sur la question des dépens, sans motiver sa décision.</w:t>
            </w:r>
          </w:p>
          <w:p w:rsidR="0029137F" w:rsidRPr="00A16F83" w:rsidRDefault="0029137F" w:rsidP="004275A1">
            <w:pPr>
              <w:jc w:val="both"/>
              <w:rPr>
                <w:rFonts w:eastAsia="Calibri"/>
                <w:sz w:val="20"/>
                <w:lang w:val="fr-CA"/>
              </w:rPr>
            </w:pPr>
          </w:p>
        </w:tc>
      </w:tr>
      <w:tr w:rsidR="0029137F" w:rsidRPr="00690162" w:rsidTr="004275A1">
        <w:tc>
          <w:tcPr>
            <w:tcW w:w="2427" w:type="pct"/>
          </w:tcPr>
          <w:p w:rsidR="0029137F" w:rsidRPr="00A16F83" w:rsidRDefault="0029137F" w:rsidP="004275A1">
            <w:pPr>
              <w:jc w:val="both"/>
              <w:rPr>
                <w:rFonts w:eastAsia="Calibri"/>
                <w:sz w:val="20"/>
                <w:lang w:val="fr-CA"/>
              </w:rPr>
            </w:pPr>
            <w:r w:rsidRPr="00A16F83">
              <w:rPr>
                <w:rFonts w:eastAsia="Calibri"/>
                <w:sz w:val="20"/>
                <w:lang w:val="fr-CA"/>
              </w:rPr>
              <w:t>15 août 2013</w:t>
            </w:r>
          </w:p>
          <w:p w:rsidR="0029137F" w:rsidRPr="00A16F83" w:rsidRDefault="0029137F" w:rsidP="004275A1">
            <w:pPr>
              <w:jc w:val="both"/>
              <w:rPr>
                <w:rFonts w:eastAsia="Calibri"/>
                <w:sz w:val="20"/>
                <w:lang w:val="fr-CA"/>
              </w:rPr>
            </w:pPr>
            <w:r w:rsidRPr="00A16F83">
              <w:rPr>
                <w:rFonts w:eastAsia="Calibri"/>
                <w:sz w:val="20"/>
                <w:lang w:val="fr-CA"/>
              </w:rPr>
              <w:t>Cour supérieure de justice de l’Ontario</w:t>
            </w:r>
          </w:p>
          <w:p w:rsidR="0029137F" w:rsidRPr="00A16F83" w:rsidRDefault="0029137F" w:rsidP="004275A1">
            <w:pPr>
              <w:jc w:val="both"/>
              <w:rPr>
                <w:rFonts w:eastAsia="Calibri"/>
                <w:sz w:val="20"/>
                <w:lang w:val="fr-CA"/>
              </w:rPr>
            </w:pPr>
            <w:r w:rsidRPr="00A16F83">
              <w:rPr>
                <w:rFonts w:eastAsia="Calibri"/>
                <w:sz w:val="20"/>
                <w:lang w:val="fr-CA"/>
              </w:rPr>
              <w:t>(Juge Chiapetta)</w:t>
            </w:r>
          </w:p>
          <w:p w:rsidR="0029137F" w:rsidRPr="00A16F83" w:rsidRDefault="00690162" w:rsidP="004275A1">
            <w:pPr>
              <w:jc w:val="both"/>
              <w:rPr>
                <w:rFonts w:eastAsia="Calibri"/>
                <w:sz w:val="20"/>
                <w:lang w:val="fr-CA"/>
              </w:rPr>
            </w:pPr>
            <w:hyperlink r:id="rId35" w:history="1">
              <w:r w:rsidR="0029137F" w:rsidRPr="00A16F83">
                <w:rPr>
                  <w:rFonts w:eastAsia="Calibri"/>
                  <w:color w:val="0000FF"/>
                  <w:sz w:val="20"/>
                  <w:u w:val="single"/>
                  <w:lang w:val="fr-CA"/>
                </w:rPr>
                <w:t>2013 ONSC 5016</w:t>
              </w:r>
            </w:hyperlink>
          </w:p>
          <w:p w:rsidR="0029137F" w:rsidRPr="00A16F83" w:rsidRDefault="0029137F" w:rsidP="004275A1">
            <w:pPr>
              <w:jc w:val="both"/>
              <w:rPr>
                <w:rFonts w:eastAsia="Calibri"/>
                <w:sz w:val="20"/>
                <w:lang w:val="fr-CA"/>
              </w:rPr>
            </w:pPr>
          </w:p>
        </w:tc>
        <w:tc>
          <w:tcPr>
            <w:tcW w:w="243" w:type="pct"/>
          </w:tcPr>
          <w:p w:rsidR="0029137F" w:rsidRPr="00A16F83" w:rsidRDefault="0029137F" w:rsidP="004275A1">
            <w:pPr>
              <w:jc w:val="both"/>
              <w:rPr>
                <w:rFonts w:eastAsia="Calibri"/>
                <w:sz w:val="20"/>
                <w:lang w:val="fr-CA"/>
              </w:rPr>
            </w:pPr>
          </w:p>
        </w:tc>
        <w:tc>
          <w:tcPr>
            <w:tcW w:w="2330" w:type="pct"/>
          </w:tcPr>
          <w:p w:rsidR="0029137F" w:rsidRPr="00A16F83" w:rsidRDefault="0029137F" w:rsidP="004275A1">
            <w:pPr>
              <w:jc w:val="both"/>
              <w:rPr>
                <w:rFonts w:eastAsia="Calibri"/>
                <w:sz w:val="20"/>
                <w:lang w:val="fr-CA"/>
              </w:rPr>
            </w:pPr>
            <w:r w:rsidRPr="00A16F83">
              <w:rPr>
                <w:rFonts w:eastAsia="Calibri"/>
                <w:sz w:val="20"/>
                <w:lang w:val="fr-CA"/>
              </w:rPr>
              <w:t>Action en violation de droit d’auteur, rejetée</w:t>
            </w:r>
          </w:p>
        </w:tc>
      </w:tr>
      <w:tr w:rsidR="0029137F" w:rsidRPr="00690162" w:rsidTr="004275A1">
        <w:tc>
          <w:tcPr>
            <w:tcW w:w="2427" w:type="pct"/>
          </w:tcPr>
          <w:p w:rsidR="0029137F" w:rsidRPr="00A16F83" w:rsidRDefault="0029137F" w:rsidP="004275A1">
            <w:pPr>
              <w:jc w:val="both"/>
              <w:rPr>
                <w:rFonts w:eastAsia="Calibri"/>
                <w:sz w:val="20"/>
                <w:lang w:val="fr-CA"/>
              </w:rPr>
            </w:pPr>
            <w:r w:rsidRPr="00A16F83">
              <w:rPr>
                <w:rFonts w:eastAsia="Calibri"/>
                <w:sz w:val="20"/>
                <w:lang w:val="fr-CA"/>
              </w:rPr>
              <w:t>7 novembre 2013</w:t>
            </w:r>
          </w:p>
          <w:p w:rsidR="0029137F" w:rsidRPr="00A16F83" w:rsidRDefault="0029137F" w:rsidP="004275A1">
            <w:pPr>
              <w:jc w:val="both"/>
              <w:rPr>
                <w:rFonts w:eastAsia="Calibri"/>
                <w:sz w:val="20"/>
                <w:lang w:val="fr-CA"/>
              </w:rPr>
            </w:pPr>
            <w:r w:rsidRPr="00A16F83">
              <w:rPr>
                <w:rFonts w:eastAsia="Calibri"/>
                <w:sz w:val="20"/>
                <w:lang w:val="fr-CA"/>
              </w:rPr>
              <w:t>Cour supérieure de justice de l’Ontario</w:t>
            </w:r>
          </w:p>
          <w:p w:rsidR="0029137F" w:rsidRPr="00A16F83" w:rsidRDefault="0029137F" w:rsidP="004275A1">
            <w:pPr>
              <w:jc w:val="both"/>
              <w:rPr>
                <w:rFonts w:eastAsia="Calibri"/>
                <w:sz w:val="20"/>
                <w:lang w:val="fr-CA"/>
              </w:rPr>
            </w:pPr>
            <w:r w:rsidRPr="00A16F83">
              <w:rPr>
                <w:rFonts w:eastAsia="Calibri"/>
                <w:sz w:val="20"/>
                <w:lang w:val="fr-CA"/>
              </w:rPr>
              <w:t>(Juge Chiapetta)</w:t>
            </w:r>
          </w:p>
          <w:p w:rsidR="0029137F" w:rsidRPr="00A16F83" w:rsidRDefault="0029137F" w:rsidP="004275A1">
            <w:pPr>
              <w:jc w:val="both"/>
              <w:rPr>
                <w:rFonts w:eastAsia="Calibri"/>
                <w:sz w:val="20"/>
                <w:lang w:val="fr-CA"/>
              </w:rPr>
            </w:pPr>
            <w:r w:rsidRPr="00A16F83">
              <w:rPr>
                <w:rFonts w:eastAsia="Calibri"/>
                <w:sz w:val="20"/>
                <w:lang w:val="fr-CA"/>
              </w:rPr>
              <w:t>2013 ONSC 6306</w:t>
            </w:r>
          </w:p>
          <w:p w:rsidR="0029137F" w:rsidRPr="00A16F83" w:rsidRDefault="0029137F" w:rsidP="004275A1">
            <w:pPr>
              <w:jc w:val="both"/>
              <w:rPr>
                <w:rFonts w:eastAsia="Calibri"/>
                <w:sz w:val="20"/>
                <w:lang w:val="fr-CA"/>
              </w:rPr>
            </w:pPr>
          </w:p>
        </w:tc>
        <w:tc>
          <w:tcPr>
            <w:tcW w:w="243" w:type="pct"/>
          </w:tcPr>
          <w:p w:rsidR="0029137F" w:rsidRPr="00A16F83" w:rsidRDefault="0029137F" w:rsidP="004275A1">
            <w:pPr>
              <w:jc w:val="both"/>
              <w:rPr>
                <w:rFonts w:eastAsia="Calibri"/>
                <w:sz w:val="20"/>
                <w:lang w:val="fr-CA"/>
              </w:rPr>
            </w:pPr>
          </w:p>
        </w:tc>
        <w:tc>
          <w:tcPr>
            <w:tcW w:w="2330" w:type="pct"/>
          </w:tcPr>
          <w:p w:rsidR="0029137F" w:rsidRPr="00A16F83" w:rsidRDefault="0029137F" w:rsidP="004275A1">
            <w:pPr>
              <w:jc w:val="both"/>
              <w:rPr>
                <w:rFonts w:eastAsia="Calibri"/>
                <w:sz w:val="20"/>
                <w:lang w:val="fr-CA"/>
              </w:rPr>
            </w:pPr>
            <w:r w:rsidRPr="00A16F83">
              <w:rPr>
                <w:rFonts w:eastAsia="Calibri"/>
                <w:sz w:val="20"/>
                <w:lang w:val="fr-CA"/>
              </w:rPr>
              <w:t>Débours accordés faveur du défendeur; dépens sur une base d’indemnisation substantielle, non accordés</w:t>
            </w:r>
          </w:p>
          <w:p w:rsidR="0029137F" w:rsidRPr="00A16F83" w:rsidRDefault="0029137F" w:rsidP="004275A1">
            <w:pPr>
              <w:jc w:val="both"/>
              <w:rPr>
                <w:rFonts w:eastAsia="Calibri"/>
                <w:sz w:val="20"/>
                <w:lang w:val="fr-CA"/>
              </w:rPr>
            </w:pPr>
          </w:p>
        </w:tc>
      </w:tr>
      <w:tr w:rsidR="0029137F" w:rsidRPr="00690162" w:rsidTr="004275A1">
        <w:tc>
          <w:tcPr>
            <w:tcW w:w="2427" w:type="pct"/>
          </w:tcPr>
          <w:p w:rsidR="0029137F" w:rsidRPr="00A16F83" w:rsidRDefault="0029137F" w:rsidP="004275A1">
            <w:pPr>
              <w:jc w:val="both"/>
              <w:rPr>
                <w:rFonts w:eastAsia="Calibri"/>
                <w:sz w:val="20"/>
                <w:lang w:val="fr-CA"/>
              </w:rPr>
            </w:pPr>
            <w:r w:rsidRPr="00A16F83">
              <w:rPr>
                <w:rFonts w:eastAsia="Calibri"/>
                <w:sz w:val="20"/>
                <w:lang w:val="fr-CA"/>
              </w:rPr>
              <w:t>25 avril 2014</w:t>
            </w:r>
          </w:p>
          <w:p w:rsidR="0029137F" w:rsidRPr="00A16F83" w:rsidRDefault="0029137F" w:rsidP="004275A1">
            <w:pPr>
              <w:jc w:val="both"/>
              <w:rPr>
                <w:rFonts w:eastAsia="Calibri"/>
                <w:sz w:val="20"/>
                <w:lang w:val="fr-CA"/>
              </w:rPr>
            </w:pPr>
            <w:r w:rsidRPr="00A16F83">
              <w:rPr>
                <w:rFonts w:eastAsia="Calibri"/>
                <w:sz w:val="20"/>
                <w:lang w:val="fr-CA"/>
              </w:rPr>
              <w:t>Cour d’appel de l’Ontario</w:t>
            </w:r>
          </w:p>
          <w:p w:rsidR="0029137F" w:rsidRPr="00A16F83" w:rsidRDefault="0029137F" w:rsidP="004275A1">
            <w:pPr>
              <w:jc w:val="both"/>
              <w:rPr>
                <w:rFonts w:eastAsia="Calibri"/>
                <w:sz w:val="20"/>
                <w:lang w:val="fr-CA"/>
              </w:rPr>
            </w:pPr>
            <w:r w:rsidRPr="00A16F83">
              <w:rPr>
                <w:rFonts w:eastAsia="Calibri"/>
                <w:sz w:val="20"/>
                <w:lang w:val="fr-CA"/>
              </w:rPr>
              <w:t>(Juges MacPherson, Blair et Pepall)</w:t>
            </w:r>
          </w:p>
          <w:p w:rsidR="0029137F" w:rsidRPr="00A16F83" w:rsidRDefault="0029137F" w:rsidP="004275A1">
            <w:pPr>
              <w:jc w:val="both"/>
              <w:rPr>
                <w:rFonts w:eastAsia="Calibri"/>
                <w:sz w:val="20"/>
                <w:lang w:val="fr-CA"/>
              </w:rPr>
            </w:pPr>
            <w:r w:rsidRPr="00A16F83">
              <w:rPr>
                <w:rFonts w:eastAsia="Calibri"/>
                <w:sz w:val="20"/>
                <w:lang w:val="fr-CA"/>
              </w:rPr>
              <w:t>N</w:t>
            </w:r>
            <w:r w:rsidRPr="00A16F83">
              <w:rPr>
                <w:rFonts w:eastAsia="Calibri"/>
                <w:sz w:val="20"/>
                <w:vertAlign w:val="superscript"/>
                <w:lang w:val="fr-CA"/>
              </w:rPr>
              <w:t>o</w:t>
            </w:r>
            <w:r w:rsidRPr="00A16F83">
              <w:rPr>
                <w:rFonts w:eastAsia="Calibri"/>
                <w:sz w:val="20"/>
                <w:lang w:val="fr-CA"/>
              </w:rPr>
              <w:t xml:space="preserve"> du greffe de la Cour d’appel : M43029</w:t>
            </w:r>
          </w:p>
          <w:p w:rsidR="0029137F" w:rsidRPr="00A16F83" w:rsidRDefault="0029137F" w:rsidP="004275A1">
            <w:pPr>
              <w:jc w:val="both"/>
              <w:rPr>
                <w:rFonts w:eastAsia="Calibri"/>
                <w:sz w:val="20"/>
                <w:lang w:val="fr-CA"/>
              </w:rPr>
            </w:pPr>
          </w:p>
        </w:tc>
        <w:tc>
          <w:tcPr>
            <w:tcW w:w="243" w:type="pct"/>
          </w:tcPr>
          <w:p w:rsidR="0029137F" w:rsidRPr="00A16F83" w:rsidRDefault="0029137F" w:rsidP="004275A1">
            <w:pPr>
              <w:jc w:val="both"/>
              <w:rPr>
                <w:rFonts w:eastAsia="Calibri"/>
                <w:sz w:val="20"/>
                <w:lang w:val="fr-CA"/>
              </w:rPr>
            </w:pPr>
          </w:p>
        </w:tc>
        <w:tc>
          <w:tcPr>
            <w:tcW w:w="2330" w:type="pct"/>
          </w:tcPr>
          <w:p w:rsidR="0029137F" w:rsidRPr="00A16F83" w:rsidRDefault="0029137F" w:rsidP="004275A1">
            <w:pPr>
              <w:jc w:val="both"/>
              <w:rPr>
                <w:rFonts w:eastAsia="Calibri"/>
                <w:sz w:val="20"/>
                <w:lang w:val="fr-CA"/>
              </w:rPr>
            </w:pPr>
            <w:r w:rsidRPr="00A16F83">
              <w:rPr>
                <w:rFonts w:eastAsia="Calibri"/>
                <w:sz w:val="20"/>
                <w:lang w:val="fr-CA"/>
              </w:rPr>
              <w:t>Demande d’autorisation d’appel, rejetée sans frais</w:t>
            </w:r>
          </w:p>
        </w:tc>
      </w:tr>
      <w:tr w:rsidR="0029137F" w:rsidRPr="00A16F83" w:rsidTr="004275A1">
        <w:tc>
          <w:tcPr>
            <w:tcW w:w="2427" w:type="pct"/>
          </w:tcPr>
          <w:p w:rsidR="0029137F" w:rsidRPr="00A16F83" w:rsidRDefault="0029137F" w:rsidP="004275A1">
            <w:pPr>
              <w:jc w:val="both"/>
              <w:rPr>
                <w:rFonts w:eastAsia="Calibri"/>
                <w:sz w:val="20"/>
                <w:lang w:val="fr-CA"/>
              </w:rPr>
            </w:pPr>
            <w:r w:rsidRPr="00A16F83">
              <w:rPr>
                <w:rFonts w:eastAsia="Calibri"/>
                <w:sz w:val="20"/>
                <w:lang w:val="fr-CA"/>
              </w:rPr>
              <w:t>23 juin 2014</w:t>
            </w:r>
          </w:p>
          <w:p w:rsidR="0029137F" w:rsidRPr="00A16F83" w:rsidRDefault="0029137F" w:rsidP="004275A1">
            <w:pPr>
              <w:jc w:val="both"/>
              <w:rPr>
                <w:rFonts w:eastAsia="Calibri"/>
                <w:sz w:val="20"/>
                <w:lang w:val="fr-CA"/>
              </w:rPr>
            </w:pPr>
            <w:r w:rsidRPr="00A16F83">
              <w:rPr>
                <w:rFonts w:eastAsia="Calibri"/>
                <w:sz w:val="20"/>
                <w:lang w:val="fr-CA"/>
              </w:rPr>
              <w:t>Cour suprême du Canada</w:t>
            </w:r>
          </w:p>
        </w:tc>
        <w:tc>
          <w:tcPr>
            <w:tcW w:w="243" w:type="pct"/>
          </w:tcPr>
          <w:p w:rsidR="0029137F" w:rsidRPr="00A16F83" w:rsidRDefault="0029137F" w:rsidP="004275A1">
            <w:pPr>
              <w:jc w:val="both"/>
              <w:rPr>
                <w:rFonts w:eastAsia="Calibri"/>
                <w:sz w:val="20"/>
                <w:lang w:val="fr-CA"/>
              </w:rPr>
            </w:pPr>
          </w:p>
        </w:tc>
        <w:tc>
          <w:tcPr>
            <w:tcW w:w="2330" w:type="pct"/>
          </w:tcPr>
          <w:p w:rsidR="0029137F" w:rsidRPr="00A16F83" w:rsidRDefault="0029137F" w:rsidP="004275A1">
            <w:pPr>
              <w:jc w:val="both"/>
              <w:rPr>
                <w:rFonts w:eastAsia="Calibri"/>
                <w:sz w:val="20"/>
                <w:lang w:val="fr-CA"/>
              </w:rPr>
            </w:pPr>
            <w:r w:rsidRPr="00A16F83">
              <w:rPr>
                <w:rFonts w:eastAsia="Calibri"/>
                <w:sz w:val="20"/>
                <w:lang w:val="fr-CA"/>
              </w:rPr>
              <w:t>Demande d’autorisation d’appel, déposée</w:t>
            </w:r>
          </w:p>
        </w:tc>
      </w:tr>
    </w:tbl>
    <w:p w:rsidR="00915D6A" w:rsidRDefault="00915D6A" w:rsidP="00915D6A">
      <w:pPr>
        <w:rPr>
          <w:sz w:val="20"/>
          <w:szCs w:val="20"/>
        </w:rPr>
      </w:pPr>
    </w:p>
    <w:p w:rsidR="00915D6A" w:rsidRDefault="00690162" w:rsidP="00915D6A">
      <w:pPr>
        <w:rPr>
          <w:sz w:val="20"/>
          <w:szCs w:val="20"/>
        </w:rPr>
      </w:pPr>
      <w:r>
        <w:rPr>
          <w:sz w:val="20"/>
          <w:szCs w:val="20"/>
          <w:lang w:val="fr-CA"/>
        </w:rPr>
        <w:pict>
          <v:rect id="_x0000_i1049" style="width:2in;height:1pt" o:hrpct="0" o:hralign="center" o:hrstd="t" o:hrnoshade="t" o:hr="t" fillcolor="black [3213]" stroked="f"/>
        </w:pict>
      </w:r>
    </w:p>
    <w:p w:rsidR="00915D6A" w:rsidRDefault="00915D6A" w:rsidP="00915D6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B1FB0" w:rsidRPr="00186B1A" w:rsidTr="00650BC1">
        <w:trPr>
          <w:cantSplit/>
        </w:trPr>
        <w:tc>
          <w:tcPr>
            <w:tcW w:w="1458" w:type="dxa"/>
          </w:tcPr>
          <w:p w:rsidR="006B1FB0" w:rsidRPr="00186B1A" w:rsidRDefault="006B1FB0" w:rsidP="00650BC1">
            <w:pPr>
              <w:rPr>
                <w:sz w:val="20"/>
                <w:szCs w:val="20"/>
              </w:rPr>
            </w:pPr>
            <w:r w:rsidRPr="00186B1A">
              <w:rPr>
                <w:rStyle w:val="SCCFileNumberChar"/>
                <w:sz w:val="20"/>
                <w:szCs w:val="20"/>
              </w:rPr>
              <w:t>35960</w:t>
            </w:r>
          </w:p>
          <w:p w:rsidR="006B1FB0" w:rsidRPr="00186B1A" w:rsidRDefault="006B1FB0" w:rsidP="00650BC1">
            <w:pPr>
              <w:rPr>
                <w:b/>
                <w:sz w:val="20"/>
                <w:szCs w:val="20"/>
                <w:lang w:val="fr-CA"/>
              </w:rPr>
            </w:pPr>
          </w:p>
        </w:tc>
        <w:tc>
          <w:tcPr>
            <w:tcW w:w="8118" w:type="dxa"/>
          </w:tcPr>
          <w:p w:rsidR="006B1FB0" w:rsidRPr="00186B1A" w:rsidRDefault="006B1FB0" w:rsidP="00650BC1">
            <w:pPr>
              <w:jc w:val="both"/>
              <w:rPr>
                <w:sz w:val="20"/>
                <w:szCs w:val="20"/>
              </w:rPr>
            </w:pPr>
            <w:r w:rsidRPr="006B1FB0">
              <w:rPr>
                <w:rStyle w:val="SCCLsocChar"/>
                <w:sz w:val="20"/>
                <w:szCs w:val="20"/>
                <w:lang w:val="en-CA"/>
              </w:rPr>
              <w:t>William Charlton</w:t>
            </w:r>
            <w:r w:rsidR="006A4A3F">
              <w:rPr>
                <w:rStyle w:val="SCCLsocChar"/>
                <w:sz w:val="20"/>
                <w:szCs w:val="20"/>
                <w:lang w:val="en-CA"/>
              </w:rPr>
              <w:t xml:space="preserve"> and</w:t>
            </w:r>
            <w:r w:rsidRPr="006B1FB0">
              <w:rPr>
                <w:rStyle w:val="SCCLsocChar"/>
                <w:sz w:val="20"/>
                <w:szCs w:val="20"/>
                <w:lang w:val="en-CA"/>
              </w:rPr>
              <w:t xml:space="preserve"> Ziptrek Ecotours Incorporated v. Karen Niedermeyer</w:t>
            </w:r>
            <w:r w:rsidRPr="00186B1A">
              <w:rPr>
                <w:sz w:val="20"/>
                <w:szCs w:val="20"/>
              </w:rPr>
              <w:t xml:space="preserve"> (B.C.) (Civil) (By Leave)</w:t>
            </w:r>
          </w:p>
          <w:p w:rsidR="006B1FB0" w:rsidRPr="00186B1A" w:rsidRDefault="006B1FB0" w:rsidP="00650BC1">
            <w:pPr>
              <w:jc w:val="both"/>
              <w:rPr>
                <w:sz w:val="20"/>
                <w:szCs w:val="20"/>
              </w:rPr>
            </w:pPr>
          </w:p>
        </w:tc>
      </w:tr>
      <w:tr w:rsidR="006B1FB0" w:rsidRPr="00186B1A" w:rsidTr="00650BC1">
        <w:trPr>
          <w:cantSplit/>
        </w:trPr>
        <w:tc>
          <w:tcPr>
            <w:tcW w:w="1458" w:type="dxa"/>
          </w:tcPr>
          <w:p w:rsidR="006B1FB0" w:rsidRPr="00186B1A" w:rsidRDefault="006B1FB0" w:rsidP="00650BC1">
            <w:pPr>
              <w:rPr>
                <w:sz w:val="20"/>
                <w:szCs w:val="20"/>
              </w:rPr>
            </w:pPr>
            <w:r w:rsidRPr="00186B1A">
              <w:rPr>
                <w:sz w:val="20"/>
                <w:szCs w:val="20"/>
              </w:rPr>
              <w:t>Coram :</w:t>
            </w:r>
          </w:p>
        </w:tc>
        <w:tc>
          <w:tcPr>
            <w:tcW w:w="8118" w:type="dxa"/>
          </w:tcPr>
          <w:p w:rsidR="006B1FB0" w:rsidRPr="00186B1A" w:rsidRDefault="006B1FB0" w:rsidP="00650BC1">
            <w:pPr>
              <w:rPr>
                <w:sz w:val="20"/>
                <w:szCs w:val="20"/>
              </w:rPr>
            </w:pPr>
            <w:r w:rsidRPr="006B1FB0">
              <w:rPr>
                <w:rStyle w:val="SCCCoramChar"/>
                <w:sz w:val="20"/>
                <w:szCs w:val="20"/>
                <w:lang w:val="en-CA"/>
              </w:rPr>
              <w:t>LeBel, Karakatsanis and Gascon JJ.</w:t>
            </w:r>
          </w:p>
          <w:p w:rsidR="006B1FB0" w:rsidRPr="00186B1A" w:rsidRDefault="006B1FB0" w:rsidP="00650BC1">
            <w:pPr>
              <w:rPr>
                <w:sz w:val="20"/>
                <w:szCs w:val="20"/>
                <w:u w:val="single"/>
              </w:rPr>
            </w:pPr>
          </w:p>
        </w:tc>
      </w:tr>
      <w:tr w:rsidR="006B1FB0" w:rsidRPr="00690162" w:rsidTr="00650BC1">
        <w:trPr>
          <w:cantSplit/>
        </w:trPr>
        <w:tc>
          <w:tcPr>
            <w:tcW w:w="9576" w:type="dxa"/>
            <w:gridSpan w:val="2"/>
          </w:tcPr>
          <w:p w:rsidR="006B1FB0" w:rsidRPr="00186B1A" w:rsidRDefault="006B1FB0" w:rsidP="00650BC1">
            <w:pPr>
              <w:pStyle w:val="SCCShortJudgment"/>
              <w:rPr>
                <w:szCs w:val="20"/>
              </w:rPr>
            </w:pPr>
            <w:r w:rsidRPr="00186B1A">
              <w:rPr>
                <w:szCs w:val="20"/>
              </w:rPr>
              <w:t>The application for leave to appeal from the judgment of the Court of Appeal for British Columbia (Vancouver), Number CA040431, 2014 BCCA 165, dated April 30, 2014, is dismissed with costs.</w:t>
            </w:r>
          </w:p>
          <w:p w:rsidR="006B1FB0" w:rsidRPr="00186B1A" w:rsidRDefault="006B1FB0" w:rsidP="00650BC1">
            <w:pPr>
              <w:pStyle w:val="SCCShortJudgment"/>
              <w:ind w:firstLine="0"/>
              <w:rPr>
                <w:szCs w:val="20"/>
              </w:rPr>
            </w:pPr>
          </w:p>
          <w:p w:rsidR="006B1FB0" w:rsidRPr="00186B1A" w:rsidRDefault="006B1FB0" w:rsidP="00650BC1">
            <w:pPr>
              <w:pStyle w:val="SCCShortJudgment"/>
              <w:rPr>
                <w:szCs w:val="20"/>
                <w:lang w:val="fr-CA"/>
              </w:rPr>
            </w:pPr>
            <w:r w:rsidRPr="00186B1A">
              <w:rPr>
                <w:szCs w:val="20"/>
                <w:lang w:val="fr-CA"/>
              </w:rPr>
              <w:t>La demande d’autorisation d’appel de l’arrêt de la Cour d’appel de la Colombie-Britannique (Vancouver), numéro CA040431, 2014 BCCA 165, daté du 30 avril 2014, est rejetée avec dépens.</w:t>
            </w:r>
          </w:p>
        </w:tc>
      </w:tr>
    </w:tbl>
    <w:p w:rsidR="00915D6A" w:rsidRPr="006B1FB0" w:rsidRDefault="00915D6A" w:rsidP="00915D6A">
      <w:pPr>
        <w:rPr>
          <w:sz w:val="20"/>
          <w:szCs w:val="20"/>
          <w:lang w:val="fr-CA"/>
        </w:rPr>
      </w:pPr>
    </w:p>
    <w:p w:rsidR="00915D6A" w:rsidRPr="001B157C" w:rsidRDefault="00915D6A" w:rsidP="00915D6A">
      <w:pPr>
        <w:rPr>
          <w:sz w:val="20"/>
          <w:szCs w:val="20"/>
          <w:u w:val="single"/>
        </w:rPr>
      </w:pPr>
      <w:r w:rsidRPr="001B157C">
        <w:rPr>
          <w:sz w:val="20"/>
          <w:szCs w:val="20"/>
          <w:u w:val="single"/>
        </w:rPr>
        <w:t>CASE SUMMARY</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9137F" w:rsidRPr="00A16F83" w:rsidTr="004275A1">
        <w:tc>
          <w:tcPr>
            <w:tcW w:w="5000" w:type="pct"/>
            <w:gridSpan w:val="3"/>
          </w:tcPr>
          <w:p w:rsidR="0029137F" w:rsidRPr="00A16F83" w:rsidRDefault="0029137F" w:rsidP="004275A1">
            <w:pPr>
              <w:jc w:val="both"/>
              <w:rPr>
                <w:sz w:val="20"/>
                <w:lang w:eastAsia="en-CA"/>
              </w:rPr>
            </w:pPr>
            <w:r w:rsidRPr="00A16F83">
              <w:rPr>
                <w:sz w:val="20"/>
                <w:lang w:eastAsia="en-CA"/>
              </w:rPr>
              <w:t xml:space="preserve">Insurance — Automobile insurance — Release clause — Owner of zip line company requiring participants to sign release precluding participants from claiming damages for injuries suffered during transportation to and from zip line activity site - In what circumstances will overriding public policy outweigh public interest in enforcement of contracts, to allow a court to refuse to enforce valid exclusion clause? — Does preclusion of access to statutory benefit constitute a new category in doctrine of public policy? — Whether an individual can release vehicle owner or operator from claims for damages that would otherwise be paid pursuant to compulsory motor vehicle insurance scheme? — Whether operators of high-risk activities can exclude their liability for the operation of motor vehicles, by obtaining </w:t>
            </w:r>
            <w:r w:rsidRPr="00A16F83">
              <w:rPr>
                <w:sz w:val="20"/>
                <w:lang w:eastAsia="en-CA"/>
              </w:rPr>
              <w:lastRenderedPageBreak/>
              <w:t>broad releases from those who will travel in the motor vehicles as part of participation in high-risk activity?</w:t>
            </w:r>
          </w:p>
          <w:p w:rsidR="0029137F" w:rsidRPr="00A16F83" w:rsidRDefault="0029137F" w:rsidP="004275A1">
            <w:pPr>
              <w:jc w:val="both"/>
              <w:rPr>
                <w:rFonts w:eastAsia="Calibri"/>
                <w:sz w:val="20"/>
              </w:rPr>
            </w:pPr>
          </w:p>
        </w:tc>
      </w:tr>
      <w:tr w:rsidR="0029137F" w:rsidRPr="00A16F83" w:rsidTr="004275A1">
        <w:tc>
          <w:tcPr>
            <w:tcW w:w="5000" w:type="pct"/>
            <w:gridSpan w:val="3"/>
          </w:tcPr>
          <w:p w:rsidR="0029137F" w:rsidRPr="00A16F83" w:rsidRDefault="0029137F" w:rsidP="004275A1">
            <w:pPr>
              <w:jc w:val="both"/>
              <w:rPr>
                <w:rFonts w:eastAsia="Calibri"/>
                <w:sz w:val="20"/>
              </w:rPr>
            </w:pPr>
            <w:r w:rsidRPr="00A16F83">
              <w:rPr>
                <w:rFonts w:eastAsia="Calibri"/>
                <w:sz w:val="20"/>
              </w:rPr>
              <w:lastRenderedPageBreak/>
              <w:t>In 2008, Ms. Niedermeyer had been working as a teacher in Singapore for twenty years, when she travelled to British Columbia with a group of her students to attend an international conference in Victoria.  Following the conference, Ms. Niedermeyer had arranged other activities for her group including a zip line tour in the valley between Whistler and Blackcomb mountains.  Upon arrival at the lodge in Whistler Village, the group was given helmets and harnesses and received some training.  Ms. Niedermeyer was given releases provided by Ziptrek to sign on behalf of herself and her students.  In accordance with Ziptrek policies, staff advised them that a signed release was required before they could participate in the activity.  The group was then taken up the mountain by van to the start of the zip line course.  On the return trip to Whistler Village, the bus operated by the  applicant, William Charlton, an employee of Ziptrek, went off the road, overturned and rolled down a hill.  Ms. Niedermeyer suffered significant  injuries and brought an action for damages against Ziptrek and Mr. Charlton.  Ziptrek admitted liability for the accident.  The parties agreed that the issue of whether the release signed by Ms. Niedermeyer should bar her from succeeding in the action should be decided prior to a trial on the issue of damages and contributory negligence.</w:t>
            </w:r>
          </w:p>
          <w:p w:rsidR="0029137F" w:rsidRPr="00A16F83" w:rsidRDefault="0029137F" w:rsidP="004275A1">
            <w:pPr>
              <w:jc w:val="both"/>
              <w:rPr>
                <w:rFonts w:eastAsia="Calibri"/>
                <w:sz w:val="20"/>
              </w:rPr>
            </w:pPr>
          </w:p>
        </w:tc>
      </w:tr>
      <w:tr w:rsidR="0029137F" w:rsidRPr="00A16F83" w:rsidTr="004275A1">
        <w:tc>
          <w:tcPr>
            <w:tcW w:w="2427" w:type="pct"/>
          </w:tcPr>
          <w:p w:rsidR="0029137F" w:rsidRPr="00A16F83" w:rsidRDefault="0029137F" w:rsidP="004275A1">
            <w:pPr>
              <w:jc w:val="both"/>
              <w:rPr>
                <w:rFonts w:eastAsia="Calibri"/>
                <w:sz w:val="20"/>
              </w:rPr>
            </w:pPr>
            <w:r w:rsidRPr="00A16F83">
              <w:rPr>
                <w:rFonts w:eastAsia="Calibri"/>
                <w:sz w:val="20"/>
              </w:rPr>
              <w:t>November 8, 2012</w:t>
            </w:r>
          </w:p>
          <w:p w:rsidR="0029137F" w:rsidRPr="00A16F83" w:rsidRDefault="0029137F" w:rsidP="004275A1">
            <w:pPr>
              <w:jc w:val="both"/>
              <w:rPr>
                <w:rFonts w:eastAsia="Calibri"/>
                <w:sz w:val="20"/>
              </w:rPr>
            </w:pPr>
            <w:r w:rsidRPr="00A16F83">
              <w:rPr>
                <w:rFonts w:eastAsia="Calibri"/>
                <w:sz w:val="20"/>
              </w:rPr>
              <w:t>Supreme Court of British Columbia</w:t>
            </w:r>
          </w:p>
          <w:p w:rsidR="0029137F" w:rsidRPr="00A16F83" w:rsidRDefault="0029137F" w:rsidP="004275A1">
            <w:pPr>
              <w:jc w:val="both"/>
              <w:rPr>
                <w:rFonts w:eastAsia="Calibri"/>
                <w:sz w:val="20"/>
              </w:rPr>
            </w:pPr>
            <w:r w:rsidRPr="00A16F83">
              <w:rPr>
                <w:rFonts w:eastAsia="Calibri"/>
                <w:sz w:val="20"/>
              </w:rPr>
              <w:t>(Armstrong J.)</w:t>
            </w:r>
          </w:p>
          <w:p w:rsidR="0029137F" w:rsidRPr="00A16F83" w:rsidRDefault="00690162" w:rsidP="004275A1">
            <w:pPr>
              <w:jc w:val="both"/>
              <w:rPr>
                <w:rFonts w:eastAsia="Calibri"/>
                <w:sz w:val="20"/>
              </w:rPr>
            </w:pPr>
            <w:hyperlink r:id="rId36" w:history="1">
              <w:r w:rsidR="0029137F" w:rsidRPr="00A16F83">
                <w:rPr>
                  <w:rFonts w:eastAsia="Calibri"/>
                  <w:color w:val="0000FF"/>
                  <w:sz w:val="20"/>
                  <w:u w:val="single"/>
                </w:rPr>
                <w:t>2012 BCSC 1668</w:t>
              </w:r>
            </w:hyperlink>
          </w:p>
          <w:p w:rsidR="0029137F" w:rsidRPr="00A16F83" w:rsidRDefault="0029137F" w:rsidP="004275A1">
            <w:pPr>
              <w:jc w:val="both"/>
              <w:rPr>
                <w:rFonts w:eastAsia="Calibri"/>
                <w:sz w:val="20"/>
              </w:rPr>
            </w:pPr>
          </w:p>
        </w:tc>
        <w:tc>
          <w:tcPr>
            <w:tcW w:w="243" w:type="pct"/>
          </w:tcPr>
          <w:p w:rsidR="0029137F" w:rsidRPr="00A16F83" w:rsidRDefault="0029137F" w:rsidP="004275A1">
            <w:pPr>
              <w:jc w:val="both"/>
              <w:rPr>
                <w:rFonts w:eastAsia="Calibri"/>
                <w:sz w:val="20"/>
              </w:rPr>
            </w:pPr>
          </w:p>
        </w:tc>
        <w:tc>
          <w:tcPr>
            <w:tcW w:w="2330" w:type="pct"/>
          </w:tcPr>
          <w:p w:rsidR="0029137F" w:rsidRPr="00A16F83" w:rsidRDefault="0029137F" w:rsidP="004275A1">
            <w:pPr>
              <w:jc w:val="both"/>
              <w:rPr>
                <w:rFonts w:eastAsia="Calibri"/>
                <w:sz w:val="20"/>
              </w:rPr>
            </w:pPr>
            <w:r w:rsidRPr="00A16F83">
              <w:rPr>
                <w:rFonts w:eastAsia="Calibri"/>
                <w:sz w:val="20"/>
              </w:rPr>
              <w:t>Respondent’s action for damages dismissed on ground that she had waived all claims for damages</w:t>
            </w:r>
          </w:p>
        </w:tc>
      </w:tr>
      <w:tr w:rsidR="0029137F" w:rsidRPr="00A16F83" w:rsidTr="004275A1">
        <w:tc>
          <w:tcPr>
            <w:tcW w:w="2427" w:type="pct"/>
          </w:tcPr>
          <w:p w:rsidR="0029137F" w:rsidRPr="00A16F83" w:rsidRDefault="0029137F" w:rsidP="004275A1">
            <w:pPr>
              <w:jc w:val="both"/>
              <w:rPr>
                <w:rFonts w:eastAsia="Calibri"/>
                <w:sz w:val="20"/>
              </w:rPr>
            </w:pPr>
            <w:r w:rsidRPr="00A16F83">
              <w:rPr>
                <w:rFonts w:eastAsia="Calibri"/>
                <w:sz w:val="20"/>
              </w:rPr>
              <w:t>April 30, 2014</w:t>
            </w:r>
          </w:p>
          <w:p w:rsidR="0029137F" w:rsidRPr="00A16F83" w:rsidRDefault="0029137F" w:rsidP="004275A1">
            <w:pPr>
              <w:jc w:val="both"/>
              <w:rPr>
                <w:rFonts w:eastAsia="Calibri"/>
                <w:sz w:val="20"/>
              </w:rPr>
            </w:pPr>
            <w:r w:rsidRPr="00A16F83">
              <w:rPr>
                <w:rFonts w:eastAsia="Calibri"/>
                <w:sz w:val="20"/>
              </w:rPr>
              <w:t xml:space="preserve">Court of Appeal for British Columbia </w:t>
            </w:r>
          </w:p>
          <w:p w:rsidR="0029137F" w:rsidRPr="00A16F83" w:rsidRDefault="0029137F" w:rsidP="004275A1">
            <w:pPr>
              <w:jc w:val="both"/>
              <w:rPr>
                <w:rFonts w:eastAsia="Calibri"/>
                <w:sz w:val="20"/>
              </w:rPr>
            </w:pPr>
            <w:r w:rsidRPr="00A16F83">
              <w:rPr>
                <w:rFonts w:eastAsia="Calibri"/>
                <w:sz w:val="20"/>
              </w:rPr>
              <w:t>(Vancouver)</w:t>
            </w:r>
          </w:p>
          <w:p w:rsidR="0029137F" w:rsidRPr="00A16F83" w:rsidRDefault="0029137F" w:rsidP="004275A1">
            <w:pPr>
              <w:jc w:val="both"/>
              <w:rPr>
                <w:rFonts w:eastAsia="Calibri"/>
                <w:sz w:val="20"/>
              </w:rPr>
            </w:pPr>
            <w:r w:rsidRPr="00A16F83">
              <w:rPr>
                <w:rFonts w:eastAsia="Calibri"/>
                <w:sz w:val="20"/>
              </w:rPr>
              <w:t xml:space="preserve">(Bennett, Garson and Hinkson [dissenting] </w:t>
            </w:r>
          </w:p>
          <w:p w:rsidR="0029137F" w:rsidRPr="00A16F83" w:rsidRDefault="0029137F" w:rsidP="004275A1">
            <w:pPr>
              <w:jc w:val="both"/>
              <w:rPr>
                <w:rFonts w:eastAsia="Calibri"/>
                <w:sz w:val="20"/>
              </w:rPr>
            </w:pPr>
            <w:r w:rsidRPr="00A16F83">
              <w:rPr>
                <w:rFonts w:eastAsia="Calibri"/>
                <w:sz w:val="20"/>
              </w:rPr>
              <w:t>JJ.A.)</w:t>
            </w:r>
          </w:p>
          <w:p w:rsidR="0029137F" w:rsidRPr="00A16F83" w:rsidRDefault="00690162" w:rsidP="004275A1">
            <w:pPr>
              <w:jc w:val="both"/>
              <w:rPr>
                <w:rFonts w:eastAsia="Calibri"/>
                <w:sz w:val="20"/>
              </w:rPr>
            </w:pPr>
            <w:hyperlink r:id="rId37" w:history="1">
              <w:r w:rsidR="0029137F" w:rsidRPr="00A16F83">
                <w:rPr>
                  <w:rFonts w:eastAsia="Calibri"/>
                  <w:color w:val="0000FF"/>
                  <w:sz w:val="20"/>
                  <w:u w:val="single"/>
                </w:rPr>
                <w:t>2014 BCCA 165</w:t>
              </w:r>
            </w:hyperlink>
          </w:p>
          <w:p w:rsidR="0029137F" w:rsidRPr="00A16F83" w:rsidRDefault="0029137F" w:rsidP="004275A1">
            <w:pPr>
              <w:jc w:val="both"/>
              <w:rPr>
                <w:rFonts w:eastAsia="Calibri"/>
                <w:sz w:val="20"/>
              </w:rPr>
            </w:pPr>
          </w:p>
        </w:tc>
        <w:tc>
          <w:tcPr>
            <w:tcW w:w="243" w:type="pct"/>
          </w:tcPr>
          <w:p w:rsidR="0029137F" w:rsidRPr="00A16F83" w:rsidRDefault="0029137F" w:rsidP="004275A1">
            <w:pPr>
              <w:jc w:val="both"/>
              <w:rPr>
                <w:rFonts w:eastAsia="Calibri"/>
                <w:sz w:val="20"/>
              </w:rPr>
            </w:pPr>
          </w:p>
        </w:tc>
        <w:tc>
          <w:tcPr>
            <w:tcW w:w="2330" w:type="pct"/>
          </w:tcPr>
          <w:p w:rsidR="0029137F" w:rsidRPr="00A16F83" w:rsidRDefault="0029137F" w:rsidP="004275A1">
            <w:pPr>
              <w:jc w:val="both"/>
              <w:rPr>
                <w:rFonts w:eastAsia="Calibri"/>
                <w:sz w:val="20"/>
              </w:rPr>
            </w:pPr>
            <w:r w:rsidRPr="00A16F83">
              <w:rPr>
                <w:rFonts w:eastAsia="Calibri"/>
                <w:sz w:val="20"/>
              </w:rPr>
              <w:t>Respondent’s appeal allowed; matter remitted to trial court for assessment of her damages</w:t>
            </w:r>
          </w:p>
        </w:tc>
      </w:tr>
      <w:tr w:rsidR="0029137F" w:rsidRPr="00A16F83" w:rsidTr="004275A1">
        <w:tc>
          <w:tcPr>
            <w:tcW w:w="2427" w:type="pct"/>
          </w:tcPr>
          <w:p w:rsidR="0029137F" w:rsidRPr="00A16F83" w:rsidRDefault="0029137F" w:rsidP="004275A1">
            <w:pPr>
              <w:jc w:val="both"/>
              <w:rPr>
                <w:rFonts w:eastAsia="Calibri"/>
                <w:sz w:val="20"/>
              </w:rPr>
            </w:pPr>
            <w:r w:rsidRPr="00A16F83">
              <w:rPr>
                <w:rFonts w:eastAsia="Calibri"/>
                <w:sz w:val="20"/>
              </w:rPr>
              <w:t>June 27, 2014</w:t>
            </w:r>
          </w:p>
          <w:p w:rsidR="0029137F" w:rsidRPr="00A16F83" w:rsidRDefault="0029137F" w:rsidP="004275A1">
            <w:pPr>
              <w:jc w:val="both"/>
              <w:rPr>
                <w:rFonts w:eastAsia="Calibri"/>
                <w:sz w:val="20"/>
              </w:rPr>
            </w:pPr>
            <w:r w:rsidRPr="00A16F83">
              <w:rPr>
                <w:rFonts w:eastAsia="Calibri"/>
                <w:sz w:val="20"/>
              </w:rPr>
              <w:t>Supreme Court of Canada</w:t>
            </w:r>
          </w:p>
        </w:tc>
        <w:tc>
          <w:tcPr>
            <w:tcW w:w="243" w:type="pct"/>
          </w:tcPr>
          <w:p w:rsidR="0029137F" w:rsidRPr="00A16F83" w:rsidRDefault="0029137F" w:rsidP="004275A1">
            <w:pPr>
              <w:jc w:val="both"/>
              <w:rPr>
                <w:rFonts w:eastAsia="Calibri"/>
                <w:sz w:val="20"/>
              </w:rPr>
            </w:pPr>
          </w:p>
        </w:tc>
        <w:tc>
          <w:tcPr>
            <w:tcW w:w="2330" w:type="pct"/>
          </w:tcPr>
          <w:p w:rsidR="0029137F" w:rsidRPr="00A16F83" w:rsidRDefault="0029137F" w:rsidP="004275A1">
            <w:pPr>
              <w:jc w:val="both"/>
              <w:rPr>
                <w:rFonts w:eastAsia="Calibri"/>
                <w:sz w:val="20"/>
              </w:rPr>
            </w:pPr>
            <w:r w:rsidRPr="00A16F83">
              <w:rPr>
                <w:rFonts w:eastAsia="Calibri"/>
                <w:sz w:val="20"/>
              </w:rPr>
              <w:t>Application for leave to appeal filed</w:t>
            </w:r>
          </w:p>
        </w:tc>
      </w:tr>
    </w:tbl>
    <w:p w:rsidR="00915D6A" w:rsidRDefault="00915D6A" w:rsidP="00915D6A">
      <w:pPr>
        <w:rPr>
          <w:sz w:val="20"/>
          <w:szCs w:val="20"/>
        </w:rPr>
      </w:pPr>
    </w:p>
    <w:p w:rsidR="00915D6A" w:rsidRPr="00C50A5C" w:rsidRDefault="00690162" w:rsidP="00915D6A">
      <w:pPr>
        <w:rPr>
          <w:sz w:val="20"/>
          <w:szCs w:val="20"/>
        </w:rPr>
      </w:pPr>
      <w:r>
        <w:rPr>
          <w:sz w:val="20"/>
          <w:szCs w:val="20"/>
          <w:lang w:val="fr-CA"/>
        </w:rPr>
        <w:pict>
          <v:rect id="_x0000_i1050" style="width:2in;height:1pt" o:hrpct="0" o:hralign="center" o:hrstd="t" o:hrnoshade="t" o:hr="t" fillcolor="black [3213]" stroked="f"/>
        </w:pict>
      </w:r>
    </w:p>
    <w:p w:rsidR="00915D6A" w:rsidRDefault="00915D6A" w:rsidP="00915D6A">
      <w:pPr>
        <w:rPr>
          <w:sz w:val="20"/>
          <w:szCs w:val="20"/>
        </w:rPr>
      </w:pPr>
    </w:p>
    <w:p w:rsidR="00915D6A" w:rsidRPr="001B157C" w:rsidRDefault="00915D6A" w:rsidP="00915D6A">
      <w:pPr>
        <w:rPr>
          <w:sz w:val="20"/>
          <w:szCs w:val="20"/>
          <w:u w:val="single"/>
          <w:lang w:val="fr-CA"/>
        </w:rPr>
      </w:pPr>
      <w:r w:rsidRPr="001B157C">
        <w:rPr>
          <w:sz w:val="20"/>
          <w:szCs w:val="20"/>
          <w:u w:val="single"/>
          <w:lang w:val="fr-CA"/>
        </w:rPr>
        <w:t>RÉSUMÉ DE L’AFFAIRE</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9137F" w:rsidRPr="00690162" w:rsidTr="004275A1">
        <w:tc>
          <w:tcPr>
            <w:tcW w:w="5000" w:type="pct"/>
            <w:gridSpan w:val="3"/>
          </w:tcPr>
          <w:p w:rsidR="0029137F" w:rsidRPr="00A16F83" w:rsidRDefault="0029137F" w:rsidP="004275A1">
            <w:pPr>
              <w:jc w:val="both"/>
              <w:rPr>
                <w:sz w:val="20"/>
                <w:lang w:val="fr-CA" w:eastAsia="en-CA"/>
              </w:rPr>
            </w:pPr>
            <w:r w:rsidRPr="00A16F83">
              <w:rPr>
                <w:sz w:val="20"/>
                <w:lang w:val="fr-CA" w:eastAsia="en-CA"/>
              </w:rPr>
              <w:t>Assurance — Assurance automobile — Clause de renonciation — Le propriétaire d’une entreprise de tyrolienne oblige les participants à signer une renonciation qui les empêche de réclamer des dommages-intérêts pour les blessures subies pendant le transport aller-retour au site où se déroulent les activités de tyrolienne - Dans quelles situations des considérations d’ordre public prépondérantes l’emportent-elles sur l’intérêt public lié à l’application des contrats, permettant ainsi au tribunal de refuser l’application d’une clause valide de non-recours? — La préclusion d’accès à une prestation prévue par la loi constitue-t-elle une nouvelle catégorie dans la doctrine d’ordre public? — Quelqu’un peut-il décharger le propriétaire ou le conducteur d’un véhicule à l’égard de réclamations en dommages-intérêts qui seraient autrement payés en application du régime obligatoire d’assurance automobile? — Les exploitants d’activités à haut risque peuvent-ils exclure la responsabilité pour la conduite de véhicules automobiles en obtenant des renonciations générales de ceux qui voyageront à bord des véhicules dans le cadre d’une activité à haut risque?</w:t>
            </w:r>
          </w:p>
          <w:p w:rsidR="0029137F" w:rsidRPr="00A16F83" w:rsidRDefault="0029137F" w:rsidP="004275A1">
            <w:pPr>
              <w:jc w:val="both"/>
              <w:rPr>
                <w:rFonts w:eastAsia="Calibri"/>
                <w:sz w:val="20"/>
                <w:lang w:val="fr-CA"/>
              </w:rPr>
            </w:pPr>
          </w:p>
        </w:tc>
      </w:tr>
      <w:tr w:rsidR="0029137F" w:rsidRPr="00690162" w:rsidTr="004275A1">
        <w:tc>
          <w:tcPr>
            <w:tcW w:w="5000" w:type="pct"/>
            <w:gridSpan w:val="3"/>
          </w:tcPr>
          <w:p w:rsidR="0029137F" w:rsidRPr="00A16F83" w:rsidRDefault="0029137F" w:rsidP="004275A1">
            <w:pPr>
              <w:jc w:val="both"/>
              <w:rPr>
                <w:rFonts w:eastAsia="Calibri"/>
                <w:sz w:val="20"/>
                <w:lang w:val="fr-CA"/>
              </w:rPr>
            </w:pPr>
            <w:r w:rsidRPr="00A16F83">
              <w:rPr>
                <w:rFonts w:eastAsia="Calibri"/>
                <w:sz w:val="20"/>
                <w:lang w:val="fr-CA"/>
              </w:rPr>
              <w:t xml:space="preserve">En 2008, Mme Niedermeyer travaillait comme enseignante à Singapour depuis 20 ans lorsqu’elle s’est rendue en Colombie-Britannique avec un groupe d’étudiants pour assister à une conférence internationale à Victoria.  Après la conférence, Mme Niedermeyer a organisé d’autres activités pour son groupe, y compris un parcours de tyrolienne dans la vallée située entre les montagnes de Whistler et de Blackcomb.  À son arrivée à l’auberge dans le village de Whistler, le groupe s’est vu remettre des casques et des harnais et a reçu certaines consignes. Madame Niedermeyer s’est vu remettre des formules de renonciation fournies par Ziptrek qu’elle devait signer pour elle-même et pour ses </w:t>
            </w:r>
            <w:r w:rsidRPr="00A16F83">
              <w:rPr>
                <w:rFonts w:eastAsia="Calibri"/>
                <w:sz w:val="20"/>
                <w:lang w:val="fr-CA"/>
              </w:rPr>
              <w:lastRenderedPageBreak/>
              <w:t>étudiants.  Conformément aux politiques de Ziptrek, le personnel les a informés qu’une renonciation signée était nécessaire avant qu’ils puissent participer à l’activité.  Le groupe a alors été transporté à la montagne par fourgonnette jusqu’au point de départ du parcours de la tyrolienne.  À son retour au village de Whistler, l’autocar conduit par le demandeur William Charlton, un employé de Ziptrek, a fait une sortie de route, a capoté et a dévalé une côte.  Madame Niedermeyer a subi des blessures sérieuses et a intenté une action en dommages-intérêts contre Ziptrek et M. Charlton.  Ziptrek a admis sa responsabilité pour l’accident.  Les parties ont convenu qu’il fallait, avant la tenue d’un procès sur la question des dommages-intérêts et de la négligence de la victime, statuer sur la question de savoir si la renonciation signée par Mme Niedermayer devait l’empêcher d’avoir gain de cause dans l’action.</w:t>
            </w:r>
          </w:p>
          <w:p w:rsidR="0029137F" w:rsidRPr="00A16F83" w:rsidRDefault="0029137F" w:rsidP="004275A1">
            <w:pPr>
              <w:jc w:val="both"/>
              <w:rPr>
                <w:rFonts w:eastAsia="Calibri"/>
                <w:sz w:val="20"/>
                <w:lang w:val="fr-CA"/>
              </w:rPr>
            </w:pPr>
          </w:p>
        </w:tc>
      </w:tr>
      <w:tr w:rsidR="0029137F" w:rsidRPr="00690162" w:rsidTr="004275A1">
        <w:tc>
          <w:tcPr>
            <w:tcW w:w="2427" w:type="pct"/>
          </w:tcPr>
          <w:p w:rsidR="0029137F" w:rsidRPr="00A16F83" w:rsidRDefault="0029137F" w:rsidP="004275A1">
            <w:pPr>
              <w:jc w:val="both"/>
              <w:rPr>
                <w:rFonts w:eastAsia="Calibri"/>
                <w:sz w:val="20"/>
                <w:lang w:val="fr-CA"/>
              </w:rPr>
            </w:pPr>
            <w:r w:rsidRPr="00A16F83">
              <w:rPr>
                <w:rFonts w:eastAsia="Calibri"/>
                <w:sz w:val="20"/>
                <w:lang w:val="fr-CA"/>
              </w:rPr>
              <w:lastRenderedPageBreak/>
              <w:t>8 novembre 2012</w:t>
            </w:r>
          </w:p>
          <w:p w:rsidR="0029137F" w:rsidRPr="00A16F83" w:rsidRDefault="0029137F" w:rsidP="004275A1">
            <w:pPr>
              <w:jc w:val="both"/>
              <w:rPr>
                <w:rFonts w:eastAsia="Calibri"/>
                <w:sz w:val="20"/>
                <w:lang w:val="fr-CA"/>
              </w:rPr>
            </w:pPr>
            <w:r w:rsidRPr="00A16F83">
              <w:rPr>
                <w:rFonts w:eastAsia="Calibri"/>
                <w:sz w:val="20"/>
                <w:lang w:val="fr-CA"/>
              </w:rPr>
              <w:t>Cour suprême de la Colombie-Britannique</w:t>
            </w:r>
          </w:p>
          <w:p w:rsidR="0029137F" w:rsidRPr="00A16F83" w:rsidRDefault="0029137F" w:rsidP="004275A1">
            <w:pPr>
              <w:jc w:val="both"/>
              <w:rPr>
                <w:rFonts w:eastAsia="Calibri"/>
                <w:sz w:val="20"/>
                <w:lang w:val="fr-CA"/>
              </w:rPr>
            </w:pPr>
            <w:r w:rsidRPr="00A16F83">
              <w:rPr>
                <w:rFonts w:eastAsia="Calibri"/>
                <w:sz w:val="20"/>
                <w:lang w:val="fr-CA"/>
              </w:rPr>
              <w:t>(Juge Armstrong)</w:t>
            </w:r>
          </w:p>
          <w:p w:rsidR="0029137F" w:rsidRPr="00A16F83" w:rsidRDefault="00690162" w:rsidP="004275A1">
            <w:pPr>
              <w:jc w:val="both"/>
              <w:rPr>
                <w:rFonts w:eastAsia="Calibri"/>
                <w:sz w:val="20"/>
                <w:lang w:val="fr-CA"/>
              </w:rPr>
            </w:pPr>
            <w:hyperlink r:id="rId38" w:history="1">
              <w:r w:rsidR="0029137F" w:rsidRPr="00A16F83">
                <w:rPr>
                  <w:rFonts w:eastAsia="Calibri"/>
                  <w:color w:val="0000FF"/>
                  <w:sz w:val="20"/>
                  <w:u w:val="single"/>
                  <w:lang w:val="fr-CA"/>
                </w:rPr>
                <w:t>2012 BCSC 1668</w:t>
              </w:r>
            </w:hyperlink>
          </w:p>
          <w:p w:rsidR="0029137F" w:rsidRPr="00A16F83" w:rsidRDefault="0029137F" w:rsidP="004275A1">
            <w:pPr>
              <w:jc w:val="both"/>
              <w:rPr>
                <w:rFonts w:eastAsia="Calibri"/>
                <w:sz w:val="20"/>
                <w:lang w:val="fr-CA"/>
              </w:rPr>
            </w:pPr>
          </w:p>
        </w:tc>
        <w:tc>
          <w:tcPr>
            <w:tcW w:w="243" w:type="pct"/>
          </w:tcPr>
          <w:p w:rsidR="0029137F" w:rsidRPr="00A16F83" w:rsidRDefault="0029137F" w:rsidP="004275A1">
            <w:pPr>
              <w:jc w:val="both"/>
              <w:rPr>
                <w:rFonts w:eastAsia="Calibri"/>
                <w:sz w:val="20"/>
                <w:lang w:val="fr-CA"/>
              </w:rPr>
            </w:pPr>
          </w:p>
        </w:tc>
        <w:tc>
          <w:tcPr>
            <w:tcW w:w="2330" w:type="pct"/>
          </w:tcPr>
          <w:p w:rsidR="0029137F" w:rsidRPr="00A16F83" w:rsidRDefault="0029137F" w:rsidP="004275A1">
            <w:pPr>
              <w:jc w:val="both"/>
              <w:rPr>
                <w:rFonts w:eastAsia="Calibri"/>
                <w:sz w:val="20"/>
                <w:lang w:val="fr-CA"/>
              </w:rPr>
            </w:pPr>
            <w:r w:rsidRPr="00A16F83">
              <w:rPr>
                <w:rFonts w:eastAsia="Calibri"/>
                <w:sz w:val="20"/>
                <w:lang w:val="fr-CA"/>
              </w:rPr>
              <w:t>Action en dommages-intérêts de l’intimée, rejetée au motif qu’elle avait renoncé à tout recours en dommages-intérêts</w:t>
            </w:r>
          </w:p>
        </w:tc>
      </w:tr>
      <w:tr w:rsidR="0029137F" w:rsidRPr="00690162" w:rsidTr="004275A1">
        <w:tc>
          <w:tcPr>
            <w:tcW w:w="2427" w:type="pct"/>
          </w:tcPr>
          <w:p w:rsidR="0029137F" w:rsidRPr="00A16F83" w:rsidRDefault="0029137F" w:rsidP="004275A1">
            <w:pPr>
              <w:jc w:val="both"/>
              <w:rPr>
                <w:rFonts w:eastAsia="Calibri"/>
                <w:sz w:val="20"/>
                <w:lang w:val="fr-CA"/>
              </w:rPr>
            </w:pPr>
            <w:r w:rsidRPr="00A16F83">
              <w:rPr>
                <w:rFonts w:eastAsia="Calibri"/>
                <w:sz w:val="20"/>
                <w:lang w:val="fr-CA"/>
              </w:rPr>
              <w:t>30 avril 2014</w:t>
            </w:r>
          </w:p>
          <w:p w:rsidR="0029137F" w:rsidRPr="00A16F83" w:rsidRDefault="0029137F" w:rsidP="004275A1">
            <w:pPr>
              <w:jc w:val="both"/>
              <w:rPr>
                <w:rFonts w:eastAsia="Calibri"/>
                <w:sz w:val="20"/>
                <w:lang w:val="fr-CA"/>
              </w:rPr>
            </w:pPr>
            <w:r w:rsidRPr="00A16F83">
              <w:rPr>
                <w:rFonts w:eastAsia="Calibri"/>
                <w:sz w:val="20"/>
                <w:lang w:val="fr-CA"/>
              </w:rPr>
              <w:t>Cour d’appel de la Colombie-Britannique</w:t>
            </w:r>
          </w:p>
          <w:p w:rsidR="0029137F" w:rsidRPr="00A16F83" w:rsidRDefault="0029137F" w:rsidP="004275A1">
            <w:pPr>
              <w:jc w:val="both"/>
              <w:rPr>
                <w:rFonts w:eastAsia="Calibri"/>
                <w:sz w:val="20"/>
                <w:lang w:val="fr-CA"/>
              </w:rPr>
            </w:pPr>
            <w:r w:rsidRPr="00A16F83">
              <w:rPr>
                <w:rFonts w:eastAsia="Calibri"/>
                <w:sz w:val="20"/>
                <w:lang w:val="fr-CA"/>
              </w:rPr>
              <w:t>(Vancouver)</w:t>
            </w:r>
          </w:p>
          <w:p w:rsidR="0029137F" w:rsidRPr="00A16F83" w:rsidRDefault="0029137F" w:rsidP="004275A1">
            <w:pPr>
              <w:jc w:val="both"/>
              <w:rPr>
                <w:rFonts w:eastAsia="Calibri"/>
                <w:sz w:val="20"/>
                <w:lang w:val="fr-CA"/>
              </w:rPr>
            </w:pPr>
            <w:r w:rsidRPr="00A16F83">
              <w:rPr>
                <w:rFonts w:eastAsia="Calibri"/>
                <w:sz w:val="20"/>
                <w:lang w:val="fr-CA"/>
              </w:rPr>
              <w:t>(Juges Bennett, Garson et Hinkson [dissident])</w:t>
            </w:r>
          </w:p>
          <w:p w:rsidR="0029137F" w:rsidRPr="00A16F83" w:rsidRDefault="00690162" w:rsidP="004275A1">
            <w:pPr>
              <w:jc w:val="both"/>
              <w:rPr>
                <w:rFonts w:eastAsia="Calibri"/>
                <w:sz w:val="20"/>
                <w:lang w:val="fr-CA"/>
              </w:rPr>
            </w:pPr>
            <w:hyperlink r:id="rId39" w:history="1">
              <w:r w:rsidR="0029137F" w:rsidRPr="00A16F83">
                <w:rPr>
                  <w:rFonts w:eastAsia="Calibri"/>
                  <w:color w:val="0000FF"/>
                  <w:sz w:val="20"/>
                  <w:u w:val="single"/>
                  <w:lang w:val="fr-CA"/>
                </w:rPr>
                <w:t>2014 BCCA 165</w:t>
              </w:r>
            </w:hyperlink>
          </w:p>
          <w:p w:rsidR="0029137F" w:rsidRPr="00A16F83" w:rsidRDefault="0029137F" w:rsidP="004275A1">
            <w:pPr>
              <w:jc w:val="both"/>
              <w:rPr>
                <w:rFonts w:eastAsia="Calibri"/>
                <w:sz w:val="20"/>
                <w:lang w:val="fr-CA"/>
              </w:rPr>
            </w:pPr>
          </w:p>
        </w:tc>
        <w:tc>
          <w:tcPr>
            <w:tcW w:w="243" w:type="pct"/>
          </w:tcPr>
          <w:p w:rsidR="0029137F" w:rsidRPr="00A16F83" w:rsidRDefault="0029137F" w:rsidP="004275A1">
            <w:pPr>
              <w:jc w:val="both"/>
              <w:rPr>
                <w:rFonts w:eastAsia="Calibri"/>
                <w:sz w:val="20"/>
                <w:lang w:val="fr-CA"/>
              </w:rPr>
            </w:pPr>
          </w:p>
        </w:tc>
        <w:tc>
          <w:tcPr>
            <w:tcW w:w="2330" w:type="pct"/>
          </w:tcPr>
          <w:p w:rsidR="0029137F" w:rsidRPr="00A16F83" w:rsidRDefault="0029137F" w:rsidP="004275A1">
            <w:pPr>
              <w:jc w:val="both"/>
              <w:rPr>
                <w:rFonts w:eastAsia="Calibri"/>
                <w:sz w:val="20"/>
                <w:lang w:val="fr-CA"/>
              </w:rPr>
            </w:pPr>
            <w:r w:rsidRPr="00A16F83">
              <w:rPr>
                <w:rFonts w:eastAsia="Calibri"/>
                <w:sz w:val="20"/>
                <w:lang w:val="fr-CA"/>
              </w:rPr>
              <w:t>Appel de l’intimée, accueilli; affaire renvoyée au tribunal de première instance pour l’évaluation des dommages-intérêts</w:t>
            </w:r>
          </w:p>
        </w:tc>
      </w:tr>
      <w:tr w:rsidR="0029137F" w:rsidRPr="00A16F83" w:rsidTr="004275A1">
        <w:tc>
          <w:tcPr>
            <w:tcW w:w="2427" w:type="pct"/>
          </w:tcPr>
          <w:p w:rsidR="0029137F" w:rsidRPr="00A16F83" w:rsidRDefault="0029137F" w:rsidP="004275A1">
            <w:pPr>
              <w:jc w:val="both"/>
              <w:rPr>
                <w:rFonts w:eastAsia="Calibri"/>
                <w:sz w:val="20"/>
                <w:lang w:val="fr-CA"/>
              </w:rPr>
            </w:pPr>
            <w:r w:rsidRPr="00A16F83">
              <w:rPr>
                <w:rFonts w:eastAsia="Calibri"/>
                <w:sz w:val="20"/>
                <w:lang w:val="fr-CA"/>
              </w:rPr>
              <w:t>27 juin 2014</w:t>
            </w:r>
          </w:p>
          <w:p w:rsidR="0029137F" w:rsidRPr="00A16F83" w:rsidRDefault="0029137F" w:rsidP="004275A1">
            <w:pPr>
              <w:jc w:val="both"/>
              <w:rPr>
                <w:rFonts w:eastAsia="Calibri"/>
                <w:sz w:val="20"/>
                <w:lang w:val="fr-CA"/>
              </w:rPr>
            </w:pPr>
            <w:r w:rsidRPr="00A16F83">
              <w:rPr>
                <w:rFonts w:eastAsia="Calibri"/>
                <w:sz w:val="20"/>
                <w:lang w:val="fr-CA"/>
              </w:rPr>
              <w:t>Cour suprême du Canada</w:t>
            </w:r>
          </w:p>
        </w:tc>
        <w:tc>
          <w:tcPr>
            <w:tcW w:w="243" w:type="pct"/>
          </w:tcPr>
          <w:p w:rsidR="0029137F" w:rsidRPr="00A16F83" w:rsidRDefault="0029137F" w:rsidP="004275A1">
            <w:pPr>
              <w:jc w:val="both"/>
              <w:rPr>
                <w:rFonts w:eastAsia="Calibri"/>
                <w:sz w:val="20"/>
                <w:lang w:val="fr-CA"/>
              </w:rPr>
            </w:pPr>
          </w:p>
        </w:tc>
        <w:tc>
          <w:tcPr>
            <w:tcW w:w="2330" w:type="pct"/>
          </w:tcPr>
          <w:p w:rsidR="0029137F" w:rsidRPr="00A16F83" w:rsidRDefault="0029137F" w:rsidP="004275A1">
            <w:pPr>
              <w:jc w:val="both"/>
              <w:rPr>
                <w:rFonts w:eastAsia="Calibri"/>
                <w:sz w:val="20"/>
                <w:lang w:val="fr-CA"/>
              </w:rPr>
            </w:pPr>
            <w:r w:rsidRPr="00A16F83">
              <w:rPr>
                <w:rFonts w:eastAsia="Calibri"/>
                <w:sz w:val="20"/>
                <w:lang w:val="fr-CA"/>
              </w:rPr>
              <w:t>Demande d’autorisation d’appel, déposée</w:t>
            </w:r>
          </w:p>
        </w:tc>
      </w:tr>
    </w:tbl>
    <w:p w:rsidR="00915D6A" w:rsidRDefault="00915D6A" w:rsidP="00915D6A">
      <w:pPr>
        <w:rPr>
          <w:sz w:val="20"/>
          <w:szCs w:val="20"/>
        </w:rPr>
      </w:pPr>
    </w:p>
    <w:p w:rsidR="00915D6A" w:rsidRDefault="00690162" w:rsidP="00915D6A">
      <w:pPr>
        <w:rPr>
          <w:sz w:val="20"/>
          <w:szCs w:val="20"/>
        </w:rPr>
      </w:pPr>
      <w:r>
        <w:rPr>
          <w:sz w:val="20"/>
          <w:szCs w:val="20"/>
          <w:lang w:val="fr-CA"/>
        </w:rPr>
        <w:pict>
          <v:rect id="_x0000_i1051" style="width:2in;height:1pt" o:hrpct="0" o:hralign="center" o:hrstd="t" o:hrnoshade="t" o:hr="t" fillcolor="black [3213]" stroked="f"/>
        </w:pict>
      </w:r>
    </w:p>
    <w:p w:rsidR="00915D6A" w:rsidRDefault="00915D6A" w:rsidP="00915D6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B1FB0" w:rsidRPr="00186B1A" w:rsidTr="00650BC1">
        <w:trPr>
          <w:cantSplit/>
        </w:trPr>
        <w:tc>
          <w:tcPr>
            <w:tcW w:w="1458" w:type="dxa"/>
          </w:tcPr>
          <w:p w:rsidR="006B1FB0" w:rsidRPr="00186B1A" w:rsidRDefault="006B1FB0" w:rsidP="00650BC1">
            <w:pPr>
              <w:rPr>
                <w:sz w:val="20"/>
                <w:szCs w:val="20"/>
              </w:rPr>
            </w:pPr>
            <w:r w:rsidRPr="00186B1A">
              <w:rPr>
                <w:rStyle w:val="SCCFileNumberChar"/>
                <w:sz w:val="20"/>
                <w:szCs w:val="20"/>
              </w:rPr>
              <w:t>35966</w:t>
            </w:r>
          </w:p>
          <w:p w:rsidR="006B1FB0" w:rsidRPr="00186B1A" w:rsidRDefault="006B1FB0" w:rsidP="00650BC1">
            <w:pPr>
              <w:rPr>
                <w:b/>
                <w:sz w:val="20"/>
                <w:szCs w:val="20"/>
                <w:lang w:val="fr-CA"/>
              </w:rPr>
            </w:pPr>
          </w:p>
        </w:tc>
        <w:tc>
          <w:tcPr>
            <w:tcW w:w="8118" w:type="dxa"/>
          </w:tcPr>
          <w:p w:rsidR="006B1FB0" w:rsidRPr="00186B1A" w:rsidRDefault="006B1FB0" w:rsidP="00650BC1">
            <w:pPr>
              <w:rPr>
                <w:sz w:val="20"/>
                <w:szCs w:val="20"/>
              </w:rPr>
            </w:pPr>
            <w:r w:rsidRPr="006B1FB0">
              <w:rPr>
                <w:rStyle w:val="SCCLsocChar"/>
                <w:sz w:val="20"/>
                <w:szCs w:val="20"/>
                <w:lang w:val="en-CA"/>
              </w:rPr>
              <w:t>Shant Esrabian v. Her Majesty the Queen</w:t>
            </w:r>
            <w:r w:rsidRPr="00186B1A">
              <w:rPr>
                <w:sz w:val="20"/>
                <w:szCs w:val="20"/>
              </w:rPr>
              <w:t xml:space="preserve"> (Ont.) (Criminal) (By Leave)</w:t>
            </w:r>
          </w:p>
          <w:p w:rsidR="006B1FB0" w:rsidRPr="00186B1A" w:rsidRDefault="006B1FB0" w:rsidP="00650BC1">
            <w:pPr>
              <w:rPr>
                <w:sz w:val="20"/>
                <w:szCs w:val="20"/>
              </w:rPr>
            </w:pPr>
          </w:p>
        </w:tc>
      </w:tr>
      <w:tr w:rsidR="006B1FB0" w:rsidRPr="00186B1A" w:rsidTr="00650BC1">
        <w:trPr>
          <w:cantSplit/>
        </w:trPr>
        <w:tc>
          <w:tcPr>
            <w:tcW w:w="1458" w:type="dxa"/>
          </w:tcPr>
          <w:p w:rsidR="006B1FB0" w:rsidRPr="00186B1A" w:rsidRDefault="006B1FB0" w:rsidP="00650BC1">
            <w:pPr>
              <w:rPr>
                <w:sz w:val="20"/>
                <w:szCs w:val="20"/>
              </w:rPr>
            </w:pPr>
            <w:r w:rsidRPr="00186B1A">
              <w:rPr>
                <w:sz w:val="20"/>
                <w:szCs w:val="20"/>
              </w:rPr>
              <w:t>Coram :</w:t>
            </w:r>
          </w:p>
        </w:tc>
        <w:tc>
          <w:tcPr>
            <w:tcW w:w="8118" w:type="dxa"/>
          </w:tcPr>
          <w:p w:rsidR="006B1FB0" w:rsidRPr="00186B1A" w:rsidRDefault="006B1FB0" w:rsidP="00650BC1">
            <w:pPr>
              <w:rPr>
                <w:sz w:val="20"/>
                <w:szCs w:val="20"/>
              </w:rPr>
            </w:pPr>
            <w:r w:rsidRPr="006B1FB0">
              <w:rPr>
                <w:rStyle w:val="SCCCoramChar"/>
                <w:sz w:val="20"/>
                <w:szCs w:val="20"/>
                <w:lang w:val="en-CA"/>
              </w:rPr>
              <w:t>Abella, Rothstein and Moldaver JJ.</w:t>
            </w:r>
          </w:p>
          <w:p w:rsidR="006B1FB0" w:rsidRPr="00186B1A" w:rsidRDefault="006B1FB0" w:rsidP="00650BC1">
            <w:pPr>
              <w:rPr>
                <w:sz w:val="20"/>
                <w:szCs w:val="20"/>
                <w:u w:val="single"/>
              </w:rPr>
            </w:pPr>
          </w:p>
        </w:tc>
      </w:tr>
      <w:tr w:rsidR="006B1FB0" w:rsidRPr="00690162" w:rsidTr="00650BC1">
        <w:trPr>
          <w:cantSplit/>
        </w:trPr>
        <w:tc>
          <w:tcPr>
            <w:tcW w:w="9576" w:type="dxa"/>
            <w:gridSpan w:val="2"/>
          </w:tcPr>
          <w:p w:rsidR="006B1FB0" w:rsidRPr="00186B1A" w:rsidRDefault="006B1FB0" w:rsidP="00650BC1">
            <w:pPr>
              <w:pStyle w:val="SCCShortJudgment"/>
              <w:rPr>
                <w:szCs w:val="20"/>
              </w:rPr>
            </w:pPr>
            <w:r w:rsidRPr="00186B1A">
              <w:rPr>
                <w:szCs w:val="20"/>
              </w:rPr>
              <w:t>The motion for an extension of time to serve and file the application for leave to appeal is granted. The application for leave to appeal from the judgment of the Court of Appeal for Ontario, Number C49134, 2013 ONCA 761, dated December 18, 2013, is dismissed without costs.</w:t>
            </w:r>
          </w:p>
          <w:p w:rsidR="006B1FB0" w:rsidRPr="00186B1A" w:rsidRDefault="006B1FB0" w:rsidP="00650BC1">
            <w:pPr>
              <w:pStyle w:val="SCCShortJudgment"/>
              <w:ind w:firstLine="0"/>
              <w:rPr>
                <w:szCs w:val="20"/>
              </w:rPr>
            </w:pPr>
          </w:p>
          <w:p w:rsidR="006B1FB0" w:rsidRPr="00186B1A" w:rsidRDefault="006B1FB0" w:rsidP="00650BC1">
            <w:pPr>
              <w:pStyle w:val="SCCShortJudgment"/>
              <w:rPr>
                <w:szCs w:val="20"/>
                <w:lang w:val="fr-CA"/>
              </w:rPr>
            </w:pPr>
            <w:r w:rsidRPr="00186B1A">
              <w:rPr>
                <w:szCs w:val="20"/>
                <w:lang w:val="fr-CA"/>
              </w:rPr>
              <w:t>La requête en prorogation du délai de signification et de dépôt de la demande d’autorisation d’appel est accueillie. La demande d’autorisation d’appel de l’arrêt de la Cour d’appel de l’Ontario, numéro C49134, 2013 ONCA 761, daté du 18 décembre 2013, est rejetée sans dépens.</w:t>
            </w:r>
          </w:p>
        </w:tc>
      </w:tr>
    </w:tbl>
    <w:p w:rsidR="00915D6A" w:rsidRPr="0016547E" w:rsidRDefault="00915D6A" w:rsidP="00915D6A">
      <w:pPr>
        <w:rPr>
          <w:sz w:val="20"/>
          <w:szCs w:val="20"/>
          <w:lang w:val="fr-CA"/>
        </w:rPr>
      </w:pPr>
    </w:p>
    <w:p w:rsidR="00915D6A" w:rsidRPr="001B157C" w:rsidRDefault="00915D6A" w:rsidP="00915D6A">
      <w:pPr>
        <w:rPr>
          <w:sz w:val="20"/>
          <w:szCs w:val="20"/>
          <w:u w:val="single"/>
        </w:rPr>
      </w:pPr>
      <w:r w:rsidRPr="001B157C">
        <w:rPr>
          <w:sz w:val="20"/>
          <w:szCs w:val="20"/>
          <w:u w:val="single"/>
        </w:rPr>
        <w:t>CASE SUMMARY</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9137F" w:rsidRPr="00A16F83" w:rsidTr="004275A1">
        <w:tc>
          <w:tcPr>
            <w:tcW w:w="5000" w:type="pct"/>
            <w:gridSpan w:val="3"/>
          </w:tcPr>
          <w:p w:rsidR="0029137F" w:rsidRPr="00A16F83" w:rsidRDefault="0029137F" w:rsidP="004275A1">
            <w:pPr>
              <w:jc w:val="both"/>
              <w:rPr>
                <w:rFonts w:eastAsia="Calibri"/>
                <w:sz w:val="20"/>
              </w:rPr>
            </w:pPr>
            <w:r w:rsidRPr="00A16F83">
              <w:rPr>
                <w:rFonts w:eastAsia="Calibri"/>
                <w:sz w:val="20"/>
              </w:rPr>
              <w:t>Criminal law – Charge to jury – First degree murder – Whether Court of Appeal for Ontario erred in concluding that the applicant’s conviction could not have been tainted by misdirections in the jury charge, which left open less onerous and legally incorrect routes to conviction</w:t>
            </w:r>
          </w:p>
        </w:tc>
      </w:tr>
      <w:tr w:rsidR="0029137F" w:rsidRPr="00A16F83" w:rsidTr="004275A1">
        <w:tc>
          <w:tcPr>
            <w:tcW w:w="5000" w:type="pct"/>
            <w:gridSpan w:val="3"/>
          </w:tcPr>
          <w:p w:rsidR="0029137F" w:rsidRPr="00A16F83" w:rsidRDefault="0029137F" w:rsidP="004275A1">
            <w:pPr>
              <w:jc w:val="both"/>
              <w:rPr>
                <w:rFonts w:eastAsia="Calibri"/>
                <w:sz w:val="20"/>
              </w:rPr>
            </w:pPr>
          </w:p>
        </w:tc>
      </w:tr>
      <w:tr w:rsidR="0029137F" w:rsidRPr="00A16F83" w:rsidTr="004275A1">
        <w:tc>
          <w:tcPr>
            <w:tcW w:w="5000" w:type="pct"/>
            <w:gridSpan w:val="3"/>
          </w:tcPr>
          <w:p w:rsidR="0029137F" w:rsidRPr="00A16F83" w:rsidRDefault="0029137F" w:rsidP="004275A1">
            <w:pPr>
              <w:jc w:val="both"/>
              <w:rPr>
                <w:rFonts w:eastAsia="Calibri"/>
                <w:sz w:val="20"/>
              </w:rPr>
            </w:pPr>
            <w:r w:rsidRPr="00A16F83">
              <w:rPr>
                <w:rFonts w:eastAsia="Calibri"/>
                <w:sz w:val="20"/>
              </w:rPr>
              <w:t xml:space="preserve">Mr. Hassan, a drug dealer, was lured to a remote location near Ottawa and fatally shot.  The Crown alleged that he was murdered because he had tried to circumvent his cocaine supplier, Mr. Saleh, and deal directly with Mr. Saleh’s supplier.  The Crown’s theory was that Mr. Saleh enlisted the help of Mr. Esrabian, also a drug dealer, and Mark Yegin.  The Crown argued that the three men, together, lured Mr. Hassan to the murder site.  There was conflicting evidence as to who fired the fatal shots but, on the Crown’s theory, it did not matter because the Crown argued that Mr. Esrabian was guilty of first degree murder either because he was the shooter or because he had been a party to the planning, deliberation and murder of Mr. Hassan.  Mr. Esrabian acknowledged that he drove with Mr. Saleh to meet </w:t>
            </w:r>
            <w:r w:rsidRPr="00A16F83">
              <w:rPr>
                <w:rFonts w:eastAsia="Calibri"/>
                <w:sz w:val="20"/>
              </w:rPr>
              <w:lastRenderedPageBreak/>
              <w:t>Mr. Hassan at the murder site but he testified that he only had anticipated committing an assault.  He testified that Mr. Yegin unexpectedly shot Mr. Hassan.  A jury convicted Mr. Esrabian of first degree murder.</w:t>
            </w:r>
          </w:p>
          <w:p w:rsidR="0029137F" w:rsidRPr="00A16F83" w:rsidRDefault="0029137F" w:rsidP="004275A1">
            <w:pPr>
              <w:jc w:val="both"/>
              <w:rPr>
                <w:rFonts w:eastAsia="Calibri"/>
                <w:sz w:val="20"/>
              </w:rPr>
            </w:pPr>
          </w:p>
        </w:tc>
      </w:tr>
      <w:tr w:rsidR="0029137F" w:rsidRPr="00A16F83" w:rsidTr="004275A1">
        <w:tc>
          <w:tcPr>
            <w:tcW w:w="2427" w:type="pct"/>
          </w:tcPr>
          <w:p w:rsidR="0029137F" w:rsidRPr="00A16F83" w:rsidRDefault="0029137F" w:rsidP="004275A1">
            <w:pPr>
              <w:jc w:val="both"/>
              <w:rPr>
                <w:rFonts w:eastAsia="Calibri"/>
                <w:sz w:val="20"/>
              </w:rPr>
            </w:pPr>
            <w:r w:rsidRPr="00A16F83">
              <w:rPr>
                <w:rFonts w:eastAsia="Calibri"/>
                <w:sz w:val="20"/>
              </w:rPr>
              <w:lastRenderedPageBreak/>
              <w:t>June 21, 2008</w:t>
            </w:r>
          </w:p>
          <w:p w:rsidR="0029137F" w:rsidRPr="00A16F83" w:rsidRDefault="0029137F" w:rsidP="004275A1">
            <w:pPr>
              <w:jc w:val="both"/>
              <w:rPr>
                <w:rFonts w:eastAsia="Calibri"/>
                <w:sz w:val="20"/>
              </w:rPr>
            </w:pPr>
            <w:r w:rsidRPr="00A16F83">
              <w:rPr>
                <w:rFonts w:eastAsia="Calibri"/>
                <w:sz w:val="20"/>
              </w:rPr>
              <w:t>Ontario Superior Court of Justice</w:t>
            </w:r>
          </w:p>
          <w:p w:rsidR="0029137F" w:rsidRPr="00A16F83" w:rsidRDefault="0029137F" w:rsidP="004275A1">
            <w:pPr>
              <w:jc w:val="both"/>
              <w:rPr>
                <w:rFonts w:eastAsia="Calibri"/>
                <w:sz w:val="20"/>
              </w:rPr>
            </w:pPr>
            <w:r w:rsidRPr="00A16F83">
              <w:rPr>
                <w:rFonts w:eastAsia="Calibri"/>
                <w:sz w:val="20"/>
              </w:rPr>
              <w:t>(Roy J.)</w:t>
            </w:r>
          </w:p>
          <w:p w:rsidR="0029137F" w:rsidRPr="00A16F83" w:rsidRDefault="0029137F" w:rsidP="004275A1">
            <w:pPr>
              <w:jc w:val="both"/>
              <w:rPr>
                <w:rFonts w:eastAsia="Calibri"/>
                <w:sz w:val="20"/>
              </w:rPr>
            </w:pPr>
          </w:p>
        </w:tc>
        <w:tc>
          <w:tcPr>
            <w:tcW w:w="243" w:type="pct"/>
          </w:tcPr>
          <w:p w:rsidR="0029137F" w:rsidRPr="00A16F83" w:rsidRDefault="0029137F" w:rsidP="004275A1">
            <w:pPr>
              <w:jc w:val="both"/>
              <w:rPr>
                <w:rFonts w:eastAsia="Calibri"/>
                <w:sz w:val="20"/>
              </w:rPr>
            </w:pPr>
          </w:p>
        </w:tc>
        <w:tc>
          <w:tcPr>
            <w:tcW w:w="2330" w:type="pct"/>
          </w:tcPr>
          <w:p w:rsidR="0029137F" w:rsidRPr="00A16F83" w:rsidRDefault="0029137F" w:rsidP="004275A1">
            <w:pPr>
              <w:jc w:val="both"/>
              <w:rPr>
                <w:rFonts w:eastAsia="Calibri"/>
                <w:sz w:val="20"/>
              </w:rPr>
            </w:pPr>
            <w:r w:rsidRPr="00A16F83">
              <w:rPr>
                <w:rFonts w:eastAsia="Calibri"/>
                <w:sz w:val="20"/>
              </w:rPr>
              <w:t>Conviction by jury: first degree murder</w:t>
            </w:r>
          </w:p>
        </w:tc>
      </w:tr>
      <w:tr w:rsidR="0029137F" w:rsidRPr="00A16F83" w:rsidTr="004275A1">
        <w:tc>
          <w:tcPr>
            <w:tcW w:w="2427" w:type="pct"/>
          </w:tcPr>
          <w:p w:rsidR="0029137F" w:rsidRPr="00A16F83" w:rsidRDefault="0029137F" w:rsidP="004275A1">
            <w:pPr>
              <w:jc w:val="both"/>
              <w:rPr>
                <w:rFonts w:eastAsia="Calibri"/>
                <w:sz w:val="20"/>
              </w:rPr>
            </w:pPr>
            <w:r w:rsidRPr="00A16F83">
              <w:rPr>
                <w:rFonts w:eastAsia="Calibri"/>
                <w:sz w:val="20"/>
              </w:rPr>
              <w:t>December 18, 2013</w:t>
            </w:r>
          </w:p>
          <w:p w:rsidR="0029137F" w:rsidRPr="00A16F83" w:rsidRDefault="0029137F" w:rsidP="004275A1">
            <w:pPr>
              <w:jc w:val="both"/>
              <w:rPr>
                <w:rFonts w:eastAsia="Calibri"/>
                <w:sz w:val="20"/>
              </w:rPr>
            </w:pPr>
            <w:r w:rsidRPr="00A16F83">
              <w:rPr>
                <w:rFonts w:eastAsia="Calibri"/>
                <w:sz w:val="20"/>
              </w:rPr>
              <w:t>Court of Appeal for Ontario</w:t>
            </w:r>
          </w:p>
          <w:p w:rsidR="0029137F" w:rsidRPr="00A16F83" w:rsidRDefault="0029137F" w:rsidP="004275A1">
            <w:pPr>
              <w:jc w:val="both"/>
              <w:rPr>
                <w:rFonts w:eastAsia="Calibri"/>
                <w:sz w:val="20"/>
              </w:rPr>
            </w:pPr>
            <w:r w:rsidRPr="00A16F83">
              <w:rPr>
                <w:rFonts w:eastAsia="Calibri"/>
                <w:sz w:val="20"/>
              </w:rPr>
              <w:t>(Doherty, Blair, Watt JJ.A.)</w:t>
            </w:r>
          </w:p>
          <w:p w:rsidR="0029137F" w:rsidRPr="00A16F83" w:rsidRDefault="0029137F" w:rsidP="004275A1">
            <w:pPr>
              <w:jc w:val="both"/>
              <w:rPr>
                <w:rFonts w:eastAsia="Calibri"/>
                <w:sz w:val="20"/>
              </w:rPr>
            </w:pPr>
            <w:r w:rsidRPr="00A16F83">
              <w:rPr>
                <w:rFonts w:eastAsia="Calibri"/>
                <w:sz w:val="20"/>
              </w:rPr>
              <w:t xml:space="preserve">C49143; </w:t>
            </w:r>
            <w:hyperlink r:id="rId40" w:history="1">
              <w:r w:rsidRPr="00A16F83">
                <w:rPr>
                  <w:rFonts w:eastAsia="Calibri"/>
                  <w:color w:val="0000FF"/>
                  <w:sz w:val="20"/>
                  <w:u w:val="single"/>
                </w:rPr>
                <w:t>2013 ONCA 761</w:t>
              </w:r>
            </w:hyperlink>
            <w:r w:rsidRPr="00A16F83">
              <w:rPr>
                <w:rFonts w:eastAsia="Calibri"/>
                <w:sz w:val="20"/>
              </w:rPr>
              <w:t xml:space="preserve"> </w:t>
            </w:r>
          </w:p>
          <w:p w:rsidR="0029137F" w:rsidRPr="00A16F83" w:rsidRDefault="0029137F" w:rsidP="004275A1">
            <w:pPr>
              <w:jc w:val="both"/>
              <w:rPr>
                <w:rFonts w:eastAsia="Calibri"/>
                <w:sz w:val="20"/>
              </w:rPr>
            </w:pPr>
          </w:p>
        </w:tc>
        <w:tc>
          <w:tcPr>
            <w:tcW w:w="243" w:type="pct"/>
          </w:tcPr>
          <w:p w:rsidR="0029137F" w:rsidRPr="00A16F83" w:rsidRDefault="0029137F" w:rsidP="004275A1">
            <w:pPr>
              <w:jc w:val="both"/>
              <w:rPr>
                <w:rFonts w:eastAsia="Calibri"/>
                <w:sz w:val="20"/>
              </w:rPr>
            </w:pPr>
          </w:p>
        </w:tc>
        <w:tc>
          <w:tcPr>
            <w:tcW w:w="2330" w:type="pct"/>
          </w:tcPr>
          <w:p w:rsidR="0029137F" w:rsidRPr="00A16F83" w:rsidRDefault="0029137F" w:rsidP="004275A1">
            <w:pPr>
              <w:jc w:val="both"/>
              <w:rPr>
                <w:rFonts w:eastAsia="Calibri"/>
                <w:sz w:val="20"/>
              </w:rPr>
            </w:pPr>
            <w:r w:rsidRPr="00A16F83">
              <w:rPr>
                <w:rFonts w:eastAsia="Calibri"/>
                <w:sz w:val="20"/>
              </w:rPr>
              <w:t>Appeal dismissed</w:t>
            </w:r>
          </w:p>
        </w:tc>
      </w:tr>
      <w:tr w:rsidR="0029137F" w:rsidRPr="00A16F83" w:rsidTr="004275A1">
        <w:tc>
          <w:tcPr>
            <w:tcW w:w="2427" w:type="pct"/>
          </w:tcPr>
          <w:p w:rsidR="0029137F" w:rsidRPr="00A16F83" w:rsidRDefault="0029137F" w:rsidP="004275A1">
            <w:pPr>
              <w:jc w:val="both"/>
              <w:rPr>
                <w:rFonts w:eastAsia="Calibri"/>
                <w:sz w:val="20"/>
              </w:rPr>
            </w:pPr>
            <w:r w:rsidRPr="00A16F83">
              <w:rPr>
                <w:rFonts w:eastAsia="Calibri"/>
                <w:sz w:val="20"/>
              </w:rPr>
              <w:t>July 8, 2014</w:t>
            </w:r>
          </w:p>
          <w:p w:rsidR="0029137F" w:rsidRPr="00A16F83" w:rsidRDefault="0029137F" w:rsidP="004275A1">
            <w:pPr>
              <w:jc w:val="both"/>
              <w:rPr>
                <w:rFonts w:eastAsia="Calibri"/>
                <w:sz w:val="20"/>
              </w:rPr>
            </w:pPr>
            <w:r w:rsidRPr="00A16F83">
              <w:rPr>
                <w:rFonts w:eastAsia="Calibri"/>
                <w:sz w:val="20"/>
              </w:rPr>
              <w:t>Supreme Court of Canada</w:t>
            </w:r>
          </w:p>
        </w:tc>
        <w:tc>
          <w:tcPr>
            <w:tcW w:w="243" w:type="pct"/>
          </w:tcPr>
          <w:p w:rsidR="0029137F" w:rsidRPr="00A16F83" w:rsidRDefault="0029137F" w:rsidP="004275A1">
            <w:pPr>
              <w:jc w:val="both"/>
              <w:rPr>
                <w:rFonts w:eastAsia="Calibri"/>
                <w:sz w:val="20"/>
              </w:rPr>
            </w:pPr>
          </w:p>
        </w:tc>
        <w:tc>
          <w:tcPr>
            <w:tcW w:w="2330" w:type="pct"/>
          </w:tcPr>
          <w:p w:rsidR="0029137F" w:rsidRPr="00A16F83" w:rsidRDefault="0029137F" w:rsidP="004275A1">
            <w:pPr>
              <w:jc w:val="both"/>
              <w:rPr>
                <w:rFonts w:eastAsia="Calibri"/>
                <w:sz w:val="20"/>
              </w:rPr>
            </w:pPr>
            <w:r w:rsidRPr="00A16F83">
              <w:rPr>
                <w:rFonts w:eastAsia="Calibri"/>
                <w:sz w:val="20"/>
              </w:rPr>
              <w:t>Application for extension of time to serve and file application for leave to appeal filed; Application for leave to appeal filed</w:t>
            </w:r>
          </w:p>
        </w:tc>
      </w:tr>
    </w:tbl>
    <w:p w:rsidR="00915D6A" w:rsidRDefault="00915D6A" w:rsidP="00915D6A">
      <w:pPr>
        <w:rPr>
          <w:sz w:val="20"/>
          <w:szCs w:val="20"/>
        </w:rPr>
      </w:pPr>
    </w:p>
    <w:p w:rsidR="00915D6A" w:rsidRPr="00C50A5C" w:rsidRDefault="00690162" w:rsidP="00915D6A">
      <w:pPr>
        <w:rPr>
          <w:sz w:val="20"/>
          <w:szCs w:val="20"/>
        </w:rPr>
      </w:pPr>
      <w:r>
        <w:rPr>
          <w:sz w:val="20"/>
          <w:szCs w:val="20"/>
          <w:lang w:val="fr-CA"/>
        </w:rPr>
        <w:pict>
          <v:rect id="_x0000_i1052" style="width:2in;height:1pt" o:hrpct="0" o:hralign="center" o:hrstd="t" o:hrnoshade="t" o:hr="t" fillcolor="black [3213]" stroked="f"/>
        </w:pict>
      </w:r>
    </w:p>
    <w:p w:rsidR="00915D6A" w:rsidRDefault="00915D6A" w:rsidP="00915D6A">
      <w:pPr>
        <w:rPr>
          <w:sz w:val="20"/>
          <w:szCs w:val="20"/>
        </w:rPr>
      </w:pPr>
    </w:p>
    <w:p w:rsidR="00915D6A" w:rsidRPr="001B157C" w:rsidRDefault="00915D6A" w:rsidP="00915D6A">
      <w:pPr>
        <w:rPr>
          <w:sz w:val="20"/>
          <w:szCs w:val="20"/>
          <w:u w:val="single"/>
          <w:lang w:val="fr-CA"/>
        </w:rPr>
      </w:pPr>
      <w:r w:rsidRPr="001B157C">
        <w:rPr>
          <w:sz w:val="20"/>
          <w:szCs w:val="20"/>
          <w:u w:val="single"/>
          <w:lang w:val="fr-CA"/>
        </w:rPr>
        <w:t>RÉSUMÉ DE L’AFFAIRE</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9137F" w:rsidRPr="00690162" w:rsidTr="004275A1">
        <w:tc>
          <w:tcPr>
            <w:tcW w:w="5000" w:type="pct"/>
            <w:gridSpan w:val="3"/>
          </w:tcPr>
          <w:p w:rsidR="0029137F" w:rsidRPr="00A16F83" w:rsidRDefault="0029137F" w:rsidP="004275A1">
            <w:pPr>
              <w:jc w:val="both"/>
              <w:rPr>
                <w:rFonts w:eastAsia="Calibri"/>
                <w:sz w:val="20"/>
                <w:lang w:val="fr-CA"/>
              </w:rPr>
            </w:pPr>
            <w:r w:rsidRPr="00A16F83">
              <w:rPr>
                <w:rFonts w:eastAsia="Calibri"/>
                <w:sz w:val="20"/>
                <w:lang w:val="fr-CA"/>
              </w:rPr>
              <w:t>Droit criminel – Exposé au jury – Meurtre au premier degré – La Cour d’appel de l’Ontario a-t-elle eu tort de conclure que la déclaration de culpabilité du demandeur ne pouvait pas avoir été viciée par des directives fautives dans l’exposé au jury, ce qui laissait ouvertes des voies vers une déclaration de culpabilité moins onéreuses et mal fondées en droit?</w:t>
            </w:r>
          </w:p>
        </w:tc>
      </w:tr>
      <w:tr w:rsidR="0029137F" w:rsidRPr="00690162" w:rsidTr="004275A1">
        <w:tc>
          <w:tcPr>
            <w:tcW w:w="5000" w:type="pct"/>
            <w:gridSpan w:val="3"/>
          </w:tcPr>
          <w:p w:rsidR="0029137F" w:rsidRPr="00A16F83" w:rsidRDefault="0029137F" w:rsidP="004275A1">
            <w:pPr>
              <w:jc w:val="both"/>
              <w:rPr>
                <w:rFonts w:eastAsia="Calibri"/>
                <w:sz w:val="20"/>
                <w:lang w:val="fr-CA"/>
              </w:rPr>
            </w:pPr>
          </w:p>
        </w:tc>
      </w:tr>
      <w:tr w:rsidR="0029137F" w:rsidRPr="00690162" w:rsidTr="004275A1">
        <w:tc>
          <w:tcPr>
            <w:tcW w:w="5000" w:type="pct"/>
            <w:gridSpan w:val="3"/>
          </w:tcPr>
          <w:p w:rsidR="0029137F" w:rsidRPr="00A16F83" w:rsidRDefault="0029137F" w:rsidP="004275A1">
            <w:pPr>
              <w:jc w:val="both"/>
              <w:rPr>
                <w:rFonts w:eastAsia="Calibri"/>
                <w:sz w:val="20"/>
                <w:lang w:val="fr-CA"/>
              </w:rPr>
            </w:pPr>
            <w:r w:rsidRPr="00A16F83">
              <w:rPr>
                <w:rFonts w:eastAsia="Calibri"/>
                <w:sz w:val="20"/>
                <w:lang w:val="fr-CA"/>
              </w:rPr>
              <w:t>Monsieur Hassan, un trafiquant de drogue, a été attiré vers un endroit isolé non loin d’Ottawa et tué par balles.  Le ministère public allègue qu’il a été assassiné pour avoir tenté de court-circuiter son fournisseur de cocaïne, M. Saleh, et de traiter directement avec le fournisseur de ce dernier.  Selon la thèse du ministère public, M. Saleh avait fait appel à M. Esrabian, trafiquant de drogue lui aussi, et à Mark Yegin pour l’aider.  Le ministère public a plaidé que les trois hommes, ensemble, avaient attiré M. Hassan vers les lieux du meurtre.  La preuve était contradictoire sur la question de savoir qui avait tiré les coups fatals, mais d’après la thèse du ministère public, cela n’avait aucune importance, puisque, selon lui, M. Esrabian était coupable de meurtre au premier degré soit parce qu’il était le tireur, soit parce qu’il avait participé à la préméditation, au propos délibéré et au meurtre de M. Hassan.  Monsieur Esrabian a reconnu qu’il s’était rendu en voiture avec M. Saleh aux lieux du meurtre pour y rencontrer M. Hassan, mais d’après son témoignage, il n’avait prévu commettre que des voies de fait.  Dans son témoignage, il a affirmé que M. Yegin avait abattu M. Hassan contre toute attente.  Un jury a déclaré M. Esrabian coupable de meurtre au premier degré.</w:t>
            </w:r>
          </w:p>
          <w:p w:rsidR="0029137F" w:rsidRPr="00A16F83" w:rsidRDefault="0029137F" w:rsidP="004275A1">
            <w:pPr>
              <w:jc w:val="both"/>
              <w:rPr>
                <w:rFonts w:eastAsia="Calibri"/>
                <w:sz w:val="20"/>
                <w:lang w:val="fr-CA"/>
              </w:rPr>
            </w:pPr>
          </w:p>
        </w:tc>
      </w:tr>
      <w:tr w:rsidR="0029137F" w:rsidRPr="00690162" w:rsidTr="004275A1">
        <w:tc>
          <w:tcPr>
            <w:tcW w:w="2427" w:type="pct"/>
          </w:tcPr>
          <w:p w:rsidR="0029137F" w:rsidRPr="00A16F83" w:rsidRDefault="0029137F" w:rsidP="004275A1">
            <w:pPr>
              <w:jc w:val="both"/>
              <w:rPr>
                <w:rFonts w:eastAsia="Calibri"/>
                <w:sz w:val="20"/>
                <w:lang w:val="fr-CA"/>
              </w:rPr>
            </w:pPr>
            <w:r w:rsidRPr="00A16F83">
              <w:rPr>
                <w:rFonts w:eastAsia="Calibri"/>
                <w:sz w:val="20"/>
                <w:lang w:val="fr-CA"/>
              </w:rPr>
              <w:t>21 juin 2008</w:t>
            </w:r>
          </w:p>
          <w:p w:rsidR="0029137F" w:rsidRPr="00A16F83" w:rsidRDefault="0029137F" w:rsidP="004275A1">
            <w:pPr>
              <w:jc w:val="both"/>
              <w:rPr>
                <w:rFonts w:eastAsia="Calibri"/>
                <w:sz w:val="20"/>
                <w:lang w:val="fr-CA"/>
              </w:rPr>
            </w:pPr>
            <w:r w:rsidRPr="00A16F83">
              <w:rPr>
                <w:rFonts w:eastAsia="Calibri"/>
                <w:sz w:val="20"/>
                <w:lang w:val="fr-CA"/>
              </w:rPr>
              <w:t>Cour supérieure de justice de l’Ontario</w:t>
            </w:r>
          </w:p>
          <w:p w:rsidR="0029137F" w:rsidRPr="00A16F83" w:rsidRDefault="0029137F" w:rsidP="004275A1">
            <w:pPr>
              <w:jc w:val="both"/>
              <w:rPr>
                <w:rFonts w:eastAsia="Calibri"/>
                <w:sz w:val="20"/>
                <w:lang w:val="fr-CA"/>
              </w:rPr>
            </w:pPr>
            <w:r w:rsidRPr="00A16F83">
              <w:rPr>
                <w:rFonts w:eastAsia="Calibri"/>
                <w:sz w:val="20"/>
                <w:lang w:val="fr-CA"/>
              </w:rPr>
              <w:t>(Juge Roy)</w:t>
            </w:r>
          </w:p>
          <w:p w:rsidR="0029137F" w:rsidRPr="00A16F83" w:rsidRDefault="0029137F" w:rsidP="004275A1">
            <w:pPr>
              <w:jc w:val="both"/>
              <w:rPr>
                <w:rFonts w:eastAsia="Calibri"/>
                <w:sz w:val="20"/>
                <w:lang w:val="fr-CA"/>
              </w:rPr>
            </w:pPr>
          </w:p>
        </w:tc>
        <w:tc>
          <w:tcPr>
            <w:tcW w:w="243" w:type="pct"/>
          </w:tcPr>
          <w:p w:rsidR="0029137F" w:rsidRPr="00A16F83" w:rsidRDefault="0029137F" w:rsidP="004275A1">
            <w:pPr>
              <w:jc w:val="both"/>
              <w:rPr>
                <w:rFonts w:eastAsia="Calibri"/>
                <w:sz w:val="20"/>
                <w:lang w:val="fr-CA"/>
              </w:rPr>
            </w:pPr>
          </w:p>
        </w:tc>
        <w:tc>
          <w:tcPr>
            <w:tcW w:w="2330" w:type="pct"/>
          </w:tcPr>
          <w:p w:rsidR="0029137F" w:rsidRPr="00A16F83" w:rsidRDefault="0029137F" w:rsidP="004275A1">
            <w:pPr>
              <w:jc w:val="both"/>
              <w:rPr>
                <w:rFonts w:eastAsia="Calibri"/>
                <w:sz w:val="20"/>
                <w:lang w:val="fr-CA"/>
              </w:rPr>
            </w:pPr>
            <w:r w:rsidRPr="00A16F83">
              <w:rPr>
                <w:rFonts w:eastAsia="Calibri"/>
                <w:sz w:val="20"/>
                <w:lang w:val="fr-CA"/>
              </w:rPr>
              <w:t>Déclaration de culpabilité par un jury : meurtre au premier degré</w:t>
            </w:r>
          </w:p>
        </w:tc>
      </w:tr>
      <w:tr w:rsidR="0029137F" w:rsidRPr="00A16F83" w:rsidTr="004275A1">
        <w:tc>
          <w:tcPr>
            <w:tcW w:w="2427" w:type="pct"/>
          </w:tcPr>
          <w:p w:rsidR="0029137F" w:rsidRPr="00A16F83" w:rsidRDefault="0029137F" w:rsidP="004275A1">
            <w:pPr>
              <w:jc w:val="both"/>
              <w:rPr>
                <w:rFonts w:eastAsia="Calibri"/>
                <w:sz w:val="20"/>
                <w:lang w:val="fr-CA"/>
              </w:rPr>
            </w:pPr>
            <w:r w:rsidRPr="00A16F83">
              <w:rPr>
                <w:rFonts w:eastAsia="Calibri"/>
                <w:sz w:val="20"/>
                <w:lang w:val="fr-CA"/>
              </w:rPr>
              <w:t>18 décembre 2013</w:t>
            </w:r>
          </w:p>
          <w:p w:rsidR="0029137F" w:rsidRPr="00A16F83" w:rsidRDefault="0029137F" w:rsidP="004275A1">
            <w:pPr>
              <w:jc w:val="both"/>
              <w:rPr>
                <w:rFonts w:eastAsia="Calibri"/>
                <w:sz w:val="20"/>
                <w:lang w:val="fr-CA"/>
              </w:rPr>
            </w:pPr>
            <w:r w:rsidRPr="00A16F83">
              <w:rPr>
                <w:rFonts w:eastAsia="Calibri"/>
                <w:sz w:val="20"/>
                <w:lang w:val="fr-CA"/>
              </w:rPr>
              <w:t>Cour d’appel de l’Ontario</w:t>
            </w:r>
          </w:p>
          <w:p w:rsidR="0029137F" w:rsidRPr="00A16F83" w:rsidRDefault="0029137F" w:rsidP="004275A1">
            <w:pPr>
              <w:jc w:val="both"/>
              <w:rPr>
                <w:rFonts w:eastAsia="Calibri"/>
                <w:sz w:val="20"/>
                <w:lang w:val="fr-CA"/>
              </w:rPr>
            </w:pPr>
            <w:r w:rsidRPr="00A16F83">
              <w:rPr>
                <w:rFonts w:eastAsia="Calibri"/>
                <w:sz w:val="20"/>
                <w:lang w:val="fr-CA"/>
              </w:rPr>
              <w:t>(Juges Doherty, Blair et Watt)</w:t>
            </w:r>
          </w:p>
          <w:p w:rsidR="0029137F" w:rsidRPr="00A16F83" w:rsidRDefault="0029137F" w:rsidP="004275A1">
            <w:pPr>
              <w:jc w:val="both"/>
              <w:rPr>
                <w:rFonts w:eastAsia="Calibri"/>
                <w:sz w:val="20"/>
                <w:lang w:val="fr-CA"/>
              </w:rPr>
            </w:pPr>
            <w:r w:rsidRPr="00A16F83">
              <w:rPr>
                <w:rFonts w:eastAsia="Calibri"/>
                <w:sz w:val="20"/>
                <w:lang w:val="fr-CA"/>
              </w:rPr>
              <w:t xml:space="preserve">C49143; </w:t>
            </w:r>
            <w:hyperlink r:id="rId41" w:history="1">
              <w:r w:rsidRPr="00A16F83">
                <w:rPr>
                  <w:rFonts w:eastAsia="Calibri"/>
                  <w:color w:val="0000FF"/>
                  <w:sz w:val="20"/>
                  <w:u w:val="single"/>
                  <w:lang w:val="fr-CA"/>
                </w:rPr>
                <w:t>2013 ONCA 761</w:t>
              </w:r>
            </w:hyperlink>
            <w:r w:rsidRPr="00A16F83">
              <w:rPr>
                <w:rFonts w:eastAsia="Calibri"/>
                <w:sz w:val="20"/>
                <w:lang w:val="fr-CA"/>
              </w:rPr>
              <w:t xml:space="preserve"> </w:t>
            </w:r>
          </w:p>
          <w:p w:rsidR="0029137F" w:rsidRPr="00A16F83" w:rsidRDefault="0029137F" w:rsidP="004275A1">
            <w:pPr>
              <w:jc w:val="both"/>
              <w:rPr>
                <w:rFonts w:eastAsia="Calibri"/>
                <w:sz w:val="20"/>
                <w:lang w:val="fr-CA"/>
              </w:rPr>
            </w:pPr>
          </w:p>
        </w:tc>
        <w:tc>
          <w:tcPr>
            <w:tcW w:w="243" w:type="pct"/>
          </w:tcPr>
          <w:p w:rsidR="0029137F" w:rsidRPr="00A16F83" w:rsidRDefault="0029137F" w:rsidP="004275A1">
            <w:pPr>
              <w:jc w:val="both"/>
              <w:rPr>
                <w:rFonts w:eastAsia="Calibri"/>
                <w:sz w:val="20"/>
                <w:lang w:val="fr-CA"/>
              </w:rPr>
            </w:pPr>
          </w:p>
        </w:tc>
        <w:tc>
          <w:tcPr>
            <w:tcW w:w="2330" w:type="pct"/>
          </w:tcPr>
          <w:p w:rsidR="0029137F" w:rsidRPr="00A16F83" w:rsidRDefault="0029137F" w:rsidP="004275A1">
            <w:pPr>
              <w:jc w:val="both"/>
              <w:rPr>
                <w:rFonts w:eastAsia="Calibri"/>
                <w:sz w:val="20"/>
                <w:lang w:val="fr-CA"/>
              </w:rPr>
            </w:pPr>
            <w:r w:rsidRPr="00A16F83">
              <w:rPr>
                <w:rFonts w:eastAsia="Calibri"/>
                <w:sz w:val="20"/>
                <w:lang w:val="fr-CA"/>
              </w:rPr>
              <w:t>Appel rejeté</w:t>
            </w:r>
          </w:p>
        </w:tc>
      </w:tr>
      <w:tr w:rsidR="0029137F" w:rsidRPr="00690162" w:rsidTr="004275A1">
        <w:tc>
          <w:tcPr>
            <w:tcW w:w="2427" w:type="pct"/>
          </w:tcPr>
          <w:p w:rsidR="0029137F" w:rsidRPr="00A16F83" w:rsidRDefault="0029137F" w:rsidP="004275A1">
            <w:pPr>
              <w:jc w:val="both"/>
              <w:rPr>
                <w:rFonts w:eastAsia="Calibri"/>
                <w:sz w:val="20"/>
                <w:lang w:val="fr-CA"/>
              </w:rPr>
            </w:pPr>
            <w:r w:rsidRPr="00A16F83">
              <w:rPr>
                <w:rFonts w:eastAsia="Calibri"/>
                <w:sz w:val="20"/>
                <w:lang w:val="fr-CA"/>
              </w:rPr>
              <w:t>8 juillet 2014</w:t>
            </w:r>
          </w:p>
          <w:p w:rsidR="0029137F" w:rsidRPr="00A16F83" w:rsidRDefault="0029137F" w:rsidP="004275A1">
            <w:pPr>
              <w:jc w:val="both"/>
              <w:rPr>
                <w:rFonts w:eastAsia="Calibri"/>
                <w:sz w:val="20"/>
                <w:lang w:val="fr-CA"/>
              </w:rPr>
            </w:pPr>
            <w:r w:rsidRPr="00A16F83">
              <w:rPr>
                <w:rFonts w:eastAsia="Calibri"/>
                <w:sz w:val="20"/>
                <w:lang w:val="fr-CA"/>
              </w:rPr>
              <w:t>Cour suprême du Canada</w:t>
            </w:r>
          </w:p>
        </w:tc>
        <w:tc>
          <w:tcPr>
            <w:tcW w:w="243" w:type="pct"/>
          </w:tcPr>
          <w:p w:rsidR="0029137F" w:rsidRPr="00A16F83" w:rsidRDefault="0029137F" w:rsidP="004275A1">
            <w:pPr>
              <w:jc w:val="both"/>
              <w:rPr>
                <w:rFonts w:eastAsia="Calibri"/>
                <w:sz w:val="20"/>
                <w:lang w:val="fr-CA"/>
              </w:rPr>
            </w:pPr>
          </w:p>
        </w:tc>
        <w:tc>
          <w:tcPr>
            <w:tcW w:w="2330" w:type="pct"/>
          </w:tcPr>
          <w:p w:rsidR="0029137F" w:rsidRPr="00A16F83" w:rsidRDefault="0029137F" w:rsidP="004275A1">
            <w:pPr>
              <w:jc w:val="both"/>
              <w:rPr>
                <w:rFonts w:eastAsia="Calibri"/>
                <w:sz w:val="20"/>
                <w:lang w:val="fr-CA"/>
              </w:rPr>
            </w:pPr>
            <w:r w:rsidRPr="00A16F83">
              <w:rPr>
                <w:rFonts w:eastAsia="Calibri"/>
                <w:sz w:val="20"/>
                <w:lang w:val="fr-CA"/>
              </w:rPr>
              <w:t>Demande de prorogation du délai de signification et de dépôt de la demande d’autorisation d’appel, déposée; demande d’autorisation d’appel, déposée</w:t>
            </w:r>
          </w:p>
        </w:tc>
      </w:tr>
    </w:tbl>
    <w:p w:rsidR="00915D6A" w:rsidRPr="0029137F" w:rsidRDefault="00915D6A" w:rsidP="00915D6A">
      <w:pPr>
        <w:rPr>
          <w:sz w:val="20"/>
          <w:szCs w:val="20"/>
          <w:lang w:val="fr-CA"/>
        </w:rPr>
      </w:pPr>
    </w:p>
    <w:p w:rsidR="00915D6A" w:rsidRDefault="00690162" w:rsidP="00915D6A">
      <w:pPr>
        <w:rPr>
          <w:sz w:val="20"/>
          <w:szCs w:val="20"/>
        </w:rPr>
      </w:pPr>
      <w:r>
        <w:rPr>
          <w:sz w:val="20"/>
          <w:szCs w:val="20"/>
          <w:lang w:val="fr-CA"/>
        </w:rPr>
        <w:pict>
          <v:rect id="_x0000_i1053" style="width:2in;height:1pt" o:hrpct="0" o:hralign="center" o:hrstd="t" o:hrnoshade="t" o:hr="t" fillcolor="black [3213]" stroked="f"/>
        </w:pict>
      </w:r>
    </w:p>
    <w:p w:rsidR="00915D6A" w:rsidRDefault="00915D6A" w:rsidP="00915D6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B1FB0" w:rsidRPr="00186B1A" w:rsidTr="00650BC1">
        <w:trPr>
          <w:cantSplit/>
        </w:trPr>
        <w:tc>
          <w:tcPr>
            <w:tcW w:w="1458" w:type="dxa"/>
          </w:tcPr>
          <w:p w:rsidR="006B1FB0" w:rsidRPr="00186B1A" w:rsidRDefault="006B1FB0" w:rsidP="00650BC1">
            <w:pPr>
              <w:rPr>
                <w:sz w:val="20"/>
                <w:szCs w:val="20"/>
              </w:rPr>
            </w:pPr>
            <w:r w:rsidRPr="00186B1A">
              <w:rPr>
                <w:rStyle w:val="SCCFileNumberChar"/>
                <w:sz w:val="20"/>
                <w:szCs w:val="20"/>
              </w:rPr>
              <w:t>35970</w:t>
            </w:r>
          </w:p>
          <w:p w:rsidR="006B1FB0" w:rsidRPr="00186B1A" w:rsidRDefault="006B1FB0" w:rsidP="00650BC1">
            <w:pPr>
              <w:rPr>
                <w:b/>
                <w:sz w:val="20"/>
                <w:szCs w:val="20"/>
                <w:lang w:val="fr-CA"/>
              </w:rPr>
            </w:pPr>
          </w:p>
        </w:tc>
        <w:tc>
          <w:tcPr>
            <w:tcW w:w="8118" w:type="dxa"/>
          </w:tcPr>
          <w:p w:rsidR="006B1FB0" w:rsidRPr="00186B1A" w:rsidRDefault="006B1FB0" w:rsidP="00650BC1">
            <w:pPr>
              <w:rPr>
                <w:sz w:val="20"/>
                <w:szCs w:val="20"/>
              </w:rPr>
            </w:pPr>
            <w:r w:rsidRPr="006B1FB0">
              <w:rPr>
                <w:rStyle w:val="SCCLsocChar"/>
                <w:sz w:val="20"/>
                <w:szCs w:val="20"/>
                <w:lang w:val="en-CA"/>
              </w:rPr>
              <w:t>Diana Vacca v. Golfnorth Properties Inc.</w:t>
            </w:r>
            <w:r w:rsidRPr="00186B1A">
              <w:rPr>
                <w:sz w:val="20"/>
                <w:szCs w:val="20"/>
              </w:rPr>
              <w:t xml:space="preserve"> (Ont.) (Civil) (By Leave)</w:t>
            </w:r>
          </w:p>
          <w:p w:rsidR="006B1FB0" w:rsidRPr="00186B1A" w:rsidRDefault="006B1FB0" w:rsidP="00650BC1">
            <w:pPr>
              <w:rPr>
                <w:sz w:val="20"/>
                <w:szCs w:val="20"/>
              </w:rPr>
            </w:pPr>
          </w:p>
        </w:tc>
      </w:tr>
      <w:tr w:rsidR="006B1FB0" w:rsidRPr="00186B1A" w:rsidTr="00650BC1">
        <w:trPr>
          <w:cantSplit/>
        </w:trPr>
        <w:tc>
          <w:tcPr>
            <w:tcW w:w="1458" w:type="dxa"/>
          </w:tcPr>
          <w:p w:rsidR="006B1FB0" w:rsidRPr="00186B1A" w:rsidRDefault="006B1FB0" w:rsidP="00650BC1">
            <w:pPr>
              <w:rPr>
                <w:sz w:val="20"/>
                <w:szCs w:val="20"/>
              </w:rPr>
            </w:pPr>
            <w:r w:rsidRPr="00186B1A">
              <w:rPr>
                <w:sz w:val="20"/>
                <w:szCs w:val="20"/>
              </w:rPr>
              <w:t>Coram :</w:t>
            </w:r>
          </w:p>
        </w:tc>
        <w:tc>
          <w:tcPr>
            <w:tcW w:w="8118" w:type="dxa"/>
          </w:tcPr>
          <w:p w:rsidR="006B1FB0" w:rsidRPr="00186B1A" w:rsidRDefault="006B1FB0" w:rsidP="00650BC1">
            <w:pPr>
              <w:rPr>
                <w:sz w:val="20"/>
                <w:szCs w:val="20"/>
              </w:rPr>
            </w:pPr>
            <w:r w:rsidRPr="006B1FB0">
              <w:rPr>
                <w:rStyle w:val="SCCCoramChar"/>
                <w:sz w:val="20"/>
                <w:szCs w:val="20"/>
                <w:lang w:val="en-CA"/>
              </w:rPr>
              <w:t>Abella, Rothstein and Moldaver JJ.</w:t>
            </w:r>
          </w:p>
          <w:p w:rsidR="006B1FB0" w:rsidRPr="00186B1A" w:rsidRDefault="006B1FB0" w:rsidP="00650BC1">
            <w:pPr>
              <w:rPr>
                <w:sz w:val="20"/>
                <w:szCs w:val="20"/>
                <w:u w:val="single"/>
              </w:rPr>
            </w:pPr>
          </w:p>
        </w:tc>
      </w:tr>
      <w:tr w:rsidR="006B1FB0" w:rsidRPr="00690162" w:rsidTr="00650BC1">
        <w:trPr>
          <w:cantSplit/>
        </w:trPr>
        <w:tc>
          <w:tcPr>
            <w:tcW w:w="9576" w:type="dxa"/>
            <w:gridSpan w:val="2"/>
          </w:tcPr>
          <w:p w:rsidR="006B1FB0" w:rsidRPr="00186B1A" w:rsidRDefault="006B1FB0" w:rsidP="00650BC1">
            <w:pPr>
              <w:pStyle w:val="SCCShortJudgment"/>
              <w:rPr>
                <w:szCs w:val="20"/>
              </w:rPr>
            </w:pPr>
            <w:r w:rsidRPr="00186B1A">
              <w:rPr>
                <w:szCs w:val="20"/>
              </w:rPr>
              <w:t>The motion for a stay of execution is dismissed. The application for leave to appeal from the judgment of the Court of Appeal for Ontario, Number C57642, 2014 ONCA 382, dated May 1, 2014, is dismissed with costs.</w:t>
            </w:r>
          </w:p>
          <w:p w:rsidR="006B1FB0" w:rsidRPr="00186B1A" w:rsidRDefault="006B1FB0" w:rsidP="00650BC1">
            <w:pPr>
              <w:pStyle w:val="SCCShortJudgment"/>
              <w:ind w:firstLine="0"/>
              <w:rPr>
                <w:szCs w:val="20"/>
              </w:rPr>
            </w:pPr>
          </w:p>
          <w:p w:rsidR="006B1FB0" w:rsidRPr="00186B1A" w:rsidRDefault="006B1FB0" w:rsidP="00650BC1">
            <w:pPr>
              <w:pStyle w:val="SCCShortJudgment"/>
              <w:rPr>
                <w:szCs w:val="20"/>
                <w:lang w:val="fr-CA"/>
              </w:rPr>
            </w:pPr>
            <w:r w:rsidRPr="00186B1A">
              <w:rPr>
                <w:szCs w:val="20"/>
                <w:lang w:val="fr-CA"/>
              </w:rPr>
              <w:t>La requête en sursis d’exécution est rejetée. La demande d’autorisation d’appel de l’arrêt de la Cour d’appel de l’Ontario, numéro C57642, 2014 ONCA 382, daté du 1</w:t>
            </w:r>
            <w:r w:rsidRPr="00BE316E">
              <w:rPr>
                <w:szCs w:val="20"/>
                <w:vertAlign w:val="superscript"/>
                <w:lang w:val="fr-CA"/>
              </w:rPr>
              <w:t xml:space="preserve">er </w:t>
            </w:r>
            <w:r w:rsidRPr="00186B1A">
              <w:rPr>
                <w:szCs w:val="20"/>
                <w:lang w:val="fr-CA"/>
              </w:rPr>
              <w:t>mai 2014, est rejetée avec dépens.</w:t>
            </w:r>
          </w:p>
        </w:tc>
      </w:tr>
    </w:tbl>
    <w:p w:rsidR="00915D6A" w:rsidRPr="0016547E" w:rsidRDefault="00915D6A" w:rsidP="00915D6A">
      <w:pPr>
        <w:rPr>
          <w:sz w:val="20"/>
          <w:szCs w:val="20"/>
          <w:lang w:val="fr-CA"/>
        </w:rPr>
      </w:pPr>
    </w:p>
    <w:p w:rsidR="00915D6A" w:rsidRPr="001B157C" w:rsidRDefault="00915D6A" w:rsidP="00915D6A">
      <w:pPr>
        <w:rPr>
          <w:sz w:val="20"/>
          <w:szCs w:val="20"/>
          <w:u w:val="single"/>
        </w:rPr>
      </w:pPr>
      <w:r w:rsidRPr="001B157C">
        <w:rPr>
          <w:sz w:val="20"/>
          <w:szCs w:val="20"/>
          <w:u w:val="single"/>
        </w:rPr>
        <w:t>CASE SUMMARY</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9137F" w:rsidRPr="00A16F83" w:rsidTr="004275A1">
        <w:tc>
          <w:tcPr>
            <w:tcW w:w="5000" w:type="pct"/>
            <w:gridSpan w:val="3"/>
          </w:tcPr>
          <w:p w:rsidR="0029137F" w:rsidRPr="00A16F83" w:rsidRDefault="0029137F" w:rsidP="004275A1">
            <w:pPr>
              <w:jc w:val="both"/>
              <w:rPr>
                <w:rFonts w:eastAsia="Calibri"/>
                <w:sz w:val="20"/>
              </w:rPr>
            </w:pPr>
            <w:r w:rsidRPr="00A16F83">
              <w:rPr>
                <w:rFonts w:eastAsia="Calibri"/>
                <w:sz w:val="20"/>
              </w:rPr>
              <w:t>Contracts — Interpretation — Vendor take-back mortgage agreement — Vendor exercising option to repurchase property “for $1,200,000 free of liens and encumbrances with the exception of the Mortgage” — Whether lower courts misconstrued the contractual clause — Whether trial judge should have found that Golf North breached its duty to act in good faith.</w:t>
            </w:r>
          </w:p>
        </w:tc>
      </w:tr>
      <w:tr w:rsidR="0029137F" w:rsidRPr="00A16F83" w:rsidTr="004275A1">
        <w:tc>
          <w:tcPr>
            <w:tcW w:w="5000" w:type="pct"/>
            <w:gridSpan w:val="3"/>
          </w:tcPr>
          <w:p w:rsidR="0029137F" w:rsidRPr="00A16F83" w:rsidRDefault="0029137F" w:rsidP="004275A1">
            <w:pPr>
              <w:jc w:val="both"/>
              <w:rPr>
                <w:rFonts w:eastAsia="Calibri"/>
                <w:sz w:val="20"/>
              </w:rPr>
            </w:pPr>
          </w:p>
        </w:tc>
      </w:tr>
      <w:tr w:rsidR="0029137F" w:rsidRPr="00A16F83" w:rsidTr="004275A1">
        <w:tc>
          <w:tcPr>
            <w:tcW w:w="5000" w:type="pct"/>
            <w:gridSpan w:val="3"/>
          </w:tcPr>
          <w:p w:rsidR="0029137F" w:rsidRPr="00A16F83" w:rsidRDefault="0029137F" w:rsidP="004275A1">
            <w:pPr>
              <w:jc w:val="both"/>
              <w:rPr>
                <w:rFonts w:eastAsia="Calibri"/>
                <w:sz w:val="20"/>
              </w:rPr>
            </w:pPr>
            <w:r w:rsidRPr="00A16F83">
              <w:rPr>
                <w:rFonts w:eastAsia="Calibri"/>
                <w:sz w:val="20"/>
              </w:rPr>
              <w:t xml:space="preserve">In 2006, Ms. Vacca and her father owned land neighbouring a golf course belonging to Golf North Properties Inc.  Golf North agreed to purchase the Vaccas’ land for $1,600,000, $800,000 of which was paid in cash.  The Vaccas then took back a mortgage for the remaining $800,000.  It was agreed that Golf North had five years to obtain golf course zoning, failing which it was to notify the Vaccas.  At that point, Golf North could choose to pay out the mortgage in full, otherwise the Vaccas would have the option to repurchase the property “for $1,200,000 free of liens and encumbrances with the exception of the Mortgage.” The agreement also included the following statement: </w:t>
            </w:r>
          </w:p>
          <w:p w:rsidR="0029137F" w:rsidRPr="00A16F83" w:rsidRDefault="0029137F" w:rsidP="004275A1">
            <w:pPr>
              <w:jc w:val="both"/>
              <w:rPr>
                <w:rFonts w:eastAsia="Calibri"/>
                <w:sz w:val="20"/>
              </w:rPr>
            </w:pPr>
          </w:p>
          <w:p w:rsidR="0029137F" w:rsidRPr="00A16F83" w:rsidRDefault="0029137F" w:rsidP="004275A1">
            <w:pPr>
              <w:ind w:left="720" w:right="720"/>
              <w:jc w:val="both"/>
              <w:rPr>
                <w:sz w:val="20"/>
                <w:lang w:eastAsia="en-CA"/>
              </w:rPr>
            </w:pPr>
            <w:r w:rsidRPr="00A16F83">
              <w:rPr>
                <w:sz w:val="20"/>
                <w:lang w:eastAsia="en-CA"/>
              </w:rPr>
              <w:t>For greater clarity and in conjunction with the Option described above, the Mortgagee [the Vaccas] shall upon exercising the Option, purchase the Property by paying to the Mortgagor [Golf North] the sum of $1,200,000.00 whereupon the Mortgagor shall be deemed to have satisfied the Mortgage in full.</w:t>
            </w:r>
          </w:p>
          <w:p w:rsidR="0029137F" w:rsidRPr="00A16F83" w:rsidRDefault="0029137F" w:rsidP="004275A1">
            <w:pPr>
              <w:jc w:val="both"/>
              <w:rPr>
                <w:rFonts w:eastAsia="Calibri"/>
                <w:sz w:val="20"/>
              </w:rPr>
            </w:pPr>
          </w:p>
          <w:p w:rsidR="0029137F" w:rsidRPr="00A16F83" w:rsidRDefault="0029137F" w:rsidP="004275A1">
            <w:pPr>
              <w:jc w:val="both"/>
              <w:rPr>
                <w:rFonts w:eastAsia="Calibri"/>
                <w:sz w:val="20"/>
              </w:rPr>
            </w:pPr>
            <w:r w:rsidRPr="00A16F83">
              <w:rPr>
                <w:rFonts w:eastAsia="Calibri"/>
                <w:sz w:val="20"/>
              </w:rPr>
              <w:t xml:space="preserve">When Golf North did not obtain the golf course zoning and refused to pay out the mortgage in full, the Vaccas exercised their repurchase option.  However, the parties disagreed on the amount payable and applied to the Ontario Superior Court of Justice to have the repurchase price judicially determined. </w:t>
            </w:r>
          </w:p>
          <w:p w:rsidR="0029137F" w:rsidRPr="00A16F83" w:rsidRDefault="0029137F" w:rsidP="004275A1">
            <w:pPr>
              <w:jc w:val="both"/>
              <w:rPr>
                <w:rFonts w:eastAsia="Calibri"/>
                <w:sz w:val="20"/>
              </w:rPr>
            </w:pPr>
          </w:p>
          <w:p w:rsidR="0029137F" w:rsidRPr="00A16F83" w:rsidRDefault="0029137F" w:rsidP="004275A1">
            <w:pPr>
              <w:jc w:val="both"/>
              <w:rPr>
                <w:rFonts w:eastAsia="Calibri"/>
                <w:sz w:val="20"/>
              </w:rPr>
            </w:pPr>
            <w:r w:rsidRPr="00A16F83">
              <w:rPr>
                <w:rFonts w:eastAsia="Calibri"/>
                <w:sz w:val="20"/>
              </w:rPr>
              <w:t>The Superior Court of Justice ruled in favour of Golf North, and the Court of Appeal dismissed the appeal.</w:t>
            </w:r>
          </w:p>
          <w:p w:rsidR="0029137F" w:rsidRPr="00A16F83" w:rsidRDefault="0029137F" w:rsidP="004275A1">
            <w:pPr>
              <w:jc w:val="both"/>
              <w:rPr>
                <w:rFonts w:eastAsia="Calibri"/>
                <w:sz w:val="20"/>
              </w:rPr>
            </w:pPr>
          </w:p>
        </w:tc>
      </w:tr>
      <w:tr w:rsidR="0029137F" w:rsidRPr="00A16F83" w:rsidTr="004275A1">
        <w:tc>
          <w:tcPr>
            <w:tcW w:w="2427" w:type="pct"/>
          </w:tcPr>
          <w:p w:rsidR="0029137F" w:rsidRPr="00A16F83" w:rsidRDefault="0029137F" w:rsidP="004275A1">
            <w:pPr>
              <w:jc w:val="both"/>
              <w:rPr>
                <w:rFonts w:eastAsia="Calibri"/>
                <w:sz w:val="20"/>
              </w:rPr>
            </w:pPr>
            <w:r w:rsidRPr="00A16F83">
              <w:rPr>
                <w:rFonts w:eastAsia="Calibri"/>
                <w:sz w:val="20"/>
              </w:rPr>
              <w:t>August 29, 2013</w:t>
            </w:r>
          </w:p>
          <w:p w:rsidR="0029137F" w:rsidRPr="00A16F83" w:rsidRDefault="0029137F" w:rsidP="004275A1">
            <w:pPr>
              <w:jc w:val="both"/>
              <w:rPr>
                <w:rFonts w:eastAsia="Calibri"/>
                <w:sz w:val="20"/>
              </w:rPr>
            </w:pPr>
            <w:r w:rsidRPr="00A16F83">
              <w:rPr>
                <w:rFonts w:eastAsia="Calibri"/>
                <w:sz w:val="20"/>
              </w:rPr>
              <w:t>Ontario Superior Court of Justice</w:t>
            </w:r>
          </w:p>
          <w:p w:rsidR="0029137F" w:rsidRPr="00A16F83" w:rsidRDefault="0029137F" w:rsidP="004275A1">
            <w:pPr>
              <w:jc w:val="both"/>
              <w:rPr>
                <w:rFonts w:eastAsia="Calibri"/>
                <w:sz w:val="20"/>
              </w:rPr>
            </w:pPr>
            <w:r w:rsidRPr="00A16F83">
              <w:rPr>
                <w:rFonts w:eastAsia="Calibri"/>
                <w:sz w:val="20"/>
              </w:rPr>
              <w:t>(Lemon J.)</w:t>
            </w:r>
          </w:p>
          <w:p w:rsidR="0029137F" w:rsidRPr="00A16F83" w:rsidRDefault="00690162" w:rsidP="004275A1">
            <w:pPr>
              <w:jc w:val="both"/>
              <w:rPr>
                <w:rFonts w:eastAsia="Calibri"/>
                <w:sz w:val="20"/>
              </w:rPr>
            </w:pPr>
            <w:hyperlink r:id="rId42" w:history="1">
              <w:r w:rsidR="0029137F" w:rsidRPr="00A16F83">
                <w:rPr>
                  <w:rFonts w:eastAsia="Calibri"/>
                  <w:color w:val="0000FF"/>
                  <w:sz w:val="20"/>
                  <w:u w:val="single"/>
                </w:rPr>
                <w:t>2013 ONSC 5298</w:t>
              </w:r>
            </w:hyperlink>
          </w:p>
          <w:p w:rsidR="0029137F" w:rsidRPr="00A16F83" w:rsidRDefault="0029137F" w:rsidP="004275A1">
            <w:pPr>
              <w:jc w:val="both"/>
              <w:rPr>
                <w:rFonts w:eastAsia="Calibri"/>
                <w:sz w:val="20"/>
              </w:rPr>
            </w:pPr>
          </w:p>
        </w:tc>
        <w:tc>
          <w:tcPr>
            <w:tcW w:w="243" w:type="pct"/>
          </w:tcPr>
          <w:p w:rsidR="0029137F" w:rsidRPr="00A16F83" w:rsidRDefault="0029137F" w:rsidP="004275A1">
            <w:pPr>
              <w:jc w:val="both"/>
              <w:rPr>
                <w:rFonts w:eastAsia="Calibri"/>
                <w:sz w:val="20"/>
              </w:rPr>
            </w:pPr>
          </w:p>
        </w:tc>
        <w:tc>
          <w:tcPr>
            <w:tcW w:w="2330" w:type="pct"/>
          </w:tcPr>
          <w:p w:rsidR="0029137F" w:rsidRPr="00A16F83" w:rsidRDefault="0029137F" w:rsidP="004275A1">
            <w:pPr>
              <w:jc w:val="both"/>
              <w:rPr>
                <w:rFonts w:eastAsia="Calibri"/>
                <w:sz w:val="20"/>
              </w:rPr>
            </w:pPr>
            <w:r w:rsidRPr="00A16F83">
              <w:rPr>
                <w:rFonts w:eastAsia="Calibri"/>
                <w:sz w:val="20"/>
              </w:rPr>
              <w:t>Application dismissed and cross-application granted</w:t>
            </w:r>
          </w:p>
          <w:p w:rsidR="0029137F" w:rsidRPr="00A16F83" w:rsidRDefault="0029137F" w:rsidP="004275A1">
            <w:pPr>
              <w:jc w:val="both"/>
              <w:rPr>
                <w:rFonts w:eastAsia="Calibri"/>
                <w:sz w:val="20"/>
              </w:rPr>
            </w:pPr>
          </w:p>
        </w:tc>
      </w:tr>
      <w:tr w:rsidR="0029137F" w:rsidRPr="00A16F83" w:rsidTr="004275A1">
        <w:tc>
          <w:tcPr>
            <w:tcW w:w="2427" w:type="pct"/>
          </w:tcPr>
          <w:p w:rsidR="0029137F" w:rsidRPr="00A16F83" w:rsidRDefault="0029137F" w:rsidP="004275A1">
            <w:pPr>
              <w:jc w:val="both"/>
              <w:rPr>
                <w:rFonts w:eastAsia="Calibri"/>
                <w:sz w:val="20"/>
              </w:rPr>
            </w:pPr>
            <w:r w:rsidRPr="00A16F83">
              <w:rPr>
                <w:rFonts w:eastAsia="Calibri"/>
                <w:sz w:val="20"/>
              </w:rPr>
              <w:t>May 1, 2014</w:t>
            </w:r>
          </w:p>
          <w:p w:rsidR="0029137F" w:rsidRPr="00A16F83" w:rsidRDefault="0029137F" w:rsidP="004275A1">
            <w:pPr>
              <w:jc w:val="both"/>
              <w:rPr>
                <w:rFonts w:eastAsia="Calibri"/>
                <w:sz w:val="20"/>
              </w:rPr>
            </w:pPr>
            <w:r w:rsidRPr="00A16F83">
              <w:rPr>
                <w:rFonts w:eastAsia="Calibri"/>
                <w:sz w:val="20"/>
              </w:rPr>
              <w:t>Court of Appeal for Ontario</w:t>
            </w:r>
          </w:p>
          <w:p w:rsidR="0029137F" w:rsidRPr="00A16F83" w:rsidRDefault="0029137F" w:rsidP="004275A1">
            <w:pPr>
              <w:jc w:val="both"/>
              <w:rPr>
                <w:rFonts w:eastAsia="Calibri"/>
                <w:sz w:val="20"/>
              </w:rPr>
            </w:pPr>
            <w:r w:rsidRPr="00A16F83">
              <w:rPr>
                <w:rFonts w:eastAsia="Calibri"/>
                <w:sz w:val="20"/>
              </w:rPr>
              <w:t>(Laskin, Rouleau, and Lauwers JJ.A.)</w:t>
            </w:r>
          </w:p>
          <w:p w:rsidR="0029137F" w:rsidRPr="00A16F83" w:rsidRDefault="00690162" w:rsidP="004275A1">
            <w:pPr>
              <w:jc w:val="both"/>
              <w:rPr>
                <w:rFonts w:eastAsia="Calibri"/>
                <w:sz w:val="20"/>
              </w:rPr>
            </w:pPr>
            <w:hyperlink r:id="rId43" w:history="1">
              <w:r w:rsidR="0029137F" w:rsidRPr="00A16F83">
                <w:rPr>
                  <w:rFonts w:eastAsia="Calibri"/>
                  <w:color w:val="0000FF"/>
                  <w:sz w:val="20"/>
                  <w:u w:val="single"/>
                </w:rPr>
                <w:t>2014 ONCA 382</w:t>
              </w:r>
            </w:hyperlink>
          </w:p>
          <w:p w:rsidR="0029137F" w:rsidRPr="00A16F83" w:rsidRDefault="0029137F" w:rsidP="004275A1">
            <w:pPr>
              <w:jc w:val="both"/>
              <w:rPr>
                <w:rFonts w:eastAsia="Calibri"/>
                <w:sz w:val="20"/>
              </w:rPr>
            </w:pPr>
          </w:p>
        </w:tc>
        <w:tc>
          <w:tcPr>
            <w:tcW w:w="243" w:type="pct"/>
          </w:tcPr>
          <w:p w:rsidR="0029137F" w:rsidRPr="00A16F83" w:rsidRDefault="0029137F" w:rsidP="004275A1">
            <w:pPr>
              <w:jc w:val="both"/>
              <w:rPr>
                <w:rFonts w:eastAsia="Calibri"/>
                <w:sz w:val="20"/>
              </w:rPr>
            </w:pPr>
          </w:p>
        </w:tc>
        <w:tc>
          <w:tcPr>
            <w:tcW w:w="2330" w:type="pct"/>
          </w:tcPr>
          <w:p w:rsidR="0029137F" w:rsidRPr="00A16F83" w:rsidRDefault="0029137F" w:rsidP="004275A1">
            <w:pPr>
              <w:jc w:val="both"/>
              <w:rPr>
                <w:rFonts w:eastAsia="Calibri"/>
                <w:sz w:val="20"/>
              </w:rPr>
            </w:pPr>
            <w:r w:rsidRPr="00A16F83">
              <w:rPr>
                <w:rFonts w:eastAsia="Calibri"/>
                <w:sz w:val="20"/>
              </w:rPr>
              <w:t xml:space="preserve">Appeal dismissed </w:t>
            </w:r>
          </w:p>
        </w:tc>
      </w:tr>
      <w:tr w:rsidR="0029137F" w:rsidRPr="00A16F83" w:rsidTr="004275A1">
        <w:tc>
          <w:tcPr>
            <w:tcW w:w="2427" w:type="pct"/>
          </w:tcPr>
          <w:p w:rsidR="0029137F" w:rsidRPr="00A16F83" w:rsidRDefault="0029137F" w:rsidP="004275A1">
            <w:pPr>
              <w:jc w:val="both"/>
              <w:rPr>
                <w:rFonts w:eastAsia="Calibri"/>
                <w:sz w:val="20"/>
              </w:rPr>
            </w:pPr>
            <w:r w:rsidRPr="00A16F83">
              <w:rPr>
                <w:rFonts w:eastAsia="Calibri"/>
                <w:sz w:val="20"/>
              </w:rPr>
              <w:t>June 25, 2014</w:t>
            </w:r>
          </w:p>
          <w:p w:rsidR="0029137F" w:rsidRPr="00A16F83" w:rsidRDefault="0029137F" w:rsidP="004275A1">
            <w:pPr>
              <w:jc w:val="both"/>
              <w:rPr>
                <w:rFonts w:eastAsia="Calibri"/>
                <w:sz w:val="20"/>
              </w:rPr>
            </w:pPr>
            <w:r w:rsidRPr="00A16F83">
              <w:rPr>
                <w:rFonts w:eastAsia="Calibri"/>
                <w:sz w:val="20"/>
              </w:rPr>
              <w:t>Supreme Court of Canada</w:t>
            </w:r>
          </w:p>
        </w:tc>
        <w:tc>
          <w:tcPr>
            <w:tcW w:w="243" w:type="pct"/>
          </w:tcPr>
          <w:p w:rsidR="0029137F" w:rsidRPr="00A16F83" w:rsidRDefault="0029137F" w:rsidP="004275A1">
            <w:pPr>
              <w:jc w:val="both"/>
              <w:rPr>
                <w:rFonts w:eastAsia="Calibri"/>
                <w:sz w:val="20"/>
              </w:rPr>
            </w:pPr>
          </w:p>
        </w:tc>
        <w:tc>
          <w:tcPr>
            <w:tcW w:w="2330" w:type="pct"/>
          </w:tcPr>
          <w:p w:rsidR="0029137F" w:rsidRPr="00A16F83" w:rsidRDefault="0029137F" w:rsidP="004275A1">
            <w:pPr>
              <w:jc w:val="both"/>
              <w:rPr>
                <w:rFonts w:eastAsia="Calibri"/>
                <w:sz w:val="20"/>
              </w:rPr>
            </w:pPr>
            <w:r w:rsidRPr="00A16F83">
              <w:rPr>
                <w:rFonts w:eastAsia="Calibri"/>
                <w:sz w:val="20"/>
              </w:rPr>
              <w:t>Application for leave to appeal and motion for a stay of execution filed</w:t>
            </w:r>
          </w:p>
        </w:tc>
      </w:tr>
    </w:tbl>
    <w:p w:rsidR="00915D6A" w:rsidRDefault="00915D6A" w:rsidP="00915D6A">
      <w:pPr>
        <w:rPr>
          <w:sz w:val="20"/>
          <w:szCs w:val="20"/>
        </w:rPr>
      </w:pPr>
    </w:p>
    <w:p w:rsidR="00915D6A" w:rsidRPr="00C50A5C" w:rsidRDefault="00690162" w:rsidP="00915D6A">
      <w:pPr>
        <w:rPr>
          <w:sz w:val="20"/>
          <w:szCs w:val="20"/>
        </w:rPr>
      </w:pPr>
      <w:r>
        <w:rPr>
          <w:sz w:val="20"/>
          <w:szCs w:val="20"/>
          <w:lang w:val="fr-CA"/>
        </w:rPr>
        <w:pict>
          <v:rect id="_x0000_i1054" style="width:2in;height:1pt" o:hrpct="0" o:hralign="center" o:hrstd="t" o:hrnoshade="t" o:hr="t" fillcolor="black [3213]" stroked="f"/>
        </w:pict>
      </w:r>
    </w:p>
    <w:p w:rsidR="00915D6A" w:rsidRDefault="00915D6A" w:rsidP="00915D6A">
      <w:pPr>
        <w:rPr>
          <w:sz w:val="20"/>
          <w:szCs w:val="20"/>
        </w:rPr>
      </w:pPr>
    </w:p>
    <w:p w:rsidR="00915D6A" w:rsidRPr="001B157C" w:rsidRDefault="00915D6A" w:rsidP="00915D6A">
      <w:pPr>
        <w:rPr>
          <w:sz w:val="20"/>
          <w:szCs w:val="20"/>
          <w:u w:val="single"/>
          <w:lang w:val="fr-CA"/>
        </w:rPr>
      </w:pPr>
      <w:r w:rsidRPr="001B157C">
        <w:rPr>
          <w:sz w:val="20"/>
          <w:szCs w:val="20"/>
          <w:u w:val="single"/>
          <w:lang w:val="fr-CA"/>
        </w:rPr>
        <w:t>RÉSUMÉ DE L’AFFAIRE</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9137F" w:rsidRPr="00690162" w:rsidTr="004275A1">
        <w:tc>
          <w:tcPr>
            <w:tcW w:w="5000" w:type="pct"/>
            <w:gridSpan w:val="3"/>
          </w:tcPr>
          <w:p w:rsidR="0029137F" w:rsidRPr="00A16F83" w:rsidRDefault="0029137F" w:rsidP="004275A1">
            <w:pPr>
              <w:jc w:val="both"/>
              <w:rPr>
                <w:rFonts w:eastAsia="Calibri"/>
                <w:sz w:val="20"/>
                <w:lang w:val="fr-CA"/>
              </w:rPr>
            </w:pPr>
            <w:r w:rsidRPr="00A16F83">
              <w:rPr>
                <w:rFonts w:eastAsia="Calibri"/>
                <w:sz w:val="20"/>
                <w:lang w:val="fr-CA"/>
              </w:rPr>
              <w:t>Contrats — Interprétation — Contrat de prêt hypothécaire accordé par le vendeur — Le vendeur a exercé l’option de racheter un bien « pour la somme de 1 200 000 $, libre de privilèges et de grèvements, à l’exception de l’hypothèque » — Les juridictions inférieures ont-elles mal interprété la clause contractuelle? — Le juge de première instance aurait-il dû conclure que Golf North avait violé son obligation d’agir de bonne foi?</w:t>
            </w:r>
          </w:p>
        </w:tc>
      </w:tr>
      <w:tr w:rsidR="0029137F" w:rsidRPr="00690162" w:rsidTr="004275A1">
        <w:tc>
          <w:tcPr>
            <w:tcW w:w="5000" w:type="pct"/>
            <w:gridSpan w:val="3"/>
          </w:tcPr>
          <w:p w:rsidR="0029137F" w:rsidRPr="00A16F83" w:rsidRDefault="0029137F" w:rsidP="004275A1">
            <w:pPr>
              <w:jc w:val="both"/>
              <w:rPr>
                <w:rFonts w:eastAsia="Calibri"/>
                <w:sz w:val="20"/>
                <w:lang w:val="fr-CA"/>
              </w:rPr>
            </w:pPr>
          </w:p>
        </w:tc>
      </w:tr>
      <w:tr w:rsidR="0029137F" w:rsidRPr="00690162" w:rsidTr="004275A1">
        <w:tc>
          <w:tcPr>
            <w:tcW w:w="5000" w:type="pct"/>
            <w:gridSpan w:val="3"/>
          </w:tcPr>
          <w:p w:rsidR="0029137F" w:rsidRPr="00A16F83" w:rsidRDefault="0029137F" w:rsidP="004275A1">
            <w:pPr>
              <w:jc w:val="both"/>
              <w:rPr>
                <w:rFonts w:eastAsia="Calibri"/>
                <w:sz w:val="20"/>
                <w:lang w:val="fr-CA"/>
              </w:rPr>
            </w:pPr>
            <w:r w:rsidRPr="00A16F83">
              <w:rPr>
                <w:rFonts w:eastAsia="Calibri"/>
                <w:sz w:val="20"/>
                <w:lang w:val="fr-CA"/>
              </w:rPr>
              <w:t>En 2006, Mme Vacca et son père étaient propriétaires d’un terrain avoisinant un parcours de golf appartenant à Golf North Properties Inc.  Golf North a accepté d’acheter le terrain des Vacca pour la somme de 1 600 000 $, avec un versement au comptant de 800 000 $.  Les Vacca ont ensuite accordé un prêt hypothécaire de 800 000 $.  Les parties ont convenu que Golf North avait cinq ans pour obtenir le zonage comme parcours de golf, à défaut de quoi elle devait aviser les Vacca.  Golf North pourrait alors choisir de rembourser le prêt hypothécaire au complet, ou bien les Vacca auraient l’option de racheter le bien [</w:t>
            </w:r>
            <w:r w:rsidRPr="00A16F83">
              <w:rPr>
                <w:rFonts w:eastAsia="Calibri"/>
                <w:smallCaps/>
                <w:sz w:val="20"/>
                <w:lang w:val="fr-CA"/>
              </w:rPr>
              <w:t>traduction</w:t>
            </w:r>
            <w:r w:rsidRPr="00A16F83">
              <w:rPr>
                <w:rFonts w:eastAsia="Calibri"/>
                <w:sz w:val="20"/>
                <w:lang w:val="fr-CA"/>
              </w:rPr>
              <w:t xml:space="preserve">] « pour la somme de 1 200 000 $, libre de privilèges et de grèvements, à l’exception de l’hypothèque ».  Le contrat renfermait également la stipulation suivante : </w:t>
            </w:r>
          </w:p>
          <w:p w:rsidR="0029137F" w:rsidRPr="00A16F83" w:rsidRDefault="0029137F" w:rsidP="004275A1">
            <w:pPr>
              <w:jc w:val="both"/>
              <w:rPr>
                <w:rFonts w:eastAsia="Calibri"/>
                <w:sz w:val="20"/>
                <w:lang w:val="fr-CA"/>
              </w:rPr>
            </w:pPr>
          </w:p>
          <w:p w:rsidR="0029137F" w:rsidRPr="00A16F83" w:rsidRDefault="0029137F" w:rsidP="004275A1">
            <w:pPr>
              <w:ind w:left="720" w:right="720"/>
              <w:jc w:val="both"/>
              <w:rPr>
                <w:sz w:val="20"/>
                <w:lang w:val="fr-CA" w:eastAsia="en-CA"/>
              </w:rPr>
            </w:pPr>
            <w:r w:rsidRPr="00A16F83">
              <w:rPr>
                <w:sz w:val="20"/>
                <w:lang w:val="fr-CA" w:eastAsia="en-CA"/>
              </w:rPr>
              <w:t>[</w:t>
            </w:r>
            <w:r w:rsidRPr="00A16F83">
              <w:rPr>
                <w:smallCaps/>
                <w:sz w:val="20"/>
                <w:lang w:val="fr-CA" w:eastAsia="en-CA"/>
              </w:rPr>
              <w:t>traduction</w:t>
            </w:r>
            <w:r w:rsidRPr="00A16F83">
              <w:rPr>
                <w:sz w:val="20"/>
                <w:lang w:val="fr-CA" w:eastAsia="en-CA"/>
              </w:rPr>
              <w:t>] Il est entendu qu’en lien avec l’option décrite ci-dessus, le créancier hypothécaire [les Vacca], au moment d’exercer l’option, rachètera le bien en payant au débiteur hypothécaire [Golf North] la somme de 1 200 000 $, auquel cas le débiteur hypothécaire est réputé avoir acquitté le prêt hypothécaire au complet.</w:t>
            </w:r>
          </w:p>
          <w:p w:rsidR="0029137F" w:rsidRPr="00A16F83" w:rsidRDefault="0029137F" w:rsidP="004275A1">
            <w:pPr>
              <w:jc w:val="both"/>
              <w:rPr>
                <w:rFonts w:eastAsia="Calibri"/>
                <w:sz w:val="20"/>
                <w:lang w:val="fr-CA"/>
              </w:rPr>
            </w:pPr>
          </w:p>
          <w:p w:rsidR="0029137F" w:rsidRPr="00A16F83" w:rsidRDefault="0029137F" w:rsidP="004275A1">
            <w:pPr>
              <w:jc w:val="both"/>
              <w:rPr>
                <w:rFonts w:eastAsia="Calibri"/>
                <w:sz w:val="20"/>
                <w:lang w:val="fr-CA"/>
              </w:rPr>
            </w:pPr>
            <w:r w:rsidRPr="00A16F83">
              <w:rPr>
                <w:rFonts w:eastAsia="Calibri"/>
                <w:sz w:val="20"/>
                <w:lang w:val="fr-CA"/>
              </w:rPr>
              <w:t xml:space="preserve">Lorsque Golf North n’a pas obtenu le zonage comme parcours de golf et a refusé de rembourser au complet le prêt hypothécaire, les Vacca ont exercé leur option de rachat.  Toutefois, les parties ne s’entendaient pas sur le montant payable et ont demandé à la Cour supérieure de justice de l’Ontario de fixer le prix de rachat par voie judiciaire. </w:t>
            </w:r>
          </w:p>
          <w:p w:rsidR="0029137F" w:rsidRPr="00A16F83" w:rsidRDefault="0029137F" w:rsidP="004275A1">
            <w:pPr>
              <w:jc w:val="both"/>
              <w:rPr>
                <w:rFonts w:eastAsia="Calibri"/>
                <w:sz w:val="20"/>
                <w:lang w:val="fr-CA"/>
              </w:rPr>
            </w:pPr>
          </w:p>
          <w:p w:rsidR="0029137F" w:rsidRPr="00A16F83" w:rsidRDefault="0029137F" w:rsidP="004275A1">
            <w:pPr>
              <w:jc w:val="both"/>
              <w:rPr>
                <w:rFonts w:eastAsia="Calibri"/>
                <w:sz w:val="20"/>
                <w:lang w:val="fr-CA"/>
              </w:rPr>
            </w:pPr>
            <w:r w:rsidRPr="00A16F83">
              <w:rPr>
                <w:rFonts w:eastAsia="Calibri"/>
                <w:sz w:val="20"/>
                <w:lang w:val="fr-CA"/>
              </w:rPr>
              <w:t>La Cour supérieure de justice a statué en faveur de Golf North, et la Cour d’appel a rejeté l’appel.</w:t>
            </w:r>
          </w:p>
          <w:p w:rsidR="0029137F" w:rsidRPr="00A16F83" w:rsidRDefault="0029137F" w:rsidP="004275A1">
            <w:pPr>
              <w:jc w:val="both"/>
              <w:rPr>
                <w:rFonts w:eastAsia="Calibri"/>
                <w:sz w:val="20"/>
                <w:lang w:val="fr-CA"/>
              </w:rPr>
            </w:pPr>
          </w:p>
        </w:tc>
      </w:tr>
      <w:tr w:rsidR="0029137F" w:rsidRPr="00690162" w:rsidTr="004275A1">
        <w:tc>
          <w:tcPr>
            <w:tcW w:w="2427" w:type="pct"/>
          </w:tcPr>
          <w:p w:rsidR="0029137F" w:rsidRPr="00A16F83" w:rsidRDefault="0029137F" w:rsidP="004275A1">
            <w:pPr>
              <w:jc w:val="both"/>
              <w:rPr>
                <w:rFonts w:eastAsia="Calibri"/>
                <w:sz w:val="20"/>
                <w:lang w:val="fr-CA"/>
              </w:rPr>
            </w:pPr>
            <w:r w:rsidRPr="00A16F83">
              <w:rPr>
                <w:rFonts w:eastAsia="Calibri"/>
                <w:sz w:val="20"/>
                <w:lang w:val="fr-CA"/>
              </w:rPr>
              <w:t>29 août 2013</w:t>
            </w:r>
          </w:p>
          <w:p w:rsidR="0029137F" w:rsidRPr="00A16F83" w:rsidRDefault="0029137F" w:rsidP="004275A1">
            <w:pPr>
              <w:jc w:val="both"/>
              <w:rPr>
                <w:rFonts w:eastAsia="Calibri"/>
                <w:sz w:val="20"/>
                <w:lang w:val="fr-CA"/>
              </w:rPr>
            </w:pPr>
            <w:r w:rsidRPr="00A16F83">
              <w:rPr>
                <w:rFonts w:eastAsia="Calibri"/>
                <w:sz w:val="20"/>
                <w:lang w:val="fr-CA"/>
              </w:rPr>
              <w:t>Cour supérieure de justice de l’Ontario</w:t>
            </w:r>
          </w:p>
          <w:p w:rsidR="0029137F" w:rsidRPr="00A16F83" w:rsidRDefault="0029137F" w:rsidP="004275A1">
            <w:pPr>
              <w:jc w:val="both"/>
              <w:rPr>
                <w:rFonts w:eastAsia="Calibri"/>
                <w:sz w:val="20"/>
                <w:lang w:val="fr-CA"/>
              </w:rPr>
            </w:pPr>
            <w:r w:rsidRPr="00A16F83">
              <w:rPr>
                <w:rFonts w:eastAsia="Calibri"/>
                <w:sz w:val="20"/>
                <w:lang w:val="fr-CA"/>
              </w:rPr>
              <w:t>(Juge Lemon)</w:t>
            </w:r>
          </w:p>
          <w:p w:rsidR="0029137F" w:rsidRPr="00A16F83" w:rsidRDefault="00690162" w:rsidP="004275A1">
            <w:pPr>
              <w:jc w:val="both"/>
              <w:rPr>
                <w:rFonts w:eastAsia="Calibri"/>
                <w:sz w:val="20"/>
                <w:lang w:val="fr-CA"/>
              </w:rPr>
            </w:pPr>
            <w:hyperlink r:id="rId44" w:history="1">
              <w:r w:rsidR="0029137F" w:rsidRPr="00A16F83">
                <w:rPr>
                  <w:rFonts w:eastAsia="Calibri"/>
                  <w:color w:val="0000FF"/>
                  <w:sz w:val="20"/>
                  <w:u w:val="single"/>
                  <w:lang w:val="fr-CA"/>
                </w:rPr>
                <w:t>2013 ONSC 5298</w:t>
              </w:r>
            </w:hyperlink>
          </w:p>
          <w:p w:rsidR="0029137F" w:rsidRPr="00A16F83" w:rsidRDefault="0029137F" w:rsidP="004275A1">
            <w:pPr>
              <w:jc w:val="both"/>
              <w:rPr>
                <w:rFonts w:eastAsia="Calibri"/>
                <w:sz w:val="20"/>
                <w:lang w:val="fr-CA"/>
              </w:rPr>
            </w:pPr>
          </w:p>
        </w:tc>
        <w:tc>
          <w:tcPr>
            <w:tcW w:w="243" w:type="pct"/>
          </w:tcPr>
          <w:p w:rsidR="0029137F" w:rsidRPr="00A16F83" w:rsidRDefault="0029137F" w:rsidP="004275A1">
            <w:pPr>
              <w:jc w:val="both"/>
              <w:rPr>
                <w:rFonts w:eastAsia="Calibri"/>
                <w:sz w:val="20"/>
                <w:lang w:val="fr-CA"/>
              </w:rPr>
            </w:pPr>
          </w:p>
        </w:tc>
        <w:tc>
          <w:tcPr>
            <w:tcW w:w="2330" w:type="pct"/>
          </w:tcPr>
          <w:p w:rsidR="0029137F" w:rsidRPr="00A16F83" w:rsidRDefault="0029137F" w:rsidP="004275A1">
            <w:pPr>
              <w:jc w:val="both"/>
              <w:rPr>
                <w:rFonts w:eastAsia="Calibri"/>
                <w:sz w:val="20"/>
                <w:lang w:val="fr-CA"/>
              </w:rPr>
            </w:pPr>
            <w:r w:rsidRPr="00A16F83">
              <w:rPr>
                <w:rFonts w:eastAsia="Calibri"/>
                <w:sz w:val="20"/>
                <w:lang w:val="fr-CA"/>
              </w:rPr>
              <w:t>Demande rejetée et demande reconventionnelle accueillie</w:t>
            </w:r>
          </w:p>
        </w:tc>
      </w:tr>
      <w:tr w:rsidR="0029137F" w:rsidRPr="00A16F83" w:rsidTr="004275A1">
        <w:tc>
          <w:tcPr>
            <w:tcW w:w="2427" w:type="pct"/>
          </w:tcPr>
          <w:p w:rsidR="0029137F" w:rsidRPr="00A16F83" w:rsidRDefault="0029137F" w:rsidP="004275A1">
            <w:pPr>
              <w:jc w:val="both"/>
              <w:rPr>
                <w:rFonts w:eastAsia="Calibri"/>
                <w:sz w:val="20"/>
                <w:lang w:val="fr-CA"/>
              </w:rPr>
            </w:pPr>
            <w:r w:rsidRPr="00A16F83">
              <w:rPr>
                <w:rFonts w:eastAsia="Calibri"/>
                <w:sz w:val="20"/>
                <w:lang w:val="fr-CA"/>
              </w:rPr>
              <w:t>1</w:t>
            </w:r>
            <w:r w:rsidRPr="00A16F83">
              <w:rPr>
                <w:rFonts w:eastAsia="Calibri"/>
                <w:sz w:val="20"/>
                <w:vertAlign w:val="superscript"/>
                <w:lang w:val="fr-CA"/>
              </w:rPr>
              <w:t>er</w:t>
            </w:r>
            <w:r w:rsidRPr="00A16F83">
              <w:rPr>
                <w:rFonts w:eastAsia="Calibri"/>
                <w:sz w:val="20"/>
                <w:lang w:val="fr-CA"/>
              </w:rPr>
              <w:t xml:space="preserve"> mai 2014</w:t>
            </w:r>
          </w:p>
          <w:p w:rsidR="0029137F" w:rsidRPr="00A16F83" w:rsidRDefault="0029137F" w:rsidP="004275A1">
            <w:pPr>
              <w:jc w:val="both"/>
              <w:rPr>
                <w:rFonts w:eastAsia="Calibri"/>
                <w:sz w:val="20"/>
                <w:lang w:val="fr-CA"/>
              </w:rPr>
            </w:pPr>
            <w:r w:rsidRPr="00A16F83">
              <w:rPr>
                <w:rFonts w:eastAsia="Calibri"/>
                <w:sz w:val="20"/>
                <w:lang w:val="fr-CA"/>
              </w:rPr>
              <w:t>Cour d’appel de l’Ontario</w:t>
            </w:r>
          </w:p>
          <w:p w:rsidR="0029137F" w:rsidRPr="00A16F83" w:rsidRDefault="0029137F" w:rsidP="004275A1">
            <w:pPr>
              <w:jc w:val="both"/>
              <w:rPr>
                <w:rFonts w:eastAsia="Calibri"/>
                <w:sz w:val="20"/>
                <w:lang w:val="fr-CA"/>
              </w:rPr>
            </w:pPr>
            <w:r w:rsidRPr="00A16F83">
              <w:rPr>
                <w:rFonts w:eastAsia="Calibri"/>
                <w:sz w:val="20"/>
                <w:lang w:val="fr-CA"/>
              </w:rPr>
              <w:t>(Juges Laskin, Rouleau et Lauwers)</w:t>
            </w:r>
          </w:p>
          <w:p w:rsidR="0029137F" w:rsidRPr="00A16F83" w:rsidRDefault="00690162" w:rsidP="004275A1">
            <w:pPr>
              <w:jc w:val="both"/>
              <w:rPr>
                <w:rFonts w:eastAsia="Calibri"/>
                <w:sz w:val="20"/>
                <w:lang w:val="fr-CA"/>
              </w:rPr>
            </w:pPr>
            <w:hyperlink r:id="rId45" w:history="1">
              <w:r w:rsidR="0029137F" w:rsidRPr="00A16F83">
                <w:rPr>
                  <w:rFonts w:eastAsia="Calibri"/>
                  <w:color w:val="0000FF"/>
                  <w:sz w:val="20"/>
                  <w:u w:val="single"/>
                  <w:lang w:val="fr-CA"/>
                </w:rPr>
                <w:t>2014 ONCA 382</w:t>
              </w:r>
            </w:hyperlink>
          </w:p>
          <w:p w:rsidR="0029137F" w:rsidRPr="00A16F83" w:rsidRDefault="0029137F" w:rsidP="004275A1">
            <w:pPr>
              <w:jc w:val="both"/>
              <w:rPr>
                <w:rFonts w:eastAsia="Calibri"/>
                <w:sz w:val="20"/>
                <w:lang w:val="fr-CA"/>
              </w:rPr>
            </w:pPr>
          </w:p>
        </w:tc>
        <w:tc>
          <w:tcPr>
            <w:tcW w:w="243" w:type="pct"/>
          </w:tcPr>
          <w:p w:rsidR="0029137F" w:rsidRPr="00A16F83" w:rsidRDefault="0029137F" w:rsidP="004275A1">
            <w:pPr>
              <w:jc w:val="both"/>
              <w:rPr>
                <w:rFonts w:eastAsia="Calibri"/>
                <w:sz w:val="20"/>
                <w:lang w:val="fr-CA"/>
              </w:rPr>
            </w:pPr>
          </w:p>
        </w:tc>
        <w:tc>
          <w:tcPr>
            <w:tcW w:w="2330" w:type="pct"/>
          </w:tcPr>
          <w:p w:rsidR="0029137F" w:rsidRPr="00A16F83" w:rsidRDefault="0029137F" w:rsidP="004275A1">
            <w:pPr>
              <w:jc w:val="both"/>
              <w:rPr>
                <w:rFonts w:eastAsia="Calibri"/>
                <w:sz w:val="20"/>
                <w:lang w:val="fr-CA"/>
              </w:rPr>
            </w:pPr>
            <w:r w:rsidRPr="00A16F83">
              <w:rPr>
                <w:rFonts w:eastAsia="Calibri"/>
                <w:sz w:val="20"/>
                <w:lang w:val="fr-CA"/>
              </w:rPr>
              <w:t>Appel rejeté</w:t>
            </w:r>
          </w:p>
        </w:tc>
      </w:tr>
      <w:tr w:rsidR="0029137F" w:rsidRPr="00690162" w:rsidTr="004275A1">
        <w:tc>
          <w:tcPr>
            <w:tcW w:w="2427" w:type="pct"/>
          </w:tcPr>
          <w:p w:rsidR="0029137F" w:rsidRPr="00A16F83" w:rsidRDefault="0029137F" w:rsidP="004275A1">
            <w:pPr>
              <w:jc w:val="both"/>
              <w:rPr>
                <w:rFonts w:eastAsia="Calibri"/>
                <w:sz w:val="20"/>
                <w:lang w:val="fr-CA"/>
              </w:rPr>
            </w:pPr>
            <w:r w:rsidRPr="00A16F83">
              <w:rPr>
                <w:rFonts w:eastAsia="Calibri"/>
                <w:sz w:val="20"/>
                <w:lang w:val="fr-CA"/>
              </w:rPr>
              <w:t>25 juin 2014</w:t>
            </w:r>
          </w:p>
          <w:p w:rsidR="0029137F" w:rsidRPr="00A16F83" w:rsidRDefault="0029137F" w:rsidP="004275A1">
            <w:pPr>
              <w:jc w:val="both"/>
              <w:rPr>
                <w:rFonts w:eastAsia="Calibri"/>
                <w:sz w:val="20"/>
                <w:lang w:val="fr-CA"/>
              </w:rPr>
            </w:pPr>
            <w:r w:rsidRPr="00A16F83">
              <w:rPr>
                <w:rFonts w:eastAsia="Calibri"/>
                <w:sz w:val="20"/>
                <w:lang w:val="fr-CA"/>
              </w:rPr>
              <w:t>Cour suprême du Canada</w:t>
            </w:r>
          </w:p>
        </w:tc>
        <w:tc>
          <w:tcPr>
            <w:tcW w:w="243" w:type="pct"/>
          </w:tcPr>
          <w:p w:rsidR="0029137F" w:rsidRPr="00A16F83" w:rsidRDefault="0029137F" w:rsidP="004275A1">
            <w:pPr>
              <w:jc w:val="both"/>
              <w:rPr>
                <w:rFonts w:eastAsia="Calibri"/>
                <w:sz w:val="20"/>
                <w:lang w:val="fr-CA"/>
              </w:rPr>
            </w:pPr>
          </w:p>
        </w:tc>
        <w:tc>
          <w:tcPr>
            <w:tcW w:w="2330" w:type="pct"/>
          </w:tcPr>
          <w:p w:rsidR="0029137F" w:rsidRPr="00A16F83" w:rsidRDefault="0029137F" w:rsidP="004275A1">
            <w:pPr>
              <w:jc w:val="both"/>
              <w:rPr>
                <w:rFonts w:eastAsia="Calibri"/>
                <w:sz w:val="20"/>
                <w:lang w:val="fr-CA"/>
              </w:rPr>
            </w:pPr>
            <w:r w:rsidRPr="00A16F83">
              <w:rPr>
                <w:rFonts w:eastAsia="Calibri"/>
                <w:sz w:val="20"/>
                <w:lang w:val="fr-CA"/>
              </w:rPr>
              <w:t>Demande d’autorisation d’appel et requête en vue d’obtenir un sursis à l’exécution, déposée</w:t>
            </w:r>
          </w:p>
        </w:tc>
      </w:tr>
    </w:tbl>
    <w:p w:rsidR="00915D6A" w:rsidRPr="0029137F" w:rsidRDefault="00915D6A" w:rsidP="00915D6A">
      <w:pPr>
        <w:rPr>
          <w:sz w:val="20"/>
          <w:szCs w:val="20"/>
          <w:lang w:val="fr-CA"/>
        </w:rPr>
      </w:pPr>
    </w:p>
    <w:p w:rsidR="00915D6A" w:rsidRDefault="00690162" w:rsidP="00915D6A">
      <w:pPr>
        <w:rPr>
          <w:sz w:val="20"/>
          <w:szCs w:val="20"/>
        </w:rPr>
      </w:pPr>
      <w:r>
        <w:rPr>
          <w:sz w:val="20"/>
          <w:szCs w:val="20"/>
          <w:lang w:val="fr-CA"/>
        </w:rPr>
        <w:pict>
          <v:rect id="_x0000_i1055" style="width:2in;height:1pt" o:hrpct="0" o:hralign="center" o:hrstd="t" o:hrnoshade="t" o:hr="t" fillcolor="black [3213]" stroked="f"/>
        </w:pict>
      </w:r>
    </w:p>
    <w:p w:rsidR="00915D6A" w:rsidRDefault="00915D6A" w:rsidP="00915D6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B1FB0" w:rsidRPr="00186B1A" w:rsidTr="006B1FB0">
        <w:tc>
          <w:tcPr>
            <w:tcW w:w="1458" w:type="dxa"/>
          </w:tcPr>
          <w:p w:rsidR="006B1FB0" w:rsidRPr="00186B1A" w:rsidRDefault="006B1FB0" w:rsidP="00650BC1">
            <w:pPr>
              <w:rPr>
                <w:sz w:val="20"/>
                <w:szCs w:val="20"/>
              </w:rPr>
            </w:pPr>
            <w:r w:rsidRPr="00186B1A">
              <w:rPr>
                <w:rStyle w:val="SCCFileNumberChar"/>
                <w:sz w:val="20"/>
                <w:szCs w:val="20"/>
              </w:rPr>
              <w:t>35983</w:t>
            </w:r>
          </w:p>
          <w:p w:rsidR="006B1FB0" w:rsidRPr="00186B1A" w:rsidRDefault="006B1FB0" w:rsidP="00650BC1">
            <w:pPr>
              <w:rPr>
                <w:b/>
                <w:sz w:val="20"/>
                <w:szCs w:val="20"/>
                <w:lang w:val="fr-CA"/>
              </w:rPr>
            </w:pPr>
          </w:p>
        </w:tc>
        <w:tc>
          <w:tcPr>
            <w:tcW w:w="8118" w:type="dxa"/>
          </w:tcPr>
          <w:p w:rsidR="006B1FB0" w:rsidRPr="00186B1A" w:rsidRDefault="006B1FB0" w:rsidP="00650BC1">
            <w:pPr>
              <w:rPr>
                <w:sz w:val="20"/>
                <w:szCs w:val="20"/>
              </w:rPr>
            </w:pPr>
            <w:r w:rsidRPr="006B1FB0">
              <w:rPr>
                <w:rStyle w:val="SCCLsocChar"/>
                <w:sz w:val="20"/>
                <w:szCs w:val="20"/>
                <w:lang w:val="en-CA"/>
              </w:rPr>
              <w:t>Philip Szostak v. Her Majesty the Queen</w:t>
            </w:r>
            <w:r w:rsidRPr="00186B1A">
              <w:rPr>
                <w:sz w:val="20"/>
                <w:szCs w:val="20"/>
              </w:rPr>
              <w:t xml:space="preserve"> (Ont.) (Criminal) (By Leave)</w:t>
            </w:r>
          </w:p>
          <w:p w:rsidR="006B1FB0" w:rsidRPr="00186B1A" w:rsidRDefault="006B1FB0" w:rsidP="00650BC1">
            <w:pPr>
              <w:rPr>
                <w:sz w:val="20"/>
                <w:szCs w:val="20"/>
              </w:rPr>
            </w:pPr>
          </w:p>
        </w:tc>
      </w:tr>
      <w:tr w:rsidR="006B1FB0" w:rsidRPr="00186B1A" w:rsidTr="006B1FB0">
        <w:tc>
          <w:tcPr>
            <w:tcW w:w="1458" w:type="dxa"/>
          </w:tcPr>
          <w:p w:rsidR="006B1FB0" w:rsidRPr="00186B1A" w:rsidRDefault="006B1FB0" w:rsidP="00650BC1">
            <w:pPr>
              <w:rPr>
                <w:sz w:val="20"/>
                <w:szCs w:val="20"/>
              </w:rPr>
            </w:pPr>
            <w:r w:rsidRPr="00186B1A">
              <w:rPr>
                <w:sz w:val="20"/>
                <w:szCs w:val="20"/>
              </w:rPr>
              <w:t>Coram :</w:t>
            </w:r>
          </w:p>
        </w:tc>
        <w:tc>
          <w:tcPr>
            <w:tcW w:w="8118" w:type="dxa"/>
          </w:tcPr>
          <w:p w:rsidR="006B1FB0" w:rsidRPr="00186B1A" w:rsidRDefault="006B1FB0" w:rsidP="00650BC1">
            <w:pPr>
              <w:rPr>
                <w:sz w:val="20"/>
                <w:szCs w:val="20"/>
              </w:rPr>
            </w:pPr>
            <w:r w:rsidRPr="006B1FB0">
              <w:rPr>
                <w:rStyle w:val="SCCCoramChar"/>
                <w:sz w:val="20"/>
                <w:szCs w:val="20"/>
                <w:lang w:val="en-CA"/>
              </w:rPr>
              <w:t>Abella, Rothstein and Moldaver JJ.</w:t>
            </w:r>
          </w:p>
          <w:p w:rsidR="006B1FB0" w:rsidRPr="00186B1A" w:rsidRDefault="006B1FB0" w:rsidP="00650BC1">
            <w:pPr>
              <w:rPr>
                <w:sz w:val="20"/>
                <w:szCs w:val="20"/>
                <w:u w:val="single"/>
              </w:rPr>
            </w:pPr>
          </w:p>
        </w:tc>
      </w:tr>
      <w:tr w:rsidR="006B1FB0" w:rsidRPr="00690162" w:rsidTr="006B1FB0">
        <w:tc>
          <w:tcPr>
            <w:tcW w:w="9576" w:type="dxa"/>
            <w:gridSpan w:val="2"/>
          </w:tcPr>
          <w:p w:rsidR="006B1FB0" w:rsidRPr="00186B1A" w:rsidRDefault="006B1FB0" w:rsidP="00650BC1">
            <w:pPr>
              <w:pStyle w:val="SCCShortJudgment"/>
              <w:rPr>
                <w:szCs w:val="20"/>
              </w:rPr>
            </w:pPr>
            <w:r w:rsidRPr="00186B1A">
              <w:rPr>
                <w:szCs w:val="20"/>
              </w:rPr>
              <w:t>The motions for an extension of time to serve and file the application for leave to appeal and the applicant’s reply are granted. The application for leave to appeal from the judgment of the Court of Appeal for Ontario, Numbers C55269 and C55308, 2014 ONCA 15, dated January 10, 2014, is dismissed without costs.</w:t>
            </w:r>
          </w:p>
          <w:p w:rsidR="006B1FB0" w:rsidRPr="00186B1A" w:rsidRDefault="006B1FB0" w:rsidP="00650BC1">
            <w:pPr>
              <w:pStyle w:val="SCCShortJudgment"/>
              <w:ind w:firstLine="0"/>
              <w:rPr>
                <w:szCs w:val="20"/>
              </w:rPr>
            </w:pPr>
          </w:p>
          <w:p w:rsidR="006B1FB0" w:rsidRPr="00186B1A" w:rsidRDefault="006B1FB0" w:rsidP="00650BC1">
            <w:pPr>
              <w:pStyle w:val="SCCShortJudgment"/>
              <w:rPr>
                <w:szCs w:val="20"/>
                <w:lang w:val="fr-CA"/>
              </w:rPr>
            </w:pPr>
            <w:r w:rsidRPr="00186B1A">
              <w:rPr>
                <w:szCs w:val="20"/>
                <w:lang w:val="fr-CA"/>
              </w:rPr>
              <w:lastRenderedPageBreak/>
              <w:t>Les requêtes en prorogation du délai de signification et de dépôt de la demande d’autorisation d’appel et de la réplique du demandeur sont accueillies. La demande d’autorisation d’appel de l’arrêt de la Cour d’appel de l’Ontario, numéros C55269 et C55308, 2014 ONCA 15, daté du 10 janvier 2014, est rejetée sans dépens.</w:t>
            </w:r>
          </w:p>
        </w:tc>
      </w:tr>
    </w:tbl>
    <w:p w:rsidR="00915D6A" w:rsidRPr="0016547E" w:rsidRDefault="00915D6A" w:rsidP="00915D6A">
      <w:pPr>
        <w:rPr>
          <w:sz w:val="20"/>
          <w:szCs w:val="20"/>
          <w:lang w:val="fr-CA"/>
        </w:rPr>
      </w:pPr>
    </w:p>
    <w:p w:rsidR="00915D6A" w:rsidRPr="001B157C" w:rsidRDefault="00915D6A" w:rsidP="00915D6A">
      <w:pPr>
        <w:rPr>
          <w:sz w:val="20"/>
          <w:szCs w:val="20"/>
          <w:u w:val="single"/>
        </w:rPr>
      </w:pPr>
      <w:r w:rsidRPr="001B157C">
        <w:rPr>
          <w:sz w:val="20"/>
          <w:szCs w:val="20"/>
          <w:u w:val="single"/>
        </w:rPr>
        <w:t>CASE SUMMARY</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10434" w:rsidRPr="00A16F83" w:rsidTr="004275A1">
        <w:tc>
          <w:tcPr>
            <w:tcW w:w="5000" w:type="pct"/>
            <w:gridSpan w:val="3"/>
          </w:tcPr>
          <w:p w:rsidR="00210434" w:rsidRPr="00A16F83" w:rsidRDefault="00210434" w:rsidP="004275A1">
            <w:pPr>
              <w:jc w:val="both"/>
              <w:rPr>
                <w:rFonts w:eastAsia="Calibri"/>
                <w:sz w:val="20"/>
              </w:rPr>
            </w:pPr>
            <w:r w:rsidRPr="00A16F83">
              <w:rPr>
                <w:rFonts w:eastAsia="Calibri"/>
                <w:sz w:val="20"/>
              </w:rPr>
              <w:t>Criminal law — Evidence — Sentencing — Dangerous Offender — Whether trial counsel was incompetent — Whether the trial judge erred and also misapprehended the evidence — Whether the Court of Appeal erred regarding the appellate review of applicant’s sentence — Whether there was a proper application of credit for pre-sentence custody — Whether there are issues of public importance raised.</w:t>
            </w:r>
          </w:p>
        </w:tc>
      </w:tr>
      <w:tr w:rsidR="00210434" w:rsidRPr="00A16F83" w:rsidTr="004275A1">
        <w:tc>
          <w:tcPr>
            <w:tcW w:w="5000" w:type="pct"/>
            <w:gridSpan w:val="3"/>
          </w:tcPr>
          <w:p w:rsidR="00210434" w:rsidRPr="00A16F83" w:rsidRDefault="00210434" w:rsidP="004275A1">
            <w:pPr>
              <w:jc w:val="both"/>
              <w:rPr>
                <w:rFonts w:eastAsia="Calibri"/>
                <w:sz w:val="20"/>
              </w:rPr>
            </w:pPr>
          </w:p>
        </w:tc>
      </w:tr>
      <w:tr w:rsidR="00210434" w:rsidRPr="00A16F83" w:rsidTr="004275A1">
        <w:tc>
          <w:tcPr>
            <w:tcW w:w="5000" w:type="pct"/>
            <w:gridSpan w:val="3"/>
          </w:tcPr>
          <w:p w:rsidR="00210434" w:rsidRPr="00A16F83" w:rsidRDefault="00210434" w:rsidP="004275A1">
            <w:pPr>
              <w:jc w:val="both"/>
              <w:rPr>
                <w:rFonts w:eastAsia="Calibri"/>
                <w:sz w:val="20"/>
              </w:rPr>
            </w:pPr>
            <w:r w:rsidRPr="00A16F83">
              <w:rPr>
                <w:rFonts w:eastAsia="Calibri"/>
                <w:sz w:val="20"/>
              </w:rPr>
              <w:t>The applicant was found guilty of the following: assault causing bodily harm, aggravated assault, assault with a weapon, possession of a dangerous weapon, threaten death, obstruct justice and breaching multiple probation orders.  The trial judge dismissed the respondent’s application to declare the applicant a dangerous offender.  A term of imprisonment of six years was imposed after allowing credit for pre-trial custody.  The Court of Appeal dismissed the applicant’s conviction appeal and allowed the respondent’s appeal against sentence.  The applicant was declared a dangerous offender.  A term of five years imprisonment and a ten-year supervision order was imposed.</w:t>
            </w:r>
          </w:p>
        </w:tc>
      </w:tr>
      <w:tr w:rsidR="00210434" w:rsidRPr="00A16F83" w:rsidTr="004275A1">
        <w:tc>
          <w:tcPr>
            <w:tcW w:w="5000" w:type="pct"/>
            <w:gridSpan w:val="3"/>
          </w:tcPr>
          <w:p w:rsidR="00210434" w:rsidRPr="00A16F83" w:rsidRDefault="00210434" w:rsidP="004275A1">
            <w:pPr>
              <w:jc w:val="both"/>
              <w:rPr>
                <w:rFonts w:eastAsia="Calibri"/>
                <w:sz w:val="20"/>
              </w:rPr>
            </w:pPr>
          </w:p>
        </w:tc>
      </w:tr>
      <w:tr w:rsidR="00210434" w:rsidRPr="00A16F83" w:rsidTr="004275A1">
        <w:tc>
          <w:tcPr>
            <w:tcW w:w="2427" w:type="pct"/>
          </w:tcPr>
          <w:p w:rsidR="00210434" w:rsidRPr="00A16F83" w:rsidRDefault="00210434" w:rsidP="004275A1">
            <w:pPr>
              <w:jc w:val="both"/>
              <w:rPr>
                <w:rFonts w:eastAsia="Calibri"/>
                <w:sz w:val="20"/>
              </w:rPr>
            </w:pPr>
            <w:r w:rsidRPr="00A16F83">
              <w:rPr>
                <w:rFonts w:eastAsia="Calibri"/>
                <w:sz w:val="20"/>
              </w:rPr>
              <w:t>December 22, 2010</w:t>
            </w:r>
          </w:p>
          <w:p w:rsidR="00210434" w:rsidRPr="00A16F83" w:rsidRDefault="00210434" w:rsidP="004275A1">
            <w:pPr>
              <w:jc w:val="both"/>
              <w:rPr>
                <w:rFonts w:eastAsia="Calibri"/>
                <w:sz w:val="20"/>
              </w:rPr>
            </w:pPr>
            <w:r w:rsidRPr="00A16F83">
              <w:rPr>
                <w:rFonts w:eastAsia="Calibri"/>
                <w:sz w:val="20"/>
              </w:rPr>
              <w:t>Ontario Superior Court of Justice</w:t>
            </w:r>
          </w:p>
          <w:p w:rsidR="00210434" w:rsidRPr="00A16F83" w:rsidRDefault="00210434" w:rsidP="004275A1">
            <w:pPr>
              <w:jc w:val="both"/>
              <w:rPr>
                <w:rFonts w:eastAsia="Calibri"/>
                <w:sz w:val="20"/>
              </w:rPr>
            </w:pPr>
            <w:r w:rsidRPr="00A16F83">
              <w:rPr>
                <w:rFonts w:eastAsia="Calibri"/>
                <w:sz w:val="20"/>
              </w:rPr>
              <w:t>(Lofchik J.)</w:t>
            </w:r>
          </w:p>
        </w:tc>
        <w:tc>
          <w:tcPr>
            <w:tcW w:w="243" w:type="pct"/>
          </w:tcPr>
          <w:p w:rsidR="00210434" w:rsidRPr="00A16F83" w:rsidRDefault="00210434" w:rsidP="004275A1">
            <w:pPr>
              <w:jc w:val="both"/>
              <w:rPr>
                <w:rFonts w:eastAsia="Calibri"/>
                <w:sz w:val="20"/>
              </w:rPr>
            </w:pPr>
          </w:p>
        </w:tc>
        <w:tc>
          <w:tcPr>
            <w:tcW w:w="2330" w:type="pct"/>
          </w:tcPr>
          <w:p w:rsidR="00210434" w:rsidRPr="00A16F83" w:rsidRDefault="00210434" w:rsidP="004275A1">
            <w:pPr>
              <w:jc w:val="both"/>
              <w:rPr>
                <w:rFonts w:eastAsia="Calibri"/>
                <w:sz w:val="20"/>
              </w:rPr>
            </w:pPr>
            <w:r w:rsidRPr="00A16F83">
              <w:rPr>
                <w:rFonts w:eastAsia="Calibri"/>
                <w:sz w:val="20"/>
              </w:rPr>
              <w:t>Conviction: assault causing bodily harm, breach of probation (7 counts), aggravated assault, assault with a weapon, possession of a dangerous weapon, threaten death, and obstruct justice</w:t>
            </w:r>
          </w:p>
          <w:p w:rsidR="00210434" w:rsidRPr="00A16F83" w:rsidRDefault="00210434" w:rsidP="004275A1">
            <w:pPr>
              <w:jc w:val="both"/>
              <w:rPr>
                <w:rFonts w:eastAsia="Calibri"/>
                <w:sz w:val="20"/>
              </w:rPr>
            </w:pPr>
          </w:p>
        </w:tc>
      </w:tr>
      <w:tr w:rsidR="00210434" w:rsidRPr="00A16F83" w:rsidTr="004275A1">
        <w:tc>
          <w:tcPr>
            <w:tcW w:w="2427" w:type="pct"/>
          </w:tcPr>
          <w:p w:rsidR="00210434" w:rsidRPr="00A16F83" w:rsidRDefault="00210434" w:rsidP="004275A1">
            <w:pPr>
              <w:jc w:val="both"/>
              <w:rPr>
                <w:rFonts w:eastAsia="Calibri"/>
                <w:sz w:val="20"/>
              </w:rPr>
            </w:pPr>
            <w:r w:rsidRPr="00A16F83">
              <w:rPr>
                <w:rFonts w:eastAsia="Calibri"/>
                <w:sz w:val="20"/>
              </w:rPr>
              <w:t>February 29, 2012</w:t>
            </w:r>
          </w:p>
          <w:p w:rsidR="00210434" w:rsidRPr="00A16F83" w:rsidRDefault="00210434" w:rsidP="004275A1">
            <w:pPr>
              <w:jc w:val="both"/>
              <w:rPr>
                <w:rFonts w:eastAsia="Calibri"/>
                <w:sz w:val="20"/>
              </w:rPr>
            </w:pPr>
            <w:r w:rsidRPr="00A16F83">
              <w:rPr>
                <w:rFonts w:eastAsia="Calibri"/>
                <w:sz w:val="20"/>
              </w:rPr>
              <w:t>Ontario Superior Court of Justice</w:t>
            </w:r>
          </w:p>
          <w:p w:rsidR="00210434" w:rsidRPr="00A16F83" w:rsidRDefault="00210434" w:rsidP="004275A1">
            <w:pPr>
              <w:jc w:val="both"/>
              <w:rPr>
                <w:rFonts w:eastAsia="Calibri"/>
                <w:sz w:val="20"/>
              </w:rPr>
            </w:pPr>
            <w:r w:rsidRPr="00A16F83">
              <w:rPr>
                <w:rFonts w:eastAsia="Calibri"/>
                <w:sz w:val="20"/>
              </w:rPr>
              <w:t>(Lofchik J.)</w:t>
            </w:r>
          </w:p>
          <w:p w:rsidR="00210434" w:rsidRPr="00A16F83" w:rsidRDefault="00210434" w:rsidP="004275A1">
            <w:pPr>
              <w:jc w:val="both"/>
              <w:rPr>
                <w:rFonts w:eastAsia="Calibri"/>
                <w:sz w:val="20"/>
              </w:rPr>
            </w:pPr>
            <w:r w:rsidRPr="00A16F83">
              <w:rPr>
                <w:rFonts w:eastAsia="Calibri"/>
                <w:sz w:val="20"/>
              </w:rPr>
              <w:t>2012 ONSC 1376</w:t>
            </w:r>
          </w:p>
          <w:p w:rsidR="00210434" w:rsidRPr="00A16F83" w:rsidRDefault="00690162" w:rsidP="004275A1">
            <w:pPr>
              <w:jc w:val="both"/>
              <w:rPr>
                <w:rFonts w:eastAsia="Calibri"/>
                <w:sz w:val="20"/>
              </w:rPr>
            </w:pPr>
            <w:hyperlink r:id="rId46" w:history="1">
              <w:r w:rsidR="00210434" w:rsidRPr="00A16F83">
                <w:rPr>
                  <w:rFonts w:eastAsia="Calibri"/>
                  <w:color w:val="0000FF"/>
                  <w:sz w:val="20"/>
                  <w:u w:val="single"/>
                </w:rPr>
                <w:t>http://canlii.ca/t/fqbxj</w:t>
              </w:r>
            </w:hyperlink>
          </w:p>
          <w:p w:rsidR="00210434" w:rsidRPr="00A16F83" w:rsidRDefault="00210434" w:rsidP="004275A1">
            <w:pPr>
              <w:jc w:val="both"/>
              <w:rPr>
                <w:rFonts w:eastAsia="Calibri"/>
                <w:sz w:val="20"/>
              </w:rPr>
            </w:pPr>
          </w:p>
        </w:tc>
        <w:tc>
          <w:tcPr>
            <w:tcW w:w="243" w:type="pct"/>
          </w:tcPr>
          <w:p w:rsidR="00210434" w:rsidRPr="00A16F83" w:rsidRDefault="00210434" w:rsidP="004275A1">
            <w:pPr>
              <w:jc w:val="both"/>
              <w:rPr>
                <w:rFonts w:eastAsia="Calibri"/>
                <w:sz w:val="20"/>
              </w:rPr>
            </w:pPr>
          </w:p>
        </w:tc>
        <w:tc>
          <w:tcPr>
            <w:tcW w:w="2330" w:type="pct"/>
          </w:tcPr>
          <w:p w:rsidR="00210434" w:rsidRPr="00A16F83" w:rsidRDefault="00210434" w:rsidP="004275A1">
            <w:pPr>
              <w:jc w:val="both"/>
              <w:rPr>
                <w:rFonts w:eastAsia="Calibri"/>
                <w:sz w:val="20"/>
              </w:rPr>
            </w:pPr>
            <w:r w:rsidRPr="00A16F83">
              <w:rPr>
                <w:rFonts w:eastAsia="Calibri"/>
                <w:sz w:val="20"/>
              </w:rPr>
              <w:t>Sentence:  Respondent’s application to declare applicant a dangerous offender dismissed; term of imprisonment of six years imposed</w:t>
            </w:r>
          </w:p>
        </w:tc>
      </w:tr>
      <w:tr w:rsidR="00210434" w:rsidRPr="00A16F83" w:rsidTr="004275A1">
        <w:tc>
          <w:tcPr>
            <w:tcW w:w="2427" w:type="pct"/>
          </w:tcPr>
          <w:p w:rsidR="00210434" w:rsidRPr="00A16F83" w:rsidRDefault="00210434" w:rsidP="004275A1">
            <w:pPr>
              <w:jc w:val="both"/>
              <w:rPr>
                <w:rFonts w:eastAsia="Calibri"/>
                <w:sz w:val="20"/>
              </w:rPr>
            </w:pPr>
            <w:r w:rsidRPr="00A16F83">
              <w:rPr>
                <w:rFonts w:eastAsia="Calibri"/>
                <w:sz w:val="20"/>
              </w:rPr>
              <w:t>January 10, 2014</w:t>
            </w:r>
          </w:p>
          <w:p w:rsidR="00210434" w:rsidRPr="00A16F83" w:rsidRDefault="00210434" w:rsidP="004275A1">
            <w:pPr>
              <w:jc w:val="both"/>
              <w:rPr>
                <w:rFonts w:eastAsia="Calibri"/>
                <w:sz w:val="20"/>
              </w:rPr>
            </w:pPr>
            <w:r w:rsidRPr="00A16F83">
              <w:rPr>
                <w:rFonts w:eastAsia="Calibri"/>
                <w:sz w:val="20"/>
              </w:rPr>
              <w:t>Court of Appeal for Ontario</w:t>
            </w:r>
          </w:p>
          <w:p w:rsidR="00210434" w:rsidRPr="00A16F83" w:rsidRDefault="00210434" w:rsidP="004275A1">
            <w:pPr>
              <w:jc w:val="both"/>
              <w:rPr>
                <w:rFonts w:eastAsia="Calibri"/>
                <w:sz w:val="20"/>
              </w:rPr>
            </w:pPr>
            <w:r w:rsidRPr="00A16F83">
              <w:rPr>
                <w:rFonts w:eastAsia="Calibri"/>
                <w:sz w:val="20"/>
              </w:rPr>
              <w:t>(Rosenberg, Rouleau, Strathy JJ.A.)</w:t>
            </w:r>
          </w:p>
          <w:p w:rsidR="00210434" w:rsidRPr="00A16F83" w:rsidRDefault="00210434" w:rsidP="004275A1">
            <w:pPr>
              <w:jc w:val="both"/>
              <w:rPr>
                <w:rFonts w:eastAsia="Calibri"/>
                <w:sz w:val="20"/>
              </w:rPr>
            </w:pPr>
            <w:r w:rsidRPr="00A16F83">
              <w:rPr>
                <w:rFonts w:eastAsia="Calibri"/>
                <w:sz w:val="20"/>
              </w:rPr>
              <w:t>2014 ONCA 15, C55269</w:t>
            </w:r>
          </w:p>
          <w:p w:rsidR="00210434" w:rsidRPr="00A16F83" w:rsidRDefault="00690162" w:rsidP="004275A1">
            <w:pPr>
              <w:jc w:val="both"/>
              <w:rPr>
                <w:rFonts w:eastAsia="Calibri"/>
                <w:sz w:val="20"/>
              </w:rPr>
            </w:pPr>
            <w:hyperlink r:id="rId47" w:history="1">
              <w:r w:rsidR="00210434" w:rsidRPr="00A16F83">
                <w:rPr>
                  <w:rFonts w:eastAsia="Calibri"/>
                  <w:color w:val="0000FF"/>
                  <w:sz w:val="20"/>
                  <w:u w:val="single"/>
                </w:rPr>
                <w:t>http://canlii.ca/t/g2kc8</w:t>
              </w:r>
            </w:hyperlink>
          </w:p>
          <w:p w:rsidR="00210434" w:rsidRPr="00A16F83" w:rsidRDefault="00210434" w:rsidP="004275A1">
            <w:pPr>
              <w:jc w:val="both"/>
              <w:rPr>
                <w:rFonts w:eastAsia="Calibri"/>
                <w:sz w:val="20"/>
              </w:rPr>
            </w:pPr>
          </w:p>
        </w:tc>
        <w:tc>
          <w:tcPr>
            <w:tcW w:w="243" w:type="pct"/>
          </w:tcPr>
          <w:p w:rsidR="00210434" w:rsidRPr="00A16F83" w:rsidRDefault="00210434" w:rsidP="004275A1">
            <w:pPr>
              <w:jc w:val="both"/>
              <w:rPr>
                <w:rFonts w:eastAsia="Calibri"/>
                <w:sz w:val="20"/>
              </w:rPr>
            </w:pPr>
          </w:p>
        </w:tc>
        <w:tc>
          <w:tcPr>
            <w:tcW w:w="2330" w:type="pct"/>
          </w:tcPr>
          <w:p w:rsidR="00210434" w:rsidRPr="00A16F83" w:rsidRDefault="00210434" w:rsidP="004275A1">
            <w:pPr>
              <w:jc w:val="both"/>
              <w:rPr>
                <w:rFonts w:eastAsia="Calibri"/>
                <w:sz w:val="20"/>
              </w:rPr>
            </w:pPr>
            <w:r w:rsidRPr="00A16F83">
              <w:rPr>
                <w:rFonts w:eastAsia="Calibri"/>
                <w:sz w:val="20"/>
              </w:rPr>
              <w:t>Applicant’s conviction appeal dismissed; Respondent’s appeal against sentence allowed:  applicant declared a dangerous offender; term of five years imprisonment and a ten-year supervision order imposed</w:t>
            </w:r>
          </w:p>
        </w:tc>
      </w:tr>
      <w:tr w:rsidR="00210434" w:rsidRPr="00A16F83" w:rsidTr="004275A1">
        <w:tc>
          <w:tcPr>
            <w:tcW w:w="2427" w:type="pct"/>
          </w:tcPr>
          <w:p w:rsidR="00210434" w:rsidRPr="00A16F83" w:rsidRDefault="00210434" w:rsidP="004275A1">
            <w:pPr>
              <w:jc w:val="both"/>
              <w:rPr>
                <w:rFonts w:eastAsia="Calibri"/>
                <w:sz w:val="20"/>
              </w:rPr>
            </w:pPr>
            <w:r w:rsidRPr="00A16F83">
              <w:rPr>
                <w:rFonts w:eastAsia="Calibri"/>
                <w:sz w:val="20"/>
              </w:rPr>
              <w:t>July 24, 2014</w:t>
            </w:r>
          </w:p>
          <w:p w:rsidR="00210434" w:rsidRPr="00A16F83" w:rsidRDefault="00210434" w:rsidP="004275A1">
            <w:pPr>
              <w:jc w:val="both"/>
              <w:rPr>
                <w:rFonts w:eastAsia="Calibri"/>
                <w:sz w:val="20"/>
              </w:rPr>
            </w:pPr>
            <w:r w:rsidRPr="00A16F83">
              <w:rPr>
                <w:rFonts w:eastAsia="Calibri"/>
                <w:sz w:val="20"/>
              </w:rPr>
              <w:t>Supreme Court of Canada</w:t>
            </w:r>
          </w:p>
          <w:p w:rsidR="00210434" w:rsidRPr="00A16F83" w:rsidRDefault="00210434" w:rsidP="004275A1">
            <w:pPr>
              <w:jc w:val="both"/>
              <w:rPr>
                <w:rFonts w:eastAsia="Calibri"/>
                <w:sz w:val="20"/>
              </w:rPr>
            </w:pPr>
          </w:p>
        </w:tc>
        <w:tc>
          <w:tcPr>
            <w:tcW w:w="243" w:type="pct"/>
          </w:tcPr>
          <w:p w:rsidR="00210434" w:rsidRPr="00A16F83" w:rsidRDefault="00210434" w:rsidP="004275A1">
            <w:pPr>
              <w:jc w:val="both"/>
              <w:rPr>
                <w:rFonts w:eastAsia="Calibri"/>
                <w:sz w:val="20"/>
              </w:rPr>
            </w:pPr>
          </w:p>
        </w:tc>
        <w:tc>
          <w:tcPr>
            <w:tcW w:w="2330" w:type="pct"/>
          </w:tcPr>
          <w:p w:rsidR="00210434" w:rsidRPr="00A16F83" w:rsidRDefault="00210434" w:rsidP="004275A1">
            <w:pPr>
              <w:jc w:val="both"/>
              <w:rPr>
                <w:rFonts w:eastAsia="Calibri"/>
                <w:sz w:val="20"/>
              </w:rPr>
            </w:pPr>
            <w:r w:rsidRPr="00A16F83">
              <w:rPr>
                <w:rFonts w:eastAsia="Calibri"/>
                <w:sz w:val="20"/>
              </w:rPr>
              <w:t>Motion for an extension of time to serve and file the application for leave to appeal and application for leave to appeal filed</w:t>
            </w:r>
          </w:p>
          <w:p w:rsidR="00210434" w:rsidRPr="00A16F83" w:rsidRDefault="00210434" w:rsidP="004275A1">
            <w:pPr>
              <w:jc w:val="both"/>
              <w:rPr>
                <w:rFonts w:eastAsia="Calibri"/>
                <w:sz w:val="20"/>
              </w:rPr>
            </w:pPr>
          </w:p>
        </w:tc>
      </w:tr>
      <w:tr w:rsidR="00210434" w:rsidRPr="00A16F83" w:rsidTr="004275A1">
        <w:tc>
          <w:tcPr>
            <w:tcW w:w="2427" w:type="pct"/>
          </w:tcPr>
          <w:p w:rsidR="00210434" w:rsidRPr="00A16F83" w:rsidRDefault="00210434" w:rsidP="004275A1">
            <w:pPr>
              <w:jc w:val="both"/>
              <w:rPr>
                <w:rFonts w:eastAsia="Calibri"/>
                <w:sz w:val="20"/>
              </w:rPr>
            </w:pPr>
            <w:r w:rsidRPr="00A16F83">
              <w:rPr>
                <w:rFonts w:eastAsia="Calibri"/>
                <w:sz w:val="20"/>
              </w:rPr>
              <w:t>September 30, 2014</w:t>
            </w:r>
          </w:p>
          <w:p w:rsidR="00210434" w:rsidRPr="00A16F83" w:rsidRDefault="00210434" w:rsidP="004275A1">
            <w:pPr>
              <w:jc w:val="both"/>
              <w:rPr>
                <w:rFonts w:eastAsia="Calibri"/>
                <w:sz w:val="20"/>
              </w:rPr>
            </w:pPr>
            <w:r w:rsidRPr="00A16F83">
              <w:rPr>
                <w:rFonts w:eastAsia="Calibri"/>
                <w:sz w:val="20"/>
              </w:rPr>
              <w:t>Supreme Court of Canada</w:t>
            </w:r>
          </w:p>
        </w:tc>
        <w:tc>
          <w:tcPr>
            <w:tcW w:w="243" w:type="pct"/>
          </w:tcPr>
          <w:p w:rsidR="00210434" w:rsidRPr="00A16F83" w:rsidRDefault="00210434" w:rsidP="004275A1">
            <w:pPr>
              <w:jc w:val="both"/>
              <w:rPr>
                <w:rFonts w:eastAsia="Calibri"/>
                <w:sz w:val="20"/>
              </w:rPr>
            </w:pPr>
          </w:p>
        </w:tc>
        <w:tc>
          <w:tcPr>
            <w:tcW w:w="2330" w:type="pct"/>
          </w:tcPr>
          <w:p w:rsidR="00210434" w:rsidRPr="00A16F83" w:rsidRDefault="00210434" w:rsidP="004275A1">
            <w:pPr>
              <w:jc w:val="both"/>
              <w:rPr>
                <w:rFonts w:eastAsia="Calibri"/>
                <w:sz w:val="20"/>
              </w:rPr>
            </w:pPr>
            <w:r w:rsidRPr="00A16F83">
              <w:rPr>
                <w:rFonts w:eastAsia="Calibri"/>
                <w:sz w:val="20"/>
              </w:rPr>
              <w:t>Motion for an extension of time to serve and file the reply</w:t>
            </w:r>
          </w:p>
        </w:tc>
      </w:tr>
    </w:tbl>
    <w:p w:rsidR="00915D6A" w:rsidRDefault="00915D6A" w:rsidP="00915D6A">
      <w:pPr>
        <w:rPr>
          <w:sz w:val="20"/>
          <w:szCs w:val="20"/>
        </w:rPr>
      </w:pPr>
    </w:p>
    <w:p w:rsidR="00915D6A" w:rsidRPr="00C50A5C" w:rsidRDefault="00690162" w:rsidP="00915D6A">
      <w:pPr>
        <w:rPr>
          <w:sz w:val="20"/>
          <w:szCs w:val="20"/>
        </w:rPr>
      </w:pPr>
      <w:r>
        <w:rPr>
          <w:sz w:val="20"/>
          <w:szCs w:val="20"/>
          <w:lang w:val="fr-CA"/>
        </w:rPr>
        <w:pict>
          <v:rect id="_x0000_i1056" style="width:2in;height:1pt" o:hrpct="0" o:hralign="center" o:hrstd="t" o:hrnoshade="t" o:hr="t" fillcolor="black [3213]" stroked="f"/>
        </w:pict>
      </w:r>
    </w:p>
    <w:p w:rsidR="00915D6A" w:rsidRDefault="00915D6A" w:rsidP="00915D6A">
      <w:pPr>
        <w:rPr>
          <w:sz w:val="20"/>
          <w:szCs w:val="20"/>
        </w:rPr>
      </w:pPr>
    </w:p>
    <w:p w:rsidR="00915D6A" w:rsidRPr="001B157C" w:rsidRDefault="00915D6A" w:rsidP="00915D6A">
      <w:pPr>
        <w:rPr>
          <w:sz w:val="20"/>
          <w:szCs w:val="20"/>
          <w:u w:val="single"/>
          <w:lang w:val="fr-CA"/>
        </w:rPr>
      </w:pPr>
      <w:r w:rsidRPr="001B157C">
        <w:rPr>
          <w:sz w:val="20"/>
          <w:szCs w:val="20"/>
          <w:u w:val="single"/>
          <w:lang w:val="fr-CA"/>
        </w:rPr>
        <w:t>RÉSUMÉ DE L’AFFAIRE</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10434" w:rsidRPr="00690162" w:rsidTr="004275A1">
        <w:tc>
          <w:tcPr>
            <w:tcW w:w="5000" w:type="pct"/>
            <w:gridSpan w:val="3"/>
          </w:tcPr>
          <w:p w:rsidR="00210434" w:rsidRPr="00A16F83" w:rsidRDefault="00210434" w:rsidP="004275A1">
            <w:pPr>
              <w:jc w:val="both"/>
              <w:rPr>
                <w:rFonts w:eastAsia="Calibri"/>
                <w:sz w:val="20"/>
                <w:lang w:val="fr-CA"/>
              </w:rPr>
            </w:pPr>
            <w:r w:rsidRPr="00A16F83">
              <w:rPr>
                <w:rFonts w:eastAsia="Calibri"/>
                <w:sz w:val="20"/>
                <w:lang w:val="fr-CA"/>
              </w:rPr>
              <w:t xml:space="preserve">Droit criminel — Preuve — Détermination de la peine — Délinquant dangereux — L’avocate de l’accusé au procès était-elle incompétente? — Le juge du procès s’est-il trompé en plus de se méprendre sur la preuve? — La Cour d’appel a-t-elle fait erreur en ce qui concerne le contrôle en appel de la peine infligée au demandeur? — La peine a-t-elle été réduite comme il se doit compte tenu de la détention présentencielle? — L’affaire soulève-t-elle des questions </w:t>
            </w:r>
            <w:r w:rsidRPr="00A16F83">
              <w:rPr>
                <w:rFonts w:eastAsia="Calibri"/>
                <w:sz w:val="20"/>
                <w:lang w:val="fr-CA"/>
              </w:rPr>
              <w:lastRenderedPageBreak/>
              <w:t>d’importance pour le public?</w:t>
            </w:r>
          </w:p>
        </w:tc>
      </w:tr>
      <w:tr w:rsidR="00210434" w:rsidRPr="00690162" w:rsidTr="004275A1">
        <w:tc>
          <w:tcPr>
            <w:tcW w:w="5000" w:type="pct"/>
            <w:gridSpan w:val="3"/>
          </w:tcPr>
          <w:p w:rsidR="00210434" w:rsidRPr="00A16F83" w:rsidRDefault="00210434" w:rsidP="004275A1">
            <w:pPr>
              <w:jc w:val="both"/>
              <w:rPr>
                <w:rFonts w:eastAsia="Calibri"/>
                <w:sz w:val="20"/>
                <w:lang w:val="fr-CA"/>
              </w:rPr>
            </w:pPr>
          </w:p>
        </w:tc>
      </w:tr>
      <w:tr w:rsidR="00210434" w:rsidRPr="00690162" w:rsidTr="004275A1">
        <w:tc>
          <w:tcPr>
            <w:tcW w:w="5000" w:type="pct"/>
            <w:gridSpan w:val="3"/>
          </w:tcPr>
          <w:p w:rsidR="00210434" w:rsidRPr="00A16F83" w:rsidRDefault="00210434" w:rsidP="004275A1">
            <w:pPr>
              <w:jc w:val="both"/>
              <w:rPr>
                <w:rFonts w:eastAsia="Calibri"/>
                <w:sz w:val="20"/>
                <w:lang w:val="fr-CA"/>
              </w:rPr>
            </w:pPr>
            <w:r w:rsidRPr="00A16F83">
              <w:rPr>
                <w:rFonts w:eastAsia="Calibri"/>
                <w:sz w:val="20"/>
                <w:lang w:val="fr-CA"/>
              </w:rPr>
              <w:t xml:space="preserve">Le demandeur a été reconnu coupable des infractions suivantes : voies de fait causant des lésions corporelles, voies de fait graves, agression armée, possession d’une arme dangereuse, menace de mort, entrave à la justice et violation de multiples ordonnances de probation.  Le juge du procès a rejeté la demande de l’intimée en vue de faire déclarer le demandeur délinquant dangereux.  Il a infligé un emprisonnement de six ans après avoir pris en compte la détention présentencielle.  La Cour d’appel a rejeté l’appel formé par le demandeur contre sa déclaration de culpabilité et fait droit à l’appel interjeté par l’intimée contre la sentence.  Le demandeur a été déclaré délinquant dangereux.  Il s’est vu imposer un emprisonnement de cinq ans et une ordonnance de surveillance de dix ans. </w:t>
            </w:r>
          </w:p>
        </w:tc>
      </w:tr>
      <w:tr w:rsidR="00210434" w:rsidRPr="00690162" w:rsidTr="004275A1">
        <w:tc>
          <w:tcPr>
            <w:tcW w:w="5000" w:type="pct"/>
            <w:gridSpan w:val="3"/>
          </w:tcPr>
          <w:p w:rsidR="00210434" w:rsidRPr="00A16F83" w:rsidRDefault="00210434" w:rsidP="004275A1">
            <w:pPr>
              <w:jc w:val="both"/>
              <w:rPr>
                <w:rFonts w:eastAsia="Calibri"/>
                <w:sz w:val="20"/>
                <w:lang w:val="fr-CA"/>
              </w:rPr>
            </w:pPr>
          </w:p>
        </w:tc>
      </w:tr>
      <w:tr w:rsidR="00210434" w:rsidRPr="00690162" w:rsidTr="004275A1">
        <w:tc>
          <w:tcPr>
            <w:tcW w:w="2427" w:type="pct"/>
          </w:tcPr>
          <w:p w:rsidR="00210434" w:rsidRPr="00A16F83" w:rsidRDefault="00210434" w:rsidP="004275A1">
            <w:pPr>
              <w:jc w:val="both"/>
              <w:rPr>
                <w:rFonts w:eastAsia="Calibri"/>
                <w:sz w:val="20"/>
                <w:lang w:val="fr-CA"/>
              </w:rPr>
            </w:pPr>
            <w:r w:rsidRPr="00A16F83">
              <w:rPr>
                <w:rFonts w:eastAsia="Calibri"/>
                <w:sz w:val="20"/>
                <w:lang w:val="fr-CA"/>
              </w:rPr>
              <w:t>22 décembre 2010</w:t>
            </w:r>
          </w:p>
          <w:p w:rsidR="00210434" w:rsidRPr="00A16F83" w:rsidRDefault="00210434" w:rsidP="004275A1">
            <w:pPr>
              <w:jc w:val="both"/>
              <w:rPr>
                <w:rFonts w:eastAsia="Calibri"/>
                <w:sz w:val="20"/>
                <w:lang w:val="fr-CA"/>
              </w:rPr>
            </w:pPr>
            <w:r w:rsidRPr="00A16F83">
              <w:rPr>
                <w:rFonts w:eastAsia="Calibri"/>
                <w:sz w:val="20"/>
                <w:lang w:val="fr-CA"/>
              </w:rPr>
              <w:t xml:space="preserve">Cour supérieure de justice de l’Ontario </w:t>
            </w:r>
          </w:p>
          <w:p w:rsidR="00210434" w:rsidRPr="00A16F83" w:rsidRDefault="00210434" w:rsidP="004275A1">
            <w:pPr>
              <w:jc w:val="both"/>
              <w:rPr>
                <w:rFonts w:eastAsia="Calibri"/>
                <w:sz w:val="20"/>
              </w:rPr>
            </w:pPr>
            <w:r w:rsidRPr="00A16F83">
              <w:rPr>
                <w:rFonts w:eastAsia="Calibri"/>
                <w:sz w:val="20"/>
              </w:rPr>
              <w:t>(Juge Lofchik)</w:t>
            </w:r>
          </w:p>
        </w:tc>
        <w:tc>
          <w:tcPr>
            <w:tcW w:w="243" w:type="pct"/>
          </w:tcPr>
          <w:p w:rsidR="00210434" w:rsidRPr="00A16F83" w:rsidRDefault="00210434" w:rsidP="004275A1">
            <w:pPr>
              <w:jc w:val="both"/>
              <w:rPr>
                <w:rFonts w:eastAsia="Calibri"/>
                <w:sz w:val="20"/>
              </w:rPr>
            </w:pPr>
          </w:p>
        </w:tc>
        <w:tc>
          <w:tcPr>
            <w:tcW w:w="2330" w:type="pct"/>
          </w:tcPr>
          <w:p w:rsidR="00210434" w:rsidRPr="00A16F83" w:rsidRDefault="00210434" w:rsidP="004275A1">
            <w:pPr>
              <w:jc w:val="both"/>
              <w:rPr>
                <w:rFonts w:eastAsia="Calibri"/>
                <w:sz w:val="20"/>
                <w:lang w:val="fr-CA"/>
              </w:rPr>
            </w:pPr>
            <w:r w:rsidRPr="00A16F83">
              <w:rPr>
                <w:rFonts w:eastAsia="Calibri"/>
                <w:sz w:val="20"/>
                <w:lang w:val="fr-CA"/>
              </w:rPr>
              <w:t xml:space="preserve">Déclaration de culpabilité pour : voies de fait causant des lésions corporelles, violation d’une ordonnance de probation (7 chefs), voies de fait graves, agression armée, possession d’une arme dangereuse, menace de mort et entrave à la justice </w:t>
            </w:r>
          </w:p>
          <w:p w:rsidR="00210434" w:rsidRPr="00A16F83" w:rsidRDefault="00210434" w:rsidP="004275A1">
            <w:pPr>
              <w:jc w:val="both"/>
              <w:rPr>
                <w:rFonts w:eastAsia="Calibri"/>
                <w:sz w:val="20"/>
                <w:lang w:val="fr-CA"/>
              </w:rPr>
            </w:pPr>
          </w:p>
        </w:tc>
      </w:tr>
      <w:tr w:rsidR="00210434" w:rsidRPr="00690162" w:rsidTr="004275A1">
        <w:tc>
          <w:tcPr>
            <w:tcW w:w="2427" w:type="pct"/>
          </w:tcPr>
          <w:p w:rsidR="00210434" w:rsidRPr="00A16F83" w:rsidRDefault="00210434" w:rsidP="004275A1">
            <w:pPr>
              <w:jc w:val="both"/>
              <w:rPr>
                <w:rFonts w:eastAsia="Calibri"/>
                <w:sz w:val="20"/>
                <w:lang w:val="fr-CA"/>
              </w:rPr>
            </w:pPr>
            <w:r w:rsidRPr="00A16F83">
              <w:rPr>
                <w:rFonts w:eastAsia="Calibri"/>
                <w:sz w:val="20"/>
                <w:lang w:val="fr-CA"/>
              </w:rPr>
              <w:t>29 février 2012</w:t>
            </w:r>
          </w:p>
          <w:p w:rsidR="00210434" w:rsidRPr="00A16F83" w:rsidRDefault="00210434" w:rsidP="004275A1">
            <w:pPr>
              <w:jc w:val="both"/>
              <w:rPr>
                <w:rFonts w:eastAsia="Calibri"/>
                <w:sz w:val="20"/>
                <w:lang w:val="fr-CA"/>
              </w:rPr>
            </w:pPr>
            <w:r w:rsidRPr="00A16F83">
              <w:rPr>
                <w:rFonts w:eastAsia="Calibri"/>
                <w:sz w:val="20"/>
                <w:lang w:val="fr-CA"/>
              </w:rPr>
              <w:t xml:space="preserve">Cour supérieure de justice de l’Ontario </w:t>
            </w:r>
          </w:p>
          <w:p w:rsidR="00210434" w:rsidRPr="00A16F83" w:rsidRDefault="00210434" w:rsidP="004275A1">
            <w:pPr>
              <w:jc w:val="both"/>
              <w:rPr>
                <w:rFonts w:eastAsia="Calibri"/>
                <w:sz w:val="20"/>
                <w:lang w:val="fr-CA"/>
              </w:rPr>
            </w:pPr>
            <w:r w:rsidRPr="00A16F83">
              <w:rPr>
                <w:rFonts w:eastAsia="Calibri"/>
                <w:sz w:val="20"/>
                <w:lang w:val="fr-CA"/>
              </w:rPr>
              <w:t>(Juge Lofchik)</w:t>
            </w:r>
          </w:p>
          <w:p w:rsidR="00210434" w:rsidRPr="00A16F83" w:rsidRDefault="00210434" w:rsidP="004275A1">
            <w:pPr>
              <w:jc w:val="both"/>
              <w:rPr>
                <w:rFonts w:eastAsia="Calibri"/>
                <w:sz w:val="20"/>
                <w:lang w:val="fr-CA"/>
              </w:rPr>
            </w:pPr>
            <w:r w:rsidRPr="00A16F83">
              <w:rPr>
                <w:rFonts w:eastAsia="Calibri"/>
                <w:sz w:val="20"/>
                <w:lang w:val="fr-CA"/>
              </w:rPr>
              <w:t>2012 ONSC 1376</w:t>
            </w:r>
          </w:p>
          <w:p w:rsidR="00210434" w:rsidRPr="00A16F83" w:rsidRDefault="00690162" w:rsidP="004275A1">
            <w:pPr>
              <w:jc w:val="both"/>
              <w:rPr>
                <w:rFonts w:eastAsia="Calibri"/>
                <w:sz w:val="20"/>
                <w:lang w:val="fr-CA"/>
              </w:rPr>
            </w:pPr>
            <w:hyperlink r:id="rId48" w:history="1">
              <w:r w:rsidR="00210434" w:rsidRPr="00A16F83">
                <w:rPr>
                  <w:rFonts w:eastAsia="Calibri"/>
                  <w:color w:val="0000FF"/>
                  <w:sz w:val="20"/>
                  <w:u w:val="single"/>
                  <w:lang w:val="fr-CA"/>
                </w:rPr>
                <w:t>http://canlii.ca/t/fqbxj</w:t>
              </w:r>
            </w:hyperlink>
          </w:p>
          <w:p w:rsidR="00210434" w:rsidRPr="00A16F83" w:rsidRDefault="00210434" w:rsidP="004275A1">
            <w:pPr>
              <w:jc w:val="both"/>
              <w:rPr>
                <w:rFonts w:eastAsia="Calibri"/>
                <w:sz w:val="20"/>
                <w:lang w:val="fr-CA"/>
              </w:rPr>
            </w:pPr>
          </w:p>
        </w:tc>
        <w:tc>
          <w:tcPr>
            <w:tcW w:w="243" w:type="pct"/>
          </w:tcPr>
          <w:p w:rsidR="00210434" w:rsidRPr="00A16F83" w:rsidRDefault="00210434" w:rsidP="004275A1">
            <w:pPr>
              <w:jc w:val="both"/>
              <w:rPr>
                <w:rFonts w:eastAsia="Calibri"/>
                <w:sz w:val="20"/>
                <w:lang w:val="fr-CA"/>
              </w:rPr>
            </w:pPr>
          </w:p>
        </w:tc>
        <w:tc>
          <w:tcPr>
            <w:tcW w:w="2330" w:type="pct"/>
          </w:tcPr>
          <w:p w:rsidR="00210434" w:rsidRPr="00A16F83" w:rsidRDefault="00210434" w:rsidP="004275A1">
            <w:pPr>
              <w:jc w:val="both"/>
              <w:rPr>
                <w:rFonts w:eastAsia="Calibri"/>
                <w:sz w:val="20"/>
                <w:lang w:val="fr-CA"/>
              </w:rPr>
            </w:pPr>
            <w:r w:rsidRPr="00A16F83">
              <w:rPr>
                <w:rFonts w:eastAsia="Calibri"/>
                <w:sz w:val="20"/>
                <w:lang w:val="fr-CA"/>
              </w:rPr>
              <w:t>Sentence :  demande de l’intimée visant à faire déclarer le demandeur délinquant dangereux rejetée; emprisonnement de six ans infligé</w:t>
            </w:r>
          </w:p>
        </w:tc>
      </w:tr>
      <w:tr w:rsidR="00210434" w:rsidRPr="00690162" w:rsidTr="004275A1">
        <w:tc>
          <w:tcPr>
            <w:tcW w:w="2427" w:type="pct"/>
          </w:tcPr>
          <w:p w:rsidR="00210434" w:rsidRPr="00A16F83" w:rsidRDefault="00210434" w:rsidP="004275A1">
            <w:pPr>
              <w:jc w:val="both"/>
              <w:rPr>
                <w:rFonts w:eastAsia="Calibri"/>
                <w:sz w:val="20"/>
                <w:lang w:val="fr-CA"/>
              </w:rPr>
            </w:pPr>
            <w:r w:rsidRPr="00A16F83">
              <w:rPr>
                <w:rFonts w:eastAsia="Calibri"/>
                <w:sz w:val="20"/>
                <w:lang w:val="fr-CA"/>
              </w:rPr>
              <w:t>10 janvier 2014</w:t>
            </w:r>
          </w:p>
          <w:p w:rsidR="00210434" w:rsidRPr="00A16F83" w:rsidRDefault="00210434" w:rsidP="004275A1">
            <w:pPr>
              <w:jc w:val="both"/>
              <w:rPr>
                <w:rFonts w:eastAsia="Calibri"/>
                <w:sz w:val="20"/>
                <w:lang w:val="fr-CA"/>
              </w:rPr>
            </w:pPr>
            <w:r w:rsidRPr="00A16F83">
              <w:rPr>
                <w:rFonts w:eastAsia="Calibri"/>
                <w:sz w:val="20"/>
                <w:lang w:val="fr-CA"/>
              </w:rPr>
              <w:t>Cour d’appel de l’Ontario</w:t>
            </w:r>
          </w:p>
          <w:p w:rsidR="00210434" w:rsidRPr="00A16F83" w:rsidRDefault="00210434" w:rsidP="004275A1">
            <w:pPr>
              <w:jc w:val="both"/>
              <w:rPr>
                <w:rFonts w:eastAsia="Calibri"/>
                <w:sz w:val="20"/>
                <w:lang w:val="fr-CA"/>
              </w:rPr>
            </w:pPr>
            <w:r w:rsidRPr="00A16F83">
              <w:rPr>
                <w:rFonts w:eastAsia="Calibri"/>
                <w:sz w:val="20"/>
                <w:lang w:val="fr-CA"/>
              </w:rPr>
              <w:t>(Juges Rosenberg, Rouleau et Strathy)</w:t>
            </w:r>
          </w:p>
          <w:p w:rsidR="00210434" w:rsidRPr="00A16F83" w:rsidRDefault="00210434" w:rsidP="004275A1">
            <w:pPr>
              <w:jc w:val="both"/>
              <w:rPr>
                <w:rFonts w:eastAsia="Calibri"/>
                <w:sz w:val="20"/>
              </w:rPr>
            </w:pPr>
            <w:r w:rsidRPr="00A16F83">
              <w:rPr>
                <w:rFonts w:eastAsia="Calibri"/>
                <w:sz w:val="20"/>
              </w:rPr>
              <w:t>2014 ONCA 15, C55269</w:t>
            </w:r>
          </w:p>
          <w:p w:rsidR="00210434" w:rsidRPr="00A16F83" w:rsidRDefault="00690162" w:rsidP="004275A1">
            <w:pPr>
              <w:jc w:val="both"/>
              <w:rPr>
                <w:rFonts w:eastAsia="Calibri"/>
                <w:sz w:val="20"/>
              </w:rPr>
            </w:pPr>
            <w:hyperlink r:id="rId49" w:history="1">
              <w:r w:rsidR="00210434" w:rsidRPr="00A16F83">
                <w:rPr>
                  <w:rFonts w:eastAsia="Calibri"/>
                  <w:color w:val="0000FF"/>
                  <w:sz w:val="20"/>
                  <w:u w:val="single"/>
                </w:rPr>
                <w:t>http://canlii.ca/t/g2kc8</w:t>
              </w:r>
            </w:hyperlink>
          </w:p>
        </w:tc>
        <w:tc>
          <w:tcPr>
            <w:tcW w:w="243" w:type="pct"/>
          </w:tcPr>
          <w:p w:rsidR="00210434" w:rsidRPr="00A16F83" w:rsidRDefault="00210434" w:rsidP="004275A1">
            <w:pPr>
              <w:jc w:val="both"/>
              <w:rPr>
                <w:rFonts w:eastAsia="Calibri"/>
                <w:sz w:val="20"/>
              </w:rPr>
            </w:pPr>
          </w:p>
        </w:tc>
        <w:tc>
          <w:tcPr>
            <w:tcW w:w="2330" w:type="pct"/>
          </w:tcPr>
          <w:p w:rsidR="00210434" w:rsidRPr="00A16F83" w:rsidRDefault="00210434" w:rsidP="004275A1">
            <w:pPr>
              <w:jc w:val="both"/>
              <w:rPr>
                <w:rFonts w:eastAsia="Calibri"/>
                <w:sz w:val="20"/>
                <w:lang w:val="fr-CA"/>
              </w:rPr>
            </w:pPr>
            <w:r w:rsidRPr="00A16F83">
              <w:rPr>
                <w:rFonts w:eastAsia="Calibri"/>
                <w:sz w:val="20"/>
                <w:lang w:val="fr-CA"/>
              </w:rPr>
              <w:t>Appel formé par le demandeur contre sa déclaration de culpabilité rejeté; appel interjeté par l’intimée contre la sentence accueilli : demandeur déclaré délinquant dangereux; emprisonnement de cinq ans infligé et ordonnance de surveillance de dix ans rendue</w:t>
            </w:r>
          </w:p>
          <w:p w:rsidR="00210434" w:rsidRPr="00A16F83" w:rsidRDefault="00210434" w:rsidP="004275A1">
            <w:pPr>
              <w:jc w:val="both"/>
              <w:rPr>
                <w:rFonts w:eastAsia="Calibri"/>
                <w:sz w:val="20"/>
                <w:lang w:val="fr-CA"/>
              </w:rPr>
            </w:pPr>
          </w:p>
        </w:tc>
      </w:tr>
      <w:tr w:rsidR="00210434" w:rsidRPr="00690162" w:rsidTr="004275A1">
        <w:tc>
          <w:tcPr>
            <w:tcW w:w="2427" w:type="pct"/>
          </w:tcPr>
          <w:p w:rsidR="00210434" w:rsidRPr="00A16F83" w:rsidRDefault="00210434" w:rsidP="004275A1">
            <w:pPr>
              <w:jc w:val="both"/>
              <w:rPr>
                <w:rFonts w:eastAsia="Calibri"/>
                <w:sz w:val="20"/>
                <w:lang w:val="fr-CA"/>
              </w:rPr>
            </w:pPr>
            <w:r w:rsidRPr="00A16F83">
              <w:rPr>
                <w:rFonts w:eastAsia="Calibri"/>
                <w:sz w:val="20"/>
                <w:lang w:val="fr-CA"/>
              </w:rPr>
              <w:t>24 juillet 2014</w:t>
            </w:r>
          </w:p>
          <w:p w:rsidR="00210434" w:rsidRPr="00A16F83" w:rsidRDefault="00210434" w:rsidP="004275A1">
            <w:pPr>
              <w:jc w:val="both"/>
              <w:rPr>
                <w:rFonts w:eastAsia="Calibri"/>
                <w:sz w:val="20"/>
                <w:lang w:val="fr-CA"/>
              </w:rPr>
            </w:pPr>
            <w:r w:rsidRPr="00A16F83">
              <w:rPr>
                <w:rFonts w:eastAsia="Calibri"/>
                <w:sz w:val="20"/>
                <w:lang w:val="fr-CA"/>
              </w:rPr>
              <w:t>Cour suprême du Canada</w:t>
            </w:r>
          </w:p>
        </w:tc>
        <w:tc>
          <w:tcPr>
            <w:tcW w:w="243" w:type="pct"/>
          </w:tcPr>
          <w:p w:rsidR="00210434" w:rsidRPr="00A16F83" w:rsidRDefault="00210434" w:rsidP="004275A1">
            <w:pPr>
              <w:jc w:val="both"/>
              <w:rPr>
                <w:rFonts w:eastAsia="Calibri"/>
                <w:sz w:val="20"/>
                <w:lang w:val="fr-CA"/>
              </w:rPr>
            </w:pPr>
          </w:p>
        </w:tc>
        <w:tc>
          <w:tcPr>
            <w:tcW w:w="2330" w:type="pct"/>
          </w:tcPr>
          <w:p w:rsidR="00210434" w:rsidRPr="00A16F83" w:rsidRDefault="00210434" w:rsidP="004275A1">
            <w:pPr>
              <w:jc w:val="both"/>
              <w:rPr>
                <w:rFonts w:eastAsia="Calibri"/>
                <w:sz w:val="20"/>
                <w:lang w:val="fr-CA"/>
              </w:rPr>
            </w:pPr>
            <w:r w:rsidRPr="00A16F83">
              <w:rPr>
                <w:rFonts w:eastAsia="Calibri"/>
                <w:sz w:val="20"/>
                <w:lang w:val="fr-CA"/>
              </w:rPr>
              <w:t xml:space="preserve">Requête en prorogation du délai pour signifier et déposer la demande d’autorisation d’appel et demande d’autorisation d’appel déposées </w:t>
            </w:r>
          </w:p>
          <w:p w:rsidR="00210434" w:rsidRPr="00A16F83" w:rsidRDefault="00210434" w:rsidP="004275A1">
            <w:pPr>
              <w:jc w:val="both"/>
              <w:rPr>
                <w:rFonts w:eastAsia="Calibri"/>
                <w:sz w:val="20"/>
                <w:lang w:val="fr-CA"/>
              </w:rPr>
            </w:pPr>
          </w:p>
        </w:tc>
      </w:tr>
      <w:tr w:rsidR="00210434" w:rsidRPr="00690162" w:rsidTr="004275A1">
        <w:tc>
          <w:tcPr>
            <w:tcW w:w="2427" w:type="pct"/>
          </w:tcPr>
          <w:p w:rsidR="00210434" w:rsidRPr="00A16F83" w:rsidRDefault="00210434" w:rsidP="004275A1">
            <w:pPr>
              <w:jc w:val="both"/>
              <w:rPr>
                <w:rFonts w:eastAsia="Calibri"/>
                <w:sz w:val="20"/>
                <w:lang w:val="fr-CA"/>
              </w:rPr>
            </w:pPr>
            <w:r w:rsidRPr="00A16F83">
              <w:rPr>
                <w:rFonts w:eastAsia="Calibri"/>
                <w:sz w:val="20"/>
                <w:lang w:val="fr-CA"/>
              </w:rPr>
              <w:t>30 septembre 2014</w:t>
            </w:r>
          </w:p>
          <w:p w:rsidR="00210434" w:rsidRPr="00A16F83" w:rsidRDefault="00210434" w:rsidP="004275A1">
            <w:pPr>
              <w:jc w:val="both"/>
              <w:rPr>
                <w:rFonts w:eastAsia="Calibri"/>
                <w:sz w:val="20"/>
                <w:lang w:val="fr-CA"/>
              </w:rPr>
            </w:pPr>
            <w:r w:rsidRPr="00A16F83">
              <w:rPr>
                <w:rFonts w:eastAsia="Calibri"/>
                <w:sz w:val="20"/>
                <w:lang w:val="fr-CA"/>
              </w:rPr>
              <w:t>Cour suprême du Canada</w:t>
            </w:r>
          </w:p>
        </w:tc>
        <w:tc>
          <w:tcPr>
            <w:tcW w:w="243" w:type="pct"/>
          </w:tcPr>
          <w:p w:rsidR="00210434" w:rsidRPr="00A16F83" w:rsidRDefault="00210434" w:rsidP="004275A1">
            <w:pPr>
              <w:jc w:val="both"/>
              <w:rPr>
                <w:rFonts w:eastAsia="Calibri"/>
                <w:sz w:val="20"/>
                <w:lang w:val="fr-CA"/>
              </w:rPr>
            </w:pPr>
          </w:p>
        </w:tc>
        <w:tc>
          <w:tcPr>
            <w:tcW w:w="2330" w:type="pct"/>
          </w:tcPr>
          <w:p w:rsidR="00210434" w:rsidRPr="00A16F83" w:rsidRDefault="00210434" w:rsidP="004275A1">
            <w:pPr>
              <w:jc w:val="both"/>
              <w:rPr>
                <w:rFonts w:eastAsia="Calibri"/>
                <w:sz w:val="20"/>
                <w:lang w:val="fr-CA"/>
              </w:rPr>
            </w:pPr>
            <w:r w:rsidRPr="00A16F83">
              <w:rPr>
                <w:rFonts w:eastAsia="Calibri"/>
                <w:sz w:val="20"/>
                <w:lang w:val="fr-CA"/>
              </w:rPr>
              <w:t xml:space="preserve">Requête en prorogation du délai pour signifier et déposer la réplique </w:t>
            </w:r>
          </w:p>
        </w:tc>
      </w:tr>
    </w:tbl>
    <w:p w:rsidR="00915D6A" w:rsidRPr="00210434" w:rsidRDefault="00915D6A" w:rsidP="00915D6A">
      <w:pPr>
        <w:rPr>
          <w:sz w:val="20"/>
          <w:szCs w:val="20"/>
          <w:lang w:val="fr-CA"/>
        </w:rPr>
      </w:pPr>
    </w:p>
    <w:p w:rsidR="00915D6A" w:rsidRDefault="00690162" w:rsidP="00915D6A">
      <w:pPr>
        <w:rPr>
          <w:sz w:val="20"/>
          <w:szCs w:val="20"/>
        </w:rPr>
      </w:pPr>
      <w:r>
        <w:rPr>
          <w:sz w:val="20"/>
          <w:szCs w:val="20"/>
          <w:lang w:val="fr-CA"/>
        </w:rPr>
        <w:pict>
          <v:rect id="_x0000_i1057" style="width:2in;height:1pt" o:hrpct="0" o:hralign="center" o:hrstd="t" o:hrnoshade="t" o:hr="t" fillcolor="black [3213]" stroked="f"/>
        </w:pict>
      </w:r>
    </w:p>
    <w:p w:rsidR="00915D6A" w:rsidRDefault="00915D6A" w:rsidP="00915D6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B1FB0" w:rsidRPr="00690162" w:rsidTr="00650BC1">
        <w:trPr>
          <w:cantSplit/>
        </w:trPr>
        <w:tc>
          <w:tcPr>
            <w:tcW w:w="1458" w:type="dxa"/>
          </w:tcPr>
          <w:p w:rsidR="006B1FB0" w:rsidRPr="00186B1A" w:rsidRDefault="006B1FB0" w:rsidP="00650BC1">
            <w:pPr>
              <w:rPr>
                <w:sz w:val="20"/>
                <w:szCs w:val="20"/>
              </w:rPr>
            </w:pPr>
            <w:r w:rsidRPr="00186B1A">
              <w:rPr>
                <w:rStyle w:val="SCCFileNumberChar"/>
                <w:sz w:val="20"/>
                <w:szCs w:val="20"/>
              </w:rPr>
              <w:t>35988</w:t>
            </w:r>
          </w:p>
          <w:p w:rsidR="006B1FB0" w:rsidRPr="00186B1A" w:rsidRDefault="006B1FB0" w:rsidP="00650BC1">
            <w:pPr>
              <w:rPr>
                <w:b/>
                <w:sz w:val="20"/>
                <w:szCs w:val="20"/>
                <w:lang w:val="fr-CA"/>
              </w:rPr>
            </w:pPr>
          </w:p>
        </w:tc>
        <w:tc>
          <w:tcPr>
            <w:tcW w:w="8118" w:type="dxa"/>
          </w:tcPr>
          <w:p w:rsidR="006B1FB0" w:rsidRPr="00186B1A" w:rsidRDefault="006B1FB0" w:rsidP="00650BC1">
            <w:pPr>
              <w:jc w:val="both"/>
              <w:rPr>
                <w:sz w:val="20"/>
                <w:szCs w:val="20"/>
                <w:lang w:val="fr-CA"/>
              </w:rPr>
            </w:pPr>
            <w:r w:rsidRPr="00186B1A">
              <w:rPr>
                <w:rStyle w:val="SCCLsocChar"/>
                <w:sz w:val="20"/>
                <w:szCs w:val="20"/>
              </w:rPr>
              <w:t>Annie Marcheterre c. Carole Rollin, Luc Labrosse et Fédération Compagnie d'assurance du Canada</w:t>
            </w:r>
            <w:r w:rsidRPr="00186B1A">
              <w:rPr>
                <w:sz w:val="20"/>
                <w:szCs w:val="20"/>
                <w:lang w:val="fr-CA"/>
              </w:rPr>
              <w:t xml:space="preserve"> (Qc) (Civile) (Autorisation)</w:t>
            </w:r>
          </w:p>
          <w:p w:rsidR="006B1FB0" w:rsidRPr="00186B1A" w:rsidRDefault="006B1FB0" w:rsidP="00650BC1">
            <w:pPr>
              <w:jc w:val="both"/>
              <w:rPr>
                <w:sz w:val="20"/>
                <w:szCs w:val="20"/>
                <w:lang w:val="fr-CA"/>
              </w:rPr>
            </w:pPr>
          </w:p>
        </w:tc>
      </w:tr>
      <w:tr w:rsidR="006B1FB0" w:rsidRPr="00690162" w:rsidTr="00650BC1">
        <w:trPr>
          <w:cantSplit/>
        </w:trPr>
        <w:tc>
          <w:tcPr>
            <w:tcW w:w="1458" w:type="dxa"/>
          </w:tcPr>
          <w:p w:rsidR="006B1FB0" w:rsidRPr="00186B1A" w:rsidRDefault="006B1FB0" w:rsidP="00650BC1">
            <w:pPr>
              <w:rPr>
                <w:sz w:val="20"/>
                <w:szCs w:val="20"/>
              </w:rPr>
            </w:pPr>
            <w:r w:rsidRPr="00186B1A">
              <w:rPr>
                <w:sz w:val="20"/>
                <w:szCs w:val="20"/>
              </w:rPr>
              <w:t>Coram :</w:t>
            </w:r>
          </w:p>
        </w:tc>
        <w:tc>
          <w:tcPr>
            <w:tcW w:w="8118" w:type="dxa"/>
          </w:tcPr>
          <w:p w:rsidR="006B1FB0" w:rsidRPr="00186B1A" w:rsidRDefault="006B1FB0" w:rsidP="00650BC1">
            <w:pPr>
              <w:rPr>
                <w:sz w:val="20"/>
                <w:szCs w:val="20"/>
                <w:lang w:val="fr-CA"/>
              </w:rPr>
            </w:pPr>
            <w:r w:rsidRPr="00186B1A">
              <w:rPr>
                <w:rStyle w:val="SCCCoramChar"/>
                <w:sz w:val="20"/>
                <w:szCs w:val="20"/>
              </w:rPr>
              <w:t>Les juges LeBel, Karakatsanis et Gascon</w:t>
            </w:r>
          </w:p>
          <w:p w:rsidR="006B1FB0" w:rsidRPr="00186B1A" w:rsidRDefault="006B1FB0" w:rsidP="00650BC1">
            <w:pPr>
              <w:rPr>
                <w:sz w:val="20"/>
                <w:szCs w:val="20"/>
                <w:u w:val="single"/>
                <w:lang w:val="fr-CA"/>
              </w:rPr>
            </w:pPr>
          </w:p>
        </w:tc>
      </w:tr>
      <w:tr w:rsidR="006B1FB0" w:rsidRPr="00186B1A" w:rsidTr="00650BC1">
        <w:trPr>
          <w:cantSplit/>
        </w:trPr>
        <w:tc>
          <w:tcPr>
            <w:tcW w:w="9576" w:type="dxa"/>
            <w:gridSpan w:val="2"/>
          </w:tcPr>
          <w:p w:rsidR="006B1FB0" w:rsidRPr="00186B1A" w:rsidRDefault="006B1FB0" w:rsidP="00650BC1">
            <w:pPr>
              <w:pStyle w:val="SCCShortJudgment"/>
              <w:rPr>
                <w:szCs w:val="20"/>
                <w:lang w:val="fr-CA"/>
              </w:rPr>
            </w:pPr>
            <w:r w:rsidRPr="00186B1A">
              <w:rPr>
                <w:szCs w:val="20"/>
                <w:lang w:val="fr-CA"/>
              </w:rPr>
              <w:t>La demande d’autorisation d’appel de l’arrêt de la Cour d’appel du Québec (Montréal), numéro 500-09-023071-129, 2014 QCCA 1026, daté du 20 mai 2014, est rejetée avec dépens.</w:t>
            </w:r>
          </w:p>
          <w:p w:rsidR="006B1FB0" w:rsidRPr="00186B1A" w:rsidRDefault="006B1FB0" w:rsidP="00650BC1">
            <w:pPr>
              <w:pStyle w:val="SCCShortJudgment"/>
              <w:ind w:firstLine="0"/>
              <w:rPr>
                <w:szCs w:val="20"/>
                <w:lang w:val="fr-CA"/>
              </w:rPr>
            </w:pPr>
          </w:p>
          <w:p w:rsidR="006B1FB0" w:rsidRPr="00186B1A" w:rsidRDefault="006B1FB0" w:rsidP="00650BC1">
            <w:pPr>
              <w:pStyle w:val="SCCShortJudgment"/>
              <w:rPr>
                <w:szCs w:val="20"/>
              </w:rPr>
            </w:pPr>
            <w:r w:rsidRPr="00186B1A">
              <w:rPr>
                <w:szCs w:val="20"/>
              </w:rPr>
              <w:t>The application for leave to appeal from the judgment of the Court of Appeal of Quebec (Montréal), Number 500-09-023071-129, 2014 QCCA 1026, dated May 20, 2014, is dismissed with costs.</w:t>
            </w:r>
          </w:p>
        </w:tc>
      </w:tr>
    </w:tbl>
    <w:p w:rsidR="006B1FB0" w:rsidRDefault="006B1FB0" w:rsidP="00915D6A">
      <w:pPr>
        <w:rPr>
          <w:sz w:val="20"/>
          <w:szCs w:val="20"/>
        </w:rPr>
      </w:pPr>
    </w:p>
    <w:p w:rsidR="006B1FB0" w:rsidRDefault="006B1FB0">
      <w:pPr>
        <w:rPr>
          <w:sz w:val="20"/>
          <w:szCs w:val="20"/>
        </w:rPr>
      </w:pPr>
      <w:r>
        <w:rPr>
          <w:sz w:val="20"/>
          <w:szCs w:val="20"/>
        </w:rPr>
        <w:br w:type="page"/>
      </w:r>
    </w:p>
    <w:p w:rsidR="00915D6A" w:rsidRPr="001B157C" w:rsidRDefault="00915D6A" w:rsidP="00915D6A">
      <w:pPr>
        <w:rPr>
          <w:sz w:val="20"/>
          <w:szCs w:val="20"/>
          <w:u w:val="single"/>
        </w:rPr>
      </w:pPr>
      <w:r w:rsidRPr="001B157C">
        <w:rPr>
          <w:sz w:val="20"/>
          <w:szCs w:val="20"/>
          <w:u w:val="single"/>
        </w:rPr>
        <w:lastRenderedPageBreak/>
        <w:t>CASE SUMMARY</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10434" w:rsidRPr="00A16F83" w:rsidTr="004275A1">
        <w:tc>
          <w:tcPr>
            <w:tcW w:w="5000" w:type="pct"/>
            <w:gridSpan w:val="3"/>
          </w:tcPr>
          <w:p w:rsidR="00210434" w:rsidRPr="00A16F83" w:rsidRDefault="00210434" w:rsidP="004275A1">
            <w:pPr>
              <w:jc w:val="both"/>
              <w:rPr>
                <w:rFonts w:eastAsia="Calibri"/>
                <w:sz w:val="20"/>
              </w:rPr>
            </w:pPr>
            <w:r w:rsidRPr="00A16F83">
              <w:rPr>
                <w:rFonts w:eastAsia="Calibri"/>
                <w:sz w:val="20"/>
              </w:rPr>
              <w:t xml:space="preserve">Civil liability — Fault — Proof — Presumption of liability established by s. 108 of </w:t>
            </w:r>
            <w:r w:rsidRPr="00A16F83">
              <w:rPr>
                <w:rFonts w:eastAsia="Calibri"/>
                <w:i/>
                <w:sz w:val="20"/>
              </w:rPr>
              <w:t>Automobile Insurance Act</w:t>
            </w:r>
            <w:r w:rsidRPr="00A16F83">
              <w:rPr>
                <w:rFonts w:eastAsia="Calibri"/>
                <w:sz w:val="20"/>
              </w:rPr>
              <w:t>, CQLR, c. A-25, against owner of automobile, who cannot rebut it without proving fault of accident victim — Whether presumption applies where victim is driver of automobile — Whether courts erred in finding respondents’ conduct consistent with what would have been done by ordinarily prudent and diligent person placed in same circumstances.</w:t>
            </w:r>
          </w:p>
        </w:tc>
      </w:tr>
      <w:tr w:rsidR="00210434" w:rsidRPr="00A16F83" w:rsidTr="004275A1">
        <w:tc>
          <w:tcPr>
            <w:tcW w:w="5000" w:type="pct"/>
            <w:gridSpan w:val="3"/>
          </w:tcPr>
          <w:p w:rsidR="00210434" w:rsidRPr="00A16F83" w:rsidRDefault="00210434" w:rsidP="004275A1">
            <w:pPr>
              <w:jc w:val="both"/>
              <w:rPr>
                <w:rFonts w:eastAsia="Calibri"/>
                <w:sz w:val="20"/>
              </w:rPr>
            </w:pPr>
          </w:p>
        </w:tc>
      </w:tr>
      <w:tr w:rsidR="00210434" w:rsidRPr="00A16F83" w:rsidTr="004275A1">
        <w:tc>
          <w:tcPr>
            <w:tcW w:w="5000" w:type="pct"/>
            <w:gridSpan w:val="3"/>
          </w:tcPr>
          <w:p w:rsidR="00210434" w:rsidRPr="00A16F83" w:rsidRDefault="00210434" w:rsidP="004275A1">
            <w:pPr>
              <w:jc w:val="both"/>
              <w:rPr>
                <w:rFonts w:eastAsia="Calibri"/>
                <w:sz w:val="20"/>
              </w:rPr>
            </w:pPr>
            <w:r w:rsidRPr="00A16F83">
              <w:rPr>
                <w:rFonts w:eastAsia="Calibri"/>
                <w:sz w:val="20"/>
              </w:rPr>
              <w:t>In June 2000, Mr. Labrosse and Ms. Rollin (the respondents) called upon some friends to help them move.  The friends included Ms. Marcheterre (the applicant) and her spouse, Mr. Paquette.  Early in the afternoon, the respondents provided alcoholic beverages for their guests.  In the evening, Mr. Paquette borrowed Mr. Labrosse’s uninsured and unregistered all-terrain vehicle (ATV) without asking his permission.  Mr. Paquette, who was intoxicated at the time, fell from the vehicle while driving off road and was seriously injured.  He brought an action in extracontractual liability against the respondents seeking $7,396,084 in damages on a solidary basis.  (The applicant later continued the action as liquidator of the succession.)</w:t>
            </w:r>
          </w:p>
          <w:p w:rsidR="00210434" w:rsidRPr="00A16F83" w:rsidRDefault="00210434" w:rsidP="004275A1">
            <w:pPr>
              <w:jc w:val="both"/>
              <w:rPr>
                <w:rFonts w:eastAsia="Calibri"/>
                <w:sz w:val="20"/>
              </w:rPr>
            </w:pPr>
          </w:p>
          <w:p w:rsidR="00210434" w:rsidRPr="00A16F83" w:rsidRDefault="00210434" w:rsidP="004275A1">
            <w:pPr>
              <w:jc w:val="both"/>
              <w:rPr>
                <w:rFonts w:eastAsia="Calibri"/>
                <w:sz w:val="20"/>
              </w:rPr>
            </w:pPr>
            <w:r w:rsidRPr="00A16F83">
              <w:rPr>
                <w:rFonts w:eastAsia="Calibri"/>
                <w:sz w:val="20"/>
              </w:rPr>
              <w:t>The Superior Court dismissed the action, and the Court of Appeal dismissed the appeal.  The Court of Appeal found that the respondents’ conduct was consistent with what would have been done by an ordinarily prudent and diligent person placed in the same circumstances, in accordance with the civil liability rules applicable in Quebec law.  It held that Mr. Paquette’s accident could be explained by his advanced state of intoxication and his [</w:t>
            </w:r>
            <w:r w:rsidRPr="00A16F83">
              <w:rPr>
                <w:rFonts w:eastAsia="Calibri"/>
                <w:smallCaps/>
                <w:sz w:val="20"/>
              </w:rPr>
              <w:t>translation</w:t>
            </w:r>
            <w:r w:rsidRPr="00A16F83">
              <w:rPr>
                <w:rFonts w:eastAsia="Calibri"/>
                <w:sz w:val="20"/>
              </w:rPr>
              <w:t xml:space="preserve">] “sudden decision to take a ride on a three wheeler without the respondents’ knowledge” (para. 69) and that the accident “could result only from an error in judgment on his part” (para. 57).  The Court of Appeal stated that the rules in ss. 108 to 114 of the </w:t>
            </w:r>
            <w:r w:rsidRPr="00A16F83">
              <w:rPr>
                <w:rFonts w:eastAsia="Calibri"/>
                <w:i/>
                <w:sz w:val="20"/>
              </w:rPr>
              <w:t xml:space="preserve">Automobile Insurance Act </w:t>
            </w:r>
            <w:r w:rsidRPr="00A16F83">
              <w:rPr>
                <w:rFonts w:eastAsia="Calibri"/>
                <w:sz w:val="20"/>
              </w:rPr>
              <w:t>create a scheme of presumptions that applies only where there is a victim who is neither the owner nor the driver of the vehicle involved.</w:t>
            </w:r>
          </w:p>
          <w:p w:rsidR="00210434" w:rsidRPr="00A16F83" w:rsidRDefault="00210434" w:rsidP="004275A1">
            <w:pPr>
              <w:jc w:val="both"/>
              <w:rPr>
                <w:rFonts w:eastAsia="Calibri"/>
                <w:sz w:val="20"/>
              </w:rPr>
            </w:pPr>
          </w:p>
        </w:tc>
      </w:tr>
      <w:tr w:rsidR="00210434" w:rsidRPr="00A16F83" w:rsidTr="004275A1">
        <w:tc>
          <w:tcPr>
            <w:tcW w:w="2427" w:type="pct"/>
          </w:tcPr>
          <w:p w:rsidR="00210434" w:rsidRPr="00A16F83" w:rsidRDefault="00210434" w:rsidP="004275A1">
            <w:pPr>
              <w:jc w:val="both"/>
              <w:rPr>
                <w:rFonts w:eastAsia="Calibri"/>
                <w:sz w:val="20"/>
              </w:rPr>
            </w:pPr>
            <w:r w:rsidRPr="00A16F83">
              <w:rPr>
                <w:rFonts w:eastAsia="Calibri"/>
                <w:sz w:val="20"/>
              </w:rPr>
              <w:t>October 24, 2012</w:t>
            </w:r>
          </w:p>
          <w:p w:rsidR="00210434" w:rsidRPr="00A16F83" w:rsidRDefault="00210434" w:rsidP="004275A1">
            <w:pPr>
              <w:jc w:val="both"/>
              <w:rPr>
                <w:rFonts w:eastAsia="Calibri"/>
                <w:sz w:val="20"/>
              </w:rPr>
            </w:pPr>
            <w:r w:rsidRPr="00A16F83">
              <w:rPr>
                <w:rFonts w:eastAsia="Calibri"/>
                <w:sz w:val="20"/>
              </w:rPr>
              <w:t>Quebec Superior Court</w:t>
            </w:r>
          </w:p>
          <w:p w:rsidR="00210434" w:rsidRPr="00A16F83" w:rsidRDefault="00210434" w:rsidP="004275A1">
            <w:pPr>
              <w:jc w:val="both"/>
              <w:rPr>
                <w:rFonts w:eastAsia="Calibri"/>
                <w:sz w:val="20"/>
              </w:rPr>
            </w:pPr>
            <w:r w:rsidRPr="00A16F83">
              <w:rPr>
                <w:rFonts w:eastAsia="Calibri"/>
                <w:sz w:val="20"/>
              </w:rPr>
              <w:t>(Collier J.)</w:t>
            </w:r>
          </w:p>
          <w:p w:rsidR="00210434" w:rsidRPr="00A16F83" w:rsidRDefault="00690162" w:rsidP="004275A1">
            <w:pPr>
              <w:jc w:val="both"/>
              <w:rPr>
                <w:rFonts w:eastAsia="Calibri"/>
                <w:sz w:val="20"/>
              </w:rPr>
            </w:pPr>
            <w:hyperlink r:id="rId50" w:history="1">
              <w:r w:rsidR="00210434" w:rsidRPr="00A16F83">
                <w:rPr>
                  <w:rFonts w:eastAsia="Calibri"/>
                  <w:color w:val="0000FF"/>
                  <w:sz w:val="20"/>
                  <w:u w:val="single"/>
                </w:rPr>
                <w:t>2012 QCCS 4284</w:t>
              </w:r>
            </w:hyperlink>
          </w:p>
          <w:p w:rsidR="00210434" w:rsidRPr="00A16F83" w:rsidRDefault="00210434" w:rsidP="004275A1">
            <w:pPr>
              <w:jc w:val="both"/>
              <w:rPr>
                <w:rFonts w:eastAsia="Calibri"/>
                <w:sz w:val="20"/>
              </w:rPr>
            </w:pPr>
          </w:p>
        </w:tc>
        <w:tc>
          <w:tcPr>
            <w:tcW w:w="243" w:type="pct"/>
          </w:tcPr>
          <w:p w:rsidR="00210434" w:rsidRPr="00A16F83" w:rsidRDefault="00210434" w:rsidP="004275A1">
            <w:pPr>
              <w:jc w:val="both"/>
              <w:rPr>
                <w:rFonts w:eastAsia="Calibri"/>
                <w:sz w:val="20"/>
              </w:rPr>
            </w:pPr>
          </w:p>
        </w:tc>
        <w:tc>
          <w:tcPr>
            <w:tcW w:w="2330" w:type="pct"/>
          </w:tcPr>
          <w:p w:rsidR="00210434" w:rsidRPr="00A16F83" w:rsidRDefault="00210434" w:rsidP="004275A1">
            <w:pPr>
              <w:jc w:val="both"/>
              <w:rPr>
                <w:rFonts w:eastAsia="Calibri"/>
                <w:sz w:val="20"/>
              </w:rPr>
            </w:pPr>
            <w:r w:rsidRPr="00A16F83">
              <w:rPr>
                <w:rFonts w:eastAsia="Calibri"/>
                <w:sz w:val="20"/>
              </w:rPr>
              <w:t>Motion to institute proceedings dismissed</w:t>
            </w:r>
          </w:p>
        </w:tc>
      </w:tr>
      <w:tr w:rsidR="00210434" w:rsidRPr="00A16F83" w:rsidTr="004275A1">
        <w:tc>
          <w:tcPr>
            <w:tcW w:w="2427" w:type="pct"/>
          </w:tcPr>
          <w:p w:rsidR="00210434" w:rsidRPr="00A16F83" w:rsidRDefault="00210434" w:rsidP="004275A1">
            <w:pPr>
              <w:jc w:val="both"/>
              <w:rPr>
                <w:rFonts w:eastAsia="Calibri"/>
                <w:sz w:val="20"/>
              </w:rPr>
            </w:pPr>
            <w:r w:rsidRPr="00A16F83">
              <w:rPr>
                <w:rFonts w:eastAsia="Calibri"/>
                <w:sz w:val="20"/>
              </w:rPr>
              <w:t>May 20, 2014</w:t>
            </w:r>
          </w:p>
          <w:p w:rsidR="00210434" w:rsidRPr="00A16F83" w:rsidRDefault="00210434" w:rsidP="004275A1">
            <w:pPr>
              <w:jc w:val="both"/>
              <w:rPr>
                <w:rFonts w:eastAsia="Calibri"/>
                <w:sz w:val="20"/>
              </w:rPr>
            </w:pPr>
            <w:r w:rsidRPr="00A16F83">
              <w:rPr>
                <w:rFonts w:eastAsia="Calibri"/>
                <w:sz w:val="20"/>
              </w:rPr>
              <w:t>Quebec Court of Appeal (Montréal)</w:t>
            </w:r>
          </w:p>
          <w:p w:rsidR="00210434" w:rsidRPr="00A16F83" w:rsidRDefault="00210434" w:rsidP="004275A1">
            <w:pPr>
              <w:jc w:val="both"/>
              <w:rPr>
                <w:rFonts w:eastAsia="Calibri"/>
                <w:sz w:val="20"/>
                <w:lang w:val="fr-CA"/>
              </w:rPr>
            </w:pPr>
            <w:r w:rsidRPr="00A16F83">
              <w:rPr>
                <w:rFonts w:eastAsia="Calibri"/>
                <w:sz w:val="20"/>
                <w:lang w:val="fr-CA"/>
              </w:rPr>
              <w:t>(Rochette, Rochon and Gagnon JJ.A.)</w:t>
            </w:r>
          </w:p>
          <w:p w:rsidR="00210434" w:rsidRPr="00A16F83" w:rsidRDefault="00690162" w:rsidP="004275A1">
            <w:pPr>
              <w:jc w:val="both"/>
              <w:rPr>
                <w:rFonts w:eastAsia="Calibri"/>
                <w:sz w:val="20"/>
              </w:rPr>
            </w:pPr>
            <w:hyperlink r:id="rId51" w:history="1">
              <w:r w:rsidR="00210434" w:rsidRPr="00A16F83">
                <w:rPr>
                  <w:rFonts w:eastAsia="Calibri"/>
                  <w:color w:val="0000FF"/>
                  <w:sz w:val="20"/>
                  <w:u w:val="single"/>
                </w:rPr>
                <w:t>2014 QCCA 1026</w:t>
              </w:r>
            </w:hyperlink>
            <w:r w:rsidR="00210434" w:rsidRPr="00A16F83">
              <w:rPr>
                <w:rFonts w:eastAsia="Calibri"/>
                <w:sz w:val="20"/>
              </w:rPr>
              <w:t>; 500-09-023071-129</w:t>
            </w:r>
          </w:p>
          <w:p w:rsidR="00210434" w:rsidRPr="00A16F83" w:rsidRDefault="00210434" w:rsidP="004275A1">
            <w:pPr>
              <w:jc w:val="both"/>
              <w:rPr>
                <w:rFonts w:eastAsia="Calibri"/>
                <w:sz w:val="20"/>
              </w:rPr>
            </w:pPr>
          </w:p>
        </w:tc>
        <w:tc>
          <w:tcPr>
            <w:tcW w:w="243" w:type="pct"/>
          </w:tcPr>
          <w:p w:rsidR="00210434" w:rsidRPr="00A16F83" w:rsidRDefault="00210434" w:rsidP="004275A1">
            <w:pPr>
              <w:jc w:val="both"/>
              <w:rPr>
                <w:rFonts w:eastAsia="Calibri"/>
                <w:sz w:val="20"/>
              </w:rPr>
            </w:pPr>
          </w:p>
        </w:tc>
        <w:tc>
          <w:tcPr>
            <w:tcW w:w="2330" w:type="pct"/>
          </w:tcPr>
          <w:p w:rsidR="00210434" w:rsidRPr="00A16F83" w:rsidRDefault="00210434" w:rsidP="004275A1">
            <w:pPr>
              <w:jc w:val="both"/>
              <w:rPr>
                <w:rFonts w:eastAsia="Calibri"/>
                <w:sz w:val="20"/>
              </w:rPr>
            </w:pPr>
            <w:r w:rsidRPr="00A16F83">
              <w:rPr>
                <w:rFonts w:eastAsia="Calibri"/>
                <w:sz w:val="20"/>
              </w:rPr>
              <w:t>Appeal dismissed</w:t>
            </w:r>
          </w:p>
        </w:tc>
      </w:tr>
      <w:tr w:rsidR="00210434" w:rsidRPr="00A16F83" w:rsidTr="004275A1">
        <w:tc>
          <w:tcPr>
            <w:tcW w:w="2427" w:type="pct"/>
          </w:tcPr>
          <w:p w:rsidR="00210434" w:rsidRPr="00A16F83" w:rsidRDefault="00210434" w:rsidP="004275A1">
            <w:pPr>
              <w:jc w:val="both"/>
              <w:rPr>
                <w:rFonts w:eastAsia="Calibri"/>
                <w:sz w:val="20"/>
              </w:rPr>
            </w:pPr>
            <w:r w:rsidRPr="00A16F83">
              <w:rPr>
                <w:rFonts w:eastAsia="Calibri"/>
                <w:sz w:val="20"/>
              </w:rPr>
              <w:t>August 1, 2014</w:t>
            </w:r>
          </w:p>
          <w:p w:rsidR="00210434" w:rsidRPr="00A16F83" w:rsidRDefault="00210434" w:rsidP="004275A1">
            <w:pPr>
              <w:jc w:val="both"/>
              <w:rPr>
                <w:rFonts w:eastAsia="Calibri"/>
                <w:sz w:val="20"/>
              </w:rPr>
            </w:pPr>
            <w:r w:rsidRPr="00A16F83">
              <w:rPr>
                <w:rFonts w:eastAsia="Calibri"/>
                <w:sz w:val="20"/>
              </w:rPr>
              <w:t>Supreme Court of Canada</w:t>
            </w:r>
          </w:p>
        </w:tc>
        <w:tc>
          <w:tcPr>
            <w:tcW w:w="243" w:type="pct"/>
          </w:tcPr>
          <w:p w:rsidR="00210434" w:rsidRPr="00A16F83" w:rsidRDefault="00210434" w:rsidP="004275A1">
            <w:pPr>
              <w:jc w:val="both"/>
              <w:rPr>
                <w:rFonts w:eastAsia="Calibri"/>
                <w:sz w:val="20"/>
              </w:rPr>
            </w:pPr>
          </w:p>
        </w:tc>
        <w:tc>
          <w:tcPr>
            <w:tcW w:w="2330" w:type="pct"/>
          </w:tcPr>
          <w:p w:rsidR="00210434" w:rsidRPr="00A16F83" w:rsidRDefault="00210434" w:rsidP="004275A1">
            <w:pPr>
              <w:jc w:val="both"/>
              <w:rPr>
                <w:rFonts w:eastAsia="Calibri"/>
                <w:sz w:val="20"/>
              </w:rPr>
            </w:pPr>
            <w:r w:rsidRPr="00A16F83">
              <w:rPr>
                <w:rFonts w:eastAsia="Calibri"/>
                <w:sz w:val="20"/>
              </w:rPr>
              <w:t>Application for leave to appeal filed</w:t>
            </w:r>
          </w:p>
        </w:tc>
      </w:tr>
    </w:tbl>
    <w:p w:rsidR="00915D6A" w:rsidRDefault="00915D6A" w:rsidP="00915D6A">
      <w:pPr>
        <w:rPr>
          <w:sz w:val="20"/>
          <w:szCs w:val="20"/>
        </w:rPr>
      </w:pPr>
    </w:p>
    <w:p w:rsidR="00915D6A" w:rsidRPr="00C50A5C" w:rsidRDefault="00690162" w:rsidP="00915D6A">
      <w:pPr>
        <w:rPr>
          <w:sz w:val="20"/>
          <w:szCs w:val="20"/>
        </w:rPr>
      </w:pPr>
      <w:r>
        <w:rPr>
          <w:sz w:val="20"/>
          <w:szCs w:val="20"/>
          <w:lang w:val="fr-CA"/>
        </w:rPr>
        <w:pict>
          <v:rect id="_x0000_i1058" style="width:2in;height:1pt" o:hrpct="0" o:hralign="center" o:hrstd="t" o:hrnoshade="t" o:hr="t" fillcolor="black [3213]" stroked="f"/>
        </w:pict>
      </w:r>
    </w:p>
    <w:p w:rsidR="00915D6A" w:rsidRDefault="00915D6A" w:rsidP="00915D6A">
      <w:pPr>
        <w:rPr>
          <w:sz w:val="20"/>
          <w:szCs w:val="20"/>
        </w:rPr>
      </w:pPr>
    </w:p>
    <w:p w:rsidR="00915D6A" w:rsidRPr="001B157C" w:rsidRDefault="00915D6A" w:rsidP="00915D6A">
      <w:pPr>
        <w:rPr>
          <w:sz w:val="20"/>
          <w:szCs w:val="20"/>
          <w:u w:val="single"/>
          <w:lang w:val="fr-CA"/>
        </w:rPr>
      </w:pPr>
      <w:r w:rsidRPr="001B157C">
        <w:rPr>
          <w:sz w:val="20"/>
          <w:szCs w:val="20"/>
          <w:u w:val="single"/>
          <w:lang w:val="fr-CA"/>
        </w:rPr>
        <w:t>RÉSUMÉ DE L’AFFAIRE</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10434" w:rsidRPr="00690162" w:rsidTr="004275A1">
        <w:tc>
          <w:tcPr>
            <w:tcW w:w="5000" w:type="pct"/>
            <w:gridSpan w:val="3"/>
          </w:tcPr>
          <w:p w:rsidR="00210434" w:rsidRPr="00A16F83" w:rsidRDefault="00210434" w:rsidP="004275A1">
            <w:pPr>
              <w:jc w:val="both"/>
              <w:rPr>
                <w:rFonts w:eastAsia="Calibri"/>
                <w:sz w:val="20"/>
                <w:lang w:val="fr-CA"/>
              </w:rPr>
            </w:pPr>
            <w:r w:rsidRPr="00A16F83">
              <w:rPr>
                <w:rFonts w:eastAsia="Calibri"/>
                <w:sz w:val="20"/>
                <w:lang w:val="fr-CA"/>
              </w:rPr>
              <w:t xml:space="preserve">Responsabilité civile — Faute — Preuve — Présomption de responsabilité établie par l’art. 108 de la </w:t>
            </w:r>
            <w:r w:rsidRPr="00A16F83">
              <w:rPr>
                <w:rFonts w:eastAsia="Calibri"/>
                <w:i/>
                <w:sz w:val="20"/>
                <w:lang w:val="fr-CA"/>
              </w:rPr>
              <w:t>Loi sur l’assurance automobile</w:t>
            </w:r>
            <w:r w:rsidRPr="00A16F83">
              <w:rPr>
                <w:rFonts w:eastAsia="Calibri"/>
                <w:sz w:val="20"/>
                <w:lang w:val="fr-CA"/>
              </w:rPr>
              <w:t>, RLRQ, ch. A-25, à l’encontre du propriétaire d’une automobile, qui ne peut la repousser qu’en prouvant la faute de la victime de l’accident — La présomption s’applique-t-elle dans un cas où la victime est le conducteur de l’automobile? — Les tribunaux ont-ils eu tort de conclure que les intimés avaient adopté une conduite conforme à celle qu’aurait adoptée une personne normalement prudente et diligente placée dans les mêmes circonstances?</w:t>
            </w:r>
          </w:p>
        </w:tc>
      </w:tr>
      <w:tr w:rsidR="00210434" w:rsidRPr="00690162" w:rsidTr="004275A1">
        <w:tc>
          <w:tcPr>
            <w:tcW w:w="5000" w:type="pct"/>
            <w:gridSpan w:val="3"/>
          </w:tcPr>
          <w:p w:rsidR="00210434" w:rsidRPr="00A16F83" w:rsidRDefault="00210434" w:rsidP="004275A1">
            <w:pPr>
              <w:jc w:val="both"/>
              <w:rPr>
                <w:rFonts w:eastAsia="Calibri"/>
                <w:sz w:val="20"/>
                <w:lang w:val="fr-CA"/>
              </w:rPr>
            </w:pPr>
          </w:p>
        </w:tc>
      </w:tr>
      <w:tr w:rsidR="00210434" w:rsidRPr="00690162" w:rsidTr="004275A1">
        <w:tc>
          <w:tcPr>
            <w:tcW w:w="5000" w:type="pct"/>
            <w:gridSpan w:val="3"/>
          </w:tcPr>
          <w:p w:rsidR="00210434" w:rsidRPr="00A16F83" w:rsidRDefault="00210434" w:rsidP="004275A1">
            <w:pPr>
              <w:jc w:val="both"/>
              <w:rPr>
                <w:rFonts w:eastAsia="Calibri"/>
                <w:sz w:val="20"/>
                <w:lang w:val="fr-CA"/>
              </w:rPr>
            </w:pPr>
            <w:r w:rsidRPr="00A16F83">
              <w:rPr>
                <w:rFonts w:eastAsia="Calibri"/>
                <w:sz w:val="20"/>
                <w:lang w:val="fr-CA"/>
              </w:rPr>
              <w:t xml:space="preserve">En juin 2000, M. Labrosse et Mme Rollin (les intimés) font appel à des amis pour les aider à déménager.  Parmi eux se trouvent Mme Marcheterre (la demanderesse) et son conjoint, M. Paquette.  Au début de l’après-midi, les intimés </w:t>
            </w:r>
            <w:r w:rsidRPr="00A16F83">
              <w:rPr>
                <w:rFonts w:eastAsia="Calibri"/>
                <w:sz w:val="20"/>
                <w:lang w:val="fr-CA"/>
              </w:rPr>
              <w:lastRenderedPageBreak/>
              <w:t>mettent à la disposition de leurs invités des boissons alcoolisées.  En soirée, M. Paquette emprunte le véhicule tout-terrain (VTT) non assuré et non immatriculé de M. Labrosse sans lui demander la permission.  M. Paquette, alors en état d’ébriété, tombe du véhicule alors qu’il circule hors la voie publique et se blesse grièvement.  Il poursuit les intimés en responsabilité extracontractuelle et leur réclame 7 396 084 $ à titre de dommages-intérêts, sur une base conjointe et solidaire.  (La demanderesse a depuis repris l’instance à titre de liquidatrice de la succession.)</w:t>
            </w:r>
          </w:p>
          <w:p w:rsidR="00210434" w:rsidRPr="00A16F83" w:rsidRDefault="00210434" w:rsidP="004275A1">
            <w:pPr>
              <w:jc w:val="both"/>
              <w:rPr>
                <w:rFonts w:eastAsia="Calibri"/>
                <w:sz w:val="20"/>
                <w:lang w:val="fr-CA"/>
              </w:rPr>
            </w:pPr>
          </w:p>
          <w:p w:rsidR="00210434" w:rsidRPr="00A16F83" w:rsidRDefault="00210434" w:rsidP="004275A1">
            <w:pPr>
              <w:jc w:val="both"/>
              <w:rPr>
                <w:rFonts w:eastAsia="Calibri"/>
                <w:sz w:val="20"/>
                <w:lang w:val="fr-CA"/>
              </w:rPr>
            </w:pPr>
            <w:r w:rsidRPr="00A16F83">
              <w:rPr>
                <w:rFonts w:eastAsia="Calibri"/>
                <w:sz w:val="20"/>
                <w:lang w:val="fr-CA"/>
              </w:rPr>
              <w:t xml:space="preserve">La Cour supérieure rejette le recours, et la Cour d’appel rejette l’appel.  Cette dernière estime que les intimés ont adopté une conduite conforme à celle qu’aurait adoptée une personne normalement prudente et diligente placée dans les mêmes circonstances, selon les règles de la responsabilité civile applicables en droit québécois.  Elle juge que l’accident de M. Paquette s’explique par l’état d’ébriété avancé de celui-ci, par « sa décision subite d’effectuer une randonnée de trimoto à l’insu des intimés » (par. 69), et que l’accident « ne peut découler que d’une erreur de jugement de sa part » (par. 57).  Elle précise que les règles édictées aux art. 108 à 114 de la </w:t>
            </w:r>
            <w:r w:rsidRPr="00A16F83">
              <w:rPr>
                <w:rFonts w:eastAsia="Calibri"/>
                <w:i/>
                <w:sz w:val="20"/>
                <w:lang w:val="fr-CA"/>
              </w:rPr>
              <w:t xml:space="preserve">Loi sur l’assurance automobile </w:t>
            </w:r>
            <w:r w:rsidRPr="00A16F83">
              <w:rPr>
                <w:rFonts w:eastAsia="Calibri"/>
                <w:sz w:val="20"/>
                <w:lang w:val="fr-CA"/>
              </w:rPr>
              <w:t>instaurent un régime de présomptions qui ne trouve application qu’en présence d’une victime qui n’est ni propriétaire ni conducteur du véhicule impliqué.</w:t>
            </w:r>
          </w:p>
          <w:p w:rsidR="00210434" w:rsidRPr="00A16F83" w:rsidRDefault="00210434" w:rsidP="004275A1">
            <w:pPr>
              <w:jc w:val="both"/>
              <w:rPr>
                <w:rFonts w:eastAsia="Calibri"/>
                <w:sz w:val="20"/>
                <w:lang w:val="fr-CA"/>
              </w:rPr>
            </w:pPr>
          </w:p>
        </w:tc>
      </w:tr>
      <w:tr w:rsidR="00210434" w:rsidRPr="00A16F83" w:rsidTr="004275A1">
        <w:tc>
          <w:tcPr>
            <w:tcW w:w="2427" w:type="pct"/>
          </w:tcPr>
          <w:p w:rsidR="00210434" w:rsidRPr="00A16F83" w:rsidRDefault="00210434" w:rsidP="004275A1">
            <w:pPr>
              <w:jc w:val="both"/>
              <w:rPr>
                <w:rFonts w:eastAsia="Calibri"/>
                <w:sz w:val="20"/>
                <w:lang w:val="fr-CA"/>
              </w:rPr>
            </w:pPr>
            <w:r w:rsidRPr="00A16F83">
              <w:rPr>
                <w:rFonts w:eastAsia="Calibri"/>
                <w:sz w:val="20"/>
                <w:lang w:val="fr-CA"/>
              </w:rPr>
              <w:lastRenderedPageBreak/>
              <w:t>Le 24 octobre 2012</w:t>
            </w:r>
          </w:p>
          <w:p w:rsidR="00210434" w:rsidRPr="00A16F83" w:rsidRDefault="00210434" w:rsidP="004275A1">
            <w:pPr>
              <w:jc w:val="both"/>
              <w:rPr>
                <w:rFonts w:eastAsia="Calibri"/>
                <w:sz w:val="20"/>
                <w:lang w:val="fr-CA"/>
              </w:rPr>
            </w:pPr>
            <w:r w:rsidRPr="00A16F83">
              <w:rPr>
                <w:rFonts w:eastAsia="Calibri"/>
                <w:sz w:val="20"/>
                <w:lang w:val="fr-CA"/>
              </w:rPr>
              <w:t>Cour supérieure du Québec</w:t>
            </w:r>
          </w:p>
          <w:p w:rsidR="00210434" w:rsidRPr="00A16F83" w:rsidRDefault="00210434" w:rsidP="004275A1">
            <w:pPr>
              <w:jc w:val="both"/>
              <w:rPr>
                <w:rFonts w:eastAsia="Calibri"/>
                <w:sz w:val="20"/>
                <w:lang w:val="fr-CA"/>
              </w:rPr>
            </w:pPr>
            <w:r w:rsidRPr="00A16F83">
              <w:rPr>
                <w:rFonts w:eastAsia="Calibri"/>
                <w:sz w:val="20"/>
                <w:lang w:val="fr-CA"/>
              </w:rPr>
              <w:t>(Le juge Collier)</w:t>
            </w:r>
          </w:p>
          <w:p w:rsidR="00210434" w:rsidRPr="00A16F83" w:rsidRDefault="00690162" w:rsidP="004275A1">
            <w:pPr>
              <w:jc w:val="both"/>
              <w:rPr>
                <w:rFonts w:eastAsia="Calibri"/>
                <w:sz w:val="20"/>
                <w:lang w:val="fr-CA"/>
              </w:rPr>
            </w:pPr>
            <w:hyperlink r:id="rId52" w:history="1">
              <w:r w:rsidR="00210434" w:rsidRPr="00A16F83">
                <w:rPr>
                  <w:rFonts w:eastAsia="Calibri"/>
                  <w:color w:val="0000FF"/>
                  <w:sz w:val="20"/>
                  <w:u w:val="single"/>
                  <w:lang w:val="fr-CA"/>
                </w:rPr>
                <w:t>2012 QCCS 4284</w:t>
              </w:r>
            </w:hyperlink>
          </w:p>
          <w:p w:rsidR="00210434" w:rsidRPr="00A16F83" w:rsidRDefault="00210434" w:rsidP="004275A1">
            <w:pPr>
              <w:jc w:val="both"/>
              <w:rPr>
                <w:rFonts w:eastAsia="Calibri"/>
                <w:sz w:val="20"/>
                <w:lang w:val="fr-CA"/>
              </w:rPr>
            </w:pPr>
          </w:p>
        </w:tc>
        <w:tc>
          <w:tcPr>
            <w:tcW w:w="243" w:type="pct"/>
          </w:tcPr>
          <w:p w:rsidR="00210434" w:rsidRPr="00A16F83" w:rsidRDefault="00210434" w:rsidP="004275A1">
            <w:pPr>
              <w:jc w:val="both"/>
              <w:rPr>
                <w:rFonts w:eastAsia="Calibri"/>
                <w:sz w:val="20"/>
                <w:lang w:val="fr-CA"/>
              </w:rPr>
            </w:pPr>
          </w:p>
        </w:tc>
        <w:tc>
          <w:tcPr>
            <w:tcW w:w="2330" w:type="pct"/>
          </w:tcPr>
          <w:p w:rsidR="00210434" w:rsidRPr="00A16F83" w:rsidRDefault="00210434" w:rsidP="004275A1">
            <w:pPr>
              <w:jc w:val="both"/>
              <w:rPr>
                <w:rFonts w:eastAsia="Calibri"/>
                <w:sz w:val="20"/>
                <w:lang w:val="fr-CA"/>
              </w:rPr>
            </w:pPr>
            <w:r w:rsidRPr="00A16F83">
              <w:rPr>
                <w:rFonts w:eastAsia="Calibri"/>
                <w:sz w:val="20"/>
                <w:lang w:val="fr-CA"/>
              </w:rPr>
              <w:t>Requête introductive d’instance rejetée</w:t>
            </w:r>
          </w:p>
        </w:tc>
      </w:tr>
      <w:tr w:rsidR="00210434" w:rsidRPr="00A16F83" w:rsidTr="004275A1">
        <w:tc>
          <w:tcPr>
            <w:tcW w:w="2427" w:type="pct"/>
          </w:tcPr>
          <w:p w:rsidR="00210434" w:rsidRPr="00A16F83" w:rsidRDefault="00210434" w:rsidP="004275A1">
            <w:pPr>
              <w:jc w:val="both"/>
              <w:rPr>
                <w:rFonts w:eastAsia="Calibri"/>
                <w:sz w:val="20"/>
                <w:lang w:val="fr-CA"/>
              </w:rPr>
            </w:pPr>
            <w:r w:rsidRPr="00A16F83">
              <w:rPr>
                <w:rFonts w:eastAsia="Calibri"/>
                <w:sz w:val="20"/>
                <w:lang w:val="fr-CA"/>
              </w:rPr>
              <w:t>Le 20 mai 2014</w:t>
            </w:r>
          </w:p>
          <w:p w:rsidR="00210434" w:rsidRPr="00A16F83" w:rsidRDefault="00210434" w:rsidP="004275A1">
            <w:pPr>
              <w:jc w:val="both"/>
              <w:rPr>
                <w:rFonts w:eastAsia="Calibri"/>
                <w:sz w:val="20"/>
                <w:lang w:val="fr-CA"/>
              </w:rPr>
            </w:pPr>
            <w:r w:rsidRPr="00A16F83">
              <w:rPr>
                <w:rFonts w:eastAsia="Calibri"/>
                <w:sz w:val="20"/>
                <w:lang w:val="fr-CA"/>
              </w:rPr>
              <w:t>Cour d’appel du Québec (Montréal)</w:t>
            </w:r>
          </w:p>
          <w:p w:rsidR="00210434" w:rsidRPr="00A16F83" w:rsidRDefault="00210434" w:rsidP="004275A1">
            <w:pPr>
              <w:jc w:val="both"/>
              <w:rPr>
                <w:rFonts w:eastAsia="Calibri"/>
                <w:sz w:val="20"/>
                <w:lang w:val="fr-CA"/>
              </w:rPr>
            </w:pPr>
            <w:r w:rsidRPr="00A16F83">
              <w:rPr>
                <w:rFonts w:eastAsia="Calibri"/>
                <w:sz w:val="20"/>
                <w:lang w:val="fr-CA"/>
              </w:rPr>
              <w:t>(Les juges Rochette, Rochon et Gagnon)</w:t>
            </w:r>
          </w:p>
          <w:p w:rsidR="00210434" w:rsidRPr="00A16F83" w:rsidRDefault="00690162" w:rsidP="004275A1">
            <w:pPr>
              <w:jc w:val="both"/>
              <w:rPr>
                <w:rFonts w:eastAsia="Calibri"/>
                <w:sz w:val="20"/>
                <w:lang w:val="fr-CA"/>
              </w:rPr>
            </w:pPr>
            <w:hyperlink r:id="rId53" w:history="1">
              <w:r w:rsidR="00210434" w:rsidRPr="00A16F83">
                <w:rPr>
                  <w:rFonts w:eastAsia="Calibri"/>
                  <w:color w:val="0000FF"/>
                  <w:sz w:val="20"/>
                  <w:u w:val="single"/>
                  <w:lang w:val="fr-CA"/>
                </w:rPr>
                <w:t>2014 QCCA 1026</w:t>
              </w:r>
            </w:hyperlink>
            <w:r w:rsidR="00210434" w:rsidRPr="00A16F83">
              <w:rPr>
                <w:rFonts w:eastAsia="Calibri"/>
                <w:sz w:val="20"/>
                <w:lang w:val="fr-CA"/>
              </w:rPr>
              <w:t>; 500-09-023071-129</w:t>
            </w:r>
          </w:p>
          <w:p w:rsidR="00210434" w:rsidRPr="00A16F83" w:rsidRDefault="00210434" w:rsidP="004275A1">
            <w:pPr>
              <w:jc w:val="both"/>
              <w:rPr>
                <w:rFonts w:eastAsia="Calibri"/>
                <w:sz w:val="20"/>
                <w:lang w:val="fr-CA"/>
              </w:rPr>
            </w:pPr>
          </w:p>
        </w:tc>
        <w:tc>
          <w:tcPr>
            <w:tcW w:w="243" w:type="pct"/>
          </w:tcPr>
          <w:p w:rsidR="00210434" w:rsidRPr="00A16F83" w:rsidRDefault="00210434" w:rsidP="004275A1">
            <w:pPr>
              <w:jc w:val="both"/>
              <w:rPr>
                <w:rFonts w:eastAsia="Calibri"/>
                <w:sz w:val="20"/>
                <w:lang w:val="fr-CA"/>
              </w:rPr>
            </w:pPr>
          </w:p>
        </w:tc>
        <w:tc>
          <w:tcPr>
            <w:tcW w:w="2330" w:type="pct"/>
          </w:tcPr>
          <w:p w:rsidR="00210434" w:rsidRPr="00A16F83" w:rsidRDefault="00210434" w:rsidP="004275A1">
            <w:pPr>
              <w:jc w:val="both"/>
              <w:rPr>
                <w:rFonts w:eastAsia="Calibri"/>
                <w:sz w:val="20"/>
                <w:lang w:val="fr-CA"/>
              </w:rPr>
            </w:pPr>
            <w:r w:rsidRPr="00A16F83">
              <w:rPr>
                <w:rFonts w:eastAsia="Calibri"/>
                <w:sz w:val="20"/>
                <w:lang w:val="fr-CA"/>
              </w:rPr>
              <w:t>Appel rejeté</w:t>
            </w:r>
          </w:p>
        </w:tc>
      </w:tr>
      <w:tr w:rsidR="00210434" w:rsidRPr="00A16F83" w:rsidTr="004275A1">
        <w:tc>
          <w:tcPr>
            <w:tcW w:w="2427" w:type="pct"/>
          </w:tcPr>
          <w:p w:rsidR="00210434" w:rsidRPr="00A16F83" w:rsidRDefault="00210434" w:rsidP="004275A1">
            <w:pPr>
              <w:jc w:val="both"/>
              <w:rPr>
                <w:rFonts w:eastAsia="Calibri"/>
                <w:sz w:val="20"/>
                <w:lang w:val="fr-CA"/>
              </w:rPr>
            </w:pPr>
            <w:r w:rsidRPr="00A16F83">
              <w:rPr>
                <w:rFonts w:eastAsia="Calibri"/>
                <w:sz w:val="20"/>
                <w:lang w:val="fr-CA"/>
              </w:rPr>
              <w:t>Le 1</w:t>
            </w:r>
            <w:r w:rsidRPr="00A16F83">
              <w:rPr>
                <w:rFonts w:eastAsia="Calibri"/>
                <w:sz w:val="20"/>
                <w:vertAlign w:val="superscript"/>
                <w:lang w:val="fr-CA"/>
              </w:rPr>
              <w:t>er</w:t>
            </w:r>
            <w:r w:rsidRPr="00A16F83">
              <w:rPr>
                <w:rFonts w:eastAsia="Calibri"/>
                <w:sz w:val="20"/>
                <w:lang w:val="fr-CA"/>
              </w:rPr>
              <w:t xml:space="preserve"> août 2014</w:t>
            </w:r>
          </w:p>
          <w:p w:rsidR="00210434" w:rsidRPr="00A16F83" w:rsidRDefault="00210434" w:rsidP="004275A1">
            <w:pPr>
              <w:jc w:val="both"/>
              <w:rPr>
                <w:rFonts w:eastAsia="Calibri"/>
                <w:sz w:val="20"/>
                <w:lang w:val="fr-CA"/>
              </w:rPr>
            </w:pPr>
            <w:r w:rsidRPr="00A16F83">
              <w:rPr>
                <w:rFonts w:eastAsia="Calibri"/>
                <w:sz w:val="20"/>
                <w:lang w:val="fr-CA"/>
              </w:rPr>
              <w:t>Cour suprême du Canada</w:t>
            </w:r>
          </w:p>
        </w:tc>
        <w:tc>
          <w:tcPr>
            <w:tcW w:w="243" w:type="pct"/>
          </w:tcPr>
          <w:p w:rsidR="00210434" w:rsidRPr="00A16F83" w:rsidRDefault="00210434" w:rsidP="004275A1">
            <w:pPr>
              <w:jc w:val="both"/>
              <w:rPr>
                <w:rFonts w:eastAsia="Calibri"/>
                <w:sz w:val="20"/>
                <w:lang w:val="fr-CA"/>
              </w:rPr>
            </w:pPr>
          </w:p>
        </w:tc>
        <w:tc>
          <w:tcPr>
            <w:tcW w:w="2330" w:type="pct"/>
          </w:tcPr>
          <w:p w:rsidR="00210434" w:rsidRPr="00A16F83" w:rsidRDefault="00210434" w:rsidP="004275A1">
            <w:pPr>
              <w:jc w:val="both"/>
              <w:rPr>
                <w:rFonts w:eastAsia="Calibri"/>
                <w:sz w:val="20"/>
                <w:lang w:val="fr-CA"/>
              </w:rPr>
            </w:pPr>
            <w:r w:rsidRPr="00A16F83">
              <w:rPr>
                <w:rFonts w:eastAsia="Calibri"/>
                <w:sz w:val="20"/>
                <w:lang w:val="fr-CA"/>
              </w:rPr>
              <w:t>Demande d’autorisation d’appel déposée</w:t>
            </w:r>
          </w:p>
        </w:tc>
      </w:tr>
    </w:tbl>
    <w:p w:rsidR="00915D6A" w:rsidRDefault="00915D6A" w:rsidP="00915D6A">
      <w:pPr>
        <w:rPr>
          <w:sz w:val="20"/>
          <w:szCs w:val="20"/>
        </w:rPr>
      </w:pPr>
    </w:p>
    <w:p w:rsidR="00915D6A" w:rsidRDefault="00690162" w:rsidP="00915D6A">
      <w:pPr>
        <w:rPr>
          <w:sz w:val="20"/>
          <w:szCs w:val="20"/>
        </w:rPr>
      </w:pPr>
      <w:r>
        <w:rPr>
          <w:sz w:val="20"/>
          <w:szCs w:val="20"/>
          <w:lang w:val="fr-CA"/>
        </w:rPr>
        <w:pict>
          <v:rect id="_x0000_i1059" style="width:2in;height:1pt" o:hrpct="0" o:hralign="center" o:hrstd="t" o:hrnoshade="t" o:hr="t" fillcolor="black [3213]" stroked="f"/>
        </w:pict>
      </w:r>
    </w:p>
    <w:p w:rsidR="00915D6A" w:rsidRDefault="00915D6A" w:rsidP="00915D6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D425D" w:rsidRPr="00F464F1" w:rsidTr="00650BC1">
        <w:trPr>
          <w:cantSplit/>
        </w:trPr>
        <w:tc>
          <w:tcPr>
            <w:tcW w:w="1458" w:type="dxa"/>
          </w:tcPr>
          <w:p w:rsidR="00BD425D" w:rsidRPr="00F464F1" w:rsidRDefault="00BD425D" w:rsidP="00650BC1">
            <w:pPr>
              <w:rPr>
                <w:sz w:val="20"/>
                <w:szCs w:val="20"/>
              </w:rPr>
            </w:pPr>
            <w:r w:rsidRPr="00F464F1">
              <w:rPr>
                <w:rStyle w:val="SCCFileNumberChar"/>
                <w:sz w:val="20"/>
                <w:szCs w:val="20"/>
              </w:rPr>
              <w:t>35992</w:t>
            </w:r>
          </w:p>
          <w:p w:rsidR="00BD425D" w:rsidRPr="00F464F1" w:rsidRDefault="00BD425D" w:rsidP="00650BC1">
            <w:pPr>
              <w:rPr>
                <w:b/>
                <w:sz w:val="20"/>
                <w:szCs w:val="20"/>
                <w:lang w:val="fr-CA"/>
              </w:rPr>
            </w:pPr>
          </w:p>
        </w:tc>
        <w:tc>
          <w:tcPr>
            <w:tcW w:w="8118" w:type="dxa"/>
          </w:tcPr>
          <w:p w:rsidR="00BD425D" w:rsidRPr="00F464F1" w:rsidRDefault="00BD425D" w:rsidP="00650BC1">
            <w:pPr>
              <w:jc w:val="both"/>
              <w:rPr>
                <w:sz w:val="20"/>
                <w:szCs w:val="20"/>
              </w:rPr>
            </w:pPr>
            <w:r w:rsidRPr="00F464F1">
              <w:rPr>
                <w:rStyle w:val="SCCLsocChar"/>
                <w:sz w:val="20"/>
                <w:szCs w:val="20"/>
                <w:lang w:val="en-CA"/>
              </w:rPr>
              <w:t>Norman H. Solmon Family Trust v. Therese Selvamahal Edward Chandran as trustee of the Estate of Thambirajah Edward Chandran</w:t>
            </w:r>
            <w:r w:rsidRPr="00F464F1">
              <w:rPr>
                <w:sz w:val="20"/>
                <w:szCs w:val="20"/>
              </w:rPr>
              <w:t xml:space="preserve"> (Ont.) (Civil) (By Leave)</w:t>
            </w:r>
          </w:p>
          <w:p w:rsidR="00BD425D" w:rsidRPr="00F464F1" w:rsidRDefault="00BD425D" w:rsidP="00650BC1">
            <w:pPr>
              <w:jc w:val="both"/>
              <w:rPr>
                <w:sz w:val="20"/>
                <w:szCs w:val="20"/>
              </w:rPr>
            </w:pPr>
          </w:p>
        </w:tc>
      </w:tr>
      <w:tr w:rsidR="00BD425D" w:rsidRPr="00F464F1" w:rsidTr="00650BC1">
        <w:trPr>
          <w:cantSplit/>
        </w:trPr>
        <w:tc>
          <w:tcPr>
            <w:tcW w:w="1458" w:type="dxa"/>
          </w:tcPr>
          <w:p w:rsidR="00BD425D" w:rsidRPr="00F464F1" w:rsidRDefault="00BD425D" w:rsidP="00650BC1">
            <w:pPr>
              <w:rPr>
                <w:sz w:val="20"/>
                <w:szCs w:val="20"/>
              </w:rPr>
            </w:pPr>
            <w:r w:rsidRPr="00F464F1">
              <w:rPr>
                <w:sz w:val="20"/>
                <w:szCs w:val="20"/>
              </w:rPr>
              <w:t>Coram :</w:t>
            </w:r>
          </w:p>
        </w:tc>
        <w:tc>
          <w:tcPr>
            <w:tcW w:w="8118" w:type="dxa"/>
          </w:tcPr>
          <w:p w:rsidR="00BD425D" w:rsidRPr="00F464F1" w:rsidRDefault="00BD425D" w:rsidP="00650BC1">
            <w:pPr>
              <w:rPr>
                <w:sz w:val="20"/>
                <w:szCs w:val="20"/>
              </w:rPr>
            </w:pPr>
            <w:r w:rsidRPr="00F464F1">
              <w:rPr>
                <w:rStyle w:val="SCCCoramChar"/>
                <w:sz w:val="20"/>
                <w:szCs w:val="20"/>
                <w:lang w:val="en-CA"/>
              </w:rPr>
              <w:t>McLachlin C.J. and Cromwell and Wagner JJ.</w:t>
            </w:r>
          </w:p>
          <w:p w:rsidR="00BD425D" w:rsidRPr="00F464F1" w:rsidRDefault="00BD425D" w:rsidP="00650BC1">
            <w:pPr>
              <w:rPr>
                <w:sz w:val="20"/>
                <w:szCs w:val="20"/>
                <w:u w:val="single"/>
              </w:rPr>
            </w:pPr>
          </w:p>
        </w:tc>
      </w:tr>
      <w:tr w:rsidR="00BD425D" w:rsidRPr="00690162" w:rsidTr="00650BC1">
        <w:trPr>
          <w:cantSplit/>
        </w:trPr>
        <w:tc>
          <w:tcPr>
            <w:tcW w:w="9576" w:type="dxa"/>
            <w:gridSpan w:val="2"/>
          </w:tcPr>
          <w:p w:rsidR="00BD425D" w:rsidRPr="00F464F1" w:rsidRDefault="00BD425D" w:rsidP="00650BC1">
            <w:pPr>
              <w:pStyle w:val="SCCShortJudgment"/>
              <w:rPr>
                <w:szCs w:val="20"/>
              </w:rPr>
            </w:pPr>
            <w:r w:rsidRPr="00F464F1">
              <w:rPr>
                <w:szCs w:val="20"/>
              </w:rPr>
              <w:t>The application for leave to appeal from the judgment of the Court of Appeal for Ontario, Number C57972, 2014 ONCA 352, dated May 5, 2014 is dismissed with costs.</w:t>
            </w:r>
          </w:p>
          <w:p w:rsidR="00BD425D" w:rsidRPr="00F464F1" w:rsidRDefault="00BD425D" w:rsidP="00650BC1">
            <w:pPr>
              <w:pStyle w:val="SCCShortJudgment"/>
              <w:ind w:firstLine="0"/>
              <w:rPr>
                <w:szCs w:val="20"/>
              </w:rPr>
            </w:pPr>
          </w:p>
          <w:p w:rsidR="00BD425D" w:rsidRPr="00F464F1" w:rsidRDefault="00BD425D" w:rsidP="00650BC1">
            <w:pPr>
              <w:pStyle w:val="SCCShortJudgment"/>
              <w:rPr>
                <w:szCs w:val="20"/>
                <w:lang w:val="fr-CA"/>
              </w:rPr>
            </w:pPr>
            <w:r w:rsidRPr="00F464F1">
              <w:rPr>
                <w:szCs w:val="20"/>
                <w:lang w:val="fr-CA"/>
              </w:rPr>
              <w:t>La demande d’autorisation d’appel de l’arrêt de la Cour d’appel de l’Ontario, numéro C57972, 2014 ONCA 352, daté du 5 mai 2014, est rejetée avec dépens.</w:t>
            </w:r>
          </w:p>
        </w:tc>
      </w:tr>
    </w:tbl>
    <w:p w:rsidR="00915D6A" w:rsidRPr="0016547E" w:rsidRDefault="00915D6A" w:rsidP="00915D6A">
      <w:pPr>
        <w:rPr>
          <w:sz w:val="20"/>
          <w:szCs w:val="20"/>
          <w:lang w:val="fr-CA"/>
        </w:rPr>
      </w:pPr>
    </w:p>
    <w:p w:rsidR="00915D6A" w:rsidRPr="001B157C" w:rsidRDefault="00915D6A" w:rsidP="00915D6A">
      <w:pPr>
        <w:rPr>
          <w:sz w:val="20"/>
          <w:szCs w:val="20"/>
          <w:u w:val="single"/>
        </w:rPr>
      </w:pPr>
      <w:r w:rsidRPr="001B157C">
        <w:rPr>
          <w:sz w:val="20"/>
          <w:szCs w:val="20"/>
          <w:u w:val="single"/>
        </w:rPr>
        <w:t>CASE SUMMARY</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275A1" w:rsidRPr="00A16F83" w:rsidTr="004275A1">
        <w:tc>
          <w:tcPr>
            <w:tcW w:w="5000" w:type="pct"/>
            <w:gridSpan w:val="3"/>
          </w:tcPr>
          <w:p w:rsidR="004275A1" w:rsidRPr="00A16F83" w:rsidRDefault="004275A1" w:rsidP="004275A1">
            <w:pPr>
              <w:jc w:val="both"/>
              <w:rPr>
                <w:rFonts w:eastAsia="Calibri"/>
                <w:sz w:val="20"/>
              </w:rPr>
            </w:pPr>
            <w:r w:rsidRPr="00A16F83">
              <w:rPr>
                <w:rFonts w:eastAsia="Calibri"/>
                <w:sz w:val="20"/>
              </w:rPr>
              <w:t>Law of professions — Barristers and solicitors — Conflict of interest — Judgments and orders — Summary judgment — Deceased lawyer having acted for both sides on mortgage transaction — Mortgagors filing for bankruptcy - Mortgagee’s estate bringing third party action against deceased lawyer’s trustee — Two year limitation period from date of death potentially applying to bar action — Who bears onus and what evidentiary basis does law require to establish terms of a written retainer agreement between lawyer and client have been changed against interest of client? — Who bears onus and what evidentiary basis does law require to establish</w:t>
            </w:r>
            <w:r w:rsidRPr="00A16F83">
              <w:rPr>
                <w:rFonts w:eastAsia="Calibri"/>
                <w:i/>
                <w:sz w:val="20"/>
              </w:rPr>
              <w:t xml:space="preserve"> </w:t>
            </w:r>
            <w:r w:rsidRPr="00A16F83">
              <w:rPr>
                <w:rFonts w:eastAsia="Calibri"/>
                <w:sz w:val="20"/>
              </w:rPr>
              <w:t xml:space="preserve">informed consent and full disclosure sufficient to permit a lawyer to act in a potential conflict of interest position without breaching their fiduciary duty? - </w:t>
            </w:r>
            <w:r w:rsidRPr="00A16F83">
              <w:rPr>
                <w:rFonts w:eastAsia="Calibri"/>
                <w:i/>
                <w:sz w:val="20"/>
              </w:rPr>
              <w:t>Trustee Act</w:t>
            </w:r>
            <w:r w:rsidRPr="00A16F83">
              <w:rPr>
                <w:rFonts w:eastAsia="Calibri"/>
                <w:sz w:val="20"/>
              </w:rPr>
              <w:t>, R.S.O. 1990, c. T.23</w:t>
            </w:r>
          </w:p>
          <w:p w:rsidR="004275A1" w:rsidRPr="00A16F83" w:rsidRDefault="004275A1" w:rsidP="004275A1">
            <w:pPr>
              <w:jc w:val="both"/>
              <w:rPr>
                <w:rFonts w:eastAsia="Calibri"/>
                <w:sz w:val="20"/>
              </w:rPr>
            </w:pPr>
          </w:p>
        </w:tc>
      </w:tr>
      <w:tr w:rsidR="004275A1" w:rsidRPr="00A16F83" w:rsidTr="004275A1">
        <w:tc>
          <w:tcPr>
            <w:tcW w:w="5000" w:type="pct"/>
            <w:gridSpan w:val="3"/>
          </w:tcPr>
          <w:p w:rsidR="004275A1" w:rsidRPr="00A16F83" w:rsidRDefault="004275A1" w:rsidP="004275A1">
            <w:pPr>
              <w:jc w:val="both"/>
              <w:rPr>
                <w:rFonts w:eastAsia="Calibri"/>
                <w:sz w:val="20"/>
              </w:rPr>
            </w:pPr>
            <w:r w:rsidRPr="00A16F83">
              <w:rPr>
                <w:rFonts w:eastAsia="Calibri"/>
                <w:sz w:val="20"/>
              </w:rPr>
              <w:lastRenderedPageBreak/>
              <w:t xml:space="preserve">Norman Solmon was a chartered accountant who also operated a private lending business for several years.  In 2006, he made a loan of $125,000 to Mr. and Mrs. Rajmohan (the “mortgagors”), secured by second and third mortgages on their home.  He died on October 2, 2007.  Upon his death, those mortgages were assigned to the Norman H. Solmon Family Trust (the “Family Trust”).  Mr. Chandran was the lawyer who acted for Mr. Solmon on the mortgages.  He also acted for the mortgagors and registered both mortgage loans on Mr. Solmon’s behalf.  Mr. Chandran died on November 23, 2007.  His widow, Mrs. Chandran, is the trustee and executor of her late husband’s estate.  The mortgagors subsequently defaulted on the two loans and the Family Trust commenced default proceedings in September, 2008, which the mortgagors defended.  The mortgagors subsequently declared bankruptcy.  The Family Trust sought access to Mr. Chandran’s file and finally obtained it in April, 2009.  More than two years after the death of Mr. Chandran, the Family Trust commenced the third party action in 2010, alleging negligence by Mr. Chandran in handling the mortgages, fraudulent concealment and special circumstances.  Mrs. Chandran, on behalf of the estate, brought a motion for summary judgment arguing that the limitation period under </w:t>
            </w:r>
            <w:hyperlink r:id="rId54" w:anchor="sec38subsec3_smooth" w:history="1">
              <w:r w:rsidRPr="00A16F83">
                <w:rPr>
                  <w:rFonts w:eastAsia="Calibri"/>
                  <w:sz w:val="20"/>
                </w:rPr>
                <w:t>s. 38(3)</w:t>
              </w:r>
            </w:hyperlink>
            <w:r w:rsidRPr="00A16F83">
              <w:rPr>
                <w:rFonts w:eastAsia="Calibri"/>
                <w:sz w:val="20"/>
              </w:rPr>
              <w:t xml:space="preserve"> of the </w:t>
            </w:r>
            <w:hyperlink r:id="rId55" w:history="1">
              <w:r w:rsidRPr="00A16F83">
                <w:rPr>
                  <w:rFonts w:eastAsia="Calibri"/>
                  <w:i/>
                  <w:iCs/>
                  <w:sz w:val="20"/>
                </w:rPr>
                <w:t>Trustee Act</w:t>
              </w:r>
            </w:hyperlink>
            <w:r w:rsidRPr="00A16F83">
              <w:rPr>
                <w:rFonts w:eastAsia="Calibri"/>
                <w:sz w:val="20"/>
              </w:rPr>
              <w:t xml:space="preserve"> barred the third party claim.</w:t>
            </w:r>
          </w:p>
          <w:p w:rsidR="004275A1" w:rsidRPr="00A16F83" w:rsidRDefault="004275A1" w:rsidP="004275A1">
            <w:pPr>
              <w:jc w:val="both"/>
              <w:rPr>
                <w:rFonts w:eastAsia="Calibri"/>
                <w:sz w:val="20"/>
              </w:rPr>
            </w:pPr>
          </w:p>
        </w:tc>
      </w:tr>
      <w:tr w:rsidR="004275A1" w:rsidRPr="00A16F83" w:rsidTr="004275A1">
        <w:tc>
          <w:tcPr>
            <w:tcW w:w="2427" w:type="pct"/>
          </w:tcPr>
          <w:p w:rsidR="004275A1" w:rsidRPr="00A16F83" w:rsidRDefault="004275A1" w:rsidP="004275A1">
            <w:pPr>
              <w:jc w:val="both"/>
              <w:rPr>
                <w:rFonts w:eastAsia="Calibri"/>
                <w:sz w:val="20"/>
              </w:rPr>
            </w:pPr>
            <w:r w:rsidRPr="00A16F83">
              <w:rPr>
                <w:rFonts w:eastAsia="Calibri"/>
                <w:sz w:val="20"/>
              </w:rPr>
              <w:t>October 21, 2013</w:t>
            </w:r>
          </w:p>
          <w:p w:rsidR="004275A1" w:rsidRPr="00A16F83" w:rsidRDefault="004275A1" w:rsidP="004275A1">
            <w:pPr>
              <w:jc w:val="both"/>
              <w:rPr>
                <w:rFonts w:eastAsia="Calibri"/>
                <w:sz w:val="20"/>
              </w:rPr>
            </w:pPr>
            <w:r w:rsidRPr="00A16F83">
              <w:rPr>
                <w:rFonts w:eastAsia="Calibri"/>
                <w:sz w:val="20"/>
              </w:rPr>
              <w:t>Ontario Superior Court of Justice</w:t>
            </w:r>
          </w:p>
          <w:p w:rsidR="004275A1" w:rsidRPr="00A16F83" w:rsidRDefault="004275A1" w:rsidP="004275A1">
            <w:pPr>
              <w:jc w:val="both"/>
              <w:rPr>
                <w:rFonts w:eastAsia="Calibri"/>
                <w:sz w:val="20"/>
              </w:rPr>
            </w:pPr>
            <w:r w:rsidRPr="00A16F83">
              <w:rPr>
                <w:rFonts w:eastAsia="Calibri"/>
                <w:sz w:val="20"/>
              </w:rPr>
              <w:t>(Chiapetta J.)</w:t>
            </w:r>
          </w:p>
          <w:p w:rsidR="004275A1" w:rsidRPr="00A16F83" w:rsidRDefault="00D921D7" w:rsidP="004275A1">
            <w:pPr>
              <w:jc w:val="both"/>
              <w:rPr>
                <w:rFonts w:eastAsia="Calibri"/>
                <w:color w:val="0000FF"/>
                <w:sz w:val="20"/>
                <w:u w:val="single"/>
              </w:rPr>
            </w:pPr>
            <w:r w:rsidRPr="00A16F83">
              <w:rPr>
                <w:rFonts w:eastAsia="Calibri"/>
                <w:sz w:val="20"/>
              </w:rPr>
              <w:fldChar w:fldCharType="begin"/>
            </w:r>
            <w:r w:rsidR="004275A1" w:rsidRPr="00A16F83">
              <w:rPr>
                <w:rFonts w:eastAsia="Calibri"/>
                <w:sz w:val="20"/>
              </w:rPr>
              <w:instrText xml:space="preserve"> HYPERLINK "http://canlii.ca/t/g1m8t" </w:instrText>
            </w:r>
            <w:r w:rsidR="00690162" w:rsidRPr="00A16F83">
              <w:rPr>
                <w:rFonts w:eastAsia="Calibri"/>
                <w:sz w:val="20"/>
              </w:rPr>
            </w:r>
            <w:r w:rsidRPr="00A16F83">
              <w:rPr>
                <w:rFonts w:eastAsia="Calibri"/>
                <w:sz w:val="20"/>
              </w:rPr>
              <w:fldChar w:fldCharType="separate"/>
            </w:r>
            <w:r w:rsidR="004275A1" w:rsidRPr="00A16F83">
              <w:rPr>
                <w:rFonts w:eastAsia="Calibri"/>
                <w:color w:val="0000FF"/>
                <w:sz w:val="20"/>
                <w:u w:val="single"/>
              </w:rPr>
              <w:t>2013 ONSC 6259</w:t>
            </w:r>
          </w:p>
          <w:p w:rsidR="004275A1" w:rsidRPr="00A16F83" w:rsidRDefault="00D921D7" w:rsidP="004275A1">
            <w:pPr>
              <w:jc w:val="both"/>
              <w:rPr>
                <w:rFonts w:eastAsia="Calibri"/>
                <w:sz w:val="20"/>
              </w:rPr>
            </w:pPr>
            <w:r w:rsidRPr="00A16F83">
              <w:rPr>
                <w:rFonts w:eastAsia="Calibri"/>
                <w:sz w:val="20"/>
              </w:rPr>
              <w:fldChar w:fldCharType="end"/>
            </w:r>
          </w:p>
        </w:tc>
        <w:tc>
          <w:tcPr>
            <w:tcW w:w="243" w:type="pct"/>
          </w:tcPr>
          <w:p w:rsidR="004275A1" w:rsidRPr="00A16F83" w:rsidRDefault="004275A1" w:rsidP="004275A1">
            <w:pPr>
              <w:jc w:val="both"/>
              <w:rPr>
                <w:rFonts w:eastAsia="Calibri"/>
                <w:sz w:val="20"/>
              </w:rPr>
            </w:pPr>
          </w:p>
        </w:tc>
        <w:tc>
          <w:tcPr>
            <w:tcW w:w="2330" w:type="pct"/>
          </w:tcPr>
          <w:p w:rsidR="004275A1" w:rsidRPr="00A16F83" w:rsidRDefault="004275A1" w:rsidP="004275A1">
            <w:pPr>
              <w:jc w:val="both"/>
              <w:rPr>
                <w:rFonts w:eastAsia="Calibri"/>
                <w:sz w:val="20"/>
              </w:rPr>
            </w:pPr>
            <w:r w:rsidRPr="00A16F83">
              <w:rPr>
                <w:rFonts w:eastAsia="Calibri"/>
                <w:sz w:val="20"/>
              </w:rPr>
              <w:t>Third party claim against estate trustee dismissed on her motion for summary judgment</w:t>
            </w:r>
          </w:p>
        </w:tc>
      </w:tr>
      <w:tr w:rsidR="004275A1" w:rsidRPr="00A16F83" w:rsidTr="004275A1">
        <w:tc>
          <w:tcPr>
            <w:tcW w:w="2427" w:type="pct"/>
          </w:tcPr>
          <w:p w:rsidR="004275A1" w:rsidRPr="00A16F83" w:rsidRDefault="004275A1" w:rsidP="004275A1">
            <w:pPr>
              <w:jc w:val="both"/>
              <w:rPr>
                <w:rFonts w:eastAsia="Calibri"/>
                <w:sz w:val="20"/>
              </w:rPr>
            </w:pPr>
            <w:r w:rsidRPr="00A16F83">
              <w:rPr>
                <w:rFonts w:eastAsia="Calibri"/>
                <w:sz w:val="20"/>
              </w:rPr>
              <w:t>May 5, 2014</w:t>
            </w:r>
          </w:p>
          <w:p w:rsidR="004275A1" w:rsidRPr="00A16F83" w:rsidRDefault="004275A1" w:rsidP="004275A1">
            <w:pPr>
              <w:jc w:val="both"/>
              <w:rPr>
                <w:rFonts w:eastAsia="Calibri"/>
                <w:sz w:val="20"/>
              </w:rPr>
            </w:pPr>
            <w:r w:rsidRPr="00A16F83">
              <w:rPr>
                <w:rFonts w:eastAsia="Calibri"/>
                <w:sz w:val="20"/>
              </w:rPr>
              <w:t>Court of Appeal for Ontario</w:t>
            </w:r>
          </w:p>
          <w:p w:rsidR="004275A1" w:rsidRPr="00A16F83" w:rsidRDefault="004275A1" w:rsidP="004275A1">
            <w:pPr>
              <w:jc w:val="both"/>
              <w:rPr>
                <w:rFonts w:eastAsia="Calibri"/>
                <w:sz w:val="20"/>
              </w:rPr>
            </w:pPr>
            <w:r w:rsidRPr="00A16F83">
              <w:rPr>
                <w:rFonts w:eastAsia="Calibri"/>
                <w:sz w:val="20"/>
              </w:rPr>
              <w:t>(Juriansz, Tulloch and Strathy (</w:t>
            </w:r>
            <w:r w:rsidRPr="00A16F83">
              <w:rPr>
                <w:rFonts w:eastAsia="Calibri"/>
                <w:i/>
                <w:sz w:val="20"/>
              </w:rPr>
              <w:t>ad hoc</w:t>
            </w:r>
            <w:r w:rsidRPr="00A16F83">
              <w:rPr>
                <w:rFonts w:eastAsia="Calibri"/>
                <w:sz w:val="20"/>
              </w:rPr>
              <w:t>) JJ.A.)</w:t>
            </w:r>
          </w:p>
          <w:p w:rsidR="004275A1" w:rsidRPr="00A16F83" w:rsidRDefault="00690162" w:rsidP="004275A1">
            <w:pPr>
              <w:jc w:val="both"/>
              <w:rPr>
                <w:rFonts w:eastAsia="Calibri"/>
                <w:sz w:val="20"/>
              </w:rPr>
            </w:pPr>
            <w:hyperlink r:id="rId56" w:history="1">
              <w:r w:rsidR="004275A1" w:rsidRPr="00A16F83">
                <w:rPr>
                  <w:rFonts w:eastAsia="Calibri"/>
                  <w:color w:val="0000FF"/>
                  <w:sz w:val="20"/>
                  <w:u w:val="single"/>
                </w:rPr>
                <w:t>2014 ONCA 352</w:t>
              </w:r>
            </w:hyperlink>
          </w:p>
          <w:p w:rsidR="004275A1" w:rsidRPr="00A16F83" w:rsidRDefault="004275A1" w:rsidP="004275A1">
            <w:pPr>
              <w:jc w:val="both"/>
              <w:rPr>
                <w:rFonts w:eastAsia="Calibri"/>
                <w:sz w:val="20"/>
              </w:rPr>
            </w:pPr>
          </w:p>
        </w:tc>
        <w:tc>
          <w:tcPr>
            <w:tcW w:w="243" w:type="pct"/>
          </w:tcPr>
          <w:p w:rsidR="004275A1" w:rsidRPr="00A16F83" w:rsidRDefault="004275A1" w:rsidP="004275A1">
            <w:pPr>
              <w:jc w:val="both"/>
              <w:rPr>
                <w:rFonts w:eastAsia="Calibri"/>
                <w:sz w:val="20"/>
              </w:rPr>
            </w:pPr>
          </w:p>
        </w:tc>
        <w:tc>
          <w:tcPr>
            <w:tcW w:w="2330" w:type="pct"/>
          </w:tcPr>
          <w:p w:rsidR="004275A1" w:rsidRPr="00A16F83" w:rsidRDefault="004275A1" w:rsidP="004275A1">
            <w:pPr>
              <w:jc w:val="both"/>
              <w:rPr>
                <w:rFonts w:eastAsia="Calibri"/>
                <w:sz w:val="20"/>
              </w:rPr>
            </w:pPr>
            <w:r w:rsidRPr="00A16F83">
              <w:rPr>
                <w:rFonts w:eastAsia="Calibri"/>
                <w:sz w:val="20"/>
              </w:rPr>
              <w:t>Applicant’s appeal dismissed</w:t>
            </w:r>
          </w:p>
        </w:tc>
      </w:tr>
      <w:tr w:rsidR="004275A1" w:rsidRPr="00A16F83" w:rsidTr="004275A1">
        <w:tc>
          <w:tcPr>
            <w:tcW w:w="2427" w:type="pct"/>
          </w:tcPr>
          <w:p w:rsidR="004275A1" w:rsidRPr="00A16F83" w:rsidRDefault="004275A1" w:rsidP="004275A1">
            <w:pPr>
              <w:jc w:val="both"/>
              <w:rPr>
                <w:rFonts w:eastAsia="Calibri"/>
                <w:sz w:val="20"/>
              </w:rPr>
            </w:pPr>
            <w:r w:rsidRPr="00A16F83">
              <w:rPr>
                <w:rFonts w:eastAsia="Calibri"/>
                <w:sz w:val="20"/>
              </w:rPr>
              <w:t>August 5, 2014</w:t>
            </w:r>
          </w:p>
          <w:p w:rsidR="004275A1" w:rsidRPr="00A16F83" w:rsidRDefault="004275A1" w:rsidP="004275A1">
            <w:pPr>
              <w:jc w:val="both"/>
              <w:rPr>
                <w:rFonts w:eastAsia="Calibri"/>
                <w:sz w:val="20"/>
              </w:rPr>
            </w:pPr>
            <w:r w:rsidRPr="00A16F83">
              <w:rPr>
                <w:rFonts w:eastAsia="Calibri"/>
                <w:sz w:val="20"/>
              </w:rPr>
              <w:t>Supreme Court of Canada</w:t>
            </w:r>
          </w:p>
        </w:tc>
        <w:tc>
          <w:tcPr>
            <w:tcW w:w="243" w:type="pct"/>
          </w:tcPr>
          <w:p w:rsidR="004275A1" w:rsidRPr="00A16F83" w:rsidRDefault="004275A1" w:rsidP="004275A1">
            <w:pPr>
              <w:jc w:val="both"/>
              <w:rPr>
                <w:rFonts w:eastAsia="Calibri"/>
                <w:sz w:val="20"/>
              </w:rPr>
            </w:pPr>
          </w:p>
        </w:tc>
        <w:tc>
          <w:tcPr>
            <w:tcW w:w="2330" w:type="pct"/>
          </w:tcPr>
          <w:p w:rsidR="004275A1" w:rsidRPr="00A16F83" w:rsidRDefault="004275A1" w:rsidP="004275A1">
            <w:pPr>
              <w:jc w:val="both"/>
              <w:rPr>
                <w:rFonts w:eastAsia="Calibri"/>
                <w:sz w:val="20"/>
              </w:rPr>
            </w:pPr>
            <w:r w:rsidRPr="00A16F83">
              <w:rPr>
                <w:rFonts w:eastAsia="Calibri"/>
                <w:sz w:val="20"/>
              </w:rPr>
              <w:t>Application for leave to appeal filed</w:t>
            </w:r>
          </w:p>
        </w:tc>
      </w:tr>
    </w:tbl>
    <w:p w:rsidR="00915D6A" w:rsidRDefault="00915D6A" w:rsidP="00915D6A">
      <w:pPr>
        <w:rPr>
          <w:sz w:val="20"/>
          <w:szCs w:val="20"/>
        </w:rPr>
      </w:pPr>
    </w:p>
    <w:p w:rsidR="00915D6A" w:rsidRPr="00C50A5C" w:rsidRDefault="00690162" w:rsidP="00915D6A">
      <w:pPr>
        <w:rPr>
          <w:sz w:val="20"/>
          <w:szCs w:val="20"/>
        </w:rPr>
      </w:pPr>
      <w:r>
        <w:rPr>
          <w:sz w:val="20"/>
          <w:szCs w:val="20"/>
          <w:lang w:val="fr-CA"/>
        </w:rPr>
        <w:pict>
          <v:rect id="_x0000_i1060" style="width:2in;height:1pt" o:hrpct="0" o:hralign="center" o:hrstd="t" o:hrnoshade="t" o:hr="t" fillcolor="black [3213]" stroked="f"/>
        </w:pict>
      </w:r>
    </w:p>
    <w:p w:rsidR="00915D6A" w:rsidRDefault="00915D6A" w:rsidP="00915D6A">
      <w:pPr>
        <w:rPr>
          <w:sz w:val="20"/>
          <w:szCs w:val="20"/>
        </w:rPr>
      </w:pPr>
    </w:p>
    <w:p w:rsidR="00915D6A" w:rsidRPr="001B157C" w:rsidRDefault="00915D6A" w:rsidP="00915D6A">
      <w:pPr>
        <w:rPr>
          <w:sz w:val="20"/>
          <w:szCs w:val="20"/>
          <w:u w:val="single"/>
          <w:lang w:val="fr-CA"/>
        </w:rPr>
      </w:pPr>
      <w:r w:rsidRPr="001B157C">
        <w:rPr>
          <w:sz w:val="20"/>
          <w:szCs w:val="20"/>
          <w:u w:val="single"/>
          <w:lang w:val="fr-CA"/>
        </w:rPr>
        <w:t>RÉSUMÉ DE L’AFFAIRE</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275A1" w:rsidRPr="00A16F83" w:rsidTr="004275A1">
        <w:tc>
          <w:tcPr>
            <w:tcW w:w="5000" w:type="pct"/>
            <w:gridSpan w:val="3"/>
          </w:tcPr>
          <w:p w:rsidR="004275A1" w:rsidRPr="00A16F83" w:rsidRDefault="004275A1" w:rsidP="004275A1">
            <w:pPr>
              <w:jc w:val="both"/>
              <w:rPr>
                <w:rFonts w:eastAsia="Calibri"/>
                <w:sz w:val="20"/>
                <w:lang w:val="fr-CA"/>
              </w:rPr>
            </w:pPr>
            <w:r w:rsidRPr="00A16F83">
              <w:rPr>
                <w:rFonts w:eastAsia="Calibri"/>
                <w:sz w:val="20"/>
                <w:lang w:val="fr-CA"/>
              </w:rPr>
              <w:t xml:space="preserve">Droit des professions — Avocats et procureurs — Conflit d’intérêts — Jugements et ordonnances — Jugements sommaires — Un avocat maintenant décédé a agi pour les deux parties à une opération hypothécaire — Les débiteurs hypothécaires ont déposé une requête en faillite — La succession du créancier hypothécaire a intenté un recours contre un tiers, la fiduciaire de l’avocat décédé - Le délai de prescription de deux ans de la date du décès pourrait éventuellement s’appliquer pour rendre l’action irrecevable — Qui assume le fardeau de la preuve et quelle preuve le droit exige-t-il pour établir que les conditions d’un mandat écrit entre un avocat et un client ont été modifiées au détriment du client? — Qui assume le fardeau de la preuve et quelle preuve le droit exige-il pour établir le consentement éclairé et la divulgation complète suffisants pour permettre à un avocat d’agir dans une situation de conflit d’intérêts éventuel sans violer son obligation fiduciaire? — </w:t>
            </w:r>
            <w:r w:rsidRPr="00A16F83">
              <w:rPr>
                <w:rFonts w:eastAsia="Calibri"/>
                <w:i/>
                <w:sz w:val="20"/>
                <w:lang w:val="fr-CA"/>
              </w:rPr>
              <w:t>Loi sur les fiduciaires</w:t>
            </w:r>
            <w:r w:rsidRPr="00A16F83">
              <w:rPr>
                <w:rFonts w:eastAsia="Calibri"/>
                <w:sz w:val="20"/>
                <w:lang w:val="fr-CA"/>
              </w:rPr>
              <w:t>, L.R.O. 1990, ch. T.23.</w:t>
            </w:r>
          </w:p>
        </w:tc>
      </w:tr>
      <w:tr w:rsidR="004275A1" w:rsidRPr="00690162" w:rsidTr="004275A1">
        <w:tc>
          <w:tcPr>
            <w:tcW w:w="5000" w:type="pct"/>
            <w:gridSpan w:val="3"/>
          </w:tcPr>
          <w:p w:rsidR="004275A1" w:rsidRPr="00A16F83" w:rsidRDefault="004275A1" w:rsidP="004275A1">
            <w:pPr>
              <w:jc w:val="both"/>
              <w:rPr>
                <w:rFonts w:eastAsia="Calibri"/>
                <w:sz w:val="20"/>
                <w:lang w:val="fr-CA"/>
              </w:rPr>
            </w:pPr>
            <w:r w:rsidRPr="00A16F83">
              <w:rPr>
                <w:rFonts w:eastAsia="Calibri"/>
                <w:sz w:val="20"/>
                <w:lang w:val="fr-CA"/>
              </w:rPr>
              <w:t xml:space="preserve">Norman Solmon, un comptable agréé, exploitait également une entreprise privée de prêt d’argent pendant plusieurs années.  En 2006, il a consenti un prêt de 125 000 $ à M. et Mme Rajmohan (les « débiteurs hypothécaires »), garanti par des hypothèques de deuxième et de troisième rang grevant leur maison.  Monsieur Solmon est décédé le 2 octobre 2007.  À son décès, les créances hypothécaires ont été cédées à la fiducie familiale Norman H. Solmon (la « fiducie familiale »).  Maître Chandran avait agi comme avocat pour M. Solmon relativement aux hypothèques.  Il avait également agi pour les débiteurs hypothécaires et avait inscrit les deux prêts hypothécaires au nom de M. Solmon.  Maître Chandran est décédé le 23 novembre 2007.  Sa veuve, Mme Chandran, est la fiduciaire et l’exécutrice de la succession de son défunt mari.  Les débiteurs hypothécaires se sont subséquemment trouvés en défaut quant aux deux prêts et la fiducie familiale a intenté un recours en exécution en septembre 2008, auquel les débiteurs hypothécaires ont opposé une défense.  Les débiteurs hypothécaires ont subséquemment présenté une requête en faillite.  La fiducie </w:t>
            </w:r>
            <w:r w:rsidRPr="00A16F83">
              <w:rPr>
                <w:rFonts w:eastAsia="Calibri"/>
                <w:sz w:val="20"/>
                <w:lang w:val="fr-CA"/>
              </w:rPr>
              <w:lastRenderedPageBreak/>
              <w:t>familiale a demandé l’accès au dossier de M</w:t>
            </w:r>
            <w:r w:rsidRPr="00A16F83">
              <w:rPr>
                <w:rFonts w:eastAsia="Calibri"/>
                <w:sz w:val="20"/>
                <w:vertAlign w:val="superscript"/>
                <w:lang w:val="fr-CA"/>
              </w:rPr>
              <w:t>e</w:t>
            </w:r>
            <w:r w:rsidRPr="00A16F83">
              <w:rPr>
                <w:rFonts w:eastAsia="Calibri"/>
                <w:sz w:val="20"/>
                <w:lang w:val="fr-CA"/>
              </w:rPr>
              <w:t xml:space="preserve"> Chandran </w:t>
            </w:r>
            <w:r w:rsidR="005F5D47">
              <w:rPr>
                <w:rFonts w:eastAsia="Calibri"/>
                <w:sz w:val="20"/>
                <w:lang w:val="fr-CA"/>
              </w:rPr>
              <w:t xml:space="preserve">et </w:t>
            </w:r>
            <w:r w:rsidRPr="00A16F83">
              <w:rPr>
                <w:rFonts w:eastAsia="Calibri"/>
                <w:sz w:val="20"/>
                <w:lang w:val="fr-CA"/>
              </w:rPr>
              <w:t>l’a finalement obtenu en avril 2009.  Plus de deux ans après le décès de M</w:t>
            </w:r>
            <w:r w:rsidRPr="00A16F83">
              <w:rPr>
                <w:rFonts w:eastAsia="Calibri"/>
                <w:sz w:val="20"/>
                <w:vertAlign w:val="superscript"/>
                <w:lang w:val="fr-CA"/>
              </w:rPr>
              <w:t>e</w:t>
            </w:r>
            <w:r w:rsidRPr="00A16F83">
              <w:rPr>
                <w:rFonts w:eastAsia="Calibri"/>
                <w:sz w:val="20"/>
                <w:lang w:val="fr-CA"/>
              </w:rPr>
              <w:t> Chandran, la fiducie familiale a intenté une action contre la succession de l’avocat, un tiers, en 2010, plaidant la négligence de M</w:t>
            </w:r>
            <w:r w:rsidRPr="00A16F83">
              <w:rPr>
                <w:rFonts w:eastAsia="Calibri"/>
                <w:sz w:val="20"/>
                <w:vertAlign w:val="superscript"/>
                <w:lang w:val="fr-CA"/>
              </w:rPr>
              <w:t>e</w:t>
            </w:r>
            <w:r w:rsidRPr="00A16F83">
              <w:rPr>
                <w:rFonts w:eastAsia="Calibri"/>
                <w:sz w:val="20"/>
                <w:lang w:val="fr-CA"/>
              </w:rPr>
              <w:t xml:space="preserve"> Chandran dans le traitement des hypothèques, la dissimulation frauduleuse et des circonstances particulières.  Madame Chandran, au nom de la succession, a présenté une motion en jugement sommaire, plaidant que les délais de prescription prévus au par</w:t>
            </w:r>
            <w:hyperlink r:id="rId57" w:anchor="sec38subsec3_smooth" w:history="1">
              <w:r w:rsidRPr="00A16F83">
                <w:rPr>
                  <w:rFonts w:eastAsia="Calibri"/>
                  <w:sz w:val="20"/>
                  <w:lang w:val="fr-CA"/>
                </w:rPr>
                <w:t>. 38(3)</w:t>
              </w:r>
            </w:hyperlink>
            <w:r w:rsidRPr="00A16F83">
              <w:rPr>
                <w:rFonts w:eastAsia="Calibri"/>
                <w:sz w:val="20"/>
                <w:lang w:val="fr-CA"/>
              </w:rPr>
              <w:t xml:space="preserve"> de la </w:t>
            </w:r>
            <w:r w:rsidRPr="00A16F83">
              <w:rPr>
                <w:rFonts w:eastAsia="Calibri"/>
                <w:i/>
                <w:sz w:val="20"/>
                <w:lang w:val="fr-CA"/>
              </w:rPr>
              <w:t>Loi sur les fiduciaires</w:t>
            </w:r>
            <w:r w:rsidRPr="00A16F83">
              <w:rPr>
                <w:rFonts w:eastAsia="Calibri"/>
                <w:sz w:val="20"/>
                <w:lang w:val="fr-CA"/>
              </w:rPr>
              <w:t xml:space="preserve"> rendait le recours contre les tiers irrecevable.</w:t>
            </w:r>
          </w:p>
          <w:p w:rsidR="004275A1" w:rsidRPr="00A16F83" w:rsidRDefault="004275A1" w:rsidP="004275A1">
            <w:pPr>
              <w:jc w:val="both"/>
              <w:rPr>
                <w:rFonts w:eastAsia="Calibri"/>
                <w:sz w:val="20"/>
                <w:lang w:val="fr-CA"/>
              </w:rPr>
            </w:pPr>
          </w:p>
        </w:tc>
      </w:tr>
      <w:tr w:rsidR="004275A1" w:rsidRPr="00690162" w:rsidTr="004275A1">
        <w:tc>
          <w:tcPr>
            <w:tcW w:w="2427" w:type="pct"/>
          </w:tcPr>
          <w:p w:rsidR="004275A1" w:rsidRPr="00A16F83" w:rsidRDefault="004275A1" w:rsidP="004275A1">
            <w:pPr>
              <w:jc w:val="both"/>
              <w:rPr>
                <w:rFonts w:eastAsia="Calibri"/>
                <w:sz w:val="20"/>
                <w:lang w:val="fr-CA"/>
              </w:rPr>
            </w:pPr>
            <w:r w:rsidRPr="00A16F83">
              <w:rPr>
                <w:rFonts w:eastAsia="Calibri"/>
                <w:sz w:val="20"/>
                <w:lang w:val="fr-CA"/>
              </w:rPr>
              <w:lastRenderedPageBreak/>
              <w:t>21 octobre 2013</w:t>
            </w:r>
          </w:p>
          <w:p w:rsidR="004275A1" w:rsidRPr="00A16F83" w:rsidRDefault="004275A1" w:rsidP="004275A1">
            <w:pPr>
              <w:jc w:val="both"/>
              <w:rPr>
                <w:rFonts w:eastAsia="Calibri"/>
                <w:sz w:val="20"/>
                <w:lang w:val="fr-CA"/>
              </w:rPr>
            </w:pPr>
            <w:r w:rsidRPr="00A16F83">
              <w:rPr>
                <w:rFonts w:eastAsia="Calibri"/>
                <w:sz w:val="20"/>
                <w:lang w:val="fr-CA"/>
              </w:rPr>
              <w:t>Cour supérieure de justice de l’Ontario</w:t>
            </w:r>
          </w:p>
          <w:p w:rsidR="004275A1" w:rsidRPr="00A16F83" w:rsidRDefault="004275A1" w:rsidP="004275A1">
            <w:pPr>
              <w:jc w:val="both"/>
              <w:rPr>
                <w:rFonts w:eastAsia="Calibri"/>
                <w:sz w:val="20"/>
                <w:lang w:val="fr-CA"/>
              </w:rPr>
            </w:pPr>
            <w:r w:rsidRPr="00A16F83">
              <w:rPr>
                <w:rFonts w:eastAsia="Calibri"/>
                <w:sz w:val="20"/>
                <w:lang w:val="fr-CA"/>
              </w:rPr>
              <w:t>(Juge Chiapetta)</w:t>
            </w:r>
          </w:p>
          <w:p w:rsidR="004275A1" w:rsidRPr="00A16F83" w:rsidRDefault="00D921D7" w:rsidP="004275A1">
            <w:pPr>
              <w:jc w:val="both"/>
              <w:rPr>
                <w:rFonts w:eastAsia="Calibri"/>
                <w:color w:val="0000FF"/>
                <w:sz w:val="20"/>
                <w:u w:val="single"/>
                <w:lang w:val="fr-CA"/>
              </w:rPr>
            </w:pPr>
            <w:r w:rsidRPr="00A16F83">
              <w:rPr>
                <w:rFonts w:eastAsia="Calibri"/>
                <w:sz w:val="20"/>
                <w:lang w:val="fr-CA"/>
              </w:rPr>
              <w:fldChar w:fldCharType="begin"/>
            </w:r>
            <w:r w:rsidR="004275A1" w:rsidRPr="00A16F83">
              <w:rPr>
                <w:rFonts w:eastAsia="Calibri"/>
                <w:sz w:val="20"/>
                <w:lang w:val="fr-CA"/>
              </w:rPr>
              <w:instrText xml:space="preserve"> HYPERLINK "http://canlii.ca/t/g1m8t" </w:instrText>
            </w:r>
            <w:r w:rsidR="00690162" w:rsidRPr="00A16F83">
              <w:rPr>
                <w:rFonts w:eastAsia="Calibri"/>
                <w:sz w:val="20"/>
                <w:lang w:val="fr-CA"/>
              </w:rPr>
            </w:r>
            <w:r w:rsidRPr="00A16F83">
              <w:rPr>
                <w:rFonts w:eastAsia="Calibri"/>
                <w:sz w:val="20"/>
                <w:lang w:val="fr-CA"/>
              </w:rPr>
              <w:fldChar w:fldCharType="separate"/>
            </w:r>
            <w:r w:rsidR="004275A1" w:rsidRPr="00A16F83">
              <w:rPr>
                <w:rFonts w:eastAsia="Calibri"/>
                <w:color w:val="0000FF"/>
                <w:sz w:val="20"/>
                <w:u w:val="single"/>
                <w:lang w:val="fr-CA"/>
              </w:rPr>
              <w:t>2013 ONSC 6259</w:t>
            </w:r>
          </w:p>
          <w:p w:rsidR="004275A1" w:rsidRPr="00A16F83" w:rsidRDefault="00D921D7" w:rsidP="004275A1">
            <w:pPr>
              <w:jc w:val="both"/>
              <w:rPr>
                <w:rFonts w:eastAsia="Calibri"/>
                <w:sz w:val="20"/>
                <w:lang w:val="fr-CA"/>
              </w:rPr>
            </w:pPr>
            <w:r w:rsidRPr="00A16F83">
              <w:rPr>
                <w:rFonts w:eastAsia="Calibri"/>
                <w:sz w:val="20"/>
                <w:lang w:val="fr-CA"/>
              </w:rPr>
              <w:fldChar w:fldCharType="end"/>
            </w:r>
          </w:p>
        </w:tc>
        <w:tc>
          <w:tcPr>
            <w:tcW w:w="243" w:type="pct"/>
          </w:tcPr>
          <w:p w:rsidR="004275A1" w:rsidRPr="00A16F83" w:rsidRDefault="004275A1" w:rsidP="004275A1">
            <w:pPr>
              <w:jc w:val="both"/>
              <w:rPr>
                <w:rFonts w:eastAsia="Calibri"/>
                <w:sz w:val="20"/>
                <w:lang w:val="fr-CA"/>
              </w:rPr>
            </w:pPr>
          </w:p>
        </w:tc>
        <w:tc>
          <w:tcPr>
            <w:tcW w:w="2330" w:type="pct"/>
          </w:tcPr>
          <w:p w:rsidR="004275A1" w:rsidRPr="00A16F83" w:rsidRDefault="004275A1" w:rsidP="004275A1">
            <w:pPr>
              <w:jc w:val="both"/>
              <w:rPr>
                <w:rFonts w:eastAsia="Calibri"/>
                <w:sz w:val="20"/>
                <w:lang w:val="fr-CA"/>
              </w:rPr>
            </w:pPr>
            <w:r w:rsidRPr="00A16F83">
              <w:rPr>
                <w:rFonts w:eastAsia="Calibri"/>
                <w:sz w:val="20"/>
                <w:lang w:val="fr-CA"/>
              </w:rPr>
              <w:t>Recours contre la fiduciaire de la succession, un tiers, rejeté à la suite de sa motion en jugement sommaire</w:t>
            </w:r>
          </w:p>
        </w:tc>
      </w:tr>
      <w:tr w:rsidR="004275A1" w:rsidRPr="00690162" w:rsidTr="004275A1">
        <w:tc>
          <w:tcPr>
            <w:tcW w:w="2427" w:type="pct"/>
          </w:tcPr>
          <w:p w:rsidR="004275A1" w:rsidRPr="00A16F83" w:rsidRDefault="004275A1" w:rsidP="004275A1">
            <w:pPr>
              <w:jc w:val="both"/>
              <w:rPr>
                <w:rFonts w:eastAsia="Calibri"/>
                <w:sz w:val="20"/>
                <w:lang w:val="fr-CA"/>
              </w:rPr>
            </w:pPr>
            <w:r w:rsidRPr="00A16F83">
              <w:rPr>
                <w:rFonts w:eastAsia="Calibri"/>
                <w:sz w:val="20"/>
                <w:lang w:val="fr-CA"/>
              </w:rPr>
              <w:t>5 mai 2014</w:t>
            </w:r>
          </w:p>
          <w:p w:rsidR="004275A1" w:rsidRPr="00A16F83" w:rsidRDefault="004275A1" w:rsidP="004275A1">
            <w:pPr>
              <w:jc w:val="both"/>
              <w:rPr>
                <w:rFonts w:eastAsia="Calibri"/>
                <w:sz w:val="20"/>
                <w:lang w:val="fr-CA"/>
              </w:rPr>
            </w:pPr>
            <w:r w:rsidRPr="00A16F83">
              <w:rPr>
                <w:rFonts w:eastAsia="Calibri"/>
                <w:sz w:val="20"/>
                <w:lang w:val="fr-CA"/>
              </w:rPr>
              <w:t>Cour d’appel de l’Ontario</w:t>
            </w:r>
          </w:p>
          <w:p w:rsidR="004275A1" w:rsidRPr="00A16F83" w:rsidRDefault="004275A1" w:rsidP="004275A1">
            <w:pPr>
              <w:jc w:val="both"/>
              <w:rPr>
                <w:rFonts w:eastAsia="Calibri"/>
                <w:sz w:val="20"/>
                <w:lang w:val="fr-CA"/>
              </w:rPr>
            </w:pPr>
            <w:r w:rsidRPr="00A16F83">
              <w:rPr>
                <w:rFonts w:eastAsia="Calibri"/>
                <w:sz w:val="20"/>
                <w:lang w:val="fr-CA"/>
              </w:rPr>
              <w:t>(Juges Juriansz, Tulloch et Strathy (</w:t>
            </w:r>
            <w:r w:rsidRPr="00A16F83">
              <w:rPr>
                <w:rFonts w:eastAsia="Calibri"/>
                <w:i/>
                <w:sz w:val="20"/>
                <w:lang w:val="fr-CA"/>
              </w:rPr>
              <w:t>ad hoc</w:t>
            </w:r>
            <w:r w:rsidRPr="00A16F83">
              <w:rPr>
                <w:rFonts w:eastAsia="Calibri"/>
                <w:sz w:val="20"/>
                <w:lang w:val="fr-CA"/>
              </w:rPr>
              <w:t>))</w:t>
            </w:r>
          </w:p>
          <w:p w:rsidR="004275A1" w:rsidRPr="00A16F83" w:rsidRDefault="00690162" w:rsidP="004275A1">
            <w:pPr>
              <w:jc w:val="both"/>
              <w:rPr>
                <w:rFonts w:eastAsia="Calibri"/>
                <w:sz w:val="20"/>
                <w:lang w:val="fr-CA"/>
              </w:rPr>
            </w:pPr>
            <w:hyperlink r:id="rId58" w:history="1">
              <w:r w:rsidR="004275A1" w:rsidRPr="00A16F83">
                <w:rPr>
                  <w:rFonts w:eastAsia="Calibri"/>
                  <w:color w:val="0000FF"/>
                  <w:sz w:val="20"/>
                  <w:u w:val="single"/>
                  <w:lang w:val="fr-CA"/>
                </w:rPr>
                <w:t>2014 ONCA 352</w:t>
              </w:r>
            </w:hyperlink>
          </w:p>
          <w:p w:rsidR="004275A1" w:rsidRPr="00A16F83" w:rsidRDefault="004275A1" w:rsidP="004275A1">
            <w:pPr>
              <w:jc w:val="both"/>
              <w:rPr>
                <w:rFonts w:eastAsia="Calibri"/>
                <w:sz w:val="20"/>
                <w:lang w:val="fr-CA"/>
              </w:rPr>
            </w:pPr>
          </w:p>
        </w:tc>
        <w:tc>
          <w:tcPr>
            <w:tcW w:w="243" w:type="pct"/>
          </w:tcPr>
          <w:p w:rsidR="004275A1" w:rsidRPr="00A16F83" w:rsidRDefault="004275A1" w:rsidP="004275A1">
            <w:pPr>
              <w:jc w:val="both"/>
              <w:rPr>
                <w:rFonts w:eastAsia="Calibri"/>
                <w:sz w:val="20"/>
                <w:lang w:val="fr-CA"/>
              </w:rPr>
            </w:pPr>
          </w:p>
        </w:tc>
        <w:tc>
          <w:tcPr>
            <w:tcW w:w="2330" w:type="pct"/>
          </w:tcPr>
          <w:p w:rsidR="004275A1" w:rsidRPr="00A16F83" w:rsidRDefault="004275A1" w:rsidP="004275A1">
            <w:pPr>
              <w:jc w:val="both"/>
              <w:rPr>
                <w:rFonts w:eastAsia="Calibri"/>
                <w:sz w:val="20"/>
                <w:lang w:val="fr-CA"/>
              </w:rPr>
            </w:pPr>
            <w:r w:rsidRPr="00A16F83">
              <w:rPr>
                <w:rFonts w:eastAsia="Calibri"/>
                <w:sz w:val="20"/>
                <w:lang w:val="fr-CA"/>
              </w:rPr>
              <w:t>Appel de la demanderesse, rejeté</w:t>
            </w:r>
          </w:p>
        </w:tc>
      </w:tr>
      <w:tr w:rsidR="004275A1" w:rsidRPr="00A16F83" w:rsidTr="004275A1">
        <w:tc>
          <w:tcPr>
            <w:tcW w:w="2427" w:type="pct"/>
          </w:tcPr>
          <w:p w:rsidR="004275A1" w:rsidRPr="00A16F83" w:rsidRDefault="004275A1" w:rsidP="004275A1">
            <w:pPr>
              <w:jc w:val="both"/>
              <w:rPr>
                <w:rFonts w:eastAsia="Calibri"/>
                <w:sz w:val="20"/>
                <w:lang w:val="fr-CA"/>
              </w:rPr>
            </w:pPr>
            <w:r w:rsidRPr="00A16F83">
              <w:rPr>
                <w:rFonts w:eastAsia="Calibri"/>
                <w:sz w:val="20"/>
                <w:lang w:val="fr-CA"/>
              </w:rPr>
              <w:t>5 août 2014</w:t>
            </w:r>
          </w:p>
          <w:p w:rsidR="004275A1" w:rsidRPr="00A16F83" w:rsidRDefault="004275A1" w:rsidP="004275A1">
            <w:pPr>
              <w:jc w:val="both"/>
              <w:rPr>
                <w:rFonts w:eastAsia="Calibri"/>
                <w:sz w:val="20"/>
                <w:lang w:val="fr-CA"/>
              </w:rPr>
            </w:pPr>
            <w:r w:rsidRPr="00A16F83">
              <w:rPr>
                <w:rFonts w:eastAsia="Calibri"/>
                <w:sz w:val="20"/>
                <w:lang w:val="fr-CA"/>
              </w:rPr>
              <w:t>Cour suprême du Canada</w:t>
            </w:r>
          </w:p>
        </w:tc>
        <w:tc>
          <w:tcPr>
            <w:tcW w:w="243" w:type="pct"/>
          </w:tcPr>
          <w:p w:rsidR="004275A1" w:rsidRPr="00A16F83" w:rsidRDefault="004275A1" w:rsidP="004275A1">
            <w:pPr>
              <w:jc w:val="both"/>
              <w:rPr>
                <w:rFonts w:eastAsia="Calibri"/>
                <w:sz w:val="20"/>
                <w:lang w:val="fr-CA"/>
              </w:rPr>
            </w:pPr>
          </w:p>
        </w:tc>
        <w:tc>
          <w:tcPr>
            <w:tcW w:w="2330" w:type="pct"/>
          </w:tcPr>
          <w:p w:rsidR="004275A1" w:rsidRPr="00A16F83" w:rsidRDefault="004275A1" w:rsidP="004275A1">
            <w:pPr>
              <w:jc w:val="both"/>
              <w:rPr>
                <w:rFonts w:eastAsia="Calibri"/>
                <w:sz w:val="20"/>
                <w:lang w:val="fr-CA"/>
              </w:rPr>
            </w:pPr>
            <w:r w:rsidRPr="00A16F83">
              <w:rPr>
                <w:rFonts w:eastAsia="Calibri"/>
                <w:sz w:val="20"/>
                <w:lang w:val="fr-CA"/>
              </w:rPr>
              <w:t>Demande d’autorisation d’appel, déposée</w:t>
            </w:r>
          </w:p>
        </w:tc>
      </w:tr>
    </w:tbl>
    <w:p w:rsidR="00915D6A" w:rsidRDefault="00915D6A" w:rsidP="00915D6A">
      <w:pPr>
        <w:rPr>
          <w:sz w:val="20"/>
          <w:szCs w:val="20"/>
        </w:rPr>
      </w:pPr>
    </w:p>
    <w:p w:rsidR="00915D6A" w:rsidRDefault="00690162" w:rsidP="00915D6A">
      <w:pPr>
        <w:rPr>
          <w:sz w:val="20"/>
          <w:szCs w:val="20"/>
        </w:rPr>
      </w:pPr>
      <w:r>
        <w:rPr>
          <w:sz w:val="20"/>
          <w:szCs w:val="20"/>
          <w:lang w:val="fr-CA"/>
        </w:rPr>
        <w:pict>
          <v:rect id="_x0000_i1061" style="width:2in;height:1pt" o:hrpct="0" o:hralign="center" o:hrstd="t" o:hrnoshade="t" o:hr="t" fillcolor="black [3213]" stroked="f"/>
        </w:pict>
      </w:r>
    </w:p>
    <w:p w:rsidR="00915D6A" w:rsidRDefault="00915D6A" w:rsidP="00915D6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B1FB0" w:rsidRPr="00186B1A" w:rsidTr="00650BC1">
        <w:trPr>
          <w:cantSplit/>
        </w:trPr>
        <w:tc>
          <w:tcPr>
            <w:tcW w:w="1458" w:type="dxa"/>
          </w:tcPr>
          <w:p w:rsidR="006B1FB0" w:rsidRPr="00186B1A" w:rsidRDefault="006B1FB0" w:rsidP="00650BC1">
            <w:pPr>
              <w:rPr>
                <w:sz w:val="20"/>
                <w:szCs w:val="20"/>
              </w:rPr>
            </w:pPr>
            <w:r w:rsidRPr="00186B1A">
              <w:rPr>
                <w:rStyle w:val="SCCFileNumberChar"/>
                <w:sz w:val="20"/>
                <w:szCs w:val="20"/>
              </w:rPr>
              <w:t>36008</w:t>
            </w:r>
          </w:p>
          <w:p w:rsidR="006B1FB0" w:rsidRPr="00186B1A" w:rsidRDefault="006B1FB0" w:rsidP="00650BC1">
            <w:pPr>
              <w:rPr>
                <w:b/>
                <w:sz w:val="20"/>
                <w:szCs w:val="20"/>
                <w:lang w:val="fr-CA"/>
              </w:rPr>
            </w:pPr>
          </w:p>
        </w:tc>
        <w:tc>
          <w:tcPr>
            <w:tcW w:w="8118" w:type="dxa"/>
          </w:tcPr>
          <w:p w:rsidR="006B1FB0" w:rsidRPr="00186B1A" w:rsidRDefault="006B1FB0" w:rsidP="00650BC1">
            <w:pPr>
              <w:rPr>
                <w:sz w:val="20"/>
                <w:szCs w:val="20"/>
              </w:rPr>
            </w:pPr>
            <w:r w:rsidRPr="006B1FB0">
              <w:rPr>
                <w:rStyle w:val="SCCLsocChar"/>
                <w:sz w:val="20"/>
                <w:szCs w:val="20"/>
                <w:lang w:val="en-CA"/>
              </w:rPr>
              <w:t>Richard Goebel v. Her Majesty the Queen</w:t>
            </w:r>
            <w:r w:rsidRPr="00186B1A">
              <w:rPr>
                <w:sz w:val="20"/>
                <w:szCs w:val="20"/>
              </w:rPr>
              <w:t xml:space="preserve"> (Ont.) (Criminal) (By Leave)</w:t>
            </w:r>
          </w:p>
          <w:p w:rsidR="006B1FB0" w:rsidRPr="00186B1A" w:rsidRDefault="006B1FB0" w:rsidP="00650BC1">
            <w:pPr>
              <w:rPr>
                <w:sz w:val="20"/>
                <w:szCs w:val="20"/>
              </w:rPr>
            </w:pPr>
          </w:p>
        </w:tc>
      </w:tr>
      <w:tr w:rsidR="006B1FB0" w:rsidRPr="00186B1A" w:rsidTr="00650BC1">
        <w:trPr>
          <w:cantSplit/>
        </w:trPr>
        <w:tc>
          <w:tcPr>
            <w:tcW w:w="1458" w:type="dxa"/>
          </w:tcPr>
          <w:p w:rsidR="006B1FB0" w:rsidRPr="00186B1A" w:rsidRDefault="006B1FB0" w:rsidP="00650BC1">
            <w:pPr>
              <w:rPr>
                <w:sz w:val="20"/>
                <w:szCs w:val="20"/>
              </w:rPr>
            </w:pPr>
            <w:r w:rsidRPr="00186B1A">
              <w:rPr>
                <w:sz w:val="20"/>
                <w:szCs w:val="20"/>
              </w:rPr>
              <w:t>Coram :</w:t>
            </w:r>
          </w:p>
        </w:tc>
        <w:tc>
          <w:tcPr>
            <w:tcW w:w="8118" w:type="dxa"/>
          </w:tcPr>
          <w:p w:rsidR="006B1FB0" w:rsidRPr="00186B1A" w:rsidRDefault="006B1FB0" w:rsidP="00650BC1">
            <w:pPr>
              <w:rPr>
                <w:sz w:val="20"/>
                <w:szCs w:val="20"/>
              </w:rPr>
            </w:pPr>
            <w:r w:rsidRPr="006B1FB0">
              <w:rPr>
                <w:rStyle w:val="SCCCoramChar"/>
                <w:sz w:val="20"/>
                <w:szCs w:val="20"/>
                <w:lang w:val="en-CA"/>
              </w:rPr>
              <w:t>LeBel, Karakatsanis and Gascon JJ.</w:t>
            </w:r>
          </w:p>
          <w:p w:rsidR="006B1FB0" w:rsidRPr="00186B1A" w:rsidRDefault="006B1FB0" w:rsidP="00650BC1">
            <w:pPr>
              <w:rPr>
                <w:sz w:val="20"/>
                <w:szCs w:val="20"/>
                <w:u w:val="single"/>
              </w:rPr>
            </w:pPr>
          </w:p>
        </w:tc>
      </w:tr>
      <w:tr w:rsidR="006B1FB0" w:rsidRPr="00690162" w:rsidTr="00650BC1">
        <w:trPr>
          <w:cantSplit/>
        </w:trPr>
        <w:tc>
          <w:tcPr>
            <w:tcW w:w="9576" w:type="dxa"/>
            <w:gridSpan w:val="2"/>
          </w:tcPr>
          <w:p w:rsidR="006B1FB0" w:rsidRPr="00186B1A" w:rsidRDefault="006B1FB0" w:rsidP="00650BC1">
            <w:pPr>
              <w:pStyle w:val="SCCShortJudgment"/>
              <w:rPr>
                <w:szCs w:val="20"/>
              </w:rPr>
            </w:pPr>
            <w:r w:rsidRPr="00186B1A">
              <w:rPr>
                <w:szCs w:val="20"/>
              </w:rPr>
              <w:t>The application for leave to appeal from the judgment of the Court of Appeal for Ontario, Number C56174-M43602, 2014 ONCA 451, dated June 3, 2014, is dismissed without costs.</w:t>
            </w:r>
          </w:p>
          <w:p w:rsidR="006B1FB0" w:rsidRPr="00186B1A" w:rsidRDefault="006B1FB0" w:rsidP="00650BC1">
            <w:pPr>
              <w:pStyle w:val="SCCShortJudgment"/>
              <w:ind w:firstLine="0"/>
              <w:rPr>
                <w:szCs w:val="20"/>
              </w:rPr>
            </w:pPr>
          </w:p>
          <w:p w:rsidR="006B1FB0" w:rsidRPr="00186B1A" w:rsidRDefault="006B1FB0" w:rsidP="00650BC1">
            <w:pPr>
              <w:pStyle w:val="SCCShortJudgment"/>
              <w:rPr>
                <w:szCs w:val="20"/>
                <w:lang w:val="fr-CA"/>
              </w:rPr>
            </w:pPr>
            <w:r w:rsidRPr="00186B1A">
              <w:rPr>
                <w:szCs w:val="20"/>
                <w:lang w:val="fr-CA"/>
              </w:rPr>
              <w:t>La demande d’autorisation d’appel de l’arrêt de la Cour d’appel de l’Ontario, numéro C56174-M43602, 2014 ONCA 451, daté du 3 juin 2014, est rejetée sans dépens.</w:t>
            </w:r>
          </w:p>
        </w:tc>
      </w:tr>
    </w:tbl>
    <w:p w:rsidR="00915D6A" w:rsidRPr="0016547E" w:rsidRDefault="00915D6A" w:rsidP="00915D6A">
      <w:pPr>
        <w:rPr>
          <w:sz w:val="20"/>
          <w:szCs w:val="20"/>
          <w:lang w:val="fr-CA"/>
        </w:rPr>
      </w:pPr>
    </w:p>
    <w:p w:rsidR="00915D6A" w:rsidRPr="001B157C" w:rsidRDefault="00915D6A" w:rsidP="00915D6A">
      <w:pPr>
        <w:rPr>
          <w:sz w:val="20"/>
          <w:szCs w:val="20"/>
          <w:u w:val="single"/>
        </w:rPr>
      </w:pPr>
      <w:r w:rsidRPr="001B157C">
        <w:rPr>
          <w:sz w:val="20"/>
          <w:szCs w:val="20"/>
          <w:u w:val="single"/>
        </w:rPr>
        <w:t>CASE SUMMARY</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275A1" w:rsidRPr="00A16F83" w:rsidTr="004275A1">
        <w:tc>
          <w:tcPr>
            <w:tcW w:w="5000" w:type="pct"/>
            <w:gridSpan w:val="3"/>
          </w:tcPr>
          <w:p w:rsidR="004275A1" w:rsidRPr="00A16F83" w:rsidRDefault="004275A1" w:rsidP="004275A1">
            <w:pPr>
              <w:jc w:val="both"/>
              <w:rPr>
                <w:rFonts w:eastAsia="Calibri"/>
                <w:sz w:val="20"/>
              </w:rPr>
            </w:pPr>
            <w:r w:rsidRPr="00A16F83">
              <w:rPr>
                <w:rFonts w:eastAsia="Calibri"/>
                <w:i/>
                <w:sz w:val="20"/>
              </w:rPr>
              <w:t>Charter of Rights</w:t>
            </w:r>
            <w:r w:rsidRPr="00A16F83">
              <w:rPr>
                <w:rFonts w:eastAsia="Calibri"/>
                <w:sz w:val="20"/>
              </w:rPr>
              <w:t xml:space="preserve"> — Criminal law — Alternative measures — Discretion of Attorney General — Expert evidence — Whether the Court of Appeal erred in quashing the applicant’s appeal on the basis that it was moot — </w:t>
            </w:r>
            <w:r w:rsidRPr="00A16F83">
              <w:rPr>
                <w:rFonts w:eastAsia="Calibri"/>
                <w:i/>
                <w:sz w:val="20"/>
              </w:rPr>
              <w:t>Criminal Code</w:t>
            </w:r>
            <w:r w:rsidRPr="00A16F83">
              <w:rPr>
                <w:rFonts w:eastAsia="Calibri"/>
                <w:sz w:val="20"/>
              </w:rPr>
              <w:t>, R.S.C. 1985, c. C-46, s. 717.</w:t>
            </w:r>
          </w:p>
        </w:tc>
      </w:tr>
      <w:tr w:rsidR="004275A1" w:rsidRPr="00A16F83" w:rsidTr="004275A1">
        <w:tc>
          <w:tcPr>
            <w:tcW w:w="5000" w:type="pct"/>
            <w:gridSpan w:val="3"/>
          </w:tcPr>
          <w:p w:rsidR="004275A1" w:rsidRPr="00A16F83" w:rsidRDefault="004275A1" w:rsidP="004275A1">
            <w:pPr>
              <w:jc w:val="both"/>
              <w:rPr>
                <w:rFonts w:eastAsia="Calibri"/>
                <w:sz w:val="20"/>
              </w:rPr>
            </w:pPr>
          </w:p>
        </w:tc>
      </w:tr>
      <w:tr w:rsidR="004275A1" w:rsidRPr="00A16F83" w:rsidTr="004275A1">
        <w:tc>
          <w:tcPr>
            <w:tcW w:w="5000" w:type="pct"/>
            <w:gridSpan w:val="3"/>
          </w:tcPr>
          <w:p w:rsidR="004275A1" w:rsidRPr="00A16F83" w:rsidRDefault="004275A1" w:rsidP="004275A1">
            <w:pPr>
              <w:jc w:val="both"/>
              <w:rPr>
                <w:rFonts w:eastAsia="Calibri"/>
                <w:sz w:val="20"/>
              </w:rPr>
            </w:pPr>
            <w:r w:rsidRPr="00A16F83">
              <w:rPr>
                <w:rFonts w:eastAsia="Calibri"/>
                <w:sz w:val="20"/>
              </w:rPr>
              <w:t xml:space="preserve">The applicant, Mr. Goebel, suffers from schizophrenia.  In April 2010, he was charged with aggravated assault and threatening death.  When the respondent Crown refused to agree to a mental health diversion of the charges, Mr. Goebel made an application, asserting that the Crown was engaged in an abuse of process by insisting on a trial.  He sought various extraordinary remedies arising out of alleged violations of ss. 7 and 15 of the </w:t>
            </w:r>
            <w:r w:rsidRPr="00A16F83">
              <w:rPr>
                <w:rFonts w:eastAsia="Calibri"/>
                <w:i/>
                <w:sz w:val="20"/>
              </w:rPr>
              <w:t>Charter</w:t>
            </w:r>
            <w:r w:rsidRPr="00A16F83">
              <w:rPr>
                <w:rFonts w:eastAsia="Calibri"/>
                <w:sz w:val="20"/>
              </w:rPr>
              <w:t xml:space="preserve">, including a stay of proceedings and the quashing of the criminal proceedings in provincial court.  The Superior Court granted a motion to dismiss filed by the Crown and dismissed Mr. Goebel’s application.  Among other things, the Court noted that the Ontario directive to Crown counsel on the use of diversions where an accused has mental health problems prohibits diversion where the offence caused serious bodily harm.  In his view, that policy was not arbitrary.  Rather, it was rationally connected to the objective explicitly mentioned in s. 717(1) of the </w:t>
            </w:r>
            <w:r w:rsidRPr="00A16F83">
              <w:rPr>
                <w:rFonts w:eastAsia="Calibri"/>
                <w:i/>
                <w:sz w:val="20"/>
              </w:rPr>
              <w:t>Criminal Code</w:t>
            </w:r>
            <w:r w:rsidRPr="00A16F83">
              <w:rPr>
                <w:rFonts w:eastAsia="Calibri"/>
                <w:sz w:val="20"/>
              </w:rPr>
              <w:t xml:space="preserve"> of protecting society.  In addition, the Court found that Mr. Goebel, in any event, had not met the criteria of s. 717(a)(</w:t>
            </w:r>
            <w:r w:rsidRPr="00A16F83">
              <w:rPr>
                <w:rFonts w:eastAsia="Calibri"/>
                <w:i/>
                <w:sz w:val="20"/>
              </w:rPr>
              <w:t>e</w:t>
            </w:r>
            <w:r w:rsidRPr="00A16F83">
              <w:rPr>
                <w:rFonts w:eastAsia="Calibri"/>
                <w:sz w:val="20"/>
              </w:rPr>
              <w:t xml:space="preserve">), since there was no evidence that he had accepted responsibility for the act or omission that formed the basis of the charges.  In May 2014, the Crown withdrew the charges against Mr. Goebel and he entered into a peace bond.  In June 2014, the Court of </w:t>
            </w:r>
            <w:r w:rsidRPr="00A16F83">
              <w:rPr>
                <w:rFonts w:eastAsia="Calibri"/>
                <w:sz w:val="20"/>
              </w:rPr>
              <w:lastRenderedPageBreak/>
              <w:t>Appeal quashed Mr. Goebel’s appeal on the basis that it was moot.</w:t>
            </w:r>
          </w:p>
          <w:p w:rsidR="004275A1" w:rsidRPr="00A16F83" w:rsidRDefault="004275A1" w:rsidP="004275A1">
            <w:pPr>
              <w:jc w:val="both"/>
              <w:rPr>
                <w:rFonts w:eastAsia="Calibri"/>
                <w:sz w:val="20"/>
              </w:rPr>
            </w:pPr>
          </w:p>
        </w:tc>
      </w:tr>
      <w:tr w:rsidR="004275A1" w:rsidRPr="00A16F83" w:rsidTr="004275A1">
        <w:tc>
          <w:tcPr>
            <w:tcW w:w="2427" w:type="pct"/>
          </w:tcPr>
          <w:p w:rsidR="004275A1" w:rsidRPr="00A16F83" w:rsidRDefault="004275A1" w:rsidP="004275A1">
            <w:pPr>
              <w:jc w:val="both"/>
              <w:rPr>
                <w:rFonts w:eastAsia="Calibri"/>
                <w:sz w:val="20"/>
              </w:rPr>
            </w:pPr>
            <w:r w:rsidRPr="00A16F83">
              <w:rPr>
                <w:rFonts w:eastAsia="Calibri"/>
                <w:sz w:val="20"/>
              </w:rPr>
              <w:lastRenderedPageBreak/>
              <w:t>October 2, 2012</w:t>
            </w:r>
          </w:p>
          <w:p w:rsidR="004275A1" w:rsidRPr="00A16F83" w:rsidRDefault="004275A1" w:rsidP="004275A1">
            <w:pPr>
              <w:jc w:val="both"/>
              <w:rPr>
                <w:rFonts w:eastAsia="Calibri"/>
                <w:sz w:val="20"/>
              </w:rPr>
            </w:pPr>
            <w:r w:rsidRPr="00A16F83">
              <w:rPr>
                <w:rFonts w:eastAsia="Calibri"/>
                <w:sz w:val="20"/>
              </w:rPr>
              <w:t>Ontario Superior Court of Justice</w:t>
            </w:r>
          </w:p>
          <w:p w:rsidR="004275A1" w:rsidRPr="00A16F83" w:rsidRDefault="004275A1" w:rsidP="004275A1">
            <w:pPr>
              <w:jc w:val="both"/>
              <w:rPr>
                <w:rFonts w:eastAsia="Calibri"/>
                <w:sz w:val="20"/>
              </w:rPr>
            </w:pPr>
            <w:r w:rsidRPr="00A16F83">
              <w:rPr>
                <w:rFonts w:eastAsia="Calibri"/>
                <w:sz w:val="20"/>
              </w:rPr>
              <w:t>(Nordheimer J.)</w:t>
            </w:r>
          </w:p>
          <w:p w:rsidR="004275A1" w:rsidRPr="00A16F83" w:rsidRDefault="004275A1" w:rsidP="004275A1">
            <w:pPr>
              <w:jc w:val="both"/>
              <w:rPr>
                <w:rFonts w:eastAsia="Calibri"/>
                <w:sz w:val="20"/>
              </w:rPr>
            </w:pPr>
          </w:p>
        </w:tc>
        <w:tc>
          <w:tcPr>
            <w:tcW w:w="243" w:type="pct"/>
          </w:tcPr>
          <w:p w:rsidR="004275A1" w:rsidRPr="00A16F83" w:rsidRDefault="004275A1" w:rsidP="004275A1">
            <w:pPr>
              <w:jc w:val="both"/>
              <w:rPr>
                <w:rFonts w:eastAsia="Calibri"/>
                <w:sz w:val="20"/>
              </w:rPr>
            </w:pPr>
          </w:p>
        </w:tc>
        <w:tc>
          <w:tcPr>
            <w:tcW w:w="2330" w:type="pct"/>
          </w:tcPr>
          <w:p w:rsidR="004275A1" w:rsidRPr="00A16F83" w:rsidRDefault="004275A1" w:rsidP="004275A1">
            <w:pPr>
              <w:jc w:val="both"/>
              <w:rPr>
                <w:rFonts w:eastAsia="Calibri"/>
                <w:sz w:val="20"/>
              </w:rPr>
            </w:pPr>
            <w:r w:rsidRPr="00A16F83">
              <w:rPr>
                <w:rFonts w:eastAsia="Calibri"/>
                <w:sz w:val="20"/>
              </w:rPr>
              <w:t>Respondent’s motion to dismiss granted; applicant’s application for extraordinary remedies dismissed</w:t>
            </w:r>
          </w:p>
        </w:tc>
      </w:tr>
      <w:tr w:rsidR="004275A1" w:rsidRPr="00A16F83" w:rsidTr="004275A1">
        <w:tc>
          <w:tcPr>
            <w:tcW w:w="2427" w:type="pct"/>
          </w:tcPr>
          <w:p w:rsidR="004275A1" w:rsidRPr="00A16F83" w:rsidRDefault="004275A1" w:rsidP="004275A1">
            <w:pPr>
              <w:jc w:val="both"/>
              <w:rPr>
                <w:rFonts w:eastAsia="Calibri"/>
                <w:sz w:val="20"/>
              </w:rPr>
            </w:pPr>
            <w:r w:rsidRPr="00A16F83">
              <w:rPr>
                <w:rFonts w:eastAsia="Calibri"/>
                <w:sz w:val="20"/>
              </w:rPr>
              <w:t>June 3, 2014</w:t>
            </w:r>
          </w:p>
          <w:p w:rsidR="004275A1" w:rsidRPr="00A16F83" w:rsidRDefault="004275A1" w:rsidP="004275A1">
            <w:pPr>
              <w:jc w:val="both"/>
              <w:rPr>
                <w:rFonts w:eastAsia="Calibri"/>
                <w:sz w:val="20"/>
              </w:rPr>
            </w:pPr>
            <w:r w:rsidRPr="00A16F83">
              <w:rPr>
                <w:rFonts w:eastAsia="Calibri"/>
                <w:sz w:val="20"/>
              </w:rPr>
              <w:t>Court of Appeal for Ontario</w:t>
            </w:r>
          </w:p>
          <w:p w:rsidR="004275A1" w:rsidRPr="00A16F83" w:rsidRDefault="004275A1" w:rsidP="004275A1">
            <w:pPr>
              <w:jc w:val="both"/>
              <w:rPr>
                <w:rFonts w:eastAsia="Calibri"/>
                <w:sz w:val="20"/>
              </w:rPr>
            </w:pPr>
            <w:r w:rsidRPr="00A16F83">
              <w:rPr>
                <w:rFonts w:eastAsia="Calibri"/>
                <w:sz w:val="20"/>
              </w:rPr>
              <w:t>(Doherty, Pepall and Tulloch JJ.A.)</w:t>
            </w:r>
          </w:p>
          <w:p w:rsidR="004275A1" w:rsidRPr="00A16F83" w:rsidRDefault="00690162" w:rsidP="004275A1">
            <w:pPr>
              <w:jc w:val="both"/>
              <w:rPr>
                <w:rFonts w:eastAsia="Calibri"/>
                <w:sz w:val="20"/>
              </w:rPr>
            </w:pPr>
            <w:hyperlink r:id="rId59" w:history="1">
              <w:r w:rsidR="004275A1" w:rsidRPr="00A16F83">
                <w:rPr>
                  <w:rFonts w:eastAsia="Calibri"/>
                  <w:color w:val="0000FF"/>
                  <w:sz w:val="20"/>
                  <w:u w:val="single"/>
                </w:rPr>
                <w:t>2014 ONCA 451</w:t>
              </w:r>
            </w:hyperlink>
          </w:p>
          <w:p w:rsidR="004275A1" w:rsidRPr="00A16F83" w:rsidRDefault="004275A1" w:rsidP="004275A1">
            <w:pPr>
              <w:jc w:val="both"/>
              <w:rPr>
                <w:rFonts w:eastAsia="Calibri"/>
                <w:sz w:val="20"/>
              </w:rPr>
            </w:pPr>
          </w:p>
        </w:tc>
        <w:tc>
          <w:tcPr>
            <w:tcW w:w="243" w:type="pct"/>
          </w:tcPr>
          <w:p w:rsidR="004275A1" w:rsidRPr="00A16F83" w:rsidRDefault="004275A1" w:rsidP="004275A1">
            <w:pPr>
              <w:jc w:val="both"/>
              <w:rPr>
                <w:rFonts w:eastAsia="Calibri"/>
                <w:sz w:val="20"/>
              </w:rPr>
            </w:pPr>
          </w:p>
        </w:tc>
        <w:tc>
          <w:tcPr>
            <w:tcW w:w="2330" w:type="pct"/>
          </w:tcPr>
          <w:p w:rsidR="004275A1" w:rsidRPr="00A16F83" w:rsidRDefault="004275A1" w:rsidP="004275A1">
            <w:pPr>
              <w:jc w:val="both"/>
              <w:rPr>
                <w:rFonts w:eastAsia="Calibri"/>
                <w:sz w:val="20"/>
              </w:rPr>
            </w:pPr>
            <w:r w:rsidRPr="00A16F83">
              <w:rPr>
                <w:rFonts w:eastAsia="Calibri"/>
                <w:sz w:val="20"/>
              </w:rPr>
              <w:t>Respondent’s motion to quash allowed; appeal quashed</w:t>
            </w:r>
          </w:p>
        </w:tc>
      </w:tr>
      <w:tr w:rsidR="004275A1" w:rsidRPr="00A16F83" w:rsidTr="004275A1">
        <w:tc>
          <w:tcPr>
            <w:tcW w:w="2427" w:type="pct"/>
          </w:tcPr>
          <w:p w:rsidR="004275A1" w:rsidRPr="00A16F83" w:rsidRDefault="004275A1" w:rsidP="004275A1">
            <w:pPr>
              <w:jc w:val="both"/>
              <w:rPr>
                <w:rFonts w:eastAsia="Calibri"/>
                <w:sz w:val="20"/>
              </w:rPr>
            </w:pPr>
            <w:r w:rsidRPr="00A16F83">
              <w:rPr>
                <w:rFonts w:eastAsia="Calibri"/>
                <w:sz w:val="20"/>
              </w:rPr>
              <w:t>July 30, 2014</w:t>
            </w:r>
          </w:p>
          <w:p w:rsidR="004275A1" w:rsidRPr="00A16F83" w:rsidRDefault="004275A1" w:rsidP="004275A1">
            <w:pPr>
              <w:jc w:val="both"/>
              <w:rPr>
                <w:rFonts w:eastAsia="Calibri"/>
                <w:sz w:val="20"/>
              </w:rPr>
            </w:pPr>
            <w:r w:rsidRPr="00A16F83">
              <w:rPr>
                <w:rFonts w:eastAsia="Calibri"/>
                <w:sz w:val="20"/>
              </w:rPr>
              <w:t>Supreme Court of Canada</w:t>
            </w:r>
          </w:p>
        </w:tc>
        <w:tc>
          <w:tcPr>
            <w:tcW w:w="243" w:type="pct"/>
          </w:tcPr>
          <w:p w:rsidR="004275A1" w:rsidRPr="00A16F83" w:rsidRDefault="004275A1" w:rsidP="004275A1">
            <w:pPr>
              <w:jc w:val="both"/>
              <w:rPr>
                <w:rFonts w:eastAsia="Calibri"/>
                <w:sz w:val="20"/>
              </w:rPr>
            </w:pPr>
          </w:p>
        </w:tc>
        <w:tc>
          <w:tcPr>
            <w:tcW w:w="2330" w:type="pct"/>
          </w:tcPr>
          <w:p w:rsidR="004275A1" w:rsidRPr="00A16F83" w:rsidRDefault="004275A1" w:rsidP="004275A1">
            <w:pPr>
              <w:jc w:val="both"/>
              <w:rPr>
                <w:rFonts w:eastAsia="Calibri"/>
                <w:sz w:val="20"/>
              </w:rPr>
            </w:pPr>
            <w:r w:rsidRPr="00A16F83">
              <w:rPr>
                <w:rFonts w:eastAsia="Calibri"/>
                <w:sz w:val="20"/>
              </w:rPr>
              <w:t>Application for leave to appeal filed</w:t>
            </w:r>
          </w:p>
        </w:tc>
      </w:tr>
    </w:tbl>
    <w:p w:rsidR="00915D6A" w:rsidRDefault="00915D6A" w:rsidP="00915D6A">
      <w:pPr>
        <w:rPr>
          <w:sz w:val="20"/>
          <w:szCs w:val="20"/>
        </w:rPr>
      </w:pPr>
    </w:p>
    <w:p w:rsidR="00915D6A" w:rsidRPr="00C50A5C" w:rsidRDefault="00690162" w:rsidP="00915D6A">
      <w:pPr>
        <w:rPr>
          <w:sz w:val="20"/>
          <w:szCs w:val="20"/>
        </w:rPr>
      </w:pPr>
      <w:r>
        <w:rPr>
          <w:sz w:val="20"/>
          <w:szCs w:val="20"/>
          <w:lang w:val="fr-CA"/>
        </w:rPr>
        <w:pict>
          <v:rect id="_x0000_i1062" style="width:2in;height:1pt" o:hrpct="0" o:hralign="center" o:hrstd="t" o:hrnoshade="t" o:hr="t" fillcolor="black [3213]" stroked="f"/>
        </w:pict>
      </w:r>
    </w:p>
    <w:p w:rsidR="00915D6A" w:rsidRDefault="00915D6A" w:rsidP="00915D6A">
      <w:pPr>
        <w:rPr>
          <w:sz w:val="20"/>
          <w:szCs w:val="20"/>
        </w:rPr>
      </w:pPr>
    </w:p>
    <w:p w:rsidR="00915D6A" w:rsidRPr="001B157C" w:rsidRDefault="00915D6A" w:rsidP="00915D6A">
      <w:pPr>
        <w:rPr>
          <w:sz w:val="20"/>
          <w:szCs w:val="20"/>
          <w:u w:val="single"/>
          <w:lang w:val="fr-CA"/>
        </w:rPr>
      </w:pPr>
      <w:r w:rsidRPr="001B157C">
        <w:rPr>
          <w:sz w:val="20"/>
          <w:szCs w:val="20"/>
          <w:u w:val="single"/>
          <w:lang w:val="fr-CA"/>
        </w:rPr>
        <w:t>RÉSUMÉ DE L’AFFAIRE</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275A1" w:rsidRPr="00A16F83" w:rsidTr="004275A1">
        <w:tc>
          <w:tcPr>
            <w:tcW w:w="5000" w:type="pct"/>
            <w:gridSpan w:val="3"/>
          </w:tcPr>
          <w:p w:rsidR="004275A1" w:rsidRPr="00A16F83" w:rsidRDefault="004275A1" w:rsidP="004275A1">
            <w:pPr>
              <w:jc w:val="both"/>
              <w:rPr>
                <w:rFonts w:eastAsia="Calibri"/>
                <w:sz w:val="20"/>
                <w:lang w:val="fr-CA"/>
              </w:rPr>
            </w:pPr>
            <w:r w:rsidRPr="00A16F83">
              <w:rPr>
                <w:rFonts w:eastAsia="Calibri"/>
                <w:i/>
                <w:sz w:val="20"/>
                <w:lang w:val="fr-CA"/>
              </w:rPr>
              <w:t xml:space="preserve">Charte des droits </w:t>
            </w:r>
            <w:r w:rsidRPr="00A16F83">
              <w:rPr>
                <w:rFonts w:eastAsia="Calibri"/>
                <w:sz w:val="20"/>
                <w:lang w:val="fr-CA"/>
              </w:rPr>
              <w:t xml:space="preserve">— Droit criminel — Solutions de rechange — Pouvoir discrétionnaire du procureur général — Preuve d’expert — La Cour d’appel a-t-elle eu tort d’annuler l’appel du demandeur en raison de son caractère théorique? — </w:t>
            </w:r>
            <w:r w:rsidRPr="00A16F83">
              <w:rPr>
                <w:rFonts w:eastAsia="Calibri"/>
                <w:i/>
                <w:sz w:val="20"/>
                <w:lang w:val="fr-CA"/>
              </w:rPr>
              <w:t>Code criminel</w:t>
            </w:r>
            <w:r w:rsidRPr="00A16F83">
              <w:rPr>
                <w:rFonts w:eastAsia="Calibri"/>
                <w:sz w:val="20"/>
                <w:lang w:val="fr-CA"/>
              </w:rPr>
              <w:t>, L.R.C. 1985, ch. C-46, art. 717.</w:t>
            </w:r>
          </w:p>
        </w:tc>
      </w:tr>
      <w:tr w:rsidR="004275A1" w:rsidRPr="00A16F83" w:rsidTr="004275A1">
        <w:tc>
          <w:tcPr>
            <w:tcW w:w="5000" w:type="pct"/>
            <w:gridSpan w:val="3"/>
          </w:tcPr>
          <w:p w:rsidR="004275A1" w:rsidRPr="00A16F83" w:rsidRDefault="004275A1" w:rsidP="004275A1">
            <w:pPr>
              <w:jc w:val="both"/>
              <w:rPr>
                <w:rFonts w:eastAsia="Calibri"/>
                <w:sz w:val="20"/>
                <w:lang w:val="fr-CA"/>
              </w:rPr>
            </w:pPr>
          </w:p>
        </w:tc>
      </w:tr>
      <w:tr w:rsidR="004275A1" w:rsidRPr="00690162" w:rsidTr="004275A1">
        <w:tc>
          <w:tcPr>
            <w:tcW w:w="5000" w:type="pct"/>
            <w:gridSpan w:val="3"/>
          </w:tcPr>
          <w:p w:rsidR="004275A1" w:rsidRPr="00A16F83" w:rsidRDefault="004275A1" w:rsidP="004275A1">
            <w:pPr>
              <w:jc w:val="both"/>
              <w:rPr>
                <w:rFonts w:eastAsia="Calibri"/>
                <w:sz w:val="20"/>
                <w:lang w:val="fr-CA"/>
              </w:rPr>
            </w:pPr>
            <w:r w:rsidRPr="00A16F83">
              <w:rPr>
                <w:rFonts w:eastAsia="Calibri"/>
                <w:sz w:val="20"/>
                <w:lang w:val="fr-CA"/>
              </w:rPr>
              <w:t xml:space="preserve">Le demandeur, M. Goebel, souffre de schizophrénie.  En avril 2010, il a été accusé de voies de fait graves et de menaces de mort.  Lorsque le ministère public intimé a refusé de déjudiciariser l’affaire en raison de la santé mentale de l’accusé, M. Goebel a présenté une demande, plaidant que le ministère public commettait un abus de procédure en insistant sur la tenue d’un procès.  Il a  demandé diverses réparations extraordinaires fondées sur des violations présumées des articles 7 et 15 de la </w:t>
            </w:r>
            <w:r w:rsidRPr="00A16F83">
              <w:rPr>
                <w:rFonts w:eastAsia="Calibri"/>
                <w:i/>
                <w:sz w:val="20"/>
                <w:lang w:val="fr-CA"/>
              </w:rPr>
              <w:t>Charte</w:t>
            </w:r>
            <w:r w:rsidRPr="00A16F83">
              <w:rPr>
                <w:rFonts w:eastAsia="Calibri"/>
                <w:sz w:val="20"/>
                <w:lang w:val="fr-CA"/>
              </w:rPr>
              <w:t>, y compris l’arrêt des procédures et l’annulation de l’instance criminelle en cour provinciale.  La Cour supérieure a accueilli une motion en rejet déposée par le ministère public et a rejeté la demande de M. Goebel.  Entre autres choses, la Cour a noté que la directive de l’Ontario aux procureurs du ministère public sur la déjudiciarisation d’une affaire lorsque l’accusé présentait des problèmes de santé mentale interdisait la déjudiciarisation lorsque l’infraction avait causé un préjudice corporel grave.  À son avis, cette politique n’était pas arbitraire.  Elle avait plutôt un lien rationnel avec l’objectif explicitement mentionné au par. 717(1) du</w:t>
            </w:r>
            <w:r w:rsidRPr="00A16F83">
              <w:rPr>
                <w:rFonts w:eastAsia="Calibri"/>
                <w:i/>
                <w:sz w:val="20"/>
                <w:lang w:val="fr-CA"/>
              </w:rPr>
              <w:t xml:space="preserve"> Code criminel</w:t>
            </w:r>
            <w:r w:rsidRPr="00A16F83">
              <w:rPr>
                <w:rFonts w:eastAsia="Calibri"/>
                <w:sz w:val="20"/>
                <w:lang w:val="fr-CA"/>
              </w:rPr>
              <w:t>,</w:t>
            </w:r>
            <w:r w:rsidRPr="00A16F83">
              <w:rPr>
                <w:rFonts w:eastAsia="Calibri"/>
                <w:i/>
                <w:sz w:val="20"/>
                <w:lang w:val="fr-CA"/>
              </w:rPr>
              <w:t xml:space="preserve"> </w:t>
            </w:r>
            <w:r w:rsidRPr="00A16F83">
              <w:rPr>
                <w:rFonts w:eastAsia="Calibri"/>
                <w:sz w:val="20"/>
                <w:lang w:val="fr-CA"/>
              </w:rPr>
              <w:t>c’est-à-dire la protection de la société.  En outre, la Cour a conclu que de toute façon, M. Goebel, ne remplissait pas les critères énoncés à l’al. 717(1)</w:t>
            </w:r>
            <w:r w:rsidRPr="00A16F83">
              <w:rPr>
                <w:rFonts w:eastAsia="Calibri"/>
                <w:i/>
                <w:sz w:val="20"/>
                <w:lang w:val="fr-CA"/>
              </w:rPr>
              <w:t>e</w:t>
            </w:r>
            <w:r w:rsidRPr="00A16F83">
              <w:rPr>
                <w:rFonts w:eastAsia="Calibri"/>
                <w:sz w:val="20"/>
                <w:lang w:val="fr-CA"/>
              </w:rPr>
              <w:t>), puisque rien ne prouvait qu’il se soit reconnu responsable de l’acte ou de l’omission à l’origine des accusations.  En mai 2014, le ministère public a retiré les accusations portées contre M. Goebel et celui-ci a pris l’engagement de ne pas troubler l’ordre public.  En juin 2014, la Cour d’appel a annulé l’appel de M. Goebel, jugeant que l’appel revêtait un caractère théorique.</w:t>
            </w:r>
          </w:p>
          <w:p w:rsidR="004275A1" w:rsidRPr="00A16F83" w:rsidRDefault="004275A1" w:rsidP="004275A1">
            <w:pPr>
              <w:jc w:val="both"/>
              <w:rPr>
                <w:rFonts w:eastAsia="Calibri"/>
                <w:sz w:val="20"/>
                <w:lang w:val="fr-CA"/>
              </w:rPr>
            </w:pPr>
          </w:p>
        </w:tc>
      </w:tr>
      <w:tr w:rsidR="004275A1" w:rsidRPr="00690162" w:rsidTr="004275A1">
        <w:tc>
          <w:tcPr>
            <w:tcW w:w="2427" w:type="pct"/>
          </w:tcPr>
          <w:p w:rsidR="004275A1" w:rsidRPr="00A16F83" w:rsidRDefault="004275A1" w:rsidP="004275A1">
            <w:pPr>
              <w:jc w:val="both"/>
              <w:rPr>
                <w:rFonts w:eastAsia="Calibri"/>
                <w:sz w:val="20"/>
                <w:lang w:val="fr-CA"/>
              </w:rPr>
            </w:pPr>
            <w:r w:rsidRPr="00A16F83">
              <w:rPr>
                <w:rFonts w:eastAsia="Calibri"/>
                <w:sz w:val="20"/>
                <w:lang w:val="fr-CA"/>
              </w:rPr>
              <w:t>2 octobre 2012</w:t>
            </w:r>
          </w:p>
          <w:p w:rsidR="004275A1" w:rsidRPr="00A16F83" w:rsidRDefault="004275A1" w:rsidP="004275A1">
            <w:pPr>
              <w:jc w:val="both"/>
              <w:rPr>
                <w:rFonts w:eastAsia="Calibri"/>
                <w:sz w:val="20"/>
                <w:lang w:val="fr-CA"/>
              </w:rPr>
            </w:pPr>
            <w:r w:rsidRPr="00A16F83">
              <w:rPr>
                <w:rFonts w:eastAsia="Calibri"/>
                <w:sz w:val="20"/>
                <w:lang w:val="fr-CA"/>
              </w:rPr>
              <w:t>Cour supérieure de justice de l’Ontario</w:t>
            </w:r>
          </w:p>
          <w:p w:rsidR="004275A1" w:rsidRPr="00A16F83" w:rsidRDefault="004275A1" w:rsidP="004275A1">
            <w:pPr>
              <w:jc w:val="both"/>
              <w:rPr>
                <w:rFonts w:eastAsia="Calibri"/>
                <w:sz w:val="20"/>
                <w:lang w:val="fr-CA"/>
              </w:rPr>
            </w:pPr>
            <w:r w:rsidRPr="00A16F83">
              <w:rPr>
                <w:rFonts w:eastAsia="Calibri"/>
                <w:sz w:val="20"/>
                <w:lang w:val="fr-CA"/>
              </w:rPr>
              <w:t>(Juge Nordheimer)</w:t>
            </w:r>
          </w:p>
          <w:p w:rsidR="004275A1" w:rsidRPr="00A16F83" w:rsidRDefault="004275A1" w:rsidP="004275A1">
            <w:pPr>
              <w:jc w:val="both"/>
              <w:rPr>
                <w:rFonts w:eastAsia="Calibri"/>
                <w:sz w:val="20"/>
                <w:lang w:val="fr-CA"/>
              </w:rPr>
            </w:pPr>
          </w:p>
        </w:tc>
        <w:tc>
          <w:tcPr>
            <w:tcW w:w="243" w:type="pct"/>
          </w:tcPr>
          <w:p w:rsidR="004275A1" w:rsidRPr="00A16F83" w:rsidRDefault="004275A1" w:rsidP="004275A1">
            <w:pPr>
              <w:jc w:val="both"/>
              <w:rPr>
                <w:rFonts w:eastAsia="Calibri"/>
                <w:sz w:val="20"/>
                <w:lang w:val="fr-CA"/>
              </w:rPr>
            </w:pPr>
          </w:p>
        </w:tc>
        <w:tc>
          <w:tcPr>
            <w:tcW w:w="2330" w:type="pct"/>
          </w:tcPr>
          <w:p w:rsidR="004275A1" w:rsidRPr="00A16F83" w:rsidRDefault="004275A1" w:rsidP="004275A1">
            <w:pPr>
              <w:jc w:val="both"/>
              <w:rPr>
                <w:rFonts w:eastAsia="Calibri"/>
                <w:sz w:val="20"/>
                <w:lang w:val="fr-CA"/>
              </w:rPr>
            </w:pPr>
            <w:r w:rsidRPr="00A16F83">
              <w:rPr>
                <w:rFonts w:eastAsia="Calibri"/>
                <w:sz w:val="20"/>
                <w:lang w:val="fr-CA"/>
              </w:rPr>
              <w:t>Motion de l’intimée en rejet de la demande, accueillie; demande du demandeur pour obtenir des réparations extraordinaires, rejetée</w:t>
            </w:r>
          </w:p>
        </w:tc>
      </w:tr>
      <w:tr w:rsidR="004275A1" w:rsidRPr="00690162" w:rsidTr="004275A1">
        <w:tc>
          <w:tcPr>
            <w:tcW w:w="2427" w:type="pct"/>
          </w:tcPr>
          <w:p w:rsidR="004275A1" w:rsidRPr="00A16F83" w:rsidRDefault="004275A1" w:rsidP="004275A1">
            <w:pPr>
              <w:jc w:val="both"/>
              <w:rPr>
                <w:rFonts w:eastAsia="Calibri"/>
                <w:sz w:val="20"/>
                <w:lang w:val="fr-CA"/>
              </w:rPr>
            </w:pPr>
            <w:r w:rsidRPr="00A16F83">
              <w:rPr>
                <w:rFonts w:eastAsia="Calibri"/>
                <w:sz w:val="20"/>
                <w:lang w:val="fr-CA"/>
              </w:rPr>
              <w:t>3 juin 2014</w:t>
            </w:r>
          </w:p>
          <w:p w:rsidR="004275A1" w:rsidRPr="00A16F83" w:rsidRDefault="004275A1" w:rsidP="004275A1">
            <w:pPr>
              <w:jc w:val="both"/>
              <w:rPr>
                <w:rFonts w:eastAsia="Calibri"/>
                <w:sz w:val="20"/>
                <w:lang w:val="fr-CA"/>
              </w:rPr>
            </w:pPr>
            <w:r w:rsidRPr="00A16F83">
              <w:rPr>
                <w:rFonts w:eastAsia="Calibri"/>
                <w:sz w:val="20"/>
                <w:lang w:val="fr-CA"/>
              </w:rPr>
              <w:t>Cour d’appel de l’Ontario</w:t>
            </w:r>
          </w:p>
          <w:p w:rsidR="004275A1" w:rsidRPr="00A16F83" w:rsidRDefault="004275A1" w:rsidP="004275A1">
            <w:pPr>
              <w:jc w:val="both"/>
              <w:rPr>
                <w:rFonts w:eastAsia="Calibri"/>
                <w:sz w:val="20"/>
                <w:lang w:val="fr-CA"/>
              </w:rPr>
            </w:pPr>
            <w:r w:rsidRPr="00A16F83">
              <w:rPr>
                <w:rFonts w:eastAsia="Calibri"/>
                <w:sz w:val="20"/>
                <w:lang w:val="fr-CA"/>
              </w:rPr>
              <w:t>(Juges Doherty, Pepall et Tulloch)</w:t>
            </w:r>
          </w:p>
          <w:p w:rsidR="004275A1" w:rsidRPr="00A16F83" w:rsidRDefault="00690162" w:rsidP="006B1FB0">
            <w:pPr>
              <w:jc w:val="both"/>
              <w:rPr>
                <w:rFonts w:eastAsia="Calibri"/>
                <w:sz w:val="20"/>
                <w:lang w:val="fr-CA"/>
              </w:rPr>
            </w:pPr>
            <w:hyperlink r:id="rId60" w:history="1">
              <w:r w:rsidR="004275A1" w:rsidRPr="00A16F83">
                <w:rPr>
                  <w:rFonts w:eastAsia="Calibri"/>
                  <w:color w:val="0000FF"/>
                  <w:sz w:val="20"/>
                  <w:u w:val="single"/>
                  <w:lang w:val="fr-CA"/>
                </w:rPr>
                <w:t>2014 ONCA 451</w:t>
              </w:r>
            </w:hyperlink>
          </w:p>
        </w:tc>
        <w:tc>
          <w:tcPr>
            <w:tcW w:w="243" w:type="pct"/>
          </w:tcPr>
          <w:p w:rsidR="004275A1" w:rsidRPr="00A16F83" w:rsidRDefault="004275A1" w:rsidP="004275A1">
            <w:pPr>
              <w:jc w:val="both"/>
              <w:rPr>
                <w:rFonts w:eastAsia="Calibri"/>
                <w:sz w:val="20"/>
                <w:lang w:val="fr-CA"/>
              </w:rPr>
            </w:pPr>
          </w:p>
        </w:tc>
        <w:tc>
          <w:tcPr>
            <w:tcW w:w="2330" w:type="pct"/>
          </w:tcPr>
          <w:p w:rsidR="004275A1" w:rsidRPr="00A16F83" w:rsidRDefault="004275A1" w:rsidP="004275A1">
            <w:pPr>
              <w:jc w:val="both"/>
              <w:rPr>
                <w:rFonts w:eastAsia="Calibri"/>
                <w:sz w:val="20"/>
                <w:lang w:val="fr-CA"/>
              </w:rPr>
            </w:pPr>
            <w:r w:rsidRPr="00A16F83">
              <w:rPr>
                <w:rFonts w:eastAsia="Calibri"/>
                <w:sz w:val="20"/>
                <w:lang w:val="fr-CA"/>
              </w:rPr>
              <w:t>Motion de l’intimée en annulation, accueillie; appel annulé</w:t>
            </w:r>
          </w:p>
        </w:tc>
      </w:tr>
    </w:tbl>
    <w:p w:rsidR="006B1FB0" w:rsidRPr="00F40916" w:rsidRDefault="006B1FB0">
      <w:pPr>
        <w:rPr>
          <w:lang w:val="fr-CA"/>
        </w:rPr>
      </w:pPr>
    </w:p>
    <w:p w:rsidR="006B1FB0" w:rsidRPr="00F40916" w:rsidRDefault="006B1FB0">
      <w:pPr>
        <w:rPr>
          <w:lang w:val="fr-CA"/>
        </w:rPr>
      </w:pPr>
      <w:r w:rsidRPr="00F4091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275A1" w:rsidRPr="00A16F83" w:rsidTr="006B1FB0">
        <w:trPr>
          <w:cantSplit/>
        </w:trPr>
        <w:tc>
          <w:tcPr>
            <w:tcW w:w="2427" w:type="pct"/>
          </w:tcPr>
          <w:p w:rsidR="004275A1" w:rsidRPr="00A16F83" w:rsidRDefault="004275A1" w:rsidP="004275A1">
            <w:pPr>
              <w:jc w:val="both"/>
              <w:rPr>
                <w:rFonts w:eastAsia="Calibri"/>
                <w:sz w:val="20"/>
                <w:lang w:val="fr-CA"/>
              </w:rPr>
            </w:pPr>
            <w:r w:rsidRPr="00A16F83">
              <w:rPr>
                <w:rFonts w:eastAsia="Calibri"/>
                <w:sz w:val="20"/>
                <w:lang w:val="fr-CA"/>
              </w:rPr>
              <w:lastRenderedPageBreak/>
              <w:t>30 juillet 2014</w:t>
            </w:r>
          </w:p>
          <w:p w:rsidR="004275A1" w:rsidRPr="00A16F83" w:rsidRDefault="004275A1" w:rsidP="004275A1">
            <w:pPr>
              <w:jc w:val="both"/>
              <w:rPr>
                <w:rFonts w:eastAsia="Calibri"/>
                <w:sz w:val="20"/>
                <w:lang w:val="fr-CA"/>
              </w:rPr>
            </w:pPr>
            <w:r w:rsidRPr="00A16F83">
              <w:rPr>
                <w:rFonts w:eastAsia="Calibri"/>
                <w:sz w:val="20"/>
                <w:lang w:val="fr-CA"/>
              </w:rPr>
              <w:t>Cour suprême du Canada</w:t>
            </w:r>
          </w:p>
        </w:tc>
        <w:tc>
          <w:tcPr>
            <w:tcW w:w="243" w:type="pct"/>
          </w:tcPr>
          <w:p w:rsidR="004275A1" w:rsidRPr="00A16F83" w:rsidRDefault="004275A1" w:rsidP="004275A1">
            <w:pPr>
              <w:jc w:val="both"/>
              <w:rPr>
                <w:rFonts w:eastAsia="Calibri"/>
                <w:sz w:val="20"/>
                <w:lang w:val="fr-CA"/>
              </w:rPr>
            </w:pPr>
          </w:p>
        </w:tc>
        <w:tc>
          <w:tcPr>
            <w:tcW w:w="2330" w:type="pct"/>
          </w:tcPr>
          <w:p w:rsidR="004275A1" w:rsidRPr="00A16F83" w:rsidRDefault="004275A1" w:rsidP="004275A1">
            <w:pPr>
              <w:jc w:val="both"/>
              <w:rPr>
                <w:rFonts w:eastAsia="Calibri"/>
                <w:sz w:val="20"/>
                <w:lang w:val="fr-CA"/>
              </w:rPr>
            </w:pPr>
            <w:r w:rsidRPr="00A16F83">
              <w:rPr>
                <w:rFonts w:eastAsia="Calibri"/>
                <w:sz w:val="20"/>
                <w:lang w:val="fr-CA"/>
              </w:rPr>
              <w:t>Demande d’autorisation d’appel, déposée</w:t>
            </w:r>
          </w:p>
        </w:tc>
      </w:tr>
    </w:tbl>
    <w:p w:rsidR="00915D6A" w:rsidRDefault="00915D6A" w:rsidP="00915D6A">
      <w:pPr>
        <w:rPr>
          <w:sz w:val="20"/>
          <w:szCs w:val="20"/>
        </w:rPr>
      </w:pPr>
    </w:p>
    <w:p w:rsidR="00915D6A" w:rsidRDefault="00690162" w:rsidP="00915D6A">
      <w:pPr>
        <w:rPr>
          <w:sz w:val="20"/>
          <w:szCs w:val="20"/>
        </w:rPr>
      </w:pPr>
      <w:r>
        <w:rPr>
          <w:sz w:val="20"/>
          <w:szCs w:val="20"/>
          <w:lang w:val="fr-CA"/>
        </w:rPr>
        <w:pict>
          <v:rect id="_x0000_i1063" style="width:2in;height:1pt" o:hrpct="0" o:hralign="center" o:hrstd="t" o:hrnoshade="t" o:hr="t" fillcolor="black [3213]" stroked="f"/>
        </w:pict>
      </w:r>
    </w:p>
    <w:p w:rsidR="00915D6A" w:rsidRDefault="00915D6A" w:rsidP="00915D6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B1FB0" w:rsidRPr="00186B1A" w:rsidTr="00650BC1">
        <w:trPr>
          <w:cantSplit/>
        </w:trPr>
        <w:tc>
          <w:tcPr>
            <w:tcW w:w="1458" w:type="dxa"/>
          </w:tcPr>
          <w:p w:rsidR="006B1FB0" w:rsidRPr="00186B1A" w:rsidRDefault="006B1FB0" w:rsidP="00650BC1">
            <w:pPr>
              <w:rPr>
                <w:sz w:val="20"/>
                <w:szCs w:val="20"/>
              </w:rPr>
            </w:pPr>
            <w:r w:rsidRPr="00186B1A">
              <w:rPr>
                <w:rStyle w:val="SCCFileNumberChar"/>
                <w:sz w:val="20"/>
                <w:szCs w:val="20"/>
              </w:rPr>
              <w:t>36012</w:t>
            </w:r>
          </w:p>
          <w:p w:rsidR="006B1FB0" w:rsidRPr="00186B1A" w:rsidRDefault="006B1FB0" w:rsidP="00650BC1">
            <w:pPr>
              <w:rPr>
                <w:b/>
                <w:sz w:val="20"/>
                <w:szCs w:val="20"/>
                <w:lang w:val="fr-CA"/>
              </w:rPr>
            </w:pPr>
          </w:p>
        </w:tc>
        <w:tc>
          <w:tcPr>
            <w:tcW w:w="8118" w:type="dxa"/>
          </w:tcPr>
          <w:p w:rsidR="006B1FB0" w:rsidRPr="00186B1A" w:rsidRDefault="006B1FB0" w:rsidP="00650BC1">
            <w:pPr>
              <w:jc w:val="both"/>
              <w:rPr>
                <w:sz w:val="20"/>
                <w:szCs w:val="20"/>
              </w:rPr>
            </w:pPr>
            <w:r w:rsidRPr="006B1FB0">
              <w:rPr>
                <w:rStyle w:val="SCCLsocChar"/>
                <w:sz w:val="20"/>
                <w:szCs w:val="20"/>
                <w:lang w:val="en-CA"/>
              </w:rPr>
              <w:t>Graeme Malcolm on his own behalf and on behalf of all commercial halibut licence holders in British Columbia v. Minister of Fisheries and Oceans as represented by the Attorney General of Canada</w:t>
            </w:r>
            <w:r w:rsidR="007719B3">
              <w:rPr>
                <w:rStyle w:val="SCCLsocChar"/>
                <w:sz w:val="20"/>
                <w:szCs w:val="20"/>
                <w:lang w:val="en-CA"/>
              </w:rPr>
              <w:t xml:space="preserve"> and</w:t>
            </w:r>
            <w:r w:rsidRPr="006B1FB0">
              <w:rPr>
                <w:rStyle w:val="SCCLsocChar"/>
                <w:sz w:val="20"/>
                <w:szCs w:val="20"/>
                <w:lang w:val="en-CA"/>
              </w:rPr>
              <w:t xml:space="preserve"> B.C. Wildlife Federation and Sport Fishing Institute of B.C.</w:t>
            </w:r>
            <w:r w:rsidRPr="00186B1A">
              <w:rPr>
                <w:sz w:val="20"/>
                <w:szCs w:val="20"/>
              </w:rPr>
              <w:t xml:space="preserve"> (F.C.) (Civil) (By Leave)</w:t>
            </w:r>
          </w:p>
          <w:p w:rsidR="006B1FB0" w:rsidRPr="00186B1A" w:rsidRDefault="006B1FB0" w:rsidP="00650BC1">
            <w:pPr>
              <w:jc w:val="both"/>
              <w:rPr>
                <w:sz w:val="20"/>
                <w:szCs w:val="20"/>
              </w:rPr>
            </w:pPr>
          </w:p>
        </w:tc>
      </w:tr>
      <w:tr w:rsidR="006B1FB0" w:rsidRPr="00186B1A" w:rsidTr="00650BC1">
        <w:trPr>
          <w:cantSplit/>
        </w:trPr>
        <w:tc>
          <w:tcPr>
            <w:tcW w:w="1458" w:type="dxa"/>
          </w:tcPr>
          <w:p w:rsidR="006B1FB0" w:rsidRPr="00186B1A" w:rsidRDefault="006B1FB0" w:rsidP="00650BC1">
            <w:pPr>
              <w:rPr>
                <w:sz w:val="20"/>
                <w:szCs w:val="20"/>
              </w:rPr>
            </w:pPr>
            <w:r w:rsidRPr="00186B1A">
              <w:rPr>
                <w:sz w:val="20"/>
                <w:szCs w:val="20"/>
              </w:rPr>
              <w:t>Coram :</w:t>
            </w:r>
          </w:p>
        </w:tc>
        <w:tc>
          <w:tcPr>
            <w:tcW w:w="8118" w:type="dxa"/>
          </w:tcPr>
          <w:p w:rsidR="006B1FB0" w:rsidRPr="00186B1A" w:rsidRDefault="006B1FB0" w:rsidP="00650BC1">
            <w:pPr>
              <w:rPr>
                <w:sz w:val="20"/>
                <w:szCs w:val="20"/>
              </w:rPr>
            </w:pPr>
            <w:r w:rsidRPr="006B1FB0">
              <w:rPr>
                <w:rStyle w:val="SCCCoramChar"/>
                <w:sz w:val="20"/>
                <w:szCs w:val="20"/>
                <w:lang w:val="en-CA"/>
              </w:rPr>
              <w:t>LeBel, Karakatsanis and Gascon JJ.</w:t>
            </w:r>
          </w:p>
          <w:p w:rsidR="006B1FB0" w:rsidRPr="00186B1A" w:rsidRDefault="006B1FB0" w:rsidP="00650BC1">
            <w:pPr>
              <w:rPr>
                <w:sz w:val="20"/>
                <w:szCs w:val="20"/>
                <w:u w:val="single"/>
              </w:rPr>
            </w:pPr>
          </w:p>
        </w:tc>
      </w:tr>
      <w:tr w:rsidR="006B1FB0" w:rsidRPr="00690162" w:rsidTr="00650BC1">
        <w:trPr>
          <w:cantSplit/>
        </w:trPr>
        <w:tc>
          <w:tcPr>
            <w:tcW w:w="9576" w:type="dxa"/>
            <w:gridSpan w:val="2"/>
          </w:tcPr>
          <w:p w:rsidR="006B1FB0" w:rsidRPr="00186B1A" w:rsidRDefault="006B1FB0" w:rsidP="00650BC1">
            <w:pPr>
              <w:pStyle w:val="SCCShortJudgment"/>
              <w:rPr>
                <w:szCs w:val="20"/>
              </w:rPr>
            </w:pPr>
            <w:r w:rsidRPr="00186B1A">
              <w:rPr>
                <w:szCs w:val="20"/>
              </w:rPr>
              <w:t>The application for leave to appeal from the judgment of the Federal Court of Appeal, Number A-144-13, 2014 FCA 130, dated May 20, 2014, is dismissed with costs to the Minister of Fisheries and Oceans as represented by the Attorney General of Canada.</w:t>
            </w:r>
          </w:p>
          <w:p w:rsidR="006B1FB0" w:rsidRPr="00186B1A" w:rsidRDefault="006B1FB0" w:rsidP="00650BC1">
            <w:pPr>
              <w:pStyle w:val="SCCShortJudgment"/>
              <w:ind w:firstLine="0"/>
              <w:rPr>
                <w:szCs w:val="20"/>
              </w:rPr>
            </w:pPr>
          </w:p>
          <w:p w:rsidR="006B1FB0" w:rsidRPr="00186B1A" w:rsidRDefault="006B1FB0" w:rsidP="00650BC1">
            <w:pPr>
              <w:pStyle w:val="SCCShortJudgment"/>
              <w:rPr>
                <w:szCs w:val="20"/>
                <w:lang w:val="fr-CA"/>
              </w:rPr>
            </w:pPr>
            <w:r w:rsidRPr="00186B1A">
              <w:rPr>
                <w:szCs w:val="20"/>
                <w:lang w:val="fr-CA"/>
              </w:rPr>
              <w:t>La demande d’autorisation d’appel de l’arrêt de la Cour d’appel fédérale, numéro A-144-13, 2014 CAF 130, daté du 20 mai 2014, est rejetée avec dépens en faveur du Ministre des Pêches et des Océans représenté par le procureur général du Canada.</w:t>
            </w:r>
          </w:p>
        </w:tc>
      </w:tr>
    </w:tbl>
    <w:p w:rsidR="00915D6A" w:rsidRPr="0016547E" w:rsidRDefault="00915D6A" w:rsidP="00915D6A">
      <w:pPr>
        <w:rPr>
          <w:sz w:val="20"/>
          <w:szCs w:val="20"/>
          <w:lang w:val="fr-CA"/>
        </w:rPr>
      </w:pPr>
    </w:p>
    <w:p w:rsidR="00915D6A" w:rsidRPr="001B157C" w:rsidRDefault="00915D6A" w:rsidP="00915D6A">
      <w:pPr>
        <w:rPr>
          <w:sz w:val="20"/>
          <w:szCs w:val="20"/>
          <w:u w:val="single"/>
        </w:rPr>
      </w:pPr>
      <w:r w:rsidRPr="001B157C">
        <w:rPr>
          <w:sz w:val="20"/>
          <w:szCs w:val="20"/>
          <w:u w:val="single"/>
        </w:rPr>
        <w:t>CASE SUMMARY</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275A1" w:rsidRPr="00A16F83" w:rsidTr="004275A1">
        <w:tc>
          <w:tcPr>
            <w:tcW w:w="5000" w:type="pct"/>
            <w:gridSpan w:val="3"/>
          </w:tcPr>
          <w:p w:rsidR="004275A1" w:rsidRPr="00A16F83" w:rsidRDefault="004275A1" w:rsidP="004275A1">
            <w:pPr>
              <w:jc w:val="both"/>
              <w:rPr>
                <w:rFonts w:eastAsia="Calibri"/>
                <w:sz w:val="20"/>
              </w:rPr>
            </w:pPr>
            <w:r w:rsidRPr="00A16F83">
              <w:rPr>
                <w:rFonts w:eastAsia="Calibri"/>
                <w:sz w:val="20"/>
              </w:rPr>
              <w:t>Administrative law – Judicial review – Permits and licences – Ministerial discretion – Promissory estoppel – Legitimate expectations – Reasonableness – When can public officials be held to their promises – Do the doctrines of promissory estoppel and legitimate expectations apply to the decisions of public officials – Should there be a new stand-alone doctrine of proportionality as the fundamental norm in judicial review of administrative action.</w:t>
            </w:r>
          </w:p>
        </w:tc>
      </w:tr>
      <w:tr w:rsidR="004275A1" w:rsidRPr="00A16F83" w:rsidTr="004275A1">
        <w:tc>
          <w:tcPr>
            <w:tcW w:w="5000" w:type="pct"/>
            <w:gridSpan w:val="3"/>
          </w:tcPr>
          <w:p w:rsidR="004275A1" w:rsidRPr="00A16F83" w:rsidRDefault="004275A1" w:rsidP="004275A1">
            <w:pPr>
              <w:jc w:val="both"/>
              <w:rPr>
                <w:rFonts w:eastAsia="Calibri"/>
                <w:sz w:val="20"/>
              </w:rPr>
            </w:pPr>
          </w:p>
        </w:tc>
      </w:tr>
      <w:tr w:rsidR="004275A1" w:rsidRPr="00A16F83" w:rsidTr="004275A1">
        <w:tc>
          <w:tcPr>
            <w:tcW w:w="5000" w:type="pct"/>
            <w:gridSpan w:val="3"/>
          </w:tcPr>
          <w:p w:rsidR="004275A1" w:rsidRPr="00A16F83" w:rsidRDefault="004275A1" w:rsidP="004275A1">
            <w:pPr>
              <w:jc w:val="both"/>
              <w:rPr>
                <w:rFonts w:eastAsia="Calibri"/>
                <w:sz w:val="20"/>
              </w:rPr>
            </w:pPr>
            <w:r w:rsidRPr="00A16F83">
              <w:rPr>
                <w:rFonts w:eastAsia="Calibri"/>
                <w:sz w:val="20"/>
              </w:rPr>
              <w:t xml:space="preserve">The applicant and those he represents are commercial fishermen holding licences to harvest halibut off the coast of British Columbia.  They brought an application for judicial review of a 2012 decision by the Minister of Fisheries and Oceans that changed their allocation of the total allowance catch (TAC) for halibut from 88% to 85%, with the lost 3% being allocated to the recreational fishing industry without using a market based mechanism to effect the transfer.  The applicant alleged that the corresponding reduction in his individual transferable quota and the pounds of halibut that he can land and sell, injuriously affects his ability to earn a livelihood from the fishery.  He argued that the decision was unreasonable in that it lacked justification, transparency and intelligibility; was contrary to previous assurances from the Minister upon which commercial fishermen relied in good faith to their detriment; and was contrary to the recommendations of the Department.  He also relied upon the doctrine of promissory estoppel and claimed that the Minister violated legitimate expectations that a market based process would be followed in adjusting the allocation of TAC.  </w:t>
            </w:r>
          </w:p>
          <w:p w:rsidR="004275A1" w:rsidRPr="00A16F83" w:rsidRDefault="004275A1" w:rsidP="004275A1">
            <w:pPr>
              <w:jc w:val="both"/>
              <w:rPr>
                <w:rFonts w:eastAsia="Calibri"/>
                <w:sz w:val="20"/>
              </w:rPr>
            </w:pPr>
          </w:p>
          <w:p w:rsidR="004275A1" w:rsidRPr="00A16F83" w:rsidRDefault="004275A1" w:rsidP="004275A1">
            <w:pPr>
              <w:jc w:val="both"/>
              <w:rPr>
                <w:rFonts w:eastAsia="Calibri"/>
                <w:sz w:val="20"/>
              </w:rPr>
            </w:pPr>
            <w:r w:rsidRPr="00A16F83">
              <w:rPr>
                <w:rFonts w:eastAsia="Calibri"/>
                <w:sz w:val="20"/>
              </w:rPr>
              <w:t>The Federal Court dismissed the application for judicial review. The reviewing judge held that there was no basis upon which to interfere with the decision or to invoke public law promissory estoppel, and that the doctrine of legitimate expectations had no application to the decision.  The Federal Court of Appeal dismissed the applicant’s appeal.</w:t>
            </w:r>
          </w:p>
          <w:p w:rsidR="004275A1" w:rsidRPr="00A16F83" w:rsidRDefault="004275A1" w:rsidP="004275A1">
            <w:pPr>
              <w:jc w:val="both"/>
              <w:rPr>
                <w:rFonts w:eastAsia="Calibri"/>
                <w:sz w:val="20"/>
              </w:rPr>
            </w:pPr>
          </w:p>
        </w:tc>
      </w:tr>
      <w:tr w:rsidR="004275A1" w:rsidRPr="00A16F83" w:rsidTr="004275A1">
        <w:tc>
          <w:tcPr>
            <w:tcW w:w="2427" w:type="pct"/>
          </w:tcPr>
          <w:p w:rsidR="004275A1" w:rsidRPr="00A16F83" w:rsidRDefault="004275A1" w:rsidP="004275A1">
            <w:pPr>
              <w:jc w:val="both"/>
              <w:rPr>
                <w:rFonts w:eastAsia="Calibri"/>
                <w:sz w:val="20"/>
              </w:rPr>
            </w:pPr>
            <w:r w:rsidRPr="00A16F83">
              <w:rPr>
                <w:rFonts w:eastAsia="Calibri"/>
                <w:sz w:val="20"/>
              </w:rPr>
              <w:t>April 11, 2013</w:t>
            </w:r>
          </w:p>
          <w:p w:rsidR="004275A1" w:rsidRPr="00A16F83" w:rsidRDefault="004275A1" w:rsidP="004275A1">
            <w:pPr>
              <w:jc w:val="both"/>
              <w:rPr>
                <w:rFonts w:eastAsia="Calibri"/>
                <w:sz w:val="20"/>
              </w:rPr>
            </w:pPr>
            <w:r w:rsidRPr="00A16F83">
              <w:rPr>
                <w:rFonts w:eastAsia="Calibri"/>
                <w:sz w:val="20"/>
              </w:rPr>
              <w:t>Federal Court</w:t>
            </w:r>
          </w:p>
          <w:p w:rsidR="004275A1" w:rsidRPr="00A16F83" w:rsidRDefault="004275A1" w:rsidP="004275A1">
            <w:pPr>
              <w:jc w:val="both"/>
              <w:rPr>
                <w:rFonts w:eastAsia="Calibri"/>
                <w:sz w:val="20"/>
              </w:rPr>
            </w:pPr>
            <w:r w:rsidRPr="00A16F83">
              <w:rPr>
                <w:rFonts w:eastAsia="Calibri"/>
                <w:sz w:val="20"/>
              </w:rPr>
              <w:t>(Rennie J.)</w:t>
            </w:r>
          </w:p>
          <w:p w:rsidR="004275A1" w:rsidRPr="00A16F83" w:rsidRDefault="00690162" w:rsidP="004275A1">
            <w:pPr>
              <w:jc w:val="both"/>
              <w:rPr>
                <w:rFonts w:eastAsia="Calibri"/>
                <w:sz w:val="20"/>
              </w:rPr>
            </w:pPr>
            <w:hyperlink r:id="rId61" w:history="1">
              <w:r w:rsidR="004275A1" w:rsidRPr="00A16F83">
                <w:rPr>
                  <w:rFonts w:eastAsia="Calibri"/>
                  <w:color w:val="0000FF"/>
                  <w:sz w:val="20"/>
                  <w:u w:val="single"/>
                </w:rPr>
                <w:t>2013 FC 363</w:t>
              </w:r>
            </w:hyperlink>
          </w:p>
          <w:p w:rsidR="004275A1" w:rsidRPr="00A16F83" w:rsidRDefault="004275A1" w:rsidP="004275A1">
            <w:pPr>
              <w:jc w:val="both"/>
              <w:rPr>
                <w:rFonts w:eastAsia="Calibri"/>
                <w:sz w:val="20"/>
              </w:rPr>
            </w:pPr>
          </w:p>
        </w:tc>
        <w:tc>
          <w:tcPr>
            <w:tcW w:w="243" w:type="pct"/>
          </w:tcPr>
          <w:p w:rsidR="004275A1" w:rsidRPr="00A16F83" w:rsidRDefault="004275A1" w:rsidP="004275A1">
            <w:pPr>
              <w:jc w:val="both"/>
              <w:rPr>
                <w:rFonts w:eastAsia="Calibri"/>
                <w:sz w:val="20"/>
              </w:rPr>
            </w:pPr>
          </w:p>
        </w:tc>
        <w:tc>
          <w:tcPr>
            <w:tcW w:w="2330" w:type="pct"/>
          </w:tcPr>
          <w:p w:rsidR="004275A1" w:rsidRPr="00A16F83" w:rsidRDefault="004275A1" w:rsidP="004275A1">
            <w:pPr>
              <w:jc w:val="both"/>
              <w:rPr>
                <w:rFonts w:eastAsia="Calibri"/>
                <w:sz w:val="20"/>
              </w:rPr>
            </w:pPr>
            <w:r w:rsidRPr="00A16F83">
              <w:rPr>
                <w:rFonts w:eastAsia="Calibri"/>
                <w:sz w:val="20"/>
              </w:rPr>
              <w:t xml:space="preserve">Application for judicial review dismissed </w:t>
            </w:r>
          </w:p>
        </w:tc>
      </w:tr>
      <w:tr w:rsidR="004275A1" w:rsidRPr="00A16F83" w:rsidTr="006B1FB0">
        <w:trPr>
          <w:cantSplit/>
        </w:trPr>
        <w:tc>
          <w:tcPr>
            <w:tcW w:w="2427" w:type="pct"/>
          </w:tcPr>
          <w:p w:rsidR="004275A1" w:rsidRPr="00A16F83" w:rsidRDefault="004275A1" w:rsidP="004275A1">
            <w:pPr>
              <w:jc w:val="both"/>
              <w:rPr>
                <w:rFonts w:eastAsia="Calibri"/>
                <w:sz w:val="20"/>
              </w:rPr>
            </w:pPr>
            <w:r w:rsidRPr="00A16F83">
              <w:rPr>
                <w:rFonts w:eastAsia="Calibri"/>
                <w:sz w:val="20"/>
              </w:rPr>
              <w:lastRenderedPageBreak/>
              <w:t>May 20, 2014</w:t>
            </w:r>
          </w:p>
          <w:p w:rsidR="004275A1" w:rsidRPr="00A16F83" w:rsidRDefault="004275A1" w:rsidP="004275A1">
            <w:pPr>
              <w:jc w:val="both"/>
              <w:rPr>
                <w:rFonts w:eastAsia="Calibri"/>
                <w:sz w:val="20"/>
              </w:rPr>
            </w:pPr>
            <w:r w:rsidRPr="00A16F83">
              <w:rPr>
                <w:rFonts w:eastAsia="Calibri"/>
                <w:sz w:val="20"/>
              </w:rPr>
              <w:t>Federal Court of Appeal</w:t>
            </w:r>
          </w:p>
          <w:p w:rsidR="004275A1" w:rsidRPr="00A16F83" w:rsidRDefault="004275A1" w:rsidP="004275A1">
            <w:pPr>
              <w:jc w:val="both"/>
              <w:rPr>
                <w:rFonts w:eastAsia="Calibri"/>
                <w:sz w:val="20"/>
              </w:rPr>
            </w:pPr>
            <w:r w:rsidRPr="00A16F83">
              <w:rPr>
                <w:rFonts w:eastAsia="Calibri"/>
                <w:sz w:val="20"/>
              </w:rPr>
              <w:t>(Noël, Mainville and Webb JJ.A.)</w:t>
            </w:r>
          </w:p>
          <w:p w:rsidR="004275A1" w:rsidRPr="00A16F83" w:rsidRDefault="00690162" w:rsidP="004275A1">
            <w:pPr>
              <w:jc w:val="both"/>
              <w:rPr>
                <w:rFonts w:eastAsia="Calibri"/>
                <w:sz w:val="20"/>
              </w:rPr>
            </w:pPr>
            <w:hyperlink r:id="rId62" w:history="1">
              <w:r w:rsidR="004275A1" w:rsidRPr="00A16F83">
                <w:rPr>
                  <w:rFonts w:eastAsia="Calibri"/>
                  <w:color w:val="0000FF"/>
                  <w:sz w:val="20"/>
                  <w:u w:val="single"/>
                </w:rPr>
                <w:t>2014 FCA 130</w:t>
              </w:r>
            </w:hyperlink>
            <w:r w:rsidR="004275A1" w:rsidRPr="00A16F83">
              <w:rPr>
                <w:rFonts w:eastAsia="Calibri"/>
                <w:sz w:val="20"/>
              </w:rPr>
              <w:t>; A-144-13</w:t>
            </w:r>
          </w:p>
          <w:p w:rsidR="004275A1" w:rsidRPr="00A16F83" w:rsidRDefault="004275A1" w:rsidP="004275A1">
            <w:pPr>
              <w:jc w:val="both"/>
              <w:rPr>
                <w:rFonts w:eastAsia="Calibri"/>
                <w:sz w:val="20"/>
              </w:rPr>
            </w:pPr>
          </w:p>
        </w:tc>
        <w:tc>
          <w:tcPr>
            <w:tcW w:w="243" w:type="pct"/>
          </w:tcPr>
          <w:p w:rsidR="004275A1" w:rsidRPr="00A16F83" w:rsidRDefault="004275A1" w:rsidP="004275A1">
            <w:pPr>
              <w:jc w:val="both"/>
              <w:rPr>
                <w:rFonts w:eastAsia="Calibri"/>
                <w:sz w:val="20"/>
              </w:rPr>
            </w:pPr>
          </w:p>
        </w:tc>
        <w:tc>
          <w:tcPr>
            <w:tcW w:w="2330" w:type="pct"/>
          </w:tcPr>
          <w:p w:rsidR="004275A1" w:rsidRPr="00A16F83" w:rsidRDefault="004275A1" w:rsidP="004275A1">
            <w:pPr>
              <w:jc w:val="both"/>
              <w:rPr>
                <w:rFonts w:eastAsia="Calibri"/>
                <w:sz w:val="20"/>
              </w:rPr>
            </w:pPr>
            <w:r w:rsidRPr="00A16F83">
              <w:rPr>
                <w:rFonts w:eastAsia="Calibri"/>
                <w:sz w:val="20"/>
              </w:rPr>
              <w:t>Appeal dismissed</w:t>
            </w:r>
          </w:p>
        </w:tc>
      </w:tr>
      <w:tr w:rsidR="004275A1" w:rsidRPr="00A16F83" w:rsidTr="006B1FB0">
        <w:trPr>
          <w:cantSplit/>
        </w:trPr>
        <w:tc>
          <w:tcPr>
            <w:tcW w:w="2427" w:type="pct"/>
          </w:tcPr>
          <w:p w:rsidR="004275A1" w:rsidRPr="00A16F83" w:rsidRDefault="004275A1" w:rsidP="004275A1">
            <w:pPr>
              <w:jc w:val="both"/>
              <w:rPr>
                <w:rFonts w:eastAsia="Calibri"/>
                <w:sz w:val="20"/>
              </w:rPr>
            </w:pPr>
            <w:r w:rsidRPr="00A16F83">
              <w:rPr>
                <w:rFonts w:eastAsia="Calibri"/>
                <w:sz w:val="20"/>
              </w:rPr>
              <w:t>August 18, 2014</w:t>
            </w:r>
          </w:p>
          <w:p w:rsidR="004275A1" w:rsidRPr="00A16F83" w:rsidRDefault="004275A1" w:rsidP="004275A1">
            <w:pPr>
              <w:jc w:val="both"/>
              <w:rPr>
                <w:rFonts w:eastAsia="Calibri"/>
                <w:sz w:val="20"/>
              </w:rPr>
            </w:pPr>
            <w:r w:rsidRPr="00A16F83">
              <w:rPr>
                <w:rFonts w:eastAsia="Calibri"/>
                <w:sz w:val="20"/>
              </w:rPr>
              <w:t>Supreme Court of Canada</w:t>
            </w:r>
          </w:p>
        </w:tc>
        <w:tc>
          <w:tcPr>
            <w:tcW w:w="243" w:type="pct"/>
          </w:tcPr>
          <w:p w:rsidR="004275A1" w:rsidRPr="00A16F83" w:rsidRDefault="004275A1" w:rsidP="004275A1">
            <w:pPr>
              <w:jc w:val="both"/>
              <w:rPr>
                <w:rFonts w:eastAsia="Calibri"/>
                <w:sz w:val="20"/>
              </w:rPr>
            </w:pPr>
          </w:p>
        </w:tc>
        <w:tc>
          <w:tcPr>
            <w:tcW w:w="2330" w:type="pct"/>
          </w:tcPr>
          <w:p w:rsidR="004275A1" w:rsidRPr="00A16F83" w:rsidRDefault="004275A1" w:rsidP="004275A1">
            <w:pPr>
              <w:jc w:val="both"/>
              <w:rPr>
                <w:rFonts w:eastAsia="Calibri"/>
                <w:sz w:val="20"/>
              </w:rPr>
            </w:pPr>
            <w:r w:rsidRPr="00A16F83">
              <w:rPr>
                <w:rFonts w:eastAsia="Calibri"/>
                <w:sz w:val="20"/>
              </w:rPr>
              <w:t>Application for leave to appeal filed</w:t>
            </w:r>
          </w:p>
        </w:tc>
      </w:tr>
    </w:tbl>
    <w:p w:rsidR="00915D6A" w:rsidRDefault="00915D6A" w:rsidP="00915D6A">
      <w:pPr>
        <w:rPr>
          <w:sz w:val="20"/>
          <w:szCs w:val="20"/>
        </w:rPr>
      </w:pPr>
    </w:p>
    <w:p w:rsidR="00915D6A" w:rsidRPr="00C50A5C" w:rsidRDefault="00690162" w:rsidP="00915D6A">
      <w:pPr>
        <w:rPr>
          <w:sz w:val="20"/>
          <w:szCs w:val="20"/>
        </w:rPr>
      </w:pPr>
      <w:r>
        <w:rPr>
          <w:sz w:val="20"/>
          <w:szCs w:val="20"/>
          <w:lang w:val="fr-CA"/>
        </w:rPr>
        <w:pict>
          <v:rect id="_x0000_i1064" style="width:2in;height:1pt" o:hrpct="0" o:hralign="center" o:hrstd="t" o:hrnoshade="t" o:hr="t" fillcolor="black [3213]" stroked="f"/>
        </w:pict>
      </w:r>
    </w:p>
    <w:p w:rsidR="00915D6A" w:rsidRDefault="00915D6A" w:rsidP="00915D6A">
      <w:pPr>
        <w:rPr>
          <w:sz w:val="20"/>
          <w:szCs w:val="20"/>
        </w:rPr>
      </w:pPr>
    </w:p>
    <w:p w:rsidR="00915D6A" w:rsidRPr="001B157C" w:rsidRDefault="00915D6A" w:rsidP="00915D6A">
      <w:pPr>
        <w:rPr>
          <w:sz w:val="20"/>
          <w:szCs w:val="20"/>
          <w:u w:val="single"/>
          <w:lang w:val="fr-CA"/>
        </w:rPr>
      </w:pPr>
      <w:r w:rsidRPr="001B157C">
        <w:rPr>
          <w:sz w:val="20"/>
          <w:szCs w:val="20"/>
          <w:u w:val="single"/>
          <w:lang w:val="fr-CA"/>
        </w:rPr>
        <w:t>RÉSUMÉ DE L’AFFAIRE</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275A1" w:rsidRPr="00690162" w:rsidTr="004275A1">
        <w:tc>
          <w:tcPr>
            <w:tcW w:w="5000" w:type="pct"/>
            <w:gridSpan w:val="3"/>
          </w:tcPr>
          <w:p w:rsidR="004275A1" w:rsidRPr="00A16F83" w:rsidRDefault="004275A1" w:rsidP="004275A1">
            <w:pPr>
              <w:jc w:val="both"/>
              <w:rPr>
                <w:rFonts w:eastAsia="Calibri"/>
                <w:sz w:val="20"/>
                <w:lang w:val="fr-CA"/>
              </w:rPr>
            </w:pPr>
            <w:r w:rsidRPr="00A16F83">
              <w:rPr>
                <w:rFonts w:eastAsia="Calibri"/>
                <w:sz w:val="20"/>
                <w:lang w:val="fr-CA"/>
              </w:rPr>
              <w:t>Droit administratif – Contrôle judiciaire – Permis et licences – Pouvoir discrétionnaire du ministre – Préclusion promissoire – Attentes légitimes – Raisonnabilité – Dans quelles situations les fonctionnaires peuvent-ils être tenus de respecter leurs promesses? – Les doctrines de la préclusion promissoire et des attentes légitimes s’appliquent-elles aux décisions de fonctionnaires? – Devrait-il y avoir une nouvelle doctrine autonome de proportionnalité comme norme fondamentale dans le contrôle judiciaire des mesures administratives?</w:t>
            </w:r>
          </w:p>
        </w:tc>
      </w:tr>
      <w:tr w:rsidR="004275A1" w:rsidRPr="00690162" w:rsidTr="004275A1">
        <w:tc>
          <w:tcPr>
            <w:tcW w:w="5000" w:type="pct"/>
            <w:gridSpan w:val="3"/>
          </w:tcPr>
          <w:p w:rsidR="004275A1" w:rsidRPr="00A16F83" w:rsidRDefault="004275A1" w:rsidP="004275A1">
            <w:pPr>
              <w:jc w:val="both"/>
              <w:rPr>
                <w:rFonts w:eastAsia="Calibri"/>
                <w:sz w:val="20"/>
                <w:lang w:val="fr-CA"/>
              </w:rPr>
            </w:pPr>
          </w:p>
        </w:tc>
      </w:tr>
      <w:tr w:rsidR="004275A1" w:rsidRPr="00A16F83" w:rsidTr="004275A1">
        <w:tc>
          <w:tcPr>
            <w:tcW w:w="5000" w:type="pct"/>
            <w:gridSpan w:val="3"/>
          </w:tcPr>
          <w:p w:rsidR="004275A1" w:rsidRPr="00A16F83" w:rsidRDefault="004275A1" w:rsidP="004275A1">
            <w:pPr>
              <w:jc w:val="both"/>
              <w:rPr>
                <w:rFonts w:eastAsia="Calibri"/>
                <w:sz w:val="20"/>
                <w:lang w:val="fr-CA"/>
              </w:rPr>
            </w:pPr>
            <w:r w:rsidRPr="00A16F83">
              <w:rPr>
                <w:rFonts w:eastAsia="Calibri"/>
                <w:sz w:val="20"/>
                <w:lang w:val="fr-CA"/>
              </w:rPr>
              <w:t xml:space="preserve">Le demandeur et les entreprises qu’il représente sont des pêcheurs commerciaux, titulaires de permis de pêche du flétan au large de la Colombie-Britannique.  Ils ont présenté une demande de contrôle judiciaire d’une décision rendue en 2012 par le ministre des Pêches et des Océans qui a modifié le total autorisé de leurs captures (TAC) du flétan de 88 p. cent à 85 p. cent, la baisse de 3 p. cent étant attribuée à l’industrie de la pêche récréative, sans utiliser de mécanisme axé sur le marché pour effectuer le transfert.  Le demandeur allègue que son contingent individuel transférable et le nombre de livres de flétan qu’il peut pêcher et vendre ont par conséquent été réduits de façon correspondante, nuisant ainsi à sa capacité de gagner sa vie grâce à la pêche.  Il a plaidé que la décision était déraisonnable, puisqu’elle était dénuée de justification, de transparence et d’intelligibilité, qu’elle était contraire à des assurances antérieures du ministre sur lesquels les pêcheurs commerciaux s’étaient appuyés de bonne foi à leur détriment et qu’elle était contraire aux recommandations du ministère.  Il a également évoqué la doctrine de la préclusion promissoire et a allégué que le ministre avait violé ses attentes légitimes qu’un processus axé sur le marché serait suivi pour ajuster la répartition du TAC.  </w:t>
            </w:r>
          </w:p>
          <w:p w:rsidR="004275A1" w:rsidRPr="00A16F83" w:rsidRDefault="004275A1" w:rsidP="004275A1">
            <w:pPr>
              <w:jc w:val="both"/>
              <w:rPr>
                <w:rFonts w:eastAsia="Calibri"/>
                <w:sz w:val="20"/>
                <w:lang w:val="fr-CA"/>
              </w:rPr>
            </w:pPr>
          </w:p>
          <w:p w:rsidR="004275A1" w:rsidRPr="00A16F83" w:rsidRDefault="004275A1" w:rsidP="004275A1">
            <w:pPr>
              <w:jc w:val="both"/>
              <w:rPr>
                <w:rFonts w:eastAsia="Calibri"/>
                <w:sz w:val="20"/>
                <w:lang w:val="fr-CA"/>
              </w:rPr>
            </w:pPr>
            <w:r w:rsidRPr="00A16F83">
              <w:rPr>
                <w:rFonts w:eastAsia="Calibri"/>
                <w:sz w:val="20"/>
                <w:lang w:val="fr-CA"/>
              </w:rPr>
              <w:t xml:space="preserve">La Cour fédérale a rejeté la demande de contrôle judiciaire.  Le juge de première instance a statué que rien ne justifiait de modifier la décision ou d’invoquer la préclusion promissoire de droit public, et que la </w:t>
            </w:r>
            <w:r w:rsidRPr="00A16F83">
              <w:rPr>
                <w:rFonts w:eastAsia="Calibri"/>
                <w:bCs/>
                <w:iCs/>
                <w:sz w:val="20"/>
                <w:lang w:val="fr-CA"/>
              </w:rPr>
              <w:t>doctrine des attentes légitimes</w:t>
            </w:r>
            <w:r w:rsidRPr="00A16F83">
              <w:rPr>
                <w:rFonts w:eastAsia="Calibri"/>
                <w:b/>
                <w:bCs/>
                <w:i/>
                <w:iCs/>
                <w:sz w:val="20"/>
                <w:lang w:val="fr-CA"/>
              </w:rPr>
              <w:t xml:space="preserve"> </w:t>
            </w:r>
            <w:r w:rsidRPr="00A16F83">
              <w:rPr>
                <w:rFonts w:eastAsia="Calibri"/>
                <w:sz w:val="20"/>
                <w:lang w:val="fr-CA"/>
              </w:rPr>
              <w:t>ne s’appliquait pas à la décision.  La Cour d’appel fédérale a rejeté l’appel du demandeur.</w:t>
            </w:r>
          </w:p>
          <w:p w:rsidR="004275A1" w:rsidRPr="00A16F83" w:rsidRDefault="004275A1" w:rsidP="004275A1">
            <w:pPr>
              <w:jc w:val="both"/>
              <w:rPr>
                <w:rFonts w:eastAsia="Calibri"/>
                <w:sz w:val="20"/>
                <w:lang w:val="fr-CA"/>
              </w:rPr>
            </w:pPr>
          </w:p>
        </w:tc>
      </w:tr>
      <w:tr w:rsidR="004275A1" w:rsidRPr="00690162" w:rsidTr="004275A1">
        <w:tc>
          <w:tcPr>
            <w:tcW w:w="2427" w:type="pct"/>
          </w:tcPr>
          <w:p w:rsidR="004275A1" w:rsidRPr="00A16F83" w:rsidRDefault="004275A1" w:rsidP="004275A1">
            <w:pPr>
              <w:jc w:val="both"/>
              <w:rPr>
                <w:rFonts w:eastAsia="Calibri"/>
                <w:sz w:val="20"/>
                <w:lang w:val="fr-CA"/>
              </w:rPr>
            </w:pPr>
            <w:r w:rsidRPr="00A16F83">
              <w:rPr>
                <w:rFonts w:eastAsia="Calibri"/>
                <w:sz w:val="20"/>
                <w:lang w:val="fr-CA"/>
              </w:rPr>
              <w:t>11 avril 2013</w:t>
            </w:r>
          </w:p>
          <w:p w:rsidR="004275A1" w:rsidRPr="00A16F83" w:rsidRDefault="004275A1" w:rsidP="004275A1">
            <w:pPr>
              <w:jc w:val="both"/>
              <w:rPr>
                <w:rFonts w:eastAsia="Calibri"/>
                <w:sz w:val="20"/>
                <w:lang w:val="fr-CA"/>
              </w:rPr>
            </w:pPr>
            <w:r w:rsidRPr="00A16F83">
              <w:rPr>
                <w:rFonts w:eastAsia="Calibri"/>
                <w:sz w:val="20"/>
                <w:lang w:val="fr-CA"/>
              </w:rPr>
              <w:t xml:space="preserve">Cour fédérale </w:t>
            </w:r>
          </w:p>
          <w:p w:rsidR="004275A1" w:rsidRPr="00A16F83" w:rsidRDefault="004275A1" w:rsidP="004275A1">
            <w:pPr>
              <w:jc w:val="both"/>
              <w:rPr>
                <w:rFonts w:eastAsia="Calibri"/>
                <w:sz w:val="20"/>
                <w:lang w:val="fr-CA"/>
              </w:rPr>
            </w:pPr>
            <w:r w:rsidRPr="00A16F83">
              <w:rPr>
                <w:rFonts w:eastAsia="Calibri"/>
                <w:sz w:val="20"/>
                <w:lang w:val="fr-CA"/>
              </w:rPr>
              <w:t>(Juge Rennie)</w:t>
            </w:r>
          </w:p>
          <w:p w:rsidR="004275A1" w:rsidRPr="00A16F83" w:rsidRDefault="00690162" w:rsidP="004275A1">
            <w:pPr>
              <w:jc w:val="both"/>
              <w:rPr>
                <w:rFonts w:eastAsia="Calibri"/>
                <w:sz w:val="20"/>
                <w:lang w:val="fr-CA"/>
              </w:rPr>
            </w:pPr>
            <w:hyperlink r:id="rId63" w:history="1">
              <w:r w:rsidR="004275A1" w:rsidRPr="00A16F83">
                <w:rPr>
                  <w:rFonts w:eastAsia="Calibri"/>
                  <w:color w:val="0000FF"/>
                  <w:sz w:val="20"/>
                  <w:u w:val="single"/>
                  <w:lang w:val="fr-CA"/>
                </w:rPr>
                <w:t>2013 FC 363</w:t>
              </w:r>
            </w:hyperlink>
          </w:p>
          <w:p w:rsidR="004275A1" w:rsidRPr="00A16F83" w:rsidRDefault="004275A1" w:rsidP="004275A1">
            <w:pPr>
              <w:jc w:val="both"/>
              <w:rPr>
                <w:rFonts w:eastAsia="Calibri"/>
                <w:sz w:val="20"/>
                <w:lang w:val="fr-CA"/>
              </w:rPr>
            </w:pPr>
          </w:p>
        </w:tc>
        <w:tc>
          <w:tcPr>
            <w:tcW w:w="243" w:type="pct"/>
          </w:tcPr>
          <w:p w:rsidR="004275A1" w:rsidRPr="00A16F83" w:rsidRDefault="004275A1" w:rsidP="004275A1">
            <w:pPr>
              <w:jc w:val="both"/>
              <w:rPr>
                <w:rFonts w:eastAsia="Calibri"/>
                <w:sz w:val="20"/>
                <w:lang w:val="fr-CA"/>
              </w:rPr>
            </w:pPr>
          </w:p>
        </w:tc>
        <w:tc>
          <w:tcPr>
            <w:tcW w:w="2330" w:type="pct"/>
          </w:tcPr>
          <w:p w:rsidR="004275A1" w:rsidRPr="00A16F83" w:rsidRDefault="004275A1" w:rsidP="004275A1">
            <w:pPr>
              <w:jc w:val="both"/>
              <w:rPr>
                <w:rFonts w:eastAsia="Calibri"/>
                <w:sz w:val="20"/>
                <w:lang w:val="fr-CA"/>
              </w:rPr>
            </w:pPr>
            <w:r w:rsidRPr="00A16F83">
              <w:rPr>
                <w:rFonts w:eastAsia="Calibri"/>
                <w:sz w:val="20"/>
                <w:lang w:val="fr-CA"/>
              </w:rPr>
              <w:t>Demande de contrôle judiciaire, rejetée</w:t>
            </w:r>
          </w:p>
        </w:tc>
      </w:tr>
      <w:tr w:rsidR="004275A1" w:rsidRPr="00A16F83" w:rsidTr="004275A1">
        <w:tc>
          <w:tcPr>
            <w:tcW w:w="2427" w:type="pct"/>
          </w:tcPr>
          <w:p w:rsidR="004275A1" w:rsidRPr="00A16F83" w:rsidRDefault="004275A1" w:rsidP="004275A1">
            <w:pPr>
              <w:jc w:val="both"/>
              <w:rPr>
                <w:rFonts w:eastAsia="Calibri"/>
                <w:sz w:val="20"/>
                <w:lang w:val="fr-CA"/>
              </w:rPr>
            </w:pPr>
            <w:r w:rsidRPr="00A16F83">
              <w:rPr>
                <w:rFonts w:eastAsia="Calibri"/>
                <w:sz w:val="20"/>
                <w:lang w:val="fr-CA"/>
              </w:rPr>
              <w:t>20 mai 2014</w:t>
            </w:r>
          </w:p>
          <w:p w:rsidR="004275A1" w:rsidRPr="00A16F83" w:rsidRDefault="004275A1" w:rsidP="004275A1">
            <w:pPr>
              <w:jc w:val="both"/>
              <w:rPr>
                <w:rFonts w:eastAsia="Calibri"/>
                <w:sz w:val="20"/>
                <w:lang w:val="fr-CA"/>
              </w:rPr>
            </w:pPr>
            <w:r w:rsidRPr="00A16F83">
              <w:rPr>
                <w:rFonts w:eastAsia="Calibri"/>
                <w:sz w:val="20"/>
                <w:lang w:val="fr-CA"/>
              </w:rPr>
              <w:t>Cour d’appel fédérale</w:t>
            </w:r>
          </w:p>
          <w:p w:rsidR="004275A1" w:rsidRPr="00A16F83" w:rsidRDefault="004275A1" w:rsidP="004275A1">
            <w:pPr>
              <w:jc w:val="both"/>
              <w:rPr>
                <w:rFonts w:eastAsia="Calibri"/>
                <w:sz w:val="20"/>
                <w:lang w:val="fr-CA"/>
              </w:rPr>
            </w:pPr>
            <w:r w:rsidRPr="00A16F83">
              <w:rPr>
                <w:rFonts w:eastAsia="Calibri"/>
                <w:sz w:val="20"/>
                <w:lang w:val="fr-CA"/>
              </w:rPr>
              <w:t>(Juges Noël, Mainville et Webb)</w:t>
            </w:r>
          </w:p>
          <w:p w:rsidR="004275A1" w:rsidRPr="00A16F83" w:rsidRDefault="00690162" w:rsidP="004275A1">
            <w:pPr>
              <w:jc w:val="both"/>
              <w:rPr>
                <w:rFonts w:eastAsia="Calibri"/>
                <w:sz w:val="20"/>
                <w:lang w:val="fr-CA"/>
              </w:rPr>
            </w:pPr>
            <w:hyperlink r:id="rId64" w:history="1">
              <w:r w:rsidR="004275A1" w:rsidRPr="00A16F83">
                <w:rPr>
                  <w:rFonts w:eastAsia="Calibri"/>
                  <w:color w:val="0000FF"/>
                  <w:sz w:val="20"/>
                  <w:u w:val="single"/>
                  <w:lang w:val="fr-CA"/>
                </w:rPr>
                <w:t>2014 FCA 130</w:t>
              </w:r>
            </w:hyperlink>
            <w:r w:rsidR="004275A1" w:rsidRPr="00A16F83">
              <w:rPr>
                <w:rFonts w:eastAsia="Calibri"/>
                <w:sz w:val="20"/>
                <w:lang w:val="fr-CA"/>
              </w:rPr>
              <w:t>; A-144-13</w:t>
            </w:r>
          </w:p>
          <w:p w:rsidR="004275A1" w:rsidRPr="00A16F83" w:rsidRDefault="004275A1" w:rsidP="004275A1">
            <w:pPr>
              <w:jc w:val="both"/>
              <w:rPr>
                <w:rFonts w:eastAsia="Calibri"/>
                <w:sz w:val="20"/>
                <w:lang w:val="fr-CA"/>
              </w:rPr>
            </w:pPr>
          </w:p>
        </w:tc>
        <w:tc>
          <w:tcPr>
            <w:tcW w:w="243" w:type="pct"/>
          </w:tcPr>
          <w:p w:rsidR="004275A1" w:rsidRPr="00A16F83" w:rsidRDefault="004275A1" w:rsidP="004275A1">
            <w:pPr>
              <w:jc w:val="both"/>
              <w:rPr>
                <w:rFonts w:eastAsia="Calibri"/>
                <w:sz w:val="20"/>
                <w:lang w:val="fr-CA"/>
              </w:rPr>
            </w:pPr>
          </w:p>
        </w:tc>
        <w:tc>
          <w:tcPr>
            <w:tcW w:w="2330" w:type="pct"/>
          </w:tcPr>
          <w:p w:rsidR="004275A1" w:rsidRPr="00A16F83" w:rsidRDefault="004275A1" w:rsidP="004275A1">
            <w:pPr>
              <w:jc w:val="both"/>
              <w:rPr>
                <w:rFonts w:eastAsia="Calibri"/>
                <w:sz w:val="20"/>
                <w:lang w:val="fr-CA"/>
              </w:rPr>
            </w:pPr>
            <w:r w:rsidRPr="00A16F83">
              <w:rPr>
                <w:rFonts w:eastAsia="Calibri"/>
                <w:sz w:val="20"/>
                <w:lang w:val="fr-CA"/>
              </w:rPr>
              <w:t>Appel rejeté</w:t>
            </w:r>
          </w:p>
        </w:tc>
      </w:tr>
      <w:tr w:rsidR="004275A1" w:rsidRPr="00A16F83" w:rsidTr="004275A1">
        <w:tc>
          <w:tcPr>
            <w:tcW w:w="2427" w:type="pct"/>
          </w:tcPr>
          <w:p w:rsidR="004275A1" w:rsidRPr="00A16F83" w:rsidRDefault="004275A1" w:rsidP="004275A1">
            <w:pPr>
              <w:jc w:val="both"/>
              <w:rPr>
                <w:rFonts w:eastAsia="Calibri"/>
                <w:sz w:val="20"/>
                <w:lang w:val="fr-CA"/>
              </w:rPr>
            </w:pPr>
            <w:r w:rsidRPr="00A16F83">
              <w:rPr>
                <w:rFonts w:eastAsia="Calibri"/>
                <w:sz w:val="20"/>
                <w:lang w:val="fr-CA"/>
              </w:rPr>
              <w:t>18 août 2014</w:t>
            </w:r>
          </w:p>
          <w:p w:rsidR="004275A1" w:rsidRPr="00A16F83" w:rsidRDefault="004275A1" w:rsidP="004275A1">
            <w:pPr>
              <w:jc w:val="both"/>
              <w:rPr>
                <w:rFonts w:eastAsia="Calibri"/>
                <w:sz w:val="20"/>
                <w:lang w:val="fr-CA"/>
              </w:rPr>
            </w:pPr>
            <w:r w:rsidRPr="00A16F83">
              <w:rPr>
                <w:rFonts w:eastAsia="Calibri"/>
                <w:sz w:val="20"/>
                <w:lang w:val="fr-CA"/>
              </w:rPr>
              <w:t>Cour suprême du Canada</w:t>
            </w:r>
          </w:p>
        </w:tc>
        <w:tc>
          <w:tcPr>
            <w:tcW w:w="243" w:type="pct"/>
          </w:tcPr>
          <w:p w:rsidR="004275A1" w:rsidRPr="00A16F83" w:rsidRDefault="004275A1" w:rsidP="004275A1">
            <w:pPr>
              <w:jc w:val="both"/>
              <w:rPr>
                <w:rFonts w:eastAsia="Calibri"/>
                <w:sz w:val="20"/>
                <w:lang w:val="fr-CA"/>
              </w:rPr>
            </w:pPr>
          </w:p>
        </w:tc>
        <w:tc>
          <w:tcPr>
            <w:tcW w:w="2330" w:type="pct"/>
          </w:tcPr>
          <w:p w:rsidR="004275A1" w:rsidRPr="00A16F83" w:rsidRDefault="004275A1" w:rsidP="004275A1">
            <w:pPr>
              <w:jc w:val="both"/>
              <w:rPr>
                <w:rFonts w:eastAsia="Calibri"/>
                <w:sz w:val="20"/>
                <w:lang w:val="fr-CA"/>
              </w:rPr>
            </w:pPr>
            <w:r w:rsidRPr="00A16F83">
              <w:rPr>
                <w:rFonts w:eastAsia="Calibri"/>
                <w:sz w:val="20"/>
                <w:lang w:val="fr-CA"/>
              </w:rPr>
              <w:t>Demande d’autorisation d’appel, déposée</w:t>
            </w:r>
          </w:p>
        </w:tc>
      </w:tr>
    </w:tbl>
    <w:p w:rsidR="00915D6A" w:rsidRDefault="00915D6A" w:rsidP="00915D6A">
      <w:pPr>
        <w:rPr>
          <w:sz w:val="20"/>
          <w:szCs w:val="20"/>
        </w:rPr>
      </w:pPr>
    </w:p>
    <w:p w:rsidR="00915D6A" w:rsidRDefault="00690162" w:rsidP="00915D6A">
      <w:pPr>
        <w:rPr>
          <w:sz w:val="20"/>
          <w:szCs w:val="20"/>
        </w:rPr>
      </w:pPr>
      <w:r>
        <w:rPr>
          <w:sz w:val="20"/>
          <w:szCs w:val="20"/>
          <w:lang w:val="fr-CA"/>
        </w:rPr>
        <w:pict>
          <v:rect id="_x0000_i1065" style="width:2in;height:1pt" o:hrpct="0" o:hralign="center" o:hrstd="t" o:hrnoshade="t" o:hr="t" fillcolor="black [3213]" stroked="f"/>
        </w:pict>
      </w:r>
    </w:p>
    <w:p w:rsidR="00915D6A" w:rsidRDefault="00915D6A" w:rsidP="00915D6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B1FB0" w:rsidRPr="00186B1A" w:rsidTr="00650BC1">
        <w:trPr>
          <w:cantSplit/>
        </w:trPr>
        <w:tc>
          <w:tcPr>
            <w:tcW w:w="1458" w:type="dxa"/>
          </w:tcPr>
          <w:p w:rsidR="006B1FB0" w:rsidRPr="00186B1A" w:rsidRDefault="006B1FB0" w:rsidP="00650BC1">
            <w:pPr>
              <w:rPr>
                <w:sz w:val="20"/>
                <w:szCs w:val="20"/>
              </w:rPr>
            </w:pPr>
            <w:r w:rsidRPr="00186B1A">
              <w:rPr>
                <w:rStyle w:val="SCCFileNumberChar"/>
                <w:sz w:val="20"/>
                <w:szCs w:val="20"/>
              </w:rPr>
              <w:lastRenderedPageBreak/>
              <w:t>36015</w:t>
            </w:r>
          </w:p>
          <w:p w:rsidR="006B1FB0" w:rsidRPr="00186B1A" w:rsidRDefault="006B1FB0" w:rsidP="00650BC1">
            <w:pPr>
              <w:rPr>
                <w:b/>
                <w:sz w:val="20"/>
                <w:szCs w:val="20"/>
                <w:lang w:val="fr-CA"/>
              </w:rPr>
            </w:pPr>
          </w:p>
        </w:tc>
        <w:tc>
          <w:tcPr>
            <w:tcW w:w="8118" w:type="dxa"/>
          </w:tcPr>
          <w:p w:rsidR="006B1FB0" w:rsidRPr="00186B1A" w:rsidRDefault="006B1FB0" w:rsidP="00650BC1">
            <w:pPr>
              <w:rPr>
                <w:sz w:val="20"/>
                <w:szCs w:val="20"/>
              </w:rPr>
            </w:pPr>
            <w:r w:rsidRPr="006B1FB0">
              <w:rPr>
                <w:rStyle w:val="SCCLsocChar"/>
                <w:sz w:val="20"/>
                <w:szCs w:val="20"/>
                <w:lang w:val="en-CA"/>
              </w:rPr>
              <w:t>William Lubecki v. Thomas A. Lavin</w:t>
            </w:r>
            <w:r w:rsidRPr="00186B1A">
              <w:rPr>
                <w:sz w:val="20"/>
                <w:szCs w:val="20"/>
              </w:rPr>
              <w:t xml:space="preserve"> (Que.) (Civil) (By Leave)</w:t>
            </w:r>
          </w:p>
          <w:p w:rsidR="006B1FB0" w:rsidRPr="00186B1A" w:rsidRDefault="006B1FB0" w:rsidP="00650BC1">
            <w:pPr>
              <w:rPr>
                <w:sz w:val="20"/>
                <w:szCs w:val="20"/>
              </w:rPr>
            </w:pPr>
          </w:p>
        </w:tc>
      </w:tr>
      <w:tr w:rsidR="006B1FB0" w:rsidRPr="00186B1A" w:rsidTr="00650BC1">
        <w:trPr>
          <w:cantSplit/>
        </w:trPr>
        <w:tc>
          <w:tcPr>
            <w:tcW w:w="1458" w:type="dxa"/>
          </w:tcPr>
          <w:p w:rsidR="006B1FB0" w:rsidRPr="00186B1A" w:rsidRDefault="006B1FB0" w:rsidP="00650BC1">
            <w:pPr>
              <w:rPr>
                <w:sz w:val="20"/>
                <w:szCs w:val="20"/>
              </w:rPr>
            </w:pPr>
            <w:r w:rsidRPr="00186B1A">
              <w:rPr>
                <w:sz w:val="20"/>
                <w:szCs w:val="20"/>
              </w:rPr>
              <w:t>Coram :</w:t>
            </w:r>
          </w:p>
        </w:tc>
        <w:tc>
          <w:tcPr>
            <w:tcW w:w="8118" w:type="dxa"/>
          </w:tcPr>
          <w:p w:rsidR="006B1FB0" w:rsidRPr="00186B1A" w:rsidRDefault="006B1FB0" w:rsidP="00650BC1">
            <w:pPr>
              <w:rPr>
                <w:sz w:val="20"/>
                <w:szCs w:val="20"/>
              </w:rPr>
            </w:pPr>
            <w:r w:rsidRPr="006B1FB0">
              <w:rPr>
                <w:rStyle w:val="SCCCoramChar"/>
                <w:sz w:val="20"/>
                <w:szCs w:val="20"/>
                <w:lang w:val="en-CA"/>
              </w:rPr>
              <w:t>Abella, Rothstein and Moldaver JJ.</w:t>
            </w:r>
          </w:p>
          <w:p w:rsidR="006B1FB0" w:rsidRPr="00186B1A" w:rsidRDefault="006B1FB0" w:rsidP="00650BC1">
            <w:pPr>
              <w:rPr>
                <w:sz w:val="20"/>
                <w:szCs w:val="20"/>
                <w:u w:val="single"/>
              </w:rPr>
            </w:pPr>
          </w:p>
        </w:tc>
      </w:tr>
      <w:tr w:rsidR="006B1FB0" w:rsidRPr="00690162" w:rsidTr="00650BC1">
        <w:trPr>
          <w:cantSplit/>
        </w:trPr>
        <w:tc>
          <w:tcPr>
            <w:tcW w:w="9576" w:type="dxa"/>
            <w:gridSpan w:val="2"/>
          </w:tcPr>
          <w:p w:rsidR="006B1FB0" w:rsidRPr="00186B1A" w:rsidRDefault="006B1FB0" w:rsidP="00650BC1">
            <w:pPr>
              <w:pStyle w:val="SCCShortJudgment"/>
              <w:rPr>
                <w:szCs w:val="20"/>
              </w:rPr>
            </w:pPr>
            <w:r w:rsidRPr="00186B1A">
              <w:rPr>
                <w:szCs w:val="20"/>
              </w:rPr>
              <w:t>The application for leave to appeal from the judgment of the Court of Appeal of Quebec (Montréal), Number 500-09-024286-148, 2014 QCCA 1081, dated May 26, 2014, is dismissed with costs.</w:t>
            </w:r>
          </w:p>
          <w:p w:rsidR="006B1FB0" w:rsidRPr="00186B1A" w:rsidRDefault="006B1FB0" w:rsidP="00650BC1">
            <w:pPr>
              <w:pStyle w:val="SCCShortJudgment"/>
              <w:ind w:firstLine="0"/>
              <w:rPr>
                <w:szCs w:val="20"/>
              </w:rPr>
            </w:pPr>
          </w:p>
          <w:p w:rsidR="006B1FB0" w:rsidRPr="00186B1A" w:rsidRDefault="006B1FB0" w:rsidP="00650BC1">
            <w:pPr>
              <w:pStyle w:val="SCCShortJudgment"/>
              <w:rPr>
                <w:szCs w:val="20"/>
                <w:lang w:val="fr-CA"/>
              </w:rPr>
            </w:pPr>
            <w:r w:rsidRPr="00186B1A">
              <w:rPr>
                <w:szCs w:val="20"/>
                <w:lang w:val="fr-CA"/>
              </w:rPr>
              <w:t>La demande d’autorisation d’appel de l’arrêt de la Cour d’appel du Québec (Montréal), numéro 500-09-024286-148, 2014 QCCA 1081, daté du 26 mai 2014, est rejetée avec dépens.</w:t>
            </w:r>
          </w:p>
        </w:tc>
      </w:tr>
    </w:tbl>
    <w:p w:rsidR="00915D6A" w:rsidRPr="0016547E" w:rsidRDefault="00915D6A" w:rsidP="00915D6A">
      <w:pPr>
        <w:rPr>
          <w:sz w:val="20"/>
          <w:szCs w:val="20"/>
          <w:lang w:val="fr-CA"/>
        </w:rPr>
      </w:pPr>
    </w:p>
    <w:p w:rsidR="00915D6A" w:rsidRPr="001B157C" w:rsidRDefault="00915D6A" w:rsidP="00915D6A">
      <w:pPr>
        <w:rPr>
          <w:sz w:val="20"/>
          <w:szCs w:val="20"/>
          <w:u w:val="single"/>
        </w:rPr>
      </w:pPr>
      <w:r w:rsidRPr="001B157C">
        <w:rPr>
          <w:sz w:val="20"/>
          <w:szCs w:val="20"/>
          <w:u w:val="single"/>
        </w:rPr>
        <w:t>CASE SUMMARY</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275A1" w:rsidRPr="00A16F83" w:rsidTr="004275A1">
        <w:tc>
          <w:tcPr>
            <w:tcW w:w="5000" w:type="pct"/>
            <w:gridSpan w:val="3"/>
          </w:tcPr>
          <w:p w:rsidR="004275A1" w:rsidRPr="00A16F83" w:rsidRDefault="004275A1" w:rsidP="004275A1">
            <w:pPr>
              <w:jc w:val="both"/>
              <w:rPr>
                <w:rFonts w:eastAsia="Calibri"/>
                <w:sz w:val="20"/>
              </w:rPr>
            </w:pPr>
            <w:r w:rsidRPr="00A16F83">
              <w:rPr>
                <w:rFonts w:eastAsia="Calibri"/>
                <w:sz w:val="20"/>
              </w:rPr>
              <w:t>Civil procedure — Appeals — Motion to dismiss — Action in damages alleging professional misconduct dismissed — Appeal dismissed on the basis that it had no reasonable chance of success — Whether the lower courts erred.</w:t>
            </w:r>
          </w:p>
        </w:tc>
      </w:tr>
      <w:tr w:rsidR="004275A1" w:rsidRPr="00A16F83" w:rsidTr="004275A1">
        <w:tc>
          <w:tcPr>
            <w:tcW w:w="5000" w:type="pct"/>
            <w:gridSpan w:val="3"/>
          </w:tcPr>
          <w:p w:rsidR="004275A1" w:rsidRPr="00A16F83" w:rsidRDefault="004275A1" w:rsidP="004275A1">
            <w:pPr>
              <w:jc w:val="both"/>
              <w:rPr>
                <w:rFonts w:eastAsia="Calibri"/>
                <w:sz w:val="20"/>
              </w:rPr>
            </w:pPr>
          </w:p>
        </w:tc>
      </w:tr>
      <w:tr w:rsidR="004275A1" w:rsidRPr="00A16F83" w:rsidTr="004275A1">
        <w:tc>
          <w:tcPr>
            <w:tcW w:w="5000" w:type="pct"/>
            <w:gridSpan w:val="3"/>
          </w:tcPr>
          <w:p w:rsidR="004275A1" w:rsidRPr="00A16F83" w:rsidRDefault="004275A1" w:rsidP="004275A1">
            <w:pPr>
              <w:jc w:val="both"/>
              <w:rPr>
                <w:rFonts w:eastAsia="Calibri"/>
                <w:sz w:val="20"/>
              </w:rPr>
            </w:pPr>
            <w:r w:rsidRPr="00A16F83">
              <w:rPr>
                <w:rFonts w:eastAsia="Calibri"/>
                <w:sz w:val="20"/>
              </w:rPr>
              <w:t>The applicant, Mr. Lubecki, hired the respondent, Mr. Lavin, to represent him in the course of divorce proceedings initiated by his ex-wife in 2010.  He then sued Mr. Lavin, alleging that he had not properly executed his mandate during the proceedings on corollary relief.</w:t>
            </w:r>
          </w:p>
          <w:p w:rsidR="004275A1" w:rsidRPr="00A16F83" w:rsidRDefault="004275A1" w:rsidP="004275A1">
            <w:pPr>
              <w:jc w:val="both"/>
              <w:rPr>
                <w:rFonts w:eastAsia="Calibri"/>
                <w:sz w:val="20"/>
              </w:rPr>
            </w:pPr>
          </w:p>
          <w:p w:rsidR="004275A1" w:rsidRPr="00A16F83" w:rsidRDefault="004275A1" w:rsidP="004275A1">
            <w:pPr>
              <w:jc w:val="both"/>
              <w:rPr>
                <w:rFonts w:eastAsia="Calibri"/>
                <w:sz w:val="20"/>
              </w:rPr>
            </w:pPr>
            <w:r w:rsidRPr="00A16F83">
              <w:rPr>
                <w:rFonts w:eastAsia="Calibri"/>
                <w:sz w:val="20"/>
              </w:rPr>
              <w:t>The Superior Court dismissed the action against Mr. Lavin.  Bénard J. found that Mr. Lavin did not commit any fault.  The Court of Appeal dismissed the appeal summarily, on the basis that it had no reasonable chance of success.</w:t>
            </w:r>
          </w:p>
          <w:p w:rsidR="004275A1" w:rsidRPr="00A16F83" w:rsidRDefault="004275A1" w:rsidP="004275A1">
            <w:pPr>
              <w:jc w:val="both"/>
              <w:rPr>
                <w:rFonts w:eastAsia="Calibri"/>
                <w:sz w:val="20"/>
              </w:rPr>
            </w:pPr>
          </w:p>
        </w:tc>
      </w:tr>
      <w:tr w:rsidR="004275A1" w:rsidRPr="00A16F83" w:rsidTr="004275A1">
        <w:tc>
          <w:tcPr>
            <w:tcW w:w="2427" w:type="pct"/>
          </w:tcPr>
          <w:p w:rsidR="004275A1" w:rsidRPr="00A16F83" w:rsidRDefault="004275A1" w:rsidP="004275A1">
            <w:pPr>
              <w:jc w:val="both"/>
              <w:rPr>
                <w:rFonts w:eastAsia="Calibri"/>
                <w:sz w:val="20"/>
              </w:rPr>
            </w:pPr>
            <w:r w:rsidRPr="00A16F83">
              <w:rPr>
                <w:rFonts w:eastAsia="Calibri"/>
                <w:sz w:val="20"/>
              </w:rPr>
              <w:t>February 12, 2014</w:t>
            </w:r>
          </w:p>
          <w:p w:rsidR="004275A1" w:rsidRPr="00A16F83" w:rsidRDefault="004275A1" w:rsidP="004275A1">
            <w:pPr>
              <w:jc w:val="both"/>
              <w:rPr>
                <w:rFonts w:eastAsia="Calibri"/>
                <w:sz w:val="20"/>
              </w:rPr>
            </w:pPr>
            <w:r w:rsidRPr="00A16F83">
              <w:rPr>
                <w:rFonts w:eastAsia="Calibri"/>
                <w:sz w:val="20"/>
              </w:rPr>
              <w:t>Superior Court of Quebec</w:t>
            </w:r>
          </w:p>
          <w:p w:rsidR="004275A1" w:rsidRPr="00A16F83" w:rsidRDefault="004275A1" w:rsidP="004275A1">
            <w:pPr>
              <w:jc w:val="both"/>
              <w:rPr>
                <w:rFonts w:eastAsia="Calibri"/>
                <w:sz w:val="20"/>
              </w:rPr>
            </w:pPr>
            <w:r w:rsidRPr="00A16F83">
              <w:rPr>
                <w:rFonts w:eastAsia="Calibri"/>
                <w:sz w:val="20"/>
              </w:rPr>
              <w:t>(Bénard J.)</w:t>
            </w:r>
          </w:p>
          <w:p w:rsidR="004275A1" w:rsidRPr="00A16F83" w:rsidRDefault="004275A1" w:rsidP="004275A1">
            <w:pPr>
              <w:jc w:val="both"/>
              <w:rPr>
                <w:rFonts w:eastAsia="Calibri"/>
                <w:sz w:val="20"/>
              </w:rPr>
            </w:pPr>
          </w:p>
        </w:tc>
        <w:tc>
          <w:tcPr>
            <w:tcW w:w="243" w:type="pct"/>
          </w:tcPr>
          <w:p w:rsidR="004275A1" w:rsidRPr="00A16F83" w:rsidRDefault="004275A1" w:rsidP="004275A1">
            <w:pPr>
              <w:jc w:val="both"/>
              <w:rPr>
                <w:rFonts w:eastAsia="Calibri"/>
                <w:sz w:val="20"/>
              </w:rPr>
            </w:pPr>
          </w:p>
        </w:tc>
        <w:tc>
          <w:tcPr>
            <w:tcW w:w="2330" w:type="pct"/>
          </w:tcPr>
          <w:p w:rsidR="004275A1" w:rsidRPr="00A16F83" w:rsidRDefault="004275A1" w:rsidP="004275A1">
            <w:pPr>
              <w:jc w:val="both"/>
              <w:rPr>
                <w:rFonts w:eastAsia="Calibri"/>
                <w:sz w:val="20"/>
              </w:rPr>
            </w:pPr>
            <w:r w:rsidRPr="00A16F83">
              <w:rPr>
                <w:rFonts w:eastAsia="Calibri"/>
                <w:sz w:val="20"/>
              </w:rPr>
              <w:t>Action dismissed</w:t>
            </w:r>
          </w:p>
        </w:tc>
      </w:tr>
      <w:tr w:rsidR="004275A1" w:rsidRPr="00A16F83" w:rsidTr="004275A1">
        <w:tc>
          <w:tcPr>
            <w:tcW w:w="2427" w:type="pct"/>
          </w:tcPr>
          <w:p w:rsidR="004275A1" w:rsidRPr="00A16F83" w:rsidRDefault="004275A1" w:rsidP="004275A1">
            <w:pPr>
              <w:jc w:val="both"/>
              <w:rPr>
                <w:rFonts w:eastAsia="Calibri"/>
                <w:sz w:val="20"/>
              </w:rPr>
            </w:pPr>
            <w:r w:rsidRPr="00A16F83">
              <w:rPr>
                <w:rFonts w:eastAsia="Calibri"/>
                <w:sz w:val="20"/>
              </w:rPr>
              <w:t>May 26, 2014</w:t>
            </w:r>
          </w:p>
          <w:p w:rsidR="004275A1" w:rsidRPr="00A16F83" w:rsidRDefault="004275A1" w:rsidP="004275A1">
            <w:pPr>
              <w:jc w:val="both"/>
              <w:rPr>
                <w:rFonts w:eastAsia="Calibri"/>
                <w:sz w:val="20"/>
              </w:rPr>
            </w:pPr>
            <w:r w:rsidRPr="00A16F83">
              <w:rPr>
                <w:rFonts w:eastAsia="Calibri"/>
                <w:sz w:val="20"/>
              </w:rPr>
              <w:t>Court of Appeal of Quebec (Montréal)</w:t>
            </w:r>
          </w:p>
          <w:p w:rsidR="004275A1" w:rsidRPr="00A16F83" w:rsidRDefault="004275A1" w:rsidP="004275A1">
            <w:pPr>
              <w:jc w:val="both"/>
              <w:rPr>
                <w:rFonts w:eastAsia="Calibri"/>
                <w:sz w:val="20"/>
              </w:rPr>
            </w:pPr>
            <w:r w:rsidRPr="00A16F83">
              <w:rPr>
                <w:rFonts w:eastAsia="Calibri"/>
                <w:sz w:val="20"/>
              </w:rPr>
              <w:t>(Thibault, Dufresne and Savard JJ.A.)</w:t>
            </w:r>
          </w:p>
          <w:p w:rsidR="004275A1" w:rsidRPr="00A16F83" w:rsidRDefault="004275A1" w:rsidP="004275A1">
            <w:pPr>
              <w:jc w:val="both"/>
              <w:rPr>
                <w:rFonts w:eastAsia="Calibri"/>
                <w:sz w:val="20"/>
              </w:rPr>
            </w:pPr>
            <w:r w:rsidRPr="00A16F83">
              <w:rPr>
                <w:rFonts w:eastAsia="Calibri"/>
                <w:sz w:val="20"/>
              </w:rPr>
              <w:t xml:space="preserve">500-09-024286-148; </w:t>
            </w:r>
            <w:hyperlink r:id="rId65" w:history="1">
              <w:r w:rsidRPr="00A16F83">
                <w:rPr>
                  <w:rFonts w:eastAsia="Calibri"/>
                  <w:color w:val="0000FF"/>
                  <w:sz w:val="20"/>
                  <w:u w:val="single"/>
                </w:rPr>
                <w:t>2014 QCCA 1081</w:t>
              </w:r>
            </w:hyperlink>
          </w:p>
          <w:p w:rsidR="004275A1" w:rsidRPr="00A16F83" w:rsidRDefault="004275A1" w:rsidP="004275A1">
            <w:pPr>
              <w:jc w:val="both"/>
              <w:rPr>
                <w:rFonts w:eastAsia="Calibri"/>
                <w:sz w:val="20"/>
              </w:rPr>
            </w:pPr>
          </w:p>
        </w:tc>
        <w:tc>
          <w:tcPr>
            <w:tcW w:w="243" w:type="pct"/>
          </w:tcPr>
          <w:p w:rsidR="004275A1" w:rsidRPr="00A16F83" w:rsidRDefault="004275A1" w:rsidP="004275A1">
            <w:pPr>
              <w:jc w:val="both"/>
              <w:rPr>
                <w:rFonts w:eastAsia="Calibri"/>
                <w:sz w:val="20"/>
              </w:rPr>
            </w:pPr>
          </w:p>
        </w:tc>
        <w:tc>
          <w:tcPr>
            <w:tcW w:w="2330" w:type="pct"/>
          </w:tcPr>
          <w:p w:rsidR="004275A1" w:rsidRPr="00A16F83" w:rsidRDefault="004275A1" w:rsidP="004275A1">
            <w:pPr>
              <w:jc w:val="both"/>
              <w:rPr>
                <w:rFonts w:eastAsia="Calibri"/>
                <w:sz w:val="20"/>
              </w:rPr>
            </w:pPr>
            <w:r w:rsidRPr="00A16F83">
              <w:rPr>
                <w:rFonts w:eastAsia="Calibri"/>
                <w:sz w:val="20"/>
              </w:rPr>
              <w:t>Motion to dismiss the appeal granted; appeal dismissed</w:t>
            </w:r>
          </w:p>
        </w:tc>
      </w:tr>
      <w:tr w:rsidR="004275A1" w:rsidRPr="00A16F83" w:rsidTr="004275A1">
        <w:tc>
          <w:tcPr>
            <w:tcW w:w="2427" w:type="pct"/>
          </w:tcPr>
          <w:p w:rsidR="004275A1" w:rsidRPr="00A16F83" w:rsidRDefault="004275A1" w:rsidP="004275A1">
            <w:pPr>
              <w:jc w:val="both"/>
              <w:rPr>
                <w:rFonts w:eastAsia="Calibri"/>
                <w:sz w:val="20"/>
              </w:rPr>
            </w:pPr>
            <w:r w:rsidRPr="00A16F83">
              <w:rPr>
                <w:rFonts w:eastAsia="Calibri"/>
                <w:sz w:val="20"/>
              </w:rPr>
              <w:t>August 21, 2014</w:t>
            </w:r>
          </w:p>
          <w:p w:rsidR="004275A1" w:rsidRPr="00A16F83" w:rsidRDefault="004275A1" w:rsidP="004275A1">
            <w:pPr>
              <w:jc w:val="both"/>
              <w:rPr>
                <w:rFonts w:eastAsia="Calibri"/>
                <w:sz w:val="20"/>
              </w:rPr>
            </w:pPr>
            <w:r w:rsidRPr="00A16F83">
              <w:rPr>
                <w:rFonts w:eastAsia="Calibri"/>
                <w:sz w:val="20"/>
              </w:rPr>
              <w:t>Supreme Court of Canada</w:t>
            </w:r>
          </w:p>
        </w:tc>
        <w:tc>
          <w:tcPr>
            <w:tcW w:w="243" w:type="pct"/>
          </w:tcPr>
          <w:p w:rsidR="004275A1" w:rsidRPr="00A16F83" w:rsidRDefault="004275A1" w:rsidP="004275A1">
            <w:pPr>
              <w:jc w:val="both"/>
              <w:rPr>
                <w:rFonts w:eastAsia="Calibri"/>
                <w:sz w:val="20"/>
              </w:rPr>
            </w:pPr>
          </w:p>
        </w:tc>
        <w:tc>
          <w:tcPr>
            <w:tcW w:w="2330" w:type="pct"/>
          </w:tcPr>
          <w:p w:rsidR="004275A1" w:rsidRPr="00A16F83" w:rsidRDefault="004275A1" w:rsidP="004275A1">
            <w:pPr>
              <w:jc w:val="both"/>
              <w:rPr>
                <w:rFonts w:eastAsia="Calibri"/>
                <w:sz w:val="20"/>
              </w:rPr>
            </w:pPr>
            <w:r w:rsidRPr="00A16F83">
              <w:rPr>
                <w:rFonts w:eastAsia="Calibri"/>
                <w:sz w:val="20"/>
              </w:rPr>
              <w:t>Application for leave to appeal filed</w:t>
            </w:r>
          </w:p>
        </w:tc>
      </w:tr>
    </w:tbl>
    <w:p w:rsidR="00915D6A" w:rsidRDefault="00915D6A" w:rsidP="00915D6A">
      <w:pPr>
        <w:rPr>
          <w:sz w:val="20"/>
          <w:szCs w:val="20"/>
        </w:rPr>
      </w:pPr>
    </w:p>
    <w:p w:rsidR="00915D6A" w:rsidRPr="00C50A5C" w:rsidRDefault="00690162" w:rsidP="00915D6A">
      <w:pPr>
        <w:rPr>
          <w:sz w:val="20"/>
          <w:szCs w:val="20"/>
        </w:rPr>
      </w:pPr>
      <w:r>
        <w:rPr>
          <w:sz w:val="20"/>
          <w:szCs w:val="20"/>
          <w:lang w:val="fr-CA"/>
        </w:rPr>
        <w:pict>
          <v:rect id="_x0000_i1066" style="width:2in;height:1pt" o:hrpct="0" o:hralign="center" o:hrstd="t" o:hrnoshade="t" o:hr="t" fillcolor="black [3213]" stroked="f"/>
        </w:pict>
      </w:r>
    </w:p>
    <w:p w:rsidR="00915D6A" w:rsidRDefault="00915D6A" w:rsidP="00915D6A">
      <w:pPr>
        <w:rPr>
          <w:sz w:val="20"/>
          <w:szCs w:val="20"/>
        </w:rPr>
      </w:pPr>
    </w:p>
    <w:p w:rsidR="00915D6A" w:rsidRPr="001B157C" w:rsidRDefault="00915D6A" w:rsidP="00915D6A">
      <w:pPr>
        <w:rPr>
          <w:sz w:val="20"/>
          <w:szCs w:val="20"/>
          <w:u w:val="single"/>
          <w:lang w:val="fr-CA"/>
        </w:rPr>
      </w:pPr>
      <w:r w:rsidRPr="001B157C">
        <w:rPr>
          <w:sz w:val="20"/>
          <w:szCs w:val="20"/>
          <w:u w:val="single"/>
          <w:lang w:val="fr-CA"/>
        </w:rPr>
        <w:t>RÉSUMÉ DE L’AFFAIRE</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275A1" w:rsidRPr="00690162" w:rsidTr="004275A1">
        <w:tc>
          <w:tcPr>
            <w:tcW w:w="5000" w:type="pct"/>
            <w:gridSpan w:val="3"/>
          </w:tcPr>
          <w:p w:rsidR="004275A1" w:rsidRPr="00A16F83" w:rsidRDefault="004275A1" w:rsidP="004275A1">
            <w:pPr>
              <w:jc w:val="both"/>
              <w:rPr>
                <w:rFonts w:eastAsia="Calibri"/>
                <w:sz w:val="20"/>
                <w:lang w:val="fr-CA"/>
              </w:rPr>
            </w:pPr>
            <w:r w:rsidRPr="00A16F83">
              <w:rPr>
                <w:rFonts w:eastAsia="Calibri"/>
                <w:sz w:val="20"/>
                <w:lang w:val="fr-CA"/>
              </w:rPr>
              <w:t xml:space="preserve">Procédure civile — Appels — Requête en rejet — Rejet d’une action en dommages-intérêts intentée pour faute professionnelle — Appel rejeté parce qu’il n’a aucune possibilité raisonnable de succès — Les juridictions inférieures ont-elles fait erreur? </w:t>
            </w:r>
          </w:p>
        </w:tc>
      </w:tr>
      <w:tr w:rsidR="004275A1" w:rsidRPr="00690162" w:rsidTr="004275A1">
        <w:tc>
          <w:tcPr>
            <w:tcW w:w="5000" w:type="pct"/>
            <w:gridSpan w:val="3"/>
          </w:tcPr>
          <w:p w:rsidR="004275A1" w:rsidRPr="00A16F83" w:rsidRDefault="004275A1" w:rsidP="004275A1">
            <w:pPr>
              <w:jc w:val="both"/>
              <w:rPr>
                <w:rFonts w:eastAsia="Calibri"/>
                <w:sz w:val="20"/>
                <w:lang w:val="fr-CA"/>
              </w:rPr>
            </w:pPr>
          </w:p>
        </w:tc>
      </w:tr>
      <w:tr w:rsidR="004275A1" w:rsidRPr="00690162" w:rsidTr="004275A1">
        <w:tc>
          <w:tcPr>
            <w:tcW w:w="5000" w:type="pct"/>
            <w:gridSpan w:val="3"/>
          </w:tcPr>
          <w:p w:rsidR="004275A1" w:rsidRPr="00A16F83" w:rsidRDefault="004275A1" w:rsidP="004275A1">
            <w:pPr>
              <w:jc w:val="both"/>
              <w:rPr>
                <w:rFonts w:eastAsia="Calibri"/>
                <w:sz w:val="20"/>
                <w:lang w:val="fr-CA"/>
              </w:rPr>
            </w:pPr>
            <w:r w:rsidRPr="00A16F83">
              <w:rPr>
                <w:rFonts w:eastAsia="Calibri"/>
                <w:sz w:val="20"/>
                <w:lang w:val="fr-CA"/>
              </w:rPr>
              <w:t>Le demandeur, M. Lubecki, a engagé l’intimé, M</w:t>
            </w:r>
            <w:r w:rsidRPr="00A16F83">
              <w:rPr>
                <w:rFonts w:eastAsia="Calibri"/>
                <w:sz w:val="20"/>
                <w:vertAlign w:val="superscript"/>
                <w:lang w:val="fr-CA"/>
              </w:rPr>
              <w:t>e</w:t>
            </w:r>
            <w:r w:rsidRPr="00A16F83">
              <w:rPr>
                <w:rFonts w:eastAsia="Calibri"/>
                <w:sz w:val="20"/>
                <w:lang w:val="fr-CA"/>
              </w:rPr>
              <w:t xml:space="preserve"> Lavin, pour le représenter au cours d’une instance de divorce introduite par son ex-femme en 2010.  Il a ensuite poursuivi M</w:t>
            </w:r>
            <w:r w:rsidRPr="00A16F83">
              <w:rPr>
                <w:rFonts w:eastAsia="Calibri"/>
                <w:sz w:val="20"/>
                <w:vertAlign w:val="superscript"/>
                <w:lang w:val="fr-CA"/>
              </w:rPr>
              <w:t>e</w:t>
            </w:r>
            <w:r w:rsidRPr="00A16F83">
              <w:rPr>
                <w:rFonts w:eastAsia="Calibri"/>
                <w:sz w:val="20"/>
                <w:lang w:val="fr-CA"/>
              </w:rPr>
              <w:t xml:space="preserve"> Lavin, lui reprochant de ne pas avoir bien rempli son mandat lors de la procédure sur les mesures accessoires. </w:t>
            </w:r>
          </w:p>
          <w:p w:rsidR="004275A1" w:rsidRPr="00A16F83" w:rsidRDefault="004275A1" w:rsidP="004275A1">
            <w:pPr>
              <w:jc w:val="both"/>
              <w:rPr>
                <w:rFonts w:eastAsia="Calibri"/>
                <w:sz w:val="20"/>
                <w:lang w:val="fr-CA"/>
              </w:rPr>
            </w:pPr>
          </w:p>
          <w:p w:rsidR="004275A1" w:rsidRPr="00A16F83" w:rsidRDefault="004275A1" w:rsidP="004275A1">
            <w:pPr>
              <w:jc w:val="both"/>
              <w:rPr>
                <w:rFonts w:eastAsia="Calibri"/>
                <w:sz w:val="20"/>
                <w:lang w:val="fr-CA"/>
              </w:rPr>
            </w:pPr>
            <w:r w:rsidRPr="00A16F83">
              <w:rPr>
                <w:rFonts w:eastAsia="Calibri"/>
                <w:sz w:val="20"/>
                <w:lang w:val="fr-CA"/>
              </w:rPr>
              <w:t>La Cour supérieure a rejeté l’action intentée contre M</w:t>
            </w:r>
            <w:r w:rsidRPr="00A16F83">
              <w:rPr>
                <w:rFonts w:eastAsia="Calibri"/>
                <w:sz w:val="20"/>
                <w:vertAlign w:val="superscript"/>
                <w:lang w:val="fr-CA"/>
              </w:rPr>
              <w:t>e</w:t>
            </w:r>
            <w:r w:rsidRPr="00A16F83">
              <w:rPr>
                <w:rFonts w:eastAsia="Calibri"/>
                <w:sz w:val="20"/>
                <w:lang w:val="fr-CA"/>
              </w:rPr>
              <w:t xml:space="preserve"> Lavin.  Selon la juge Bénard, ce dernier n’a commis aucune faute.  La Cour d’appel a rejeté sommairement l’appel au motif qu’il n’avait aucune possibilité raisonnable de succès.</w:t>
            </w:r>
          </w:p>
          <w:p w:rsidR="004275A1" w:rsidRPr="00A16F83" w:rsidRDefault="004275A1" w:rsidP="004275A1">
            <w:pPr>
              <w:jc w:val="both"/>
              <w:rPr>
                <w:rFonts w:eastAsia="Calibri"/>
                <w:sz w:val="20"/>
                <w:lang w:val="fr-CA"/>
              </w:rPr>
            </w:pPr>
          </w:p>
        </w:tc>
      </w:tr>
      <w:tr w:rsidR="004275A1" w:rsidRPr="00A16F83" w:rsidTr="004275A1">
        <w:tc>
          <w:tcPr>
            <w:tcW w:w="2427" w:type="pct"/>
          </w:tcPr>
          <w:p w:rsidR="004275A1" w:rsidRPr="00A16F83" w:rsidRDefault="004275A1" w:rsidP="004275A1">
            <w:pPr>
              <w:jc w:val="both"/>
              <w:rPr>
                <w:rFonts w:eastAsia="Calibri"/>
                <w:sz w:val="20"/>
                <w:lang w:val="fr-CA"/>
              </w:rPr>
            </w:pPr>
            <w:r w:rsidRPr="00A16F83">
              <w:rPr>
                <w:rFonts w:eastAsia="Calibri"/>
                <w:sz w:val="20"/>
                <w:lang w:val="fr-CA"/>
              </w:rPr>
              <w:lastRenderedPageBreak/>
              <w:t>12 février 2014</w:t>
            </w:r>
          </w:p>
          <w:p w:rsidR="004275A1" w:rsidRPr="00A16F83" w:rsidRDefault="004275A1" w:rsidP="004275A1">
            <w:pPr>
              <w:jc w:val="both"/>
              <w:rPr>
                <w:rFonts w:eastAsia="Calibri"/>
                <w:sz w:val="20"/>
                <w:lang w:val="fr-CA"/>
              </w:rPr>
            </w:pPr>
            <w:r w:rsidRPr="00A16F83">
              <w:rPr>
                <w:rFonts w:eastAsia="Calibri"/>
                <w:sz w:val="20"/>
                <w:lang w:val="fr-CA"/>
              </w:rPr>
              <w:t>Cour supérieure du Québec</w:t>
            </w:r>
          </w:p>
          <w:p w:rsidR="004275A1" w:rsidRPr="00A16F83" w:rsidRDefault="004275A1" w:rsidP="004275A1">
            <w:pPr>
              <w:jc w:val="both"/>
              <w:rPr>
                <w:rFonts w:eastAsia="Calibri"/>
                <w:sz w:val="20"/>
                <w:lang w:val="fr-CA"/>
              </w:rPr>
            </w:pPr>
            <w:r w:rsidRPr="00A16F83">
              <w:rPr>
                <w:rFonts w:eastAsia="Calibri"/>
                <w:sz w:val="20"/>
                <w:lang w:val="fr-CA"/>
              </w:rPr>
              <w:t>(Juge Bénard)</w:t>
            </w:r>
          </w:p>
          <w:p w:rsidR="004275A1" w:rsidRPr="00A16F83" w:rsidRDefault="004275A1" w:rsidP="004275A1">
            <w:pPr>
              <w:jc w:val="both"/>
              <w:rPr>
                <w:rFonts w:eastAsia="Calibri"/>
                <w:sz w:val="20"/>
                <w:lang w:val="fr-CA"/>
              </w:rPr>
            </w:pPr>
          </w:p>
        </w:tc>
        <w:tc>
          <w:tcPr>
            <w:tcW w:w="243" w:type="pct"/>
          </w:tcPr>
          <w:p w:rsidR="004275A1" w:rsidRPr="00A16F83" w:rsidRDefault="004275A1" w:rsidP="004275A1">
            <w:pPr>
              <w:jc w:val="both"/>
              <w:rPr>
                <w:rFonts w:eastAsia="Calibri"/>
                <w:sz w:val="20"/>
                <w:lang w:val="fr-CA"/>
              </w:rPr>
            </w:pPr>
          </w:p>
        </w:tc>
        <w:tc>
          <w:tcPr>
            <w:tcW w:w="2330" w:type="pct"/>
          </w:tcPr>
          <w:p w:rsidR="004275A1" w:rsidRPr="00A16F83" w:rsidRDefault="004275A1" w:rsidP="004275A1">
            <w:pPr>
              <w:jc w:val="both"/>
              <w:rPr>
                <w:rFonts w:eastAsia="Calibri"/>
                <w:sz w:val="20"/>
              </w:rPr>
            </w:pPr>
            <w:r w:rsidRPr="00A16F83">
              <w:rPr>
                <w:rFonts w:eastAsia="Calibri"/>
                <w:sz w:val="20"/>
              </w:rPr>
              <w:t>Action rejetée</w:t>
            </w:r>
          </w:p>
        </w:tc>
      </w:tr>
      <w:tr w:rsidR="004275A1" w:rsidRPr="00690162" w:rsidTr="004275A1">
        <w:tc>
          <w:tcPr>
            <w:tcW w:w="2427" w:type="pct"/>
          </w:tcPr>
          <w:p w:rsidR="004275A1" w:rsidRPr="00A16F83" w:rsidRDefault="004275A1" w:rsidP="004275A1">
            <w:pPr>
              <w:jc w:val="both"/>
              <w:rPr>
                <w:rFonts w:eastAsia="Calibri"/>
                <w:sz w:val="20"/>
                <w:lang w:val="fr-CA"/>
              </w:rPr>
            </w:pPr>
            <w:r w:rsidRPr="00A16F83">
              <w:rPr>
                <w:rFonts w:eastAsia="Calibri"/>
                <w:sz w:val="20"/>
                <w:lang w:val="fr-CA"/>
              </w:rPr>
              <w:t>26 mai 2014</w:t>
            </w:r>
          </w:p>
          <w:p w:rsidR="004275A1" w:rsidRPr="00A16F83" w:rsidRDefault="004275A1" w:rsidP="004275A1">
            <w:pPr>
              <w:jc w:val="both"/>
              <w:rPr>
                <w:rFonts w:eastAsia="Calibri"/>
                <w:sz w:val="20"/>
                <w:lang w:val="fr-CA"/>
              </w:rPr>
            </w:pPr>
            <w:r w:rsidRPr="00A16F83">
              <w:rPr>
                <w:rFonts w:eastAsia="Calibri"/>
                <w:sz w:val="20"/>
                <w:lang w:val="fr-CA"/>
              </w:rPr>
              <w:t>Cour d’appel du Québec (Montréal)</w:t>
            </w:r>
          </w:p>
          <w:p w:rsidR="004275A1" w:rsidRPr="00A16F83" w:rsidRDefault="004275A1" w:rsidP="004275A1">
            <w:pPr>
              <w:jc w:val="both"/>
              <w:rPr>
                <w:rFonts w:eastAsia="Calibri"/>
                <w:sz w:val="20"/>
                <w:lang w:val="fr-CA"/>
              </w:rPr>
            </w:pPr>
            <w:r w:rsidRPr="00A16F83">
              <w:rPr>
                <w:rFonts w:eastAsia="Calibri"/>
                <w:sz w:val="20"/>
                <w:lang w:val="fr-CA"/>
              </w:rPr>
              <w:t>(Juges Thibault, Dufresne et Savard)</w:t>
            </w:r>
          </w:p>
          <w:p w:rsidR="004275A1" w:rsidRPr="00A16F83" w:rsidRDefault="004275A1" w:rsidP="004275A1">
            <w:pPr>
              <w:jc w:val="both"/>
              <w:rPr>
                <w:rFonts w:eastAsia="Calibri"/>
                <w:sz w:val="20"/>
              </w:rPr>
            </w:pPr>
            <w:r w:rsidRPr="00A16F83">
              <w:rPr>
                <w:rFonts w:eastAsia="Calibri"/>
                <w:sz w:val="20"/>
              </w:rPr>
              <w:t xml:space="preserve">500-09-024286-148; </w:t>
            </w:r>
            <w:hyperlink r:id="rId66" w:history="1">
              <w:r w:rsidRPr="00A16F83">
                <w:rPr>
                  <w:rFonts w:eastAsia="Calibri"/>
                  <w:color w:val="0000FF"/>
                  <w:sz w:val="20"/>
                  <w:u w:val="single"/>
                </w:rPr>
                <w:t>2014 QCCA 1081</w:t>
              </w:r>
            </w:hyperlink>
          </w:p>
          <w:p w:rsidR="004275A1" w:rsidRPr="00A16F83" w:rsidRDefault="004275A1" w:rsidP="004275A1">
            <w:pPr>
              <w:jc w:val="both"/>
              <w:rPr>
                <w:rFonts w:eastAsia="Calibri"/>
                <w:sz w:val="20"/>
              </w:rPr>
            </w:pPr>
          </w:p>
        </w:tc>
        <w:tc>
          <w:tcPr>
            <w:tcW w:w="243" w:type="pct"/>
          </w:tcPr>
          <w:p w:rsidR="004275A1" w:rsidRPr="00A16F83" w:rsidRDefault="004275A1" w:rsidP="004275A1">
            <w:pPr>
              <w:jc w:val="both"/>
              <w:rPr>
                <w:rFonts w:eastAsia="Calibri"/>
                <w:sz w:val="20"/>
              </w:rPr>
            </w:pPr>
          </w:p>
        </w:tc>
        <w:tc>
          <w:tcPr>
            <w:tcW w:w="2330" w:type="pct"/>
          </w:tcPr>
          <w:p w:rsidR="004275A1" w:rsidRPr="00A16F83" w:rsidRDefault="004275A1" w:rsidP="004275A1">
            <w:pPr>
              <w:jc w:val="both"/>
              <w:rPr>
                <w:rFonts w:eastAsia="Calibri"/>
                <w:sz w:val="20"/>
                <w:lang w:val="fr-CA"/>
              </w:rPr>
            </w:pPr>
            <w:r w:rsidRPr="00A16F83">
              <w:rPr>
                <w:rFonts w:eastAsia="Calibri"/>
                <w:sz w:val="20"/>
                <w:lang w:val="fr-CA"/>
              </w:rPr>
              <w:t>Requête en rejet de l’appel accueillie; appel rejeté</w:t>
            </w:r>
          </w:p>
        </w:tc>
      </w:tr>
      <w:tr w:rsidR="004275A1" w:rsidRPr="00A16F83" w:rsidTr="004275A1">
        <w:tc>
          <w:tcPr>
            <w:tcW w:w="2427" w:type="pct"/>
          </w:tcPr>
          <w:p w:rsidR="004275A1" w:rsidRPr="00A16F83" w:rsidRDefault="004275A1" w:rsidP="004275A1">
            <w:pPr>
              <w:jc w:val="both"/>
              <w:rPr>
                <w:rFonts w:eastAsia="Calibri"/>
                <w:sz w:val="20"/>
                <w:lang w:val="fr-CA"/>
              </w:rPr>
            </w:pPr>
            <w:r w:rsidRPr="00A16F83">
              <w:rPr>
                <w:rFonts w:eastAsia="Calibri"/>
                <w:sz w:val="20"/>
                <w:lang w:val="fr-CA"/>
              </w:rPr>
              <w:t>21 août 2014</w:t>
            </w:r>
          </w:p>
          <w:p w:rsidR="004275A1" w:rsidRPr="00A16F83" w:rsidRDefault="004275A1" w:rsidP="004275A1">
            <w:pPr>
              <w:jc w:val="both"/>
              <w:rPr>
                <w:rFonts w:eastAsia="Calibri"/>
                <w:sz w:val="20"/>
                <w:lang w:val="fr-CA"/>
              </w:rPr>
            </w:pPr>
            <w:r w:rsidRPr="00A16F83">
              <w:rPr>
                <w:rFonts w:eastAsia="Calibri"/>
                <w:sz w:val="20"/>
                <w:lang w:val="fr-CA"/>
              </w:rPr>
              <w:t>Cour suprême du Canada</w:t>
            </w:r>
          </w:p>
        </w:tc>
        <w:tc>
          <w:tcPr>
            <w:tcW w:w="243" w:type="pct"/>
          </w:tcPr>
          <w:p w:rsidR="004275A1" w:rsidRPr="00A16F83" w:rsidRDefault="004275A1" w:rsidP="004275A1">
            <w:pPr>
              <w:jc w:val="both"/>
              <w:rPr>
                <w:rFonts w:eastAsia="Calibri"/>
                <w:sz w:val="20"/>
                <w:lang w:val="fr-CA"/>
              </w:rPr>
            </w:pPr>
          </w:p>
        </w:tc>
        <w:tc>
          <w:tcPr>
            <w:tcW w:w="2330" w:type="pct"/>
          </w:tcPr>
          <w:p w:rsidR="004275A1" w:rsidRPr="00A16F83" w:rsidRDefault="004275A1" w:rsidP="004275A1">
            <w:pPr>
              <w:jc w:val="both"/>
              <w:rPr>
                <w:rFonts w:eastAsia="Calibri"/>
                <w:sz w:val="20"/>
              </w:rPr>
            </w:pPr>
            <w:r w:rsidRPr="00A16F83">
              <w:rPr>
                <w:rFonts w:eastAsia="Calibri"/>
                <w:sz w:val="20"/>
              </w:rPr>
              <w:t>Demande d’autorisation d’appel déposée</w:t>
            </w:r>
          </w:p>
        </w:tc>
      </w:tr>
    </w:tbl>
    <w:p w:rsidR="00915D6A" w:rsidRDefault="00915D6A" w:rsidP="00915D6A">
      <w:pPr>
        <w:rPr>
          <w:sz w:val="20"/>
          <w:szCs w:val="20"/>
        </w:rPr>
      </w:pPr>
    </w:p>
    <w:p w:rsidR="00915D6A" w:rsidRDefault="00690162" w:rsidP="00915D6A">
      <w:pPr>
        <w:rPr>
          <w:sz w:val="20"/>
          <w:szCs w:val="20"/>
        </w:rPr>
      </w:pPr>
      <w:r>
        <w:rPr>
          <w:sz w:val="20"/>
          <w:szCs w:val="20"/>
          <w:lang w:val="fr-CA"/>
        </w:rPr>
        <w:pict>
          <v:rect id="_x0000_i1067" style="width:2in;height:1pt" o:hrpct="0" o:hralign="center" o:hrstd="t" o:hrnoshade="t" o:hr="t" fillcolor="black [3213]" stroked="f"/>
        </w:pict>
      </w:r>
    </w:p>
    <w:p w:rsidR="00915D6A" w:rsidRDefault="00915D6A" w:rsidP="00915D6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B1FB0" w:rsidRPr="00690162" w:rsidTr="00650BC1">
        <w:trPr>
          <w:cantSplit/>
        </w:trPr>
        <w:tc>
          <w:tcPr>
            <w:tcW w:w="1458" w:type="dxa"/>
          </w:tcPr>
          <w:p w:rsidR="006B1FB0" w:rsidRPr="00186B1A" w:rsidRDefault="006B1FB0" w:rsidP="00650BC1">
            <w:pPr>
              <w:rPr>
                <w:sz w:val="20"/>
                <w:szCs w:val="20"/>
              </w:rPr>
            </w:pPr>
            <w:r w:rsidRPr="00186B1A">
              <w:rPr>
                <w:rStyle w:val="SCCFileNumberChar"/>
                <w:sz w:val="20"/>
                <w:szCs w:val="20"/>
              </w:rPr>
              <w:t>36018</w:t>
            </w:r>
          </w:p>
          <w:p w:rsidR="006B1FB0" w:rsidRPr="00186B1A" w:rsidRDefault="006B1FB0" w:rsidP="00650BC1">
            <w:pPr>
              <w:rPr>
                <w:b/>
                <w:sz w:val="20"/>
                <w:szCs w:val="20"/>
                <w:lang w:val="fr-CA"/>
              </w:rPr>
            </w:pPr>
          </w:p>
        </w:tc>
        <w:tc>
          <w:tcPr>
            <w:tcW w:w="8118" w:type="dxa"/>
          </w:tcPr>
          <w:p w:rsidR="006B1FB0" w:rsidRPr="00186B1A" w:rsidRDefault="006B1FB0" w:rsidP="00650BC1">
            <w:pPr>
              <w:jc w:val="both"/>
              <w:rPr>
                <w:sz w:val="20"/>
                <w:szCs w:val="20"/>
                <w:lang w:val="fr-CA"/>
              </w:rPr>
            </w:pPr>
            <w:r w:rsidRPr="00186B1A">
              <w:rPr>
                <w:rStyle w:val="SCCLsocChar"/>
                <w:sz w:val="20"/>
                <w:szCs w:val="20"/>
              </w:rPr>
              <w:t>Éric Bédard c. Procureur Général du Canada représentant les États-Unis d</w:t>
            </w:r>
            <w:r w:rsidR="00B034CF">
              <w:rPr>
                <w:rStyle w:val="SCCLsocChar"/>
                <w:sz w:val="20"/>
                <w:szCs w:val="20"/>
              </w:rPr>
              <w:t>’</w:t>
            </w:r>
            <w:r w:rsidRPr="00186B1A">
              <w:rPr>
                <w:rStyle w:val="SCCLsocChar"/>
                <w:sz w:val="20"/>
                <w:szCs w:val="20"/>
              </w:rPr>
              <w:t>Amérique</w:t>
            </w:r>
            <w:r w:rsidRPr="00186B1A">
              <w:rPr>
                <w:sz w:val="20"/>
                <w:szCs w:val="20"/>
                <w:lang w:val="fr-CA"/>
              </w:rPr>
              <w:t xml:space="preserve"> (Qc) (Criminelle) (Autorisation)</w:t>
            </w:r>
          </w:p>
          <w:p w:rsidR="006B1FB0" w:rsidRPr="00186B1A" w:rsidRDefault="006B1FB0" w:rsidP="00650BC1">
            <w:pPr>
              <w:jc w:val="both"/>
              <w:rPr>
                <w:sz w:val="20"/>
                <w:szCs w:val="20"/>
                <w:lang w:val="fr-CA"/>
              </w:rPr>
            </w:pPr>
          </w:p>
        </w:tc>
      </w:tr>
      <w:tr w:rsidR="006B1FB0" w:rsidRPr="00690162" w:rsidTr="00650BC1">
        <w:trPr>
          <w:cantSplit/>
        </w:trPr>
        <w:tc>
          <w:tcPr>
            <w:tcW w:w="1458" w:type="dxa"/>
          </w:tcPr>
          <w:p w:rsidR="006B1FB0" w:rsidRPr="00186B1A" w:rsidRDefault="006B1FB0" w:rsidP="00650BC1">
            <w:pPr>
              <w:rPr>
                <w:sz w:val="20"/>
                <w:szCs w:val="20"/>
              </w:rPr>
            </w:pPr>
            <w:r w:rsidRPr="00186B1A">
              <w:rPr>
                <w:sz w:val="20"/>
                <w:szCs w:val="20"/>
              </w:rPr>
              <w:t>Coram :</w:t>
            </w:r>
          </w:p>
        </w:tc>
        <w:tc>
          <w:tcPr>
            <w:tcW w:w="8118" w:type="dxa"/>
          </w:tcPr>
          <w:p w:rsidR="006B1FB0" w:rsidRPr="00186B1A" w:rsidRDefault="006B1FB0" w:rsidP="00650BC1">
            <w:pPr>
              <w:rPr>
                <w:sz w:val="20"/>
                <w:szCs w:val="20"/>
                <w:lang w:val="fr-CA"/>
              </w:rPr>
            </w:pPr>
            <w:r w:rsidRPr="00186B1A">
              <w:rPr>
                <w:rStyle w:val="SCCCoramChar"/>
                <w:sz w:val="20"/>
                <w:szCs w:val="20"/>
              </w:rPr>
              <w:t>Les juges LeBel, Karakatsanis et Gascon</w:t>
            </w:r>
          </w:p>
          <w:p w:rsidR="006B1FB0" w:rsidRPr="00186B1A" w:rsidRDefault="006B1FB0" w:rsidP="00650BC1">
            <w:pPr>
              <w:rPr>
                <w:sz w:val="20"/>
                <w:szCs w:val="20"/>
                <w:u w:val="single"/>
                <w:lang w:val="fr-CA"/>
              </w:rPr>
            </w:pPr>
          </w:p>
        </w:tc>
      </w:tr>
      <w:tr w:rsidR="006B1FB0" w:rsidRPr="00186B1A" w:rsidTr="00650BC1">
        <w:trPr>
          <w:cantSplit/>
        </w:trPr>
        <w:tc>
          <w:tcPr>
            <w:tcW w:w="9576" w:type="dxa"/>
            <w:gridSpan w:val="2"/>
          </w:tcPr>
          <w:p w:rsidR="006B1FB0" w:rsidRPr="00186B1A" w:rsidRDefault="006B1FB0" w:rsidP="00650BC1">
            <w:pPr>
              <w:pStyle w:val="SCCShortJudgment"/>
              <w:rPr>
                <w:szCs w:val="20"/>
                <w:lang w:val="fr-CA"/>
              </w:rPr>
            </w:pPr>
            <w:r w:rsidRPr="00186B1A">
              <w:rPr>
                <w:szCs w:val="20"/>
                <w:lang w:val="fr-CA"/>
              </w:rPr>
              <w:t>La demande d’autorisation d’appel de l’arrêt de la Cour d’appel du Québec (Montréal), numéro 500-10-005140-122, 2014 QCCA 1123, daté du 27 mai 2014, est rejetée sans dépens.</w:t>
            </w:r>
          </w:p>
          <w:p w:rsidR="006B1FB0" w:rsidRPr="00186B1A" w:rsidRDefault="006B1FB0" w:rsidP="00650BC1">
            <w:pPr>
              <w:pStyle w:val="SCCShortJudgment"/>
              <w:ind w:firstLine="0"/>
              <w:rPr>
                <w:szCs w:val="20"/>
                <w:lang w:val="fr-CA"/>
              </w:rPr>
            </w:pPr>
          </w:p>
          <w:p w:rsidR="006B1FB0" w:rsidRPr="00186B1A" w:rsidRDefault="006B1FB0" w:rsidP="00650BC1">
            <w:pPr>
              <w:pStyle w:val="SCCShortJudgment"/>
              <w:rPr>
                <w:szCs w:val="20"/>
              </w:rPr>
            </w:pPr>
            <w:r w:rsidRPr="00186B1A">
              <w:rPr>
                <w:szCs w:val="20"/>
              </w:rPr>
              <w:t>The application for leave to appeal from the judgment of the Court of Appeal of Quebec (Montréal), Number 500-10-005140-122, 2014 QCCA 1123, dated May 27, 2014, is dismissed without costs.</w:t>
            </w:r>
          </w:p>
        </w:tc>
      </w:tr>
    </w:tbl>
    <w:p w:rsidR="00915D6A" w:rsidRPr="006B1FB0" w:rsidRDefault="00915D6A" w:rsidP="00915D6A">
      <w:pPr>
        <w:rPr>
          <w:sz w:val="20"/>
          <w:szCs w:val="20"/>
        </w:rPr>
      </w:pPr>
    </w:p>
    <w:p w:rsidR="00915D6A" w:rsidRPr="001B157C" w:rsidRDefault="00915D6A" w:rsidP="00915D6A">
      <w:pPr>
        <w:rPr>
          <w:sz w:val="20"/>
          <w:szCs w:val="20"/>
          <w:u w:val="single"/>
        </w:rPr>
      </w:pPr>
      <w:r w:rsidRPr="001B157C">
        <w:rPr>
          <w:sz w:val="20"/>
          <w:szCs w:val="20"/>
          <w:u w:val="single"/>
        </w:rPr>
        <w:t>CASE SUMMARY</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275A1" w:rsidRPr="00A16F83" w:rsidTr="004275A1">
        <w:tc>
          <w:tcPr>
            <w:tcW w:w="5000" w:type="pct"/>
            <w:gridSpan w:val="3"/>
          </w:tcPr>
          <w:p w:rsidR="004275A1" w:rsidRPr="00A16F83" w:rsidRDefault="004275A1" w:rsidP="004275A1">
            <w:pPr>
              <w:jc w:val="both"/>
              <w:rPr>
                <w:rFonts w:eastAsia="Calibri"/>
                <w:sz w:val="20"/>
              </w:rPr>
            </w:pPr>
            <w:r w:rsidRPr="00A16F83">
              <w:rPr>
                <w:rFonts w:eastAsia="Calibri"/>
                <w:sz w:val="20"/>
              </w:rPr>
              <w:t xml:space="preserve">Charter of rights — Extradition — Amended surrender order — Delay before surrender — Judicial review of Minister’s decision — Whether applicant’s actual and immediate surrender, with no possibility of having decision reviewed by courts, took place in violation of his fundamental rights — Whether it was unlawful for Minister to make surrender order when period for applicant to apply to Supreme Court of Canada for leave to appeal had not yet expired — </w:t>
            </w:r>
            <w:r w:rsidRPr="00A16F83">
              <w:rPr>
                <w:rFonts w:eastAsia="Calibri"/>
                <w:i/>
                <w:sz w:val="20"/>
              </w:rPr>
              <w:t>Extradition Act</w:t>
            </w:r>
            <w:r w:rsidRPr="00A16F83">
              <w:rPr>
                <w:rFonts w:eastAsia="Calibri"/>
                <w:sz w:val="20"/>
              </w:rPr>
              <w:t>, S.C. 1999, c. 18, ss. 62 and 64.</w:t>
            </w:r>
          </w:p>
        </w:tc>
      </w:tr>
      <w:tr w:rsidR="004275A1" w:rsidRPr="00A16F83" w:rsidTr="004275A1">
        <w:tc>
          <w:tcPr>
            <w:tcW w:w="5000" w:type="pct"/>
            <w:gridSpan w:val="3"/>
          </w:tcPr>
          <w:p w:rsidR="004275A1" w:rsidRPr="00A16F83" w:rsidRDefault="004275A1" w:rsidP="004275A1">
            <w:pPr>
              <w:jc w:val="both"/>
              <w:rPr>
                <w:rFonts w:eastAsia="Calibri"/>
                <w:sz w:val="20"/>
              </w:rPr>
            </w:pPr>
          </w:p>
        </w:tc>
      </w:tr>
      <w:tr w:rsidR="004275A1" w:rsidRPr="00A16F83" w:rsidTr="004275A1">
        <w:tc>
          <w:tcPr>
            <w:tcW w:w="5000" w:type="pct"/>
            <w:gridSpan w:val="3"/>
          </w:tcPr>
          <w:p w:rsidR="004275A1" w:rsidRPr="00A16F83" w:rsidRDefault="004275A1" w:rsidP="004275A1">
            <w:pPr>
              <w:jc w:val="both"/>
              <w:rPr>
                <w:rFonts w:eastAsia="Calibri"/>
                <w:sz w:val="20"/>
              </w:rPr>
            </w:pPr>
            <w:r w:rsidRPr="00A16F83">
              <w:rPr>
                <w:rFonts w:eastAsia="Calibri"/>
                <w:sz w:val="20"/>
              </w:rPr>
              <w:t xml:space="preserve">In July 2009, the United States requested Mr. Bédard’s extradition for prosecution on charges of conspiracy to traffic in a large quantity of marijuana and ecstasy.  In December 2010, the Minister of Justice of Canada responded by signing an order to surrender Mr. Bédard.  Mr. Bédard applied to the Court of Appeal for a review of that decision.  Before his application for judicial review was heard, and while he was subject to release conditions, he was arrested for impaired driving causing bodily harm.  In January 2012, the Court of Appeal dismissed the application for judicial review.  On March 8, 2012, the Minister of Justice amended the surrender order against Mr. Bédard to order his immediate surrender notwithstanding the pending charges for impaired driving causing bodily harm, as permitted by s. 64 of the </w:t>
            </w:r>
            <w:r w:rsidRPr="00A16F83">
              <w:rPr>
                <w:rFonts w:eastAsia="Calibri"/>
                <w:i/>
                <w:sz w:val="20"/>
              </w:rPr>
              <w:t>Extradition Act</w:t>
            </w:r>
            <w:r w:rsidRPr="00A16F83">
              <w:rPr>
                <w:rFonts w:eastAsia="Calibri"/>
                <w:sz w:val="20"/>
              </w:rPr>
              <w:t xml:space="preserve">.  The next day, Mr. Bédard was surrendered to the American authorities.  In late March 2012, Mr. Bédard applied for leave to appeal the decision of the Court of Appeal dismissing his application for judicial review.  In June 2012, the Court dismissed the application.  This application for leave to appeal concerns a decision of the Court of Appeal dated May 27, 2014, dismissing a second application filed by Mr. Bédard seeking judicial review of the amended surrender order and damages under s. 24(1) of the </w:t>
            </w:r>
            <w:r w:rsidRPr="00A16F83">
              <w:rPr>
                <w:rFonts w:eastAsia="Calibri"/>
                <w:i/>
                <w:sz w:val="20"/>
              </w:rPr>
              <w:t>Charter</w:t>
            </w:r>
            <w:r w:rsidRPr="00A16F83">
              <w:rPr>
                <w:rFonts w:eastAsia="Calibri"/>
                <w:sz w:val="20"/>
              </w:rPr>
              <w:t>.  Mr. Bédard is currently serving a four</w:t>
            </w:r>
            <w:r w:rsidRPr="00A16F83">
              <w:rPr>
                <w:rFonts w:eastAsia="Calibri"/>
                <w:sz w:val="20"/>
              </w:rPr>
              <w:noBreakHyphen/>
              <w:t>year prison sentence in the United States after pleading guilty on September 28, 2012 to charges on which his extradition was based.</w:t>
            </w:r>
          </w:p>
          <w:p w:rsidR="004275A1" w:rsidRPr="00A16F83" w:rsidRDefault="004275A1" w:rsidP="004275A1">
            <w:pPr>
              <w:jc w:val="both"/>
              <w:rPr>
                <w:rFonts w:eastAsia="Calibri"/>
                <w:sz w:val="20"/>
              </w:rPr>
            </w:pPr>
          </w:p>
        </w:tc>
      </w:tr>
      <w:tr w:rsidR="004275A1" w:rsidRPr="00A16F83" w:rsidTr="006B1FB0">
        <w:trPr>
          <w:cantSplit/>
        </w:trPr>
        <w:tc>
          <w:tcPr>
            <w:tcW w:w="2427" w:type="pct"/>
          </w:tcPr>
          <w:p w:rsidR="004275A1" w:rsidRPr="00A16F83" w:rsidRDefault="004275A1" w:rsidP="004275A1">
            <w:pPr>
              <w:jc w:val="both"/>
              <w:rPr>
                <w:rFonts w:eastAsia="Calibri"/>
                <w:sz w:val="20"/>
              </w:rPr>
            </w:pPr>
            <w:r w:rsidRPr="00A16F83">
              <w:rPr>
                <w:rFonts w:eastAsia="Calibri"/>
                <w:sz w:val="20"/>
              </w:rPr>
              <w:lastRenderedPageBreak/>
              <w:t>March 8, 2012</w:t>
            </w:r>
          </w:p>
          <w:p w:rsidR="004275A1" w:rsidRPr="00A16F83" w:rsidRDefault="004275A1" w:rsidP="004275A1">
            <w:pPr>
              <w:jc w:val="both"/>
              <w:rPr>
                <w:rFonts w:eastAsia="Calibri"/>
                <w:sz w:val="20"/>
              </w:rPr>
            </w:pPr>
            <w:r w:rsidRPr="00A16F83">
              <w:rPr>
                <w:rFonts w:eastAsia="Calibri"/>
                <w:sz w:val="20"/>
              </w:rPr>
              <w:t>The Honourable Rob Nicholson, Minister of Justice and Attorney General of Canada</w:t>
            </w:r>
          </w:p>
        </w:tc>
        <w:tc>
          <w:tcPr>
            <w:tcW w:w="243" w:type="pct"/>
          </w:tcPr>
          <w:p w:rsidR="004275A1" w:rsidRPr="00A16F83" w:rsidRDefault="004275A1" w:rsidP="004275A1">
            <w:pPr>
              <w:jc w:val="both"/>
              <w:rPr>
                <w:rFonts w:eastAsia="Calibri"/>
                <w:sz w:val="20"/>
              </w:rPr>
            </w:pPr>
          </w:p>
        </w:tc>
        <w:tc>
          <w:tcPr>
            <w:tcW w:w="2330" w:type="pct"/>
          </w:tcPr>
          <w:p w:rsidR="004275A1" w:rsidRPr="00A16F83" w:rsidRDefault="004275A1" w:rsidP="004275A1">
            <w:pPr>
              <w:jc w:val="both"/>
              <w:rPr>
                <w:rFonts w:eastAsia="Calibri"/>
                <w:sz w:val="20"/>
              </w:rPr>
            </w:pPr>
            <w:r w:rsidRPr="00A16F83">
              <w:rPr>
                <w:rFonts w:eastAsia="Calibri"/>
                <w:sz w:val="20"/>
              </w:rPr>
              <w:t>Order to surrender applicant to United States amended; surrender permitted notwithstanding charges pending in Court of Québec (</w:t>
            </w:r>
            <w:r w:rsidRPr="00A16F83">
              <w:rPr>
                <w:rFonts w:eastAsia="Calibri"/>
                <w:i/>
                <w:sz w:val="20"/>
              </w:rPr>
              <w:t>Extradition Act</w:t>
            </w:r>
            <w:r w:rsidRPr="00A16F83">
              <w:rPr>
                <w:rFonts w:eastAsia="Calibri"/>
                <w:sz w:val="20"/>
              </w:rPr>
              <w:t>, S.C. 1999, c. 18, s. 64)</w:t>
            </w:r>
          </w:p>
          <w:p w:rsidR="004275A1" w:rsidRPr="00A16F83" w:rsidRDefault="004275A1" w:rsidP="004275A1">
            <w:pPr>
              <w:jc w:val="both"/>
              <w:rPr>
                <w:rFonts w:eastAsia="Calibri"/>
                <w:sz w:val="20"/>
              </w:rPr>
            </w:pPr>
          </w:p>
        </w:tc>
      </w:tr>
      <w:tr w:rsidR="004275A1" w:rsidRPr="00A16F83" w:rsidTr="006B1FB0">
        <w:trPr>
          <w:cantSplit/>
        </w:trPr>
        <w:tc>
          <w:tcPr>
            <w:tcW w:w="2427" w:type="pct"/>
          </w:tcPr>
          <w:p w:rsidR="004275A1" w:rsidRPr="00A16F83" w:rsidRDefault="004275A1" w:rsidP="004275A1">
            <w:pPr>
              <w:jc w:val="both"/>
              <w:rPr>
                <w:rFonts w:eastAsia="Calibri"/>
                <w:sz w:val="20"/>
              </w:rPr>
            </w:pPr>
            <w:r w:rsidRPr="00A16F83">
              <w:rPr>
                <w:rFonts w:eastAsia="Calibri"/>
                <w:sz w:val="20"/>
              </w:rPr>
              <w:t>May 27, 2014</w:t>
            </w:r>
          </w:p>
          <w:p w:rsidR="004275A1" w:rsidRPr="00A16F83" w:rsidRDefault="004275A1" w:rsidP="004275A1">
            <w:pPr>
              <w:jc w:val="both"/>
              <w:rPr>
                <w:rFonts w:eastAsia="Calibri"/>
                <w:sz w:val="20"/>
              </w:rPr>
            </w:pPr>
            <w:r w:rsidRPr="00A16F83">
              <w:rPr>
                <w:rFonts w:eastAsia="Calibri"/>
                <w:sz w:val="20"/>
              </w:rPr>
              <w:t>Quebec Court of Appeal (Montréal)</w:t>
            </w:r>
          </w:p>
          <w:p w:rsidR="004275A1" w:rsidRPr="00A16F83" w:rsidRDefault="004275A1" w:rsidP="004275A1">
            <w:pPr>
              <w:jc w:val="both"/>
              <w:rPr>
                <w:rFonts w:eastAsia="Calibri"/>
                <w:sz w:val="20"/>
              </w:rPr>
            </w:pPr>
            <w:r w:rsidRPr="00A16F83">
              <w:rPr>
                <w:rFonts w:eastAsia="Calibri"/>
                <w:sz w:val="20"/>
              </w:rPr>
              <w:t>(Dalphond, Bouchard and Vauclair JJ.A.)</w:t>
            </w:r>
          </w:p>
          <w:p w:rsidR="004275A1" w:rsidRPr="00A16F83" w:rsidRDefault="00690162" w:rsidP="004275A1">
            <w:pPr>
              <w:jc w:val="both"/>
              <w:rPr>
                <w:rFonts w:eastAsia="Calibri"/>
                <w:sz w:val="20"/>
              </w:rPr>
            </w:pPr>
            <w:hyperlink r:id="rId67" w:history="1">
              <w:r w:rsidR="004275A1" w:rsidRPr="00A16F83">
                <w:rPr>
                  <w:rFonts w:eastAsia="Calibri"/>
                  <w:color w:val="0000FF"/>
                  <w:sz w:val="20"/>
                  <w:u w:val="single"/>
                </w:rPr>
                <w:t>2014 QCCA 1123</w:t>
              </w:r>
            </w:hyperlink>
          </w:p>
          <w:p w:rsidR="004275A1" w:rsidRPr="00A16F83" w:rsidRDefault="004275A1" w:rsidP="004275A1">
            <w:pPr>
              <w:jc w:val="both"/>
              <w:rPr>
                <w:rFonts w:eastAsia="Calibri"/>
                <w:sz w:val="20"/>
              </w:rPr>
            </w:pPr>
          </w:p>
        </w:tc>
        <w:tc>
          <w:tcPr>
            <w:tcW w:w="243" w:type="pct"/>
          </w:tcPr>
          <w:p w:rsidR="004275A1" w:rsidRPr="00A16F83" w:rsidRDefault="004275A1" w:rsidP="004275A1">
            <w:pPr>
              <w:jc w:val="both"/>
              <w:rPr>
                <w:rFonts w:eastAsia="Calibri"/>
                <w:sz w:val="20"/>
              </w:rPr>
            </w:pPr>
          </w:p>
        </w:tc>
        <w:tc>
          <w:tcPr>
            <w:tcW w:w="2330" w:type="pct"/>
          </w:tcPr>
          <w:p w:rsidR="004275A1" w:rsidRPr="00A16F83" w:rsidRDefault="004275A1" w:rsidP="004275A1">
            <w:pPr>
              <w:jc w:val="both"/>
              <w:rPr>
                <w:rFonts w:eastAsia="Calibri"/>
                <w:sz w:val="20"/>
              </w:rPr>
            </w:pPr>
            <w:r w:rsidRPr="00A16F83">
              <w:rPr>
                <w:rFonts w:eastAsia="Calibri"/>
                <w:sz w:val="20"/>
              </w:rPr>
              <w:t>Application for judicial review dismissed</w:t>
            </w:r>
          </w:p>
        </w:tc>
      </w:tr>
      <w:tr w:rsidR="004275A1" w:rsidRPr="00A16F83" w:rsidTr="006B1FB0">
        <w:trPr>
          <w:cantSplit/>
        </w:trPr>
        <w:tc>
          <w:tcPr>
            <w:tcW w:w="2427" w:type="pct"/>
          </w:tcPr>
          <w:p w:rsidR="004275A1" w:rsidRPr="00A16F83" w:rsidRDefault="004275A1" w:rsidP="004275A1">
            <w:pPr>
              <w:jc w:val="both"/>
              <w:rPr>
                <w:rFonts w:eastAsia="Calibri"/>
                <w:sz w:val="20"/>
              </w:rPr>
            </w:pPr>
            <w:r w:rsidRPr="00A16F83">
              <w:rPr>
                <w:rFonts w:eastAsia="Calibri"/>
                <w:sz w:val="20"/>
              </w:rPr>
              <w:t>August 22, 2014</w:t>
            </w:r>
          </w:p>
          <w:p w:rsidR="004275A1" w:rsidRPr="00A16F83" w:rsidRDefault="004275A1" w:rsidP="004275A1">
            <w:pPr>
              <w:jc w:val="both"/>
              <w:rPr>
                <w:rFonts w:eastAsia="Calibri"/>
                <w:sz w:val="20"/>
              </w:rPr>
            </w:pPr>
            <w:r w:rsidRPr="00A16F83">
              <w:rPr>
                <w:rFonts w:eastAsia="Calibri"/>
                <w:sz w:val="20"/>
              </w:rPr>
              <w:t>Supreme Court of Canada</w:t>
            </w:r>
          </w:p>
        </w:tc>
        <w:tc>
          <w:tcPr>
            <w:tcW w:w="243" w:type="pct"/>
          </w:tcPr>
          <w:p w:rsidR="004275A1" w:rsidRPr="00A16F83" w:rsidRDefault="004275A1" w:rsidP="004275A1">
            <w:pPr>
              <w:jc w:val="both"/>
              <w:rPr>
                <w:rFonts w:eastAsia="Calibri"/>
                <w:sz w:val="20"/>
              </w:rPr>
            </w:pPr>
          </w:p>
        </w:tc>
        <w:tc>
          <w:tcPr>
            <w:tcW w:w="2330" w:type="pct"/>
          </w:tcPr>
          <w:p w:rsidR="004275A1" w:rsidRPr="00A16F83" w:rsidRDefault="004275A1" w:rsidP="004275A1">
            <w:pPr>
              <w:jc w:val="both"/>
              <w:rPr>
                <w:rFonts w:eastAsia="Calibri"/>
                <w:sz w:val="20"/>
              </w:rPr>
            </w:pPr>
            <w:r w:rsidRPr="00A16F83">
              <w:rPr>
                <w:rFonts w:eastAsia="Calibri"/>
                <w:sz w:val="20"/>
              </w:rPr>
              <w:t>Application for leave to appeal filed</w:t>
            </w:r>
          </w:p>
        </w:tc>
      </w:tr>
    </w:tbl>
    <w:p w:rsidR="00915D6A" w:rsidRDefault="00915D6A" w:rsidP="00915D6A">
      <w:pPr>
        <w:rPr>
          <w:sz w:val="20"/>
          <w:szCs w:val="20"/>
        </w:rPr>
      </w:pPr>
    </w:p>
    <w:p w:rsidR="00915D6A" w:rsidRPr="00C50A5C" w:rsidRDefault="00690162" w:rsidP="00915D6A">
      <w:pPr>
        <w:rPr>
          <w:sz w:val="20"/>
          <w:szCs w:val="20"/>
        </w:rPr>
      </w:pPr>
      <w:r>
        <w:rPr>
          <w:sz w:val="20"/>
          <w:szCs w:val="20"/>
          <w:lang w:val="fr-CA"/>
        </w:rPr>
        <w:pict>
          <v:rect id="_x0000_i1068" style="width:2in;height:1pt" o:hrpct="0" o:hralign="center" o:hrstd="t" o:hrnoshade="t" o:hr="t" fillcolor="black [3213]" stroked="f"/>
        </w:pict>
      </w:r>
    </w:p>
    <w:p w:rsidR="00915D6A" w:rsidRDefault="00915D6A" w:rsidP="00915D6A">
      <w:pPr>
        <w:rPr>
          <w:sz w:val="20"/>
          <w:szCs w:val="20"/>
        </w:rPr>
      </w:pPr>
    </w:p>
    <w:p w:rsidR="00915D6A" w:rsidRPr="001B157C" w:rsidRDefault="00915D6A" w:rsidP="00915D6A">
      <w:pPr>
        <w:rPr>
          <w:sz w:val="20"/>
          <w:szCs w:val="20"/>
          <w:u w:val="single"/>
          <w:lang w:val="fr-CA"/>
        </w:rPr>
      </w:pPr>
      <w:r w:rsidRPr="001B157C">
        <w:rPr>
          <w:sz w:val="20"/>
          <w:szCs w:val="20"/>
          <w:u w:val="single"/>
          <w:lang w:val="fr-CA"/>
        </w:rPr>
        <w:t>RÉSUMÉ DE L’AFFAIRE</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275A1" w:rsidRPr="00690162" w:rsidTr="004275A1">
        <w:tc>
          <w:tcPr>
            <w:tcW w:w="5000" w:type="pct"/>
            <w:gridSpan w:val="3"/>
          </w:tcPr>
          <w:p w:rsidR="004275A1" w:rsidRPr="00A16F83" w:rsidRDefault="004275A1" w:rsidP="004275A1">
            <w:pPr>
              <w:jc w:val="both"/>
              <w:rPr>
                <w:rFonts w:eastAsia="Calibri"/>
                <w:sz w:val="20"/>
                <w:lang w:val="fr-CA"/>
              </w:rPr>
            </w:pPr>
            <w:r w:rsidRPr="00A16F83">
              <w:rPr>
                <w:rFonts w:eastAsia="Calibri"/>
                <w:i/>
                <w:sz w:val="20"/>
                <w:lang w:val="fr-CA"/>
              </w:rPr>
              <w:t>Charte des droits</w:t>
            </w:r>
            <w:r w:rsidRPr="00A16F83">
              <w:rPr>
                <w:rFonts w:eastAsia="Calibri"/>
                <w:sz w:val="20"/>
                <w:lang w:val="fr-CA"/>
              </w:rPr>
              <w:t xml:space="preserve"> — Extradition — Arrêté d’extradition modifié — Délai préalable à la remise — Révision judiciaire de la décision du ministre — L’extradition effective et immédiate du demandeur, sans aucune possibilité de faire contrôler par les tribunaux cette décision, a-t-elle été effectuée en violation des droits fondamentaux du demandeur? — La prise d’un arrêté d’extradition par le ministre, alors que le délai permettant au demandeur de présenter une demande d’autorisation d’appel à la Cour suprême du Canada n’est pas encore expiré, est-elle illégale? — </w:t>
            </w:r>
            <w:r w:rsidRPr="00A16F83">
              <w:rPr>
                <w:rFonts w:eastAsia="Calibri"/>
                <w:i/>
                <w:sz w:val="20"/>
                <w:lang w:val="fr-CA"/>
              </w:rPr>
              <w:t>Loi sur l’extradition</w:t>
            </w:r>
            <w:r w:rsidRPr="00A16F83">
              <w:rPr>
                <w:rFonts w:eastAsia="Calibri"/>
                <w:sz w:val="20"/>
                <w:lang w:val="fr-CA"/>
              </w:rPr>
              <w:t>, L.C. 1999, ch. 18, art. 62 et 64.</w:t>
            </w:r>
          </w:p>
        </w:tc>
      </w:tr>
      <w:tr w:rsidR="004275A1" w:rsidRPr="00690162" w:rsidTr="004275A1">
        <w:tc>
          <w:tcPr>
            <w:tcW w:w="5000" w:type="pct"/>
            <w:gridSpan w:val="3"/>
          </w:tcPr>
          <w:p w:rsidR="004275A1" w:rsidRPr="00A16F83" w:rsidRDefault="004275A1" w:rsidP="004275A1">
            <w:pPr>
              <w:jc w:val="both"/>
              <w:rPr>
                <w:rFonts w:eastAsia="Calibri"/>
                <w:sz w:val="20"/>
                <w:lang w:val="fr-CA"/>
              </w:rPr>
            </w:pPr>
          </w:p>
        </w:tc>
      </w:tr>
      <w:tr w:rsidR="004275A1" w:rsidRPr="00690162" w:rsidTr="004275A1">
        <w:tc>
          <w:tcPr>
            <w:tcW w:w="5000" w:type="pct"/>
            <w:gridSpan w:val="3"/>
          </w:tcPr>
          <w:p w:rsidR="004275A1" w:rsidRPr="00A16F83" w:rsidRDefault="004275A1" w:rsidP="004275A1">
            <w:pPr>
              <w:jc w:val="both"/>
              <w:rPr>
                <w:rFonts w:eastAsia="Calibri"/>
                <w:sz w:val="20"/>
                <w:lang w:val="fr-CA"/>
              </w:rPr>
            </w:pPr>
            <w:r w:rsidRPr="00A16F83">
              <w:rPr>
                <w:rFonts w:eastAsia="Calibri"/>
                <w:sz w:val="20"/>
                <w:lang w:val="fr-CA"/>
              </w:rPr>
              <w:t xml:space="preserve">En juillet 2009, les États-Unis ont demandé l’extradition de M. Bédard afin qu’il subisse son procès quant à des accusations de complot pour trafic d’une quantité importante de marihuana et d’ecstasy.  En réponse, le ministre de la Justice du Canada a signé en décembre 2010 un arrêté d’extradition visant M. Bédard.  Monsieur Bédard s’est pourvu en révision de cette décision devant la Cour d’appel.  Or, avant l’audition de sa demande de révision judiciaire et alors qu’il était visé par des conditions de remise en liberté, M. Bédard a été arrêté pour conduite avec facultés affaiblies causant des lésions corporelles.  En janvier 2012, la Cour d’appel a rejeté la demande de révision judiciaire.  Le 8 mars 2012, le ministre de la Justice a modifié l’arrêté d’extradition visant M. Bédard pour ordonner son extradition immédiate, nonobstant les accusations pendantes contre lui pour conduite avec facultés affaiblies causant des lésions corporelles, ce que permet l’art. 64 de la </w:t>
            </w:r>
            <w:r w:rsidRPr="00A16F83">
              <w:rPr>
                <w:rFonts w:eastAsia="Calibri"/>
                <w:i/>
                <w:sz w:val="20"/>
                <w:lang w:val="fr-CA"/>
              </w:rPr>
              <w:t>Loi sur l’extradition</w:t>
            </w:r>
            <w:r w:rsidRPr="00A16F83">
              <w:rPr>
                <w:rFonts w:eastAsia="Calibri"/>
                <w:sz w:val="20"/>
                <w:lang w:val="fr-CA"/>
              </w:rPr>
              <w:t xml:space="preserve">.  Le jour suivant, M. Bédard a été remis aux autorités américaines.  En fin mars 2012, M. Bédard a demandé l’autorisation d’appeler de la décision de la Cour d’appel rejetant sa demande de révision judiciaire.  La Cour a rejeté la demande en juin 2012.  La présente demande d’autorisation d’appel vise une décision de la Cour d’appel datée du 27 mai 2014 qui a rejeté une deuxième demande de révision judiciaire déposée par M. Bédard.  Il demandait la révision judiciaire de l’arrêté d’extradition modifié ainsi que des dommages-intérêts en vertu de l’art. 24(1) de la </w:t>
            </w:r>
            <w:r w:rsidRPr="00A16F83">
              <w:rPr>
                <w:rFonts w:eastAsia="Calibri"/>
                <w:i/>
                <w:sz w:val="20"/>
                <w:lang w:val="fr-CA"/>
              </w:rPr>
              <w:t>Charte</w:t>
            </w:r>
            <w:r w:rsidRPr="00A16F83">
              <w:rPr>
                <w:rFonts w:eastAsia="Calibri"/>
                <w:sz w:val="20"/>
                <w:lang w:val="fr-CA"/>
              </w:rPr>
              <w:t>.  Monsieur Bédard purge actuellement une peine de quatre ans d’emprisonnement aux États-Unis, qui fait suite à son plaidoyer de culpabilité du 28 septembre 2012 à des infractions à la base de son extradition.</w:t>
            </w:r>
          </w:p>
          <w:p w:rsidR="004275A1" w:rsidRPr="00A16F83" w:rsidRDefault="004275A1" w:rsidP="004275A1">
            <w:pPr>
              <w:jc w:val="both"/>
              <w:rPr>
                <w:rFonts w:eastAsia="Calibri"/>
                <w:sz w:val="20"/>
                <w:lang w:val="fr-CA"/>
              </w:rPr>
            </w:pPr>
          </w:p>
        </w:tc>
      </w:tr>
      <w:tr w:rsidR="004275A1" w:rsidRPr="00690162" w:rsidTr="004275A1">
        <w:tc>
          <w:tcPr>
            <w:tcW w:w="2427" w:type="pct"/>
          </w:tcPr>
          <w:p w:rsidR="004275A1" w:rsidRPr="00A16F83" w:rsidRDefault="004275A1" w:rsidP="004275A1">
            <w:pPr>
              <w:jc w:val="both"/>
              <w:rPr>
                <w:rFonts w:eastAsia="Calibri"/>
                <w:sz w:val="20"/>
                <w:lang w:val="fr-CA"/>
              </w:rPr>
            </w:pPr>
            <w:r w:rsidRPr="00A16F83">
              <w:rPr>
                <w:rFonts w:eastAsia="Calibri"/>
                <w:sz w:val="20"/>
                <w:lang w:val="fr-CA"/>
              </w:rPr>
              <w:t>Le 8 mars 2012</w:t>
            </w:r>
          </w:p>
          <w:p w:rsidR="004275A1" w:rsidRPr="00A16F83" w:rsidRDefault="004275A1" w:rsidP="004275A1">
            <w:pPr>
              <w:jc w:val="both"/>
              <w:rPr>
                <w:rFonts w:eastAsia="Calibri"/>
                <w:sz w:val="20"/>
                <w:lang w:val="fr-CA"/>
              </w:rPr>
            </w:pPr>
            <w:r w:rsidRPr="00A16F83">
              <w:rPr>
                <w:rFonts w:eastAsia="Calibri"/>
                <w:sz w:val="20"/>
                <w:lang w:val="fr-CA"/>
              </w:rPr>
              <w:t xml:space="preserve">L’honorable Rob Nicholson, ministre de la </w:t>
            </w:r>
          </w:p>
          <w:p w:rsidR="004275A1" w:rsidRPr="00A16F83" w:rsidRDefault="004275A1" w:rsidP="004275A1">
            <w:pPr>
              <w:jc w:val="both"/>
              <w:rPr>
                <w:rFonts w:eastAsia="Calibri"/>
                <w:sz w:val="20"/>
                <w:lang w:val="fr-CA"/>
              </w:rPr>
            </w:pPr>
            <w:r w:rsidRPr="00A16F83">
              <w:rPr>
                <w:rFonts w:eastAsia="Calibri"/>
                <w:sz w:val="20"/>
                <w:lang w:val="fr-CA"/>
              </w:rPr>
              <w:t>Justice et procureur général du Canada</w:t>
            </w:r>
          </w:p>
        </w:tc>
        <w:tc>
          <w:tcPr>
            <w:tcW w:w="243" w:type="pct"/>
          </w:tcPr>
          <w:p w:rsidR="004275A1" w:rsidRPr="00A16F83" w:rsidRDefault="004275A1" w:rsidP="004275A1">
            <w:pPr>
              <w:jc w:val="both"/>
              <w:rPr>
                <w:rFonts w:eastAsia="Calibri"/>
                <w:sz w:val="20"/>
                <w:lang w:val="fr-CA"/>
              </w:rPr>
            </w:pPr>
          </w:p>
        </w:tc>
        <w:tc>
          <w:tcPr>
            <w:tcW w:w="2330" w:type="pct"/>
          </w:tcPr>
          <w:p w:rsidR="004275A1" w:rsidRPr="00A16F83" w:rsidRDefault="004275A1" w:rsidP="004275A1">
            <w:pPr>
              <w:jc w:val="both"/>
              <w:rPr>
                <w:rFonts w:eastAsia="Calibri"/>
                <w:sz w:val="20"/>
                <w:lang w:val="fr-CA"/>
              </w:rPr>
            </w:pPr>
            <w:r w:rsidRPr="00A16F83">
              <w:rPr>
                <w:rFonts w:eastAsia="Calibri"/>
                <w:sz w:val="20"/>
                <w:lang w:val="fr-CA"/>
              </w:rPr>
              <w:t>Arrêté d’extradition du demandeur vers les États-Unis modifié; extradition permise nonobstant accusations pendantes en Cour du Québec (</w:t>
            </w:r>
            <w:r w:rsidRPr="00A16F83">
              <w:rPr>
                <w:rFonts w:eastAsia="Calibri"/>
                <w:i/>
                <w:sz w:val="20"/>
                <w:lang w:val="fr-CA"/>
              </w:rPr>
              <w:t>Loi sur l’extradition</w:t>
            </w:r>
            <w:r w:rsidRPr="00A16F83">
              <w:rPr>
                <w:rFonts w:eastAsia="Calibri"/>
                <w:sz w:val="20"/>
                <w:lang w:val="fr-CA"/>
              </w:rPr>
              <w:t>, L.C. 1999, ch. 18, art. 64)</w:t>
            </w:r>
          </w:p>
          <w:p w:rsidR="004275A1" w:rsidRPr="00A16F83" w:rsidRDefault="004275A1" w:rsidP="004275A1">
            <w:pPr>
              <w:jc w:val="both"/>
              <w:rPr>
                <w:rFonts w:eastAsia="Calibri"/>
                <w:sz w:val="20"/>
                <w:lang w:val="fr-CA"/>
              </w:rPr>
            </w:pPr>
          </w:p>
        </w:tc>
      </w:tr>
      <w:tr w:rsidR="004275A1" w:rsidRPr="00690162" w:rsidTr="004275A1">
        <w:tc>
          <w:tcPr>
            <w:tcW w:w="2427" w:type="pct"/>
          </w:tcPr>
          <w:p w:rsidR="004275A1" w:rsidRPr="00A16F83" w:rsidRDefault="004275A1" w:rsidP="004275A1">
            <w:pPr>
              <w:jc w:val="both"/>
              <w:rPr>
                <w:rFonts w:eastAsia="Calibri"/>
                <w:sz w:val="20"/>
                <w:lang w:val="fr-CA"/>
              </w:rPr>
            </w:pPr>
            <w:r w:rsidRPr="00A16F83">
              <w:rPr>
                <w:rFonts w:eastAsia="Calibri"/>
                <w:sz w:val="20"/>
                <w:lang w:val="fr-CA"/>
              </w:rPr>
              <w:t>Le 27 mai 2014</w:t>
            </w:r>
          </w:p>
          <w:p w:rsidR="004275A1" w:rsidRPr="00A16F83" w:rsidRDefault="004275A1" w:rsidP="004275A1">
            <w:pPr>
              <w:jc w:val="both"/>
              <w:rPr>
                <w:rFonts w:eastAsia="Calibri"/>
                <w:sz w:val="20"/>
                <w:lang w:val="fr-CA"/>
              </w:rPr>
            </w:pPr>
            <w:r w:rsidRPr="00A16F83">
              <w:rPr>
                <w:rFonts w:eastAsia="Calibri"/>
                <w:sz w:val="20"/>
                <w:lang w:val="fr-CA"/>
              </w:rPr>
              <w:t>Cour d’appel du Québec (Montréal)</w:t>
            </w:r>
          </w:p>
          <w:p w:rsidR="004275A1" w:rsidRPr="00A16F83" w:rsidRDefault="004275A1" w:rsidP="004275A1">
            <w:pPr>
              <w:jc w:val="both"/>
              <w:rPr>
                <w:rFonts w:eastAsia="Calibri"/>
                <w:sz w:val="20"/>
                <w:lang w:val="fr-CA"/>
              </w:rPr>
            </w:pPr>
            <w:r w:rsidRPr="00A16F83">
              <w:rPr>
                <w:rFonts w:eastAsia="Calibri"/>
                <w:sz w:val="20"/>
                <w:lang w:val="fr-CA"/>
              </w:rPr>
              <w:t>(Les juges Dalphond, Bouchard et Vauclair)</w:t>
            </w:r>
          </w:p>
          <w:p w:rsidR="004275A1" w:rsidRPr="00A16F83" w:rsidRDefault="00690162" w:rsidP="004275A1">
            <w:pPr>
              <w:jc w:val="both"/>
              <w:rPr>
                <w:rFonts w:eastAsia="Calibri"/>
                <w:sz w:val="20"/>
                <w:lang w:val="fr-CA"/>
              </w:rPr>
            </w:pPr>
            <w:hyperlink r:id="rId68" w:history="1">
              <w:r w:rsidR="004275A1" w:rsidRPr="00A16F83">
                <w:rPr>
                  <w:rFonts w:eastAsia="Calibri"/>
                  <w:color w:val="0000FF"/>
                  <w:sz w:val="20"/>
                  <w:u w:val="single"/>
                  <w:lang w:val="fr-CA"/>
                </w:rPr>
                <w:t>2014 QCCA 1123</w:t>
              </w:r>
            </w:hyperlink>
          </w:p>
          <w:p w:rsidR="004275A1" w:rsidRPr="00A16F83" w:rsidRDefault="004275A1" w:rsidP="004275A1">
            <w:pPr>
              <w:jc w:val="both"/>
              <w:rPr>
                <w:rFonts w:eastAsia="Calibri"/>
                <w:sz w:val="20"/>
                <w:lang w:val="fr-CA"/>
              </w:rPr>
            </w:pPr>
          </w:p>
        </w:tc>
        <w:tc>
          <w:tcPr>
            <w:tcW w:w="243" w:type="pct"/>
          </w:tcPr>
          <w:p w:rsidR="004275A1" w:rsidRPr="00A16F83" w:rsidRDefault="004275A1" w:rsidP="004275A1">
            <w:pPr>
              <w:jc w:val="both"/>
              <w:rPr>
                <w:rFonts w:eastAsia="Calibri"/>
                <w:sz w:val="20"/>
                <w:lang w:val="fr-CA"/>
              </w:rPr>
            </w:pPr>
          </w:p>
        </w:tc>
        <w:tc>
          <w:tcPr>
            <w:tcW w:w="2330" w:type="pct"/>
          </w:tcPr>
          <w:p w:rsidR="004275A1" w:rsidRPr="00A16F83" w:rsidRDefault="004275A1" w:rsidP="004275A1">
            <w:pPr>
              <w:jc w:val="both"/>
              <w:rPr>
                <w:rFonts w:eastAsia="Calibri"/>
                <w:sz w:val="20"/>
                <w:lang w:val="fr-CA"/>
              </w:rPr>
            </w:pPr>
            <w:r w:rsidRPr="00A16F83">
              <w:rPr>
                <w:rFonts w:eastAsia="Calibri"/>
                <w:sz w:val="20"/>
                <w:lang w:val="fr-CA"/>
              </w:rPr>
              <w:t>Demande de révision judiciaire rejetée</w:t>
            </w:r>
          </w:p>
        </w:tc>
      </w:tr>
      <w:tr w:rsidR="004275A1" w:rsidRPr="00A16F83" w:rsidTr="004275A1">
        <w:tc>
          <w:tcPr>
            <w:tcW w:w="2427" w:type="pct"/>
          </w:tcPr>
          <w:p w:rsidR="004275A1" w:rsidRPr="00A16F83" w:rsidRDefault="004275A1" w:rsidP="004275A1">
            <w:pPr>
              <w:jc w:val="both"/>
              <w:rPr>
                <w:rFonts w:eastAsia="Calibri"/>
                <w:sz w:val="20"/>
                <w:lang w:val="fr-CA"/>
              </w:rPr>
            </w:pPr>
            <w:r w:rsidRPr="00A16F83">
              <w:rPr>
                <w:rFonts w:eastAsia="Calibri"/>
                <w:sz w:val="20"/>
                <w:lang w:val="fr-CA"/>
              </w:rPr>
              <w:lastRenderedPageBreak/>
              <w:t>Le 22 août 2014</w:t>
            </w:r>
          </w:p>
          <w:p w:rsidR="004275A1" w:rsidRPr="00A16F83" w:rsidRDefault="004275A1" w:rsidP="004275A1">
            <w:pPr>
              <w:jc w:val="both"/>
              <w:rPr>
                <w:rFonts w:eastAsia="Calibri"/>
                <w:sz w:val="20"/>
                <w:lang w:val="fr-CA"/>
              </w:rPr>
            </w:pPr>
            <w:r w:rsidRPr="00A16F83">
              <w:rPr>
                <w:rFonts w:eastAsia="Calibri"/>
                <w:sz w:val="20"/>
                <w:lang w:val="fr-CA"/>
              </w:rPr>
              <w:t>Cour suprême du Canada</w:t>
            </w:r>
          </w:p>
        </w:tc>
        <w:tc>
          <w:tcPr>
            <w:tcW w:w="243" w:type="pct"/>
          </w:tcPr>
          <w:p w:rsidR="004275A1" w:rsidRPr="00A16F83" w:rsidRDefault="004275A1" w:rsidP="004275A1">
            <w:pPr>
              <w:jc w:val="both"/>
              <w:rPr>
                <w:rFonts w:eastAsia="Calibri"/>
                <w:sz w:val="20"/>
                <w:lang w:val="fr-CA"/>
              </w:rPr>
            </w:pPr>
          </w:p>
        </w:tc>
        <w:tc>
          <w:tcPr>
            <w:tcW w:w="2330" w:type="pct"/>
          </w:tcPr>
          <w:p w:rsidR="004275A1" w:rsidRPr="00A16F83" w:rsidRDefault="004275A1" w:rsidP="004275A1">
            <w:pPr>
              <w:jc w:val="both"/>
              <w:rPr>
                <w:rFonts w:eastAsia="Calibri"/>
                <w:sz w:val="20"/>
                <w:lang w:val="fr-CA"/>
              </w:rPr>
            </w:pPr>
            <w:r w:rsidRPr="00A16F83">
              <w:rPr>
                <w:rFonts w:eastAsia="Calibri"/>
                <w:sz w:val="20"/>
                <w:lang w:val="fr-CA"/>
              </w:rPr>
              <w:t>Demande d'autorisation d'appel déposée</w:t>
            </w:r>
          </w:p>
        </w:tc>
      </w:tr>
    </w:tbl>
    <w:p w:rsidR="00915D6A" w:rsidRDefault="00915D6A" w:rsidP="00915D6A">
      <w:pPr>
        <w:rPr>
          <w:sz w:val="20"/>
          <w:szCs w:val="20"/>
        </w:rPr>
      </w:pPr>
    </w:p>
    <w:p w:rsidR="00915D6A" w:rsidRDefault="00690162" w:rsidP="00915D6A">
      <w:pPr>
        <w:rPr>
          <w:sz w:val="20"/>
          <w:szCs w:val="20"/>
        </w:rPr>
      </w:pPr>
      <w:r>
        <w:rPr>
          <w:sz w:val="20"/>
          <w:szCs w:val="20"/>
          <w:lang w:val="fr-CA"/>
        </w:rPr>
        <w:pict>
          <v:rect id="_x0000_i1069" style="width:2in;height:1pt" o:hrpct="0" o:hralign="center" o:hrstd="t" o:hrnoshade="t" o:hr="t" fillcolor="black [3213]" stroked="f"/>
        </w:pict>
      </w:r>
    </w:p>
    <w:p w:rsidR="00915D6A" w:rsidRDefault="00915D6A" w:rsidP="00915D6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D425D" w:rsidRPr="00F464F1" w:rsidTr="00650BC1">
        <w:trPr>
          <w:cantSplit/>
        </w:trPr>
        <w:tc>
          <w:tcPr>
            <w:tcW w:w="1458" w:type="dxa"/>
          </w:tcPr>
          <w:p w:rsidR="00BD425D" w:rsidRPr="00F464F1" w:rsidRDefault="00BD425D" w:rsidP="00650BC1">
            <w:pPr>
              <w:rPr>
                <w:sz w:val="20"/>
                <w:szCs w:val="20"/>
              </w:rPr>
            </w:pPr>
            <w:r w:rsidRPr="00F464F1">
              <w:rPr>
                <w:rStyle w:val="SCCFileNumberChar"/>
                <w:sz w:val="20"/>
                <w:szCs w:val="20"/>
              </w:rPr>
              <w:t>36022</w:t>
            </w:r>
          </w:p>
          <w:p w:rsidR="00BD425D" w:rsidRPr="00F464F1" w:rsidRDefault="00BD425D" w:rsidP="00650BC1">
            <w:pPr>
              <w:rPr>
                <w:b/>
                <w:sz w:val="20"/>
                <w:szCs w:val="20"/>
                <w:lang w:val="fr-CA"/>
              </w:rPr>
            </w:pPr>
          </w:p>
        </w:tc>
        <w:tc>
          <w:tcPr>
            <w:tcW w:w="8118" w:type="dxa"/>
          </w:tcPr>
          <w:p w:rsidR="00BD425D" w:rsidRPr="00F464F1" w:rsidRDefault="00BD425D" w:rsidP="00650BC1">
            <w:pPr>
              <w:jc w:val="both"/>
              <w:rPr>
                <w:sz w:val="20"/>
                <w:szCs w:val="20"/>
              </w:rPr>
            </w:pPr>
            <w:r w:rsidRPr="00F464F1">
              <w:rPr>
                <w:rStyle w:val="SCCLsocChar"/>
                <w:sz w:val="20"/>
                <w:szCs w:val="20"/>
                <w:lang w:val="en-CA"/>
              </w:rPr>
              <w:t>William Bruce Montague</w:t>
            </w:r>
            <w:r>
              <w:rPr>
                <w:rStyle w:val="SCCLsocChar"/>
                <w:sz w:val="20"/>
                <w:szCs w:val="20"/>
                <w:lang w:val="en-CA"/>
              </w:rPr>
              <w:t xml:space="preserve"> and</w:t>
            </w:r>
            <w:r w:rsidRPr="00F464F1">
              <w:rPr>
                <w:rStyle w:val="SCCLsocChar"/>
                <w:sz w:val="20"/>
                <w:szCs w:val="20"/>
                <w:lang w:val="en-CA"/>
              </w:rPr>
              <w:t xml:space="preserve"> Donna Jeanne Montague v. Her Majesty the Queen</w:t>
            </w:r>
            <w:r w:rsidRPr="00F464F1">
              <w:rPr>
                <w:sz w:val="20"/>
                <w:szCs w:val="20"/>
              </w:rPr>
              <w:t xml:space="preserve"> (Ont.) (Criminal) (By Leave)</w:t>
            </w:r>
          </w:p>
          <w:p w:rsidR="00BD425D" w:rsidRPr="00F464F1" w:rsidRDefault="00BD425D" w:rsidP="00650BC1">
            <w:pPr>
              <w:jc w:val="both"/>
              <w:rPr>
                <w:sz w:val="20"/>
                <w:szCs w:val="20"/>
              </w:rPr>
            </w:pPr>
          </w:p>
        </w:tc>
      </w:tr>
      <w:tr w:rsidR="00BD425D" w:rsidRPr="00F464F1" w:rsidTr="00650BC1">
        <w:trPr>
          <w:cantSplit/>
        </w:trPr>
        <w:tc>
          <w:tcPr>
            <w:tcW w:w="1458" w:type="dxa"/>
          </w:tcPr>
          <w:p w:rsidR="00BD425D" w:rsidRPr="00F464F1" w:rsidRDefault="00BD425D" w:rsidP="00650BC1">
            <w:pPr>
              <w:rPr>
                <w:sz w:val="20"/>
                <w:szCs w:val="20"/>
              </w:rPr>
            </w:pPr>
            <w:r w:rsidRPr="00F464F1">
              <w:rPr>
                <w:sz w:val="20"/>
                <w:szCs w:val="20"/>
              </w:rPr>
              <w:t>Coram :</w:t>
            </w:r>
          </w:p>
        </w:tc>
        <w:tc>
          <w:tcPr>
            <w:tcW w:w="8118" w:type="dxa"/>
          </w:tcPr>
          <w:p w:rsidR="00BD425D" w:rsidRPr="00F464F1" w:rsidRDefault="00BD425D" w:rsidP="00650BC1">
            <w:pPr>
              <w:rPr>
                <w:sz w:val="20"/>
                <w:szCs w:val="20"/>
              </w:rPr>
            </w:pPr>
            <w:r w:rsidRPr="00F464F1">
              <w:rPr>
                <w:rStyle w:val="SCCCoramChar"/>
                <w:sz w:val="20"/>
                <w:szCs w:val="20"/>
                <w:lang w:val="en-CA"/>
              </w:rPr>
              <w:t>McLachlin C.J. and Cromwell and Wagner JJ.</w:t>
            </w:r>
          </w:p>
          <w:p w:rsidR="00BD425D" w:rsidRPr="00F464F1" w:rsidRDefault="00BD425D" w:rsidP="00650BC1">
            <w:pPr>
              <w:rPr>
                <w:sz w:val="20"/>
                <w:szCs w:val="20"/>
                <w:u w:val="single"/>
              </w:rPr>
            </w:pPr>
          </w:p>
        </w:tc>
      </w:tr>
      <w:tr w:rsidR="00BD425D" w:rsidRPr="00690162" w:rsidTr="00650BC1">
        <w:trPr>
          <w:cantSplit/>
        </w:trPr>
        <w:tc>
          <w:tcPr>
            <w:tcW w:w="9576" w:type="dxa"/>
            <w:gridSpan w:val="2"/>
          </w:tcPr>
          <w:p w:rsidR="00BD425D" w:rsidRPr="00F464F1" w:rsidRDefault="00BD425D" w:rsidP="00650BC1">
            <w:pPr>
              <w:pStyle w:val="SCCShortJudgment"/>
              <w:rPr>
                <w:szCs w:val="20"/>
              </w:rPr>
            </w:pPr>
            <w:r w:rsidRPr="00F464F1">
              <w:rPr>
                <w:szCs w:val="20"/>
              </w:rPr>
              <w:t>The application for leave to appeal from the judgment of the Court of Appeal for Ontario, Number C55786, 2014 ONCA 439, dated June 3, 2014, is dismissed without costs.</w:t>
            </w:r>
          </w:p>
          <w:p w:rsidR="00BD425D" w:rsidRPr="00F464F1" w:rsidRDefault="00BD425D" w:rsidP="00650BC1">
            <w:pPr>
              <w:pStyle w:val="SCCShortJudgment"/>
              <w:ind w:firstLine="0"/>
              <w:rPr>
                <w:szCs w:val="20"/>
              </w:rPr>
            </w:pPr>
          </w:p>
          <w:p w:rsidR="00BD425D" w:rsidRPr="00F464F1" w:rsidRDefault="00BD425D" w:rsidP="00650BC1">
            <w:pPr>
              <w:pStyle w:val="SCCShortJudgment"/>
              <w:rPr>
                <w:szCs w:val="20"/>
                <w:lang w:val="fr-CA"/>
              </w:rPr>
            </w:pPr>
            <w:r w:rsidRPr="00F464F1">
              <w:rPr>
                <w:szCs w:val="20"/>
                <w:lang w:val="fr-CA"/>
              </w:rPr>
              <w:t>La demande d’autorisation d’appel de l’arrêt de la Cour d’appel de l’Ontario, numéro C55786, 2014 ONCA 439, daté du 3 juin 2014, est rejetée sans dépens.</w:t>
            </w:r>
          </w:p>
        </w:tc>
      </w:tr>
    </w:tbl>
    <w:p w:rsidR="00915D6A" w:rsidRPr="0016547E" w:rsidRDefault="00915D6A" w:rsidP="00915D6A">
      <w:pPr>
        <w:rPr>
          <w:sz w:val="20"/>
          <w:szCs w:val="20"/>
          <w:lang w:val="fr-CA"/>
        </w:rPr>
      </w:pPr>
    </w:p>
    <w:p w:rsidR="00915D6A" w:rsidRPr="001B157C" w:rsidRDefault="00915D6A" w:rsidP="00915D6A">
      <w:pPr>
        <w:rPr>
          <w:sz w:val="20"/>
          <w:szCs w:val="20"/>
          <w:u w:val="single"/>
        </w:rPr>
      </w:pPr>
      <w:r w:rsidRPr="001B157C">
        <w:rPr>
          <w:sz w:val="20"/>
          <w:szCs w:val="20"/>
          <w:u w:val="single"/>
        </w:rPr>
        <w:t>CASE SUMMARY</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C58EB" w:rsidRPr="00A16F83" w:rsidTr="00650BC1">
        <w:tc>
          <w:tcPr>
            <w:tcW w:w="5000" w:type="pct"/>
            <w:gridSpan w:val="3"/>
          </w:tcPr>
          <w:p w:rsidR="00DC58EB" w:rsidRPr="00A16F83" w:rsidRDefault="00DC58EB" w:rsidP="00650BC1">
            <w:pPr>
              <w:jc w:val="both"/>
              <w:rPr>
                <w:rFonts w:eastAsia="Calibri"/>
                <w:sz w:val="20"/>
              </w:rPr>
            </w:pPr>
            <w:r w:rsidRPr="00A16F83">
              <w:rPr>
                <w:rFonts w:eastAsia="Calibri"/>
                <w:i/>
                <w:sz w:val="20"/>
              </w:rPr>
              <w:t>Canadian Charter of Rights and Freedoms</w:t>
            </w:r>
            <w:r w:rsidRPr="00A16F83">
              <w:rPr>
                <w:rFonts w:eastAsia="Calibri"/>
                <w:sz w:val="20"/>
              </w:rPr>
              <w:t xml:space="preserve"> — Criminal law — Cruel and unusual treatment or punishment — Forfeiture of weapons and ammunition — Whether s. 491(1)(b) of the </w:t>
            </w:r>
            <w:r w:rsidRPr="00A16F83">
              <w:rPr>
                <w:rFonts w:eastAsia="Calibri"/>
                <w:i/>
                <w:iCs/>
                <w:sz w:val="20"/>
              </w:rPr>
              <w:t xml:space="preserve">Criminal Code </w:t>
            </w:r>
            <w:r w:rsidRPr="00A16F83">
              <w:rPr>
                <w:rFonts w:eastAsia="Calibri"/>
                <w:sz w:val="20"/>
              </w:rPr>
              <w:t xml:space="preserve">violates s. 12 of the </w:t>
            </w:r>
            <w:r w:rsidRPr="00A16F83">
              <w:rPr>
                <w:rFonts w:eastAsia="Calibri"/>
                <w:i/>
                <w:iCs/>
                <w:sz w:val="20"/>
              </w:rPr>
              <w:t>Canadian Charter of Rights and Freedoms</w:t>
            </w:r>
            <w:r w:rsidRPr="00A16F83">
              <w:rPr>
                <w:rFonts w:eastAsia="Calibri"/>
                <w:sz w:val="20"/>
              </w:rPr>
              <w:t xml:space="preserve"> — What is the relationship between s. 12 and forfeiture orders</w:t>
            </w:r>
          </w:p>
        </w:tc>
      </w:tr>
      <w:tr w:rsidR="00DC58EB" w:rsidRPr="00A16F83" w:rsidTr="00650BC1">
        <w:tc>
          <w:tcPr>
            <w:tcW w:w="5000" w:type="pct"/>
            <w:gridSpan w:val="3"/>
          </w:tcPr>
          <w:p w:rsidR="00DC58EB" w:rsidRPr="00A16F83" w:rsidRDefault="00DC58EB" w:rsidP="00650BC1">
            <w:pPr>
              <w:jc w:val="both"/>
              <w:rPr>
                <w:rFonts w:eastAsia="Calibri"/>
                <w:sz w:val="20"/>
              </w:rPr>
            </w:pPr>
          </w:p>
        </w:tc>
      </w:tr>
      <w:tr w:rsidR="00DC58EB" w:rsidRPr="00A16F83" w:rsidTr="00650BC1">
        <w:tc>
          <w:tcPr>
            <w:tcW w:w="5000" w:type="pct"/>
            <w:gridSpan w:val="3"/>
          </w:tcPr>
          <w:p w:rsidR="00DC58EB" w:rsidRPr="00A16F83" w:rsidRDefault="00DC58EB" w:rsidP="00650BC1">
            <w:pPr>
              <w:jc w:val="both"/>
              <w:rPr>
                <w:rFonts w:eastAsia="Calibri"/>
                <w:sz w:val="20"/>
              </w:rPr>
            </w:pPr>
            <w:r w:rsidRPr="00A16F83">
              <w:rPr>
                <w:rFonts w:eastAsia="Calibri"/>
                <w:sz w:val="20"/>
              </w:rPr>
              <w:t xml:space="preserve">The applicants were convicted of firearms offences in 2007.  Following the imposition of sentence, the trial judge deferred the forfeiture order until after the disposition of the appeals against conviction and sentence.  The appeal was dismissed and the Court of Appeal returned the issue of forfeiture to the trial judge. </w:t>
            </w:r>
          </w:p>
          <w:p w:rsidR="00DC58EB" w:rsidRPr="00A16F83" w:rsidRDefault="00DC58EB" w:rsidP="00650BC1">
            <w:pPr>
              <w:jc w:val="both"/>
              <w:rPr>
                <w:rFonts w:eastAsia="Calibri"/>
                <w:sz w:val="20"/>
              </w:rPr>
            </w:pPr>
          </w:p>
          <w:p w:rsidR="00DC58EB" w:rsidRPr="00A16F83" w:rsidRDefault="00DC58EB" w:rsidP="00650BC1">
            <w:pPr>
              <w:jc w:val="both"/>
              <w:rPr>
                <w:rFonts w:eastAsia="Calibri"/>
                <w:sz w:val="20"/>
              </w:rPr>
            </w:pPr>
            <w:r w:rsidRPr="00A16F83">
              <w:rPr>
                <w:rFonts w:eastAsia="Calibri"/>
                <w:sz w:val="20"/>
              </w:rPr>
              <w:t xml:space="preserve">At the forfeiture hearing, the applicants made a constitutional challenge to the mandatory forfeiture provision in s. 491(1)(b) of the </w:t>
            </w:r>
            <w:r w:rsidRPr="00A16F83">
              <w:rPr>
                <w:rFonts w:eastAsia="Calibri"/>
                <w:i/>
                <w:sz w:val="20"/>
              </w:rPr>
              <w:t>Criminal Code</w:t>
            </w:r>
            <w:r w:rsidRPr="00A16F83">
              <w:rPr>
                <w:rFonts w:eastAsia="Calibri"/>
                <w:sz w:val="20"/>
              </w:rPr>
              <w:t>.</w:t>
            </w:r>
          </w:p>
          <w:p w:rsidR="00DC58EB" w:rsidRPr="00A16F83" w:rsidRDefault="00DC58EB" w:rsidP="00650BC1">
            <w:pPr>
              <w:jc w:val="both"/>
              <w:rPr>
                <w:rFonts w:eastAsia="Calibri"/>
                <w:sz w:val="20"/>
              </w:rPr>
            </w:pPr>
          </w:p>
        </w:tc>
      </w:tr>
      <w:tr w:rsidR="00DC58EB" w:rsidRPr="00A16F83" w:rsidTr="00650BC1">
        <w:tc>
          <w:tcPr>
            <w:tcW w:w="2427" w:type="pct"/>
          </w:tcPr>
          <w:p w:rsidR="00DC58EB" w:rsidRPr="00A16F83" w:rsidRDefault="00DC58EB" w:rsidP="00650BC1">
            <w:pPr>
              <w:jc w:val="both"/>
              <w:rPr>
                <w:rFonts w:eastAsia="Calibri"/>
                <w:sz w:val="20"/>
              </w:rPr>
            </w:pPr>
            <w:r w:rsidRPr="00A16F83">
              <w:rPr>
                <w:rFonts w:eastAsia="Calibri"/>
                <w:sz w:val="20"/>
              </w:rPr>
              <w:t>May 30, 2012</w:t>
            </w:r>
          </w:p>
          <w:p w:rsidR="00DC58EB" w:rsidRPr="00A16F83" w:rsidRDefault="00DC58EB" w:rsidP="00650BC1">
            <w:pPr>
              <w:jc w:val="both"/>
              <w:rPr>
                <w:rFonts w:eastAsia="Calibri"/>
                <w:sz w:val="20"/>
              </w:rPr>
            </w:pPr>
            <w:r w:rsidRPr="00A16F83">
              <w:rPr>
                <w:rFonts w:eastAsia="Calibri"/>
                <w:sz w:val="20"/>
              </w:rPr>
              <w:t>Ontario Superior Court of Justice</w:t>
            </w:r>
          </w:p>
          <w:p w:rsidR="00DC58EB" w:rsidRPr="00A16F83" w:rsidRDefault="00DC58EB" w:rsidP="00650BC1">
            <w:pPr>
              <w:jc w:val="both"/>
              <w:rPr>
                <w:rFonts w:eastAsia="Calibri"/>
                <w:sz w:val="20"/>
              </w:rPr>
            </w:pPr>
            <w:r w:rsidRPr="00A16F83">
              <w:rPr>
                <w:rFonts w:eastAsia="Calibri"/>
                <w:sz w:val="20"/>
              </w:rPr>
              <w:t>(Wright J.)</w:t>
            </w:r>
          </w:p>
          <w:p w:rsidR="00DC58EB" w:rsidRPr="00A16F83" w:rsidRDefault="00DC58EB" w:rsidP="00650BC1">
            <w:pPr>
              <w:jc w:val="both"/>
              <w:rPr>
                <w:rFonts w:eastAsia="Calibri"/>
                <w:sz w:val="20"/>
              </w:rPr>
            </w:pPr>
            <w:r w:rsidRPr="00A16F83">
              <w:rPr>
                <w:rFonts w:eastAsia="Calibri"/>
                <w:sz w:val="20"/>
              </w:rPr>
              <w:t xml:space="preserve">Neutral citation: </w:t>
            </w:r>
            <w:hyperlink r:id="rId69" w:history="1">
              <w:r w:rsidRPr="00A16F83">
                <w:rPr>
                  <w:rFonts w:eastAsia="Calibri"/>
                  <w:color w:val="0000FF"/>
                  <w:sz w:val="20"/>
                  <w:u w:val="single"/>
                </w:rPr>
                <w:t>2012 ONSC 2300</w:t>
              </w:r>
            </w:hyperlink>
          </w:p>
          <w:p w:rsidR="00DC58EB" w:rsidRPr="00A16F83" w:rsidRDefault="00DC58EB" w:rsidP="00650BC1">
            <w:pPr>
              <w:jc w:val="both"/>
              <w:rPr>
                <w:rFonts w:eastAsia="Calibri"/>
                <w:sz w:val="20"/>
              </w:rPr>
            </w:pPr>
          </w:p>
        </w:tc>
        <w:tc>
          <w:tcPr>
            <w:tcW w:w="243" w:type="pct"/>
          </w:tcPr>
          <w:p w:rsidR="00DC58EB" w:rsidRPr="00A16F83" w:rsidRDefault="00DC58EB" w:rsidP="00650BC1">
            <w:pPr>
              <w:jc w:val="both"/>
              <w:rPr>
                <w:rFonts w:eastAsia="Calibri"/>
                <w:sz w:val="20"/>
              </w:rPr>
            </w:pPr>
          </w:p>
        </w:tc>
        <w:tc>
          <w:tcPr>
            <w:tcW w:w="2330" w:type="pct"/>
          </w:tcPr>
          <w:p w:rsidR="00DC58EB" w:rsidRPr="00A16F83" w:rsidRDefault="00DC58EB" w:rsidP="00650BC1">
            <w:pPr>
              <w:jc w:val="both"/>
              <w:rPr>
                <w:rFonts w:eastAsia="Calibri"/>
                <w:sz w:val="20"/>
              </w:rPr>
            </w:pPr>
            <w:r w:rsidRPr="00A16F83">
              <w:rPr>
                <w:rFonts w:eastAsia="Calibri"/>
                <w:sz w:val="20"/>
              </w:rPr>
              <w:t>Forfeiture order for firearms granted. Forfeiture order for ammunition not granted.</w:t>
            </w:r>
          </w:p>
        </w:tc>
      </w:tr>
      <w:tr w:rsidR="00DC58EB" w:rsidRPr="00A16F83" w:rsidTr="00650BC1">
        <w:tc>
          <w:tcPr>
            <w:tcW w:w="2427" w:type="pct"/>
          </w:tcPr>
          <w:p w:rsidR="00DC58EB" w:rsidRPr="00A16F83" w:rsidRDefault="00DC58EB" w:rsidP="00650BC1">
            <w:pPr>
              <w:jc w:val="both"/>
              <w:rPr>
                <w:rFonts w:eastAsia="Calibri"/>
                <w:sz w:val="20"/>
              </w:rPr>
            </w:pPr>
            <w:r w:rsidRPr="00A16F83">
              <w:rPr>
                <w:rFonts w:eastAsia="Calibri"/>
                <w:sz w:val="20"/>
              </w:rPr>
              <w:t>June 3, 2014</w:t>
            </w:r>
          </w:p>
          <w:p w:rsidR="00DC58EB" w:rsidRPr="00A16F83" w:rsidRDefault="00DC58EB" w:rsidP="00650BC1">
            <w:pPr>
              <w:jc w:val="both"/>
              <w:rPr>
                <w:rFonts w:eastAsia="Calibri"/>
                <w:sz w:val="20"/>
              </w:rPr>
            </w:pPr>
            <w:r w:rsidRPr="00A16F83">
              <w:rPr>
                <w:rFonts w:eastAsia="Calibri"/>
                <w:sz w:val="20"/>
              </w:rPr>
              <w:t>Court of Appeal for Ontario</w:t>
            </w:r>
          </w:p>
          <w:p w:rsidR="00DC58EB" w:rsidRPr="00A16F83" w:rsidRDefault="00DC58EB" w:rsidP="00650BC1">
            <w:pPr>
              <w:jc w:val="both"/>
              <w:rPr>
                <w:rFonts w:eastAsia="Calibri"/>
                <w:sz w:val="20"/>
              </w:rPr>
            </w:pPr>
            <w:r w:rsidRPr="00A16F83">
              <w:rPr>
                <w:rFonts w:eastAsia="Calibri"/>
                <w:sz w:val="20"/>
              </w:rPr>
              <w:t>(Feldman, Gillese, Tulloch JJ.A.)</w:t>
            </w:r>
          </w:p>
          <w:p w:rsidR="00DC58EB" w:rsidRPr="00A16F83" w:rsidRDefault="00DC58EB" w:rsidP="00650BC1">
            <w:pPr>
              <w:jc w:val="both"/>
              <w:rPr>
                <w:rFonts w:eastAsia="Calibri"/>
                <w:sz w:val="20"/>
              </w:rPr>
            </w:pPr>
            <w:r w:rsidRPr="00A16F83">
              <w:rPr>
                <w:rFonts w:eastAsia="Calibri"/>
                <w:sz w:val="20"/>
              </w:rPr>
              <w:t xml:space="preserve">Neutral citation: </w:t>
            </w:r>
            <w:hyperlink r:id="rId70" w:history="1">
              <w:r w:rsidRPr="00A16F83">
                <w:rPr>
                  <w:rFonts w:eastAsia="Calibri"/>
                  <w:color w:val="0000FF"/>
                  <w:sz w:val="20"/>
                  <w:u w:val="single"/>
                </w:rPr>
                <w:t>2014 ONCA 439</w:t>
              </w:r>
            </w:hyperlink>
          </w:p>
          <w:p w:rsidR="00DC58EB" w:rsidRPr="00A16F83" w:rsidRDefault="00DC58EB" w:rsidP="00650BC1">
            <w:pPr>
              <w:jc w:val="both"/>
              <w:rPr>
                <w:rFonts w:eastAsia="Calibri"/>
                <w:sz w:val="20"/>
              </w:rPr>
            </w:pPr>
          </w:p>
        </w:tc>
        <w:tc>
          <w:tcPr>
            <w:tcW w:w="243" w:type="pct"/>
          </w:tcPr>
          <w:p w:rsidR="00DC58EB" w:rsidRPr="00A16F83" w:rsidRDefault="00DC58EB" w:rsidP="00650BC1">
            <w:pPr>
              <w:jc w:val="both"/>
              <w:rPr>
                <w:rFonts w:eastAsia="Calibri"/>
                <w:sz w:val="20"/>
              </w:rPr>
            </w:pPr>
          </w:p>
        </w:tc>
        <w:tc>
          <w:tcPr>
            <w:tcW w:w="2330" w:type="pct"/>
          </w:tcPr>
          <w:p w:rsidR="00DC58EB" w:rsidRPr="00A16F83" w:rsidRDefault="00DC58EB" w:rsidP="00650BC1">
            <w:pPr>
              <w:jc w:val="both"/>
              <w:rPr>
                <w:rFonts w:eastAsia="Calibri"/>
                <w:sz w:val="20"/>
              </w:rPr>
            </w:pPr>
            <w:r w:rsidRPr="00A16F83">
              <w:rPr>
                <w:rFonts w:eastAsia="Calibri"/>
                <w:sz w:val="20"/>
              </w:rPr>
              <w:t>Appeal against forfeiture dismissed. Forfeiture order varied to include the ammunition that was seized.</w:t>
            </w:r>
          </w:p>
        </w:tc>
      </w:tr>
      <w:tr w:rsidR="00DC58EB" w:rsidRPr="00A16F83" w:rsidTr="00650BC1">
        <w:tc>
          <w:tcPr>
            <w:tcW w:w="2427" w:type="pct"/>
          </w:tcPr>
          <w:p w:rsidR="00DC58EB" w:rsidRPr="00A16F83" w:rsidRDefault="00DC58EB" w:rsidP="00650BC1">
            <w:pPr>
              <w:jc w:val="both"/>
              <w:rPr>
                <w:rFonts w:eastAsia="Calibri"/>
                <w:sz w:val="20"/>
              </w:rPr>
            </w:pPr>
            <w:r w:rsidRPr="00A16F83">
              <w:rPr>
                <w:rFonts w:eastAsia="Calibri"/>
                <w:sz w:val="20"/>
              </w:rPr>
              <w:t>August 27, 2014</w:t>
            </w:r>
          </w:p>
          <w:p w:rsidR="00DC58EB" w:rsidRPr="00A16F83" w:rsidRDefault="00DC58EB" w:rsidP="00650BC1">
            <w:pPr>
              <w:jc w:val="both"/>
              <w:rPr>
                <w:rFonts w:eastAsia="Calibri"/>
                <w:sz w:val="20"/>
              </w:rPr>
            </w:pPr>
            <w:r w:rsidRPr="00A16F83">
              <w:rPr>
                <w:rFonts w:eastAsia="Calibri"/>
                <w:sz w:val="20"/>
              </w:rPr>
              <w:t>Supreme Court of Canada</w:t>
            </w:r>
          </w:p>
        </w:tc>
        <w:tc>
          <w:tcPr>
            <w:tcW w:w="243" w:type="pct"/>
          </w:tcPr>
          <w:p w:rsidR="00DC58EB" w:rsidRPr="00A16F83" w:rsidRDefault="00DC58EB" w:rsidP="00650BC1">
            <w:pPr>
              <w:jc w:val="both"/>
              <w:rPr>
                <w:rFonts w:eastAsia="Calibri"/>
                <w:sz w:val="20"/>
              </w:rPr>
            </w:pPr>
          </w:p>
        </w:tc>
        <w:tc>
          <w:tcPr>
            <w:tcW w:w="2330" w:type="pct"/>
          </w:tcPr>
          <w:p w:rsidR="00DC58EB" w:rsidRPr="00A16F83" w:rsidRDefault="00DC58EB" w:rsidP="00650BC1">
            <w:pPr>
              <w:jc w:val="both"/>
              <w:rPr>
                <w:rFonts w:eastAsia="Calibri"/>
                <w:sz w:val="20"/>
              </w:rPr>
            </w:pPr>
            <w:r w:rsidRPr="00A16F83">
              <w:rPr>
                <w:rFonts w:eastAsia="Calibri"/>
                <w:sz w:val="20"/>
              </w:rPr>
              <w:t>Application for leave to appeal filed</w:t>
            </w:r>
          </w:p>
        </w:tc>
      </w:tr>
    </w:tbl>
    <w:p w:rsidR="00915D6A" w:rsidRDefault="00915D6A" w:rsidP="00915D6A">
      <w:pPr>
        <w:rPr>
          <w:sz w:val="20"/>
          <w:szCs w:val="20"/>
        </w:rPr>
      </w:pPr>
    </w:p>
    <w:p w:rsidR="00915D6A" w:rsidRPr="00C50A5C" w:rsidRDefault="00690162" w:rsidP="00915D6A">
      <w:pPr>
        <w:rPr>
          <w:sz w:val="20"/>
          <w:szCs w:val="20"/>
        </w:rPr>
      </w:pPr>
      <w:r>
        <w:rPr>
          <w:sz w:val="20"/>
          <w:szCs w:val="20"/>
          <w:lang w:val="fr-CA"/>
        </w:rPr>
        <w:pict>
          <v:rect id="_x0000_i1070" style="width:2in;height:1pt" o:hrpct="0" o:hralign="center" o:hrstd="t" o:hrnoshade="t" o:hr="t" fillcolor="black [3213]" stroked="f"/>
        </w:pict>
      </w:r>
    </w:p>
    <w:p w:rsidR="00915D6A" w:rsidRDefault="00915D6A" w:rsidP="00915D6A">
      <w:pPr>
        <w:rPr>
          <w:sz w:val="20"/>
          <w:szCs w:val="20"/>
        </w:rPr>
      </w:pPr>
    </w:p>
    <w:p w:rsidR="00915D6A" w:rsidRPr="001B157C" w:rsidRDefault="00915D6A" w:rsidP="00915D6A">
      <w:pPr>
        <w:rPr>
          <w:sz w:val="20"/>
          <w:szCs w:val="20"/>
          <w:u w:val="single"/>
          <w:lang w:val="fr-CA"/>
        </w:rPr>
      </w:pPr>
      <w:r w:rsidRPr="001B157C">
        <w:rPr>
          <w:sz w:val="20"/>
          <w:szCs w:val="20"/>
          <w:u w:val="single"/>
          <w:lang w:val="fr-CA"/>
        </w:rPr>
        <w:t>RÉSUMÉ DE L’AFFAIRE</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C58EB" w:rsidRPr="00690162" w:rsidTr="00650BC1">
        <w:tc>
          <w:tcPr>
            <w:tcW w:w="5000" w:type="pct"/>
            <w:gridSpan w:val="3"/>
          </w:tcPr>
          <w:p w:rsidR="00DC58EB" w:rsidRPr="00A16F83" w:rsidRDefault="00DC58EB" w:rsidP="00650BC1">
            <w:pPr>
              <w:jc w:val="both"/>
              <w:rPr>
                <w:rFonts w:eastAsia="Calibri"/>
                <w:sz w:val="20"/>
                <w:lang w:val="fr-CA"/>
              </w:rPr>
            </w:pPr>
            <w:r w:rsidRPr="00A16F83">
              <w:rPr>
                <w:rFonts w:eastAsia="Calibri"/>
                <w:i/>
                <w:sz w:val="20"/>
                <w:lang w:val="fr-CA"/>
              </w:rPr>
              <w:t xml:space="preserve">Charte canadienne des droits et libertés </w:t>
            </w:r>
            <w:r w:rsidRPr="00A16F83">
              <w:rPr>
                <w:rFonts w:eastAsia="Calibri"/>
                <w:sz w:val="20"/>
                <w:lang w:val="fr-CA"/>
              </w:rPr>
              <w:t>— Droit criminel — Traitements et peines cruels et inusités — Confiscation des armes et munitions — L’al. 491(1)</w:t>
            </w:r>
            <w:r w:rsidRPr="00A16F83">
              <w:rPr>
                <w:rFonts w:eastAsia="Calibri"/>
                <w:i/>
                <w:sz w:val="20"/>
                <w:lang w:val="fr-CA"/>
              </w:rPr>
              <w:t>b)</w:t>
            </w:r>
            <w:r w:rsidRPr="00A16F83">
              <w:rPr>
                <w:rFonts w:eastAsia="Calibri"/>
                <w:sz w:val="20"/>
                <w:lang w:val="fr-CA"/>
              </w:rPr>
              <w:t xml:space="preserve"> du</w:t>
            </w:r>
            <w:r w:rsidRPr="00A16F83">
              <w:rPr>
                <w:rFonts w:eastAsia="Calibri"/>
                <w:i/>
                <w:iCs/>
                <w:sz w:val="20"/>
                <w:lang w:val="fr-CA"/>
              </w:rPr>
              <w:t xml:space="preserve"> Code criminel </w:t>
            </w:r>
            <w:r w:rsidRPr="00A16F83">
              <w:rPr>
                <w:rFonts w:eastAsia="Calibri"/>
                <w:sz w:val="20"/>
                <w:lang w:val="fr-CA"/>
              </w:rPr>
              <w:t>viole-t-il l’art. 12 de la</w:t>
            </w:r>
            <w:r w:rsidRPr="00A16F83">
              <w:rPr>
                <w:rFonts w:eastAsia="Calibri"/>
                <w:i/>
                <w:iCs/>
                <w:sz w:val="20"/>
                <w:lang w:val="fr-CA"/>
              </w:rPr>
              <w:t xml:space="preserve"> Charte canadienne des droits et libertés</w:t>
            </w:r>
            <w:r w:rsidRPr="00A16F83">
              <w:rPr>
                <w:rFonts w:eastAsia="Calibri"/>
                <w:iCs/>
                <w:sz w:val="20"/>
                <w:lang w:val="fr-CA"/>
              </w:rPr>
              <w:t>?</w:t>
            </w:r>
            <w:r w:rsidRPr="00A16F83">
              <w:rPr>
                <w:rFonts w:eastAsia="Calibri"/>
                <w:i/>
                <w:iCs/>
                <w:sz w:val="20"/>
                <w:lang w:val="fr-CA"/>
              </w:rPr>
              <w:t xml:space="preserve"> </w:t>
            </w:r>
            <w:r w:rsidRPr="00A16F83">
              <w:rPr>
                <w:rFonts w:eastAsia="Calibri"/>
                <w:sz w:val="20"/>
                <w:lang w:val="fr-CA"/>
              </w:rPr>
              <w:t>— Quel est le rapport entre l’art. 12 et les ordonnances de confiscation?</w:t>
            </w:r>
          </w:p>
        </w:tc>
      </w:tr>
      <w:tr w:rsidR="00DC58EB" w:rsidRPr="00690162" w:rsidTr="00650BC1">
        <w:tc>
          <w:tcPr>
            <w:tcW w:w="5000" w:type="pct"/>
            <w:gridSpan w:val="3"/>
          </w:tcPr>
          <w:p w:rsidR="00DC58EB" w:rsidRPr="00A16F83" w:rsidRDefault="00DC58EB" w:rsidP="00650BC1">
            <w:pPr>
              <w:jc w:val="both"/>
              <w:rPr>
                <w:rFonts w:eastAsia="Calibri"/>
                <w:sz w:val="20"/>
                <w:lang w:val="fr-CA"/>
              </w:rPr>
            </w:pPr>
          </w:p>
        </w:tc>
      </w:tr>
      <w:tr w:rsidR="00DC58EB" w:rsidRPr="00690162" w:rsidTr="00650BC1">
        <w:tc>
          <w:tcPr>
            <w:tcW w:w="5000" w:type="pct"/>
            <w:gridSpan w:val="3"/>
          </w:tcPr>
          <w:p w:rsidR="00DC58EB" w:rsidRPr="00A16F83" w:rsidRDefault="00DC58EB" w:rsidP="00650BC1">
            <w:pPr>
              <w:jc w:val="both"/>
              <w:rPr>
                <w:rFonts w:eastAsia="Calibri"/>
                <w:sz w:val="20"/>
                <w:lang w:val="fr-CA"/>
              </w:rPr>
            </w:pPr>
            <w:r w:rsidRPr="00A16F83">
              <w:rPr>
                <w:rFonts w:eastAsia="Calibri"/>
                <w:sz w:val="20"/>
                <w:lang w:val="fr-CA"/>
              </w:rPr>
              <w:t>Les demandeurs ont été déclarés coupables d’infractions relatives à des armes à feu en 2007. Après l’imposition de la peine, le juge du procès a reporté l’ordonnance de confiscation jusqu’à ce qu’il soit statué sur les appels de la déclaration de la culpabilité et de la peine.  L’appel a été rejeté et la Cour d’appel a renvoyé la question de la confiscation au juge du procès.</w:t>
            </w:r>
          </w:p>
          <w:p w:rsidR="00DC58EB" w:rsidRPr="00A16F83" w:rsidRDefault="00DC58EB" w:rsidP="00650BC1">
            <w:pPr>
              <w:jc w:val="both"/>
              <w:rPr>
                <w:rFonts w:eastAsia="Calibri"/>
                <w:sz w:val="20"/>
                <w:lang w:val="fr-CA"/>
              </w:rPr>
            </w:pPr>
          </w:p>
          <w:p w:rsidR="00DC58EB" w:rsidRPr="00A16F83" w:rsidRDefault="00DC58EB" w:rsidP="00650BC1">
            <w:pPr>
              <w:jc w:val="both"/>
              <w:rPr>
                <w:rFonts w:eastAsia="Calibri"/>
                <w:sz w:val="20"/>
                <w:lang w:val="fr-CA"/>
              </w:rPr>
            </w:pPr>
            <w:r w:rsidRPr="00A16F83">
              <w:rPr>
                <w:rFonts w:eastAsia="Calibri"/>
                <w:sz w:val="20"/>
                <w:lang w:val="fr-CA"/>
              </w:rPr>
              <w:t>À l’audience portant sur la confiscation, les demandeurs ont présenté une contestation constitutionnelle de la disposition de confiscation obligatoire, prévue à l’al. 491(1)</w:t>
            </w:r>
            <w:r w:rsidRPr="00A16F83">
              <w:rPr>
                <w:rFonts w:eastAsia="Calibri"/>
                <w:i/>
                <w:sz w:val="20"/>
                <w:lang w:val="fr-CA"/>
              </w:rPr>
              <w:t>b)</w:t>
            </w:r>
            <w:r w:rsidRPr="00A16F83">
              <w:rPr>
                <w:rFonts w:eastAsia="Calibri"/>
                <w:sz w:val="20"/>
                <w:lang w:val="fr-CA"/>
              </w:rPr>
              <w:t xml:space="preserve"> du </w:t>
            </w:r>
            <w:r w:rsidRPr="00A16F83">
              <w:rPr>
                <w:rFonts w:eastAsia="Calibri"/>
                <w:i/>
                <w:sz w:val="20"/>
                <w:lang w:val="fr-CA"/>
              </w:rPr>
              <w:t>Code criminel</w:t>
            </w:r>
            <w:r w:rsidRPr="00A16F83">
              <w:rPr>
                <w:rFonts w:eastAsia="Calibri"/>
                <w:sz w:val="20"/>
                <w:lang w:val="fr-CA"/>
              </w:rPr>
              <w:t>.</w:t>
            </w:r>
          </w:p>
          <w:p w:rsidR="00DC58EB" w:rsidRPr="00A16F83" w:rsidRDefault="00DC58EB" w:rsidP="00650BC1">
            <w:pPr>
              <w:jc w:val="both"/>
              <w:rPr>
                <w:rFonts w:eastAsia="Calibri"/>
                <w:sz w:val="20"/>
                <w:lang w:val="fr-CA"/>
              </w:rPr>
            </w:pPr>
          </w:p>
        </w:tc>
      </w:tr>
      <w:tr w:rsidR="00DC58EB" w:rsidRPr="00690162" w:rsidTr="00650BC1">
        <w:tc>
          <w:tcPr>
            <w:tcW w:w="2427" w:type="pct"/>
          </w:tcPr>
          <w:p w:rsidR="00DC58EB" w:rsidRPr="00A16F83" w:rsidRDefault="00DC58EB" w:rsidP="00650BC1">
            <w:pPr>
              <w:jc w:val="both"/>
              <w:rPr>
                <w:rFonts w:eastAsia="Calibri"/>
                <w:sz w:val="20"/>
                <w:lang w:val="fr-CA"/>
              </w:rPr>
            </w:pPr>
            <w:r w:rsidRPr="00A16F83">
              <w:rPr>
                <w:rFonts w:eastAsia="Calibri"/>
                <w:sz w:val="20"/>
                <w:lang w:val="fr-CA"/>
              </w:rPr>
              <w:t>30 mai 2012</w:t>
            </w:r>
          </w:p>
          <w:p w:rsidR="00DC58EB" w:rsidRPr="00A16F83" w:rsidRDefault="00DC58EB" w:rsidP="00650BC1">
            <w:pPr>
              <w:jc w:val="both"/>
              <w:rPr>
                <w:rFonts w:eastAsia="Calibri"/>
                <w:sz w:val="20"/>
                <w:lang w:val="fr-CA"/>
              </w:rPr>
            </w:pPr>
            <w:r w:rsidRPr="00A16F83">
              <w:rPr>
                <w:rFonts w:eastAsia="Calibri"/>
                <w:sz w:val="20"/>
                <w:lang w:val="fr-CA"/>
              </w:rPr>
              <w:t>Cour supérieure de justice de l’Ontario</w:t>
            </w:r>
          </w:p>
          <w:p w:rsidR="00DC58EB" w:rsidRPr="00A16F83" w:rsidRDefault="00DC58EB" w:rsidP="00650BC1">
            <w:pPr>
              <w:jc w:val="both"/>
              <w:rPr>
                <w:rFonts w:eastAsia="Calibri"/>
                <w:sz w:val="20"/>
                <w:lang w:val="fr-CA"/>
              </w:rPr>
            </w:pPr>
            <w:r w:rsidRPr="00A16F83">
              <w:rPr>
                <w:rFonts w:eastAsia="Calibri"/>
                <w:sz w:val="20"/>
                <w:lang w:val="fr-CA"/>
              </w:rPr>
              <w:t>(Juge Wright)</w:t>
            </w:r>
          </w:p>
          <w:p w:rsidR="00DC58EB" w:rsidRPr="00A16F83" w:rsidRDefault="00DC58EB" w:rsidP="00650BC1">
            <w:pPr>
              <w:jc w:val="both"/>
              <w:rPr>
                <w:rFonts w:eastAsia="Calibri"/>
                <w:sz w:val="20"/>
                <w:lang w:val="fr-CA"/>
              </w:rPr>
            </w:pPr>
            <w:r w:rsidRPr="00A16F83">
              <w:rPr>
                <w:rFonts w:eastAsia="Calibri"/>
                <w:sz w:val="20"/>
                <w:lang w:val="fr-CA"/>
              </w:rPr>
              <w:t xml:space="preserve">Référence neutre : </w:t>
            </w:r>
            <w:hyperlink r:id="rId71" w:history="1">
              <w:r w:rsidRPr="00A16F83">
                <w:rPr>
                  <w:rFonts w:eastAsia="Calibri"/>
                  <w:color w:val="0000FF"/>
                  <w:sz w:val="20"/>
                  <w:u w:val="single"/>
                  <w:lang w:val="fr-CA"/>
                </w:rPr>
                <w:t>2012 ONSC 2300</w:t>
              </w:r>
            </w:hyperlink>
          </w:p>
          <w:p w:rsidR="00DC58EB" w:rsidRPr="00A16F83" w:rsidRDefault="00DC58EB" w:rsidP="00650BC1">
            <w:pPr>
              <w:jc w:val="both"/>
              <w:rPr>
                <w:rFonts w:eastAsia="Calibri"/>
                <w:sz w:val="20"/>
                <w:lang w:val="fr-CA"/>
              </w:rPr>
            </w:pPr>
          </w:p>
        </w:tc>
        <w:tc>
          <w:tcPr>
            <w:tcW w:w="243" w:type="pct"/>
          </w:tcPr>
          <w:p w:rsidR="00DC58EB" w:rsidRPr="00A16F83" w:rsidRDefault="00DC58EB" w:rsidP="00650BC1">
            <w:pPr>
              <w:jc w:val="both"/>
              <w:rPr>
                <w:rFonts w:eastAsia="Calibri"/>
                <w:sz w:val="20"/>
                <w:lang w:val="fr-CA"/>
              </w:rPr>
            </w:pPr>
          </w:p>
        </w:tc>
        <w:tc>
          <w:tcPr>
            <w:tcW w:w="2330" w:type="pct"/>
          </w:tcPr>
          <w:p w:rsidR="00DC58EB" w:rsidRPr="00A16F83" w:rsidRDefault="00DC58EB" w:rsidP="00650BC1">
            <w:pPr>
              <w:jc w:val="both"/>
              <w:rPr>
                <w:rFonts w:eastAsia="Calibri"/>
                <w:sz w:val="20"/>
                <w:lang w:val="fr-CA"/>
              </w:rPr>
            </w:pPr>
            <w:r w:rsidRPr="00A16F83">
              <w:rPr>
                <w:rFonts w:eastAsia="Calibri"/>
                <w:sz w:val="20"/>
                <w:lang w:val="fr-CA"/>
              </w:rPr>
              <w:t>Ordonnance de confiscation des armes à feu, accordée. Ordonnance de confiscation des munitions, refusée.</w:t>
            </w:r>
          </w:p>
        </w:tc>
      </w:tr>
      <w:tr w:rsidR="00DC58EB" w:rsidRPr="00690162" w:rsidTr="00650BC1">
        <w:tc>
          <w:tcPr>
            <w:tcW w:w="2427" w:type="pct"/>
          </w:tcPr>
          <w:p w:rsidR="00DC58EB" w:rsidRPr="00A16F83" w:rsidRDefault="00DC58EB" w:rsidP="00650BC1">
            <w:pPr>
              <w:jc w:val="both"/>
              <w:rPr>
                <w:rFonts w:eastAsia="Calibri"/>
                <w:sz w:val="20"/>
                <w:lang w:val="fr-CA"/>
              </w:rPr>
            </w:pPr>
            <w:r w:rsidRPr="00A16F83">
              <w:rPr>
                <w:rFonts w:eastAsia="Calibri"/>
                <w:sz w:val="20"/>
                <w:lang w:val="fr-CA"/>
              </w:rPr>
              <w:t>3 juin 2014</w:t>
            </w:r>
          </w:p>
          <w:p w:rsidR="00DC58EB" w:rsidRPr="00A16F83" w:rsidRDefault="00DC58EB" w:rsidP="00650BC1">
            <w:pPr>
              <w:jc w:val="both"/>
              <w:rPr>
                <w:rFonts w:eastAsia="Calibri"/>
                <w:sz w:val="20"/>
                <w:lang w:val="fr-CA"/>
              </w:rPr>
            </w:pPr>
            <w:r w:rsidRPr="00A16F83">
              <w:rPr>
                <w:rFonts w:eastAsia="Calibri"/>
                <w:sz w:val="20"/>
                <w:lang w:val="fr-CA"/>
              </w:rPr>
              <w:t>Cour d’appel de l’Ontario</w:t>
            </w:r>
          </w:p>
          <w:p w:rsidR="00DC58EB" w:rsidRPr="00A16F83" w:rsidRDefault="00DC58EB" w:rsidP="00650BC1">
            <w:pPr>
              <w:jc w:val="both"/>
              <w:rPr>
                <w:rFonts w:eastAsia="Calibri"/>
                <w:sz w:val="20"/>
                <w:lang w:val="fr-CA"/>
              </w:rPr>
            </w:pPr>
            <w:r w:rsidRPr="00A16F83">
              <w:rPr>
                <w:rFonts w:eastAsia="Calibri"/>
                <w:sz w:val="20"/>
                <w:lang w:val="fr-CA"/>
              </w:rPr>
              <w:t>(Juges Feldman, Gillese et Tulloch)</w:t>
            </w:r>
          </w:p>
          <w:p w:rsidR="00DC58EB" w:rsidRPr="00A16F83" w:rsidRDefault="00DC58EB" w:rsidP="00650BC1">
            <w:pPr>
              <w:jc w:val="both"/>
              <w:rPr>
                <w:rFonts w:eastAsia="Calibri"/>
                <w:sz w:val="20"/>
                <w:lang w:val="fr-CA"/>
              </w:rPr>
            </w:pPr>
            <w:r w:rsidRPr="00A16F83">
              <w:rPr>
                <w:rFonts w:eastAsia="Calibri"/>
                <w:sz w:val="20"/>
                <w:lang w:val="fr-CA"/>
              </w:rPr>
              <w:t xml:space="preserve">Référence neutre : </w:t>
            </w:r>
            <w:hyperlink r:id="rId72" w:history="1">
              <w:r w:rsidRPr="00A16F83">
                <w:rPr>
                  <w:rFonts w:eastAsia="Calibri"/>
                  <w:color w:val="0000FF"/>
                  <w:sz w:val="20"/>
                  <w:u w:val="single"/>
                  <w:lang w:val="fr-CA"/>
                </w:rPr>
                <w:t>2014 ONCA 439</w:t>
              </w:r>
            </w:hyperlink>
          </w:p>
          <w:p w:rsidR="00DC58EB" w:rsidRPr="00A16F83" w:rsidRDefault="00DC58EB" w:rsidP="00650BC1">
            <w:pPr>
              <w:jc w:val="both"/>
              <w:rPr>
                <w:rFonts w:eastAsia="Calibri"/>
                <w:sz w:val="20"/>
                <w:lang w:val="fr-CA"/>
              </w:rPr>
            </w:pPr>
          </w:p>
        </w:tc>
        <w:tc>
          <w:tcPr>
            <w:tcW w:w="243" w:type="pct"/>
          </w:tcPr>
          <w:p w:rsidR="00DC58EB" w:rsidRPr="00A16F83" w:rsidRDefault="00DC58EB" w:rsidP="00650BC1">
            <w:pPr>
              <w:jc w:val="both"/>
              <w:rPr>
                <w:rFonts w:eastAsia="Calibri"/>
                <w:sz w:val="20"/>
                <w:lang w:val="fr-CA"/>
              </w:rPr>
            </w:pPr>
          </w:p>
        </w:tc>
        <w:tc>
          <w:tcPr>
            <w:tcW w:w="2330" w:type="pct"/>
          </w:tcPr>
          <w:p w:rsidR="00DC58EB" w:rsidRPr="00A16F83" w:rsidRDefault="00DC58EB" w:rsidP="00650BC1">
            <w:pPr>
              <w:jc w:val="both"/>
              <w:rPr>
                <w:rFonts w:eastAsia="Calibri"/>
                <w:sz w:val="20"/>
                <w:lang w:val="fr-CA"/>
              </w:rPr>
            </w:pPr>
            <w:r w:rsidRPr="00A16F83">
              <w:rPr>
                <w:rFonts w:eastAsia="Calibri"/>
                <w:sz w:val="20"/>
                <w:lang w:val="fr-CA"/>
              </w:rPr>
              <w:t>Appel de la confiscation, rejeté. Ordonnance de confiscation modifiée pour inclure les munitions saisies.</w:t>
            </w:r>
          </w:p>
        </w:tc>
      </w:tr>
      <w:tr w:rsidR="00DC58EB" w:rsidRPr="00A16F83" w:rsidTr="00650BC1">
        <w:tc>
          <w:tcPr>
            <w:tcW w:w="2427" w:type="pct"/>
          </w:tcPr>
          <w:p w:rsidR="00DC58EB" w:rsidRPr="00A16F83" w:rsidRDefault="00DC58EB" w:rsidP="00650BC1">
            <w:pPr>
              <w:jc w:val="both"/>
              <w:rPr>
                <w:rFonts w:eastAsia="Calibri"/>
                <w:sz w:val="20"/>
                <w:lang w:val="fr-CA"/>
              </w:rPr>
            </w:pPr>
            <w:r w:rsidRPr="00A16F83">
              <w:rPr>
                <w:rFonts w:eastAsia="Calibri"/>
                <w:sz w:val="20"/>
                <w:lang w:val="fr-CA"/>
              </w:rPr>
              <w:t>27 août 2014</w:t>
            </w:r>
          </w:p>
          <w:p w:rsidR="00DC58EB" w:rsidRPr="00A16F83" w:rsidRDefault="00DC58EB" w:rsidP="00650BC1">
            <w:pPr>
              <w:jc w:val="both"/>
              <w:rPr>
                <w:rFonts w:eastAsia="Calibri"/>
                <w:sz w:val="20"/>
                <w:lang w:val="fr-CA"/>
              </w:rPr>
            </w:pPr>
            <w:r w:rsidRPr="00A16F83">
              <w:rPr>
                <w:rFonts w:eastAsia="Calibri"/>
                <w:sz w:val="20"/>
                <w:lang w:val="fr-CA"/>
              </w:rPr>
              <w:t>Cour suprême du Canada</w:t>
            </w:r>
          </w:p>
        </w:tc>
        <w:tc>
          <w:tcPr>
            <w:tcW w:w="243" w:type="pct"/>
          </w:tcPr>
          <w:p w:rsidR="00DC58EB" w:rsidRPr="00A16F83" w:rsidRDefault="00DC58EB" w:rsidP="00650BC1">
            <w:pPr>
              <w:jc w:val="both"/>
              <w:rPr>
                <w:rFonts w:eastAsia="Calibri"/>
                <w:sz w:val="20"/>
                <w:lang w:val="fr-CA"/>
              </w:rPr>
            </w:pPr>
          </w:p>
        </w:tc>
        <w:tc>
          <w:tcPr>
            <w:tcW w:w="2330" w:type="pct"/>
          </w:tcPr>
          <w:p w:rsidR="00DC58EB" w:rsidRPr="00A16F83" w:rsidRDefault="00DC58EB" w:rsidP="00650BC1">
            <w:pPr>
              <w:jc w:val="both"/>
              <w:rPr>
                <w:rFonts w:eastAsia="Calibri"/>
                <w:sz w:val="20"/>
                <w:lang w:val="fr-CA"/>
              </w:rPr>
            </w:pPr>
            <w:r w:rsidRPr="00A16F83">
              <w:rPr>
                <w:rFonts w:eastAsia="Calibri"/>
                <w:sz w:val="20"/>
                <w:lang w:val="fr-CA"/>
              </w:rPr>
              <w:t>Demande d’autorisation d’appel, déposée</w:t>
            </w:r>
          </w:p>
        </w:tc>
      </w:tr>
    </w:tbl>
    <w:p w:rsidR="00915D6A" w:rsidRDefault="00915D6A" w:rsidP="00915D6A">
      <w:pPr>
        <w:rPr>
          <w:sz w:val="20"/>
          <w:szCs w:val="20"/>
        </w:rPr>
      </w:pPr>
    </w:p>
    <w:p w:rsidR="00915D6A" w:rsidRDefault="00690162" w:rsidP="00915D6A">
      <w:pPr>
        <w:rPr>
          <w:sz w:val="20"/>
          <w:szCs w:val="20"/>
        </w:rPr>
      </w:pPr>
      <w:r>
        <w:rPr>
          <w:sz w:val="20"/>
          <w:szCs w:val="20"/>
          <w:lang w:val="fr-CA"/>
        </w:rPr>
        <w:pict>
          <v:rect id="_x0000_i1071" style="width:2in;height:1pt" o:hrpct="0" o:hralign="center" o:hrstd="t" o:hrnoshade="t" o:hr="t" fillcolor="black [3213]" stroked="f"/>
        </w:pict>
      </w:r>
    </w:p>
    <w:p w:rsidR="00915D6A" w:rsidRDefault="00915D6A" w:rsidP="00915D6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D425D" w:rsidRPr="00F464F1" w:rsidTr="00650BC1">
        <w:trPr>
          <w:cantSplit/>
        </w:trPr>
        <w:tc>
          <w:tcPr>
            <w:tcW w:w="1458" w:type="dxa"/>
          </w:tcPr>
          <w:p w:rsidR="00BD425D" w:rsidRPr="00F464F1" w:rsidRDefault="00BD425D" w:rsidP="00650BC1">
            <w:pPr>
              <w:rPr>
                <w:sz w:val="20"/>
                <w:szCs w:val="20"/>
              </w:rPr>
            </w:pPr>
            <w:r w:rsidRPr="00F464F1">
              <w:rPr>
                <w:rStyle w:val="SCCFileNumberChar"/>
                <w:sz w:val="20"/>
                <w:szCs w:val="20"/>
              </w:rPr>
              <w:t>36028</w:t>
            </w:r>
          </w:p>
          <w:p w:rsidR="00BD425D" w:rsidRPr="00F464F1" w:rsidRDefault="00BD425D" w:rsidP="00650BC1">
            <w:pPr>
              <w:rPr>
                <w:b/>
                <w:sz w:val="20"/>
                <w:szCs w:val="20"/>
                <w:lang w:val="fr-CA"/>
              </w:rPr>
            </w:pPr>
          </w:p>
        </w:tc>
        <w:tc>
          <w:tcPr>
            <w:tcW w:w="8118" w:type="dxa"/>
          </w:tcPr>
          <w:p w:rsidR="00BD425D" w:rsidRPr="00F464F1" w:rsidRDefault="00BD425D" w:rsidP="00650BC1">
            <w:pPr>
              <w:rPr>
                <w:sz w:val="20"/>
                <w:szCs w:val="20"/>
              </w:rPr>
            </w:pPr>
            <w:r w:rsidRPr="00F464F1">
              <w:rPr>
                <w:rStyle w:val="SCCLsocChar"/>
                <w:sz w:val="20"/>
                <w:szCs w:val="20"/>
                <w:lang w:val="en-CA"/>
              </w:rPr>
              <w:t>National Money Mart Company v. Jenny Briones (née Bejarano)</w:t>
            </w:r>
            <w:r w:rsidRPr="00F464F1">
              <w:rPr>
                <w:sz w:val="20"/>
                <w:szCs w:val="20"/>
              </w:rPr>
              <w:t xml:space="preserve"> (Man.) (Civil) (By Leave)</w:t>
            </w:r>
          </w:p>
          <w:p w:rsidR="00BD425D" w:rsidRPr="00F464F1" w:rsidRDefault="00BD425D" w:rsidP="00650BC1">
            <w:pPr>
              <w:rPr>
                <w:sz w:val="20"/>
                <w:szCs w:val="20"/>
              </w:rPr>
            </w:pPr>
          </w:p>
        </w:tc>
      </w:tr>
      <w:tr w:rsidR="00BD425D" w:rsidRPr="00F464F1" w:rsidTr="00650BC1">
        <w:trPr>
          <w:cantSplit/>
        </w:trPr>
        <w:tc>
          <w:tcPr>
            <w:tcW w:w="1458" w:type="dxa"/>
          </w:tcPr>
          <w:p w:rsidR="00BD425D" w:rsidRPr="00F464F1" w:rsidRDefault="00BD425D" w:rsidP="00650BC1">
            <w:pPr>
              <w:rPr>
                <w:sz w:val="20"/>
                <w:szCs w:val="20"/>
              </w:rPr>
            </w:pPr>
            <w:r w:rsidRPr="00F464F1">
              <w:rPr>
                <w:sz w:val="20"/>
                <w:szCs w:val="20"/>
              </w:rPr>
              <w:t>Coram :</w:t>
            </w:r>
          </w:p>
        </w:tc>
        <w:tc>
          <w:tcPr>
            <w:tcW w:w="8118" w:type="dxa"/>
          </w:tcPr>
          <w:p w:rsidR="00BD425D" w:rsidRPr="00F464F1" w:rsidRDefault="00BD425D" w:rsidP="00650BC1">
            <w:pPr>
              <w:rPr>
                <w:sz w:val="20"/>
                <w:szCs w:val="20"/>
              </w:rPr>
            </w:pPr>
            <w:r w:rsidRPr="00F464F1">
              <w:rPr>
                <w:rStyle w:val="SCCCoramChar"/>
                <w:sz w:val="20"/>
                <w:szCs w:val="20"/>
                <w:lang w:val="en-CA"/>
              </w:rPr>
              <w:t>McLachlin C.J. and Cromwell and Wagner JJ.</w:t>
            </w:r>
          </w:p>
          <w:p w:rsidR="00BD425D" w:rsidRPr="00F464F1" w:rsidRDefault="00BD425D" w:rsidP="00650BC1">
            <w:pPr>
              <w:rPr>
                <w:sz w:val="20"/>
                <w:szCs w:val="20"/>
                <w:u w:val="single"/>
              </w:rPr>
            </w:pPr>
          </w:p>
        </w:tc>
      </w:tr>
      <w:tr w:rsidR="00BD425D" w:rsidRPr="00690162" w:rsidTr="00650BC1">
        <w:trPr>
          <w:cantSplit/>
        </w:trPr>
        <w:tc>
          <w:tcPr>
            <w:tcW w:w="9576" w:type="dxa"/>
            <w:gridSpan w:val="2"/>
          </w:tcPr>
          <w:p w:rsidR="00BD425D" w:rsidRPr="00F464F1" w:rsidRDefault="00BD425D" w:rsidP="00650BC1">
            <w:pPr>
              <w:pStyle w:val="SCCShortJudgment"/>
              <w:rPr>
                <w:szCs w:val="20"/>
              </w:rPr>
            </w:pPr>
            <w:r w:rsidRPr="00F464F1">
              <w:rPr>
                <w:szCs w:val="20"/>
              </w:rPr>
              <w:t>The application for leave to appeal from the judgment of the Court of Appeal of Manitoba, Number AI 13-30-08027, 2014 MBCA 57, dated June 5, 2014, is dismissed with costs.</w:t>
            </w:r>
          </w:p>
          <w:p w:rsidR="00BD425D" w:rsidRPr="00F464F1" w:rsidRDefault="00BD425D" w:rsidP="00650BC1">
            <w:pPr>
              <w:pStyle w:val="SCCShortJudgment"/>
              <w:ind w:firstLine="0"/>
              <w:rPr>
                <w:szCs w:val="20"/>
              </w:rPr>
            </w:pPr>
          </w:p>
          <w:p w:rsidR="00BD425D" w:rsidRPr="00F464F1" w:rsidRDefault="00BD425D" w:rsidP="00650BC1">
            <w:pPr>
              <w:pStyle w:val="SCCShortJudgment"/>
              <w:rPr>
                <w:szCs w:val="20"/>
                <w:lang w:val="fr-CA"/>
              </w:rPr>
            </w:pPr>
            <w:r w:rsidRPr="00F464F1">
              <w:rPr>
                <w:szCs w:val="20"/>
                <w:lang w:val="fr-CA"/>
              </w:rPr>
              <w:t>La demande d’autorisation d’appel de l’arrêt de la Cour d’appel du Manitoba, numéro AI 13-30-08027, 2014 MBCA 57, daté du 5 juin 2014, est rejetée avec dépens.</w:t>
            </w:r>
          </w:p>
        </w:tc>
      </w:tr>
    </w:tbl>
    <w:p w:rsidR="00915D6A" w:rsidRPr="0016547E" w:rsidRDefault="00915D6A" w:rsidP="00915D6A">
      <w:pPr>
        <w:rPr>
          <w:sz w:val="20"/>
          <w:szCs w:val="20"/>
          <w:lang w:val="fr-CA"/>
        </w:rPr>
      </w:pPr>
    </w:p>
    <w:p w:rsidR="00915D6A" w:rsidRPr="001B157C" w:rsidRDefault="00915D6A" w:rsidP="00915D6A">
      <w:pPr>
        <w:rPr>
          <w:sz w:val="20"/>
          <w:szCs w:val="20"/>
          <w:u w:val="single"/>
        </w:rPr>
      </w:pPr>
      <w:r w:rsidRPr="001B157C">
        <w:rPr>
          <w:sz w:val="20"/>
          <w:szCs w:val="20"/>
          <w:u w:val="single"/>
        </w:rPr>
        <w:t>CASE SUMMARY</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4EF2" w:rsidRPr="00A16F83" w:rsidTr="00650BC1">
        <w:tc>
          <w:tcPr>
            <w:tcW w:w="5000" w:type="pct"/>
            <w:gridSpan w:val="3"/>
          </w:tcPr>
          <w:p w:rsidR="001F4EF2" w:rsidRPr="00A16F83" w:rsidRDefault="001F4EF2" w:rsidP="00650BC1">
            <w:pPr>
              <w:jc w:val="both"/>
              <w:rPr>
                <w:rFonts w:eastAsia="Calibri"/>
                <w:sz w:val="20"/>
              </w:rPr>
            </w:pPr>
            <w:r w:rsidRPr="00A16F83">
              <w:rPr>
                <w:rFonts w:eastAsia="Calibri"/>
                <w:sz w:val="20"/>
              </w:rPr>
              <w:t xml:space="preserve">Courts — Jurisdiction — Contracts — Arbitration clause — Statutes — Whether the </w:t>
            </w:r>
            <w:r w:rsidRPr="00A16F83">
              <w:rPr>
                <w:rFonts w:eastAsia="Calibri"/>
                <w:i/>
                <w:sz w:val="20"/>
              </w:rPr>
              <w:t>Unconscionable Transactions Relief Act</w:t>
            </w:r>
            <w:r w:rsidRPr="00A16F83">
              <w:rPr>
                <w:rFonts w:eastAsia="Calibri"/>
                <w:sz w:val="20"/>
              </w:rPr>
              <w:t xml:space="preserve">, C.C.S.M., c. U20, or the </w:t>
            </w:r>
            <w:r w:rsidRPr="00A16F83">
              <w:rPr>
                <w:rFonts w:eastAsia="Calibri"/>
                <w:i/>
                <w:sz w:val="20"/>
              </w:rPr>
              <w:t>Consumer Protection Act</w:t>
            </w:r>
            <w:r w:rsidRPr="00A16F83">
              <w:rPr>
                <w:rFonts w:eastAsia="Calibri"/>
                <w:sz w:val="20"/>
              </w:rPr>
              <w:t xml:space="preserve"> C.C.S.M., c. C200, override the arbitration clause, and, if so, the extent of the limitation on the arbitration clause — What is the general test for determining when statutory rights that are enforceable in the courts also fall within the concurrent jurisdiction of arbitrators?</w:t>
            </w:r>
          </w:p>
        </w:tc>
      </w:tr>
      <w:tr w:rsidR="001F4EF2" w:rsidRPr="00A16F83" w:rsidTr="00650BC1">
        <w:tc>
          <w:tcPr>
            <w:tcW w:w="5000" w:type="pct"/>
            <w:gridSpan w:val="3"/>
          </w:tcPr>
          <w:p w:rsidR="001F4EF2" w:rsidRPr="00A16F83" w:rsidRDefault="001F4EF2" w:rsidP="00650BC1">
            <w:pPr>
              <w:jc w:val="both"/>
              <w:rPr>
                <w:rFonts w:eastAsia="Calibri"/>
                <w:sz w:val="20"/>
              </w:rPr>
            </w:pPr>
          </w:p>
        </w:tc>
      </w:tr>
      <w:tr w:rsidR="001F4EF2" w:rsidRPr="00A16F83" w:rsidTr="00650BC1">
        <w:tc>
          <w:tcPr>
            <w:tcW w:w="5000" w:type="pct"/>
            <w:gridSpan w:val="3"/>
          </w:tcPr>
          <w:p w:rsidR="001F4EF2" w:rsidRPr="00A16F83" w:rsidRDefault="001F4EF2" w:rsidP="00650BC1">
            <w:pPr>
              <w:jc w:val="both"/>
              <w:rPr>
                <w:rFonts w:eastAsia="Calibri"/>
                <w:sz w:val="20"/>
              </w:rPr>
            </w:pPr>
            <w:r w:rsidRPr="00A16F83">
              <w:rPr>
                <w:rFonts w:eastAsia="Calibri"/>
                <w:sz w:val="20"/>
              </w:rPr>
              <w:t xml:space="preserve">Between September 2001 and July 2006, Ms. Briones obtained 99 Fast Cash Advances from National Money Mart (“Money Mart”).  Each time, she signed an agreement which contained a clause agreeing that any claim, dispute or issue arising in connection with the loan could be referred to mediation and/or arbitration by either party.  When she repaid the loans using Money Mart’s cheque-cashing service, she was also charged cheque-cashing fees.  Arguing that those fees were “interest” resulting in interest in excess of the 60% permitted by s. 347 of the </w:t>
            </w:r>
            <w:r w:rsidRPr="00A16F83">
              <w:rPr>
                <w:rFonts w:eastAsia="Calibri"/>
                <w:i/>
                <w:sz w:val="20"/>
              </w:rPr>
              <w:t>Criminal Code</w:t>
            </w:r>
            <w:r w:rsidRPr="00A16F83">
              <w:rPr>
                <w:rFonts w:eastAsia="Calibri"/>
                <w:sz w:val="20"/>
              </w:rPr>
              <w:t xml:space="preserve">, R.S.C. 1985, c. C-46, she initiated an action on her own behalf and on behalf of the proposed class under the </w:t>
            </w:r>
            <w:r w:rsidRPr="00A16F83">
              <w:rPr>
                <w:rFonts w:eastAsia="Calibri"/>
                <w:i/>
                <w:sz w:val="20"/>
              </w:rPr>
              <w:t>Class Proceedings Act</w:t>
            </w:r>
            <w:r w:rsidRPr="00A16F83">
              <w:rPr>
                <w:rFonts w:eastAsia="Calibri"/>
                <w:sz w:val="20"/>
              </w:rPr>
              <w:t xml:space="preserve">, C.C.S.M., c. C130, seeking an accounting and repayment of all cheque-cashing fees.  She also sought declarations that the cheque-cashing fees paid are interest under s. 347 of the </w:t>
            </w:r>
            <w:r w:rsidRPr="00A16F83">
              <w:rPr>
                <w:rFonts w:eastAsia="Calibri"/>
                <w:i/>
                <w:sz w:val="20"/>
              </w:rPr>
              <w:t>Criminal Code</w:t>
            </w:r>
            <w:r w:rsidRPr="00A16F83">
              <w:rPr>
                <w:rFonts w:eastAsia="Calibri"/>
                <w:sz w:val="20"/>
              </w:rPr>
              <w:t xml:space="preserve">, and that the </w:t>
            </w:r>
            <w:r w:rsidRPr="00A16F83">
              <w:rPr>
                <w:rFonts w:eastAsia="Calibri"/>
                <w:sz w:val="20"/>
              </w:rPr>
              <w:lastRenderedPageBreak/>
              <w:t xml:space="preserve">agreements under which the moneys were advanced were unlawful, failed to comply with </w:t>
            </w:r>
            <w:r w:rsidRPr="00A16F83">
              <w:rPr>
                <w:rFonts w:eastAsia="Calibri"/>
                <w:i/>
                <w:sz w:val="20"/>
              </w:rPr>
              <w:t>The Consumer Protection Act</w:t>
            </w:r>
            <w:r w:rsidRPr="00A16F83">
              <w:rPr>
                <w:rFonts w:eastAsia="Calibri"/>
                <w:sz w:val="20"/>
              </w:rPr>
              <w:t xml:space="preserve">, C.C.S.M., c. C200, and constituted harsh or unconscionable transactions within the meaning of the </w:t>
            </w:r>
            <w:r w:rsidRPr="00A16F83">
              <w:rPr>
                <w:rFonts w:eastAsia="Calibri"/>
                <w:i/>
                <w:sz w:val="20"/>
              </w:rPr>
              <w:t>Unconscionable Transactions Relief Act</w:t>
            </w:r>
            <w:r w:rsidRPr="00A16F83">
              <w:rPr>
                <w:rFonts w:eastAsia="Calibri"/>
                <w:sz w:val="20"/>
              </w:rPr>
              <w:t>, C.C.S.M., c. U20.  Finally, she claimed that the Dollar Financial Group, Inc. was jointly and severally liable for any liability of Money Mart.</w:t>
            </w:r>
          </w:p>
          <w:p w:rsidR="001F4EF2" w:rsidRPr="00A16F83" w:rsidRDefault="001F4EF2" w:rsidP="00650BC1">
            <w:pPr>
              <w:jc w:val="both"/>
              <w:rPr>
                <w:rFonts w:eastAsia="Calibri"/>
                <w:sz w:val="20"/>
              </w:rPr>
            </w:pPr>
          </w:p>
          <w:p w:rsidR="001F4EF2" w:rsidRPr="00A16F83" w:rsidRDefault="001F4EF2" w:rsidP="00650BC1">
            <w:pPr>
              <w:jc w:val="both"/>
              <w:rPr>
                <w:rFonts w:eastAsia="Calibri"/>
                <w:sz w:val="20"/>
              </w:rPr>
            </w:pPr>
            <w:r w:rsidRPr="00A16F83">
              <w:rPr>
                <w:rFonts w:eastAsia="Calibri"/>
                <w:sz w:val="20"/>
              </w:rPr>
              <w:t>Money Mart argued that Ms. Briones’ claim should be stayed because she had entered into multiple written agreements requiring her to mediate and/or arbitrate the disputes.  It asked the court to compel her to proceed with arbitration and/or mediation of her disputes.</w:t>
            </w:r>
          </w:p>
          <w:p w:rsidR="001F4EF2" w:rsidRPr="00A16F83" w:rsidRDefault="001F4EF2" w:rsidP="00650BC1">
            <w:pPr>
              <w:jc w:val="both"/>
              <w:rPr>
                <w:rFonts w:eastAsia="Calibri"/>
                <w:sz w:val="20"/>
              </w:rPr>
            </w:pPr>
          </w:p>
          <w:p w:rsidR="001F4EF2" w:rsidRPr="00A16F83" w:rsidRDefault="001F4EF2" w:rsidP="00650BC1">
            <w:pPr>
              <w:jc w:val="both"/>
              <w:rPr>
                <w:rFonts w:eastAsia="Calibri"/>
                <w:sz w:val="20"/>
              </w:rPr>
            </w:pPr>
            <w:r w:rsidRPr="00A16F83">
              <w:rPr>
                <w:rFonts w:eastAsia="Calibri"/>
                <w:sz w:val="20"/>
              </w:rPr>
              <w:t xml:space="preserve">Based on the </w:t>
            </w:r>
            <w:r w:rsidRPr="00A16F83">
              <w:rPr>
                <w:rFonts w:eastAsia="Calibri"/>
                <w:i/>
                <w:sz w:val="20"/>
              </w:rPr>
              <w:t>Unconscionable Transactions Relief Act</w:t>
            </w:r>
            <w:r w:rsidRPr="00A16F83">
              <w:rPr>
                <w:rFonts w:eastAsia="Calibri"/>
                <w:sz w:val="20"/>
              </w:rPr>
              <w:t xml:space="preserve">, the </w:t>
            </w:r>
            <w:r w:rsidRPr="00A16F83">
              <w:rPr>
                <w:rFonts w:eastAsia="Calibri"/>
                <w:i/>
                <w:sz w:val="20"/>
              </w:rPr>
              <w:t>Consumer Protection Act</w:t>
            </w:r>
            <w:r w:rsidRPr="00A16F83">
              <w:rPr>
                <w:rFonts w:eastAsia="Calibri"/>
                <w:sz w:val="20"/>
              </w:rPr>
              <w:t xml:space="preserve">, and </w:t>
            </w:r>
            <w:r w:rsidRPr="00A16F83">
              <w:rPr>
                <w:rFonts w:eastAsia="Calibri"/>
                <w:i/>
                <w:sz w:val="20"/>
              </w:rPr>
              <w:t>Seidel v. TELUS Communications Inc.</w:t>
            </w:r>
            <w:r w:rsidRPr="00A16F83">
              <w:rPr>
                <w:rFonts w:eastAsia="Calibri"/>
                <w:sz w:val="20"/>
              </w:rPr>
              <w:t>, 2011 SCC 15, the motion judge dismissed the motion to stay or dismiss the action.  The Court of Appeal dismissed the appeal.</w:t>
            </w:r>
          </w:p>
          <w:p w:rsidR="001F4EF2" w:rsidRPr="00A16F83" w:rsidRDefault="001F4EF2" w:rsidP="00650BC1">
            <w:pPr>
              <w:jc w:val="both"/>
              <w:rPr>
                <w:rFonts w:eastAsia="Calibri"/>
                <w:sz w:val="20"/>
              </w:rPr>
            </w:pPr>
          </w:p>
        </w:tc>
      </w:tr>
      <w:tr w:rsidR="001F4EF2" w:rsidRPr="00A16F83" w:rsidTr="00650BC1">
        <w:tc>
          <w:tcPr>
            <w:tcW w:w="2427" w:type="pct"/>
          </w:tcPr>
          <w:p w:rsidR="001F4EF2" w:rsidRPr="00A16F83" w:rsidRDefault="001F4EF2" w:rsidP="00650BC1">
            <w:pPr>
              <w:jc w:val="both"/>
              <w:rPr>
                <w:rFonts w:eastAsia="Calibri"/>
                <w:sz w:val="20"/>
              </w:rPr>
            </w:pPr>
            <w:r w:rsidRPr="00A16F83">
              <w:rPr>
                <w:rFonts w:eastAsia="Calibri"/>
                <w:sz w:val="20"/>
              </w:rPr>
              <w:lastRenderedPageBreak/>
              <w:t>July 11, 2013</w:t>
            </w:r>
          </w:p>
          <w:p w:rsidR="001F4EF2" w:rsidRPr="00A16F83" w:rsidRDefault="001F4EF2" w:rsidP="00650BC1">
            <w:pPr>
              <w:jc w:val="both"/>
              <w:rPr>
                <w:rFonts w:eastAsia="Calibri"/>
                <w:sz w:val="20"/>
              </w:rPr>
            </w:pPr>
            <w:r w:rsidRPr="00A16F83">
              <w:rPr>
                <w:rFonts w:eastAsia="Calibri"/>
                <w:sz w:val="20"/>
              </w:rPr>
              <w:t>Court of Queen’s Bench of Manitoba</w:t>
            </w:r>
          </w:p>
          <w:p w:rsidR="001F4EF2" w:rsidRPr="00A16F83" w:rsidRDefault="001F4EF2" w:rsidP="00650BC1">
            <w:pPr>
              <w:jc w:val="both"/>
              <w:rPr>
                <w:rFonts w:eastAsia="Calibri"/>
                <w:sz w:val="20"/>
              </w:rPr>
            </w:pPr>
            <w:r w:rsidRPr="00A16F83">
              <w:rPr>
                <w:rFonts w:eastAsia="Calibri"/>
                <w:sz w:val="20"/>
              </w:rPr>
              <w:t>(Perlmutter A.C.J.Q.B.)</w:t>
            </w:r>
          </w:p>
          <w:p w:rsidR="001F4EF2" w:rsidRPr="00A16F83" w:rsidRDefault="00690162" w:rsidP="00650BC1">
            <w:pPr>
              <w:jc w:val="both"/>
              <w:rPr>
                <w:rFonts w:eastAsia="Calibri"/>
                <w:sz w:val="20"/>
              </w:rPr>
            </w:pPr>
            <w:hyperlink r:id="rId73" w:history="1">
              <w:r w:rsidR="001F4EF2" w:rsidRPr="00A16F83">
                <w:rPr>
                  <w:rFonts w:eastAsia="Calibri"/>
                  <w:color w:val="0000FF"/>
                  <w:sz w:val="20"/>
                  <w:u w:val="single"/>
                </w:rPr>
                <w:t>2013 MBQB 168</w:t>
              </w:r>
            </w:hyperlink>
          </w:p>
          <w:p w:rsidR="001F4EF2" w:rsidRPr="00A16F83" w:rsidRDefault="001F4EF2" w:rsidP="00650BC1">
            <w:pPr>
              <w:jc w:val="both"/>
              <w:rPr>
                <w:rFonts w:eastAsia="Calibri"/>
                <w:sz w:val="20"/>
              </w:rPr>
            </w:pPr>
          </w:p>
        </w:tc>
        <w:tc>
          <w:tcPr>
            <w:tcW w:w="243" w:type="pct"/>
          </w:tcPr>
          <w:p w:rsidR="001F4EF2" w:rsidRPr="00A16F83" w:rsidRDefault="001F4EF2" w:rsidP="00650BC1">
            <w:pPr>
              <w:jc w:val="both"/>
              <w:rPr>
                <w:rFonts w:eastAsia="Calibri"/>
                <w:sz w:val="20"/>
              </w:rPr>
            </w:pPr>
          </w:p>
        </w:tc>
        <w:tc>
          <w:tcPr>
            <w:tcW w:w="2330" w:type="pct"/>
          </w:tcPr>
          <w:p w:rsidR="001F4EF2" w:rsidRPr="00A16F83" w:rsidRDefault="001F4EF2" w:rsidP="00650BC1">
            <w:pPr>
              <w:jc w:val="both"/>
              <w:rPr>
                <w:rFonts w:eastAsia="Calibri"/>
                <w:sz w:val="20"/>
              </w:rPr>
            </w:pPr>
            <w:r w:rsidRPr="00A16F83">
              <w:rPr>
                <w:rFonts w:eastAsia="Calibri"/>
                <w:sz w:val="20"/>
              </w:rPr>
              <w:t>Motion to stay or dismiss action dismissed</w:t>
            </w:r>
          </w:p>
        </w:tc>
      </w:tr>
      <w:tr w:rsidR="001F4EF2" w:rsidRPr="00A16F83" w:rsidTr="00650BC1">
        <w:tc>
          <w:tcPr>
            <w:tcW w:w="2427" w:type="pct"/>
          </w:tcPr>
          <w:p w:rsidR="001F4EF2" w:rsidRPr="00A16F83" w:rsidRDefault="001F4EF2" w:rsidP="00650BC1">
            <w:pPr>
              <w:jc w:val="both"/>
              <w:rPr>
                <w:rFonts w:eastAsia="Calibri"/>
                <w:sz w:val="20"/>
              </w:rPr>
            </w:pPr>
            <w:r w:rsidRPr="00A16F83">
              <w:rPr>
                <w:rFonts w:eastAsia="Calibri"/>
                <w:sz w:val="20"/>
              </w:rPr>
              <w:t>June 5, 2014</w:t>
            </w:r>
          </w:p>
          <w:p w:rsidR="001F4EF2" w:rsidRPr="00A16F83" w:rsidRDefault="001F4EF2" w:rsidP="00650BC1">
            <w:pPr>
              <w:jc w:val="both"/>
              <w:rPr>
                <w:rFonts w:eastAsia="Calibri"/>
                <w:sz w:val="20"/>
              </w:rPr>
            </w:pPr>
            <w:r w:rsidRPr="00A16F83">
              <w:rPr>
                <w:rFonts w:eastAsia="Calibri"/>
                <w:sz w:val="20"/>
              </w:rPr>
              <w:t>Court of Appeal of Manitoba</w:t>
            </w:r>
          </w:p>
          <w:p w:rsidR="001F4EF2" w:rsidRPr="00A16F83" w:rsidRDefault="001F4EF2" w:rsidP="00650BC1">
            <w:pPr>
              <w:jc w:val="both"/>
              <w:rPr>
                <w:rFonts w:eastAsia="Calibri"/>
                <w:sz w:val="20"/>
                <w:lang w:val="fr-CA"/>
              </w:rPr>
            </w:pPr>
            <w:r w:rsidRPr="00A16F83">
              <w:rPr>
                <w:rFonts w:eastAsia="Calibri"/>
                <w:sz w:val="20"/>
                <w:lang w:val="fr-CA"/>
              </w:rPr>
              <w:t>(Monnin, Beard, Mainella JJ.A.)</w:t>
            </w:r>
          </w:p>
          <w:p w:rsidR="001F4EF2" w:rsidRPr="00A16F83" w:rsidRDefault="00690162" w:rsidP="00650BC1">
            <w:pPr>
              <w:jc w:val="both"/>
              <w:rPr>
                <w:rFonts w:eastAsia="Calibri"/>
                <w:sz w:val="20"/>
              </w:rPr>
            </w:pPr>
            <w:hyperlink r:id="rId74" w:history="1">
              <w:r w:rsidR="001F4EF2" w:rsidRPr="00A16F83">
                <w:rPr>
                  <w:rFonts w:eastAsia="Calibri"/>
                  <w:color w:val="0000FF"/>
                  <w:sz w:val="20"/>
                  <w:u w:val="single"/>
                </w:rPr>
                <w:t>2014 MBCA 57</w:t>
              </w:r>
            </w:hyperlink>
          </w:p>
          <w:p w:rsidR="001F4EF2" w:rsidRPr="00A16F83" w:rsidRDefault="001F4EF2" w:rsidP="00650BC1">
            <w:pPr>
              <w:jc w:val="both"/>
              <w:rPr>
                <w:rFonts w:eastAsia="Calibri"/>
                <w:sz w:val="20"/>
              </w:rPr>
            </w:pPr>
          </w:p>
        </w:tc>
        <w:tc>
          <w:tcPr>
            <w:tcW w:w="243" w:type="pct"/>
          </w:tcPr>
          <w:p w:rsidR="001F4EF2" w:rsidRPr="00A16F83" w:rsidRDefault="001F4EF2" w:rsidP="00650BC1">
            <w:pPr>
              <w:jc w:val="both"/>
              <w:rPr>
                <w:rFonts w:eastAsia="Calibri"/>
                <w:sz w:val="20"/>
              </w:rPr>
            </w:pPr>
          </w:p>
        </w:tc>
        <w:tc>
          <w:tcPr>
            <w:tcW w:w="2330" w:type="pct"/>
          </w:tcPr>
          <w:p w:rsidR="001F4EF2" w:rsidRPr="00A16F83" w:rsidRDefault="001F4EF2" w:rsidP="00650BC1">
            <w:pPr>
              <w:jc w:val="both"/>
              <w:rPr>
                <w:rFonts w:eastAsia="Calibri"/>
                <w:sz w:val="20"/>
              </w:rPr>
            </w:pPr>
            <w:r w:rsidRPr="00A16F83">
              <w:rPr>
                <w:rFonts w:eastAsia="Calibri"/>
                <w:sz w:val="20"/>
              </w:rPr>
              <w:t>Appeal dismissed</w:t>
            </w:r>
          </w:p>
        </w:tc>
      </w:tr>
      <w:tr w:rsidR="001F4EF2" w:rsidRPr="00A16F83" w:rsidTr="00650BC1">
        <w:tc>
          <w:tcPr>
            <w:tcW w:w="2427" w:type="pct"/>
          </w:tcPr>
          <w:p w:rsidR="001F4EF2" w:rsidRPr="00A16F83" w:rsidRDefault="001F4EF2" w:rsidP="00650BC1">
            <w:pPr>
              <w:jc w:val="both"/>
              <w:rPr>
                <w:rFonts w:eastAsia="Calibri"/>
                <w:sz w:val="20"/>
              </w:rPr>
            </w:pPr>
            <w:r w:rsidRPr="00A16F83">
              <w:rPr>
                <w:rFonts w:eastAsia="Calibri"/>
                <w:sz w:val="20"/>
              </w:rPr>
              <w:t>September 2, 2014</w:t>
            </w:r>
          </w:p>
          <w:p w:rsidR="001F4EF2" w:rsidRPr="00A16F83" w:rsidRDefault="001F4EF2" w:rsidP="00650BC1">
            <w:pPr>
              <w:jc w:val="both"/>
              <w:rPr>
                <w:rFonts w:eastAsia="Calibri"/>
                <w:sz w:val="20"/>
              </w:rPr>
            </w:pPr>
            <w:r w:rsidRPr="00A16F83">
              <w:rPr>
                <w:rFonts w:eastAsia="Calibri"/>
                <w:sz w:val="20"/>
              </w:rPr>
              <w:t>Supreme Court of Canada</w:t>
            </w:r>
          </w:p>
        </w:tc>
        <w:tc>
          <w:tcPr>
            <w:tcW w:w="243" w:type="pct"/>
          </w:tcPr>
          <w:p w:rsidR="001F4EF2" w:rsidRPr="00A16F83" w:rsidRDefault="001F4EF2" w:rsidP="00650BC1">
            <w:pPr>
              <w:jc w:val="both"/>
              <w:rPr>
                <w:rFonts w:eastAsia="Calibri"/>
                <w:sz w:val="20"/>
              </w:rPr>
            </w:pPr>
          </w:p>
        </w:tc>
        <w:tc>
          <w:tcPr>
            <w:tcW w:w="2330" w:type="pct"/>
          </w:tcPr>
          <w:p w:rsidR="001F4EF2" w:rsidRPr="00A16F83" w:rsidRDefault="001F4EF2" w:rsidP="00650BC1">
            <w:pPr>
              <w:jc w:val="both"/>
              <w:rPr>
                <w:rFonts w:eastAsia="Calibri"/>
                <w:sz w:val="20"/>
              </w:rPr>
            </w:pPr>
            <w:r w:rsidRPr="00A16F83">
              <w:rPr>
                <w:rFonts w:eastAsia="Calibri"/>
                <w:sz w:val="20"/>
              </w:rPr>
              <w:t>Application for leave to appeal filed</w:t>
            </w:r>
          </w:p>
        </w:tc>
      </w:tr>
    </w:tbl>
    <w:p w:rsidR="00915D6A" w:rsidRDefault="00915D6A" w:rsidP="00915D6A">
      <w:pPr>
        <w:rPr>
          <w:sz w:val="20"/>
          <w:szCs w:val="20"/>
        </w:rPr>
      </w:pPr>
    </w:p>
    <w:p w:rsidR="00915D6A" w:rsidRPr="00C50A5C" w:rsidRDefault="00690162" w:rsidP="00915D6A">
      <w:pPr>
        <w:rPr>
          <w:sz w:val="20"/>
          <w:szCs w:val="20"/>
        </w:rPr>
      </w:pPr>
      <w:r>
        <w:rPr>
          <w:sz w:val="20"/>
          <w:szCs w:val="20"/>
          <w:lang w:val="fr-CA"/>
        </w:rPr>
        <w:pict>
          <v:rect id="_x0000_i1072" style="width:2in;height:1pt" o:hrpct="0" o:hralign="center" o:hrstd="t" o:hrnoshade="t" o:hr="t" fillcolor="black [3213]" stroked="f"/>
        </w:pict>
      </w:r>
    </w:p>
    <w:p w:rsidR="00915D6A" w:rsidRDefault="00915D6A" w:rsidP="00915D6A">
      <w:pPr>
        <w:rPr>
          <w:sz w:val="20"/>
          <w:szCs w:val="20"/>
        </w:rPr>
      </w:pPr>
    </w:p>
    <w:p w:rsidR="00915D6A" w:rsidRPr="001B157C" w:rsidRDefault="00915D6A" w:rsidP="00915D6A">
      <w:pPr>
        <w:rPr>
          <w:sz w:val="20"/>
          <w:szCs w:val="20"/>
          <w:u w:val="single"/>
          <w:lang w:val="fr-CA"/>
        </w:rPr>
      </w:pPr>
      <w:r w:rsidRPr="001B157C">
        <w:rPr>
          <w:sz w:val="20"/>
          <w:szCs w:val="20"/>
          <w:u w:val="single"/>
          <w:lang w:val="fr-CA"/>
        </w:rPr>
        <w:t>RÉSUMÉ DE L’AFFAIRE</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4EF2" w:rsidRPr="00690162" w:rsidTr="00650BC1">
        <w:tc>
          <w:tcPr>
            <w:tcW w:w="5000" w:type="pct"/>
            <w:gridSpan w:val="3"/>
          </w:tcPr>
          <w:p w:rsidR="001F4EF2" w:rsidRPr="00A16F83" w:rsidRDefault="001F4EF2" w:rsidP="00650BC1">
            <w:pPr>
              <w:jc w:val="both"/>
              <w:rPr>
                <w:rFonts w:eastAsia="Calibri"/>
                <w:sz w:val="20"/>
                <w:lang w:val="fr-CA"/>
              </w:rPr>
            </w:pPr>
            <w:r w:rsidRPr="00A16F83">
              <w:rPr>
                <w:rFonts w:eastAsia="Calibri"/>
                <w:sz w:val="20"/>
                <w:lang w:val="fr-CA"/>
              </w:rPr>
              <w:t xml:space="preserve">Tribunaux — Compétence — Contrats — Clause d’arbitrage — Lois — La </w:t>
            </w:r>
            <w:r w:rsidRPr="00A16F83">
              <w:rPr>
                <w:rFonts w:eastAsia="Calibri"/>
                <w:i/>
                <w:sz w:val="20"/>
                <w:lang w:val="fr-CA"/>
              </w:rPr>
              <w:t>Loi sur les opérations de prêt exorbitantes</w:t>
            </w:r>
            <w:r w:rsidRPr="00A16F83">
              <w:rPr>
                <w:rFonts w:eastAsia="Calibri"/>
                <w:sz w:val="20"/>
                <w:lang w:val="fr-CA"/>
              </w:rPr>
              <w:t xml:space="preserve">, C.P.L.M., ch. U20, ou la </w:t>
            </w:r>
            <w:r w:rsidRPr="00A16F83">
              <w:rPr>
                <w:rFonts w:eastAsia="Calibri"/>
                <w:i/>
                <w:sz w:val="20"/>
                <w:lang w:val="fr-CA"/>
              </w:rPr>
              <w:t>Loi sur la protection du consommateur</w:t>
            </w:r>
            <w:r w:rsidRPr="00A16F83">
              <w:rPr>
                <w:rFonts w:eastAsia="Calibri"/>
                <w:sz w:val="20"/>
                <w:lang w:val="fr-CA"/>
              </w:rPr>
              <w:t xml:space="preserve"> C.P.L.M., ch. C200, écartent-elles l’application de la clause d’arbitrage et, dans l’affirmative, dans quelle mesure? — Quel est le critère général pour déterminer les situations dans lesquelles les droits prévus par la loi qui sont exécutoires devant les tribunaux relèvent également de la compétence concurrente des arbitres?</w:t>
            </w:r>
          </w:p>
        </w:tc>
      </w:tr>
      <w:tr w:rsidR="001F4EF2" w:rsidRPr="00690162" w:rsidTr="00650BC1">
        <w:tc>
          <w:tcPr>
            <w:tcW w:w="5000" w:type="pct"/>
            <w:gridSpan w:val="3"/>
          </w:tcPr>
          <w:p w:rsidR="001F4EF2" w:rsidRPr="00A16F83" w:rsidRDefault="001F4EF2" w:rsidP="00650BC1">
            <w:pPr>
              <w:jc w:val="both"/>
              <w:rPr>
                <w:rFonts w:eastAsia="Calibri"/>
                <w:sz w:val="20"/>
                <w:lang w:val="fr-CA"/>
              </w:rPr>
            </w:pPr>
          </w:p>
        </w:tc>
      </w:tr>
      <w:tr w:rsidR="001F4EF2" w:rsidRPr="00A16F83" w:rsidTr="00650BC1">
        <w:tc>
          <w:tcPr>
            <w:tcW w:w="5000" w:type="pct"/>
            <w:gridSpan w:val="3"/>
          </w:tcPr>
          <w:p w:rsidR="001F4EF2" w:rsidRPr="00A16F83" w:rsidRDefault="001F4EF2" w:rsidP="00650BC1">
            <w:pPr>
              <w:jc w:val="both"/>
              <w:rPr>
                <w:rFonts w:eastAsia="Calibri"/>
                <w:sz w:val="20"/>
                <w:lang w:val="fr-CA"/>
              </w:rPr>
            </w:pPr>
            <w:r w:rsidRPr="00A16F83">
              <w:rPr>
                <w:rFonts w:eastAsia="Calibri"/>
                <w:sz w:val="20"/>
                <w:lang w:val="fr-CA"/>
              </w:rPr>
              <w:t xml:space="preserve">Entre septembre 2001 et juillet 2006, Mme Briones a obtenu 99 avances rapides d’argent « Fast Cash » de National Money Mart (« Money Mart »).  À chaque occasion, elle a signé un contrat qui renfermait une clause stipulant que toute réclamation, tout différend ou toute question découlant du prêt pouvait être renvoyé à la médiation ou à l’arbitrage par une partie.  Lorsqu’elle a remboursé les emprunts à l’aide du service d’encaissement de chèques de Money Mart, elle s’est également fait facturer des frais d’encaissement de chèques.  Plaidant que ces frais constituait de « l’intérêt » qui donnait lieu à un taux qui dépassait le taux de 60 % permis par l’art. 347 du </w:t>
            </w:r>
            <w:r w:rsidRPr="00A16F83">
              <w:rPr>
                <w:rFonts w:eastAsia="Calibri"/>
                <w:i/>
                <w:sz w:val="20"/>
                <w:lang w:val="fr-CA"/>
              </w:rPr>
              <w:t>Code criminel</w:t>
            </w:r>
            <w:r w:rsidRPr="00A16F83">
              <w:rPr>
                <w:rFonts w:eastAsia="Calibri"/>
                <w:sz w:val="20"/>
                <w:lang w:val="fr-CA"/>
              </w:rPr>
              <w:t xml:space="preserve">, L.R.C. 1985, ch. C-46, elle a intenté une action en son propre nom et au nom des membres d’un groupe éventuel de demandeurs en application de la </w:t>
            </w:r>
            <w:r w:rsidRPr="00A16F83">
              <w:rPr>
                <w:rFonts w:eastAsia="Calibri"/>
                <w:i/>
                <w:sz w:val="20"/>
                <w:lang w:val="fr-CA"/>
              </w:rPr>
              <w:t>Loi sur les recours collectifs</w:t>
            </w:r>
            <w:r w:rsidRPr="00A16F83">
              <w:rPr>
                <w:rFonts w:eastAsia="Calibri"/>
                <w:sz w:val="20"/>
                <w:lang w:val="fr-CA"/>
              </w:rPr>
              <w:t xml:space="preserve">, C.P.L.M., ch. C130, cherchant à obtenir une reddition de comptes et le remboursement de tous les frais d’encaissement de chèques.  Elle a également demandé un jugement déclarant que les frais d’encaissement de chèques payés constituaient de l’intérêt visé par l’art. 347 du </w:t>
            </w:r>
            <w:r w:rsidRPr="00A16F83">
              <w:rPr>
                <w:rFonts w:eastAsia="Calibri"/>
                <w:i/>
                <w:sz w:val="20"/>
                <w:lang w:val="fr-CA"/>
              </w:rPr>
              <w:t>Code criminel</w:t>
            </w:r>
            <w:r w:rsidRPr="00A16F83">
              <w:rPr>
                <w:rFonts w:eastAsia="Calibri"/>
                <w:sz w:val="20"/>
                <w:lang w:val="fr-CA"/>
              </w:rPr>
              <w:t xml:space="preserve">, et que les contrats en vertu desquels les sommes d’argent ont été avancées étaient illégaux, qu’ils ne respectaient pas la </w:t>
            </w:r>
            <w:r w:rsidRPr="00A16F83">
              <w:rPr>
                <w:rFonts w:eastAsia="Calibri"/>
                <w:i/>
                <w:sz w:val="20"/>
                <w:lang w:val="fr-CA"/>
              </w:rPr>
              <w:t>Loi sur la protection du consommateur</w:t>
            </w:r>
            <w:r w:rsidRPr="00A16F83">
              <w:rPr>
                <w:rFonts w:eastAsia="Calibri"/>
                <w:sz w:val="20"/>
                <w:lang w:val="fr-CA"/>
              </w:rPr>
              <w:t xml:space="preserve">, C.C.S.M., c. C200, et qu’ils constituaient des opérations draconiennes et exorbitantes au sens de la </w:t>
            </w:r>
            <w:r w:rsidRPr="00A16F83">
              <w:rPr>
                <w:rFonts w:eastAsia="Calibri"/>
                <w:i/>
                <w:sz w:val="20"/>
                <w:lang w:val="fr-CA"/>
              </w:rPr>
              <w:t>Loi sur les opérations de prêt exorbitantes</w:t>
            </w:r>
            <w:r w:rsidRPr="00A16F83">
              <w:rPr>
                <w:rFonts w:eastAsia="Calibri"/>
                <w:sz w:val="20"/>
                <w:lang w:val="fr-CA"/>
              </w:rPr>
              <w:t>, C.P.L.M., ch. U20. Finalement, elle a prétendu que Dollar Financial Group, Inc. était solidairement responsable avec Money Mart.</w:t>
            </w:r>
          </w:p>
          <w:p w:rsidR="001F4EF2" w:rsidRPr="00A16F83" w:rsidRDefault="001F4EF2" w:rsidP="00650BC1">
            <w:pPr>
              <w:jc w:val="both"/>
              <w:rPr>
                <w:rFonts w:eastAsia="Calibri"/>
                <w:sz w:val="20"/>
                <w:lang w:val="fr-CA"/>
              </w:rPr>
            </w:pPr>
          </w:p>
          <w:p w:rsidR="001F4EF2" w:rsidRPr="00A16F83" w:rsidRDefault="001F4EF2" w:rsidP="00650BC1">
            <w:pPr>
              <w:jc w:val="both"/>
              <w:rPr>
                <w:rFonts w:eastAsia="Calibri"/>
                <w:sz w:val="20"/>
                <w:lang w:val="fr-CA"/>
              </w:rPr>
            </w:pPr>
            <w:r w:rsidRPr="00A16F83">
              <w:rPr>
                <w:rFonts w:eastAsia="Calibri"/>
                <w:sz w:val="20"/>
                <w:lang w:val="fr-CA"/>
              </w:rPr>
              <w:lastRenderedPageBreak/>
              <w:t>Money Mart a plaidé que la réclamation de Mme Briones devait être suspendue parce que cette dernière avait conclu plusieurs contrats écrits qui l’obligeaient à renvoyer les différends en médiation ou en arbitrage.  Money Mart a demandé au tribunal d’obliger Mme Briones à aller en arbitrage ou en médiation pour régler ses différends.</w:t>
            </w:r>
          </w:p>
          <w:p w:rsidR="001F4EF2" w:rsidRPr="00A16F83" w:rsidRDefault="001F4EF2" w:rsidP="00650BC1">
            <w:pPr>
              <w:jc w:val="both"/>
              <w:rPr>
                <w:rFonts w:eastAsia="Calibri"/>
                <w:sz w:val="20"/>
                <w:lang w:val="fr-CA"/>
              </w:rPr>
            </w:pPr>
          </w:p>
          <w:p w:rsidR="001F4EF2" w:rsidRPr="00A16F83" w:rsidRDefault="001F4EF2" w:rsidP="00650BC1">
            <w:pPr>
              <w:jc w:val="both"/>
              <w:rPr>
                <w:rFonts w:eastAsia="Calibri"/>
                <w:sz w:val="20"/>
              </w:rPr>
            </w:pPr>
            <w:r w:rsidRPr="00A16F83">
              <w:rPr>
                <w:rFonts w:eastAsia="Calibri"/>
                <w:sz w:val="20"/>
                <w:lang w:val="fr-CA"/>
              </w:rPr>
              <w:t xml:space="preserve">S’appuyant sur la </w:t>
            </w:r>
            <w:r w:rsidRPr="00A16F83">
              <w:rPr>
                <w:rFonts w:eastAsia="Calibri"/>
                <w:i/>
                <w:sz w:val="20"/>
                <w:lang w:val="fr-CA"/>
              </w:rPr>
              <w:t>Loi sur les opérations de prêt exorbitantes</w:t>
            </w:r>
            <w:r w:rsidRPr="00A16F83">
              <w:rPr>
                <w:rFonts w:eastAsia="Calibri"/>
                <w:sz w:val="20"/>
                <w:lang w:val="fr-CA"/>
              </w:rPr>
              <w:t xml:space="preserve">, la </w:t>
            </w:r>
            <w:r w:rsidRPr="00A16F83">
              <w:rPr>
                <w:rFonts w:eastAsia="Calibri"/>
                <w:i/>
                <w:sz w:val="20"/>
                <w:lang w:val="fr-CA"/>
              </w:rPr>
              <w:t>Loi sur la protection du consommateur</w:t>
            </w:r>
            <w:r w:rsidRPr="00A16F83">
              <w:rPr>
                <w:rFonts w:eastAsia="Calibri"/>
                <w:sz w:val="20"/>
                <w:lang w:val="fr-CA"/>
              </w:rPr>
              <w:t xml:space="preserve"> et </w:t>
            </w:r>
            <w:r w:rsidRPr="00A16F83">
              <w:rPr>
                <w:rFonts w:eastAsia="Calibri"/>
                <w:i/>
                <w:sz w:val="20"/>
                <w:lang w:val="fr-CA"/>
              </w:rPr>
              <w:t>Seidel c. TELUS Communications Inc.</w:t>
            </w:r>
            <w:r w:rsidRPr="00A16F83">
              <w:rPr>
                <w:rFonts w:eastAsia="Calibri"/>
                <w:sz w:val="20"/>
                <w:lang w:val="fr-CA"/>
              </w:rPr>
              <w:t>, 2011 CSC 15, le juge de première instance a rejeté la motion en suspension ou en rejet de l’action.  La Cour d’appel a rejeté l’appel.</w:t>
            </w:r>
          </w:p>
          <w:p w:rsidR="001F4EF2" w:rsidRPr="00A16F83" w:rsidRDefault="001F4EF2" w:rsidP="00650BC1">
            <w:pPr>
              <w:jc w:val="both"/>
              <w:rPr>
                <w:rFonts w:eastAsia="Calibri"/>
                <w:sz w:val="20"/>
              </w:rPr>
            </w:pPr>
          </w:p>
        </w:tc>
      </w:tr>
      <w:tr w:rsidR="001F4EF2" w:rsidRPr="00690162" w:rsidTr="00650BC1">
        <w:tc>
          <w:tcPr>
            <w:tcW w:w="2427" w:type="pct"/>
          </w:tcPr>
          <w:p w:rsidR="001F4EF2" w:rsidRPr="00A16F83" w:rsidRDefault="001F4EF2" w:rsidP="00650BC1">
            <w:pPr>
              <w:jc w:val="both"/>
              <w:rPr>
                <w:rFonts w:eastAsia="Calibri"/>
                <w:sz w:val="20"/>
                <w:lang w:val="fr-CA"/>
              </w:rPr>
            </w:pPr>
            <w:r w:rsidRPr="00A16F83">
              <w:rPr>
                <w:rFonts w:eastAsia="Calibri"/>
                <w:sz w:val="20"/>
                <w:lang w:val="fr-CA"/>
              </w:rPr>
              <w:lastRenderedPageBreak/>
              <w:t>11 juillet 2013</w:t>
            </w:r>
          </w:p>
          <w:p w:rsidR="001F4EF2" w:rsidRPr="00A16F83" w:rsidRDefault="001F4EF2" w:rsidP="00650BC1">
            <w:pPr>
              <w:jc w:val="both"/>
              <w:rPr>
                <w:rFonts w:eastAsia="Calibri"/>
                <w:sz w:val="20"/>
                <w:lang w:val="fr-CA"/>
              </w:rPr>
            </w:pPr>
            <w:r w:rsidRPr="00A16F83">
              <w:rPr>
                <w:rFonts w:eastAsia="Calibri"/>
                <w:sz w:val="20"/>
                <w:lang w:val="fr-CA"/>
              </w:rPr>
              <w:t>Cour du Banc de la Reine du Manitoba</w:t>
            </w:r>
          </w:p>
          <w:p w:rsidR="001F4EF2" w:rsidRPr="00A16F83" w:rsidRDefault="001F4EF2" w:rsidP="00650BC1">
            <w:pPr>
              <w:jc w:val="both"/>
              <w:rPr>
                <w:rFonts w:eastAsia="Calibri"/>
                <w:sz w:val="20"/>
                <w:lang w:val="fr-CA"/>
              </w:rPr>
            </w:pPr>
            <w:r w:rsidRPr="00A16F83">
              <w:rPr>
                <w:rFonts w:eastAsia="Calibri"/>
                <w:sz w:val="20"/>
                <w:lang w:val="fr-CA"/>
              </w:rPr>
              <w:t>(Juge en chef adjoint Perlmutter)</w:t>
            </w:r>
          </w:p>
          <w:p w:rsidR="001F4EF2" w:rsidRPr="00A16F83" w:rsidRDefault="00690162" w:rsidP="00650BC1">
            <w:pPr>
              <w:jc w:val="both"/>
              <w:rPr>
                <w:rFonts w:eastAsia="Calibri"/>
                <w:sz w:val="20"/>
                <w:lang w:val="fr-CA"/>
              </w:rPr>
            </w:pPr>
            <w:hyperlink r:id="rId75" w:history="1">
              <w:r w:rsidR="001F4EF2" w:rsidRPr="00A16F83">
                <w:rPr>
                  <w:rFonts w:eastAsia="Calibri"/>
                  <w:color w:val="0000FF"/>
                  <w:sz w:val="20"/>
                  <w:u w:val="single"/>
                  <w:lang w:val="fr-CA"/>
                </w:rPr>
                <w:t>2013 MBQB 168</w:t>
              </w:r>
            </w:hyperlink>
          </w:p>
          <w:p w:rsidR="001F4EF2" w:rsidRPr="00A16F83" w:rsidRDefault="001F4EF2" w:rsidP="00650BC1">
            <w:pPr>
              <w:jc w:val="both"/>
              <w:rPr>
                <w:rFonts w:eastAsia="Calibri"/>
                <w:sz w:val="20"/>
                <w:lang w:val="fr-CA"/>
              </w:rPr>
            </w:pPr>
          </w:p>
        </w:tc>
        <w:tc>
          <w:tcPr>
            <w:tcW w:w="243" w:type="pct"/>
          </w:tcPr>
          <w:p w:rsidR="001F4EF2" w:rsidRPr="00A16F83" w:rsidRDefault="001F4EF2" w:rsidP="00650BC1">
            <w:pPr>
              <w:jc w:val="both"/>
              <w:rPr>
                <w:rFonts w:eastAsia="Calibri"/>
                <w:sz w:val="20"/>
                <w:lang w:val="fr-CA"/>
              </w:rPr>
            </w:pPr>
          </w:p>
        </w:tc>
        <w:tc>
          <w:tcPr>
            <w:tcW w:w="2330" w:type="pct"/>
          </w:tcPr>
          <w:p w:rsidR="001F4EF2" w:rsidRPr="00A16F83" w:rsidRDefault="001F4EF2" w:rsidP="00650BC1">
            <w:pPr>
              <w:jc w:val="both"/>
              <w:rPr>
                <w:rFonts w:eastAsia="Calibri"/>
                <w:sz w:val="20"/>
                <w:lang w:val="fr-CA"/>
              </w:rPr>
            </w:pPr>
            <w:r w:rsidRPr="00A16F83">
              <w:rPr>
                <w:rFonts w:eastAsia="Calibri"/>
                <w:sz w:val="20"/>
                <w:lang w:val="fr-CA"/>
              </w:rPr>
              <w:t>Motion en suspension ou en rejet de l’action, rejetée</w:t>
            </w:r>
          </w:p>
          <w:p w:rsidR="001F4EF2" w:rsidRPr="00A16F83" w:rsidRDefault="001F4EF2" w:rsidP="00650BC1">
            <w:pPr>
              <w:jc w:val="both"/>
              <w:rPr>
                <w:rFonts w:eastAsia="Calibri"/>
                <w:sz w:val="20"/>
                <w:lang w:val="fr-CA"/>
              </w:rPr>
            </w:pPr>
          </w:p>
        </w:tc>
      </w:tr>
      <w:tr w:rsidR="001F4EF2" w:rsidRPr="00A16F83" w:rsidTr="00650BC1">
        <w:tc>
          <w:tcPr>
            <w:tcW w:w="2427" w:type="pct"/>
          </w:tcPr>
          <w:p w:rsidR="001F4EF2" w:rsidRPr="00A16F83" w:rsidRDefault="001F4EF2" w:rsidP="00650BC1">
            <w:pPr>
              <w:jc w:val="both"/>
              <w:rPr>
                <w:rFonts w:eastAsia="Calibri"/>
                <w:sz w:val="20"/>
                <w:lang w:val="fr-CA"/>
              </w:rPr>
            </w:pPr>
            <w:r w:rsidRPr="00A16F83">
              <w:rPr>
                <w:rFonts w:eastAsia="Calibri"/>
                <w:sz w:val="20"/>
                <w:lang w:val="fr-CA"/>
              </w:rPr>
              <w:t>5 juin 2014</w:t>
            </w:r>
          </w:p>
          <w:p w:rsidR="001F4EF2" w:rsidRPr="00A16F83" w:rsidRDefault="001F4EF2" w:rsidP="00650BC1">
            <w:pPr>
              <w:jc w:val="both"/>
              <w:rPr>
                <w:rFonts w:eastAsia="Calibri"/>
                <w:sz w:val="20"/>
                <w:lang w:val="fr-CA"/>
              </w:rPr>
            </w:pPr>
            <w:r w:rsidRPr="00A16F83">
              <w:rPr>
                <w:rFonts w:eastAsia="Calibri"/>
                <w:sz w:val="20"/>
                <w:lang w:val="fr-CA"/>
              </w:rPr>
              <w:t>Cour d’appel du Manitoba</w:t>
            </w:r>
          </w:p>
          <w:p w:rsidR="001F4EF2" w:rsidRPr="00A16F83" w:rsidRDefault="001F4EF2" w:rsidP="00650BC1">
            <w:pPr>
              <w:jc w:val="both"/>
              <w:rPr>
                <w:rFonts w:eastAsia="Calibri"/>
                <w:sz w:val="20"/>
                <w:lang w:val="fr-CA"/>
              </w:rPr>
            </w:pPr>
            <w:r w:rsidRPr="00A16F83">
              <w:rPr>
                <w:rFonts w:eastAsia="Calibri"/>
                <w:sz w:val="20"/>
                <w:lang w:val="fr-CA"/>
              </w:rPr>
              <w:t>(Juges Monnin, Beard et Mainella)</w:t>
            </w:r>
          </w:p>
          <w:p w:rsidR="001F4EF2" w:rsidRPr="00A16F83" w:rsidRDefault="00690162" w:rsidP="00650BC1">
            <w:pPr>
              <w:jc w:val="both"/>
              <w:rPr>
                <w:rFonts w:eastAsia="Calibri"/>
                <w:sz w:val="20"/>
                <w:lang w:val="fr-CA"/>
              </w:rPr>
            </w:pPr>
            <w:hyperlink r:id="rId76" w:history="1">
              <w:r w:rsidR="001F4EF2" w:rsidRPr="00A16F83">
                <w:rPr>
                  <w:rFonts w:eastAsia="Calibri"/>
                  <w:color w:val="0000FF"/>
                  <w:sz w:val="20"/>
                  <w:u w:val="single"/>
                  <w:lang w:val="fr-CA"/>
                </w:rPr>
                <w:t>2014 MBCA 57</w:t>
              </w:r>
            </w:hyperlink>
          </w:p>
          <w:p w:rsidR="001F4EF2" w:rsidRPr="00A16F83" w:rsidRDefault="001F4EF2" w:rsidP="00650BC1">
            <w:pPr>
              <w:jc w:val="both"/>
              <w:rPr>
                <w:rFonts w:eastAsia="Calibri"/>
                <w:sz w:val="20"/>
                <w:lang w:val="fr-CA"/>
              </w:rPr>
            </w:pPr>
          </w:p>
        </w:tc>
        <w:tc>
          <w:tcPr>
            <w:tcW w:w="243" w:type="pct"/>
          </w:tcPr>
          <w:p w:rsidR="001F4EF2" w:rsidRPr="00A16F83" w:rsidRDefault="001F4EF2" w:rsidP="00650BC1">
            <w:pPr>
              <w:jc w:val="both"/>
              <w:rPr>
                <w:rFonts w:eastAsia="Calibri"/>
                <w:sz w:val="20"/>
                <w:lang w:val="fr-CA"/>
              </w:rPr>
            </w:pPr>
          </w:p>
        </w:tc>
        <w:tc>
          <w:tcPr>
            <w:tcW w:w="2330" w:type="pct"/>
          </w:tcPr>
          <w:p w:rsidR="001F4EF2" w:rsidRPr="00A16F83" w:rsidRDefault="001F4EF2" w:rsidP="00650BC1">
            <w:pPr>
              <w:jc w:val="both"/>
              <w:rPr>
                <w:rFonts w:eastAsia="Calibri"/>
                <w:sz w:val="20"/>
                <w:lang w:val="fr-CA"/>
              </w:rPr>
            </w:pPr>
            <w:r w:rsidRPr="00A16F83">
              <w:rPr>
                <w:rFonts w:eastAsia="Calibri"/>
                <w:sz w:val="20"/>
                <w:lang w:val="fr-CA"/>
              </w:rPr>
              <w:t>Appel rejeté</w:t>
            </w:r>
          </w:p>
        </w:tc>
      </w:tr>
      <w:tr w:rsidR="001F4EF2" w:rsidRPr="00A16F83" w:rsidTr="00650BC1">
        <w:tc>
          <w:tcPr>
            <w:tcW w:w="2427" w:type="pct"/>
          </w:tcPr>
          <w:p w:rsidR="001F4EF2" w:rsidRPr="00A16F83" w:rsidRDefault="001F4EF2" w:rsidP="00650BC1">
            <w:pPr>
              <w:jc w:val="both"/>
              <w:rPr>
                <w:rFonts w:eastAsia="Calibri"/>
                <w:sz w:val="20"/>
                <w:lang w:val="fr-CA"/>
              </w:rPr>
            </w:pPr>
            <w:r w:rsidRPr="00A16F83">
              <w:rPr>
                <w:rFonts w:eastAsia="Calibri"/>
                <w:sz w:val="20"/>
                <w:lang w:val="fr-CA"/>
              </w:rPr>
              <w:t>2 septembre 2014</w:t>
            </w:r>
          </w:p>
          <w:p w:rsidR="001F4EF2" w:rsidRPr="00A16F83" w:rsidRDefault="001F4EF2" w:rsidP="00650BC1">
            <w:pPr>
              <w:jc w:val="both"/>
              <w:rPr>
                <w:rFonts w:eastAsia="Calibri"/>
                <w:sz w:val="20"/>
                <w:lang w:val="fr-CA"/>
              </w:rPr>
            </w:pPr>
            <w:r w:rsidRPr="00A16F83">
              <w:rPr>
                <w:rFonts w:eastAsia="Calibri"/>
                <w:sz w:val="20"/>
                <w:lang w:val="fr-CA"/>
              </w:rPr>
              <w:t>Cour suprême du Canada</w:t>
            </w:r>
          </w:p>
        </w:tc>
        <w:tc>
          <w:tcPr>
            <w:tcW w:w="243" w:type="pct"/>
          </w:tcPr>
          <w:p w:rsidR="001F4EF2" w:rsidRPr="00A16F83" w:rsidRDefault="001F4EF2" w:rsidP="00650BC1">
            <w:pPr>
              <w:jc w:val="both"/>
              <w:rPr>
                <w:rFonts w:eastAsia="Calibri"/>
                <w:sz w:val="20"/>
                <w:lang w:val="fr-CA"/>
              </w:rPr>
            </w:pPr>
          </w:p>
        </w:tc>
        <w:tc>
          <w:tcPr>
            <w:tcW w:w="2330" w:type="pct"/>
          </w:tcPr>
          <w:p w:rsidR="001F4EF2" w:rsidRPr="00A16F83" w:rsidRDefault="001F4EF2" w:rsidP="00650BC1">
            <w:pPr>
              <w:jc w:val="both"/>
              <w:rPr>
                <w:rFonts w:eastAsia="Calibri"/>
                <w:sz w:val="20"/>
                <w:lang w:val="fr-CA"/>
              </w:rPr>
            </w:pPr>
            <w:r w:rsidRPr="00A16F83">
              <w:rPr>
                <w:rFonts w:eastAsia="Calibri"/>
                <w:sz w:val="20"/>
                <w:lang w:val="fr-CA"/>
              </w:rPr>
              <w:t>Demande d’autorisation d’appel, déposée</w:t>
            </w:r>
          </w:p>
        </w:tc>
      </w:tr>
    </w:tbl>
    <w:p w:rsidR="00915D6A" w:rsidRDefault="00915D6A" w:rsidP="00915D6A">
      <w:pPr>
        <w:rPr>
          <w:sz w:val="20"/>
          <w:szCs w:val="20"/>
        </w:rPr>
      </w:pPr>
    </w:p>
    <w:p w:rsidR="00915D6A" w:rsidRDefault="00690162" w:rsidP="00915D6A">
      <w:pPr>
        <w:rPr>
          <w:sz w:val="20"/>
          <w:szCs w:val="20"/>
        </w:rPr>
      </w:pPr>
      <w:r>
        <w:rPr>
          <w:sz w:val="20"/>
          <w:szCs w:val="20"/>
          <w:lang w:val="fr-CA"/>
        </w:rPr>
        <w:pict>
          <v:rect id="_x0000_i1073" style="width:2in;height:1pt" o:hrpct="0" o:hralign="center" o:hrstd="t" o:hrnoshade="t" o:hr="t" fillcolor="black [3213]" stroked="f"/>
        </w:pict>
      </w:r>
    </w:p>
    <w:p w:rsidR="00915D6A" w:rsidRDefault="00915D6A" w:rsidP="00915D6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B1FB0" w:rsidRPr="00186B1A" w:rsidTr="00650BC1">
        <w:trPr>
          <w:cantSplit/>
        </w:trPr>
        <w:tc>
          <w:tcPr>
            <w:tcW w:w="1458" w:type="dxa"/>
          </w:tcPr>
          <w:p w:rsidR="006B1FB0" w:rsidRPr="00186B1A" w:rsidRDefault="006B1FB0" w:rsidP="00650BC1">
            <w:pPr>
              <w:rPr>
                <w:sz w:val="20"/>
                <w:szCs w:val="20"/>
              </w:rPr>
            </w:pPr>
            <w:r w:rsidRPr="00186B1A">
              <w:rPr>
                <w:rStyle w:val="SCCFileNumberChar"/>
                <w:sz w:val="20"/>
                <w:szCs w:val="20"/>
              </w:rPr>
              <w:t>36049</w:t>
            </w:r>
          </w:p>
          <w:p w:rsidR="006B1FB0" w:rsidRPr="00186B1A" w:rsidRDefault="006B1FB0" w:rsidP="00650BC1">
            <w:pPr>
              <w:rPr>
                <w:b/>
                <w:sz w:val="20"/>
                <w:szCs w:val="20"/>
                <w:lang w:val="fr-CA"/>
              </w:rPr>
            </w:pPr>
          </w:p>
        </w:tc>
        <w:tc>
          <w:tcPr>
            <w:tcW w:w="8118" w:type="dxa"/>
          </w:tcPr>
          <w:p w:rsidR="006B1FB0" w:rsidRPr="00186B1A" w:rsidRDefault="006B1FB0" w:rsidP="00650BC1">
            <w:pPr>
              <w:rPr>
                <w:sz w:val="20"/>
                <w:szCs w:val="20"/>
              </w:rPr>
            </w:pPr>
            <w:r w:rsidRPr="006B1FB0">
              <w:rPr>
                <w:rStyle w:val="SCCLsocChar"/>
                <w:sz w:val="20"/>
                <w:szCs w:val="20"/>
                <w:lang w:val="en-CA"/>
              </w:rPr>
              <w:t>Noe Gama Sanchez v. Minister of Citizenship and Immigration</w:t>
            </w:r>
            <w:r w:rsidRPr="00186B1A">
              <w:rPr>
                <w:sz w:val="20"/>
                <w:szCs w:val="20"/>
              </w:rPr>
              <w:t xml:space="preserve"> (F.C.) (Civil) (By Leave)</w:t>
            </w:r>
          </w:p>
          <w:p w:rsidR="006B1FB0" w:rsidRPr="00186B1A" w:rsidRDefault="006B1FB0" w:rsidP="00650BC1">
            <w:pPr>
              <w:rPr>
                <w:sz w:val="20"/>
                <w:szCs w:val="20"/>
              </w:rPr>
            </w:pPr>
          </w:p>
        </w:tc>
      </w:tr>
      <w:tr w:rsidR="006B1FB0" w:rsidRPr="00186B1A" w:rsidTr="00650BC1">
        <w:trPr>
          <w:cantSplit/>
        </w:trPr>
        <w:tc>
          <w:tcPr>
            <w:tcW w:w="1458" w:type="dxa"/>
          </w:tcPr>
          <w:p w:rsidR="006B1FB0" w:rsidRPr="00186B1A" w:rsidRDefault="006B1FB0" w:rsidP="00650BC1">
            <w:pPr>
              <w:rPr>
                <w:sz w:val="20"/>
                <w:szCs w:val="20"/>
              </w:rPr>
            </w:pPr>
            <w:r w:rsidRPr="00186B1A">
              <w:rPr>
                <w:sz w:val="20"/>
                <w:szCs w:val="20"/>
              </w:rPr>
              <w:t>Coram :</w:t>
            </w:r>
          </w:p>
        </w:tc>
        <w:tc>
          <w:tcPr>
            <w:tcW w:w="8118" w:type="dxa"/>
          </w:tcPr>
          <w:p w:rsidR="006B1FB0" w:rsidRPr="00186B1A" w:rsidRDefault="006B1FB0" w:rsidP="00650BC1">
            <w:pPr>
              <w:rPr>
                <w:sz w:val="20"/>
                <w:szCs w:val="20"/>
              </w:rPr>
            </w:pPr>
            <w:r w:rsidRPr="006B1FB0">
              <w:rPr>
                <w:rStyle w:val="SCCCoramChar"/>
                <w:sz w:val="20"/>
                <w:szCs w:val="20"/>
                <w:lang w:val="en-CA"/>
              </w:rPr>
              <w:t>Abella, Rothstein and Moldaver JJ.</w:t>
            </w:r>
          </w:p>
          <w:p w:rsidR="006B1FB0" w:rsidRPr="00186B1A" w:rsidRDefault="006B1FB0" w:rsidP="00650BC1">
            <w:pPr>
              <w:rPr>
                <w:sz w:val="20"/>
                <w:szCs w:val="20"/>
                <w:u w:val="single"/>
              </w:rPr>
            </w:pPr>
          </w:p>
        </w:tc>
      </w:tr>
      <w:tr w:rsidR="006B1FB0" w:rsidRPr="00690162" w:rsidTr="00650BC1">
        <w:trPr>
          <w:cantSplit/>
        </w:trPr>
        <w:tc>
          <w:tcPr>
            <w:tcW w:w="9576" w:type="dxa"/>
            <w:gridSpan w:val="2"/>
          </w:tcPr>
          <w:p w:rsidR="006B1FB0" w:rsidRPr="00186B1A" w:rsidRDefault="006B1FB0" w:rsidP="00650BC1">
            <w:pPr>
              <w:pStyle w:val="SCCShortJudgment"/>
              <w:rPr>
                <w:szCs w:val="20"/>
              </w:rPr>
            </w:pPr>
            <w:r w:rsidRPr="00186B1A">
              <w:rPr>
                <w:szCs w:val="20"/>
              </w:rPr>
              <w:t>The application for leave to appeal from the judgment of the Federal Court of Appeal, Number A-315-13, 2014 FCA 157, dated June 10, 2014, is dismissed without costs.</w:t>
            </w:r>
          </w:p>
          <w:p w:rsidR="006B1FB0" w:rsidRPr="00186B1A" w:rsidRDefault="006B1FB0" w:rsidP="00650BC1">
            <w:pPr>
              <w:pStyle w:val="SCCShortJudgment"/>
              <w:ind w:firstLine="0"/>
              <w:rPr>
                <w:szCs w:val="20"/>
              </w:rPr>
            </w:pPr>
          </w:p>
          <w:p w:rsidR="006B1FB0" w:rsidRPr="00186B1A" w:rsidRDefault="006B1FB0" w:rsidP="00650BC1">
            <w:pPr>
              <w:pStyle w:val="SCCShortJudgment"/>
              <w:rPr>
                <w:szCs w:val="20"/>
                <w:lang w:val="fr-CA"/>
              </w:rPr>
            </w:pPr>
            <w:r w:rsidRPr="00186B1A">
              <w:rPr>
                <w:szCs w:val="20"/>
                <w:lang w:val="fr-CA"/>
              </w:rPr>
              <w:t>La demande d’autorisation d’appel de l’arrêt de la Cour d’appel fédérale, numéro A-315-13, 2014 CAF 157, daté du 10 juin 2014, est rejetée sans dépens.</w:t>
            </w:r>
          </w:p>
        </w:tc>
      </w:tr>
    </w:tbl>
    <w:p w:rsidR="00915D6A" w:rsidRPr="0016547E" w:rsidRDefault="00915D6A" w:rsidP="00915D6A">
      <w:pPr>
        <w:rPr>
          <w:sz w:val="20"/>
          <w:szCs w:val="20"/>
          <w:lang w:val="fr-CA"/>
        </w:rPr>
      </w:pPr>
    </w:p>
    <w:p w:rsidR="00915D6A" w:rsidRPr="001B157C" w:rsidRDefault="00915D6A" w:rsidP="00915D6A">
      <w:pPr>
        <w:rPr>
          <w:sz w:val="20"/>
          <w:szCs w:val="20"/>
          <w:u w:val="single"/>
        </w:rPr>
      </w:pPr>
      <w:r w:rsidRPr="001B157C">
        <w:rPr>
          <w:sz w:val="20"/>
          <w:szCs w:val="20"/>
          <w:u w:val="single"/>
        </w:rPr>
        <w:t>CASE SUMMARY</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4EF2" w:rsidRPr="00A16F83" w:rsidTr="00650BC1">
        <w:tc>
          <w:tcPr>
            <w:tcW w:w="5000" w:type="pct"/>
            <w:gridSpan w:val="3"/>
          </w:tcPr>
          <w:p w:rsidR="001F4EF2" w:rsidRPr="00A16F83" w:rsidRDefault="001F4EF2" w:rsidP="00650BC1">
            <w:pPr>
              <w:jc w:val="both"/>
              <w:rPr>
                <w:rFonts w:eastAsia="Calibri"/>
                <w:sz w:val="20"/>
              </w:rPr>
            </w:pPr>
            <w:r w:rsidRPr="00A16F83">
              <w:rPr>
                <w:rFonts w:eastAsia="Calibri"/>
                <w:sz w:val="20"/>
              </w:rPr>
              <w:t xml:space="preserve">Immigration — Convention refugee — Exclusion for refugee protection — </w:t>
            </w:r>
            <w:r w:rsidRPr="00A16F83">
              <w:rPr>
                <w:rFonts w:eastAsia="Calibri"/>
                <w:i/>
                <w:sz w:val="20"/>
              </w:rPr>
              <w:t>Convention Relating to Status of Refugees</w:t>
            </w:r>
            <w:r w:rsidRPr="00A16F83">
              <w:rPr>
                <w:rFonts w:eastAsia="Calibri"/>
                <w:sz w:val="20"/>
              </w:rPr>
              <w:t xml:space="preserve"> not applicable to those believed to have committed serious non-political crime prior to admission to Canada as refugee — Refugee claimant previously convicted in U.S. — Claimant having served sentence prior to seeking refugee status in Canada — Legislative changes occurring in Canada, making penalties for applicant’s offence more severe at present than at time offence was committed — Immigration and Refugee Board determining seriousness of offence according to law in effect at time of hearing — Board holding that claimant excluded from refugee protection — Whether Federal Court of Appeal erred in holding that law as it exists at time of hearing before Board is to be used to determine seriousness of crime and thus determine applicability of Article 1F(b) of Convention — </w:t>
            </w:r>
            <w:r w:rsidRPr="00A16F83">
              <w:rPr>
                <w:rFonts w:eastAsia="Calibri"/>
                <w:i/>
                <w:sz w:val="20"/>
              </w:rPr>
              <w:t>Convention Relating to the Status of Refugees</w:t>
            </w:r>
            <w:r w:rsidRPr="00A16F83">
              <w:rPr>
                <w:rFonts w:eastAsia="Calibri"/>
                <w:sz w:val="20"/>
              </w:rPr>
              <w:t xml:space="preserve"> — </w:t>
            </w:r>
            <w:r w:rsidRPr="00A16F83">
              <w:rPr>
                <w:rFonts w:eastAsia="Calibri"/>
                <w:i/>
                <w:sz w:val="20"/>
              </w:rPr>
              <w:t>Immigration and Refugee Protection Act</w:t>
            </w:r>
            <w:r w:rsidRPr="00A16F83">
              <w:rPr>
                <w:rFonts w:eastAsia="Calibri"/>
                <w:sz w:val="20"/>
              </w:rPr>
              <w:t>, S.C. 2001, c. 27, s. 98.</w:t>
            </w:r>
          </w:p>
        </w:tc>
      </w:tr>
      <w:tr w:rsidR="001F4EF2" w:rsidRPr="00A16F83" w:rsidTr="00650BC1">
        <w:tc>
          <w:tcPr>
            <w:tcW w:w="5000" w:type="pct"/>
            <w:gridSpan w:val="3"/>
          </w:tcPr>
          <w:p w:rsidR="001F4EF2" w:rsidRPr="00A16F83" w:rsidRDefault="001F4EF2" w:rsidP="00650BC1">
            <w:pPr>
              <w:jc w:val="both"/>
              <w:rPr>
                <w:rFonts w:eastAsia="Calibri"/>
                <w:sz w:val="20"/>
              </w:rPr>
            </w:pPr>
          </w:p>
        </w:tc>
      </w:tr>
      <w:tr w:rsidR="001F4EF2" w:rsidRPr="00A16F83" w:rsidTr="00650BC1">
        <w:tc>
          <w:tcPr>
            <w:tcW w:w="5000" w:type="pct"/>
            <w:gridSpan w:val="3"/>
          </w:tcPr>
          <w:p w:rsidR="001F4EF2" w:rsidRPr="00A16F83" w:rsidRDefault="001F4EF2" w:rsidP="00650BC1">
            <w:pPr>
              <w:jc w:val="both"/>
              <w:rPr>
                <w:rFonts w:eastAsia="Calibri"/>
                <w:sz w:val="20"/>
              </w:rPr>
            </w:pPr>
            <w:r w:rsidRPr="00A16F83">
              <w:rPr>
                <w:rFonts w:eastAsia="Calibri"/>
                <w:sz w:val="20"/>
              </w:rPr>
              <w:t xml:space="preserve">In 2008, the applicant, a citizen of Mexico, sought refugee status in Canada, arguing that he feared persecution in Mexico by reason of his membership in a particular social group and due to his political opinions.  Before the Refugee Protection Division of the Immigration and Refugee Board of Canada, the Minister of Citizenship and Immigration brought an application requesting that the applicant be excluded from refugee protection because he had committed a serious non-political crime abroad prior to his admission to Canada as a refugee. </w:t>
            </w:r>
          </w:p>
          <w:p w:rsidR="001F4EF2" w:rsidRPr="00A16F83" w:rsidRDefault="001F4EF2" w:rsidP="00650BC1">
            <w:pPr>
              <w:jc w:val="both"/>
              <w:rPr>
                <w:rFonts w:eastAsia="Calibri"/>
                <w:sz w:val="20"/>
              </w:rPr>
            </w:pPr>
          </w:p>
          <w:p w:rsidR="001F4EF2" w:rsidRPr="00A16F83" w:rsidRDefault="001F4EF2" w:rsidP="00650BC1">
            <w:pPr>
              <w:jc w:val="both"/>
              <w:rPr>
                <w:rFonts w:eastAsia="Calibri"/>
                <w:sz w:val="20"/>
              </w:rPr>
            </w:pPr>
            <w:r w:rsidRPr="00A16F83">
              <w:rPr>
                <w:rFonts w:eastAsia="Calibri"/>
                <w:sz w:val="20"/>
              </w:rPr>
              <w:t>In and around 1997, while living in the U.S., the applicant was arrested for, pled guilty and was convicted of conspiracy to distribute and possession with intent to distribute methamphetamine.  At the time of the applicant’s offence (1996), the crime for which he was convicted was not a strictly indictable offence but rather was a hybrid offence.  However, at the time of the application for exclusion brought before the Refugee Protection Division (2011), that same offence, was an indictable, not hybrid, offence.</w:t>
            </w:r>
          </w:p>
          <w:p w:rsidR="001F4EF2" w:rsidRPr="00A16F83" w:rsidRDefault="001F4EF2" w:rsidP="00650BC1">
            <w:pPr>
              <w:jc w:val="both"/>
              <w:rPr>
                <w:rFonts w:eastAsia="Calibri"/>
                <w:sz w:val="20"/>
              </w:rPr>
            </w:pPr>
          </w:p>
        </w:tc>
      </w:tr>
      <w:tr w:rsidR="001F4EF2" w:rsidRPr="00A16F83" w:rsidTr="00650BC1">
        <w:tc>
          <w:tcPr>
            <w:tcW w:w="2427" w:type="pct"/>
          </w:tcPr>
          <w:p w:rsidR="001F4EF2" w:rsidRPr="00A16F83" w:rsidRDefault="001F4EF2" w:rsidP="00650BC1">
            <w:pPr>
              <w:jc w:val="both"/>
              <w:rPr>
                <w:rFonts w:eastAsia="Calibri"/>
                <w:sz w:val="20"/>
              </w:rPr>
            </w:pPr>
            <w:r w:rsidRPr="00A16F83">
              <w:rPr>
                <w:rFonts w:eastAsia="Calibri"/>
                <w:sz w:val="20"/>
              </w:rPr>
              <w:lastRenderedPageBreak/>
              <w:t>October 30, 2012</w:t>
            </w:r>
          </w:p>
          <w:p w:rsidR="001F4EF2" w:rsidRPr="00A16F83" w:rsidRDefault="001F4EF2" w:rsidP="00650BC1">
            <w:pPr>
              <w:jc w:val="both"/>
              <w:rPr>
                <w:rFonts w:eastAsia="Calibri"/>
                <w:sz w:val="20"/>
              </w:rPr>
            </w:pPr>
            <w:r w:rsidRPr="00A16F83">
              <w:rPr>
                <w:rFonts w:eastAsia="Calibri"/>
                <w:sz w:val="20"/>
              </w:rPr>
              <w:t>Immigration and Refugee Board</w:t>
            </w:r>
          </w:p>
          <w:p w:rsidR="001F4EF2" w:rsidRPr="00A16F83" w:rsidRDefault="001F4EF2" w:rsidP="00650BC1">
            <w:pPr>
              <w:jc w:val="both"/>
              <w:rPr>
                <w:rFonts w:eastAsia="Calibri"/>
                <w:sz w:val="20"/>
              </w:rPr>
            </w:pPr>
            <w:r w:rsidRPr="00A16F83">
              <w:rPr>
                <w:rFonts w:eastAsia="Calibri"/>
                <w:sz w:val="20"/>
              </w:rPr>
              <w:t>(P. MacAulay)</w:t>
            </w:r>
          </w:p>
          <w:p w:rsidR="001F4EF2" w:rsidRPr="00A16F83" w:rsidRDefault="001F4EF2" w:rsidP="00650BC1">
            <w:pPr>
              <w:jc w:val="both"/>
              <w:rPr>
                <w:rFonts w:eastAsia="Calibri"/>
                <w:sz w:val="20"/>
              </w:rPr>
            </w:pPr>
            <w:r w:rsidRPr="00A16F83">
              <w:rPr>
                <w:rFonts w:eastAsia="Calibri"/>
                <w:sz w:val="20"/>
              </w:rPr>
              <w:t>File No. VA8-05660</w:t>
            </w:r>
          </w:p>
          <w:p w:rsidR="001F4EF2" w:rsidRPr="00A16F83" w:rsidRDefault="001F4EF2" w:rsidP="00650BC1">
            <w:pPr>
              <w:jc w:val="both"/>
              <w:rPr>
                <w:rFonts w:eastAsia="Calibri"/>
                <w:sz w:val="20"/>
              </w:rPr>
            </w:pPr>
          </w:p>
        </w:tc>
        <w:tc>
          <w:tcPr>
            <w:tcW w:w="243" w:type="pct"/>
          </w:tcPr>
          <w:p w:rsidR="001F4EF2" w:rsidRPr="00A16F83" w:rsidRDefault="001F4EF2" w:rsidP="00650BC1">
            <w:pPr>
              <w:jc w:val="both"/>
              <w:rPr>
                <w:rFonts w:eastAsia="Calibri"/>
                <w:sz w:val="20"/>
              </w:rPr>
            </w:pPr>
          </w:p>
        </w:tc>
        <w:tc>
          <w:tcPr>
            <w:tcW w:w="2330" w:type="pct"/>
          </w:tcPr>
          <w:p w:rsidR="001F4EF2" w:rsidRPr="00A16F83" w:rsidRDefault="001F4EF2" w:rsidP="00650BC1">
            <w:pPr>
              <w:jc w:val="both"/>
              <w:rPr>
                <w:rFonts w:eastAsia="Calibri"/>
                <w:sz w:val="20"/>
              </w:rPr>
            </w:pPr>
            <w:r w:rsidRPr="00A16F83">
              <w:rPr>
                <w:rFonts w:eastAsia="Calibri"/>
                <w:sz w:val="20"/>
              </w:rPr>
              <w:t xml:space="preserve">Applicant’s claim for refugee status rejected </w:t>
            </w:r>
          </w:p>
        </w:tc>
      </w:tr>
      <w:tr w:rsidR="001F4EF2" w:rsidRPr="00A16F83" w:rsidTr="00650BC1">
        <w:tc>
          <w:tcPr>
            <w:tcW w:w="2427" w:type="pct"/>
          </w:tcPr>
          <w:p w:rsidR="001F4EF2" w:rsidRPr="00A16F83" w:rsidRDefault="001F4EF2" w:rsidP="00650BC1">
            <w:pPr>
              <w:jc w:val="both"/>
              <w:rPr>
                <w:rFonts w:eastAsia="Calibri"/>
                <w:sz w:val="20"/>
              </w:rPr>
            </w:pPr>
            <w:r w:rsidRPr="00A16F83">
              <w:rPr>
                <w:rFonts w:eastAsia="Calibri"/>
                <w:sz w:val="20"/>
              </w:rPr>
              <w:t>August 29, 2013</w:t>
            </w:r>
          </w:p>
          <w:p w:rsidR="001F4EF2" w:rsidRPr="00A16F83" w:rsidRDefault="001F4EF2" w:rsidP="00650BC1">
            <w:pPr>
              <w:jc w:val="both"/>
              <w:rPr>
                <w:rFonts w:eastAsia="Calibri"/>
                <w:sz w:val="20"/>
              </w:rPr>
            </w:pPr>
            <w:r w:rsidRPr="00A16F83">
              <w:rPr>
                <w:rFonts w:eastAsia="Calibri"/>
                <w:sz w:val="20"/>
              </w:rPr>
              <w:t>Federal Court</w:t>
            </w:r>
          </w:p>
          <w:p w:rsidR="001F4EF2" w:rsidRPr="00A16F83" w:rsidRDefault="001F4EF2" w:rsidP="00650BC1">
            <w:pPr>
              <w:tabs>
                <w:tab w:val="center" w:pos="2215"/>
              </w:tabs>
              <w:jc w:val="both"/>
              <w:rPr>
                <w:rFonts w:eastAsia="Calibri"/>
                <w:sz w:val="20"/>
              </w:rPr>
            </w:pPr>
            <w:r w:rsidRPr="00A16F83">
              <w:rPr>
                <w:rFonts w:eastAsia="Calibri"/>
                <w:sz w:val="20"/>
              </w:rPr>
              <w:t>(Russell J.)</w:t>
            </w:r>
          </w:p>
          <w:p w:rsidR="001F4EF2" w:rsidRPr="00A16F83" w:rsidRDefault="001F4EF2" w:rsidP="00650BC1">
            <w:pPr>
              <w:jc w:val="both"/>
              <w:rPr>
                <w:rFonts w:eastAsia="Calibri"/>
                <w:sz w:val="20"/>
              </w:rPr>
            </w:pPr>
            <w:r w:rsidRPr="00A16F83">
              <w:rPr>
                <w:rFonts w:eastAsia="Calibri"/>
                <w:sz w:val="20"/>
              </w:rPr>
              <w:t>2013 FC 913</w:t>
            </w:r>
          </w:p>
          <w:p w:rsidR="001F4EF2" w:rsidRPr="00A16F83" w:rsidRDefault="001F4EF2" w:rsidP="00650BC1">
            <w:pPr>
              <w:jc w:val="both"/>
              <w:rPr>
                <w:rFonts w:eastAsia="Calibri"/>
                <w:sz w:val="20"/>
              </w:rPr>
            </w:pPr>
            <w:r w:rsidRPr="00A16F83">
              <w:rPr>
                <w:rFonts w:eastAsia="Calibri"/>
                <w:sz w:val="20"/>
              </w:rPr>
              <w:t>Docket no. IMM-11894-12</w:t>
            </w:r>
          </w:p>
          <w:p w:rsidR="001F4EF2" w:rsidRPr="00A16F83" w:rsidRDefault="001F4EF2" w:rsidP="00650BC1">
            <w:pPr>
              <w:jc w:val="both"/>
              <w:rPr>
                <w:rFonts w:eastAsia="Calibri"/>
                <w:sz w:val="20"/>
              </w:rPr>
            </w:pPr>
          </w:p>
        </w:tc>
        <w:tc>
          <w:tcPr>
            <w:tcW w:w="243" w:type="pct"/>
          </w:tcPr>
          <w:p w:rsidR="001F4EF2" w:rsidRPr="00A16F83" w:rsidRDefault="001F4EF2" w:rsidP="00650BC1">
            <w:pPr>
              <w:jc w:val="both"/>
              <w:rPr>
                <w:rFonts w:eastAsia="Calibri"/>
                <w:sz w:val="20"/>
              </w:rPr>
            </w:pPr>
          </w:p>
        </w:tc>
        <w:tc>
          <w:tcPr>
            <w:tcW w:w="2330" w:type="pct"/>
          </w:tcPr>
          <w:p w:rsidR="001F4EF2" w:rsidRPr="00A16F83" w:rsidRDefault="001F4EF2" w:rsidP="00650BC1">
            <w:pPr>
              <w:jc w:val="both"/>
              <w:rPr>
                <w:rFonts w:eastAsia="Calibri"/>
                <w:sz w:val="20"/>
              </w:rPr>
            </w:pPr>
            <w:r w:rsidRPr="00A16F83">
              <w:rPr>
                <w:rFonts w:eastAsia="Calibri"/>
                <w:sz w:val="20"/>
              </w:rPr>
              <w:t>Application for judicial review, dismissed</w:t>
            </w:r>
          </w:p>
        </w:tc>
      </w:tr>
      <w:tr w:rsidR="001F4EF2" w:rsidRPr="00A16F83" w:rsidTr="00650BC1">
        <w:tc>
          <w:tcPr>
            <w:tcW w:w="2427" w:type="pct"/>
          </w:tcPr>
          <w:p w:rsidR="001F4EF2" w:rsidRPr="00A16F83" w:rsidRDefault="001F4EF2" w:rsidP="00650BC1">
            <w:pPr>
              <w:jc w:val="both"/>
              <w:rPr>
                <w:rFonts w:eastAsia="Calibri"/>
                <w:sz w:val="20"/>
              </w:rPr>
            </w:pPr>
            <w:r w:rsidRPr="00A16F83">
              <w:rPr>
                <w:rFonts w:eastAsia="Calibri"/>
                <w:sz w:val="20"/>
              </w:rPr>
              <w:t>June 10, 2014</w:t>
            </w:r>
          </w:p>
          <w:p w:rsidR="001F4EF2" w:rsidRPr="00A16F83" w:rsidRDefault="001F4EF2" w:rsidP="00650BC1">
            <w:pPr>
              <w:jc w:val="both"/>
              <w:rPr>
                <w:rFonts w:eastAsia="Calibri"/>
                <w:sz w:val="20"/>
              </w:rPr>
            </w:pPr>
            <w:r w:rsidRPr="00A16F83">
              <w:rPr>
                <w:rFonts w:eastAsia="Calibri"/>
                <w:sz w:val="20"/>
              </w:rPr>
              <w:t>Federal Court of Appeal</w:t>
            </w:r>
          </w:p>
          <w:p w:rsidR="001F4EF2" w:rsidRPr="00A16F83" w:rsidRDefault="001F4EF2" w:rsidP="00650BC1">
            <w:pPr>
              <w:jc w:val="both"/>
              <w:rPr>
                <w:rFonts w:eastAsia="Calibri"/>
                <w:sz w:val="20"/>
              </w:rPr>
            </w:pPr>
            <w:r w:rsidRPr="00A16F83">
              <w:rPr>
                <w:rFonts w:eastAsia="Calibri"/>
                <w:sz w:val="20"/>
              </w:rPr>
              <w:t>(Nadon, Stratas and Scott JJ.A.)</w:t>
            </w:r>
          </w:p>
          <w:p w:rsidR="001F4EF2" w:rsidRPr="00A16F83" w:rsidRDefault="001F4EF2" w:rsidP="00650BC1">
            <w:pPr>
              <w:jc w:val="both"/>
              <w:rPr>
                <w:rFonts w:eastAsia="Calibri"/>
                <w:sz w:val="20"/>
              </w:rPr>
            </w:pPr>
            <w:r w:rsidRPr="00A16F83">
              <w:rPr>
                <w:rFonts w:eastAsia="Calibri"/>
                <w:sz w:val="20"/>
              </w:rPr>
              <w:t>2014 FCA 157</w:t>
            </w:r>
          </w:p>
          <w:p w:rsidR="001F4EF2" w:rsidRPr="00A16F83" w:rsidRDefault="001F4EF2" w:rsidP="00650BC1">
            <w:pPr>
              <w:jc w:val="both"/>
              <w:rPr>
                <w:rFonts w:eastAsia="Calibri"/>
                <w:sz w:val="20"/>
              </w:rPr>
            </w:pPr>
            <w:r w:rsidRPr="00A16F83">
              <w:rPr>
                <w:rFonts w:eastAsia="Calibri"/>
                <w:sz w:val="20"/>
              </w:rPr>
              <w:t>Docket no. A-315-13</w:t>
            </w:r>
          </w:p>
          <w:p w:rsidR="001F4EF2" w:rsidRPr="00A16F83" w:rsidRDefault="001F4EF2" w:rsidP="00650BC1">
            <w:pPr>
              <w:jc w:val="both"/>
              <w:rPr>
                <w:rFonts w:eastAsia="Calibri"/>
                <w:sz w:val="20"/>
              </w:rPr>
            </w:pPr>
          </w:p>
        </w:tc>
        <w:tc>
          <w:tcPr>
            <w:tcW w:w="243" w:type="pct"/>
          </w:tcPr>
          <w:p w:rsidR="001F4EF2" w:rsidRPr="00A16F83" w:rsidRDefault="001F4EF2" w:rsidP="00650BC1">
            <w:pPr>
              <w:jc w:val="both"/>
              <w:rPr>
                <w:rFonts w:eastAsia="Calibri"/>
                <w:sz w:val="20"/>
              </w:rPr>
            </w:pPr>
          </w:p>
        </w:tc>
        <w:tc>
          <w:tcPr>
            <w:tcW w:w="2330" w:type="pct"/>
          </w:tcPr>
          <w:p w:rsidR="001F4EF2" w:rsidRPr="00A16F83" w:rsidRDefault="001F4EF2" w:rsidP="00650BC1">
            <w:pPr>
              <w:jc w:val="both"/>
              <w:rPr>
                <w:rFonts w:eastAsia="Calibri"/>
                <w:sz w:val="20"/>
              </w:rPr>
            </w:pPr>
            <w:r w:rsidRPr="00A16F83">
              <w:rPr>
                <w:rFonts w:eastAsia="Calibri"/>
                <w:sz w:val="20"/>
              </w:rPr>
              <w:t>Appeal dismissed</w:t>
            </w:r>
          </w:p>
        </w:tc>
      </w:tr>
      <w:tr w:rsidR="001F4EF2" w:rsidRPr="00A16F83" w:rsidTr="00650BC1">
        <w:tc>
          <w:tcPr>
            <w:tcW w:w="2427" w:type="pct"/>
          </w:tcPr>
          <w:p w:rsidR="001F4EF2" w:rsidRPr="00A16F83" w:rsidRDefault="001F4EF2" w:rsidP="00650BC1">
            <w:pPr>
              <w:jc w:val="both"/>
              <w:rPr>
                <w:rFonts w:eastAsia="Calibri"/>
                <w:sz w:val="20"/>
              </w:rPr>
            </w:pPr>
            <w:r w:rsidRPr="00A16F83">
              <w:rPr>
                <w:rFonts w:eastAsia="Calibri"/>
                <w:sz w:val="20"/>
              </w:rPr>
              <w:t>September 9, 2014</w:t>
            </w:r>
          </w:p>
          <w:p w:rsidR="001F4EF2" w:rsidRPr="00A16F83" w:rsidRDefault="001F4EF2" w:rsidP="00650BC1">
            <w:pPr>
              <w:jc w:val="both"/>
              <w:rPr>
                <w:rFonts w:eastAsia="Calibri"/>
                <w:sz w:val="20"/>
              </w:rPr>
            </w:pPr>
            <w:r w:rsidRPr="00A16F83">
              <w:rPr>
                <w:rFonts w:eastAsia="Calibri"/>
                <w:sz w:val="20"/>
              </w:rPr>
              <w:t>Supreme Court of Canada</w:t>
            </w:r>
          </w:p>
        </w:tc>
        <w:tc>
          <w:tcPr>
            <w:tcW w:w="243" w:type="pct"/>
          </w:tcPr>
          <w:p w:rsidR="001F4EF2" w:rsidRPr="00A16F83" w:rsidRDefault="001F4EF2" w:rsidP="00650BC1">
            <w:pPr>
              <w:jc w:val="both"/>
              <w:rPr>
                <w:rFonts w:eastAsia="Calibri"/>
                <w:sz w:val="20"/>
              </w:rPr>
            </w:pPr>
          </w:p>
        </w:tc>
        <w:tc>
          <w:tcPr>
            <w:tcW w:w="2330" w:type="pct"/>
          </w:tcPr>
          <w:p w:rsidR="001F4EF2" w:rsidRPr="00A16F83" w:rsidRDefault="001F4EF2" w:rsidP="00650BC1">
            <w:pPr>
              <w:jc w:val="both"/>
              <w:rPr>
                <w:rFonts w:eastAsia="Calibri"/>
                <w:sz w:val="20"/>
              </w:rPr>
            </w:pPr>
            <w:r w:rsidRPr="00A16F83">
              <w:rPr>
                <w:rFonts w:eastAsia="Calibri"/>
                <w:sz w:val="20"/>
              </w:rPr>
              <w:t>Application for leave to appeal filed</w:t>
            </w:r>
          </w:p>
        </w:tc>
      </w:tr>
    </w:tbl>
    <w:p w:rsidR="00915D6A" w:rsidRDefault="00915D6A" w:rsidP="00915D6A">
      <w:pPr>
        <w:rPr>
          <w:sz w:val="20"/>
          <w:szCs w:val="20"/>
        </w:rPr>
      </w:pPr>
    </w:p>
    <w:p w:rsidR="00915D6A" w:rsidRPr="00C50A5C" w:rsidRDefault="00690162" w:rsidP="00915D6A">
      <w:pPr>
        <w:rPr>
          <w:sz w:val="20"/>
          <w:szCs w:val="20"/>
        </w:rPr>
      </w:pPr>
      <w:r>
        <w:rPr>
          <w:sz w:val="20"/>
          <w:szCs w:val="20"/>
          <w:lang w:val="fr-CA"/>
        </w:rPr>
        <w:pict>
          <v:rect id="_x0000_i1074" style="width:2in;height:1pt" o:hrpct="0" o:hralign="center" o:hrstd="t" o:hrnoshade="t" o:hr="t" fillcolor="black [3213]" stroked="f"/>
        </w:pict>
      </w:r>
    </w:p>
    <w:p w:rsidR="00915D6A" w:rsidRDefault="00915D6A" w:rsidP="00915D6A">
      <w:pPr>
        <w:rPr>
          <w:sz w:val="20"/>
          <w:szCs w:val="20"/>
        </w:rPr>
      </w:pPr>
    </w:p>
    <w:p w:rsidR="00915D6A" w:rsidRPr="001B157C" w:rsidRDefault="00915D6A" w:rsidP="00915D6A">
      <w:pPr>
        <w:rPr>
          <w:sz w:val="20"/>
          <w:szCs w:val="20"/>
          <w:u w:val="single"/>
          <w:lang w:val="fr-CA"/>
        </w:rPr>
      </w:pPr>
      <w:r w:rsidRPr="001B157C">
        <w:rPr>
          <w:sz w:val="20"/>
          <w:szCs w:val="20"/>
          <w:u w:val="single"/>
          <w:lang w:val="fr-CA"/>
        </w:rPr>
        <w:t>RÉSUMÉ DE L’AFFAIRE</w:t>
      </w:r>
    </w:p>
    <w:p w:rsidR="00915D6A" w:rsidRDefault="00915D6A" w:rsidP="00915D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4EF2" w:rsidRPr="00690162" w:rsidTr="00650BC1">
        <w:tc>
          <w:tcPr>
            <w:tcW w:w="5000" w:type="pct"/>
            <w:gridSpan w:val="3"/>
          </w:tcPr>
          <w:p w:rsidR="001F4EF2" w:rsidRPr="00A16F83" w:rsidRDefault="001F4EF2" w:rsidP="00650BC1">
            <w:pPr>
              <w:jc w:val="both"/>
              <w:rPr>
                <w:rFonts w:eastAsia="Calibri"/>
                <w:sz w:val="20"/>
                <w:lang w:val="fr-CA"/>
              </w:rPr>
            </w:pPr>
            <w:r w:rsidRPr="00A16F83">
              <w:rPr>
                <w:rFonts w:eastAsia="Calibri"/>
                <w:sz w:val="20"/>
                <w:lang w:val="fr-CA"/>
              </w:rPr>
              <w:t xml:space="preserve">Immigration — Réfugié au sens de la </w:t>
            </w:r>
            <w:r w:rsidRPr="00A16F83">
              <w:rPr>
                <w:rFonts w:eastAsia="Calibri"/>
                <w:i/>
                <w:sz w:val="20"/>
                <w:lang w:val="fr-CA"/>
              </w:rPr>
              <w:t>Convention</w:t>
            </w:r>
            <w:r w:rsidRPr="00A16F83">
              <w:rPr>
                <w:rFonts w:eastAsia="Calibri"/>
                <w:sz w:val="20"/>
                <w:lang w:val="fr-CA"/>
              </w:rPr>
              <w:t xml:space="preserve"> — Exclusion de la protection accordée aux réfugiés — Inapplication de la </w:t>
            </w:r>
            <w:r w:rsidRPr="00A16F83">
              <w:rPr>
                <w:rFonts w:eastAsia="Calibri"/>
                <w:i/>
                <w:sz w:val="20"/>
                <w:lang w:val="fr-CA"/>
              </w:rPr>
              <w:t>Convention relative au statut des réfugiés</w:t>
            </w:r>
            <w:r w:rsidRPr="00A16F83">
              <w:rPr>
                <w:rFonts w:eastAsia="Calibri"/>
                <w:sz w:val="20"/>
                <w:lang w:val="fr-CA"/>
              </w:rPr>
              <w:t xml:space="preserve"> aux personnes dont on croit qu’elles ont commis un crime grave de droit commun avant d’être admises au Canada comme réfugiés — Déclaration de culpabilité prononcée auparavant contre le demandeur d’asile aux É.-U. — Peine purgée par le demandeur avant qu’il demande l’asile au Canada — Modifications à la législation canadienne qui rendent désormais plus lourdes les peines prévues pour l’infraction du demandeur qu’au moment où celle-ci avait été commise — Décision de la Commission de l’immigration et du statut de réfugié sur la gravité de l’infraction au regard du droit en vigueur lors de l’audience — Conclusion de la Commission que le demandeur est exclu de la protection accordée aux réfugiés — La Cour d’appel fédérale a-t-elle fait erreur en concluant qu’il faut appliquer le droit en vigueur au moment de l’audience devant la Commission pour juger de la gravité du crime et déterminer ainsi l’applicabilité de la section Fb) de l’article premier de la </w:t>
            </w:r>
            <w:r w:rsidRPr="00A16F83">
              <w:rPr>
                <w:rFonts w:eastAsia="Calibri"/>
                <w:i/>
                <w:sz w:val="20"/>
                <w:lang w:val="fr-CA"/>
              </w:rPr>
              <w:t>Convention</w:t>
            </w:r>
            <w:r w:rsidRPr="00A16F83">
              <w:rPr>
                <w:rFonts w:eastAsia="Calibri"/>
                <w:sz w:val="20"/>
                <w:lang w:val="fr-CA"/>
              </w:rPr>
              <w:t xml:space="preserve">? — </w:t>
            </w:r>
            <w:r w:rsidRPr="00A16F83">
              <w:rPr>
                <w:rFonts w:eastAsia="Calibri"/>
                <w:i/>
                <w:sz w:val="20"/>
                <w:lang w:val="fr-CA"/>
              </w:rPr>
              <w:t>Convention relative au statut des réfugiés</w:t>
            </w:r>
            <w:r w:rsidRPr="00A16F83">
              <w:rPr>
                <w:rFonts w:eastAsia="Calibri"/>
                <w:sz w:val="20"/>
                <w:lang w:val="fr-CA"/>
              </w:rPr>
              <w:t xml:space="preserve"> — </w:t>
            </w:r>
            <w:r w:rsidRPr="00A16F83">
              <w:rPr>
                <w:rFonts w:eastAsia="Calibri"/>
                <w:i/>
                <w:sz w:val="20"/>
                <w:lang w:val="fr-CA"/>
              </w:rPr>
              <w:t>Loi sur l’immigration et la protection des réfugiés</w:t>
            </w:r>
            <w:r w:rsidRPr="00A16F83">
              <w:rPr>
                <w:rFonts w:eastAsia="Calibri"/>
                <w:sz w:val="20"/>
                <w:lang w:val="fr-CA"/>
              </w:rPr>
              <w:t>, L.C. 2001, ch. 27, art. 98.</w:t>
            </w:r>
          </w:p>
        </w:tc>
      </w:tr>
      <w:tr w:rsidR="001F4EF2" w:rsidRPr="00690162" w:rsidTr="00650BC1">
        <w:tc>
          <w:tcPr>
            <w:tcW w:w="5000" w:type="pct"/>
            <w:gridSpan w:val="3"/>
          </w:tcPr>
          <w:p w:rsidR="001F4EF2" w:rsidRPr="00A16F83" w:rsidRDefault="001F4EF2" w:rsidP="00650BC1">
            <w:pPr>
              <w:jc w:val="both"/>
              <w:rPr>
                <w:rFonts w:eastAsia="Calibri"/>
                <w:sz w:val="20"/>
                <w:lang w:val="fr-CA"/>
              </w:rPr>
            </w:pPr>
          </w:p>
        </w:tc>
      </w:tr>
      <w:tr w:rsidR="001F4EF2" w:rsidRPr="00690162" w:rsidTr="00650BC1">
        <w:tc>
          <w:tcPr>
            <w:tcW w:w="5000" w:type="pct"/>
            <w:gridSpan w:val="3"/>
          </w:tcPr>
          <w:p w:rsidR="001F4EF2" w:rsidRPr="00A16F83" w:rsidRDefault="001F4EF2" w:rsidP="00650BC1">
            <w:pPr>
              <w:jc w:val="both"/>
              <w:rPr>
                <w:rFonts w:eastAsia="Calibri"/>
                <w:sz w:val="20"/>
                <w:lang w:val="fr-CA"/>
              </w:rPr>
            </w:pPr>
            <w:r w:rsidRPr="00A16F83">
              <w:rPr>
                <w:rFonts w:eastAsia="Calibri"/>
                <w:sz w:val="20"/>
                <w:lang w:val="fr-CA"/>
              </w:rPr>
              <w:t xml:space="preserve">En 2008, le demandeur, un citoyen mexicain, a demandé l’asile au Canada, disant craindre d’être persécuté au Mexique du fait de son appartenance à un groupe social et de ses opinions politiques.  Le ministre de la Citoyenneté et de l’Immigration a demandé à la Section de la protection des réfugiés de la Commission de l’immigration et du statut de réfugié du Canada d’exclure le demandeur de la protection accordée aux réfugiés parce qu’il avait commis un crime grave de droit commun avant d’être admis au Canada comme réfugié.  </w:t>
            </w:r>
          </w:p>
          <w:p w:rsidR="001F4EF2" w:rsidRPr="00A16F83" w:rsidRDefault="001F4EF2" w:rsidP="00650BC1">
            <w:pPr>
              <w:jc w:val="both"/>
              <w:rPr>
                <w:rFonts w:eastAsia="Calibri"/>
                <w:sz w:val="20"/>
                <w:lang w:val="fr-CA"/>
              </w:rPr>
            </w:pPr>
          </w:p>
          <w:p w:rsidR="001F4EF2" w:rsidRPr="00A16F83" w:rsidRDefault="001F4EF2" w:rsidP="00650BC1">
            <w:pPr>
              <w:jc w:val="both"/>
              <w:rPr>
                <w:rFonts w:eastAsia="Calibri"/>
                <w:sz w:val="20"/>
                <w:lang w:val="fr-CA"/>
              </w:rPr>
            </w:pPr>
            <w:r w:rsidRPr="00A16F83">
              <w:rPr>
                <w:rFonts w:eastAsia="Calibri"/>
                <w:sz w:val="20"/>
                <w:lang w:val="fr-CA"/>
              </w:rPr>
              <w:t xml:space="preserve">Vers 1997, alors qu’il vivait aux É.-U., le demandeur a été arrêté pour complot en vue de faire le trafic de </w:t>
            </w:r>
            <w:r w:rsidRPr="00A16F83">
              <w:rPr>
                <w:rFonts w:eastAsia="Calibri"/>
                <w:sz w:val="20"/>
                <w:lang w:val="fr-CA"/>
              </w:rPr>
              <w:lastRenderedPageBreak/>
              <w:t>méthamphétamine et possession en vue d’en faire le trafic, a reconnu sa culpabilité à la deuxième infraction et a été déclaré coupable de celle-ci.  À l’époque où le demandeur a commis son infraction (1996), le crime dont il a été reconnu coupable était non pas une infraction strictement punissable par mise en accusation, mais une infraction mixte.  Cependant, lorsque la demande d’exclusion a été présentée à la Section de la protection des réfugiés (2011), cette infraction était devenue une infraction punissable par mise en accusation.</w:t>
            </w:r>
          </w:p>
          <w:p w:rsidR="001F4EF2" w:rsidRPr="00A16F83" w:rsidRDefault="001F4EF2" w:rsidP="00650BC1">
            <w:pPr>
              <w:jc w:val="both"/>
              <w:rPr>
                <w:rFonts w:eastAsia="Calibri"/>
                <w:sz w:val="20"/>
                <w:lang w:val="fr-CA"/>
              </w:rPr>
            </w:pPr>
          </w:p>
        </w:tc>
      </w:tr>
      <w:tr w:rsidR="001F4EF2" w:rsidRPr="00690162" w:rsidTr="00650BC1">
        <w:tc>
          <w:tcPr>
            <w:tcW w:w="2427" w:type="pct"/>
          </w:tcPr>
          <w:p w:rsidR="001F4EF2" w:rsidRPr="00A16F83" w:rsidRDefault="001F4EF2" w:rsidP="00650BC1">
            <w:pPr>
              <w:jc w:val="both"/>
              <w:rPr>
                <w:rFonts w:eastAsia="Calibri"/>
                <w:sz w:val="20"/>
                <w:lang w:val="fr-CA"/>
              </w:rPr>
            </w:pPr>
            <w:r w:rsidRPr="00A16F83">
              <w:rPr>
                <w:rFonts w:eastAsia="Calibri"/>
                <w:sz w:val="20"/>
                <w:lang w:val="fr-CA"/>
              </w:rPr>
              <w:lastRenderedPageBreak/>
              <w:t>30 octobre 2012</w:t>
            </w:r>
          </w:p>
          <w:p w:rsidR="001F4EF2" w:rsidRPr="00A16F83" w:rsidRDefault="001F4EF2" w:rsidP="00650BC1">
            <w:pPr>
              <w:jc w:val="both"/>
              <w:rPr>
                <w:rFonts w:eastAsia="Calibri"/>
                <w:sz w:val="20"/>
                <w:lang w:val="fr-CA"/>
              </w:rPr>
            </w:pPr>
            <w:r w:rsidRPr="00A16F83">
              <w:rPr>
                <w:rFonts w:eastAsia="Calibri"/>
                <w:sz w:val="20"/>
                <w:lang w:val="fr-CA"/>
              </w:rPr>
              <w:t xml:space="preserve">Commission de l’immigration et </w:t>
            </w:r>
          </w:p>
          <w:p w:rsidR="001F4EF2" w:rsidRPr="00A16F83" w:rsidRDefault="001F4EF2" w:rsidP="00650BC1">
            <w:pPr>
              <w:jc w:val="both"/>
              <w:rPr>
                <w:rFonts w:eastAsia="Calibri"/>
                <w:sz w:val="20"/>
                <w:lang w:val="fr-CA"/>
              </w:rPr>
            </w:pPr>
            <w:r w:rsidRPr="00A16F83">
              <w:rPr>
                <w:rFonts w:eastAsia="Calibri"/>
                <w:sz w:val="20"/>
                <w:lang w:val="fr-CA"/>
              </w:rPr>
              <w:t>du statut de réfugié</w:t>
            </w:r>
          </w:p>
          <w:p w:rsidR="001F4EF2" w:rsidRPr="00A16F83" w:rsidRDefault="001F4EF2" w:rsidP="00650BC1">
            <w:pPr>
              <w:jc w:val="both"/>
              <w:rPr>
                <w:rFonts w:eastAsia="Calibri"/>
                <w:sz w:val="20"/>
              </w:rPr>
            </w:pPr>
            <w:r w:rsidRPr="00A16F83">
              <w:rPr>
                <w:rFonts w:eastAsia="Calibri"/>
                <w:sz w:val="20"/>
              </w:rPr>
              <w:t>(P. MacAulay)</w:t>
            </w:r>
          </w:p>
          <w:p w:rsidR="001F4EF2" w:rsidRPr="00A16F83" w:rsidRDefault="001F4EF2" w:rsidP="00650BC1">
            <w:pPr>
              <w:jc w:val="both"/>
              <w:rPr>
                <w:rFonts w:eastAsia="Calibri"/>
                <w:sz w:val="20"/>
              </w:rPr>
            </w:pPr>
            <w:r w:rsidRPr="00A16F83">
              <w:rPr>
                <w:rFonts w:eastAsia="Calibri"/>
                <w:sz w:val="20"/>
              </w:rPr>
              <w:t>Dossier n</w:t>
            </w:r>
            <w:r w:rsidRPr="00A16F83">
              <w:rPr>
                <w:rFonts w:eastAsia="Calibri"/>
                <w:sz w:val="20"/>
                <w:vertAlign w:val="superscript"/>
              </w:rPr>
              <w:t>o</w:t>
            </w:r>
            <w:r w:rsidRPr="00A16F83">
              <w:rPr>
                <w:rFonts w:eastAsia="Calibri"/>
                <w:sz w:val="20"/>
              </w:rPr>
              <w:t xml:space="preserve"> VA8-05660</w:t>
            </w:r>
          </w:p>
          <w:p w:rsidR="001F4EF2" w:rsidRPr="00A16F83" w:rsidRDefault="001F4EF2" w:rsidP="00650BC1">
            <w:pPr>
              <w:jc w:val="both"/>
              <w:rPr>
                <w:rFonts w:eastAsia="Calibri"/>
                <w:sz w:val="20"/>
              </w:rPr>
            </w:pPr>
          </w:p>
        </w:tc>
        <w:tc>
          <w:tcPr>
            <w:tcW w:w="243" w:type="pct"/>
          </w:tcPr>
          <w:p w:rsidR="001F4EF2" w:rsidRPr="00A16F83" w:rsidRDefault="001F4EF2" w:rsidP="00650BC1">
            <w:pPr>
              <w:jc w:val="both"/>
              <w:rPr>
                <w:rFonts w:eastAsia="Calibri"/>
                <w:sz w:val="20"/>
              </w:rPr>
            </w:pPr>
          </w:p>
        </w:tc>
        <w:tc>
          <w:tcPr>
            <w:tcW w:w="2330" w:type="pct"/>
          </w:tcPr>
          <w:p w:rsidR="001F4EF2" w:rsidRPr="00A16F83" w:rsidRDefault="001F4EF2" w:rsidP="00650BC1">
            <w:pPr>
              <w:jc w:val="both"/>
              <w:rPr>
                <w:rFonts w:eastAsia="Calibri"/>
                <w:sz w:val="20"/>
                <w:lang w:val="fr-CA"/>
              </w:rPr>
            </w:pPr>
            <w:r w:rsidRPr="00A16F83">
              <w:rPr>
                <w:rFonts w:eastAsia="Calibri"/>
                <w:sz w:val="20"/>
                <w:lang w:val="fr-CA"/>
              </w:rPr>
              <w:t xml:space="preserve">Demande d’asile du demandeur rejetée  </w:t>
            </w:r>
          </w:p>
        </w:tc>
      </w:tr>
      <w:tr w:rsidR="001F4EF2" w:rsidRPr="00690162" w:rsidTr="00650BC1">
        <w:tc>
          <w:tcPr>
            <w:tcW w:w="2427" w:type="pct"/>
          </w:tcPr>
          <w:p w:rsidR="001F4EF2" w:rsidRPr="00A16F83" w:rsidRDefault="001F4EF2" w:rsidP="00650BC1">
            <w:pPr>
              <w:jc w:val="both"/>
              <w:rPr>
                <w:rFonts w:eastAsia="Calibri"/>
                <w:sz w:val="20"/>
                <w:lang w:val="fr-CA"/>
              </w:rPr>
            </w:pPr>
            <w:r w:rsidRPr="00A16F83">
              <w:rPr>
                <w:rFonts w:eastAsia="Calibri"/>
                <w:sz w:val="20"/>
                <w:lang w:val="fr-CA"/>
              </w:rPr>
              <w:t>29 août 2013</w:t>
            </w:r>
          </w:p>
          <w:p w:rsidR="001F4EF2" w:rsidRPr="00A16F83" w:rsidRDefault="001F4EF2" w:rsidP="00650BC1">
            <w:pPr>
              <w:jc w:val="both"/>
              <w:rPr>
                <w:rFonts w:eastAsia="Calibri"/>
                <w:sz w:val="20"/>
                <w:lang w:val="fr-CA"/>
              </w:rPr>
            </w:pPr>
            <w:r w:rsidRPr="00A16F83">
              <w:rPr>
                <w:rFonts w:eastAsia="Calibri"/>
                <w:sz w:val="20"/>
                <w:lang w:val="fr-CA"/>
              </w:rPr>
              <w:t>Cour fédérale</w:t>
            </w:r>
          </w:p>
          <w:p w:rsidR="001F4EF2" w:rsidRPr="00A16F83" w:rsidRDefault="001F4EF2" w:rsidP="00650BC1">
            <w:pPr>
              <w:tabs>
                <w:tab w:val="center" w:pos="2215"/>
              </w:tabs>
              <w:jc w:val="both"/>
              <w:rPr>
                <w:rFonts w:eastAsia="Calibri"/>
                <w:sz w:val="20"/>
                <w:lang w:val="fr-CA"/>
              </w:rPr>
            </w:pPr>
            <w:r w:rsidRPr="00A16F83">
              <w:rPr>
                <w:rFonts w:eastAsia="Calibri"/>
                <w:sz w:val="20"/>
                <w:lang w:val="fr-CA"/>
              </w:rPr>
              <w:t>(Juge Russell)</w:t>
            </w:r>
          </w:p>
          <w:p w:rsidR="001F4EF2" w:rsidRPr="00A16F83" w:rsidRDefault="001F4EF2" w:rsidP="00650BC1">
            <w:pPr>
              <w:jc w:val="both"/>
              <w:rPr>
                <w:rFonts w:eastAsia="Calibri"/>
                <w:sz w:val="20"/>
              </w:rPr>
            </w:pPr>
            <w:r w:rsidRPr="00A16F83">
              <w:rPr>
                <w:rFonts w:eastAsia="Calibri"/>
                <w:sz w:val="20"/>
              </w:rPr>
              <w:t>2013 CF 913</w:t>
            </w:r>
          </w:p>
          <w:p w:rsidR="001F4EF2" w:rsidRPr="00A16F83" w:rsidRDefault="001F4EF2" w:rsidP="00650BC1">
            <w:pPr>
              <w:jc w:val="both"/>
              <w:rPr>
                <w:rFonts w:eastAsia="Calibri"/>
                <w:sz w:val="20"/>
              </w:rPr>
            </w:pPr>
            <w:r w:rsidRPr="00A16F83">
              <w:rPr>
                <w:rFonts w:eastAsia="Calibri"/>
                <w:sz w:val="20"/>
              </w:rPr>
              <w:t>N</w:t>
            </w:r>
            <w:r w:rsidRPr="00A16F83">
              <w:rPr>
                <w:rFonts w:eastAsia="Calibri"/>
                <w:sz w:val="20"/>
                <w:vertAlign w:val="superscript"/>
              </w:rPr>
              <w:t>o</w:t>
            </w:r>
            <w:r w:rsidRPr="00A16F83">
              <w:rPr>
                <w:rFonts w:eastAsia="Calibri"/>
                <w:sz w:val="20"/>
              </w:rPr>
              <w:t xml:space="preserve"> du greffe IMM-11894-12</w:t>
            </w:r>
          </w:p>
          <w:p w:rsidR="001F4EF2" w:rsidRPr="00A16F83" w:rsidRDefault="001F4EF2" w:rsidP="00650BC1">
            <w:pPr>
              <w:jc w:val="both"/>
              <w:rPr>
                <w:rFonts w:eastAsia="Calibri"/>
                <w:sz w:val="20"/>
              </w:rPr>
            </w:pPr>
          </w:p>
        </w:tc>
        <w:tc>
          <w:tcPr>
            <w:tcW w:w="243" w:type="pct"/>
          </w:tcPr>
          <w:p w:rsidR="001F4EF2" w:rsidRPr="00A16F83" w:rsidRDefault="001F4EF2" w:rsidP="00650BC1">
            <w:pPr>
              <w:jc w:val="both"/>
              <w:rPr>
                <w:rFonts w:eastAsia="Calibri"/>
                <w:sz w:val="20"/>
              </w:rPr>
            </w:pPr>
          </w:p>
        </w:tc>
        <w:tc>
          <w:tcPr>
            <w:tcW w:w="2330" w:type="pct"/>
          </w:tcPr>
          <w:p w:rsidR="001F4EF2" w:rsidRPr="00A16F83" w:rsidRDefault="001F4EF2" w:rsidP="00650BC1">
            <w:pPr>
              <w:jc w:val="both"/>
              <w:rPr>
                <w:rFonts w:eastAsia="Calibri"/>
                <w:sz w:val="20"/>
                <w:lang w:val="fr-CA"/>
              </w:rPr>
            </w:pPr>
            <w:r w:rsidRPr="00A16F83">
              <w:rPr>
                <w:rFonts w:eastAsia="Calibri"/>
                <w:sz w:val="20"/>
                <w:lang w:val="fr-CA"/>
              </w:rPr>
              <w:t>Demande de contrôle judiciaire rejetée</w:t>
            </w:r>
          </w:p>
        </w:tc>
      </w:tr>
      <w:tr w:rsidR="001F4EF2" w:rsidRPr="00A16F83" w:rsidTr="00650BC1">
        <w:tc>
          <w:tcPr>
            <w:tcW w:w="2427" w:type="pct"/>
          </w:tcPr>
          <w:p w:rsidR="001F4EF2" w:rsidRPr="00A16F83" w:rsidRDefault="001F4EF2" w:rsidP="00650BC1">
            <w:pPr>
              <w:jc w:val="both"/>
              <w:rPr>
                <w:rFonts w:eastAsia="Calibri"/>
                <w:sz w:val="20"/>
                <w:lang w:val="fr-CA"/>
              </w:rPr>
            </w:pPr>
            <w:r w:rsidRPr="00A16F83">
              <w:rPr>
                <w:rFonts w:eastAsia="Calibri"/>
                <w:sz w:val="20"/>
                <w:lang w:val="fr-CA"/>
              </w:rPr>
              <w:t>10 juin 2014</w:t>
            </w:r>
          </w:p>
          <w:p w:rsidR="001F4EF2" w:rsidRPr="00A16F83" w:rsidRDefault="001F4EF2" w:rsidP="00650BC1">
            <w:pPr>
              <w:jc w:val="both"/>
              <w:rPr>
                <w:rFonts w:eastAsia="Calibri"/>
                <w:sz w:val="20"/>
                <w:lang w:val="fr-CA"/>
              </w:rPr>
            </w:pPr>
            <w:r w:rsidRPr="00A16F83">
              <w:rPr>
                <w:rFonts w:eastAsia="Calibri"/>
                <w:sz w:val="20"/>
                <w:lang w:val="fr-CA"/>
              </w:rPr>
              <w:t>Cour d’appel fédérale</w:t>
            </w:r>
          </w:p>
          <w:p w:rsidR="001F4EF2" w:rsidRPr="00A16F83" w:rsidRDefault="001F4EF2" w:rsidP="00650BC1">
            <w:pPr>
              <w:jc w:val="both"/>
              <w:rPr>
                <w:rFonts w:eastAsia="Calibri"/>
                <w:sz w:val="20"/>
                <w:lang w:val="fr-CA"/>
              </w:rPr>
            </w:pPr>
            <w:r w:rsidRPr="00A16F83">
              <w:rPr>
                <w:rFonts w:eastAsia="Calibri"/>
                <w:sz w:val="20"/>
                <w:lang w:val="fr-CA"/>
              </w:rPr>
              <w:t>(Juges Nadon, Stratas et Scott)</w:t>
            </w:r>
          </w:p>
          <w:p w:rsidR="001F4EF2" w:rsidRPr="00A16F83" w:rsidRDefault="001F4EF2" w:rsidP="00650BC1">
            <w:pPr>
              <w:jc w:val="both"/>
              <w:rPr>
                <w:rFonts w:eastAsia="Calibri"/>
                <w:sz w:val="20"/>
              </w:rPr>
            </w:pPr>
            <w:r w:rsidRPr="00A16F83">
              <w:rPr>
                <w:rFonts w:eastAsia="Calibri"/>
                <w:sz w:val="20"/>
              </w:rPr>
              <w:t>2014 CAF 157</w:t>
            </w:r>
          </w:p>
          <w:p w:rsidR="001F4EF2" w:rsidRPr="00A16F83" w:rsidRDefault="001F4EF2" w:rsidP="00650BC1">
            <w:pPr>
              <w:jc w:val="both"/>
              <w:rPr>
                <w:rFonts w:eastAsia="Calibri"/>
                <w:sz w:val="20"/>
              </w:rPr>
            </w:pPr>
            <w:r w:rsidRPr="00A16F83">
              <w:rPr>
                <w:rFonts w:eastAsia="Calibri"/>
                <w:sz w:val="20"/>
              </w:rPr>
              <w:t>N</w:t>
            </w:r>
            <w:r w:rsidRPr="00A16F83">
              <w:rPr>
                <w:rFonts w:eastAsia="Calibri"/>
                <w:sz w:val="20"/>
                <w:vertAlign w:val="superscript"/>
              </w:rPr>
              <w:t>o</w:t>
            </w:r>
            <w:r w:rsidRPr="00A16F83">
              <w:rPr>
                <w:rFonts w:eastAsia="Calibri"/>
                <w:sz w:val="20"/>
              </w:rPr>
              <w:t xml:space="preserve"> du greffe A-315-13</w:t>
            </w:r>
          </w:p>
          <w:p w:rsidR="001F4EF2" w:rsidRPr="00A16F83" w:rsidRDefault="001F4EF2" w:rsidP="00650BC1">
            <w:pPr>
              <w:jc w:val="both"/>
              <w:rPr>
                <w:rFonts w:eastAsia="Calibri"/>
                <w:sz w:val="20"/>
              </w:rPr>
            </w:pPr>
          </w:p>
        </w:tc>
        <w:tc>
          <w:tcPr>
            <w:tcW w:w="243" w:type="pct"/>
          </w:tcPr>
          <w:p w:rsidR="001F4EF2" w:rsidRPr="00A16F83" w:rsidRDefault="001F4EF2" w:rsidP="00650BC1">
            <w:pPr>
              <w:jc w:val="both"/>
              <w:rPr>
                <w:rFonts w:eastAsia="Calibri"/>
                <w:sz w:val="20"/>
              </w:rPr>
            </w:pPr>
          </w:p>
        </w:tc>
        <w:tc>
          <w:tcPr>
            <w:tcW w:w="2330" w:type="pct"/>
          </w:tcPr>
          <w:p w:rsidR="001F4EF2" w:rsidRPr="00A16F83" w:rsidRDefault="001F4EF2" w:rsidP="00650BC1">
            <w:pPr>
              <w:jc w:val="both"/>
              <w:rPr>
                <w:rFonts w:eastAsia="Calibri"/>
                <w:sz w:val="20"/>
              </w:rPr>
            </w:pPr>
            <w:r w:rsidRPr="00A16F83">
              <w:rPr>
                <w:rFonts w:eastAsia="Calibri"/>
                <w:sz w:val="20"/>
              </w:rPr>
              <w:t>Appel rejeté</w:t>
            </w:r>
          </w:p>
        </w:tc>
      </w:tr>
      <w:tr w:rsidR="001F4EF2" w:rsidRPr="00A16F83" w:rsidTr="00650BC1">
        <w:tc>
          <w:tcPr>
            <w:tcW w:w="2427" w:type="pct"/>
          </w:tcPr>
          <w:p w:rsidR="001F4EF2" w:rsidRPr="00A16F83" w:rsidRDefault="001F4EF2" w:rsidP="00650BC1">
            <w:pPr>
              <w:jc w:val="both"/>
              <w:rPr>
                <w:rFonts w:eastAsia="Calibri"/>
                <w:sz w:val="20"/>
                <w:lang w:val="fr-CA"/>
              </w:rPr>
            </w:pPr>
            <w:r w:rsidRPr="00A16F83">
              <w:rPr>
                <w:rFonts w:eastAsia="Calibri"/>
                <w:sz w:val="20"/>
                <w:lang w:val="fr-CA"/>
              </w:rPr>
              <w:t>9 septembre 2014</w:t>
            </w:r>
          </w:p>
          <w:p w:rsidR="001F4EF2" w:rsidRPr="00A16F83" w:rsidRDefault="001F4EF2" w:rsidP="00650BC1">
            <w:pPr>
              <w:jc w:val="both"/>
              <w:rPr>
                <w:rFonts w:eastAsia="Calibri"/>
                <w:sz w:val="20"/>
                <w:lang w:val="fr-CA"/>
              </w:rPr>
            </w:pPr>
            <w:r w:rsidRPr="00A16F83">
              <w:rPr>
                <w:rFonts w:eastAsia="Calibri"/>
                <w:sz w:val="20"/>
                <w:lang w:val="fr-CA"/>
              </w:rPr>
              <w:t>Cour suprême du Canada</w:t>
            </w:r>
          </w:p>
        </w:tc>
        <w:tc>
          <w:tcPr>
            <w:tcW w:w="243" w:type="pct"/>
          </w:tcPr>
          <w:p w:rsidR="001F4EF2" w:rsidRPr="00A16F83" w:rsidRDefault="001F4EF2" w:rsidP="00650BC1">
            <w:pPr>
              <w:jc w:val="both"/>
              <w:rPr>
                <w:rFonts w:eastAsia="Calibri"/>
                <w:sz w:val="20"/>
                <w:lang w:val="fr-CA"/>
              </w:rPr>
            </w:pPr>
          </w:p>
        </w:tc>
        <w:tc>
          <w:tcPr>
            <w:tcW w:w="2330" w:type="pct"/>
          </w:tcPr>
          <w:p w:rsidR="001F4EF2" w:rsidRPr="00A16F83" w:rsidRDefault="001F4EF2" w:rsidP="00650BC1">
            <w:pPr>
              <w:jc w:val="both"/>
              <w:rPr>
                <w:rFonts w:eastAsia="Calibri"/>
                <w:sz w:val="20"/>
              </w:rPr>
            </w:pPr>
            <w:r w:rsidRPr="00A16F83">
              <w:rPr>
                <w:rFonts w:eastAsia="Calibri"/>
                <w:sz w:val="20"/>
              </w:rPr>
              <w:t>Demande d’autorisation d’appel déposée</w:t>
            </w:r>
          </w:p>
        </w:tc>
      </w:tr>
    </w:tbl>
    <w:p w:rsidR="00915D6A" w:rsidRDefault="00915D6A" w:rsidP="00915D6A">
      <w:pPr>
        <w:rPr>
          <w:sz w:val="20"/>
          <w:szCs w:val="20"/>
        </w:rPr>
      </w:pPr>
    </w:p>
    <w:p w:rsidR="00915D6A" w:rsidRDefault="00690162" w:rsidP="00915D6A">
      <w:pPr>
        <w:rPr>
          <w:sz w:val="20"/>
          <w:szCs w:val="20"/>
        </w:rPr>
      </w:pPr>
      <w:r>
        <w:rPr>
          <w:sz w:val="20"/>
          <w:szCs w:val="20"/>
          <w:lang w:val="fr-CA"/>
        </w:rPr>
        <w:pict>
          <v:rect id="_x0000_i1075" style="width:2in;height:1pt" o:hrpct="0" o:hralign="center" o:hrstd="t" o:hrnoshade="t" o:hr="t" fillcolor="black [3213]" stroked="f"/>
        </w:pict>
      </w:r>
    </w:p>
    <w:p w:rsidR="00915D6A" w:rsidRDefault="00915D6A" w:rsidP="00915D6A">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495EFA" w:rsidRPr="00495EFA" w:rsidRDefault="00495EFA" w:rsidP="00495EFA">
      <w:pPr>
        <w:tabs>
          <w:tab w:val="left" w:pos="-1440"/>
          <w:tab w:val="left" w:pos="-720"/>
        </w:tabs>
        <w:jc w:val="both"/>
        <w:rPr>
          <w:rFonts w:eastAsia="Times New Roman" w:cs="Times New Roman"/>
          <w:sz w:val="20"/>
          <w:szCs w:val="20"/>
          <w:lang w:val="fr-CA" w:eastAsia="en-CA"/>
        </w:rPr>
      </w:pPr>
      <w:r w:rsidRPr="00495EFA">
        <w:rPr>
          <w:rFonts w:eastAsia="Times New Roman" w:cs="Times New Roman"/>
          <w:sz w:val="20"/>
          <w:szCs w:val="20"/>
          <w:lang w:val="fr-CA" w:eastAsia="en-CA"/>
        </w:rPr>
        <w:t>07.11.2014</w:t>
      </w:r>
    </w:p>
    <w:p w:rsidR="00495EFA" w:rsidRPr="00495EFA" w:rsidRDefault="00495EFA" w:rsidP="00495EFA">
      <w:pPr>
        <w:tabs>
          <w:tab w:val="left" w:pos="-1440"/>
          <w:tab w:val="left" w:pos="-720"/>
        </w:tabs>
        <w:jc w:val="both"/>
        <w:rPr>
          <w:rFonts w:eastAsia="Times New Roman" w:cs="Times New Roman"/>
          <w:sz w:val="20"/>
          <w:szCs w:val="20"/>
          <w:lang w:val="fr-CA" w:eastAsia="en-CA"/>
        </w:rPr>
      </w:pPr>
    </w:p>
    <w:p w:rsidR="00495EFA" w:rsidRPr="00495EFA" w:rsidRDefault="00495EFA" w:rsidP="00495EFA">
      <w:pPr>
        <w:tabs>
          <w:tab w:val="left" w:pos="-1440"/>
          <w:tab w:val="left" w:pos="-720"/>
        </w:tabs>
        <w:jc w:val="both"/>
        <w:rPr>
          <w:rFonts w:eastAsia="Times New Roman" w:cs="Times New Roman"/>
          <w:sz w:val="20"/>
          <w:szCs w:val="20"/>
          <w:lang w:val="fr-CA" w:eastAsia="en-CA"/>
        </w:rPr>
      </w:pPr>
      <w:r w:rsidRPr="00495EFA">
        <w:rPr>
          <w:rFonts w:eastAsia="Times New Roman" w:cs="Times New Roman"/>
          <w:sz w:val="20"/>
          <w:szCs w:val="20"/>
          <w:lang w:val="fr-CA" w:eastAsia="en-CA"/>
        </w:rPr>
        <w:t>Before / Devant :   LEBEL J. / LE JUGE LEBEL</w:t>
      </w:r>
    </w:p>
    <w:p w:rsidR="00495EFA" w:rsidRPr="00495EFA" w:rsidRDefault="00495EFA" w:rsidP="00495EFA">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495EFA" w:rsidRPr="00495EFA" w:rsidTr="003B3ED7">
        <w:tc>
          <w:tcPr>
            <w:tcW w:w="4338" w:type="dxa"/>
            <w:gridSpan w:val="2"/>
          </w:tcPr>
          <w:p w:rsidR="00495EFA" w:rsidRPr="00495EFA" w:rsidRDefault="00495EFA" w:rsidP="00495EFA">
            <w:pPr>
              <w:rPr>
                <w:b/>
              </w:rPr>
            </w:pPr>
            <w:r w:rsidRPr="00495EFA">
              <w:rPr>
                <w:b/>
              </w:rPr>
              <w:t>Motion for leave to intervene</w:t>
            </w:r>
            <w:r w:rsidRPr="00495EFA">
              <w:rPr>
                <w:lang w:val="en-US"/>
              </w:rPr>
              <w:t xml:space="preserve"> </w:t>
            </w:r>
            <w:r w:rsidR="00D921D7" w:rsidRPr="00495EFA">
              <w:rPr>
                <w:lang w:val="en-US"/>
              </w:rPr>
              <w:fldChar w:fldCharType="begin"/>
            </w:r>
            <w:r w:rsidRPr="00495EFA">
              <w:instrText xml:space="preserve"> SEQ CHAPTER \h \r 1</w:instrText>
            </w:r>
            <w:r w:rsidR="00D921D7" w:rsidRPr="00495EFA">
              <w:rPr>
                <w:lang w:val="en-US"/>
              </w:rPr>
              <w:fldChar w:fldCharType="end"/>
            </w:r>
          </w:p>
        </w:tc>
        <w:tc>
          <w:tcPr>
            <w:tcW w:w="1170" w:type="dxa"/>
          </w:tcPr>
          <w:p w:rsidR="00495EFA" w:rsidRPr="00495EFA" w:rsidRDefault="00495EFA" w:rsidP="00495EFA"/>
          <w:p w:rsidR="00495EFA" w:rsidRPr="00495EFA" w:rsidRDefault="00495EFA" w:rsidP="00495EFA"/>
        </w:tc>
        <w:tc>
          <w:tcPr>
            <w:tcW w:w="4327" w:type="dxa"/>
          </w:tcPr>
          <w:p w:rsidR="00495EFA" w:rsidRPr="00495EFA" w:rsidRDefault="00495EFA" w:rsidP="00495EFA">
            <w:pPr>
              <w:rPr>
                <w:b/>
              </w:rPr>
            </w:pPr>
            <w:r w:rsidRPr="00495EFA">
              <w:rPr>
                <w:b/>
                <w:bCs/>
                <w:lang w:val="fr-CA"/>
              </w:rPr>
              <w:t>Requête en autorisation d’intervenir</w:t>
            </w:r>
            <w:r w:rsidRPr="00495EFA">
              <w:rPr>
                <w:lang w:val="en-US"/>
              </w:rPr>
              <w:t xml:space="preserve"> </w:t>
            </w:r>
            <w:r w:rsidR="00D921D7" w:rsidRPr="00495EFA">
              <w:rPr>
                <w:lang w:val="en-US"/>
              </w:rPr>
              <w:fldChar w:fldCharType="begin"/>
            </w:r>
            <w:r w:rsidRPr="00495EFA">
              <w:instrText xml:space="preserve"> SEQ CHAPTER \h \r 1</w:instrText>
            </w:r>
            <w:r w:rsidR="00D921D7" w:rsidRPr="00495EFA">
              <w:rPr>
                <w:lang w:val="en-US"/>
              </w:rPr>
              <w:fldChar w:fldCharType="end"/>
            </w:r>
          </w:p>
        </w:tc>
      </w:tr>
      <w:tr w:rsidR="00495EFA" w:rsidRPr="00495EFA" w:rsidTr="003B3ED7">
        <w:trPr>
          <w:trHeight w:hRule="exact" w:val="360"/>
        </w:trPr>
        <w:tc>
          <w:tcPr>
            <w:tcW w:w="1368" w:type="dxa"/>
          </w:tcPr>
          <w:p w:rsidR="00495EFA" w:rsidRPr="00495EFA" w:rsidRDefault="00495EFA" w:rsidP="00495EFA">
            <w:r w:rsidRPr="00495EFA">
              <w:t>BY / PAR</w:t>
            </w:r>
          </w:p>
        </w:tc>
        <w:tc>
          <w:tcPr>
            <w:tcW w:w="2970" w:type="dxa"/>
          </w:tcPr>
          <w:p w:rsidR="00495EFA" w:rsidRPr="00495EFA" w:rsidRDefault="00495EFA" w:rsidP="00495EFA">
            <w:r w:rsidRPr="00495EFA">
              <w:t>City of Montreal</w:t>
            </w:r>
          </w:p>
        </w:tc>
        <w:tc>
          <w:tcPr>
            <w:tcW w:w="1170" w:type="dxa"/>
          </w:tcPr>
          <w:p w:rsidR="00495EFA" w:rsidRPr="00495EFA" w:rsidRDefault="00495EFA" w:rsidP="00495EFA"/>
        </w:tc>
        <w:tc>
          <w:tcPr>
            <w:tcW w:w="4327" w:type="dxa"/>
          </w:tcPr>
          <w:p w:rsidR="00495EFA" w:rsidRPr="00495EFA" w:rsidRDefault="00495EFA" w:rsidP="00495EFA"/>
        </w:tc>
      </w:tr>
      <w:tr w:rsidR="00495EFA" w:rsidRPr="00495EFA" w:rsidTr="003B3ED7">
        <w:tc>
          <w:tcPr>
            <w:tcW w:w="1368" w:type="dxa"/>
          </w:tcPr>
          <w:p w:rsidR="00495EFA" w:rsidRPr="00495EFA" w:rsidRDefault="00495EFA" w:rsidP="00495EFA"/>
        </w:tc>
        <w:tc>
          <w:tcPr>
            <w:tcW w:w="2970" w:type="dxa"/>
          </w:tcPr>
          <w:p w:rsidR="00495EFA" w:rsidRPr="00495EFA" w:rsidRDefault="00495EFA" w:rsidP="00495EFA">
            <w:pPr>
              <w:rPr>
                <w:lang w:val="en-US"/>
              </w:rPr>
            </w:pPr>
          </w:p>
        </w:tc>
        <w:tc>
          <w:tcPr>
            <w:tcW w:w="1170" w:type="dxa"/>
          </w:tcPr>
          <w:p w:rsidR="00495EFA" w:rsidRPr="00495EFA" w:rsidRDefault="00495EFA" w:rsidP="00495EFA"/>
        </w:tc>
        <w:tc>
          <w:tcPr>
            <w:tcW w:w="4327" w:type="dxa"/>
          </w:tcPr>
          <w:p w:rsidR="00495EFA" w:rsidRPr="00495EFA" w:rsidRDefault="00495EFA" w:rsidP="00495EFA"/>
        </w:tc>
      </w:tr>
      <w:tr w:rsidR="00495EFA" w:rsidRPr="00495EFA" w:rsidTr="003B3ED7">
        <w:tc>
          <w:tcPr>
            <w:tcW w:w="1368" w:type="dxa"/>
          </w:tcPr>
          <w:p w:rsidR="00495EFA" w:rsidRPr="00495EFA" w:rsidRDefault="00495EFA" w:rsidP="00495EFA">
            <w:r w:rsidRPr="00495EFA">
              <w:t>IN / DANS :</w:t>
            </w:r>
          </w:p>
        </w:tc>
        <w:tc>
          <w:tcPr>
            <w:tcW w:w="2970" w:type="dxa"/>
          </w:tcPr>
          <w:p w:rsidR="00495EFA" w:rsidRPr="00495EFA" w:rsidRDefault="00495EFA" w:rsidP="00495EFA">
            <w:r w:rsidRPr="00495EFA">
              <w:t>Her Majesty the Queen</w:t>
            </w:r>
          </w:p>
          <w:p w:rsidR="00495EFA" w:rsidRPr="00495EFA" w:rsidRDefault="00495EFA" w:rsidP="00495EFA"/>
          <w:p w:rsidR="00495EFA" w:rsidRPr="00495EFA" w:rsidRDefault="00495EFA" w:rsidP="00495EFA">
            <w:r w:rsidRPr="00495EFA">
              <w:tab/>
              <w:t>v. (35971)</w:t>
            </w:r>
          </w:p>
          <w:p w:rsidR="00495EFA" w:rsidRPr="00495EFA" w:rsidRDefault="00495EFA" w:rsidP="00495EFA"/>
          <w:p w:rsidR="00495EFA" w:rsidRPr="00495EFA" w:rsidRDefault="00495EFA" w:rsidP="00495EFA">
            <w:pPr>
              <w:rPr>
                <w:lang w:val="fr-CA"/>
              </w:rPr>
            </w:pPr>
            <w:r w:rsidRPr="00495EFA">
              <w:rPr>
                <w:lang w:val="fr-CA"/>
              </w:rPr>
              <w:t>Andrew Simpson et al. (Crim.) (Que.)</w:t>
            </w:r>
          </w:p>
        </w:tc>
        <w:tc>
          <w:tcPr>
            <w:tcW w:w="1170" w:type="dxa"/>
          </w:tcPr>
          <w:p w:rsidR="00495EFA" w:rsidRPr="00495EFA" w:rsidRDefault="00495EFA" w:rsidP="00495EFA">
            <w:pPr>
              <w:rPr>
                <w:lang w:val="fr-CA"/>
              </w:rPr>
            </w:pPr>
          </w:p>
        </w:tc>
        <w:tc>
          <w:tcPr>
            <w:tcW w:w="4327" w:type="dxa"/>
          </w:tcPr>
          <w:p w:rsidR="00495EFA" w:rsidRPr="00495EFA" w:rsidRDefault="00495EFA" w:rsidP="00495EFA">
            <w:pPr>
              <w:rPr>
                <w:lang w:val="fr-CA"/>
              </w:rPr>
            </w:pPr>
          </w:p>
        </w:tc>
      </w:tr>
    </w:tbl>
    <w:p w:rsidR="00495EFA" w:rsidRPr="00495EFA" w:rsidRDefault="00495EFA" w:rsidP="00495EFA">
      <w:pPr>
        <w:tabs>
          <w:tab w:val="left" w:pos="-1440"/>
          <w:tab w:val="left" w:pos="-720"/>
        </w:tabs>
        <w:jc w:val="both"/>
        <w:rPr>
          <w:rFonts w:eastAsia="Times New Roman" w:cs="Times New Roman"/>
          <w:sz w:val="20"/>
          <w:szCs w:val="20"/>
          <w:lang w:val="fr-CA" w:eastAsia="en-CA"/>
        </w:rPr>
      </w:pPr>
    </w:p>
    <w:p w:rsidR="00495EFA" w:rsidRPr="00495EFA" w:rsidRDefault="00495EFA" w:rsidP="00495EFA">
      <w:pPr>
        <w:tabs>
          <w:tab w:val="left" w:pos="-1440"/>
          <w:tab w:val="left" w:pos="-720"/>
        </w:tabs>
        <w:jc w:val="both"/>
        <w:rPr>
          <w:rFonts w:eastAsia="Times New Roman" w:cs="Times New Roman"/>
          <w:b/>
          <w:sz w:val="20"/>
          <w:szCs w:val="20"/>
          <w:lang w:eastAsia="en-CA"/>
        </w:rPr>
      </w:pPr>
      <w:r w:rsidRPr="00495EFA">
        <w:rPr>
          <w:rFonts w:eastAsia="Times New Roman" w:cs="Times New Roman"/>
          <w:b/>
          <w:sz w:val="20"/>
          <w:szCs w:val="20"/>
          <w:lang w:eastAsia="en-CA"/>
        </w:rPr>
        <w:t>GRANTED / ACCORDÉE</w:t>
      </w:r>
    </w:p>
    <w:p w:rsidR="00495EFA" w:rsidRPr="00495EFA" w:rsidRDefault="00495EFA" w:rsidP="00495EFA">
      <w:pPr>
        <w:tabs>
          <w:tab w:val="left" w:pos="-1440"/>
          <w:tab w:val="left" w:pos="-720"/>
        </w:tabs>
        <w:jc w:val="both"/>
        <w:rPr>
          <w:rFonts w:eastAsia="Times New Roman" w:cs="Times New Roman"/>
          <w:sz w:val="20"/>
          <w:szCs w:val="20"/>
          <w:lang w:eastAsia="en-CA"/>
        </w:rPr>
      </w:pPr>
    </w:p>
    <w:p w:rsidR="00495EFA" w:rsidRPr="00495EFA" w:rsidRDefault="00495EFA" w:rsidP="00495EFA">
      <w:pPr>
        <w:spacing w:line="233" w:lineRule="auto"/>
        <w:jc w:val="both"/>
        <w:rPr>
          <w:rFonts w:eastAsia="Times New Roman" w:cs="Times New Roman"/>
          <w:sz w:val="20"/>
          <w:szCs w:val="20"/>
          <w:lang w:eastAsia="en-CA"/>
        </w:rPr>
      </w:pPr>
      <w:r w:rsidRPr="00495EFA">
        <w:rPr>
          <w:rFonts w:eastAsia="Times New Roman" w:cs="Times New Roman"/>
          <w:b/>
          <w:bCs/>
          <w:sz w:val="20"/>
          <w:szCs w:val="20"/>
          <w:lang w:val="en-US" w:eastAsia="en-CA"/>
        </w:rPr>
        <w:t xml:space="preserve">UPON APPLICATION </w:t>
      </w:r>
      <w:r w:rsidRPr="00495EFA">
        <w:rPr>
          <w:rFonts w:eastAsia="Times New Roman" w:cs="Times New Roman"/>
          <w:sz w:val="20"/>
          <w:szCs w:val="20"/>
          <w:lang w:val="en-US" w:eastAsia="en-CA"/>
        </w:rPr>
        <w:t xml:space="preserve">by </w:t>
      </w:r>
      <w:r w:rsidRPr="00495EFA">
        <w:rPr>
          <w:rFonts w:eastAsia="Times New Roman" w:cs="Times New Roman"/>
          <w:sz w:val="20"/>
          <w:szCs w:val="20"/>
          <w:lang w:eastAsia="en-CA"/>
        </w:rPr>
        <w:t>the City of Montreal for leave to intervene in the above appeal;</w:t>
      </w:r>
    </w:p>
    <w:p w:rsidR="00495EFA" w:rsidRPr="00495EFA" w:rsidRDefault="00495EFA" w:rsidP="00495EFA">
      <w:pPr>
        <w:spacing w:line="233" w:lineRule="auto"/>
        <w:jc w:val="both"/>
        <w:rPr>
          <w:rFonts w:eastAsia="Times New Roman" w:cs="Times New Roman"/>
          <w:sz w:val="20"/>
          <w:szCs w:val="20"/>
          <w:lang w:eastAsia="en-CA"/>
        </w:rPr>
      </w:pPr>
    </w:p>
    <w:p w:rsidR="00495EFA" w:rsidRPr="00495EFA" w:rsidRDefault="00495EFA" w:rsidP="00495EFA">
      <w:pPr>
        <w:spacing w:line="233" w:lineRule="auto"/>
        <w:jc w:val="both"/>
        <w:rPr>
          <w:rFonts w:eastAsia="Times New Roman" w:cs="Times New Roman"/>
          <w:sz w:val="20"/>
          <w:szCs w:val="20"/>
          <w:lang w:val="en-US" w:eastAsia="en-CA"/>
        </w:rPr>
      </w:pPr>
      <w:r w:rsidRPr="00495EFA">
        <w:rPr>
          <w:rFonts w:eastAsia="Times New Roman" w:cs="Times New Roman"/>
          <w:b/>
          <w:bCs/>
          <w:sz w:val="20"/>
          <w:szCs w:val="20"/>
          <w:lang w:val="en-US" w:eastAsia="en-CA"/>
        </w:rPr>
        <w:t>AND THE MATERIAL FILED</w:t>
      </w:r>
      <w:r w:rsidRPr="00495EFA">
        <w:rPr>
          <w:rFonts w:eastAsia="Times New Roman" w:cs="Times New Roman"/>
          <w:sz w:val="20"/>
          <w:szCs w:val="20"/>
          <w:lang w:val="en-US" w:eastAsia="en-CA"/>
        </w:rPr>
        <w:t xml:space="preserve"> having been read;</w:t>
      </w:r>
    </w:p>
    <w:p w:rsidR="00495EFA" w:rsidRPr="00495EFA" w:rsidRDefault="00495EFA" w:rsidP="00495EFA">
      <w:pPr>
        <w:spacing w:line="233" w:lineRule="auto"/>
        <w:jc w:val="center"/>
        <w:rPr>
          <w:rFonts w:eastAsia="Times New Roman" w:cs="Times New Roman"/>
          <w:sz w:val="20"/>
          <w:szCs w:val="20"/>
          <w:lang w:val="en-US" w:eastAsia="en-CA"/>
        </w:rPr>
      </w:pPr>
    </w:p>
    <w:p w:rsidR="00495EFA" w:rsidRPr="00495EFA" w:rsidRDefault="00495EFA" w:rsidP="00495EFA">
      <w:pPr>
        <w:spacing w:line="233" w:lineRule="auto"/>
        <w:jc w:val="both"/>
        <w:rPr>
          <w:rFonts w:eastAsia="Times New Roman" w:cs="Times New Roman"/>
          <w:sz w:val="20"/>
          <w:szCs w:val="20"/>
          <w:lang w:val="en-US" w:eastAsia="en-CA"/>
        </w:rPr>
      </w:pPr>
      <w:r w:rsidRPr="00495EFA">
        <w:rPr>
          <w:rFonts w:eastAsia="Times New Roman" w:cs="Times New Roman"/>
          <w:b/>
          <w:bCs/>
          <w:sz w:val="20"/>
          <w:szCs w:val="20"/>
          <w:lang w:val="en-US" w:eastAsia="en-CA"/>
        </w:rPr>
        <w:t>IT IS HEREBY ORDERED THAT:</w:t>
      </w:r>
    </w:p>
    <w:p w:rsidR="00495EFA" w:rsidRPr="00495EFA" w:rsidRDefault="00495EFA" w:rsidP="00495EFA">
      <w:pPr>
        <w:spacing w:line="233" w:lineRule="auto"/>
        <w:jc w:val="both"/>
        <w:rPr>
          <w:rFonts w:eastAsia="Times New Roman" w:cs="Times New Roman"/>
          <w:sz w:val="20"/>
          <w:szCs w:val="20"/>
          <w:lang w:val="en-US" w:eastAsia="en-CA"/>
        </w:rPr>
      </w:pPr>
    </w:p>
    <w:p w:rsidR="00495EFA" w:rsidRPr="00495EFA" w:rsidRDefault="00495EFA" w:rsidP="00495EFA">
      <w:pPr>
        <w:spacing w:line="233" w:lineRule="auto"/>
        <w:jc w:val="both"/>
        <w:rPr>
          <w:rFonts w:eastAsia="Times New Roman" w:cs="Times New Roman"/>
          <w:sz w:val="20"/>
          <w:szCs w:val="20"/>
          <w:lang w:val="en-US" w:eastAsia="en-CA"/>
        </w:rPr>
      </w:pPr>
      <w:r w:rsidRPr="00495EFA">
        <w:rPr>
          <w:rFonts w:eastAsia="Times New Roman" w:cs="Times New Roman"/>
          <w:sz w:val="20"/>
          <w:szCs w:val="20"/>
          <w:lang w:val="en-US" w:eastAsia="en-CA"/>
        </w:rPr>
        <w:t xml:space="preserve">The motion for leave to intervene of the </w:t>
      </w:r>
      <w:r w:rsidRPr="00495EFA">
        <w:rPr>
          <w:rFonts w:eastAsia="Times New Roman" w:cs="Times New Roman"/>
          <w:sz w:val="20"/>
          <w:szCs w:val="20"/>
          <w:lang w:eastAsia="en-CA"/>
        </w:rPr>
        <w:t>City of Montreal is granted and the said intervener</w:t>
      </w:r>
      <w:r w:rsidRPr="00495EFA">
        <w:rPr>
          <w:rFonts w:eastAsia="Times New Roman" w:cs="Times New Roman"/>
          <w:sz w:val="20"/>
          <w:szCs w:val="20"/>
          <w:lang w:val="en-US" w:eastAsia="en-CA"/>
        </w:rPr>
        <w:t xml:space="preserve"> shall be entitled to serve and file a factum not to exceed ten (10) pages in length on or before December 29, 2014.</w:t>
      </w:r>
    </w:p>
    <w:p w:rsidR="00495EFA" w:rsidRPr="00495EFA" w:rsidRDefault="00495EFA" w:rsidP="00495EFA">
      <w:pPr>
        <w:spacing w:line="233" w:lineRule="auto"/>
        <w:jc w:val="both"/>
        <w:rPr>
          <w:rFonts w:eastAsia="Times New Roman" w:cs="Times New Roman"/>
          <w:sz w:val="20"/>
          <w:szCs w:val="20"/>
          <w:lang w:val="en-US" w:eastAsia="en-CA"/>
        </w:rPr>
      </w:pPr>
    </w:p>
    <w:p w:rsidR="00495EFA" w:rsidRPr="00495EFA" w:rsidRDefault="00495EFA" w:rsidP="00495EFA">
      <w:pPr>
        <w:spacing w:line="233" w:lineRule="auto"/>
        <w:jc w:val="both"/>
        <w:rPr>
          <w:rFonts w:eastAsia="Times New Roman" w:cs="Times New Roman"/>
          <w:sz w:val="20"/>
          <w:szCs w:val="20"/>
          <w:lang w:val="en-US" w:eastAsia="en-CA"/>
        </w:rPr>
      </w:pPr>
      <w:r w:rsidRPr="00495EFA">
        <w:rPr>
          <w:rFonts w:eastAsia="Times New Roman" w:cs="Times New Roman"/>
          <w:sz w:val="20"/>
          <w:szCs w:val="20"/>
          <w:lang w:val="en-US" w:eastAsia="en-CA"/>
        </w:rPr>
        <w:t>The request to present oral argument is deferred to a date following receipt and consideration of the written arguments of the parties and the intervener.</w:t>
      </w:r>
    </w:p>
    <w:p w:rsidR="00495EFA" w:rsidRPr="00495EFA" w:rsidRDefault="00495EFA" w:rsidP="00495EFA">
      <w:pPr>
        <w:spacing w:line="233" w:lineRule="auto"/>
        <w:jc w:val="both"/>
        <w:rPr>
          <w:rFonts w:eastAsia="Times New Roman" w:cs="Times New Roman"/>
          <w:sz w:val="20"/>
          <w:szCs w:val="20"/>
          <w:lang w:val="en-US" w:eastAsia="en-CA"/>
        </w:rPr>
      </w:pPr>
    </w:p>
    <w:p w:rsidR="00495EFA" w:rsidRPr="00495EFA" w:rsidRDefault="00D921D7" w:rsidP="00495EFA">
      <w:pPr>
        <w:spacing w:line="233" w:lineRule="auto"/>
        <w:jc w:val="both"/>
        <w:rPr>
          <w:rFonts w:eastAsia="Times New Roman" w:cs="Times New Roman"/>
          <w:sz w:val="20"/>
          <w:szCs w:val="20"/>
          <w:lang w:val="en-US" w:eastAsia="en-CA"/>
        </w:rPr>
      </w:pPr>
      <w:r w:rsidRPr="00495EFA">
        <w:rPr>
          <w:rFonts w:eastAsia="Times New Roman" w:cs="Times New Roman"/>
          <w:sz w:val="20"/>
          <w:szCs w:val="20"/>
          <w:lang w:eastAsia="en-CA"/>
        </w:rPr>
        <w:fldChar w:fldCharType="begin"/>
      </w:r>
      <w:r w:rsidR="00495EFA" w:rsidRPr="00495EFA">
        <w:rPr>
          <w:rFonts w:eastAsia="Times New Roman" w:cs="Times New Roman"/>
          <w:sz w:val="20"/>
          <w:szCs w:val="20"/>
          <w:lang w:eastAsia="en-CA"/>
        </w:rPr>
        <w:instrText xml:space="preserve"> SEQ CHAPTER \h \r 1</w:instrText>
      </w:r>
      <w:r w:rsidRPr="00495EFA">
        <w:rPr>
          <w:rFonts w:eastAsia="Times New Roman" w:cs="Times New Roman"/>
          <w:sz w:val="20"/>
          <w:szCs w:val="20"/>
          <w:lang w:eastAsia="en-CA"/>
        </w:rPr>
        <w:fldChar w:fldCharType="end"/>
      </w:r>
      <w:r w:rsidR="00495EFA" w:rsidRPr="00495EFA">
        <w:rPr>
          <w:rFonts w:eastAsia="Times New Roman" w:cs="Times New Roman"/>
          <w:bCs/>
          <w:sz w:val="20"/>
          <w:szCs w:val="20"/>
          <w:lang w:val="en-US" w:eastAsia="en-CA"/>
        </w:rPr>
        <w:t>The intervener is not entitled to raise new issues or to adduce further evidence or otherwise to supplement the record of the parties.</w:t>
      </w:r>
    </w:p>
    <w:p w:rsidR="00495EFA" w:rsidRPr="00495EFA" w:rsidRDefault="00495EFA" w:rsidP="00495EFA">
      <w:pPr>
        <w:spacing w:line="233" w:lineRule="auto"/>
        <w:jc w:val="both"/>
        <w:rPr>
          <w:rFonts w:eastAsia="Times New Roman" w:cs="Times New Roman"/>
          <w:sz w:val="20"/>
          <w:szCs w:val="20"/>
          <w:lang w:val="en-US" w:eastAsia="en-CA"/>
        </w:rPr>
      </w:pPr>
    </w:p>
    <w:p w:rsidR="00495EFA" w:rsidRPr="00495EFA" w:rsidRDefault="00495EFA" w:rsidP="00495EFA">
      <w:pPr>
        <w:spacing w:line="233" w:lineRule="auto"/>
        <w:jc w:val="both"/>
        <w:rPr>
          <w:rFonts w:eastAsia="Times New Roman" w:cs="Times New Roman"/>
          <w:sz w:val="20"/>
          <w:szCs w:val="20"/>
          <w:lang w:val="en-US" w:eastAsia="en-CA"/>
        </w:rPr>
      </w:pPr>
      <w:r w:rsidRPr="00495EFA">
        <w:rPr>
          <w:rFonts w:eastAsia="Times New Roman" w:cs="Times New Roman"/>
          <w:sz w:val="20"/>
          <w:szCs w:val="20"/>
          <w:lang w:val="en-US" w:eastAsia="en-CA"/>
        </w:rPr>
        <w:t>Pursuant to Rule 59(1)(</w:t>
      </w:r>
      <w:r w:rsidRPr="00495EFA">
        <w:rPr>
          <w:rFonts w:eastAsia="Times New Roman" w:cs="Times New Roman"/>
          <w:i/>
          <w:iCs/>
          <w:sz w:val="20"/>
          <w:szCs w:val="20"/>
          <w:lang w:val="en-US" w:eastAsia="en-CA"/>
        </w:rPr>
        <w:t>a</w:t>
      </w:r>
      <w:r w:rsidRPr="00495EFA">
        <w:rPr>
          <w:rFonts w:eastAsia="Times New Roman" w:cs="Times New Roman"/>
          <w:sz w:val="20"/>
          <w:szCs w:val="20"/>
          <w:lang w:val="en-US" w:eastAsia="en-CA"/>
        </w:rPr>
        <w:t xml:space="preserve">) of the </w:t>
      </w:r>
      <w:r w:rsidRPr="00495EFA">
        <w:rPr>
          <w:rFonts w:eastAsia="Times New Roman" w:cs="Times New Roman"/>
          <w:i/>
          <w:iCs/>
          <w:sz w:val="20"/>
          <w:szCs w:val="20"/>
          <w:lang w:val="en-US" w:eastAsia="en-CA"/>
        </w:rPr>
        <w:t>Rules of the Supreme Court of Canada</w:t>
      </w:r>
      <w:r w:rsidRPr="00495EFA">
        <w:rPr>
          <w:rFonts w:eastAsia="Times New Roman" w:cs="Times New Roman"/>
          <w:sz w:val="20"/>
          <w:szCs w:val="20"/>
          <w:lang w:val="en-US" w:eastAsia="en-CA"/>
        </w:rPr>
        <w:t>, the intervener shall pay to the appellant and respondents any additional disbursements occasioned to the appellant and respondents by their intervention.</w:t>
      </w:r>
    </w:p>
    <w:p w:rsidR="00495EFA" w:rsidRPr="00495EFA" w:rsidRDefault="00495EFA" w:rsidP="00495EFA">
      <w:pPr>
        <w:spacing w:line="233" w:lineRule="auto"/>
        <w:jc w:val="both"/>
        <w:rPr>
          <w:rFonts w:eastAsia="Times New Roman" w:cs="Times New Roman"/>
          <w:sz w:val="20"/>
          <w:szCs w:val="20"/>
          <w:lang w:val="en-US" w:eastAsia="en-CA"/>
        </w:rPr>
      </w:pPr>
    </w:p>
    <w:p w:rsidR="00495EFA" w:rsidRPr="00495EFA" w:rsidRDefault="00495EFA" w:rsidP="00495EFA">
      <w:pPr>
        <w:spacing w:line="233" w:lineRule="auto"/>
        <w:jc w:val="both"/>
        <w:rPr>
          <w:rFonts w:eastAsia="Times New Roman" w:cs="Times New Roman"/>
          <w:sz w:val="20"/>
          <w:szCs w:val="20"/>
          <w:lang w:val="en-US" w:eastAsia="en-CA"/>
        </w:rPr>
      </w:pPr>
    </w:p>
    <w:p w:rsidR="00495EFA" w:rsidRPr="00495EFA" w:rsidRDefault="00495EFA" w:rsidP="00495EFA">
      <w:pPr>
        <w:spacing w:line="233" w:lineRule="auto"/>
        <w:jc w:val="both"/>
        <w:rPr>
          <w:rFonts w:eastAsia="Times New Roman" w:cs="Times New Roman"/>
          <w:sz w:val="20"/>
          <w:szCs w:val="20"/>
          <w:lang w:val="en-US" w:eastAsia="en-CA"/>
        </w:rPr>
      </w:pPr>
    </w:p>
    <w:p w:rsidR="00495EFA" w:rsidRPr="00495EFA" w:rsidRDefault="00495EFA" w:rsidP="00495EFA">
      <w:pPr>
        <w:spacing w:line="233" w:lineRule="auto"/>
        <w:jc w:val="both"/>
        <w:rPr>
          <w:rFonts w:eastAsia="Times New Roman" w:cs="Times New Roman"/>
          <w:sz w:val="20"/>
          <w:szCs w:val="20"/>
          <w:lang w:val="fr-FR" w:eastAsia="en-CA"/>
        </w:rPr>
      </w:pPr>
      <w:r w:rsidRPr="00495EFA">
        <w:rPr>
          <w:rFonts w:eastAsia="Times New Roman" w:cs="Times New Roman"/>
          <w:b/>
          <w:sz w:val="20"/>
          <w:szCs w:val="20"/>
          <w:lang w:val="fr-FR" w:eastAsia="en-CA"/>
        </w:rPr>
        <w:t>À LA SUITE DE LA REQUÊTE</w:t>
      </w:r>
      <w:r w:rsidRPr="00495EFA">
        <w:rPr>
          <w:rFonts w:eastAsia="Times New Roman" w:cs="Times New Roman"/>
          <w:sz w:val="20"/>
          <w:szCs w:val="20"/>
          <w:lang w:val="fr-FR" w:eastAsia="en-CA"/>
        </w:rPr>
        <w:t xml:space="preserve"> présentée par la Ville de Montréal en autorisation d’intervenir dans l’appel;</w:t>
      </w:r>
    </w:p>
    <w:p w:rsidR="00495EFA" w:rsidRPr="00495EFA" w:rsidRDefault="00495EFA" w:rsidP="00495EFA">
      <w:pPr>
        <w:spacing w:line="233" w:lineRule="auto"/>
        <w:jc w:val="both"/>
        <w:rPr>
          <w:rFonts w:eastAsia="Times New Roman" w:cs="Times New Roman"/>
          <w:sz w:val="20"/>
          <w:szCs w:val="20"/>
          <w:lang w:val="fr-FR" w:eastAsia="en-CA"/>
        </w:rPr>
      </w:pPr>
    </w:p>
    <w:p w:rsidR="00495EFA" w:rsidRPr="00495EFA" w:rsidRDefault="00495EFA" w:rsidP="00495EFA">
      <w:pPr>
        <w:spacing w:line="233" w:lineRule="auto"/>
        <w:jc w:val="both"/>
        <w:rPr>
          <w:rFonts w:eastAsia="Times New Roman" w:cs="Times New Roman"/>
          <w:sz w:val="20"/>
          <w:szCs w:val="20"/>
          <w:lang w:val="fr-CA" w:eastAsia="en-CA"/>
        </w:rPr>
      </w:pPr>
      <w:r w:rsidRPr="00495EFA">
        <w:rPr>
          <w:rFonts w:eastAsia="Times New Roman" w:cs="Times New Roman"/>
          <w:b/>
          <w:sz w:val="20"/>
          <w:szCs w:val="20"/>
          <w:lang w:val="fr-CA" w:eastAsia="en-CA"/>
        </w:rPr>
        <w:t>ET APRÈS EXAMEN</w:t>
      </w:r>
      <w:r w:rsidRPr="00495EFA">
        <w:rPr>
          <w:rFonts w:eastAsia="Times New Roman" w:cs="Times New Roman"/>
          <w:sz w:val="20"/>
          <w:szCs w:val="20"/>
          <w:lang w:val="fr-CA" w:eastAsia="en-CA"/>
        </w:rPr>
        <w:t xml:space="preserve"> des documents déposés; </w:t>
      </w:r>
    </w:p>
    <w:p w:rsidR="00495EFA" w:rsidRPr="00495EFA" w:rsidRDefault="00495EFA" w:rsidP="00495EFA">
      <w:pPr>
        <w:spacing w:line="233" w:lineRule="auto"/>
        <w:jc w:val="both"/>
        <w:rPr>
          <w:rFonts w:eastAsia="Times New Roman" w:cs="Times New Roman"/>
          <w:sz w:val="20"/>
          <w:szCs w:val="20"/>
          <w:lang w:val="fr-CA" w:eastAsia="en-CA"/>
        </w:rPr>
      </w:pPr>
    </w:p>
    <w:p w:rsidR="00495EFA" w:rsidRPr="00495EFA" w:rsidRDefault="00495EFA" w:rsidP="00495EFA">
      <w:pPr>
        <w:spacing w:line="233" w:lineRule="auto"/>
        <w:jc w:val="both"/>
        <w:rPr>
          <w:rFonts w:eastAsia="Times New Roman" w:cs="Times New Roman"/>
          <w:sz w:val="20"/>
          <w:szCs w:val="20"/>
          <w:lang w:val="fr-CA" w:eastAsia="en-CA"/>
        </w:rPr>
      </w:pPr>
      <w:r w:rsidRPr="00495EFA">
        <w:rPr>
          <w:rFonts w:eastAsia="Times New Roman" w:cs="Times New Roman"/>
          <w:b/>
          <w:sz w:val="20"/>
          <w:szCs w:val="20"/>
          <w:lang w:val="fr-CA" w:eastAsia="en-CA"/>
        </w:rPr>
        <w:t>IL EST ORDONNÉ CE QUI SUIT :</w:t>
      </w:r>
      <w:r w:rsidRPr="00495EFA">
        <w:rPr>
          <w:rFonts w:eastAsia="Times New Roman" w:cs="Times New Roman"/>
          <w:sz w:val="20"/>
          <w:szCs w:val="20"/>
          <w:lang w:val="fr-CA" w:eastAsia="en-CA"/>
        </w:rPr>
        <w:t xml:space="preserve"> </w:t>
      </w:r>
    </w:p>
    <w:p w:rsidR="00495EFA" w:rsidRPr="00495EFA" w:rsidRDefault="00495EFA" w:rsidP="00495EFA">
      <w:pPr>
        <w:spacing w:line="233" w:lineRule="auto"/>
        <w:jc w:val="both"/>
        <w:rPr>
          <w:rFonts w:eastAsia="Times New Roman" w:cs="Times New Roman"/>
          <w:sz w:val="20"/>
          <w:szCs w:val="20"/>
          <w:lang w:val="fr-CA" w:eastAsia="en-CA"/>
        </w:rPr>
      </w:pPr>
    </w:p>
    <w:p w:rsidR="00495EFA" w:rsidRPr="00495EFA" w:rsidRDefault="00495EFA" w:rsidP="00495EFA">
      <w:pPr>
        <w:spacing w:line="233" w:lineRule="auto"/>
        <w:jc w:val="both"/>
        <w:rPr>
          <w:rFonts w:eastAsia="Times New Roman" w:cs="Times New Roman"/>
          <w:sz w:val="20"/>
          <w:szCs w:val="20"/>
          <w:lang w:val="fr-CA" w:eastAsia="en-CA"/>
        </w:rPr>
      </w:pPr>
      <w:r w:rsidRPr="00495EFA">
        <w:rPr>
          <w:rFonts w:eastAsia="Times New Roman" w:cs="Times New Roman"/>
          <w:sz w:val="20"/>
          <w:szCs w:val="20"/>
          <w:lang w:val="fr-CA" w:eastAsia="en-CA"/>
        </w:rPr>
        <w:t xml:space="preserve">La requête en autorisation d’intervenir présentée par </w:t>
      </w:r>
      <w:r w:rsidRPr="00495EFA">
        <w:rPr>
          <w:rFonts w:eastAsia="Times New Roman" w:cs="Times New Roman"/>
          <w:sz w:val="20"/>
          <w:szCs w:val="20"/>
          <w:lang w:val="fr-FR" w:eastAsia="en-CA"/>
        </w:rPr>
        <w:t xml:space="preserve">la Ville de Montréal </w:t>
      </w:r>
      <w:r w:rsidRPr="00495EFA">
        <w:rPr>
          <w:rFonts w:eastAsia="Times New Roman" w:cs="Times New Roman"/>
          <w:sz w:val="20"/>
          <w:szCs w:val="20"/>
          <w:lang w:val="fr-CA" w:eastAsia="en-CA"/>
        </w:rPr>
        <w:t>est accueillie et cette intervenante pourra signifier et déposer un mémoire d’au plus dix (10) pages au plus tard le 29 décembre 2014.</w:t>
      </w:r>
    </w:p>
    <w:p w:rsidR="00495EFA" w:rsidRPr="00495EFA" w:rsidRDefault="00495EFA" w:rsidP="00495EFA">
      <w:pPr>
        <w:spacing w:line="233" w:lineRule="auto"/>
        <w:jc w:val="both"/>
        <w:rPr>
          <w:rFonts w:eastAsia="Times New Roman" w:cs="Times New Roman"/>
          <w:sz w:val="20"/>
          <w:szCs w:val="20"/>
          <w:lang w:val="fr-CA" w:eastAsia="en-CA"/>
        </w:rPr>
      </w:pPr>
    </w:p>
    <w:p w:rsidR="00495EFA" w:rsidRPr="00495EFA" w:rsidRDefault="00495EFA" w:rsidP="00495EFA">
      <w:pPr>
        <w:spacing w:line="233" w:lineRule="auto"/>
        <w:jc w:val="both"/>
        <w:rPr>
          <w:rFonts w:eastAsia="Times New Roman" w:cs="Times New Roman"/>
          <w:sz w:val="20"/>
          <w:szCs w:val="20"/>
          <w:lang w:val="fr-CA" w:eastAsia="en-CA"/>
        </w:rPr>
      </w:pPr>
      <w:r w:rsidRPr="00495EFA">
        <w:rPr>
          <w:rFonts w:eastAsia="Times New Roman" w:cs="Times New Roman"/>
          <w:sz w:val="20"/>
          <w:szCs w:val="20"/>
          <w:lang w:val="fr-CA" w:eastAsia="en-CA"/>
        </w:rPr>
        <w:t>La décision sur la requête en vue de présenter une plaidoirie orale sera rendue après réception et examen des arguments écrits des parties et de l’intervenante.</w:t>
      </w:r>
    </w:p>
    <w:p w:rsidR="00495EFA" w:rsidRPr="00495EFA" w:rsidRDefault="00495EFA" w:rsidP="00495EFA">
      <w:pPr>
        <w:spacing w:line="233" w:lineRule="auto"/>
        <w:jc w:val="both"/>
        <w:rPr>
          <w:rFonts w:eastAsia="Times New Roman" w:cs="Times New Roman"/>
          <w:sz w:val="20"/>
          <w:szCs w:val="20"/>
          <w:lang w:val="fr-CA" w:eastAsia="en-CA"/>
        </w:rPr>
      </w:pPr>
    </w:p>
    <w:p w:rsidR="00495EFA" w:rsidRDefault="00495EFA" w:rsidP="00495EFA">
      <w:pPr>
        <w:spacing w:line="233" w:lineRule="auto"/>
        <w:jc w:val="both"/>
        <w:rPr>
          <w:rFonts w:eastAsia="Times New Roman" w:cs="Times New Roman"/>
          <w:sz w:val="20"/>
          <w:szCs w:val="20"/>
          <w:lang w:val="fr-CA" w:eastAsia="en-CA"/>
        </w:rPr>
      </w:pPr>
      <w:r w:rsidRPr="00495EFA">
        <w:rPr>
          <w:rFonts w:eastAsia="Times New Roman" w:cs="Times New Roman"/>
          <w:sz w:val="20"/>
          <w:szCs w:val="20"/>
          <w:lang w:val="fr-CA" w:eastAsia="en-CA"/>
        </w:rPr>
        <w:t>L’intervenante n’a pas le droit de soulever de nouvelles questions, de produire d’autres éléments de preuve ou de compléter de quelque autre façon le dossier des parties.</w:t>
      </w:r>
    </w:p>
    <w:p w:rsidR="00495EFA" w:rsidRPr="00495EFA" w:rsidRDefault="00495EFA" w:rsidP="00495EFA">
      <w:pPr>
        <w:spacing w:line="233" w:lineRule="auto"/>
        <w:jc w:val="both"/>
        <w:rPr>
          <w:rFonts w:eastAsia="Times New Roman" w:cs="Times New Roman"/>
          <w:sz w:val="20"/>
          <w:szCs w:val="20"/>
          <w:lang w:val="fr-CA" w:eastAsia="en-CA"/>
        </w:rPr>
      </w:pPr>
    </w:p>
    <w:p w:rsidR="00495EFA" w:rsidRPr="00495EFA" w:rsidRDefault="00495EFA" w:rsidP="00495EFA">
      <w:pPr>
        <w:rPr>
          <w:rFonts w:eastAsia="Times New Roman" w:cs="Times New Roman"/>
          <w:b/>
          <w:sz w:val="20"/>
          <w:szCs w:val="20"/>
          <w:lang w:val="fr-CA" w:eastAsia="en-CA"/>
        </w:rPr>
      </w:pPr>
      <w:r w:rsidRPr="00495EFA">
        <w:rPr>
          <w:rFonts w:eastAsia="Times New Roman" w:cs="Times New Roman"/>
          <w:b/>
          <w:sz w:val="20"/>
          <w:szCs w:val="20"/>
          <w:lang w:val="fr-CA" w:eastAsia="en-CA"/>
        </w:rPr>
        <w:br w:type="page"/>
      </w:r>
    </w:p>
    <w:p w:rsidR="00495EFA" w:rsidRPr="00495EFA" w:rsidRDefault="00495EFA" w:rsidP="00495EFA">
      <w:pPr>
        <w:spacing w:line="233" w:lineRule="auto"/>
        <w:jc w:val="both"/>
        <w:rPr>
          <w:rFonts w:eastAsia="Times New Roman" w:cs="Times New Roman"/>
          <w:sz w:val="20"/>
          <w:szCs w:val="20"/>
          <w:lang w:val="fr-CA" w:eastAsia="en-CA"/>
        </w:rPr>
      </w:pPr>
      <w:r w:rsidRPr="00495EFA">
        <w:rPr>
          <w:rFonts w:eastAsia="Times New Roman" w:cs="Times New Roman"/>
          <w:sz w:val="20"/>
          <w:szCs w:val="20"/>
          <w:lang w:val="fr-CA" w:eastAsia="en-CA"/>
        </w:rPr>
        <w:lastRenderedPageBreak/>
        <w:t>Conformément à l’alinéa 59(1)(</w:t>
      </w:r>
      <w:r w:rsidRPr="00495EFA">
        <w:rPr>
          <w:rFonts w:eastAsia="Times New Roman" w:cs="Times New Roman"/>
          <w:i/>
          <w:sz w:val="20"/>
          <w:szCs w:val="20"/>
          <w:lang w:val="fr-CA" w:eastAsia="en-CA"/>
        </w:rPr>
        <w:t>a</w:t>
      </w:r>
      <w:r w:rsidRPr="00495EFA">
        <w:rPr>
          <w:rFonts w:eastAsia="Times New Roman" w:cs="Times New Roman"/>
          <w:sz w:val="20"/>
          <w:szCs w:val="20"/>
          <w:lang w:val="fr-CA" w:eastAsia="en-CA"/>
        </w:rPr>
        <w:t xml:space="preserve">) des </w:t>
      </w:r>
      <w:r w:rsidRPr="00495EFA">
        <w:rPr>
          <w:rFonts w:eastAsia="Times New Roman" w:cs="Times New Roman"/>
          <w:i/>
          <w:sz w:val="20"/>
          <w:szCs w:val="20"/>
          <w:lang w:val="fr-CA" w:eastAsia="en-CA"/>
        </w:rPr>
        <w:t>Règles de la Cour suprême du Canada</w:t>
      </w:r>
      <w:r w:rsidRPr="00495EFA">
        <w:rPr>
          <w:rFonts w:eastAsia="Times New Roman" w:cs="Times New Roman"/>
          <w:sz w:val="20"/>
          <w:szCs w:val="20"/>
          <w:lang w:val="fr-CA" w:eastAsia="en-CA"/>
        </w:rPr>
        <w:t>, l’intervenante paiera à l’appelante et aux intimés tous débours supplémentaires résultant de son intervention.</w:t>
      </w:r>
    </w:p>
    <w:p w:rsidR="00495EFA" w:rsidRPr="00495EFA" w:rsidRDefault="00495EFA" w:rsidP="00495EFA">
      <w:pPr>
        <w:tabs>
          <w:tab w:val="left" w:pos="-1440"/>
          <w:tab w:val="left" w:pos="-720"/>
        </w:tabs>
        <w:jc w:val="both"/>
        <w:rPr>
          <w:rFonts w:eastAsia="Times New Roman" w:cs="Times New Roman"/>
          <w:sz w:val="20"/>
          <w:szCs w:val="20"/>
          <w:lang w:val="fr-CA" w:eastAsia="en-CA"/>
        </w:rPr>
      </w:pPr>
    </w:p>
    <w:p w:rsidR="00495EFA" w:rsidRPr="00495EFA" w:rsidRDefault="00690162" w:rsidP="00495EFA">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8" style="width:2in;height:1pt" o:hrpct="0" o:hralign="center" o:hrstd="t" o:hrnoshade="t" o:hr="t" fillcolor="black [3213]" stroked="f"/>
        </w:pict>
      </w:r>
    </w:p>
    <w:p w:rsidR="00495EFA" w:rsidRPr="00495EFA" w:rsidRDefault="00495EFA" w:rsidP="00495EFA">
      <w:pPr>
        <w:tabs>
          <w:tab w:val="left" w:pos="-1440"/>
          <w:tab w:val="left" w:pos="-720"/>
        </w:tabs>
        <w:jc w:val="both"/>
        <w:rPr>
          <w:rFonts w:eastAsia="Times New Roman" w:cs="Times New Roman"/>
          <w:sz w:val="20"/>
          <w:szCs w:val="20"/>
          <w:lang w:val="fr-CA" w:eastAsia="en-CA"/>
        </w:rPr>
      </w:pPr>
    </w:p>
    <w:p w:rsidR="00495EFA" w:rsidRPr="00495EFA" w:rsidRDefault="00495EFA" w:rsidP="00495EFA">
      <w:pPr>
        <w:tabs>
          <w:tab w:val="left" w:pos="-1440"/>
          <w:tab w:val="left" w:pos="-720"/>
        </w:tabs>
        <w:jc w:val="both"/>
        <w:rPr>
          <w:rFonts w:eastAsia="Times New Roman" w:cs="Times New Roman"/>
          <w:sz w:val="20"/>
          <w:szCs w:val="20"/>
          <w:lang w:val="fr-CA" w:eastAsia="en-CA"/>
        </w:rPr>
      </w:pPr>
      <w:r w:rsidRPr="00495EFA">
        <w:rPr>
          <w:rFonts w:eastAsia="Times New Roman" w:cs="Times New Roman"/>
          <w:sz w:val="20"/>
          <w:szCs w:val="20"/>
          <w:lang w:val="fr-CA" w:eastAsia="en-CA"/>
        </w:rPr>
        <w:t>07.11.2014</w:t>
      </w:r>
    </w:p>
    <w:p w:rsidR="00495EFA" w:rsidRPr="00495EFA" w:rsidRDefault="00495EFA" w:rsidP="00495EFA">
      <w:pPr>
        <w:tabs>
          <w:tab w:val="left" w:pos="-1440"/>
          <w:tab w:val="left" w:pos="-720"/>
        </w:tabs>
        <w:jc w:val="both"/>
        <w:rPr>
          <w:rFonts w:eastAsia="Times New Roman" w:cs="Times New Roman"/>
          <w:sz w:val="20"/>
          <w:szCs w:val="20"/>
          <w:lang w:val="fr-CA" w:eastAsia="en-CA"/>
        </w:rPr>
      </w:pPr>
    </w:p>
    <w:p w:rsidR="00495EFA" w:rsidRPr="00495EFA" w:rsidRDefault="00495EFA" w:rsidP="00495EFA">
      <w:pPr>
        <w:tabs>
          <w:tab w:val="left" w:pos="-1440"/>
          <w:tab w:val="left" w:pos="-720"/>
        </w:tabs>
        <w:jc w:val="both"/>
        <w:rPr>
          <w:rFonts w:eastAsia="Times New Roman" w:cs="Times New Roman"/>
          <w:sz w:val="20"/>
          <w:szCs w:val="20"/>
          <w:lang w:val="fr-CA" w:eastAsia="en-CA"/>
        </w:rPr>
      </w:pPr>
      <w:r w:rsidRPr="00495EFA">
        <w:rPr>
          <w:rFonts w:eastAsia="Times New Roman" w:cs="Times New Roman"/>
          <w:sz w:val="20"/>
          <w:szCs w:val="20"/>
          <w:lang w:val="fr-CA" w:eastAsia="en-CA"/>
        </w:rPr>
        <w:t>Before / Devant :   THE CHIEF JUSTICE / LA JUGE EN CHEF</w:t>
      </w:r>
    </w:p>
    <w:p w:rsidR="00495EFA" w:rsidRPr="00495EFA" w:rsidRDefault="00495EFA" w:rsidP="00495EFA">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495EFA" w:rsidRPr="00495EFA" w:rsidTr="003B3ED7">
        <w:trPr>
          <w:trHeight w:val="151"/>
        </w:trPr>
        <w:tc>
          <w:tcPr>
            <w:tcW w:w="4338" w:type="dxa"/>
          </w:tcPr>
          <w:p w:rsidR="00495EFA" w:rsidRPr="00495EFA" w:rsidRDefault="00D921D7" w:rsidP="00495EFA">
            <w:pPr>
              <w:tabs>
                <w:tab w:val="left" w:pos="-1440"/>
                <w:tab w:val="left" w:pos="-720"/>
              </w:tabs>
              <w:jc w:val="both"/>
              <w:rPr>
                <w:lang w:val="fr-CA"/>
              </w:rPr>
            </w:pPr>
            <w:r w:rsidRPr="00495EFA">
              <w:rPr>
                <w:lang w:val="en-US"/>
              </w:rPr>
              <w:fldChar w:fldCharType="begin"/>
            </w:r>
            <w:r w:rsidR="00495EFA" w:rsidRPr="00495EFA">
              <w:rPr>
                <w:lang w:val="fr-CA"/>
              </w:rPr>
              <w:instrText xml:space="preserve"> SEQ CHAPTER \h \r 1</w:instrText>
            </w:r>
            <w:r w:rsidRPr="00495EFA">
              <w:rPr>
                <w:lang w:val="en-US"/>
              </w:rPr>
              <w:fldChar w:fldCharType="end"/>
            </w:r>
            <w:r w:rsidR="00495EFA" w:rsidRPr="00495EFA">
              <w:rPr>
                <w:b/>
                <w:bCs/>
                <w:lang w:val="fr-CA"/>
              </w:rPr>
              <w:t>Order</w:t>
            </w:r>
          </w:p>
          <w:p w:rsidR="00495EFA" w:rsidRPr="00495EFA" w:rsidRDefault="00D921D7" w:rsidP="00495EFA">
            <w:pPr>
              <w:tabs>
                <w:tab w:val="left" w:pos="-1440"/>
                <w:tab w:val="left" w:pos="-720"/>
              </w:tabs>
              <w:jc w:val="both"/>
              <w:rPr>
                <w:lang w:val="fr-CA"/>
              </w:rPr>
            </w:pPr>
            <w:r w:rsidRPr="00495EFA">
              <w:rPr>
                <w:lang w:val="en-US"/>
              </w:rPr>
              <w:fldChar w:fldCharType="begin"/>
            </w:r>
            <w:r w:rsidR="00495EFA" w:rsidRPr="00495EFA">
              <w:rPr>
                <w:lang w:val="fr-CA"/>
              </w:rPr>
              <w:instrText xml:space="preserve"> SEQ CHAPTER \h \r 1</w:instrText>
            </w:r>
            <w:r w:rsidRPr="00495EFA">
              <w:rPr>
                <w:lang w:val="en-US"/>
              </w:rPr>
              <w:fldChar w:fldCharType="end"/>
            </w:r>
          </w:p>
        </w:tc>
        <w:tc>
          <w:tcPr>
            <w:tcW w:w="1170" w:type="dxa"/>
          </w:tcPr>
          <w:p w:rsidR="00495EFA" w:rsidRPr="00495EFA" w:rsidRDefault="00495EFA" w:rsidP="00495EFA">
            <w:pPr>
              <w:jc w:val="both"/>
              <w:rPr>
                <w:lang w:val="fr-CA"/>
              </w:rPr>
            </w:pPr>
          </w:p>
          <w:p w:rsidR="00495EFA" w:rsidRPr="00495EFA" w:rsidRDefault="00495EFA" w:rsidP="00495EFA">
            <w:pPr>
              <w:jc w:val="both"/>
              <w:rPr>
                <w:lang w:val="fr-CA"/>
              </w:rPr>
            </w:pPr>
          </w:p>
        </w:tc>
        <w:tc>
          <w:tcPr>
            <w:tcW w:w="4327" w:type="dxa"/>
          </w:tcPr>
          <w:p w:rsidR="00495EFA" w:rsidRPr="00495EFA" w:rsidRDefault="00D921D7" w:rsidP="00495EFA">
            <w:pPr>
              <w:jc w:val="both"/>
              <w:rPr>
                <w:b/>
                <w:lang w:val="fr-CA"/>
              </w:rPr>
            </w:pPr>
            <w:r w:rsidRPr="00495EFA">
              <w:rPr>
                <w:szCs w:val="24"/>
                <w:lang w:val="en-US"/>
              </w:rPr>
              <w:fldChar w:fldCharType="begin"/>
            </w:r>
            <w:r w:rsidR="00495EFA" w:rsidRPr="00495EFA">
              <w:rPr>
                <w:szCs w:val="24"/>
                <w:lang w:val="fr-CA"/>
              </w:rPr>
              <w:instrText xml:space="preserve"> SEQ CHAPTER \h \r 1</w:instrText>
            </w:r>
            <w:r w:rsidRPr="00495EFA">
              <w:rPr>
                <w:szCs w:val="24"/>
                <w:lang w:val="en-US"/>
              </w:rPr>
              <w:fldChar w:fldCharType="end"/>
            </w:r>
            <w:r w:rsidR="00495EFA" w:rsidRPr="00495EFA">
              <w:rPr>
                <w:b/>
                <w:bCs/>
                <w:lang w:val="fr-CA"/>
              </w:rPr>
              <w:t>Ordonnance</w:t>
            </w:r>
          </w:p>
          <w:p w:rsidR="00495EFA" w:rsidRPr="00495EFA" w:rsidRDefault="00D921D7" w:rsidP="00495EFA">
            <w:pPr>
              <w:jc w:val="both"/>
              <w:rPr>
                <w:b/>
                <w:lang w:val="fr-CA"/>
              </w:rPr>
            </w:pPr>
            <w:r w:rsidRPr="00495EFA">
              <w:rPr>
                <w:b/>
                <w:lang w:val="en-US"/>
              </w:rPr>
              <w:fldChar w:fldCharType="begin"/>
            </w:r>
            <w:r w:rsidR="00495EFA" w:rsidRPr="00495EFA">
              <w:rPr>
                <w:b/>
                <w:lang w:val="fr-CA"/>
              </w:rPr>
              <w:instrText xml:space="preserve"> SEQ CHAPTER \h \r 1</w:instrText>
            </w:r>
            <w:r w:rsidRPr="00495EFA">
              <w:rPr>
                <w:b/>
                <w:lang w:val="en-US"/>
              </w:rPr>
              <w:fldChar w:fldCharType="end"/>
            </w:r>
            <w:r w:rsidRPr="00495EFA">
              <w:rPr>
                <w:b/>
                <w:lang w:val="en-US"/>
              </w:rPr>
              <w:fldChar w:fldCharType="begin"/>
            </w:r>
            <w:r w:rsidR="00495EFA" w:rsidRPr="00495EFA">
              <w:rPr>
                <w:b/>
                <w:lang w:val="fr-CA"/>
              </w:rPr>
              <w:instrText xml:space="preserve"> SEQ CHAPTER \h \r 1</w:instrText>
            </w:r>
            <w:r w:rsidRPr="00495EFA">
              <w:rPr>
                <w:b/>
                <w:lang w:val="en-US"/>
              </w:rPr>
              <w:fldChar w:fldCharType="end"/>
            </w:r>
          </w:p>
        </w:tc>
      </w:tr>
      <w:tr w:rsidR="00495EFA" w:rsidRPr="00495EFA" w:rsidTr="003B3ED7">
        <w:trPr>
          <w:trHeight w:val="150"/>
        </w:trPr>
        <w:tc>
          <w:tcPr>
            <w:tcW w:w="4338" w:type="dxa"/>
          </w:tcPr>
          <w:p w:rsidR="00495EFA" w:rsidRPr="00495EFA" w:rsidRDefault="00495EFA" w:rsidP="00495EFA">
            <w:pPr>
              <w:jc w:val="both"/>
              <w:rPr>
                <w:b/>
                <w:lang w:val="en-US"/>
              </w:rPr>
            </w:pPr>
            <w:r w:rsidRPr="00495EFA">
              <w:rPr>
                <w:b/>
                <w:lang w:val="en-US"/>
              </w:rPr>
              <w:t xml:space="preserve">IN THE MATTER OF AN APPLICATION FOR WARRANTS PURSUANT TO SECTIONS 12 AND 21 OF THE </w:t>
            </w:r>
            <w:r w:rsidRPr="00495EFA">
              <w:rPr>
                <w:b/>
                <w:i/>
                <w:lang w:val="en-US"/>
              </w:rPr>
              <w:t xml:space="preserve">CANADIAN </w:t>
            </w:r>
            <w:r w:rsidR="00F40916">
              <w:rPr>
                <w:b/>
                <w:i/>
                <w:lang w:val="en-US"/>
              </w:rPr>
              <w:t xml:space="preserve">SECURITY </w:t>
            </w:r>
            <w:r w:rsidRPr="00495EFA">
              <w:rPr>
                <w:b/>
                <w:i/>
                <w:lang w:val="en-US"/>
              </w:rPr>
              <w:t>INTELLIGENCE SERVICE ACT</w:t>
            </w:r>
            <w:r w:rsidRPr="00495EFA">
              <w:rPr>
                <w:b/>
                <w:lang w:val="en-US"/>
              </w:rPr>
              <w:t>, R.S.C. 1985, C. C-23</w:t>
            </w:r>
          </w:p>
          <w:p w:rsidR="00495EFA" w:rsidRPr="00495EFA" w:rsidRDefault="00495EFA" w:rsidP="00495EFA">
            <w:pPr>
              <w:spacing w:line="233" w:lineRule="auto"/>
              <w:jc w:val="both"/>
              <w:rPr>
                <w:lang w:val="fr-CA"/>
              </w:rPr>
            </w:pPr>
            <w:r w:rsidRPr="00495EFA">
              <w:rPr>
                <w:lang w:val="en-US"/>
              </w:rPr>
              <w:t>(36107) (F.C.)</w:t>
            </w:r>
          </w:p>
        </w:tc>
        <w:tc>
          <w:tcPr>
            <w:tcW w:w="1170" w:type="dxa"/>
          </w:tcPr>
          <w:p w:rsidR="00495EFA" w:rsidRPr="00495EFA" w:rsidRDefault="00495EFA" w:rsidP="00495EFA">
            <w:pPr>
              <w:jc w:val="both"/>
              <w:rPr>
                <w:lang w:val="fr-CA"/>
              </w:rPr>
            </w:pPr>
          </w:p>
        </w:tc>
        <w:tc>
          <w:tcPr>
            <w:tcW w:w="4327" w:type="dxa"/>
          </w:tcPr>
          <w:p w:rsidR="00495EFA" w:rsidRPr="00495EFA" w:rsidRDefault="00495EFA" w:rsidP="00495EFA">
            <w:pPr>
              <w:jc w:val="both"/>
              <w:rPr>
                <w:lang w:val="fr-CA"/>
              </w:rPr>
            </w:pPr>
          </w:p>
        </w:tc>
      </w:tr>
    </w:tbl>
    <w:p w:rsidR="00495EFA" w:rsidRPr="00495EFA" w:rsidRDefault="00495EFA" w:rsidP="00495EFA">
      <w:pPr>
        <w:tabs>
          <w:tab w:val="left" w:pos="-1440"/>
          <w:tab w:val="left" w:pos="-720"/>
        </w:tabs>
        <w:jc w:val="both"/>
        <w:rPr>
          <w:rFonts w:eastAsia="Times New Roman" w:cs="Times New Roman"/>
          <w:sz w:val="20"/>
          <w:szCs w:val="20"/>
          <w:lang w:val="fr-CA" w:eastAsia="en-CA"/>
        </w:rPr>
      </w:pPr>
    </w:p>
    <w:p w:rsidR="00495EFA" w:rsidRPr="00495EFA" w:rsidRDefault="00495EFA" w:rsidP="00495EFA">
      <w:pPr>
        <w:jc w:val="both"/>
        <w:rPr>
          <w:rFonts w:eastAsia="Times New Roman" w:cs="Times New Roman"/>
          <w:sz w:val="20"/>
          <w:szCs w:val="20"/>
          <w:lang w:val="en-US" w:eastAsia="en-CA"/>
        </w:rPr>
      </w:pPr>
      <w:r w:rsidRPr="00495EFA">
        <w:rPr>
          <w:rFonts w:eastAsia="Times New Roman" w:cs="Times New Roman"/>
          <w:b/>
          <w:sz w:val="20"/>
          <w:szCs w:val="20"/>
          <w:lang w:val="en-US" w:eastAsia="en-CA"/>
        </w:rPr>
        <w:t xml:space="preserve">FURTHER TO THE ORDER </w:t>
      </w:r>
      <w:r w:rsidRPr="00495EFA">
        <w:rPr>
          <w:rFonts w:eastAsia="Times New Roman" w:cs="Times New Roman"/>
          <w:sz w:val="20"/>
          <w:szCs w:val="20"/>
          <w:lang w:val="en-US" w:eastAsia="en-CA"/>
        </w:rPr>
        <w:t>dated November 5, 2014 unsealing the file, except for the book of judgments;</w:t>
      </w:r>
    </w:p>
    <w:p w:rsidR="00495EFA" w:rsidRPr="00495EFA" w:rsidRDefault="00495EFA" w:rsidP="00495EFA">
      <w:pPr>
        <w:jc w:val="both"/>
        <w:rPr>
          <w:rFonts w:eastAsia="Times New Roman" w:cs="Times New Roman"/>
          <w:b/>
          <w:sz w:val="20"/>
          <w:szCs w:val="20"/>
          <w:lang w:val="en-US" w:eastAsia="en-CA"/>
        </w:rPr>
      </w:pPr>
    </w:p>
    <w:p w:rsidR="00495EFA" w:rsidRPr="00495EFA" w:rsidRDefault="00495EFA" w:rsidP="00495EFA">
      <w:pPr>
        <w:jc w:val="both"/>
        <w:rPr>
          <w:rFonts w:eastAsia="Times New Roman" w:cs="Times New Roman"/>
          <w:sz w:val="20"/>
          <w:szCs w:val="20"/>
          <w:lang w:val="en-US" w:eastAsia="en-CA"/>
        </w:rPr>
      </w:pPr>
      <w:r w:rsidRPr="00495EFA">
        <w:rPr>
          <w:rFonts w:eastAsia="Times New Roman" w:cs="Times New Roman"/>
          <w:b/>
          <w:sz w:val="20"/>
          <w:szCs w:val="20"/>
          <w:lang w:val="en-US" w:eastAsia="en-CA"/>
        </w:rPr>
        <w:t>AND FURTHER TO THE CORRESPONDENCE</w:t>
      </w:r>
      <w:r w:rsidRPr="00495EFA">
        <w:rPr>
          <w:rFonts w:eastAsia="Times New Roman" w:cs="Times New Roman"/>
          <w:sz w:val="20"/>
          <w:szCs w:val="20"/>
          <w:lang w:val="en-US" w:eastAsia="en-CA"/>
        </w:rPr>
        <w:t xml:space="preserve"> dated November 6 and 7, 2104, from the Attorney General of Canada, requesting that the affidavit of Mr. Jacques-Michel Cyr, filed in support of the motion to seal filed on September 29, 2014, be sealed because it refers to confidential directions from the courts below;</w:t>
      </w:r>
    </w:p>
    <w:p w:rsidR="00495EFA" w:rsidRPr="00495EFA" w:rsidRDefault="00495EFA" w:rsidP="00495EFA">
      <w:pPr>
        <w:jc w:val="both"/>
        <w:rPr>
          <w:rFonts w:eastAsia="Times New Roman" w:cs="Times New Roman"/>
          <w:sz w:val="20"/>
          <w:szCs w:val="20"/>
          <w:lang w:val="en-US" w:eastAsia="en-CA"/>
        </w:rPr>
      </w:pPr>
    </w:p>
    <w:p w:rsidR="00495EFA" w:rsidRPr="00495EFA" w:rsidRDefault="00495EFA" w:rsidP="00495EFA">
      <w:pPr>
        <w:jc w:val="both"/>
        <w:rPr>
          <w:rFonts w:eastAsia="Times New Roman" w:cs="Times New Roman"/>
          <w:b/>
          <w:sz w:val="20"/>
          <w:szCs w:val="20"/>
          <w:lang w:val="en-US" w:eastAsia="en-CA"/>
        </w:rPr>
      </w:pPr>
      <w:r w:rsidRPr="00495EFA">
        <w:rPr>
          <w:rFonts w:eastAsia="Times New Roman" w:cs="Times New Roman"/>
          <w:b/>
          <w:sz w:val="20"/>
          <w:szCs w:val="20"/>
          <w:lang w:val="en-US" w:eastAsia="en-CA"/>
        </w:rPr>
        <w:t>IT IS HEREBY ORDERED THAT:</w:t>
      </w:r>
    </w:p>
    <w:p w:rsidR="00495EFA" w:rsidRPr="00495EFA" w:rsidRDefault="00495EFA" w:rsidP="00495EFA">
      <w:pPr>
        <w:jc w:val="both"/>
        <w:rPr>
          <w:rFonts w:eastAsia="Times New Roman" w:cs="Times New Roman"/>
          <w:sz w:val="20"/>
          <w:szCs w:val="20"/>
          <w:lang w:val="en-US" w:eastAsia="en-CA"/>
        </w:rPr>
      </w:pPr>
    </w:p>
    <w:p w:rsidR="00495EFA" w:rsidRPr="00495EFA" w:rsidRDefault="00495EFA" w:rsidP="00495EFA">
      <w:pPr>
        <w:widowControl w:val="0"/>
        <w:numPr>
          <w:ilvl w:val="0"/>
          <w:numId w:val="7"/>
        </w:numPr>
        <w:autoSpaceDE w:val="0"/>
        <w:autoSpaceDN w:val="0"/>
        <w:adjustRightInd w:val="0"/>
        <w:spacing w:line="233" w:lineRule="auto"/>
        <w:contextualSpacing/>
        <w:jc w:val="both"/>
        <w:rPr>
          <w:rFonts w:cs="Times New Roman"/>
          <w:sz w:val="20"/>
          <w:szCs w:val="20"/>
        </w:rPr>
      </w:pPr>
      <w:r w:rsidRPr="00495EFA">
        <w:rPr>
          <w:rFonts w:cs="Times New Roman"/>
          <w:sz w:val="20"/>
          <w:szCs w:val="20"/>
        </w:rPr>
        <w:t>The record on the motion to seal filed on September 29, 2014 containing the affidavit of Mr. Jacques-Michel Cyr shall be sealed and is available only to members of this Court and authorized Court staff.</w:t>
      </w:r>
    </w:p>
    <w:p w:rsidR="00495EFA" w:rsidRPr="00495EFA" w:rsidRDefault="00495EFA" w:rsidP="00495EFA">
      <w:pPr>
        <w:spacing w:line="233" w:lineRule="auto"/>
        <w:ind w:left="720"/>
        <w:contextualSpacing/>
        <w:jc w:val="both"/>
        <w:rPr>
          <w:rFonts w:cs="Times New Roman"/>
          <w:sz w:val="20"/>
          <w:szCs w:val="20"/>
        </w:rPr>
      </w:pPr>
    </w:p>
    <w:p w:rsidR="00495EFA" w:rsidRPr="00495EFA" w:rsidRDefault="00495EFA" w:rsidP="00495EFA">
      <w:pPr>
        <w:widowControl w:val="0"/>
        <w:numPr>
          <w:ilvl w:val="0"/>
          <w:numId w:val="7"/>
        </w:numPr>
        <w:autoSpaceDE w:val="0"/>
        <w:autoSpaceDN w:val="0"/>
        <w:adjustRightInd w:val="0"/>
        <w:spacing w:line="233" w:lineRule="auto"/>
        <w:contextualSpacing/>
        <w:jc w:val="both"/>
        <w:rPr>
          <w:rFonts w:cs="Times New Roman"/>
          <w:sz w:val="20"/>
          <w:szCs w:val="20"/>
        </w:rPr>
      </w:pPr>
      <w:r w:rsidRPr="00495EFA">
        <w:rPr>
          <w:rFonts w:cs="Times New Roman"/>
          <w:sz w:val="20"/>
          <w:szCs w:val="20"/>
        </w:rPr>
        <w:t>The applicant shall file a redacted paper copy of the record on the motion to seal, including a redacted copy of the affidavit of Mr. Jacques-Michel Cyr.</w:t>
      </w:r>
    </w:p>
    <w:p w:rsidR="00495EFA" w:rsidRPr="00495EFA" w:rsidRDefault="00495EFA" w:rsidP="00495EFA">
      <w:pPr>
        <w:spacing w:line="233" w:lineRule="auto"/>
        <w:jc w:val="both"/>
        <w:rPr>
          <w:rFonts w:eastAsia="Times New Roman" w:cs="Times New Roman"/>
          <w:sz w:val="20"/>
          <w:szCs w:val="20"/>
          <w:lang w:val="en-US" w:eastAsia="en-CA"/>
        </w:rPr>
      </w:pPr>
    </w:p>
    <w:p w:rsidR="00495EFA" w:rsidRPr="00495EFA" w:rsidRDefault="00495EFA" w:rsidP="00495EFA">
      <w:pPr>
        <w:spacing w:line="233" w:lineRule="auto"/>
        <w:jc w:val="both"/>
        <w:rPr>
          <w:rFonts w:eastAsia="Times New Roman" w:cs="Times New Roman"/>
          <w:sz w:val="20"/>
          <w:szCs w:val="20"/>
          <w:lang w:val="en-US" w:eastAsia="en-CA"/>
        </w:rPr>
      </w:pPr>
    </w:p>
    <w:p w:rsidR="00495EFA" w:rsidRPr="00495EFA" w:rsidRDefault="00495EFA" w:rsidP="00495EFA">
      <w:pPr>
        <w:spacing w:line="233" w:lineRule="auto"/>
        <w:jc w:val="both"/>
        <w:rPr>
          <w:rFonts w:eastAsia="Times New Roman" w:cs="Times New Roman"/>
          <w:sz w:val="20"/>
          <w:szCs w:val="20"/>
          <w:lang w:val="en-US" w:eastAsia="en-CA"/>
        </w:rPr>
      </w:pPr>
    </w:p>
    <w:p w:rsidR="00495EFA" w:rsidRPr="00495EFA" w:rsidRDefault="00495EFA" w:rsidP="00495EFA">
      <w:pPr>
        <w:jc w:val="both"/>
        <w:rPr>
          <w:rFonts w:eastAsia="Times New Roman" w:cs="Times New Roman"/>
          <w:sz w:val="20"/>
          <w:szCs w:val="20"/>
          <w:lang w:val="fr-CA" w:eastAsia="en-CA"/>
        </w:rPr>
      </w:pPr>
      <w:r w:rsidRPr="00495EFA">
        <w:rPr>
          <w:rFonts w:eastAsia="Times New Roman" w:cs="Times New Roman"/>
          <w:b/>
          <w:sz w:val="20"/>
          <w:szCs w:val="20"/>
          <w:lang w:val="fr-CA" w:eastAsia="en-CA"/>
        </w:rPr>
        <w:t xml:space="preserve">À LA SUITE DE L’ORDONNANCE </w:t>
      </w:r>
      <w:r w:rsidRPr="00495EFA">
        <w:rPr>
          <w:rFonts w:eastAsia="Times New Roman" w:cs="Times New Roman"/>
          <w:sz w:val="20"/>
          <w:szCs w:val="20"/>
          <w:lang w:val="fr-CA" w:eastAsia="en-CA"/>
        </w:rPr>
        <w:t>datée du 5 novembre 2014 levant l’ordonnance de mise sous scellés du dossier, à l’exception du recueil des jugements des cours inférieures;</w:t>
      </w:r>
    </w:p>
    <w:p w:rsidR="00495EFA" w:rsidRPr="00495EFA" w:rsidRDefault="00495EFA" w:rsidP="00495EFA">
      <w:pPr>
        <w:jc w:val="both"/>
        <w:rPr>
          <w:rFonts w:eastAsia="Times New Roman" w:cs="Times New Roman"/>
          <w:b/>
          <w:sz w:val="20"/>
          <w:szCs w:val="20"/>
          <w:lang w:val="fr-CA" w:eastAsia="en-CA"/>
        </w:rPr>
      </w:pPr>
    </w:p>
    <w:p w:rsidR="00495EFA" w:rsidRPr="00495EFA" w:rsidRDefault="00495EFA" w:rsidP="00495EFA">
      <w:pPr>
        <w:jc w:val="both"/>
        <w:rPr>
          <w:rFonts w:eastAsia="Times New Roman" w:cs="Times New Roman"/>
          <w:sz w:val="20"/>
          <w:szCs w:val="20"/>
          <w:lang w:val="fr-CA" w:eastAsia="en-CA"/>
        </w:rPr>
      </w:pPr>
      <w:r w:rsidRPr="00495EFA">
        <w:rPr>
          <w:rFonts w:eastAsia="Times New Roman" w:cs="Times New Roman"/>
          <w:b/>
          <w:sz w:val="20"/>
          <w:szCs w:val="20"/>
          <w:lang w:val="fr-CA" w:eastAsia="en-CA"/>
        </w:rPr>
        <w:t xml:space="preserve">ET À LA SUITE DE LA CORRESPONDANCE </w:t>
      </w:r>
      <w:r w:rsidRPr="00495EFA">
        <w:rPr>
          <w:rFonts w:eastAsia="Times New Roman" w:cs="Times New Roman"/>
          <w:sz w:val="20"/>
          <w:szCs w:val="20"/>
          <w:lang w:val="fr-CA" w:eastAsia="en-CA"/>
        </w:rPr>
        <w:t>datée des 6 et 7 novembre 2014, de la part du procureur général du Canada visant à obtenir la mise sous scellés de l’affidavit de M.  Jacques-Michel Cyr, déposé au soutien de la requête en mise sous scellés déposée le 29 septembre 2014, au motif qu’il reprend des directives confidentielles des cours inférieures;</w:t>
      </w:r>
    </w:p>
    <w:p w:rsidR="00495EFA" w:rsidRPr="00495EFA" w:rsidRDefault="00495EFA" w:rsidP="00495EFA">
      <w:pPr>
        <w:jc w:val="both"/>
        <w:rPr>
          <w:rFonts w:eastAsia="Times New Roman" w:cs="Times New Roman"/>
          <w:sz w:val="20"/>
          <w:szCs w:val="20"/>
          <w:lang w:val="fr-CA" w:eastAsia="en-CA"/>
        </w:rPr>
      </w:pPr>
    </w:p>
    <w:p w:rsidR="00495EFA" w:rsidRPr="00495EFA" w:rsidRDefault="00495EFA" w:rsidP="00495EFA">
      <w:pPr>
        <w:jc w:val="both"/>
        <w:rPr>
          <w:rFonts w:eastAsia="Times New Roman" w:cs="Times New Roman"/>
          <w:b/>
          <w:sz w:val="20"/>
          <w:szCs w:val="20"/>
          <w:lang w:val="fr-CA" w:eastAsia="en-CA"/>
        </w:rPr>
      </w:pPr>
      <w:r w:rsidRPr="00495EFA">
        <w:rPr>
          <w:rFonts w:eastAsia="Times New Roman" w:cs="Times New Roman"/>
          <w:b/>
          <w:sz w:val="20"/>
          <w:szCs w:val="20"/>
          <w:lang w:val="fr-CA" w:eastAsia="en-CA"/>
        </w:rPr>
        <w:t>IL EST ORDONNÉ CE QUI SUIT :</w:t>
      </w:r>
    </w:p>
    <w:p w:rsidR="00495EFA" w:rsidRPr="00495EFA" w:rsidRDefault="00495EFA" w:rsidP="00495EFA">
      <w:pPr>
        <w:jc w:val="both"/>
        <w:rPr>
          <w:rFonts w:eastAsia="Times New Roman" w:cs="Times New Roman"/>
          <w:sz w:val="20"/>
          <w:szCs w:val="20"/>
          <w:lang w:val="fr-CA" w:eastAsia="en-CA"/>
        </w:rPr>
      </w:pPr>
    </w:p>
    <w:p w:rsidR="00495EFA" w:rsidRPr="00495EFA" w:rsidRDefault="00495EFA" w:rsidP="00495EFA">
      <w:pPr>
        <w:widowControl w:val="0"/>
        <w:numPr>
          <w:ilvl w:val="0"/>
          <w:numId w:val="13"/>
        </w:numPr>
        <w:autoSpaceDE w:val="0"/>
        <w:autoSpaceDN w:val="0"/>
        <w:adjustRightInd w:val="0"/>
        <w:spacing w:line="233" w:lineRule="auto"/>
        <w:contextualSpacing/>
        <w:jc w:val="both"/>
        <w:rPr>
          <w:rFonts w:cs="Times New Roman"/>
          <w:sz w:val="20"/>
          <w:szCs w:val="20"/>
          <w:lang w:val="fr-CA"/>
        </w:rPr>
      </w:pPr>
      <w:r w:rsidRPr="00495EFA">
        <w:rPr>
          <w:rFonts w:cs="Times New Roman"/>
          <w:sz w:val="20"/>
          <w:szCs w:val="20"/>
          <w:lang w:val="fr-CA"/>
        </w:rPr>
        <w:t>Le dossier qui accompagne la requête en mise sous scellés déposée le 29 septembre 2014 et qui contient l’affidavit de M. Jacques-Michel Cyr est mis sous scellés, et seuls les juges et le personnel autorisé de la Cour y auront accès.</w:t>
      </w:r>
    </w:p>
    <w:p w:rsidR="00495EFA" w:rsidRPr="00495EFA" w:rsidRDefault="00495EFA" w:rsidP="00495EFA">
      <w:pPr>
        <w:spacing w:line="233" w:lineRule="auto"/>
        <w:ind w:left="720"/>
        <w:contextualSpacing/>
        <w:jc w:val="both"/>
        <w:rPr>
          <w:rFonts w:cs="Times New Roman"/>
          <w:sz w:val="20"/>
          <w:szCs w:val="20"/>
          <w:lang w:val="fr-CA"/>
        </w:rPr>
      </w:pPr>
    </w:p>
    <w:p w:rsidR="00495EFA" w:rsidRPr="00495EFA" w:rsidRDefault="00495EFA" w:rsidP="00495EFA">
      <w:pPr>
        <w:widowControl w:val="0"/>
        <w:numPr>
          <w:ilvl w:val="0"/>
          <w:numId w:val="13"/>
        </w:numPr>
        <w:autoSpaceDE w:val="0"/>
        <w:autoSpaceDN w:val="0"/>
        <w:adjustRightInd w:val="0"/>
        <w:spacing w:line="233" w:lineRule="auto"/>
        <w:contextualSpacing/>
        <w:jc w:val="both"/>
        <w:rPr>
          <w:rFonts w:cs="Times New Roman"/>
          <w:sz w:val="20"/>
          <w:szCs w:val="20"/>
          <w:lang w:val="fr-CA"/>
        </w:rPr>
      </w:pPr>
      <w:r w:rsidRPr="00495EFA">
        <w:rPr>
          <w:rFonts w:cs="Times New Roman"/>
          <w:sz w:val="20"/>
          <w:szCs w:val="20"/>
          <w:lang w:val="fr-CA"/>
        </w:rPr>
        <w:t>Le demandeur déposera une copie épurée du dossier qui accompagne la requête en mise sous scellés, dont une copie épurée de l’affidavit de M. Jacques-Michel Cyr.</w:t>
      </w:r>
    </w:p>
    <w:p w:rsidR="00495EFA" w:rsidRPr="00495EFA" w:rsidRDefault="00495EFA" w:rsidP="00495EFA">
      <w:pPr>
        <w:tabs>
          <w:tab w:val="left" w:pos="-1440"/>
          <w:tab w:val="left" w:pos="-720"/>
        </w:tabs>
        <w:jc w:val="both"/>
        <w:rPr>
          <w:rFonts w:eastAsia="Times New Roman" w:cs="Times New Roman"/>
          <w:sz w:val="20"/>
          <w:szCs w:val="20"/>
          <w:lang w:val="fr-CA" w:eastAsia="en-CA"/>
        </w:rPr>
      </w:pPr>
    </w:p>
    <w:p w:rsidR="00495EFA" w:rsidRPr="00495EFA" w:rsidRDefault="00690162" w:rsidP="00495EFA">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9" style="width:2in;height:1pt" o:hrpct="0" o:hralign="center" o:hrstd="t" o:hrnoshade="t" o:hr="t" fillcolor="black [3213]" stroked="f"/>
        </w:pict>
      </w:r>
    </w:p>
    <w:p w:rsidR="00495EFA" w:rsidRPr="00495EFA" w:rsidRDefault="00495EFA" w:rsidP="00495EFA">
      <w:pPr>
        <w:rPr>
          <w:rFonts w:eastAsia="Times New Roman" w:cs="Times New Roman"/>
          <w:sz w:val="20"/>
          <w:szCs w:val="20"/>
          <w:lang w:eastAsia="en-CA"/>
        </w:rPr>
      </w:pPr>
      <w:r w:rsidRPr="00495EFA">
        <w:rPr>
          <w:rFonts w:eastAsia="Times New Roman" w:cs="Times New Roman"/>
          <w:sz w:val="20"/>
          <w:szCs w:val="20"/>
          <w:lang w:eastAsia="en-CA"/>
        </w:rPr>
        <w:br w:type="page"/>
      </w:r>
    </w:p>
    <w:p w:rsidR="00495EFA" w:rsidRPr="00495EFA" w:rsidRDefault="00495EFA" w:rsidP="00495EFA">
      <w:pPr>
        <w:tabs>
          <w:tab w:val="left" w:pos="-1440"/>
          <w:tab w:val="left" w:pos="-720"/>
        </w:tabs>
        <w:jc w:val="both"/>
        <w:rPr>
          <w:rFonts w:eastAsia="Times New Roman" w:cs="Times New Roman"/>
          <w:sz w:val="20"/>
          <w:szCs w:val="20"/>
          <w:lang w:val="fr-CA" w:eastAsia="en-CA"/>
        </w:rPr>
      </w:pPr>
      <w:r w:rsidRPr="00495EFA">
        <w:rPr>
          <w:rFonts w:eastAsia="Times New Roman" w:cs="Times New Roman"/>
          <w:sz w:val="20"/>
          <w:szCs w:val="20"/>
          <w:lang w:val="fr-CA" w:eastAsia="en-CA"/>
        </w:rPr>
        <w:lastRenderedPageBreak/>
        <w:t>12.11.2014</w:t>
      </w:r>
    </w:p>
    <w:p w:rsidR="00495EFA" w:rsidRPr="00495EFA" w:rsidRDefault="00495EFA" w:rsidP="00495EFA">
      <w:pPr>
        <w:tabs>
          <w:tab w:val="left" w:pos="-1440"/>
          <w:tab w:val="left" w:pos="-720"/>
        </w:tabs>
        <w:jc w:val="both"/>
        <w:rPr>
          <w:rFonts w:eastAsia="Times New Roman" w:cs="Times New Roman"/>
          <w:sz w:val="20"/>
          <w:szCs w:val="20"/>
          <w:lang w:val="fr-CA" w:eastAsia="en-CA"/>
        </w:rPr>
      </w:pPr>
    </w:p>
    <w:p w:rsidR="00495EFA" w:rsidRPr="00495EFA" w:rsidRDefault="00495EFA" w:rsidP="00495EFA">
      <w:pPr>
        <w:tabs>
          <w:tab w:val="left" w:pos="-1440"/>
          <w:tab w:val="left" w:pos="-720"/>
        </w:tabs>
        <w:jc w:val="both"/>
        <w:rPr>
          <w:rFonts w:eastAsia="Times New Roman" w:cs="Times New Roman"/>
          <w:sz w:val="20"/>
          <w:szCs w:val="20"/>
          <w:lang w:val="fr-CA" w:eastAsia="en-CA"/>
        </w:rPr>
      </w:pPr>
      <w:r w:rsidRPr="00495EFA">
        <w:rPr>
          <w:rFonts w:eastAsia="Times New Roman" w:cs="Times New Roman"/>
          <w:sz w:val="20"/>
          <w:szCs w:val="20"/>
          <w:lang w:val="fr-CA" w:eastAsia="en-CA"/>
        </w:rPr>
        <w:t>Before / Devant :   THE CHIEF JUSTICE / LA JUGE EN CHEF</w:t>
      </w:r>
    </w:p>
    <w:p w:rsidR="00495EFA" w:rsidRPr="00495EFA" w:rsidRDefault="00495EFA" w:rsidP="00495EFA">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495EFA" w:rsidRPr="00690162" w:rsidTr="003B3ED7">
        <w:tc>
          <w:tcPr>
            <w:tcW w:w="4338" w:type="dxa"/>
          </w:tcPr>
          <w:p w:rsidR="00495EFA" w:rsidRPr="00495EFA" w:rsidRDefault="00D921D7" w:rsidP="00495EFA">
            <w:pPr>
              <w:tabs>
                <w:tab w:val="left" w:pos="-1440"/>
                <w:tab w:val="left" w:pos="-720"/>
              </w:tabs>
              <w:jc w:val="both"/>
              <w:rPr>
                <w:b/>
              </w:rPr>
            </w:pPr>
            <w:r w:rsidRPr="00495EFA">
              <w:rPr>
                <w:szCs w:val="24"/>
                <w:lang w:val="en-US"/>
              </w:rPr>
              <w:fldChar w:fldCharType="begin"/>
            </w:r>
            <w:r w:rsidR="00495EFA" w:rsidRPr="00495EFA">
              <w:rPr>
                <w:szCs w:val="24"/>
                <w:lang w:val="en-US"/>
              </w:rPr>
              <w:instrText xml:space="preserve"> SEQ CHAPTER \h \r 1</w:instrText>
            </w:r>
            <w:r w:rsidRPr="00495EFA">
              <w:rPr>
                <w:szCs w:val="24"/>
                <w:lang w:val="en-US"/>
              </w:rPr>
              <w:fldChar w:fldCharType="end"/>
            </w:r>
            <w:r w:rsidR="00495EFA" w:rsidRPr="00495EFA">
              <w:rPr>
                <w:b/>
                <w:bCs/>
                <w:lang w:val="en-US"/>
              </w:rPr>
              <w:t>Motion to extend time</w:t>
            </w:r>
          </w:p>
        </w:tc>
        <w:tc>
          <w:tcPr>
            <w:tcW w:w="1170" w:type="dxa"/>
          </w:tcPr>
          <w:p w:rsidR="00495EFA" w:rsidRPr="00495EFA" w:rsidRDefault="00495EFA" w:rsidP="00495EFA">
            <w:pPr>
              <w:tabs>
                <w:tab w:val="left" w:pos="-1440"/>
                <w:tab w:val="left" w:pos="-720"/>
              </w:tabs>
              <w:jc w:val="both"/>
            </w:pPr>
          </w:p>
          <w:p w:rsidR="00495EFA" w:rsidRPr="00495EFA" w:rsidRDefault="00495EFA" w:rsidP="00495EFA">
            <w:pPr>
              <w:tabs>
                <w:tab w:val="left" w:pos="-1440"/>
                <w:tab w:val="left" w:pos="-720"/>
              </w:tabs>
              <w:jc w:val="both"/>
            </w:pPr>
          </w:p>
        </w:tc>
        <w:tc>
          <w:tcPr>
            <w:tcW w:w="4327" w:type="dxa"/>
          </w:tcPr>
          <w:p w:rsidR="00495EFA" w:rsidRPr="00495EFA" w:rsidRDefault="00495EFA" w:rsidP="00495EFA">
            <w:pPr>
              <w:tabs>
                <w:tab w:val="left" w:pos="-1440"/>
                <w:tab w:val="left" w:pos="-720"/>
              </w:tabs>
              <w:jc w:val="both"/>
              <w:rPr>
                <w:lang w:val="fr-CA"/>
              </w:rPr>
            </w:pPr>
            <w:r w:rsidRPr="00495EFA">
              <w:rPr>
                <w:b/>
                <w:bCs/>
                <w:color w:val="000000"/>
                <w:lang w:val="fr-CA"/>
              </w:rPr>
              <w:t>Requête en prorogation de délai</w:t>
            </w:r>
            <w:r w:rsidRPr="00495EFA">
              <w:rPr>
                <w:szCs w:val="24"/>
                <w:lang w:val="fr-CA"/>
              </w:rPr>
              <w:t xml:space="preserve"> </w:t>
            </w:r>
            <w:r w:rsidR="00D921D7" w:rsidRPr="00495EFA">
              <w:rPr>
                <w:szCs w:val="24"/>
                <w:lang w:val="en-US"/>
              </w:rPr>
              <w:fldChar w:fldCharType="begin"/>
            </w:r>
            <w:r w:rsidRPr="00495EFA">
              <w:rPr>
                <w:szCs w:val="24"/>
                <w:lang w:val="fr-CA"/>
              </w:rPr>
              <w:instrText xml:space="preserve"> SEQ CHAPTER \h \r 1</w:instrText>
            </w:r>
            <w:r w:rsidR="00D921D7" w:rsidRPr="00495EFA">
              <w:rPr>
                <w:szCs w:val="24"/>
                <w:lang w:val="en-US"/>
              </w:rPr>
              <w:fldChar w:fldCharType="end"/>
            </w:r>
            <w:r w:rsidR="00D921D7" w:rsidRPr="00495EFA">
              <w:rPr>
                <w:szCs w:val="24"/>
                <w:lang w:val="en-US"/>
              </w:rPr>
              <w:fldChar w:fldCharType="begin"/>
            </w:r>
            <w:r w:rsidRPr="00495EFA">
              <w:rPr>
                <w:szCs w:val="24"/>
                <w:lang w:val="fr-CA"/>
              </w:rPr>
              <w:instrText xml:space="preserve"> SEQ CHAPTER \h \r 1</w:instrText>
            </w:r>
            <w:r w:rsidR="00D921D7" w:rsidRPr="00495EFA">
              <w:rPr>
                <w:szCs w:val="24"/>
                <w:lang w:val="en-US"/>
              </w:rPr>
              <w:fldChar w:fldCharType="end"/>
            </w:r>
          </w:p>
        </w:tc>
      </w:tr>
      <w:tr w:rsidR="00495EFA" w:rsidRPr="00495EFA" w:rsidTr="003B3ED7">
        <w:tc>
          <w:tcPr>
            <w:tcW w:w="4338" w:type="dxa"/>
          </w:tcPr>
          <w:p w:rsidR="00495EFA" w:rsidRPr="00495EFA" w:rsidRDefault="00495EFA" w:rsidP="00495EFA">
            <w:pPr>
              <w:tabs>
                <w:tab w:val="left" w:pos="-1440"/>
                <w:tab w:val="left" w:pos="-720"/>
              </w:tabs>
              <w:jc w:val="both"/>
            </w:pPr>
            <w:r w:rsidRPr="00495EFA">
              <w:t>Her Majesty the Queen</w:t>
            </w:r>
          </w:p>
          <w:p w:rsidR="00495EFA" w:rsidRPr="00495EFA" w:rsidRDefault="00495EFA" w:rsidP="00495EFA">
            <w:pPr>
              <w:tabs>
                <w:tab w:val="left" w:pos="-1440"/>
                <w:tab w:val="left" w:pos="-720"/>
              </w:tabs>
              <w:jc w:val="both"/>
            </w:pPr>
          </w:p>
          <w:p w:rsidR="00495EFA" w:rsidRPr="00495EFA" w:rsidRDefault="00495EFA" w:rsidP="00495EFA">
            <w:pPr>
              <w:tabs>
                <w:tab w:val="left" w:pos="-1440"/>
                <w:tab w:val="left" w:pos="-720"/>
              </w:tabs>
              <w:jc w:val="both"/>
            </w:pPr>
            <w:r w:rsidRPr="00495EFA">
              <w:tab/>
              <w:t>v. (36059)</w:t>
            </w:r>
          </w:p>
          <w:p w:rsidR="00495EFA" w:rsidRPr="00495EFA" w:rsidRDefault="00495EFA" w:rsidP="00495EFA">
            <w:pPr>
              <w:tabs>
                <w:tab w:val="left" w:pos="-1440"/>
                <w:tab w:val="left" w:pos="-720"/>
              </w:tabs>
              <w:jc w:val="both"/>
            </w:pPr>
          </w:p>
          <w:p w:rsidR="00495EFA" w:rsidRPr="00495EFA" w:rsidRDefault="00495EFA" w:rsidP="00495EFA">
            <w:pPr>
              <w:tabs>
                <w:tab w:val="left" w:pos="-1440"/>
                <w:tab w:val="left" w:pos="-720"/>
              </w:tabs>
              <w:jc w:val="both"/>
            </w:pPr>
            <w:r w:rsidRPr="00495EFA">
              <w:t>Owen Edward Smith (Crim.) (B.C.)</w:t>
            </w:r>
          </w:p>
        </w:tc>
        <w:tc>
          <w:tcPr>
            <w:tcW w:w="1170" w:type="dxa"/>
          </w:tcPr>
          <w:p w:rsidR="00495EFA" w:rsidRPr="00495EFA" w:rsidRDefault="00495EFA" w:rsidP="00495EFA">
            <w:pPr>
              <w:tabs>
                <w:tab w:val="left" w:pos="-1440"/>
                <w:tab w:val="left" w:pos="-720"/>
              </w:tabs>
              <w:jc w:val="both"/>
            </w:pPr>
          </w:p>
        </w:tc>
        <w:tc>
          <w:tcPr>
            <w:tcW w:w="4327" w:type="dxa"/>
          </w:tcPr>
          <w:p w:rsidR="00495EFA" w:rsidRPr="00495EFA" w:rsidRDefault="00495EFA" w:rsidP="00495EFA">
            <w:pPr>
              <w:tabs>
                <w:tab w:val="left" w:pos="-1440"/>
                <w:tab w:val="left" w:pos="-720"/>
              </w:tabs>
              <w:jc w:val="both"/>
            </w:pPr>
          </w:p>
        </w:tc>
      </w:tr>
    </w:tbl>
    <w:p w:rsidR="00495EFA" w:rsidRPr="00495EFA" w:rsidRDefault="00495EFA" w:rsidP="00495EFA">
      <w:pPr>
        <w:tabs>
          <w:tab w:val="left" w:pos="-1440"/>
          <w:tab w:val="left" w:pos="-720"/>
        </w:tabs>
        <w:jc w:val="both"/>
        <w:rPr>
          <w:rFonts w:eastAsia="Times New Roman" w:cs="Times New Roman"/>
          <w:sz w:val="20"/>
          <w:szCs w:val="20"/>
          <w:lang w:eastAsia="en-CA"/>
        </w:rPr>
      </w:pPr>
    </w:p>
    <w:p w:rsidR="00495EFA" w:rsidRPr="00495EFA" w:rsidRDefault="00495EFA" w:rsidP="00495EFA">
      <w:pPr>
        <w:tabs>
          <w:tab w:val="left" w:pos="-1440"/>
          <w:tab w:val="left" w:pos="-720"/>
        </w:tabs>
        <w:jc w:val="both"/>
        <w:rPr>
          <w:rFonts w:eastAsia="Times New Roman" w:cs="Times New Roman"/>
          <w:b/>
          <w:sz w:val="20"/>
          <w:szCs w:val="20"/>
          <w:lang w:eastAsia="en-CA"/>
        </w:rPr>
      </w:pPr>
      <w:r w:rsidRPr="00495EFA">
        <w:rPr>
          <w:rFonts w:eastAsia="Times New Roman" w:cs="Times New Roman"/>
          <w:b/>
          <w:sz w:val="20"/>
          <w:szCs w:val="20"/>
          <w:lang w:eastAsia="en-CA"/>
        </w:rPr>
        <w:t>GRANTED / ACCORDÉE</w:t>
      </w:r>
    </w:p>
    <w:p w:rsidR="00495EFA" w:rsidRPr="00495EFA" w:rsidRDefault="00495EFA" w:rsidP="00495EFA">
      <w:pPr>
        <w:tabs>
          <w:tab w:val="left" w:pos="-1440"/>
          <w:tab w:val="left" w:pos="-720"/>
        </w:tabs>
        <w:jc w:val="both"/>
        <w:rPr>
          <w:rFonts w:eastAsia="Times New Roman" w:cs="Times New Roman"/>
          <w:sz w:val="20"/>
          <w:szCs w:val="20"/>
          <w:lang w:eastAsia="en-CA"/>
        </w:rPr>
      </w:pPr>
    </w:p>
    <w:p w:rsidR="00495EFA" w:rsidRPr="00495EFA" w:rsidRDefault="00495EFA" w:rsidP="00495EFA">
      <w:pPr>
        <w:jc w:val="both"/>
        <w:rPr>
          <w:rFonts w:eastAsia="Times New Roman" w:cs="Times New Roman"/>
          <w:sz w:val="20"/>
          <w:szCs w:val="20"/>
          <w:lang w:val="en-US" w:eastAsia="en-CA"/>
        </w:rPr>
      </w:pPr>
      <w:r w:rsidRPr="00495EFA">
        <w:rPr>
          <w:rFonts w:eastAsia="Times New Roman" w:cs="Times New Roman"/>
          <w:b/>
          <w:bCs/>
          <w:sz w:val="20"/>
          <w:szCs w:val="20"/>
          <w:lang w:val="en-US" w:eastAsia="en-CA"/>
        </w:rPr>
        <w:t>UPON APPLICATION</w:t>
      </w:r>
      <w:r w:rsidRPr="00495EFA">
        <w:rPr>
          <w:rFonts w:eastAsia="Times New Roman" w:cs="Times New Roman"/>
          <w:sz w:val="20"/>
          <w:szCs w:val="20"/>
          <w:lang w:val="en-US" w:eastAsia="en-CA"/>
        </w:rPr>
        <w:t xml:space="preserve"> by the appellant </w:t>
      </w:r>
      <w:r w:rsidR="00D921D7" w:rsidRPr="00495EFA">
        <w:rPr>
          <w:rFonts w:eastAsia="Times New Roman" w:cs="Times New Roman"/>
          <w:sz w:val="20"/>
          <w:szCs w:val="20"/>
          <w:lang w:eastAsia="en-CA"/>
        </w:rPr>
        <w:fldChar w:fldCharType="begin"/>
      </w:r>
      <w:r w:rsidRPr="00495EFA">
        <w:rPr>
          <w:rFonts w:eastAsia="Times New Roman" w:cs="Times New Roman"/>
          <w:sz w:val="20"/>
          <w:szCs w:val="20"/>
          <w:lang w:eastAsia="en-CA"/>
        </w:rPr>
        <w:instrText xml:space="preserve"> SEQ CHAPTER \h \r 1</w:instrText>
      </w:r>
      <w:r w:rsidR="00D921D7" w:rsidRPr="00495EFA">
        <w:rPr>
          <w:rFonts w:eastAsia="Times New Roman" w:cs="Times New Roman"/>
          <w:sz w:val="20"/>
          <w:szCs w:val="20"/>
          <w:lang w:eastAsia="en-CA"/>
        </w:rPr>
        <w:fldChar w:fldCharType="end"/>
      </w:r>
      <w:r w:rsidRPr="00495EFA">
        <w:rPr>
          <w:rFonts w:eastAsia="Times New Roman" w:cs="Times New Roman"/>
          <w:sz w:val="20"/>
          <w:szCs w:val="20"/>
          <w:lang w:eastAsia="en-CA"/>
        </w:rPr>
        <w:t xml:space="preserve">for an order stating constitutional questions </w:t>
      </w:r>
      <w:r w:rsidRPr="00495EFA">
        <w:rPr>
          <w:rFonts w:eastAsia="Times New Roman" w:cs="Times New Roman"/>
          <w:sz w:val="20"/>
          <w:szCs w:val="20"/>
          <w:lang w:val="en-US" w:eastAsia="en-CA"/>
        </w:rPr>
        <w:t>in the above appeal;</w:t>
      </w:r>
    </w:p>
    <w:p w:rsidR="00495EFA" w:rsidRPr="00495EFA" w:rsidRDefault="00495EFA" w:rsidP="00495EFA">
      <w:pPr>
        <w:jc w:val="both"/>
        <w:rPr>
          <w:rFonts w:eastAsia="Times New Roman" w:cs="Times New Roman"/>
          <w:sz w:val="20"/>
          <w:szCs w:val="20"/>
          <w:lang w:val="en-US" w:eastAsia="en-CA"/>
        </w:rPr>
      </w:pPr>
    </w:p>
    <w:p w:rsidR="00495EFA" w:rsidRPr="00495EFA" w:rsidRDefault="00495EFA" w:rsidP="00495EFA">
      <w:pPr>
        <w:jc w:val="both"/>
        <w:rPr>
          <w:rFonts w:eastAsia="Times New Roman" w:cs="Times New Roman"/>
          <w:sz w:val="20"/>
          <w:szCs w:val="20"/>
          <w:lang w:val="en-US" w:eastAsia="en-CA"/>
        </w:rPr>
      </w:pPr>
      <w:r w:rsidRPr="00495EFA">
        <w:rPr>
          <w:rFonts w:eastAsia="Times New Roman" w:cs="Times New Roman"/>
          <w:b/>
          <w:bCs/>
          <w:sz w:val="20"/>
          <w:szCs w:val="20"/>
          <w:lang w:val="en-US" w:eastAsia="en-CA"/>
        </w:rPr>
        <w:t xml:space="preserve">AND UPON APPLICATION </w:t>
      </w:r>
      <w:r w:rsidRPr="00495EFA">
        <w:rPr>
          <w:rFonts w:eastAsia="Times New Roman" w:cs="Times New Roman"/>
          <w:bCs/>
          <w:sz w:val="20"/>
          <w:szCs w:val="20"/>
          <w:lang w:val="en-US" w:eastAsia="en-CA"/>
        </w:rPr>
        <w:t>by the respondent</w:t>
      </w:r>
      <w:r w:rsidRPr="00495EFA">
        <w:rPr>
          <w:rFonts w:eastAsia="Times New Roman" w:cs="Times New Roman"/>
          <w:b/>
          <w:bCs/>
          <w:sz w:val="20"/>
          <w:szCs w:val="20"/>
          <w:lang w:val="en-US" w:eastAsia="en-CA"/>
        </w:rPr>
        <w:t xml:space="preserve"> </w:t>
      </w:r>
      <w:r w:rsidRPr="00495EFA">
        <w:rPr>
          <w:rFonts w:eastAsia="Times New Roman" w:cs="Times New Roman"/>
          <w:bCs/>
          <w:sz w:val="20"/>
          <w:szCs w:val="20"/>
          <w:lang w:val="en-US" w:eastAsia="en-CA"/>
        </w:rPr>
        <w:t>for an extension of time to serve and file its response to the motion to state constitutional questions;</w:t>
      </w:r>
    </w:p>
    <w:p w:rsidR="00495EFA" w:rsidRPr="00495EFA" w:rsidRDefault="00495EFA" w:rsidP="00495EFA">
      <w:pPr>
        <w:jc w:val="both"/>
        <w:rPr>
          <w:rFonts w:eastAsia="Times New Roman" w:cs="Times New Roman"/>
          <w:sz w:val="20"/>
          <w:szCs w:val="20"/>
          <w:lang w:val="en-US" w:eastAsia="en-CA"/>
        </w:rPr>
      </w:pPr>
    </w:p>
    <w:p w:rsidR="00495EFA" w:rsidRPr="00495EFA" w:rsidRDefault="00495EFA" w:rsidP="00495EFA">
      <w:pPr>
        <w:jc w:val="both"/>
        <w:rPr>
          <w:rFonts w:eastAsia="Times New Roman" w:cs="Times New Roman"/>
          <w:sz w:val="20"/>
          <w:szCs w:val="20"/>
          <w:lang w:val="en-US" w:eastAsia="en-CA"/>
        </w:rPr>
      </w:pPr>
      <w:r w:rsidRPr="00495EFA">
        <w:rPr>
          <w:rFonts w:eastAsia="Times New Roman" w:cs="Times New Roman"/>
          <w:b/>
          <w:bCs/>
          <w:sz w:val="20"/>
          <w:szCs w:val="20"/>
          <w:lang w:val="en-US" w:eastAsia="en-CA"/>
        </w:rPr>
        <w:t>AND THE MATERIAL FILED</w:t>
      </w:r>
      <w:r w:rsidRPr="00495EFA">
        <w:rPr>
          <w:rFonts w:eastAsia="Times New Roman" w:cs="Times New Roman"/>
          <w:sz w:val="20"/>
          <w:szCs w:val="20"/>
          <w:lang w:val="en-US" w:eastAsia="en-CA"/>
        </w:rPr>
        <w:t xml:space="preserve"> having been read;</w:t>
      </w:r>
    </w:p>
    <w:p w:rsidR="00495EFA" w:rsidRPr="00495EFA" w:rsidRDefault="00495EFA" w:rsidP="00495EFA">
      <w:pPr>
        <w:jc w:val="both"/>
        <w:rPr>
          <w:rFonts w:eastAsia="Times New Roman" w:cs="Times New Roman"/>
          <w:sz w:val="20"/>
          <w:szCs w:val="20"/>
          <w:lang w:val="en-US" w:eastAsia="en-CA"/>
        </w:rPr>
      </w:pPr>
    </w:p>
    <w:p w:rsidR="00495EFA" w:rsidRPr="00495EFA" w:rsidRDefault="00495EFA" w:rsidP="00495EFA">
      <w:pPr>
        <w:jc w:val="both"/>
        <w:rPr>
          <w:rFonts w:eastAsia="Times New Roman" w:cs="Times New Roman"/>
          <w:b/>
          <w:bCs/>
          <w:sz w:val="20"/>
          <w:szCs w:val="20"/>
          <w:lang w:val="en-US" w:eastAsia="en-CA"/>
        </w:rPr>
      </w:pPr>
      <w:r w:rsidRPr="00495EFA">
        <w:rPr>
          <w:rFonts w:eastAsia="Times New Roman" w:cs="Times New Roman"/>
          <w:b/>
          <w:bCs/>
          <w:sz w:val="20"/>
          <w:szCs w:val="20"/>
          <w:lang w:val="en-US" w:eastAsia="en-CA"/>
        </w:rPr>
        <w:t>IT IS HEREBY ORDERED THAT:</w:t>
      </w:r>
    </w:p>
    <w:p w:rsidR="00495EFA" w:rsidRPr="00495EFA" w:rsidRDefault="00495EFA" w:rsidP="00495EFA">
      <w:pPr>
        <w:jc w:val="both"/>
        <w:rPr>
          <w:rFonts w:eastAsia="Times New Roman" w:cs="Times New Roman"/>
          <w:b/>
          <w:bCs/>
          <w:sz w:val="20"/>
          <w:szCs w:val="20"/>
          <w:lang w:val="en-US" w:eastAsia="en-CA"/>
        </w:rPr>
      </w:pPr>
    </w:p>
    <w:p w:rsidR="00495EFA" w:rsidRPr="00495EFA" w:rsidRDefault="00495EFA" w:rsidP="00495EFA">
      <w:pPr>
        <w:jc w:val="both"/>
        <w:rPr>
          <w:rFonts w:eastAsia="Times New Roman" w:cs="Times New Roman"/>
          <w:bCs/>
          <w:sz w:val="20"/>
          <w:szCs w:val="20"/>
          <w:lang w:val="en-US" w:eastAsia="en-CA"/>
        </w:rPr>
      </w:pPr>
      <w:r w:rsidRPr="00495EFA">
        <w:rPr>
          <w:rFonts w:eastAsia="Times New Roman" w:cs="Times New Roman"/>
          <w:bCs/>
          <w:sz w:val="20"/>
          <w:szCs w:val="20"/>
          <w:lang w:val="en-US" w:eastAsia="en-CA"/>
        </w:rPr>
        <w:t>The motion by the respondent to extend the time to serve and file its response to the motion to state constitutional questions is granted and the constitutional questions are stated as follows:</w:t>
      </w:r>
    </w:p>
    <w:p w:rsidR="00495EFA" w:rsidRPr="00495EFA" w:rsidRDefault="00495EFA" w:rsidP="00495EFA">
      <w:pPr>
        <w:jc w:val="both"/>
        <w:rPr>
          <w:rFonts w:eastAsia="Times New Roman" w:cs="Times New Roman"/>
          <w:bCs/>
          <w:sz w:val="20"/>
          <w:szCs w:val="20"/>
          <w:lang w:val="en-US" w:eastAsia="en-CA"/>
        </w:rPr>
      </w:pPr>
    </w:p>
    <w:p w:rsidR="00495EFA" w:rsidRPr="00495EFA" w:rsidRDefault="00495EFA" w:rsidP="00495EFA">
      <w:pPr>
        <w:numPr>
          <w:ilvl w:val="0"/>
          <w:numId w:val="8"/>
        </w:numPr>
        <w:autoSpaceDE w:val="0"/>
        <w:autoSpaceDN w:val="0"/>
        <w:adjustRightInd w:val="0"/>
        <w:ind w:left="1418" w:hanging="698"/>
        <w:contextualSpacing/>
        <w:jc w:val="both"/>
        <w:rPr>
          <w:rFonts w:cs="Times New Roman"/>
          <w:bCs/>
          <w:sz w:val="20"/>
          <w:szCs w:val="20"/>
        </w:rPr>
      </w:pPr>
      <w:r w:rsidRPr="00495EFA">
        <w:rPr>
          <w:rFonts w:cs="Times New Roman"/>
          <w:bCs/>
          <w:sz w:val="20"/>
          <w:szCs w:val="20"/>
        </w:rPr>
        <w:t xml:space="preserve">Do the </w:t>
      </w:r>
      <w:r w:rsidRPr="00495EFA">
        <w:rPr>
          <w:rFonts w:cs="Times New Roman"/>
          <w:bCs/>
          <w:i/>
          <w:sz w:val="20"/>
          <w:szCs w:val="20"/>
        </w:rPr>
        <w:t>Marihuana Medical Access Regulations</w:t>
      </w:r>
      <w:r w:rsidRPr="00495EFA">
        <w:rPr>
          <w:rFonts w:cs="Times New Roman"/>
          <w:bCs/>
          <w:sz w:val="20"/>
          <w:szCs w:val="20"/>
        </w:rPr>
        <w:t xml:space="preserve">, SOR/2001-227, as amended, infringe s. 7 of the </w:t>
      </w:r>
      <w:r w:rsidRPr="00495EFA">
        <w:rPr>
          <w:rFonts w:cs="Times New Roman"/>
          <w:bCs/>
          <w:i/>
          <w:sz w:val="20"/>
          <w:szCs w:val="20"/>
        </w:rPr>
        <w:t>Canadian Charter of Rights and Freedoms</w:t>
      </w:r>
      <w:r w:rsidRPr="00495EFA">
        <w:rPr>
          <w:rFonts w:cs="Times New Roman"/>
          <w:bCs/>
          <w:sz w:val="20"/>
          <w:szCs w:val="20"/>
        </w:rPr>
        <w:t>, insofar as they only allow for access to “dried marihuana”?</w:t>
      </w:r>
    </w:p>
    <w:p w:rsidR="00495EFA" w:rsidRPr="00495EFA" w:rsidRDefault="00495EFA" w:rsidP="00495EFA">
      <w:pPr>
        <w:ind w:left="1418" w:hanging="698"/>
        <w:contextualSpacing/>
        <w:jc w:val="both"/>
        <w:rPr>
          <w:rFonts w:cs="Times New Roman"/>
          <w:bCs/>
          <w:sz w:val="20"/>
          <w:szCs w:val="20"/>
        </w:rPr>
      </w:pPr>
    </w:p>
    <w:p w:rsidR="00495EFA" w:rsidRPr="00495EFA" w:rsidRDefault="00495EFA" w:rsidP="00495EFA">
      <w:pPr>
        <w:numPr>
          <w:ilvl w:val="0"/>
          <w:numId w:val="8"/>
        </w:numPr>
        <w:autoSpaceDE w:val="0"/>
        <w:autoSpaceDN w:val="0"/>
        <w:adjustRightInd w:val="0"/>
        <w:ind w:left="1418" w:hanging="698"/>
        <w:contextualSpacing/>
        <w:jc w:val="both"/>
        <w:rPr>
          <w:rFonts w:cs="Times New Roman"/>
          <w:bCs/>
          <w:sz w:val="20"/>
          <w:szCs w:val="20"/>
        </w:rPr>
      </w:pPr>
      <w:r w:rsidRPr="00495EFA">
        <w:rPr>
          <w:rFonts w:cs="Times New Roman"/>
          <w:bCs/>
          <w:sz w:val="20"/>
          <w:szCs w:val="20"/>
        </w:rPr>
        <w:t xml:space="preserve">If so, is the infringement a reasonable limit prescribed by law as can be demonstrably justified in a free and democratic society under s. 1 of the </w:t>
      </w:r>
      <w:r w:rsidRPr="00495EFA">
        <w:rPr>
          <w:rFonts w:cs="Times New Roman"/>
          <w:bCs/>
          <w:i/>
          <w:sz w:val="20"/>
          <w:szCs w:val="20"/>
        </w:rPr>
        <w:t>Canadian Charter of Rights and Freedoms</w:t>
      </w:r>
      <w:r w:rsidRPr="00495EFA">
        <w:rPr>
          <w:rFonts w:cs="Times New Roman"/>
          <w:bCs/>
          <w:sz w:val="20"/>
          <w:szCs w:val="20"/>
        </w:rPr>
        <w:t>?</w:t>
      </w:r>
    </w:p>
    <w:p w:rsidR="00495EFA" w:rsidRPr="00495EFA" w:rsidRDefault="00495EFA" w:rsidP="00495EFA">
      <w:pPr>
        <w:ind w:left="1440"/>
        <w:contextualSpacing/>
        <w:jc w:val="both"/>
        <w:rPr>
          <w:rFonts w:cs="Times New Roman"/>
          <w:bCs/>
          <w:sz w:val="20"/>
          <w:szCs w:val="20"/>
        </w:rPr>
      </w:pPr>
    </w:p>
    <w:p w:rsidR="00495EFA" w:rsidRPr="00495EFA" w:rsidRDefault="00495EFA" w:rsidP="00495EFA">
      <w:pPr>
        <w:jc w:val="both"/>
        <w:rPr>
          <w:rFonts w:eastAsia="Times New Roman" w:cs="Times New Roman"/>
          <w:sz w:val="20"/>
          <w:szCs w:val="20"/>
          <w:lang w:val="en-US" w:eastAsia="en-CA"/>
        </w:rPr>
      </w:pPr>
      <w:r w:rsidRPr="00495EFA">
        <w:rPr>
          <w:rFonts w:eastAsia="Times New Roman" w:cs="Times New Roman"/>
          <w:sz w:val="20"/>
          <w:szCs w:val="20"/>
          <w:lang w:val="en-US" w:eastAsia="en-CA"/>
        </w:rPr>
        <w:t xml:space="preserve">Any attorney general who intervenes pursuant to par. 61(4) of the </w:t>
      </w:r>
      <w:r w:rsidRPr="00495EFA">
        <w:rPr>
          <w:rFonts w:eastAsia="Times New Roman" w:cs="Times New Roman"/>
          <w:i/>
          <w:sz w:val="20"/>
          <w:szCs w:val="20"/>
          <w:lang w:val="en-US" w:eastAsia="en-CA"/>
        </w:rPr>
        <w:t>Rules of the Supreme Court of Canada</w:t>
      </w:r>
      <w:r w:rsidRPr="00495EFA">
        <w:rPr>
          <w:rFonts w:eastAsia="Times New Roman" w:cs="Times New Roman"/>
          <w:sz w:val="20"/>
          <w:szCs w:val="20"/>
          <w:lang w:val="en-US" w:eastAsia="en-CA"/>
        </w:rPr>
        <w:t xml:space="preserve"> shall pay the appellant and respondent the costs of any additional disbursements they incur as a result of the intervention.</w:t>
      </w:r>
    </w:p>
    <w:p w:rsidR="00495EFA" w:rsidRPr="00495EFA" w:rsidRDefault="00495EFA" w:rsidP="00495EFA">
      <w:pPr>
        <w:jc w:val="both"/>
        <w:rPr>
          <w:rFonts w:eastAsia="Times New Roman" w:cs="Times New Roman"/>
          <w:sz w:val="20"/>
          <w:szCs w:val="20"/>
          <w:lang w:val="en-US" w:eastAsia="en-CA"/>
        </w:rPr>
      </w:pPr>
    </w:p>
    <w:p w:rsidR="00495EFA" w:rsidRPr="00495EFA" w:rsidRDefault="00495EFA" w:rsidP="00495EFA">
      <w:pPr>
        <w:jc w:val="both"/>
        <w:rPr>
          <w:rFonts w:eastAsia="Times New Roman" w:cs="Times New Roman"/>
          <w:b/>
          <w:sz w:val="20"/>
          <w:szCs w:val="20"/>
          <w:lang w:val="en-US" w:eastAsia="en-CA"/>
        </w:rPr>
      </w:pPr>
      <w:r w:rsidRPr="00495EFA">
        <w:rPr>
          <w:rFonts w:eastAsia="Times New Roman" w:cs="Times New Roman"/>
          <w:b/>
          <w:sz w:val="20"/>
          <w:szCs w:val="20"/>
          <w:lang w:val="en-US" w:eastAsia="en-CA"/>
        </w:rPr>
        <w:t>IT IS HEREBY FURTHER ORDERED THAT:</w:t>
      </w:r>
    </w:p>
    <w:p w:rsidR="00495EFA" w:rsidRPr="00495EFA" w:rsidRDefault="00495EFA" w:rsidP="00495EFA">
      <w:pPr>
        <w:jc w:val="both"/>
        <w:rPr>
          <w:rFonts w:eastAsia="Times New Roman" w:cs="Times New Roman"/>
          <w:sz w:val="20"/>
          <w:szCs w:val="20"/>
          <w:lang w:val="en-US" w:eastAsia="en-CA"/>
        </w:rPr>
      </w:pPr>
    </w:p>
    <w:p w:rsidR="00495EFA" w:rsidRPr="00495EFA" w:rsidRDefault="00495EFA" w:rsidP="00495EFA">
      <w:pPr>
        <w:widowControl w:val="0"/>
        <w:numPr>
          <w:ilvl w:val="0"/>
          <w:numId w:val="10"/>
        </w:numPr>
        <w:autoSpaceDE w:val="0"/>
        <w:autoSpaceDN w:val="0"/>
        <w:adjustRightInd w:val="0"/>
        <w:ind w:left="1418" w:hanging="713"/>
        <w:contextualSpacing/>
        <w:jc w:val="both"/>
        <w:rPr>
          <w:rFonts w:cs="Times New Roman"/>
          <w:sz w:val="20"/>
          <w:szCs w:val="20"/>
        </w:rPr>
      </w:pPr>
      <w:r w:rsidRPr="00495EFA">
        <w:rPr>
          <w:rFonts w:cs="Times New Roman"/>
          <w:sz w:val="20"/>
          <w:szCs w:val="20"/>
        </w:rPr>
        <w:t>The appellant’s record, factum and book of authorities shall be served and filed on or before January 8, 2015.</w:t>
      </w:r>
    </w:p>
    <w:p w:rsidR="00495EFA" w:rsidRPr="00495EFA" w:rsidRDefault="00495EFA" w:rsidP="00495EFA">
      <w:pPr>
        <w:ind w:left="1418" w:hanging="713"/>
        <w:jc w:val="both"/>
        <w:rPr>
          <w:rFonts w:eastAsia="Times New Roman" w:cs="Times New Roman"/>
          <w:sz w:val="20"/>
          <w:szCs w:val="20"/>
          <w:lang w:val="en-US" w:eastAsia="en-CA"/>
        </w:rPr>
      </w:pPr>
    </w:p>
    <w:p w:rsidR="00495EFA" w:rsidRPr="00495EFA" w:rsidRDefault="00495EFA" w:rsidP="00495EFA">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18" w:hanging="713"/>
        <w:contextualSpacing/>
        <w:jc w:val="both"/>
        <w:rPr>
          <w:rFonts w:cs="Times New Roman"/>
          <w:sz w:val="20"/>
          <w:szCs w:val="20"/>
        </w:rPr>
      </w:pPr>
      <w:r w:rsidRPr="00495EFA">
        <w:rPr>
          <w:rFonts w:cs="Times New Roman"/>
          <w:sz w:val="20"/>
          <w:szCs w:val="20"/>
        </w:rPr>
        <w:t xml:space="preserve">Any person wishing to intervene in this appeal under Rule 55 of the </w:t>
      </w:r>
      <w:r w:rsidRPr="00495EFA">
        <w:rPr>
          <w:rFonts w:cs="Times New Roman"/>
          <w:i/>
          <w:sz w:val="20"/>
          <w:szCs w:val="20"/>
        </w:rPr>
        <w:t>Rules of the Supreme Court of Canada</w:t>
      </w:r>
      <w:r w:rsidRPr="00495EFA">
        <w:rPr>
          <w:rFonts w:cs="Times New Roman"/>
          <w:sz w:val="20"/>
          <w:szCs w:val="20"/>
        </w:rPr>
        <w:t xml:space="preserve"> shall serve and file a motion for leave to intervene on or before January 29, 2015. </w:t>
      </w:r>
    </w:p>
    <w:p w:rsidR="00495EFA" w:rsidRPr="00495EFA" w:rsidRDefault="00495EFA" w:rsidP="00495EFA">
      <w:pPr>
        <w:ind w:left="1418" w:hanging="713"/>
        <w:jc w:val="both"/>
        <w:rPr>
          <w:rFonts w:eastAsia="Times New Roman" w:cs="Times New Roman"/>
          <w:sz w:val="20"/>
          <w:szCs w:val="20"/>
          <w:lang w:val="en-US" w:eastAsia="en-CA"/>
        </w:rPr>
      </w:pPr>
    </w:p>
    <w:p w:rsidR="00495EFA" w:rsidRPr="00495EFA" w:rsidRDefault="00495EFA" w:rsidP="00495EFA">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18" w:hanging="713"/>
        <w:contextualSpacing/>
        <w:jc w:val="both"/>
        <w:rPr>
          <w:rFonts w:cs="Times New Roman"/>
          <w:sz w:val="20"/>
          <w:szCs w:val="20"/>
        </w:rPr>
      </w:pPr>
      <w:r w:rsidRPr="00495EFA">
        <w:rPr>
          <w:rFonts w:cs="Times New Roman"/>
          <w:sz w:val="20"/>
          <w:szCs w:val="20"/>
        </w:rPr>
        <w:t>The appellant and respondent shall serve and file their responses, if any, to the motions for leave to intervene on or before February 5, 2015.</w:t>
      </w:r>
    </w:p>
    <w:p w:rsidR="00495EFA" w:rsidRPr="00495EFA" w:rsidRDefault="00495EFA" w:rsidP="00495EFA">
      <w:pPr>
        <w:ind w:left="1418" w:hanging="713"/>
        <w:jc w:val="both"/>
        <w:rPr>
          <w:rFonts w:eastAsia="Times New Roman" w:cs="Times New Roman"/>
          <w:sz w:val="20"/>
          <w:szCs w:val="20"/>
          <w:lang w:val="en-US" w:eastAsia="en-CA"/>
        </w:rPr>
      </w:pPr>
    </w:p>
    <w:p w:rsidR="00495EFA" w:rsidRPr="00495EFA" w:rsidRDefault="00495EFA" w:rsidP="00495EFA">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18" w:hanging="713"/>
        <w:contextualSpacing/>
        <w:jc w:val="both"/>
        <w:rPr>
          <w:rFonts w:cs="Times New Roman"/>
          <w:sz w:val="20"/>
          <w:szCs w:val="20"/>
        </w:rPr>
      </w:pPr>
      <w:r w:rsidRPr="00495EFA">
        <w:rPr>
          <w:rFonts w:cs="Times New Roman"/>
          <w:sz w:val="20"/>
          <w:szCs w:val="20"/>
        </w:rPr>
        <w:t xml:space="preserve">Replies to the responses, if any, to the motions for leave to intervene shall be served and filed on or before February 9, 2015. </w:t>
      </w:r>
    </w:p>
    <w:p w:rsidR="00495EFA" w:rsidRPr="00495EFA" w:rsidRDefault="00495EFA" w:rsidP="00495EFA">
      <w:pPr>
        <w:ind w:left="1418" w:hanging="713"/>
        <w:jc w:val="both"/>
        <w:rPr>
          <w:rFonts w:eastAsia="Times New Roman" w:cs="Times New Roman"/>
          <w:sz w:val="20"/>
          <w:szCs w:val="20"/>
          <w:lang w:val="en-US" w:eastAsia="en-CA"/>
        </w:rPr>
      </w:pPr>
    </w:p>
    <w:p w:rsidR="00495EFA" w:rsidRPr="00495EFA" w:rsidRDefault="00495EFA" w:rsidP="00495EFA">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18" w:hanging="713"/>
        <w:contextualSpacing/>
        <w:jc w:val="both"/>
        <w:rPr>
          <w:rFonts w:cs="Times New Roman"/>
          <w:sz w:val="20"/>
          <w:szCs w:val="20"/>
        </w:rPr>
      </w:pPr>
      <w:r w:rsidRPr="00495EFA">
        <w:rPr>
          <w:rFonts w:cs="Times New Roman"/>
          <w:sz w:val="20"/>
          <w:szCs w:val="20"/>
        </w:rPr>
        <w:t>The respondent record, factum and book of authorities shall be served and filed on or before February 26, 2015.</w:t>
      </w:r>
    </w:p>
    <w:p w:rsidR="00495EFA" w:rsidRPr="00495EFA" w:rsidRDefault="00495EFA" w:rsidP="00495EFA">
      <w:pPr>
        <w:ind w:left="720"/>
        <w:contextualSpacing/>
        <w:jc w:val="both"/>
        <w:rPr>
          <w:rFonts w:cs="Times New Roman"/>
          <w:sz w:val="20"/>
          <w:szCs w:val="20"/>
        </w:rPr>
      </w:pPr>
    </w:p>
    <w:p w:rsidR="00495EFA" w:rsidRPr="00495EFA" w:rsidRDefault="00495EFA" w:rsidP="00495EFA">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18" w:hanging="713"/>
        <w:contextualSpacing/>
        <w:jc w:val="both"/>
        <w:rPr>
          <w:rFonts w:cs="Times New Roman"/>
          <w:bCs/>
          <w:sz w:val="20"/>
          <w:szCs w:val="20"/>
        </w:rPr>
      </w:pPr>
      <w:r w:rsidRPr="00495EFA">
        <w:rPr>
          <w:rFonts w:cs="Times New Roman"/>
          <w:bCs/>
          <w:sz w:val="20"/>
          <w:szCs w:val="20"/>
        </w:rPr>
        <w:t xml:space="preserve">Any interveners granted leave to intervene under Rule 59 of the </w:t>
      </w:r>
      <w:r w:rsidRPr="00495EFA">
        <w:rPr>
          <w:rFonts w:cs="Times New Roman"/>
          <w:bCs/>
          <w:i/>
          <w:sz w:val="20"/>
          <w:szCs w:val="20"/>
        </w:rPr>
        <w:t>Rules of the Supreme Court of Canada</w:t>
      </w:r>
      <w:r w:rsidRPr="00495EFA">
        <w:rPr>
          <w:rFonts w:cs="Times New Roman"/>
          <w:bCs/>
          <w:sz w:val="20"/>
          <w:szCs w:val="20"/>
        </w:rPr>
        <w:t xml:space="preserve"> shall file and serve their factum and book of authorities on or before March 10, 2015.</w:t>
      </w:r>
    </w:p>
    <w:p w:rsidR="00495EFA" w:rsidRPr="00495EFA" w:rsidRDefault="00495EFA" w:rsidP="00495EFA">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18" w:hanging="713"/>
        <w:contextualSpacing/>
        <w:jc w:val="both"/>
        <w:rPr>
          <w:rFonts w:cs="Times New Roman"/>
          <w:sz w:val="20"/>
          <w:szCs w:val="20"/>
        </w:rPr>
      </w:pPr>
      <w:r w:rsidRPr="00495EFA">
        <w:rPr>
          <w:rFonts w:cs="Times New Roman"/>
          <w:sz w:val="20"/>
          <w:szCs w:val="20"/>
        </w:rPr>
        <w:lastRenderedPageBreak/>
        <w:t xml:space="preserve">Any attorney general wishing to intervene pursuant to par. 61(4) of the </w:t>
      </w:r>
      <w:r w:rsidRPr="00495EFA">
        <w:rPr>
          <w:rFonts w:cs="Times New Roman"/>
          <w:i/>
          <w:sz w:val="20"/>
          <w:szCs w:val="20"/>
        </w:rPr>
        <w:t>Rules of the Supreme Court of Canada</w:t>
      </w:r>
      <w:r w:rsidRPr="00495EFA">
        <w:rPr>
          <w:rFonts w:cs="Times New Roman"/>
          <w:sz w:val="20"/>
          <w:szCs w:val="20"/>
        </w:rPr>
        <w:t xml:space="preserve"> shall serve and file their factum and book of authorities on or before March 10, 2015.</w:t>
      </w:r>
    </w:p>
    <w:p w:rsidR="00495EFA" w:rsidRPr="00495EFA" w:rsidRDefault="00495EFA" w:rsidP="00495EFA">
      <w:pPr>
        <w:jc w:val="both"/>
        <w:rPr>
          <w:rFonts w:eastAsia="Times New Roman" w:cs="Times New Roman"/>
          <w:bCs/>
          <w:sz w:val="20"/>
          <w:szCs w:val="20"/>
          <w:lang w:eastAsia="en-CA"/>
        </w:rPr>
      </w:pPr>
    </w:p>
    <w:p w:rsidR="00495EFA" w:rsidRPr="00495EFA" w:rsidRDefault="00495EFA" w:rsidP="00495EFA">
      <w:pPr>
        <w:jc w:val="both"/>
        <w:rPr>
          <w:rFonts w:eastAsia="Times New Roman" w:cs="Times New Roman"/>
          <w:bCs/>
          <w:sz w:val="20"/>
          <w:szCs w:val="20"/>
          <w:lang w:eastAsia="en-CA"/>
        </w:rPr>
      </w:pPr>
    </w:p>
    <w:p w:rsidR="00495EFA" w:rsidRPr="00495EFA" w:rsidRDefault="00495EFA" w:rsidP="00495EFA">
      <w:pPr>
        <w:jc w:val="both"/>
        <w:rPr>
          <w:rFonts w:eastAsia="Times New Roman" w:cs="Times New Roman"/>
          <w:bCs/>
          <w:sz w:val="20"/>
          <w:szCs w:val="20"/>
          <w:lang w:eastAsia="en-CA"/>
        </w:rPr>
      </w:pPr>
    </w:p>
    <w:p w:rsidR="00495EFA" w:rsidRPr="00495EFA" w:rsidRDefault="00495EFA" w:rsidP="00495EFA">
      <w:pPr>
        <w:jc w:val="both"/>
        <w:rPr>
          <w:rFonts w:eastAsia="Times New Roman" w:cs="Times New Roman"/>
          <w:sz w:val="20"/>
          <w:szCs w:val="20"/>
          <w:lang w:val="fr-CA" w:eastAsia="en-CA"/>
        </w:rPr>
      </w:pPr>
      <w:r w:rsidRPr="00495EFA">
        <w:rPr>
          <w:rFonts w:eastAsia="Times New Roman" w:cs="Times New Roman"/>
          <w:b/>
          <w:bCs/>
          <w:sz w:val="20"/>
          <w:szCs w:val="20"/>
          <w:lang w:val="fr-CA" w:eastAsia="en-CA"/>
        </w:rPr>
        <w:t>À LA SUITE DE LA DEMANDE</w:t>
      </w:r>
      <w:r w:rsidRPr="00495EFA">
        <w:rPr>
          <w:rFonts w:eastAsia="Times New Roman" w:cs="Times New Roman"/>
          <w:sz w:val="20"/>
          <w:szCs w:val="20"/>
          <w:lang w:val="fr-CA" w:eastAsia="en-CA"/>
        </w:rPr>
        <w:t xml:space="preserve"> de l’appelante visant à obtenir la formulation des questions constitutionnelles dans l'appel susmentionné;</w:t>
      </w:r>
    </w:p>
    <w:p w:rsidR="00495EFA" w:rsidRPr="00495EFA" w:rsidRDefault="00495EFA" w:rsidP="00495EFA">
      <w:pPr>
        <w:jc w:val="both"/>
        <w:rPr>
          <w:rFonts w:eastAsia="Times New Roman" w:cs="Times New Roman"/>
          <w:sz w:val="20"/>
          <w:szCs w:val="20"/>
          <w:lang w:val="fr-CA" w:eastAsia="en-CA"/>
        </w:rPr>
      </w:pPr>
    </w:p>
    <w:p w:rsidR="00495EFA" w:rsidRPr="00495EFA" w:rsidRDefault="00495EFA" w:rsidP="00495EFA">
      <w:pPr>
        <w:jc w:val="both"/>
        <w:rPr>
          <w:rFonts w:eastAsia="Times New Roman" w:cs="Times New Roman"/>
          <w:sz w:val="20"/>
          <w:szCs w:val="20"/>
          <w:lang w:val="fr-CA" w:eastAsia="en-CA"/>
        </w:rPr>
      </w:pPr>
      <w:r w:rsidRPr="00495EFA">
        <w:rPr>
          <w:rFonts w:eastAsia="Times New Roman" w:cs="Times New Roman"/>
          <w:b/>
          <w:sz w:val="20"/>
          <w:szCs w:val="20"/>
          <w:lang w:val="fr-CA" w:eastAsia="en-CA"/>
        </w:rPr>
        <w:t>ET À LA SUITE DE LA DEMANDE</w:t>
      </w:r>
      <w:r w:rsidRPr="00495EFA">
        <w:rPr>
          <w:rFonts w:eastAsia="Times New Roman" w:cs="Times New Roman"/>
          <w:sz w:val="20"/>
          <w:szCs w:val="20"/>
          <w:lang w:val="fr-CA" w:eastAsia="en-CA"/>
        </w:rPr>
        <w:t xml:space="preserve"> présentée par l’intimé en prorogation du délai de signification et de dépôt de la réponse à la requête en formulation de questions constitutionnelles;</w:t>
      </w:r>
    </w:p>
    <w:p w:rsidR="00495EFA" w:rsidRPr="00495EFA" w:rsidRDefault="00495EFA" w:rsidP="00495EFA">
      <w:pPr>
        <w:jc w:val="both"/>
        <w:rPr>
          <w:rFonts w:eastAsia="Times New Roman" w:cs="Times New Roman"/>
          <w:sz w:val="20"/>
          <w:szCs w:val="20"/>
          <w:lang w:val="fr-CA" w:eastAsia="en-CA"/>
        </w:rPr>
      </w:pPr>
    </w:p>
    <w:p w:rsidR="00495EFA" w:rsidRPr="00495EFA" w:rsidRDefault="00495EFA" w:rsidP="00495EFA">
      <w:pPr>
        <w:jc w:val="both"/>
        <w:rPr>
          <w:rFonts w:eastAsia="Times New Roman" w:cs="Times New Roman"/>
          <w:sz w:val="20"/>
          <w:szCs w:val="20"/>
          <w:lang w:val="fr-CA" w:eastAsia="en-CA"/>
        </w:rPr>
      </w:pPr>
      <w:r w:rsidRPr="00495EFA">
        <w:rPr>
          <w:rFonts w:eastAsia="Times New Roman" w:cs="Times New Roman"/>
          <w:b/>
          <w:bCs/>
          <w:sz w:val="20"/>
          <w:szCs w:val="20"/>
          <w:lang w:val="fr-CA" w:eastAsia="en-CA"/>
        </w:rPr>
        <w:t>ET APRÈS AVOIR LU</w:t>
      </w:r>
      <w:r w:rsidRPr="00495EFA">
        <w:rPr>
          <w:rFonts w:eastAsia="Times New Roman" w:cs="Times New Roman"/>
          <w:sz w:val="20"/>
          <w:szCs w:val="20"/>
          <w:lang w:val="fr-CA" w:eastAsia="en-CA"/>
        </w:rPr>
        <w:t xml:space="preserve"> la documentation déposée,</w:t>
      </w:r>
    </w:p>
    <w:p w:rsidR="00495EFA" w:rsidRPr="00495EFA" w:rsidRDefault="00495EFA" w:rsidP="00495EFA">
      <w:pPr>
        <w:jc w:val="both"/>
        <w:rPr>
          <w:rFonts w:eastAsia="Times New Roman" w:cs="Times New Roman"/>
          <w:sz w:val="20"/>
          <w:szCs w:val="20"/>
          <w:lang w:val="fr-CA" w:eastAsia="en-CA"/>
        </w:rPr>
      </w:pPr>
    </w:p>
    <w:p w:rsidR="00495EFA" w:rsidRPr="00495EFA" w:rsidRDefault="00495EFA" w:rsidP="00495EFA">
      <w:pPr>
        <w:jc w:val="both"/>
        <w:rPr>
          <w:rFonts w:eastAsia="Times New Roman" w:cs="Times New Roman"/>
          <w:b/>
          <w:bCs/>
          <w:sz w:val="20"/>
          <w:szCs w:val="20"/>
          <w:lang w:val="fr-CA" w:eastAsia="en-CA"/>
        </w:rPr>
      </w:pPr>
      <w:r w:rsidRPr="00495EFA">
        <w:rPr>
          <w:rFonts w:eastAsia="Times New Roman" w:cs="Times New Roman"/>
          <w:b/>
          <w:bCs/>
          <w:sz w:val="20"/>
          <w:szCs w:val="20"/>
          <w:lang w:val="fr-CA" w:eastAsia="en-CA"/>
        </w:rPr>
        <w:t>IL EST PAR LA PRÉSENTE ORDONNE CE QUI SUIT :</w:t>
      </w:r>
    </w:p>
    <w:p w:rsidR="00495EFA" w:rsidRPr="00495EFA" w:rsidRDefault="00495EFA" w:rsidP="00495EFA">
      <w:pPr>
        <w:jc w:val="both"/>
        <w:rPr>
          <w:rFonts w:eastAsia="Times New Roman" w:cs="Times New Roman"/>
          <w:b/>
          <w:bCs/>
          <w:sz w:val="20"/>
          <w:szCs w:val="20"/>
          <w:lang w:val="fr-CA" w:eastAsia="en-CA"/>
        </w:rPr>
      </w:pPr>
    </w:p>
    <w:p w:rsidR="00495EFA" w:rsidRPr="00495EFA" w:rsidRDefault="00495EFA" w:rsidP="00495EFA">
      <w:pPr>
        <w:jc w:val="both"/>
        <w:rPr>
          <w:rFonts w:eastAsia="Times New Roman" w:cs="Times New Roman"/>
          <w:bCs/>
          <w:sz w:val="20"/>
          <w:szCs w:val="20"/>
          <w:lang w:val="fr-CA" w:eastAsia="en-CA"/>
        </w:rPr>
      </w:pPr>
      <w:r w:rsidRPr="00495EFA">
        <w:rPr>
          <w:rFonts w:eastAsia="Times New Roman" w:cs="Times New Roman"/>
          <w:bCs/>
          <w:sz w:val="20"/>
          <w:szCs w:val="20"/>
          <w:lang w:val="fr-CA" w:eastAsia="en-CA"/>
        </w:rPr>
        <w:t xml:space="preserve">La requête de l’intimé en prorogation de délai de signification et de dépôt </w:t>
      </w:r>
      <w:r w:rsidRPr="00495EFA">
        <w:rPr>
          <w:rFonts w:eastAsia="Times New Roman" w:cs="Times New Roman"/>
          <w:sz w:val="20"/>
          <w:szCs w:val="20"/>
          <w:lang w:val="fr-CA" w:eastAsia="en-CA"/>
        </w:rPr>
        <w:t xml:space="preserve">de la réponse à la requête en formulation des questions constitutionnelles est accueillie et </w:t>
      </w:r>
      <w:r w:rsidRPr="00495EFA">
        <w:rPr>
          <w:rFonts w:eastAsia="Times New Roman" w:cs="Times New Roman"/>
          <w:bCs/>
          <w:sz w:val="20"/>
          <w:szCs w:val="20"/>
          <w:lang w:val="fr-CA" w:eastAsia="en-CA"/>
        </w:rPr>
        <w:t>les questions constitutionnelles suivantes sont formulées :</w:t>
      </w:r>
    </w:p>
    <w:p w:rsidR="00495EFA" w:rsidRPr="00495EFA" w:rsidRDefault="00495EFA" w:rsidP="00495EFA">
      <w:pPr>
        <w:jc w:val="both"/>
        <w:rPr>
          <w:rFonts w:eastAsia="Times New Roman" w:cs="Times New Roman"/>
          <w:b/>
          <w:bCs/>
          <w:sz w:val="20"/>
          <w:szCs w:val="20"/>
          <w:lang w:val="fr-CA" w:eastAsia="en-CA"/>
        </w:rPr>
      </w:pPr>
    </w:p>
    <w:p w:rsidR="00495EFA" w:rsidRPr="00495EFA" w:rsidRDefault="00495EFA" w:rsidP="00495EFA">
      <w:pPr>
        <w:numPr>
          <w:ilvl w:val="0"/>
          <w:numId w:val="9"/>
        </w:numPr>
        <w:autoSpaceDE w:val="0"/>
        <w:autoSpaceDN w:val="0"/>
        <w:adjustRightInd w:val="0"/>
        <w:ind w:left="1418" w:hanging="709"/>
        <w:contextualSpacing/>
        <w:jc w:val="both"/>
        <w:rPr>
          <w:rFonts w:cs="Times New Roman"/>
          <w:bCs/>
          <w:sz w:val="20"/>
          <w:szCs w:val="20"/>
          <w:lang w:val="fr-CA"/>
        </w:rPr>
      </w:pPr>
      <w:r w:rsidRPr="00495EFA">
        <w:rPr>
          <w:rFonts w:cs="Times New Roman"/>
          <w:bCs/>
          <w:sz w:val="20"/>
          <w:szCs w:val="20"/>
          <w:lang w:val="fr-CA"/>
        </w:rPr>
        <w:t xml:space="preserve">Est-ce que le </w:t>
      </w:r>
      <w:r w:rsidRPr="00495EFA">
        <w:rPr>
          <w:rFonts w:cs="Times New Roman"/>
          <w:bCs/>
          <w:i/>
          <w:sz w:val="20"/>
          <w:szCs w:val="20"/>
          <w:lang w:val="fr-CA"/>
        </w:rPr>
        <w:t>Règlement sur l’accès à la marihuana à des fins médicales</w:t>
      </w:r>
      <w:r w:rsidRPr="00495EFA">
        <w:rPr>
          <w:rFonts w:cs="Times New Roman"/>
          <w:bCs/>
          <w:sz w:val="20"/>
          <w:szCs w:val="20"/>
          <w:lang w:val="fr-CA"/>
        </w:rPr>
        <w:t xml:space="preserve">, DORS/2001-227, et ses modifications, violent l’art. 7 de la </w:t>
      </w:r>
      <w:r w:rsidRPr="00495EFA">
        <w:rPr>
          <w:rFonts w:cs="Times New Roman"/>
          <w:bCs/>
          <w:i/>
          <w:sz w:val="20"/>
          <w:szCs w:val="20"/>
          <w:lang w:val="fr-CA"/>
        </w:rPr>
        <w:t>Charte canadienne des droits et libertés</w:t>
      </w:r>
      <w:r w:rsidRPr="00495EFA">
        <w:rPr>
          <w:rFonts w:cs="Times New Roman"/>
          <w:bCs/>
          <w:sz w:val="20"/>
          <w:szCs w:val="20"/>
          <w:lang w:val="fr-CA"/>
        </w:rPr>
        <w:t>, dans la mesure où ils autorisent uniquement l’accès à la « marihuana séchée »?</w:t>
      </w:r>
    </w:p>
    <w:p w:rsidR="00495EFA" w:rsidRPr="00495EFA" w:rsidRDefault="00495EFA" w:rsidP="00495EFA">
      <w:pPr>
        <w:ind w:left="1418" w:hanging="698"/>
        <w:contextualSpacing/>
        <w:jc w:val="both"/>
        <w:rPr>
          <w:rFonts w:cs="Times New Roman"/>
          <w:bCs/>
          <w:sz w:val="20"/>
          <w:szCs w:val="20"/>
          <w:lang w:val="fr-CA"/>
        </w:rPr>
      </w:pPr>
    </w:p>
    <w:p w:rsidR="00495EFA" w:rsidRPr="00495EFA" w:rsidRDefault="00495EFA" w:rsidP="00495EFA">
      <w:pPr>
        <w:numPr>
          <w:ilvl w:val="0"/>
          <w:numId w:val="9"/>
        </w:numPr>
        <w:autoSpaceDE w:val="0"/>
        <w:autoSpaceDN w:val="0"/>
        <w:adjustRightInd w:val="0"/>
        <w:ind w:left="1418" w:hanging="698"/>
        <w:contextualSpacing/>
        <w:jc w:val="both"/>
        <w:rPr>
          <w:rFonts w:cs="Times New Roman"/>
          <w:bCs/>
          <w:sz w:val="20"/>
          <w:szCs w:val="20"/>
          <w:lang w:val="fr-CA"/>
        </w:rPr>
      </w:pPr>
      <w:r w:rsidRPr="00495EFA">
        <w:rPr>
          <w:rFonts w:cs="Times New Roman"/>
          <w:sz w:val="20"/>
          <w:szCs w:val="20"/>
          <w:lang w:val="fr-CA"/>
        </w:rPr>
        <w:t xml:space="preserve">Dans l’affirmative, s’agit-il d’une violation constituant une limite raisonnable prescrite par une règle de droit et dont la justification peut se démontrer dans le cadre d’une société libre et démocratique conformément à l’article premier de la </w:t>
      </w:r>
      <w:r w:rsidRPr="00495EFA">
        <w:rPr>
          <w:rFonts w:cs="Times New Roman"/>
          <w:i/>
          <w:sz w:val="20"/>
          <w:szCs w:val="20"/>
          <w:lang w:val="fr-CA"/>
        </w:rPr>
        <w:t>Charte canadienne des droits et libertés</w:t>
      </w:r>
      <w:r w:rsidRPr="00495EFA">
        <w:rPr>
          <w:rFonts w:cs="Times New Roman"/>
          <w:sz w:val="20"/>
          <w:szCs w:val="20"/>
          <w:lang w:val="fr-CA"/>
        </w:rPr>
        <w:t>?</w:t>
      </w:r>
    </w:p>
    <w:p w:rsidR="00495EFA" w:rsidRPr="00495EFA" w:rsidRDefault="00495EFA" w:rsidP="00495EFA">
      <w:pPr>
        <w:ind w:left="1080"/>
        <w:contextualSpacing/>
        <w:jc w:val="both"/>
        <w:rPr>
          <w:rFonts w:cs="Times New Roman"/>
          <w:sz w:val="20"/>
          <w:szCs w:val="20"/>
          <w:lang w:val="fr-CA"/>
        </w:rPr>
      </w:pPr>
    </w:p>
    <w:p w:rsidR="00495EFA" w:rsidRPr="00495EFA" w:rsidRDefault="00495EFA" w:rsidP="00495EFA">
      <w:pPr>
        <w:jc w:val="both"/>
        <w:rPr>
          <w:rFonts w:eastAsia="Times New Roman" w:cs="Times New Roman"/>
          <w:sz w:val="20"/>
          <w:szCs w:val="20"/>
          <w:lang w:val="fr-FR" w:eastAsia="en-CA"/>
        </w:rPr>
      </w:pPr>
      <w:r w:rsidRPr="00495EFA">
        <w:rPr>
          <w:rFonts w:eastAsia="Times New Roman" w:cs="Times New Roman"/>
          <w:sz w:val="20"/>
          <w:szCs w:val="20"/>
          <w:lang w:val="fr-CA" w:eastAsia="en-CA"/>
        </w:rPr>
        <w:t>T</w:t>
      </w:r>
      <w:r w:rsidRPr="00495EFA">
        <w:rPr>
          <w:rFonts w:eastAsia="Times New Roman" w:cs="Times New Roman"/>
          <w:sz w:val="20"/>
          <w:szCs w:val="20"/>
          <w:lang w:val="fr-FR" w:eastAsia="en-CA"/>
        </w:rPr>
        <w:t xml:space="preserve">out procureur général qui interviendra en vertu du par. 61(4) des </w:t>
      </w:r>
      <w:r w:rsidRPr="00495EFA">
        <w:rPr>
          <w:rFonts w:eastAsia="Times New Roman" w:cs="Times New Roman"/>
          <w:i/>
          <w:iCs/>
          <w:sz w:val="20"/>
          <w:szCs w:val="20"/>
          <w:lang w:val="fr-FR" w:eastAsia="en-CA"/>
        </w:rPr>
        <w:t>Règles de la Cour suprême du Canada</w:t>
      </w:r>
      <w:r w:rsidRPr="00495EFA">
        <w:rPr>
          <w:rFonts w:eastAsia="Times New Roman" w:cs="Times New Roman"/>
          <w:sz w:val="20"/>
          <w:szCs w:val="20"/>
          <w:lang w:val="fr-FR" w:eastAsia="en-CA"/>
        </w:rPr>
        <w:t xml:space="preserve"> sera tenu de payer à l’appelante et à l’intimé les dépens supplémentaires résultant de son intervention.</w:t>
      </w:r>
    </w:p>
    <w:p w:rsidR="00495EFA" w:rsidRPr="00495EFA" w:rsidRDefault="00495EFA" w:rsidP="00495EFA">
      <w:pPr>
        <w:jc w:val="both"/>
        <w:rPr>
          <w:rFonts w:eastAsia="Times New Roman" w:cs="Times New Roman"/>
          <w:sz w:val="20"/>
          <w:szCs w:val="20"/>
          <w:lang w:val="fr-FR" w:eastAsia="en-CA"/>
        </w:rPr>
      </w:pPr>
    </w:p>
    <w:p w:rsidR="00495EFA" w:rsidRPr="00495EFA" w:rsidRDefault="00495EFA" w:rsidP="00495EFA">
      <w:pPr>
        <w:jc w:val="both"/>
        <w:rPr>
          <w:rFonts w:eastAsia="Times New Roman" w:cs="Times New Roman"/>
          <w:sz w:val="20"/>
          <w:szCs w:val="20"/>
          <w:lang w:val="fr-CA" w:eastAsia="en-CA"/>
        </w:rPr>
      </w:pPr>
      <w:r w:rsidRPr="00495EFA">
        <w:rPr>
          <w:rFonts w:eastAsia="Times New Roman" w:cs="Times New Roman"/>
          <w:b/>
          <w:sz w:val="20"/>
          <w:szCs w:val="20"/>
          <w:lang w:val="fr-CA" w:eastAsia="en-CA"/>
        </w:rPr>
        <w:t>IL EST EN OUTRE ORDONNÉ CE QUI SUIT :</w:t>
      </w:r>
    </w:p>
    <w:p w:rsidR="00495EFA" w:rsidRPr="00495EFA" w:rsidRDefault="00495EFA" w:rsidP="00495EFA">
      <w:pPr>
        <w:jc w:val="both"/>
        <w:rPr>
          <w:rFonts w:eastAsia="Times New Roman" w:cs="Times New Roman"/>
          <w:sz w:val="20"/>
          <w:szCs w:val="20"/>
          <w:lang w:val="fr-CA" w:eastAsia="en-CA"/>
        </w:rPr>
      </w:pPr>
    </w:p>
    <w:p w:rsidR="00495EFA" w:rsidRPr="00495EFA" w:rsidRDefault="00495EFA" w:rsidP="00495EFA">
      <w:pPr>
        <w:numPr>
          <w:ilvl w:val="0"/>
          <w:numId w:val="11"/>
        </w:numPr>
        <w:autoSpaceDE w:val="0"/>
        <w:autoSpaceDN w:val="0"/>
        <w:adjustRightInd w:val="0"/>
        <w:ind w:left="1418" w:hanging="709"/>
        <w:contextualSpacing/>
        <w:jc w:val="both"/>
        <w:rPr>
          <w:rFonts w:cs="Times New Roman"/>
          <w:sz w:val="20"/>
          <w:szCs w:val="20"/>
          <w:lang w:val="fr-CA"/>
        </w:rPr>
      </w:pPr>
      <w:r w:rsidRPr="00495EFA">
        <w:rPr>
          <w:rFonts w:cs="Times New Roman"/>
          <w:sz w:val="20"/>
          <w:szCs w:val="20"/>
          <w:lang w:val="fr-CA"/>
        </w:rPr>
        <w:t>Les dossier, mémoire et recueil de sources de l’appelante doivent être signifiés et déposés au plus tard le 8 janvier 2015.</w:t>
      </w:r>
    </w:p>
    <w:p w:rsidR="00495EFA" w:rsidRPr="00495EFA" w:rsidRDefault="00495EFA" w:rsidP="00495EFA">
      <w:pPr>
        <w:ind w:left="1418" w:hanging="709"/>
        <w:contextualSpacing/>
        <w:jc w:val="both"/>
        <w:rPr>
          <w:rFonts w:cs="Times New Roman"/>
          <w:sz w:val="20"/>
          <w:szCs w:val="20"/>
          <w:lang w:val="fr-CA"/>
        </w:rPr>
      </w:pPr>
    </w:p>
    <w:p w:rsidR="00495EFA" w:rsidRPr="00495EFA" w:rsidRDefault="00495EFA" w:rsidP="00495EFA">
      <w:pPr>
        <w:numPr>
          <w:ilvl w:val="0"/>
          <w:numId w:val="11"/>
        </w:numPr>
        <w:autoSpaceDE w:val="0"/>
        <w:autoSpaceDN w:val="0"/>
        <w:adjustRightInd w:val="0"/>
        <w:ind w:left="1418" w:hanging="709"/>
        <w:contextualSpacing/>
        <w:jc w:val="both"/>
        <w:rPr>
          <w:rFonts w:cs="Times New Roman"/>
          <w:sz w:val="20"/>
          <w:szCs w:val="20"/>
          <w:lang w:val="fr-CA"/>
        </w:rPr>
      </w:pPr>
      <w:r w:rsidRPr="00495EFA">
        <w:rPr>
          <w:rFonts w:cs="Times New Roman"/>
          <w:sz w:val="20"/>
          <w:szCs w:val="20"/>
          <w:lang w:val="fr-CA"/>
        </w:rPr>
        <w:t xml:space="preserve">Toute personne qui souhaite intervenir dans le présent appel en vertu de la règle 55 des </w:t>
      </w:r>
      <w:r w:rsidRPr="00495EFA">
        <w:rPr>
          <w:rFonts w:cs="Times New Roman"/>
          <w:i/>
          <w:sz w:val="20"/>
          <w:szCs w:val="20"/>
          <w:lang w:val="fr-CA"/>
        </w:rPr>
        <w:t>Règles de la Cour suprême du Canada</w:t>
      </w:r>
      <w:r w:rsidRPr="00495EFA">
        <w:rPr>
          <w:rFonts w:cs="Times New Roman"/>
          <w:sz w:val="20"/>
          <w:szCs w:val="20"/>
          <w:lang w:val="fr-CA"/>
        </w:rPr>
        <w:t xml:space="preserve"> devra signifier et déposer une requête en autorisation d’intervenir au plus tard le 29 janvier 2015. </w:t>
      </w:r>
    </w:p>
    <w:p w:rsidR="00495EFA" w:rsidRPr="00495EFA" w:rsidRDefault="00495EFA" w:rsidP="00495EFA">
      <w:pPr>
        <w:ind w:left="1418" w:hanging="709"/>
        <w:contextualSpacing/>
        <w:jc w:val="both"/>
        <w:rPr>
          <w:rFonts w:cs="Times New Roman"/>
          <w:sz w:val="20"/>
          <w:szCs w:val="20"/>
          <w:lang w:val="fr-CA"/>
        </w:rPr>
      </w:pPr>
    </w:p>
    <w:p w:rsidR="00495EFA" w:rsidRPr="00495EFA" w:rsidRDefault="00495EFA" w:rsidP="00495EFA">
      <w:pPr>
        <w:numPr>
          <w:ilvl w:val="0"/>
          <w:numId w:val="11"/>
        </w:numPr>
        <w:autoSpaceDE w:val="0"/>
        <w:autoSpaceDN w:val="0"/>
        <w:adjustRightInd w:val="0"/>
        <w:ind w:left="1418" w:hanging="709"/>
        <w:contextualSpacing/>
        <w:jc w:val="both"/>
        <w:rPr>
          <w:rFonts w:cs="Times New Roman"/>
          <w:sz w:val="20"/>
          <w:szCs w:val="20"/>
          <w:lang w:val="fr-CA"/>
        </w:rPr>
      </w:pPr>
      <w:r w:rsidRPr="00495EFA">
        <w:rPr>
          <w:rFonts w:cs="Times New Roman"/>
          <w:sz w:val="20"/>
          <w:szCs w:val="20"/>
          <w:lang w:val="fr-CA"/>
        </w:rPr>
        <w:t xml:space="preserve">L’appelante et l’intimé devront signifier et déposer leurs réponses aux demandes d’autorisation d’intervenir, le cas échéant, au plus tard le 5 février 2015. </w:t>
      </w:r>
    </w:p>
    <w:p w:rsidR="00495EFA" w:rsidRPr="00495EFA" w:rsidRDefault="00495EFA" w:rsidP="00495EFA">
      <w:pPr>
        <w:ind w:left="1418" w:hanging="709"/>
        <w:contextualSpacing/>
        <w:jc w:val="both"/>
        <w:rPr>
          <w:rFonts w:cs="Times New Roman"/>
          <w:sz w:val="20"/>
          <w:szCs w:val="20"/>
          <w:lang w:val="fr-CA"/>
        </w:rPr>
      </w:pPr>
    </w:p>
    <w:p w:rsidR="00495EFA" w:rsidRPr="00495EFA" w:rsidRDefault="00495EFA" w:rsidP="00495EFA">
      <w:pPr>
        <w:numPr>
          <w:ilvl w:val="0"/>
          <w:numId w:val="11"/>
        </w:numPr>
        <w:autoSpaceDE w:val="0"/>
        <w:autoSpaceDN w:val="0"/>
        <w:adjustRightInd w:val="0"/>
        <w:ind w:left="1418" w:hanging="709"/>
        <w:contextualSpacing/>
        <w:jc w:val="both"/>
        <w:rPr>
          <w:rFonts w:cs="Times New Roman"/>
          <w:sz w:val="20"/>
          <w:szCs w:val="20"/>
          <w:lang w:val="fr-CA"/>
        </w:rPr>
      </w:pPr>
      <w:r w:rsidRPr="00495EFA">
        <w:rPr>
          <w:rFonts w:cs="Times New Roman"/>
          <w:sz w:val="20"/>
          <w:szCs w:val="20"/>
          <w:lang w:val="fr-CA"/>
        </w:rPr>
        <w:t xml:space="preserve">Les répliques, le cas échéant, aux réponses aux demandes d’autorisation d’intervenir devront être signifiées et déposées au plus tard le 9 février 2015. </w:t>
      </w:r>
    </w:p>
    <w:p w:rsidR="00495EFA" w:rsidRPr="00495EFA" w:rsidRDefault="00495EFA" w:rsidP="00495EFA">
      <w:pPr>
        <w:ind w:left="1418" w:hanging="709"/>
        <w:contextualSpacing/>
        <w:jc w:val="both"/>
        <w:rPr>
          <w:rFonts w:cs="Times New Roman"/>
          <w:sz w:val="20"/>
          <w:szCs w:val="20"/>
          <w:lang w:val="fr-CA"/>
        </w:rPr>
      </w:pPr>
    </w:p>
    <w:p w:rsidR="00495EFA" w:rsidRPr="00495EFA" w:rsidRDefault="00495EFA" w:rsidP="00495EFA">
      <w:pPr>
        <w:numPr>
          <w:ilvl w:val="0"/>
          <w:numId w:val="11"/>
        </w:numPr>
        <w:autoSpaceDE w:val="0"/>
        <w:autoSpaceDN w:val="0"/>
        <w:adjustRightInd w:val="0"/>
        <w:ind w:left="1418" w:hanging="709"/>
        <w:contextualSpacing/>
        <w:jc w:val="both"/>
        <w:rPr>
          <w:rFonts w:cs="Times New Roman"/>
          <w:sz w:val="20"/>
          <w:szCs w:val="20"/>
          <w:lang w:val="fr-CA"/>
        </w:rPr>
      </w:pPr>
      <w:r w:rsidRPr="00495EFA">
        <w:rPr>
          <w:rFonts w:cs="Times New Roman"/>
          <w:sz w:val="20"/>
          <w:szCs w:val="20"/>
          <w:lang w:val="fr-CA"/>
        </w:rPr>
        <w:t>Les dossier, mémoire et recueil de sources de l’intimé doivent être signifiés et déposés au plus tard le 26 février 2015.</w:t>
      </w:r>
    </w:p>
    <w:p w:rsidR="00495EFA" w:rsidRPr="00495EFA" w:rsidRDefault="00495EFA" w:rsidP="00495EFA">
      <w:pPr>
        <w:ind w:left="720"/>
        <w:contextualSpacing/>
        <w:jc w:val="both"/>
        <w:rPr>
          <w:rFonts w:cs="Times New Roman"/>
          <w:sz w:val="20"/>
          <w:szCs w:val="20"/>
          <w:lang w:val="fr-CA"/>
        </w:rPr>
      </w:pPr>
    </w:p>
    <w:p w:rsidR="00495EFA" w:rsidRPr="00495EFA" w:rsidRDefault="00495EFA" w:rsidP="00495EFA">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18" w:hanging="713"/>
        <w:contextualSpacing/>
        <w:jc w:val="both"/>
        <w:rPr>
          <w:rFonts w:cs="Times New Roman"/>
          <w:bCs/>
          <w:sz w:val="20"/>
          <w:szCs w:val="20"/>
          <w:lang w:val="fr-CA"/>
        </w:rPr>
      </w:pPr>
      <w:r w:rsidRPr="00495EFA">
        <w:rPr>
          <w:rFonts w:cs="Times New Roman"/>
          <w:bCs/>
          <w:sz w:val="20"/>
          <w:szCs w:val="20"/>
          <w:lang w:val="fr-CA"/>
        </w:rPr>
        <w:t xml:space="preserve">Les intervenants qui seront autorisés à intervenir en application de l’art. 59 des </w:t>
      </w:r>
      <w:r w:rsidRPr="00495EFA">
        <w:rPr>
          <w:rFonts w:cs="Times New Roman"/>
          <w:bCs/>
          <w:i/>
          <w:sz w:val="20"/>
          <w:szCs w:val="20"/>
          <w:lang w:val="fr-CA"/>
        </w:rPr>
        <w:t>Règles de la Cour suprême du Canada</w:t>
      </w:r>
      <w:r w:rsidRPr="00495EFA">
        <w:rPr>
          <w:rFonts w:cs="Times New Roman"/>
          <w:bCs/>
          <w:sz w:val="20"/>
          <w:szCs w:val="20"/>
          <w:lang w:val="fr-CA"/>
        </w:rPr>
        <w:t xml:space="preserve"> devront signifier et déposer leurs mémoires et recueils de sources au plus tard le 10 mars 2015.  </w:t>
      </w:r>
    </w:p>
    <w:p w:rsidR="00495EFA" w:rsidRPr="00495EFA" w:rsidRDefault="00495EFA" w:rsidP="00495EFA">
      <w:pPr>
        <w:ind w:left="1418" w:hanging="709"/>
        <w:contextualSpacing/>
        <w:jc w:val="both"/>
        <w:rPr>
          <w:rFonts w:cs="Times New Roman"/>
          <w:sz w:val="20"/>
          <w:szCs w:val="20"/>
          <w:lang w:val="fr-CA"/>
        </w:rPr>
      </w:pPr>
    </w:p>
    <w:p w:rsidR="00495EFA" w:rsidRPr="00495EFA" w:rsidRDefault="00495EFA" w:rsidP="00495EFA">
      <w:pPr>
        <w:numPr>
          <w:ilvl w:val="0"/>
          <w:numId w:val="11"/>
        </w:numPr>
        <w:autoSpaceDE w:val="0"/>
        <w:autoSpaceDN w:val="0"/>
        <w:adjustRightInd w:val="0"/>
        <w:ind w:left="1418" w:hanging="709"/>
        <w:contextualSpacing/>
        <w:jc w:val="both"/>
        <w:rPr>
          <w:rFonts w:cs="Times New Roman"/>
          <w:sz w:val="20"/>
          <w:szCs w:val="20"/>
          <w:lang w:val="fr-CA"/>
        </w:rPr>
      </w:pPr>
      <w:r w:rsidRPr="00495EFA">
        <w:rPr>
          <w:rFonts w:cs="Times New Roman"/>
          <w:sz w:val="20"/>
          <w:szCs w:val="20"/>
          <w:lang w:val="fr-CA"/>
        </w:rPr>
        <w:t xml:space="preserve">Tout procureur général qui interviendra en vertu du par. 61(4) des </w:t>
      </w:r>
      <w:r w:rsidRPr="00495EFA">
        <w:rPr>
          <w:rFonts w:cs="Times New Roman"/>
          <w:i/>
          <w:sz w:val="20"/>
          <w:szCs w:val="20"/>
          <w:lang w:val="fr-CA"/>
        </w:rPr>
        <w:t>Règles de la Cour suprême du Canada</w:t>
      </w:r>
      <w:r w:rsidRPr="00495EFA">
        <w:rPr>
          <w:rFonts w:cs="Times New Roman"/>
          <w:sz w:val="20"/>
          <w:szCs w:val="20"/>
          <w:lang w:val="fr-CA"/>
        </w:rPr>
        <w:t xml:space="preserve"> devra signifier et déposer son mémoire et son recueil de sources au plus tard le 10 mars 2015.</w:t>
      </w:r>
    </w:p>
    <w:p w:rsidR="00495EFA" w:rsidRPr="00495EFA" w:rsidRDefault="00495EFA" w:rsidP="00495EFA">
      <w:pPr>
        <w:tabs>
          <w:tab w:val="left" w:pos="-1440"/>
          <w:tab w:val="left" w:pos="-720"/>
        </w:tabs>
        <w:jc w:val="both"/>
        <w:rPr>
          <w:rFonts w:eastAsia="Times New Roman" w:cs="Times New Roman"/>
          <w:sz w:val="20"/>
          <w:szCs w:val="20"/>
          <w:lang w:val="fr-CA" w:eastAsia="en-CA"/>
        </w:rPr>
      </w:pPr>
    </w:p>
    <w:p w:rsidR="00495EFA" w:rsidRPr="00495EFA" w:rsidRDefault="00690162" w:rsidP="00495EFA">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0" style="width:2in;height:1pt" o:hrpct="0" o:hralign="center" o:hrstd="t" o:hrnoshade="t" o:hr="t" fillcolor="black [3213]" stroked="f"/>
        </w:pict>
      </w:r>
    </w:p>
    <w:p w:rsidR="00495EFA" w:rsidRPr="00495EFA" w:rsidRDefault="00495EFA" w:rsidP="00495EFA">
      <w:pPr>
        <w:tabs>
          <w:tab w:val="left" w:pos="-1440"/>
          <w:tab w:val="left" w:pos="-720"/>
        </w:tabs>
        <w:jc w:val="both"/>
        <w:rPr>
          <w:rFonts w:eastAsia="Times New Roman" w:cs="Times New Roman"/>
          <w:sz w:val="20"/>
          <w:szCs w:val="20"/>
          <w:lang w:val="fr-CA" w:eastAsia="en-CA"/>
        </w:rPr>
      </w:pPr>
      <w:r w:rsidRPr="00495EFA">
        <w:rPr>
          <w:rFonts w:eastAsia="Times New Roman" w:cs="Times New Roman"/>
          <w:sz w:val="20"/>
          <w:szCs w:val="20"/>
          <w:lang w:val="fr-CA" w:eastAsia="en-CA"/>
        </w:rPr>
        <w:lastRenderedPageBreak/>
        <w:t>13.11.2014</w:t>
      </w:r>
    </w:p>
    <w:p w:rsidR="00495EFA" w:rsidRPr="00495EFA" w:rsidRDefault="00495EFA" w:rsidP="00495EFA">
      <w:pPr>
        <w:tabs>
          <w:tab w:val="left" w:pos="-1440"/>
          <w:tab w:val="left" w:pos="-720"/>
        </w:tabs>
        <w:jc w:val="both"/>
        <w:rPr>
          <w:rFonts w:eastAsia="Times New Roman" w:cs="Times New Roman"/>
          <w:sz w:val="20"/>
          <w:szCs w:val="20"/>
          <w:lang w:eastAsia="en-CA"/>
        </w:rPr>
      </w:pPr>
    </w:p>
    <w:p w:rsidR="00495EFA" w:rsidRPr="00495EFA" w:rsidRDefault="00495EFA" w:rsidP="00495EFA">
      <w:pPr>
        <w:tabs>
          <w:tab w:val="left" w:pos="-1440"/>
          <w:tab w:val="left" w:pos="-720"/>
        </w:tabs>
        <w:jc w:val="both"/>
        <w:rPr>
          <w:rFonts w:eastAsia="Times New Roman" w:cs="Times New Roman"/>
          <w:sz w:val="20"/>
          <w:szCs w:val="20"/>
          <w:lang w:eastAsia="en-CA"/>
        </w:rPr>
      </w:pPr>
      <w:r w:rsidRPr="00495EFA">
        <w:rPr>
          <w:rFonts w:eastAsia="Times New Roman" w:cs="Times New Roman"/>
          <w:sz w:val="20"/>
          <w:szCs w:val="20"/>
          <w:lang w:eastAsia="en-CA"/>
        </w:rPr>
        <w:t>Before / Devant:   THE DEPUTY REGISTRAR / LE REGISTRAIRE ADJOINT</w:t>
      </w:r>
    </w:p>
    <w:p w:rsidR="00495EFA" w:rsidRPr="00495EFA" w:rsidRDefault="00495EFA" w:rsidP="00495EFA">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495EFA" w:rsidRPr="00690162" w:rsidTr="003B3ED7">
        <w:tc>
          <w:tcPr>
            <w:tcW w:w="4338" w:type="dxa"/>
          </w:tcPr>
          <w:p w:rsidR="00495EFA" w:rsidRPr="00495EFA" w:rsidRDefault="00D921D7" w:rsidP="00495EFA">
            <w:pPr>
              <w:tabs>
                <w:tab w:val="left" w:pos="-1440"/>
                <w:tab w:val="left" w:pos="-720"/>
              </w:tabs>
              <w:jc w:val="both"/>
              <w:rPr>
                <w:b/>
              </w:rPr>
            </w:pPr>
            <w:r w:rsidRPr="00495EFA">
              <w:rPr>
                <w:szCs w:val="24"/>
                <w:lang w:val="en-US"/>
              </w:rPr>
              <w:fldChar w:fldCharType="begin"/>
            </w:r>
            <w:r w:rsidR="00495EFA" w:rsidRPr="00495EFA">
              <w:rPr>
                <w:szCs w:val="24"/>
                <w:lang w:val="en-US"/>
              </w:rPr>
              <w:instrText xml:space="preserve"> SEQ CHAPTER \h \r 1</w:instrText>
            </w:r>
            <w:r w:rsidRPr="00495EFA">
              <w:rPr>
                <w:szCs w:val="24"/>
                <w:lang w:val="en-US"/>
              </w:rPr>
              <w:fldChar w:fldCharType="end"/>
            </w:r>
            <w:r w:rsidR="00495EFA" w:rsidRPr="00495EFA">
              <w:rPr>
                <w:b/>
                <w:bCs/>
                <w:lang w:val="en-US"/>
              </w:rPr>
              <w:t>Motion to extend time to file and serve the respondent’s response to and including the date 20 days after the disposition of the Applicants’ pending motion before the Ontario Court of Appeal for a rehearing of the appeal below</w:t>
            </w:r>
          </w:p>
        </w:tc>
        <w:tc>
          <w:tcPr>
            <w:tcW w:w="1170" w:type="dxa"/>
          </w:tcPr>
          <w:p w:rsidR="00495EFA" w:rsidRPr="00495EFA" w:rsidRDefault="00495EFA" w:rsidP="00495EFA">
            <w:pPr>
              <w:tabs>
                <w:tab w:val="left" w:pos="-1440"/>
                <w:tab w:val="left" w:pos="-720"/>
              </w:tabs>
              <w:jc w:val="both"/>
            </w:pPr>
          </w:p>
          <w:p w:rsidR="00495EFA" w:rsidRPr="00495EFA" w:rsidRDefault="00495EFA" w:rsidP="00495EFA">
            <w:pPr>
              <w:tabs>
                <w:tab w:val="left" w:pos="-1440"/>
                <w:tab w:val="left" w:pos="-720"/>
              </w:tabs>
              <w:jc w:val="both"/>
            </w:pPr>
          </w:p>
          <w:p w:rsidR="00495EFA" w:rsidRPr="00495EFA" w:rsidRDefault="00495EFA" w:rsidP="00495EFA">
            <w:pPr>
              <w:tabs>
                <w:tab w:val="left" w:pos="-1440"/>
                <w:tab w:val="left" w:pos="-720"/>
              </w:tabs>
              <w:jc w:val="both"/>
            </w:pPr>
          </w:p>
          <w:p w:rsidR="00495EFA" w:rsidRPr="00495EFA" w:rsidRDefault="00495EFA" w:rsidP="00495EFA">
            <w:pPr>
              <w:tabs>
                <w:tab w:val="left" w:pos="-1440"/>
                <w:tab w:val="left" w:pos="-720"/>
              </w:tabs>
              <w:jc w:val="both"/>
            </w:pPr>
          </w:p>
          <w:p w:rsidR="00495EFA" w:rsidRPr="00495EFA" w:rsidRDefault="00495EFA" w:rsidP="00495EFA">
            <w:pPr>
              <w:tabs>
                <w:tab w:val="left" w:pos="-1440"/>
                <w:tab w:val="left" w:pos="-720"/>
              </w:tabs>
              <w:jc w:val="both"/>
            </w:pPr>
          </w:p>
          <w:p w:rsidR="00495EFA" w:rsidRPr="00495EFA" w:rsidRDefault="00495EFA" w:rsidP="00495EFA">
            <w:pPr>
              <w:tabs>
                <w:tab w:val="left" w:pos="-1440"/>
                <w:tab w:val="left" w:pos="-720"/>
              </w:tabs>
              <w:jc w:val="both"/>
            </w:pPr>
          </w:p>
          <w:p w:rsidR="00495EFA" w:rsidRPr="00495EFA" w:rsidRDefault="00495EFA" w:rsidP="00495EFA">
            <w:pPr>
              <w:tabs>
                <w:tab w:val="left" w:pos="-1440"/>
                <w:tab w:val="left" w:pos="-720"/>
              </w:tabs>
              <w:jc w:val="both"/>
            </w:pPr>
          </w:p>
        </w:tc>
        <w:tc>
          <w:tcPr>
            <w:tcW w:w="4327" w:type="dxa"/>
          </w:tcPr>
          <w:p w:rsidR="00495EFA" w:rsidRPr="00495EFA" w:rsidRDefault="00495EFA" w:rsidP="00495EFA">
            <w:pPr>
              <w:tabs>
                <w:tab w:val="left" w:pos="-1440"/>
                <w:tab w:val="left" w:pos="-720"/>
              </w:tabs>
              <w:jc w:val="both"/>
              <w:rPr>
                <w:lang w:val="fr-CA"/>
              </w:rPr>
            </w:pPr>
            <w:r w:rsidRPr="00495EFA">
              <w:rPr>
                <w:b/>
                <w:bCs/>
                <w:color w:val="000000"/>
                <w:lang w:val="fr-CA"/>
              </w:rPr>
              <w:t>Requête en prorogation du délai pour déposer et signifier la réponse de l’intimée jusqu’à vingt jours inclusivement après le prononcé de la décision quant à la requête pendante devant la Cour d’appel de l’Ontario en réaudition de l’appel devant cette cour</w:t>
            </w:r>
          </w:p>
        </w:tc>
      </w:tr>
      <w:tr w:rsidR="00495EFA" w:rsidRPr="00495EFA" w:rsidTr="003B3ED7">
        <w:tc>
          <w:tcPr>
            <w:tcW w:w="4338" w:type="dxa"/>
          </w:tcPr>
          <w:p w:rsidR="00495EFA" w:rsidRPr="00495EFA" w:rsidRDefault="00495EFA" w:rsidP="00495EFA">
            <w:pPr>
              <w:tabs>
                <w:tab w:val="left" w:pos="-1440"/>
                <w:tab w:val="left" w:pos="-720"/>
              </w:tabs>
              <w:jc w:val="both"/>
            </w:pPr>
            <w:r w:rsidRPr="00495EFA">
              <w:t>Romandale Farms Limited et al.</w:t>
            </w:r>
          </w:p>
          <w:p w:rsidR="00495EFA" w:rsidRPr="00495EFA" w:rsidRDefault="00495EFA" w:rsidP="00495EFA">
            <w:pPr>
              <w:tabs>
                <w:tab w:val="left" w:pos="-1440"/>
                <w:tab w:val="left" w:pos="-720"/>
              </w:tabs>
              <w:jc w:val="both"/>
            </w:pPr>
          </w:p>
          <w:p w:rsidR="00495EFA" w:rsidRPr="00495EFA" w:rsidRDefault="00495EFA" w:rsidP="00495EFA">
            <w:pPr>
              <w:tabs>
                <w:tab w:val="left" w:pos="-1440"/>
                <w:tab w:val="left" w:pos="-720"/>
              </w:tabs>
              <w:jc w:val="both"/>
            </w:pPr>
            <w:r w:rsidRPr="00495EFA">
              <w:tab/>
              <w:t>v. (36115)</w:t>
            </w:r>
          </w:p>
          <w:p w:rsidR="00495EFA" w:rsidRPr="00495EFA" w:rsidRDefault="00495EFA" w:rsidP="00495EFA">
            <w:pPr>
              <w:tabs>
                <w:tab w:val="left" w:pos="-1440"/>
                <w:tab w:val="left" w:pos="-720"/>
              </w:tabs>
              <w:jc w:val="both"/>
            </w:pPr>
          </w:p>
          <w:p w:rsidR="00495EFA" w:rsidRPr="00495EFA" w:rsidRDefault="00495EFA" w:rsidP="00495EFA">
            <w:pPr>
              <w:tabs>
                <w:tab w:val="left" w:pos="-1440"/>
                <w:tab w:val="left" w:pos="-720"/>
              </w:tabs>
              <w:jc w:val="both"/>
            </w:pPr>
            <w:r w:rsidRPr="00495EFA">
              <w:t>First Elgin Mills Developments Inc. (Ont.)</w:t>
            </w:r>
          </w:p>
        </w:tc>
        <w:tc>
          <w:tcPr>
            <w:tcW w:w="1170" w:type="dxa"/>
          </w:tcPr>
          <w:p w:rsidR="00495EFA" w:rsidRPr="00495EFA" w:rsidRDefault="00495EFA" w:rsidP="00495EFA">
            <w:pPr>
              <w:tabs>
                <w:tab w:val="left" w:pos="-1440"/>
                <w:tab w:val="left" w:pos="-720"/>
              </w:tabs>
              <w:jc w:val="both"/>
            </w:pPr>
          </w:p>
        </w:tc>
        <w:tc>
          <w:tcPr>
            <w:tcW w:w="4327" w:type="dxa"/>
          </w:tcPr>
          <w:p w:rsidR="00495EFA" w:rsidRPr="00495EFA" w:rsidRDefault="00495EFA" w:rsidP="00495EFA">
            <w:pPr>
              <w:tabs>
                <w:tab w:val="left" w:pos="-1440"/>
                <w:tab w:val="left" w:pos="-720"/>
              </w:tabs>
              <w:jc w:val="both"/>
            </w:pPr>
          </w:p>
        </w:tc>
      </w:tr>
    </w:tbl>
    <w:p w:rsidR="00495EFA" w:rsidRPr="00495EFA" w:rsidRDefault="00495EFA" w:rsidP="00495EFA">
      <w:pPr>
        <w:tabs>
          <w:tab w:val="left" w:pos="-1440"/>
          <w:tab w:val="left" w:pos="-720"/>
        </w:tabs>
        <w:jc w:val="both"/>
        <w:rPr>
          <w:rFonts w:eastAsia="Times New Roman" w:cs="Times New Roman"/>
          <w:sz w:val="20"/>
          <w:szCs w:val="20"/>
          <w:lang w:val="en-US" w:eastAsia="en-CA"/>
        </w:rPr>
      </w:pPr>
    </w:p>
    <w:p w:rsidR="00495EFA" w:rsidRPr="00495EFA" w:rsidRDefault="00495EFA" w:rsidP="00495EFA">
      <w:pPr>
        <w:tabs>
          <w:tab w:val="left" w:pos="-1440"/>
          <w:tab w:val="left" w:pos="-720"/>
        </w:tabs>
        <w:jc w:val="both"/>
        <w:rPr>
          <w:rFonts w:eastAsia="Times New Roman" w:cs="Times New Roman"/>
          <w:b/>
          <w:sz w:val="20"/>
          <w:szCs w:val="20"/>
          <w:lang w:val="fr-CA" w:eastAsia="en-CA"/>
        </w:rPr>
      </w:pPr>
      <w:r w:rsidRPr="00495EFA">
        <w:rPr>
          <w:rFonts w:eastAsia="Times New Roman" w:cs="Times New Roman"/>
          <w:b/>
          <w:sz w:val="20"/>
          <w:szCs w:val="20"/>
          <w:lang w:val="fr-CA" w:eastAsia="en-CA"/>
        </w:rPr>
        <w:t>GRANTED / ACCORDÉE</w:t>
      </w:r>
    </w:p>
    <w:p w:rsidR="00495EFA" w:rsidRPr="00495EFA" w:rsidRDefault="00495EFA" w:rsidP="00495EFA">
      <w:pPr>
        <w:tabs>
          <w:tab w:val="left" w:pos="-1440"/>
          <w:tab w:val="left" w:pos="-720"/>
        </w:tabs>
        <w:jc w:val="both"/>
        <w:rPr>
          <w:rFonts w:eastAsia="Times New Roman" w:cs="Times New Roman"/>
          <w:sz w:val="20"/>
          <w:szCs w:val="20"/>
          <w:lang w:eastAsia="en-CA"/>
        </w:rPr>
      </w:pPr>
    </w:p>
    <w:p w:rsidR="00495EFA" w:rsidRPr="00495EFA" w:rsidRDefault="00690162" w:rsidP="00495EFA">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81" style="width:2in;height:1pt" o:hrpct="0" o:hralign="center" o:hrstd="t" o:hrnoshade="t" o:hr="t" fillcolor="black [3213]" stroked="f"/>
        </w:pict>
      </w:r>
    </w:p>
    <w:p w:rsidR="00495EFA" w:rsidRPr="00495EFA" w:rsidRDefault="00495EFA" w:rsidP="00495EFA">
      <w:pPr>
        <w:tabs>
          <w:tab w:val="left" w:pos="-1440"/>
          <w:tab w:val="left" w:pos="-720"/>
        </w:tabs>
        <w:jc w:val="both"/>
        <w:rPr>
          <w:rFonts w:eastAsia="Times New Roman" w:cs="Times New Roman"/>
          <w:sz w:val="20"/>
          <w:szCs w:val="20"/>
          <w:lang w:eastAsia="en-CA"/>
        </w:rPr>
      </w:pPr>
    </w:p>
    <w:p w:rsidR="00495EFA" w:rsidRPr="00495EFA" w:rsidRDefault="00495EFA" w:rsidP="00495EFA">
      <w:pPr>
        <w:tabs>
          <w:tab w:val="left" w:pos="-1440"/>
          <w:tab w:val="left" w:pos="-720"/>
        </w:tabs>
        <w:jc w:val="both"/>
        <w:rPr>
          <w:rFonts w:eastAsia="Times New Roman" w:cs="Times New Roman"/>
          <w:sz w:val="20"/>
          <w:szCs w:val="20"/>
          <w:lang w:val="fr-CA" w:eastAsia="en-CA"/>
        </w:rPr>
      </w:pPr>
      <w:r w:rsidRPr="00495EFA">
        <w:rPr>
          <w:rFonts w:eastAsia="Times New Roman" w:cs="Times New Roman"/>
          <w:sz w:val="20"/>
          <w:szCs w:val="20"/>
          <w:lang w:val="fr-CA" w:eastAsia="en-CA"/>
        </w:rPr>
        <w:t>13.11.2014</w:t>
      </w:r>
    </w:p>
    <w:p w:rsidR="00495EFA" w:rsidRPr="00495EFA" w:rsidRDefault="00495EFA" w:rsidP="00495EFA">
      <w:pPr>
        <w:tabs>
          <w:tab w:val="left" w:pos="-1440"/>
          <w:tab w:val="left" w:pos="-720"/>
        </w:tabs>
        <w:jc w:val="both"/>
        <w:rPr>
          <w:rFonts w:eastAsia="Times New Roman" w:cs="Times New Roman"/>
          <w:sz w:val="20"/>
          <w:szCs w:val="20"/>
          <w:lang w:val="fr-CA" w:eastAsia="en-CA"/>
        </w:rPr>
      </w:pPr>
    </w:p>
    <w:p w:rsidR="00495EFA" w:rsidRPr="00495EFA" w:rsidRDefault="00495EFA" w:rsidP="00495EFA">
      <w:pPr>
        <w:tabs>
          <w:tab w:val="left" w:pos="-1440"/>
          <w:tab w:val="left" w:pos="-720"/>
        </w:tabs>
        <w:jc w:val="both"/>
        <w:rPr>
          <w:rFonts w:eastAsia="Times New Roman" w:cs="Times New Roman"/>
          <w:sz w:val="20"/>
          <w:szCs w:val="20"/>
          <w:lang w:val="fr-CA" w:eastAsia="en-CA"/>
        </w:rPr>
      </w:pPr>
      <w:r w:rsidRPr="00495EFA">
        <w:rPr>
          <w:rFonts w:eastAsia="Times New Roman" w:cs="Times New Roman"/>
          <w:sz w:val="20"/>
          <w:szCs w:val="20"/>
          <w:lang w:val="fr-CA" w:eastAsia="en-CA"/>
        </w:rPr>
        <w:t>Before / Devant :   THE CHIEF JUSTICE / LA JUGE EN CHEF</w:t>
      </w:r>
    </w:p>
    <w:p w:rsidR="00495EFA" w:rsidRPr="00495EFA" w:rsidRDefault="00495EFA" w:rsidP="00495EFA">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495EFA" w:rsidRPr="00495EFA" w:rsidTr="003B3ED7">
        <w:trPr>
          <w:trHeight w:val="151"/>
        </w:trPr>
        <w:tc>
          <w:tcPr>
            <w:tcW w:w="4338" w:type="dxa"/>
          </w:tcPr>
          <w:p w:rsidR="00495EFA" w:rsidRPr="00495EFA" w:rsidRDefault="00D921D7" w:rsidP="00495EFA">
            <w:pPr>
              <w:tabs>
                <w:tab w:val="left" w:pos="-1440"/>
                <w:tab w:val="left" w:pos="-720"/>
              </w:tabs>
              <w:jc w:val="both"/>
              <w:rPr>
                <w:lang w:val="fr-CA"/>
              </w:rPr>
            </w:pPr>
            <w:r w:rsidRPr="00495EFA">
              <w:rPr>
                <w:lang w:val="en-US"/>
              </w:rPr>
              <w:fldChar w:fldCharType="begin"/>
            </w:r>
            <w:r w:rsidR="00495EFA" w:rsidRPr="00495EFA">
              <w:instrText xml:space="preserve"> SEQ CHAPTER \h \r 1</w:instrText>
            </w:r>
            <w:r w:rsidRPr="00495EFA">
              <w:rPr>
                <w:lang w:val="en-US"/>
              </w:rPr>
              <w:fldChar w:fldCharType="end"/>
            </w:r>
            <w:r w:rsidR="00495EFA" w:rsidRPr="00495EFA">
              <w:rPr>
                <w:b/>
                <w:bCs/>
              </w:rPr>
              <w:t>Ord</w:t>
            </w:r>
            <w:r w:rsidR="00495EFA" w:rsidRPr="00495EFA">
              <w:rPr>
                <w:b/>
                <w:bCs/>
                <w:lang w:val="fr-CA"/>
              </w:rPr>
              <w:t>er</w:t>
            </w:r>
          </w:p>
          <w:p w:rsidR="00495EFA" w:rsidRPr="00495EFA" w:rsidRDefault="00D921D7" w:rsidP="00495EFA">
            <w:pPr>
              <w:tabs>
                <w:tab w:val="left" w:pos="-1440"/>
                <w:tab w:val="left" w:pos="-720"/>
              </w:tabs>
              <w:jc w:val="both"/>
              <w:rPr>
                <w:lang w:val="fr-CA"/>
              </w:rPr>
            </w:pPr>
            <w:r w:rsidRPr="00495EFA">
              <w:rPr>
                <w:lang w:val="en-US"/>
              </w:rPr>
              <w:fldChar w:fldCharType="begin"/>
            </w:r>
            <w:r w:rsidR="00495EFA" w:rsidRPr="00495EFA">
              <w:rPr>
                <w:lang w:val="fr-CA"/>
              </w:rPr>
              <w:instrText xml:space="preserve"> SEQ CHAPTER \h \r 1</w:instrText>
            </w:r>
            <w:r w:rsidRPr="00495EFA">
              <w:rPr>
                <w:lang w:val="en-US"/>
              </w:rPr>
              <w:fldChar w:fldCharType="end"/>
            </w:r>
          </w:p>
        </w:tc>
        <w:tc>
          <w:tcPr>
            <w:tcW w:w="1170" w:type="dxa"/>
          </w:tcPr>
          <w:p w:rsidR="00495EFA" w:rsidRPr="00495EFA" w:rsidRDefault="00495EFA" w:rsidP="00495EFA">
            <w:pPr>
              <w:jc w:val="both"/>
              <w:rPr>
                <w:lang w:val="fr-CA"/>
              </w:rPr>
            </w:pPr>
          </w:p>
          <w:p w:rsidR="00495EFA" w:rsidRPr="00495EFA" w:rsidRDefault="00495EFA" w:rsidP="00495EFA">
            <w:pPr>
              <w:jc w:val="both"/>
              <w:rPr>
                <w:lang w:val="fr-CA"/>
              </w:rPr>
            </w:pPr>
          </w:p>
        </w:tc>
        <w:tc>
          <w:tcPr>
            <w:tcW w:w="4327" w:type="dxa"/>
          </w:tcPr>
          <w:p w:rsidR="00495EFA" w:rsidRPr="00495EFA" w:rsidRDefault="00D921D7" w:rsidP="00495EFA">
            <w:pPr>
              <w:jc w:val="both"/>
              <w:rPr>
                <w:b/>
                <w:lang w:val="fr-CA"/>
              </w:rPr>
            </w:pPr>
            <w:r w:rsidRPr="00495EFA">
              <w:rPr>
                <w:lang w:val="en-US"/>
              </w:rPr>
              <w:fldChar w:fldCharType="begin"/>
            </w:r>
            <w:r w:rsidR="00495EFA" w:rsidRPr="00495EFA">
              <w:rPr>
                <w:lang w:val="fr-CA"/>
              </w:rPr>
              <w:instrText xml:space="preserve"> SEQ CHAPTER \h \r 1</w:instrText>
            </w:r>
            <w:r w:rsidRPr="00495EFA">
              <w:rPr>
                <w:lang w:val="en-US"/>
              </w:rPr>
              <w:fldChar w:fldCharType="end"/>
            </w:r>
            <w:r w:rsidR="00495EFA" w:rsidRPr="00495EFA">
              <w:rPr>
                <w:b/>
                <w:bCs/>
                <w:lang w:val="fr-CA"/>
              </w:rPr>
              <w:t>Ordonnance</w:t>
            </w:r>
          </w:p>
          <w:p w:rsidR="00495EFA" w:rsidRPr="00495EFA" w:rsidRDefault="00D921D7" w:rsidP="00495EFA">
            <w:pPr>
              <w:jc w:val="both"/>
              <w:rPr>
                <w:b/>
                <w:lang w:val="fr-CA"/>
              </w:rPr>
            </w:pPr>
            <w:r w:rsidRPr="00495EFA">
              <w:rPr>
                <w:b/>
                <w:lang w:val="en-US"/>
              </w:rPr>
              <w:fldChar w:fldCharType="begin"/>
            </w:r>
            <w:r w:rsidR="00495EFA" w:rsidRPr="00495EFA">
              <w:rPr>
                <w:b/>
                <w:lang w:val="fr-CA"/>
              </w:rPr>
              <w:instrText xml:space="preserve"> SEQ CHAPTER \h \r 1</w:instrText>
            </w:r>
            <w:r w:rsidRPr="00495EFA">
              <w:rPr>
                <w:b/>
                <w:lang w:val="en-US"/>
              </w:rPr>
              <w:fldChar w:fldCharType="end"/>
            </w:r>
            <w:r w:rsidRPr="00495EFA">
              <w:rPr>
                <w:b/>
                <w:lang w:val="en-US"/>
              </w:rPr>
              <w:fldChar w:fldCharType="begin"/>
            </w:r>
            <w:r w:rsidR="00495EFA" w:rsidRPr="00495EFA">
              <w:rPr>
                <w:b/>
                <w:lang w:val="fr-CA"/>
              </w:rPr>
              <w:instrText xml:space="preserve"> SEQ CHAPTER \h \r 1</w:instrText>
            </w:r>
            <w:r w:rsidRPr="00495EFA">
              <w:rPr>
                <w:b/>
                <w:lang w:val="en-US"/>
              </w:rPr>
              <w:fldChar w:fldCharType="end"/>
            </w:r>
          </w:p>
        </w:tc>
      </w:tr>
      <w:tr w:rsidR="00495EFA" w:rsidRPr="00495EFA" w:rsidTr="003B3ED7">
        <w:trPr>
          <w:trHeight w:val="150"/>
        </w:trPr>
        <w:tc>
          <w:tcPr>
            <w:tcW w:w="4338" w:type="dxa"/>
          </w:tcPr>
          <w:p w:rsidR="00495EFA" w:rsidRPr="00495EFA" w:rsidRDefault="00495EFA" w:rsidP="00495EFA">
            <w:pPr>
              <w:tabs>
                <w:tab w:val="left" w:pos="-1440"/>
                <w:tab w:val="left" w:pos="-720"/>
              </w:tabs>
              <w:jc w:val="both"/>
              <w:rPr>
                <w:lang w:val="en-US"/>
              </w:rPr>
            </w:pPr>
            <w:r w:rsidRPr="00495EFA">
              <w:rPr>
                <w:lang w:val="en-US"/>
              </w:rPr>
              <w:t>M.M. a.k.a. M.M.M.</w:t>
            </w:r>
          </w:p>
          <w:p w:rsidR="00495EFA" w:rsidRPr="00495EFA" w:rsidRDefault="00495EFA" w:rsidP="00495EFA">
            <w:pPr>
              <w:tabs>
                <w:tab w:val="left" w:pos="-1440"/>
                <w:tab w:val="left" w:pos="-720"/>
              </w:tabs>
              <w:jc w:val="both"/>
              <w:rPr>
                <w:lang w:val="en-US"/>
              </w:rPr>
            </w:pPr>
          </w:p>
          <w:p w:rsidR="00495EFA" w:rsidRPr="00495EFA" w:rsidRDefault="00495EFA" w:rsidP="00495EFA">
            <w:pPr>
              <w:tabs>
                <w:tab w:val="left" w:pos="-1440"/>
                <w:tab w:val="left" w:pos="-720"/>
              </w:tabs>
              <w:jc w:val="both"/>
            </w:pPr>
            <w:r w:rsidRPr="00495EFA">
              <w:rPr>
                <w:lang w:val="en-US"/>
              </w:rPr>
              <w:tab/>
            </w:r>
            <w:r w:rsidRPr="00495EFA">
              <w:t>v. (35838)</w:t>
            </w:r>
          </w:p>
          <w:p w:rsidR="00495EFA" w:rsidRPr="00495EFA" w:rsidRDefault="00495EFA" w:rsidP="00495EFA">
            <w:pPr>
              <w:tabs>
                <w:tab w:val="left" w:pos="-1440"/>
                <w:tab w:val="left" w:pos="-720"/>
              </w:tabs>
              <w:jc w:val="both"/>
            </w:pPr>
          </w:p>
          <w:p w:rsidR="00495EFA" w:rsidRPr="00495EFA" w:rsidRDefault="00495EFA" w:rsidP="00495EFA">
            <w:pPr>
              <w:tabs>
                <w:tab w:val="left" w:pos="-1440"/>
                <w:tab w:val="left" w:pos="-720"/>
              </w:tabs>
              <w:jc w:val="both"/>
            </w:pPr>
            <w:r w:rsidRPr="00495EFA">
              <w:t>Minister of Justice Canada on behalf of the United States of America (Crim.) (Que.)</w:t>
            </w:r>
          </w:p>
        </w:tc>
        <w:tc>
          <w:tcPr>
            <w:tcW w:w="1170" w:type="dxa"/>
          </w:tcPr>
          <w:p w:rsidR="00495EFA" w:rsidRPr="00495EFA" w:rsidRDefault="00495EFA" w:rsidP="00495EFA">
            <w:pPr>
              <w:jc w:val="both"/>
            </w:pPr>
          </w:p>
        </w:tc>
        <w:tc>
          <w:tcPr>
            <w:tcW w:w="4327" w:type="dxa"/>
          </w:tcPr>
          <w:p w:rsidR="00495EFA" w:rsidRPr="00495EFA" w:rsidRDefault="00495EFA" w:rsidP="00495EFA">
            <w:pPr>
              <w:jc w:val="both"/>
            </w:pPr>
          </w:p>
        </w:tc>
      </w:tr>
    </w:tbl>
    <w:p w:rsidR="00495EFA" w:rsidRPr="00495EFA" w:rsidRDefault="00495EFA" w:rsidP="00495EFA">
      <w:pPr>
        <w:tabs>
          <w:tab w:val="left" w:pos="-1440"/>
          <w:tab w:val="left" w:pos="-720"/>
        </w:tabs>
        <w:jc w:val="both"/>
        <w:rPr>
          <w:rFonts w:eastAsia="Times New Roman" w:cs="Times New Roman"/>
          <w:sz w:val="20"/>
          <w:szCs w:val="20"/>
          <w:lang w:eastAsia="en-CA"/>
        </w:rPr>
      </w:pPr>
    </w:p>
    <w:p w:rsidR="00495EFA" w:rsidRPr="00495EFA" w:rsidRDefault="00495EFA" w:rsidP="00495EFA">
      <w:pPr>
        <w:jc w:val="both"/>
        <w:rPr>
          <w:rFonts w:eastAsia="Times New Roman" w:cs="Times New Roman"/>
          <w:sz w:val="20"/>
          <w:szCs w:val="20"/>
          <w:lang w:val="en-US" w:eastAsia="en-CA"/>
        </w:rPr>
      </w:pPr>
      <w:r w:rsidRPr="00495EFA">
        <w:rPr>
          <w:rFonts w:eastAsia="Times New Roman" w:cs="Times New Roman"/>
          <w:b/>
          <w:sz w:val="20"/>
          <w:szCs w:val="20"/>
          <w:lang w:val="en-US" w:eastAsia="en-CA"/>
        </w:rPr>
        <w:t>IT IS HEREBY ORDERED THAT:</w:t>
      </w:r>
    </w:p>
    <w:p w:rsidR="00495EFA" w:rsidRPr="00495EFA" w:rsidRDefault="00495EFA" w:rsidP="00495EFA">
      <w:pPr>
        <w:jc w:val="both"/>
        <w:rPr>
          <w:rFonts w:eastAsia="Times New Roman" w:cs="Times New Roman"/>
          <w:sz w:val="20"/>
          <w:szCs w:val="20"/>
          <w:lang w:val="en-US" w:eastAsia="en-CA"/>
        </w:rPr>
      </w:pPr>
    </w:p>
    <w:p w:rsidR="00495EFA" w:rsidRPr="00495EFA" w:rsidRDefault="00495EFA" w:rsidP="00495EFA">
      <w:pPr>
        <w:widowControl w:val="0"/>
        <w:numPr>
          <w:ilvl w:val="0"/>
          <w:numId w:val="12"/>
        </w:numPr>
        <w:autoSpaceDE w:val="0"/>
        <w:autoSpaceDN w:val="0"/>
        <w:adjustRightInd w:val="0"/>
        <w:contextualSpacing/>
        <w:jc w:val="both"/>
        <w:rPr>
          <w:rFonts w:cs="Times New Roman"/>
          <w:sz w:val="20"/>
          <w:szCs w:val="20"/>
        </w:rPr>
      </w:pPr>
      <w:r w:rsidRPr="00495EFA">
        <w:rPr>
          <w:rFonts w:cs="Times New Roman"/>
          <w:sz w:val="20"/>
          <w:szCs w:val="20"/>
        </w:rPr>
        <w:t>The appellant’s record, factum and book of authorities shall be served and filed on or before December 31, 2014.</w:t>
      </w:r>
    </w:p>
    <w:p w:rsidR="00495EFA" w:rsidRPr="00495EFA" w:rsidRDefault="00495EFA" w:rsidP="00495EFA">
      <w:pPr>
        <w:ind w:left="1440" w:hanging="1440"/>
        <w:jc w:val="both"/>
        <w:rPr>
          <w:rFonts w:eastAsia="Times New Roman" w:cs="Times New Roman"/>
          <w:sz w:val="20"/>
          <w:szCs w:val="20"/>
          <w:lang w:val="en-US" w:eastAsia="en-CA"/>
        </w:rPr>
      </w:pPr>
    </w:p>
    <w:p w:rsidR="00495EFA" w:rsidRPr="00495EFA" w:rsidRDefault="00495EFA" w:rsidP="00495EFA">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495EFA">
        <w:rPr>
          <w:rFonts w:cs="Times New Roman"/>
          <w:sz w:val="20"/>
          <w:szCs w:val="20"/>
        </w:rPr>
        <w:t xml:space="preserve">Any person wishing to intervene in this appeal under Rule 55 of the </w:t>
      </w:r>
      <w:r w:rsidRPr="00495EFA">
        <w:rPr>
          <w:rFonts w:cs="Times New Roman"/>
          <w:i/>
          <w:sz w:val="20"/>
          <w:szCs w:val="20"/>
        </w:rPr>
        <w:t>Rules of the Supreme Court of Canada</w:t>
      </w:r>
      <w:r w:rsidRPr="00495EFA">
        <w:rPr>
          <w:rFonts w:cs="Times New Roman"/>
          <w:sz w:val="20"/>
          <w:szCs w:val="20"/>
        </w:rPr>
        <w:t xml:space="preserve"> shall serve and file a motion for leave to intervene on or before January 21, 2015. </w:t>
      </w:r>
    </w:p>
    <w:p w:rsidR="00495EFA" w:rsidRPr="00495EFA" w:rsidRDefault="00495EFA" w:rsidP="00495EFA">
      <w:pPr>
        <w:ind w:left="720"/>
        <w:contextualSpacing/>
        <w:jc w:val="both"/>
        <w:rPr>
          <w:rFonts w:cs="Times New Roman"/>
          <w:sz w:val="20"/>
          <w:szCs w:val="20"/>
        </w:rPr>
      </w:pPr>
    </w:p>
    <w:p w:rsidR="00495EFA" w:rsidRPr="00495EFA" w:rsidRDefault="00495EFA" w:rsidP="00495EFA">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495EFA">
        <w:rPr>
          <w:rFonts w:cs="Times New Roman"/>
          <w:sz w:val="20"/>
          <w:szCs w:val="20"/>
        </w:rPr>
        <w:t xml:space="preserve">The appellant and respondent shall serve and file their responses, if any, to the motions for leave to intervene on or before January 28, 2015. </w:t>
      </w:r>
    </w:p>
    <w:p w:rsidR="00495EFA" w:rsidRPr="00495EFA" w:rsidRDefault="00495EFA" w:rsidP="00495EFA">
      <w:pPr>
        <w:ind w:left="720"/>
        <w:contextualSpacing/>
        <w:jc w:val="both"/>
        <w:rPr>
          <w:rFonts w:cs="Times New Roman"/>
          <w:sz w:val="20"/>
          <w:szCs w:val="20"/>
        </w:rPr>
      </w:pPr>
    </w:p>
    <w:p w:rsidR="00495EFA" w:rsidRPr="00495EFA" w:rsidRDefault="00495EFA" w:rsidP="00495EFA">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495EFA">
        <w:rPr>
          <w:rFonts w:cs="Times New Roman"/>
          <w:sz w:val="20"/>
          <w:szCs w:val="20"/>
        </w:rPr>
        <w:t>Replies to any responses to the motions for leave to intervene shall be served and filed on or before January 30, 2015.</w:t>
      </w:r>
    </w:p>
    <w:p w:rsidR="00495EFA" w:rsidRPr="00495EFA" w:rsidRDefault="00495EFA" w:rsidP="00495EFA">
      <w:pPr>
        <w:ind w:left="1065"/>
        <w:contextualSpacing/>
        <w:jc w:val="both"/>
        <w:rPr>
          <w:rFonts w:cs="Times New Roman"/>
          <w:sz w:val="20"/>
          <w:szCs w:val="20"/>
        </w:rPr>
      </w:pPr>
    </w:p>
    <w:p w:rsidR="00495EFA" w:rsidRPr="00495EFA" w:rsidRDefault="00495EFA" w:rsidP="00495EFA">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495EFA">
        <w:rPr>
          <w:rFonts w:cs="Times New Roman"/>
          <w:sz w:val="20"/>
          <w:szCs w:val="20"/>
        </w:rPr>
        <w:t>The respondent’s record, factum and book of authorities shall be served and filed on or before February 18, 2015.</w:t>
      </w:r>
    </w:p>
    <w:p w:rsidR="00495EFA" w:rsidRPr="00495EFA" w:rsidRDefault="00495EFA" w:rsidP="00495EFA">
      <w:pPr>
        <w:ind w:left="720"/>
        <w:contextualSpacing/>
        <w:jc w:val="both"/>
        <w:rPr>
          <w:rFonts w:cs="Times New Roman"/>
          <w:sz w:val="20"/>
          <w:szCs w:val="20"/>
        </w:rPr>
      </w:pPr>
    </w:p>
    <w:p w:rsidR="00495EFA" w:rsidRPr="00495EFA" w:rsidRDefault="00495EFA" w:rsidP="00495EFA">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bCs/>
          <w:sz w:val="20"/>
          <w:szCs w:val="20"/>
        </w:rPr>
      </w:pPr>
      <w:r w:rsidRPr="00495EFA">
        <w:rPr>
          <w:rFonts w:cs="Times New Roman"/>
          <w:bCs/>
          <w:sz w:val="20"/>
          <w:szCs w:val="20"/>
        </w:rPr>
        <w:t xml:space="preserve">Any interveners granted leave to intervene under Rule 59 of the </w:t>
      </w:r>
      <w:r w:rsidRPr="00495EFA">
        <w:rPr>
          <w:rFonts w:cs="Times New Roman"/>
          <w:bCs/>
          <w:i/>
          <w:sz w:val="20"/>
          <w:szCs w:val="20"/>
        </w:rPr>
        <w:t>Rules of the Supreme Court of Canada</w:t>
      </w:r>
      <w:r w:rsidRPr="00495EFA">
        <w:rPr>
          <w:rFonts w:cs="Times New Roman"/>
          <w:bCs/>
          <w:sz w:val="20"/>
          <w:szCs w:val="20"/>
        </w:rPr>
        <w:t xml:space="preserve"> shall serve and file their factum and book of authorities on or before March 3, 2015.</w:t>
      </w:r>
    </w:p>
    <w:p w:rsidR="00495EFA" w:rsidRPr="00495EFA" w:rsidRDefault="00495EFA" w:rsidP="00495EFA">
      <w:pPr>
        <w:jc w:val="both"/>
        <w:rPr>
          <w:rFonts w:eastAsia="Times New Roman" w:cs="Times New Roman"/>
          <w:b/>
          <w:bCs/>
          <w:sz w:val="20"/>
          <w:szCs w:val="20"/>
          <w:lang w:eastAsia="en-CA"/>
        </w:rPr>
      </w:pPr>
    </w:p>
    <w:p w:rsidR="00495EFA" w:rsidRPr="00495EFA" w:rsidRDefault="00495EFA" w:rsidP="00495EFA">
      <w:pPr>
        <w:rPr>
          <w:rFonts w:eastAsia="Times New Roman" w:cs="Times New Roman"/>
          <w:b/>
          <w:bCs/>
          <w:sz w:val="20"/>
          <w:szCs w:val="20"/>
          <w:lang w:eastAsia="en-CA"/>
        </w:rPr>
      </w:pPr>
      <w:r w:rsidRPr="00495EFA">
        <w:rPr>
          <w:rFonts w:eastAsia="Times New Roman" w:cs="Times New Roman"/>
          <w:b/>
          <w:bCs/>
          <w:sz w:val="20"/>
          <w:szCs w:val="20"/>
          <w:lang w:eastAsia="en-CA"/>
        </w:rPr>
        <w:br w:type="page"/>
      </w:r>
    </w:p>
    <w:p w:rsidR="00495EFA" w:rsidRPr="00495EFA" w:rsidRDefault="00495EFA" w:rsidP="00495EFA">
      <w:pPr>
        <w:jc w:val="both"/>
        <w:rPr>
          <w:rFonts w:eastAsia="Times New Roman" w:cs="Times New Roman"/>
          <w:sz w:val="20"/>
          <w:szCs w:val="20"/>
          <w:lang w:val="fr-CA" w:eastAsia="en-CA"/>
        </w:rPr>
      </w:pPr>
      <w:r w:rsidRPr="00495EFA">
        <w:rPr>
          <w:rFonts w:eastAsia="Times New Roman" w:cs="Times New Roman"/>
          <w:b/>
          <w:sz w:val="20"/>
          <w:szCs w:val="20"/>
          <w:lang w:val="fr-CA" w:eastAsia="en-CA"/>
        </w:rPr>
        <w:lastRenderedPageBreak/>
        <w:t>IL EST ORDONNÉ CE QUI SUIT :</w:t>
      </w:r>
    </w:p>
    <w:p w:rsidR="00495EFA" w:rsidRPr="00495EFA" w:rsidRDefault="00495EFA" w:rsidP="00495EFA">
      <w:pPr>
        <w:jc w:val="both"/>
        <w:rPr>
          <w:rFonts w:eastAsia="Times New Roman" w:cs="Times New Roman"/>
          <w:sz w:val="20"/>
          <w:szCs w:val="20"/>
          <w:lang w:val="fr-CA" w:eastAsia="en-CA"/>
        </w:rPr>
      </w:pPr>
    </w:p>
    <w:p w:rsidR="00495EFA" w:rsidRPr="00495EFA" w:rsidRDefault="00495EFA" w:rsidP="00495EFA">
      <w:pPr>
        <w:widowControl w:val="0"/>
        <w:numPr>
          <w:ilvl w:val="0"/>
          <w:numId w:val="14"/>
        </w:numPr>
        <w:autoSpaceDE w:val="0"/>
        <w:autoSpaceDN w:val="0"/>
        <w:adjustRightInd w:val="0"/>
        <w:contextualSpacing/>
        <w:jc w:val="both"/>
        <w:rPr>
          <w:rFonts w:cs="Times New Roman"/>
          <w:sz w:val="20"/>
          <w:szCs w:val="20"/>
          <w:lang w:val="fr-CA"/>
        </w:rPr>
      </w:pPr>
      <w:r w:rsidRPr="00495EFA">
        <w:rPr>
          <w:rFonts w:cs="Times New Roman"/>
          <w:sz w:val="20"/>
          <w:szCs w:val="20"/>
          <w:lang w:val="fr-CA"/>
        </w:rPr>
        <w:t>L’appelant signifiera et déposera son dossier, mémoire et recueil de sources au plus tard le 31 décembre 2014.</w:t>
      </w:r>
    </w:p>
    <w:p w:rsidR="00495EFA" w:rsidRPr="00495EFA" w:rsidRDefault="00495EFA" w:rsidP="00495EFA">
      <w:pPr>
        <w:ind w:left="1440" w:hanging="1440"/>
        <w:jc w:val="both"/>
        <w:rPr>
          <w:rFonts w:eastAsia="Times New Roman" w:cs="Times New Roman"/>
          <w:sz w:val="20"/>
          <w:szCs w:val="20"/>
          <w:lang w:val="fr-CA" w:eastAsia="en-CA"/>
        </w:rPr>
      </w:pPr>
    </w:p>
    <w:p w:rsidR="00495EFA" w:rsidRPr="00495EFA" w:rsidRDefault="00495EFA" w:rsidP="00495EFA">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495EFA">
        <w:rPr>
          <w:rFonts w:cs="Times New Roman"/>
          <w:sz w:val="20"/>
          <w:szCs w:val="20"/>
          <w:lang w:val="fr-CA"/>
        </w:rPr>
        <w:t xml:space="preserve">Toute personne souhaitant intervenir dans l’appel en vertu de l’article 55 des </w:t>
      </w:r>
      <w:r w:rsidRPr="00495EFA">
        <w:rPr>
          <w:rFonts w:cs="Times New Roman"/>
          <w:i/>
          <w:sz w:val="20"/>
          <w:szCs w:val="20"/>
          <w:lang w:val="fr-CA"/>
        </w:rPr>
        <w:t>Règles de la Cour suprême du Canada</w:t>
      </w:r>
      <w:r w:rsidRPr="00495EFA">
        <w:rPr>
          <w:rFonts w:cs="Times New Roman"/>
          <w:sz w:val="20"/>
          <w:szCs w:val="20"/>
          <w:lang w:val="fr-CA"/>
        </w:rPr>
        <w:t xml:space="preserve"> signifiera et déposera une requête en intervention au plus tard le 21 janvier 2015. </w:t>
      </w:r>
    </w:p>
    <w:p w:rsidR="00495EFA" w:rsidRPr="00495EFA" w:rsidRDefault="00495EFA" w:rsidP="00495EFA">
      <w:pPr>
        <w:ind w:left="720"/>
        <w:contextualSpacing/>
        <w:jc w:val="both"/>
        <w:rPr>
          <w:rFonts w:cs="Times New Roman"/>
          <w:sz w:val="20"/>
          <w:szCs w:val="20"/>
          <w:lang w:val="fr-CA"/>
        </w:rPr>
      </w:pPr>
    </w:p>
    <w:p w:rsidR="00495EFA" w:rsidRPr="00495EFA" w:rsidRDefault="00495EFA" w:rsidP="00495EFA">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495EFA">
        <w:rPr>
          <w:rFonts w:cs="Times New Roman"/>
          <w:sz w:val="20"/>
          <w:szCs w:val="20"/>
          <w:lang w:val="fr-CA"/>
        </w:rPr>
        <w:t xml:space="preserve">L’appelant et l’intimé signifieront et déposeront leurs réponses, s’il en est, aux requêtes en intervention au plus tard le 28 janvier 2015. </w:t>
      </w:r>
    </w:p>
    <w:p w:rsidR="00495EFA" w:rsidRPr="00495EFA" w:rsidRDefault="00495EFA" w:rsidP="00495EFA">
      <w:pPr>
        <w:ind w:left="720"/>
        <w:contextualSpacing/>
        <w:jc w:val="both"/>
        <w:rPr>
          <w:rFonts w:cs="Times New Roman"/>
          <w:sz w:val="20"/>
          <w:szCs w:val="20"/>
          <w:lang w:val="fr-CA"/>
        </w:rPr>
      </w:pPr>
    </w:p>
    <w:p w:rsidR="00495EFA" w:rsidRPr="00495EFA" w:rsidRDefault="00495EFA" w:rsidP="00495EFA">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495EFA">
        <w:rPr>
          <w:rFonts w:cs="Times New Roman"/>
          <w:sz w:val="20"/>
          <w:szCs w:val="20"/>
          <w:lang w:val="fr-CA"/>
        </w:rPr>
        <w:t>Les requérants signifieront et déposeront leurs répliques aux réponses éventuelles aux requêtes en intervention au plus tard le 30 janvier 2015.</w:t>
      </w:r>
    </w:p>
    <w:p w:rsidR="00495EFA" w:rsidRPr="00495EFA" w:rsidRDefault="00495EFA" w:rsidP="00495EFA">
      <w:pPr>
        <w:ind w:left="1065"/>
        <w:contextualSpacing/>
        <w:jc w:val="both"/>
        <w:rPr>
          <w:rFonts w:cs="Times New Roman"/>
          <w:sz w:val="20"/>
          <w:szCs w:val="20"/>
          <w:lang w:val="fr-CA"/>
        </w:rPr>
      </w:pPr>
    </w:p>
    <w:p w:rsidR="00495EFA" w:rsidRPr="00495EFA" w:rsidRDefault="00495EFA" w:rsidP="00495EFA">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495EFA">
        <w:rPr>
          <w:rFonts w:cs="Times New Roman"/>
          <w:sz w:val="20"/>
          <w:szCs w:val="20"/>
          <w:lang w:val="fr-CA"/>
        </w:rPr>
        <w:t>L’intimé signifiera et déposera son dossier, son mémoire et son recueil de sources au plus tard le 18 février 2015.</w:t>
      </w:r>
    </w:p>
    <w:p w:rsidR="00495EFA" w:rsidRPr="00495EFA" w:rsidRDefault="00495EFA" w:rsidP="00495EFA">
      <w:pPr>
        <w:ind w:left="720"/>
        <w:contextualSpacing/>
        <w:jc w:val="both"/>
        <w:rPr>
          <w:rFonts w:cs="Times New Roman"/>
          <w:sz w:val="20"/>
          <w:szCs w:val="20"/>
          <w:lang w:val="fr-CA"/>
        </w:rPr>
      </w:pPr>
    </w:p>
    <w:p w:rsidR="00495EFA" w:rsidRPr="00495EFA" w:rsidRDefault="00495EFA" w:rsidP="00495EFA">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bCs/>
          <w:sz w:val="20"/>
          <w:szCs w:val="20"/>
          <w:lang w:val="fr-CA"/>
        </w:rPr>
      </w:pPr>
      <w:r w:rsidRPr="00495EFA">
        <w:rPr>
          <w:rFonts w:cs="Times New Roman"/>
          <w:bCs/>
          <w:sz w:val="20"/>
          <w:szCs w:val="20"/>
          <w:lang w:val="fr-CA"/>
        </w:rPr>
        <w:t xml:space="preserve">Les intervenants autorisés à intervenir dans l’appel en application de l’article 59 des </w:t>
      </w:r>
      <w:r w:rsidRPr="00495EFA">
        <w:rPr>
          <w:rFonts w:cs="Times New Roman"/>
          <w:bCs/>
          <w:i/>
          <w:sz w:val="20"/>
          <w:szCs w:val="20"/>
          <w:lang w:val="fr-CA"/>
        </w:rPr>
        <w:t>Règles de la Cour suprême du Canada</w:t>
      </w:r>
      <w:r w:rsidRPr="00495EFA">
        <w:rPr>
          <w:rFonts w:cs="Times New Roman"/>
          <w:bCs/>
          <w:sz w:val="20"/>
          <w:szCs w:val="20"/>
          <w:lang w:val="fr-CA"/>
        </w:rPr>
        <w:t xml:space="preserve"> signifieront et déposeront leur mémoire et leur recueil de sources au plus tard le 3 mars 2015.</w:t>
      </w:r>
    </w:p>
    <w:p w:rsidR="00495EFA" w:rsidRPr="00495EFA" w:rsidRDefault="00495EFA" w:rsidP="00495EFA">
      <w:pPr>
        <w:tabs>
          <w:tab w:val="left" w:pos="-1440"/>
          <w:tab w:val="left" w:pos="-720"/>
        </w:tabs>
        <w:jc w:val="both"/>
        <w:rPr>
          <w:rFonts w:eastAsia="Times New Roman" w:cs="Times New Roman"/>
          <w:sz w:val="20"/>
          <w:szCs w:val="20"/>
          <w:lang w:val="fr-CA" w:eastAsia="en-CA"/>
        </w:rPr>
      </w:pPr>
    </w:p>
    <w:p w:rsidR="00495EFA" w:rsidRPr="00495EFA" w:rsidRDefault="00690162" w:rsidP="00495EFA">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82" style="width:2in;height:1pt" o:hrpct="0" o:hralign="center" o:hrstd="t" o:hrnoshade="t" o:hr="t" fillcolor="black [3213]" stroked="f"/>
        </w:pict>
      </w:r>
    </w:p>
    <w:p w:rsidR="00495EFA" w:rsidRPr="00495EFA" w:rsidRDefault="00495EFA" w:rsidP="00495EFA">
      <w:pPr>
        <w:tabs>
          <w:tab w:val="left" w:pos="-1440"/>
          <w:tab w:val="left" w:pos="-720"/>
        </w:tabs>
        <w:jc w:val="both"/>
        <w:rPr>
          <w:rFonts w:eastAsia="Times New Roman" w:cs="Times New Roman"/>
          <w:sz w:val="20"/>
          <w:szCs w:val="20"/>
          <w:lang w:val="fr-CA" w:eastAsia="en-CA"/>
        </w:rPr>
      </w:pPr>
    </w:p>
    <w:p w:rsidR="00495EFA" w:rsidRPr="00495EFA" w:rsidRDefault="00495EFA" w:rsidP="00495EFA">
      <w:pPr>
        <w:tabs>
          <w:tab w:val="left" w:pos="-1440"/>
          <w:tab w:val="left" w:pos="-720"/>
        </w:tabs>
        <w:jc w:val="both"/>
        <w:rPr>
          <w:rFonts w:eastAsia="Times New Roman" w:cs="Times New Roman"/>
          <w:sz w:val="20"/>
          <w:szCs w:val="20"/>
          <w:lang w:val="fr-CA" w:eastAsia="en-CA"/>
        </w:rPr>
      </w:pPr>
      <w:r w:rsidRPr="00495EFA">
        <w:rPr>
          <w:rFonts w:eastAsia="Times New Roman" w:cs="Times New Roman"/>
          <w:sz w:val="20"/>
          <w:szCs w:val="20"/>
          <w:lang w:val="fr-CA" w:eastAsia="en-CA"/>
        </w:rPr>
        <w:t>13.11.2014</w:t>
      </w:r>
    </w:p>
    <w:p w:rsidR="00495EFA" w:rsidRPr="00495EFA" w:rsidRDefault="00495EFA" w:rsidP="00495EFA">
      <w:pPr>
        <w:tabs>
          <w:tab w:val="left" w:pos="-1440"/>
          <w:tab w:val="left" w:pos="-720"/>
        </w:tabs>
        <w:jc w:val="both"/>
        <w:rPr>
          <w:rFonts w:eastAsia="Times New Roman" w:cs="Times New Roman"/>
          <w:sz w:val="20"/>
          <w:szCs w:val="20"/>
          <w:lang w:val="fr-CA" w:eastAsia="en-CA"/>
        </w:rPr>
      </w:pPr>
    </w:p>
    <w:p w:rsidR="00495EFA" w:rsidRPr="00495EFA" w:rsidRDefault="00495EFA" w:rsidP="00495EFA">
      <w:pPr>
        <w:tabs>
          <w:tab w:val="left" w:pos="-1440"/>
          <w:tab w:val="left" w:pos="-720"/>
        </w:tabs>
        <w:jc w:val="both"/>
        <w:rPr>
          <w:rFonts w:eastAsia="Times New Roman" w:cs="Times New Roman"/>
          <w:sz w:val="20"/>
          <w:szCs w:val="20"/>
          <w:lang w:val="fr-CA" w:eastAsia="en-CA"/>
        </w:rPr>
      </w:pPr>
      <w:r w:rsidRPr="00495EFA">
        <w:rPr>
          <w:rFonts w:eastAsia="Times New Roman" w:cs="Times New Roman"/>
          <w:sz w:val="20"/>
          <w:szCs w:val="20"/>
          <w:lang w:val="fr-CA" w:eastAsia="en-CA"/>
        </w:rPr>
        <w:t>Before / Devant :   LEBEL J. / LE JUGE LEBEL</w:t>
      </w:r>
    </w:p>
    <w:p w:rsidR="00495EFA" w:rsidRPr="00495EFA" w:rsidRDefault="00495EFA" w:rsidP="00495EFA">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495EFA" w:rsidRPr="00690162" w:rsidTr="003B3ED7">
        <w:tc>
          <w:tcPr>
            <w:tcW w:w="4338" w:type="dxa"/>
          </w:tcPr>
          <w:p w:rsidR="00495EFA" w:rsidRPr="00495EFA" w:rsidRDefault="00D921D7" w:rsidP="00495EFA">
            <w:pPr>
              <w:tabs>
                <w:tab w:val="left" w:pos="-1440"/>
                <w:tab w:val="left" w:pos="-720"/>
              </w:tabs>
              <w:jc w:val="both"/>
            </w:pPr>
            <w:r w:rsidRPr="00495EFA">
              <w:rPr>
                <w:szCs w:val="24"/>
                <w:lang w:val="en-US"/>
              </w:rPr>
              <w:fldChar w:fldCharType="begin"/>
            </w:r>
            <w:r w:rsidR="00495EFA" w:rsidRPr="00495EFA">
              <w:rPr>
                <w:szCs w:val="24"/>
                <w:lang w:val="en-US"/>
              </w:rPr>
              <w:instrText xml:space="preserve"> SEQ CHAPTER \h \r 1</w:instrText>
            </w:r>
            <w:r w:rsidRPr="00495EFA">
              <w:rPr>
                <w:szCs w:val="24"/>
                <w:lang w:val="en-US"/>
              </w:rPr>
              <w:fldChar w:fldCharType="end"/>
            </w:r>
            <w:r w:rsidR="00495EFA" w:rsidRPr="00495EFA">
              <w:rPr>
                <w:b/>
                <w:bCs/>
                <w:lang w:val="en-GB"/>
              </w:rPr>
              <w:t>Motion to file a reply factum on appeal</w:t>
            </w:r>
            <w:r w:rsidR="00495EFA" w:rsidRPr="00495EFA">
              <w:rPr>
                <w:b/>
                <w:bCs/>
                <w:lang w:val="en-US"/>
              </w:rPr>
              <w:t xml:space="preserve"> </w:t>
            </w:r>
          </w:p>
        </w:tc>
        <w:tc>
          <w:tcPr>
            <w:tcW w:w="1170" w:type="dxa"/>
          </w:tcPr>
          <w:p w:rsidR="00495EFA" w:rsidRPr="00495EFA" w:rsidRDefault="00495EFA" w:rsidP="00495EFA">
            <w:pPr>
              <w:tabs>
                <w:tab w:val="left" w:pos="-1440"/>
                <w:tab w:val="left" w:pos="-720"/>
              </w:tabs>
              <w:jc w:val="both"/>
            </w:pPr>
          </w:p>
          <w:p w:rsidR="00495EFA" w:rsidRPr="00495EFA" w:rsidRDefault="00495EFA" w:rsidP="00495EFA">
            <w:pPr>
              <w:tabs>
                <w:tab w:val="left" w:pos="-1440"/>
                <w:tab w:val="left" w:pos="-720"/>
              </w:tabs>
              <w:jc w:val="both"/>
            </w:pPr>
          </w:p>
          <w:p w:rsidR="00495EFA" w:rsidRPr="00495EFA" w:rsidRDefault="00495EFA" w:rsidP="00495EFA">
            <w:pPr>
              <w:tabs>
                <w:tab w:val="left" w:pos="-1440"/>
                <w:tab w:val="left" w:pos="-720"/>
              </w:tabs>
              <w:jc w:val="both"/>
            </w:pPr>
          </w:p>
        </w:tc>
        <w:tc>
          <w:tcPr>
            <w:tcW w:w="4327" w:type="dxa"/>
          </w:tcPr>
          <w:p w:rsidR="00495EFA" w:rsidRPr="00495EFA" w:rsidRDefault="00495EFA" w:rsidP="00495EFA">
            <w:pPr>
              <w:tabs>
                <w:tab w:val="left" w:pos="-1440"/>
                <w:tab w:val="left" w:pos="-720"/>
              </w:tabs>
              <w:jc w:val="both"/>
              <w:rPr>
                <w:lang w:val="fr-CA"/>
              </w:rPr>
            </w:pPr>
            <w:r w:rsidRPr="00495EFA">
              <w:rPr>
                <w:b/>
                <w:bCs/>
                <w:lang w:val="fr-CA"/>
              </w:rPr>
              <w:t xml:space="preserve">Requête en vue de déposer un mémoire en réplique concernant l’appel </w:t>
            </w:r>
          </w:p>
        </w:tc>
      </w:tr>
      <w:tr w:rsidR="00495EFA" w:rsidRPr="00495EFA" w:rsidTr="003B3ED7">
        <w:tc>
          <w:tcPr>
            <w:tcW w:w="4338" w:type="dxa"/>
          </w:tcPr>
          <w:p w:rsidR="00495EFA" w:rsidRPr="00495EFA" w:rsidRDefault="00495EFA" w:rsidP="00495EFA">
            <w:pPr>
              <w:tabs>
                <w:tab w:val="left" w:pos="-1440"/>
                <w:tab w:val="left" w:pos="-720"/>
              </w:tabs>
              <w:jc w:val="both"/>
            </w:pPr>
            <w:r w:rsidRPr="00495EFA">
              <w:t>Ontario Energy Board</w:t>
            </w:r>
          </w:p>
          <w:p w:rsidR="00495EFA" w:rsidRPr="00495EFA" w:rsidRDefault="00495EFA" w:rsidP="00495EFA">
            <w:pPr>
              <w:tabs>
                <w:tab w:val="left" w:pos="-1440"/>
                <w:tab w:val="left" w:pos="-720"/>
              </w:tabs>
              <w:jc w:val="both"/>
            </w:pPr>
          </w:p>
          <w:p w:rsidR="00495EFA" w:rsidRPr="00495EFA" w:rsidRDefault="00495EFA" w:rsidP="00495EFA">
            <w:pPr>
              <w:tabs>
                <w:tab w:val="left" w:pos="-1440"/>
                <w:tab w:val="left" w:pos="-720"/>
              </w:tabs>
              <w:jc w:val="both"/>
            </w:pPr>
            <w:r w:rsidRPr="00495EFA">
              <w:tab/>
              <w:t>v. (35506)</w:t>
            </w:r>
          </w:p>
          <w:p w:rsidR="00495EFA" w:rsidRPr="00495EFA" w:rsidRDefault="00495EFA" w:rsidP="00495EFA">
            <w:pPr>
              <w:tabs>
                <w:tab w:val="left" w:pos="-1440"/>
                <w:tab w:val="left" w:pos="-720"/>
              </w:tabs>
              <w:jc w:val="both"/>
            </w:pPr>
          </w:p>
          <w:p w:rsidR="00495EFA" w:rsidRPr="00495EFA" w:rsidRDefault="00495EFA" w:rsidP="00495EFA">
            <w:pPr>
              <w:tabs>
                <w:tab w:val="left" w:pos="-1440"/>
                <w:tab w:val="left" w:pos="-720"/>
              </w:tabs>
              <w:jc w:val="both"/>
            </w:pPr>
            <w:r w:rsidRPr="00495EFA">
              <w:t>Ontario Power Generation Inc. et al. (Ont.)</w:t>
            </w:r>
          </w:p>
        </w:tc>
        <w:tc>
          <w:tcPr>
            <w:tcW w:w="1170" w:type="dxa"/>
          </w:tcPr>
          <w:p w:rsidR="00495EFA" w:rsidRPr="00495EFA" w:rsidRDefault="00495EFA" w:rsidP="00495EFA">
            <w:pPr>
              <w:tabs>
                <w:tab w:val="left" w:pos="-1440"/>
                <w:tab w:val="left" w:pos="-720"/>
              </w:tabs>
              <w:jc w:val="both"/>
            </w:pPr>
          </w:p>
        </w:tc>
        <w:tc>
          <w:tcPr>
            <w:tcW w:w="4327" w:type="dxa"/>
          </w:tcPr>
          <w:p w:rsidR="00495EFA" w:rsidRPr="00495EFA" w:rsidRDefault="00495EFA" w:rsidP="00495EFA">
            <w:pPr>
              <w:tabs>
                <w:tab w:val="left" w:pos="-1440"/>
                <w:tab w:val="left" w:pos="-720"/>
              </w:tabs>
              <w:jc w:val="both"/>
            </w:pPr>
          </w:p>
        </w:tc>
      </w:tr>
    </w:tbl>
    <w:p w:rsidR="00495EFA" w:rsidRPr="00495EFA" w:rsidRDefault="00495EFA" w:rsidP="00495EFA">
      <w:pPr>
        <w:tabs>
          <w:tab w:val="left" w:pos="-1440"/>
          <w:tab w:val="left" w:pos="-720"/>
        </w:tabs>
        <w:jc w:val="both"/>
        <w:rPr>
          <w:rFonts w:eastAsia="Times New Roman" w:cs="Times New Roman"/>
          <w:sz w:val="20"/>
          <w:szCs w:val="20"/>
          <w:lang w:eastAsia="en-CA"/>
        </w:rPr>
      </w:pPr>
    </w:p>
    <w:p w:rsidR="00495EFA" w:rsidRPr="00495EFA" w:rsidRDefault="00495EFA" w:rsidP="00495EFA">
      <w:pPr>
        <w:tabs>
          <w:tab w:val="left" w:pos="-1440"/>
          <w:tab w:val="left" w:pos="-720"/>
        </w:tabs>
        <w:jc w:val="both"/>
        <w:rPr>
          <w:rFonts w:eastAsia="Times New Roman" w:cs="Times New Roman"/>
          <w:b/>
          <w:sz w:val="20"/>
          <w:szCs w:val="20"/>
          <w:lang w:eastAsia="en-CA"/>
        </w:rPr>
      </w:pPr>
      <w:r w:rsidRPr="00495EFA">
        <w:rPr>
          <w:rFonts w:eastAsia="Times New Roman" w:cs="Times New Roman"/>
          <w:b/>
          <w:sz w:val="20"/>
          <w:szCs w:val="20"/>
          <w:lang w:eastAsia="en-CA"/>
        </w:rPr>
        <w:t>GRANTED / ACCORDÉE</w:t>
      </w:r>
    </w:p>
    <w:p w:rsidR="00495EFA" w:rsidRPr="00495EFA" w:rsidRDefault="00495EFA" w:rsidP="00495EFA">
      <w:pPr>
        <w:tabs>
          <w:tab w:val="left" w:pos="-1440"/>
          <w:tab w:val="left" w:pos="-720"/>
        </w:tabs>
        <w:jc w:val="both"/>
        <w:rPr>
          <w:rFonts w:eastAsia="Times New Roman" w:cs="Times New Roman"/>
          <w:sz w:val="20"/>
          <w:szCs w:val="20"/>
          <w:lang w:eastAsia="en-CA"/>
        </w:rPr>
      </w:pPr>
    </w:p>
    <w:p w:rsidR="00495EFA" w:rsidRPr="00495EFA" w:rsidRDefault="00495EFA" w:rsidP="00495EFA">
      <w:pPr>
        <w:jc w:val="both"/>
        <w:rPr>
          <w:rFonts w:eastAsia="Times New Roman" w:cs="Times New Roman"/>
          <w:sz w:val="20"/>
          <w:szCs w:val="20"/>
          <w:lang w:val="en-US" w:eastAsia="en-CA"/>
        </w:rPr>
      </w:pPr>
      <w:r w:rsidRPr="00495EFA">
        <w:rPr>
          <w:rFonts w:eastAsia="Times New Roman" w:cs="Times New Roman"/>
          <w:b/>
          <w:bCs/>
          <w:sz w:val="20"/>
          <w:szCs w:val="20"/>
          <w:lang w:val="en-US" w:eastAsia="en-CA"/>
        </w:rPr>
        <w:t xml:space="preserve">UPON APPLICATION </w:t>
      </w:r>
      <w:r w:rsidRPr="00495EFA">
        <w:rPr>
          <w:rFonts w:eastAsia="Times New Roman" w:cs="Times New Roman"/>
          <w:sz w:val="20"/>
          <w:szCs w:val="20"/>
          <w:lang w:val="en-US" w:eastAsia="en-CA"/>
        </w:rPr>
        <w:t xml:space="preserve">by </w:t>
      </w:r>
      <w:r w:rsidRPr="00495EFA">
        <w:rPr>
          <w:rFonts w:eastAsia="Times New Roman" w:cs="Times New Roman"/>
          <w:sz w:val="20"/>
          <w:szCs w:val="20"/>
          <w:lang w:eastAsia="en-CA"/>
        </w:rPr>
        <w:t xml:space="preserve">the appellant for an order permitting the appellant to serve and file a 5 page reply factum in response </w:t>
      </w:r>
      <w:r w:rsidRPr="00495EFA">
        <w:rPr>
          <w:rFonts w:eastAsia="Times New Roman" w:cs="Times New Roman"/>
          <w:sz w:val="20"/>
          <w:szCs w:val="20"/>
          <w:lang w:val="en-US" w:eastAsia="en-CA"/>
        </w:rPr>
        <w:t>to the factum of the respondents and the intervener;</w:t>
      </w:r>
    </w:p>
    <w:p w:rsidR="00495EFA" w:rsidRPr="00495EFA" w:rsidRDefault="00495EFA" w:rsidP="00495EFA">
      <w:pPr>
        <w:spacing w:line="233" w:lineRule="auto"/>
        <w:jc w:val="both"/>
        <w:rPr>
          <w:rFonts w:eastAsia="Times New Roman" w:cs="Times New Roman"/>
          <w:sz w:val="20"/>
          <w:szCs w:val="20"/>
          <w:lang w:val="en-US" w:eastAsia="en-CA"/>
        </w:rPr>
      </w:pPr>
    </w:p>
    <w:p w:rsidR="00495EFA" w:rsidRPr="00495EFA" w:rsidRDefault="00495EFA" w:rsidP="00495EFA">
      <w:pPr>
        <w:spacing w:line="233" w:lineRule="auto"/>
        <w:jc w:val="both"/>
        <w:rPr>
          <w:rFonts w:eastAsia="Times New Roman" w:cs="Times New Roman"/>
          <w:sz w:val="20"/>
          <w:szCs w:val="20"/>
          <w:lang w:val="en-US" w:eastAsia="en-CA"/>
        </w:rPr>
      </w:pPr>
      <w:r w:rsidRPr="00495EFA">
        <w:rPr>
          <w:rFonts w:eastAsia="Times New Roman" w:cs="Times New Roman"/>
          <w:b/>
          <w:bCs/>
          <w:sz w:val="20"/>
          <w:szCs w:val="20"/>
          <w:lang w:val="en-US" w:eastAsia="en-CA"/>
        </w:rPr>
        <w:t>AND THE MATERIAL FILED</w:t>
      </w:r>
      <w:r w:rsidRPr="00495EFA">
        <w:rPr>
          <w:rFonts w:eastAsia="Times New Roman" w:cs="Times New Roman"/>
          <w:sz w:val="20"/>
          <w:szCs w:val="20"/>
          <w:lang w:val="en-US" w:eastAsia="en-CA"/>
        </w:rPr>
        <w:t xml:space="preserve"> having been read;</w:t>
      </w:r>
    </w:p>
    <w:p w:rsidR="00495EFA" w:rsidRPr="00495EFA" w:rsidRDefault="00495EFA" w:rsidP="00495EFA">
      <w:pPr>
        <w:spacing w:line="233" w:lineRule="auto"/>
        <w:jc w:val="both"/>
        <w:rPr>
          <w:rFonts w:eastAsia="Times New Roman" w:cs="Times New Roman"/>
          <w:sz w:val="20"/>
          <w:szCs w:val="20"/>
          <w:lang w:val="en-US" w:eastAsia="en-CA"/>
        </w:rPr>
      </w:pPr>
    </w:p>
    <w:p w:rsidR="00495EFA" w:rsidRPr="00495EFA" w:rsidRDefault="00495EFA" w:rsidP="00495EFA">
      <w:pPr>
        <w:spacing w:line="233" w:lineRule="auto"/>
        <w:jc w:val="both"/>
        <w:rPr>
          <w:rFonts w:eastAsia="Times New Roman" w:cs="Times New Roman"/>
          <w:sz w:val="20"/>
          <w:szCs w:val="20"/>
          <w:lang w:val="en-US" w:eastAsia="en-CA"/>
        </w:rPr>
      </w:pPr>
      <w:r w:rsidRPr="00495EFA">
        <w:rPr>
          <w:rFonts w:eastAsia="Times New Roman" w:cs="Times New Roman"/>
          <w:b/>
          <w:bCs/>
          <w:sz w:val="20"/>
          <w:szCs w:val="20"/>
          <w:lang w:val="en-US" w:eastAsia="en-CA"/>
        </w:rPr>
        <w:t>IT IS HEREBY ORDERED THAT:</w:t>
      </w:r>
    </w:p>
    <w:p w:rsidR="00495EFA" w:rsidRPr="00495EFA" w:rsidRDefault="00495EFA" w:rsidP="00495EFA">
      <w:pPr>
        <w:spacing w:line="233" w:lineRule="auto"/>
        <w:jc w:val="both"/>
        <w:rPr>
          <w:rFonts w:eastAsia="Times New Roman" w:cs="Times New Roman"/>
          <w:sz w:val="20"/>
          <w:szCs w:val="20"/>
          <w:lang w:val="en-US" w:eastAsia="en-CA"/>
        </w:rPr>
      </w:pPr>
    </w:p>
    <w:p w:rsidR="00495EFA" w:rsidRPr="00495EFA" w:rsidRDefault="00495EFA" w:rsidP="00495EFA">
      <w:pPr>
        <w:jc w:val="both"/>
        <w:rPr>
          <w:rFonts w:cs="Times New Roman"/>
          <w:sz w:val="20"/>
          <w:szCs w:val="20"/>
          <w:lang w:eastAsia="en-CA"/>
        </w:rPr>
      </w:pPr>
      <w:r w:rsidRPr="00495EFA">
        <w:rPr>
          <w:rFonts w:cs="Times New Roman"/>
          <w:sz w:val="20"/>
          <w:szCs w:val="20"/>
          <w:lang w:eastAsia="en-CA"/>
        </w:rPr>
        <w:t xml:space="preserve">The motion is granted. The appellant shall serve and file a 5 page reply factum on or before November 19, 2014. </w:t>
      </w:r>
    </w:p>
    <w:p w:rsidR="00495EFA" w:rsidRPr="00495EFA" w:rsidRDefault="00495EFA" w:rsidP="00495EFA">
      <w:pPr>
        <w:jc w:val="both"/>
        <w:rPr>
          <w:rFonts w:cs="Times New Roman"/>
          <w:sz w:val="20"/>
          <w:szCs w:val="20"/>
          <w:lang w:eastAsia="en-CA"/>
        </w:rPr>
      </w:pPr>
    </w:p>
    <w:p w:rsidR="00495EFA" w:rsidRPr="00495EFA" w:rsidRDefault="00495EFA" w:rsidP="00495EFA">
      <w:pPr>
        <w:jc w:val="both"/>
        <w:rPr>
          <w:rFonts w:eastAsia="Times New Roman" w:cs="Times New Roman"/>
          <w:sz w:val="20"/>
          <w:szCs w:val="20"/>
          <w:lang w:val="en-GB" w:eastAsia="en-CA"/>
        </w:rPr>
      </w:pPr>
    </w:p>
    <w:p w:rsidR="00495EFA" w:rsidRPr="00495EFA" w:rsidRDefault="00495EFA" w:rsidP="00495EFA">
      <w:pPr>
        <w:jc w:val="both"/>
        <w:rPr>
          <w:rFonts w:eastAsia="Times New Roman" w:cs="Times New Roman"/>
          <w:sz w:val="20"/>
          <w:szCs w:val="20"/>
          <w:lang w:val="en-GB" w:eastAsia="en-CA"/>
        </w:rPr>
      </w:pPr>
    </w:p>
    <w:p w:rsidR="00495EFA" w:rsidRPr="00495EFA" w:rsidRDefault="00495EFA" w:rsidP="00495EFA">
      <w:pPr>
        <w:jc w:val="both"/>
        <w:rPr>
          <w:rFonts w:eastAsia="Times New Roman" w:cs="Times New Roman"/>
          <w:sz w:val="20"/>
          <w:szCs w:val="20"/>
          <w:lang w:val="fr-CA" w:eastAsia="en-CA"/>
        </w:rPr>
      </w:pPr>
      <w:r w:rsidRPr="00495EFA">
        <w:rPr>
          <w:rFonts w:eastAsia="Times New Roman" w:cs="Times New Roman"/>
          <w:b/>
          <w:bCs/>
          <w:sz w:val="20"/>
          <w:szCs w:val="20"/>
          <w:lang w:val="fr-CA" w:eastAsia="en-CA"/>
        </w:rPr>
        <w:t xml:space="preserve">À LA SUITE DE LA DEMANDE </w:t>
      </w:r>
      <w:r w:rsidRPr="00495EFA">
        <w:rPr>
          <w:rFonts w:eastAsia="Times New Roman" w:cs="Times New Roman"/>
          <w:bCs/>
          <w:sz w:val="20"/>
          <w:szCs w:val="20"/>
          <w:lang w:val="fr-CA" w:eastAsia="en-CA"/>
        </w:rPr>
        <w:t>présentée par l’appelante en vue de déposer et de signifier un mémoire de 5 pages en réplique aux mémoires présentés par les intimés et l’intervenante</w:t>
      </w:r>
      <w:r w:rsidRPr="00495EFA">
        <w:rPr>
          <w:rFonts w:eastAsia="Times New Roman" w:cs="Times New Roman"/>
          <w:sz w:val="20"/>
          <w:szCs w:val="20"/>
          <w:lang w:val="fr-CA" w:eastAsia="en-CA"/>
        </w:rPr>
        <w:t>;</w:t>
      </w:r>
    </w:p>
    <w:p w:rsidR="00495EFA" w:rsidRPr="00495EFA" w:rsidRDefault="00495EFA" w:rsidP="00495EFA">
      <w:pPr>
        <w:spacing w:line="233" w:lineRule="auto"/>
        <w:jc w:val="both"/>
        <w:rPr>
          <w:rFonts w:eastAsia="Times New Roman" w:cs="Times New Roman"/>
          <w:sz w:val="20"/>
          <w:szCs w:val="20"/>
          <w:lang w:val="fr-CA" w:eastAsia="en-CA"/>
        </w:rPr>
      </w:pPr>
    </w:p>
    <w:p w:rsidR="00495EFA" w:rsidRPr="00495EFA" w:rsidRDefault="00495EFA" w:rsidP="00495EFA">
      <w:pPr>
        <w:spacing w:line="233" w:lineRule="auto"/>
        <w:jc w:val="both"/>
        <w:rPr>
          <w:rFonts w:eastAsia="Times New Roman" w:cs="Times New Roman"/>
          <w:sz w:val="20"/>
          <w:szCs w:val="20"/>
          <w:lang w:val="fr-CA" w:eastAsia="en-CA"/>
        </w:rPr>
      </w:pPr>
      <w:r w:rsidRPr="00495EFA">
        <w:rPr>
          <w:rFonts w:eastAsia="Times New Roman" w:cs="Times New Roman"/>
          <w:b/>
          <w:bCs/>
          <w:sz w:val="20"/>
          <w:szCs w:val="20"/>
          <w:lang w:val="fr-CA" w:eastAsia="en-CA"/>
        </w:rPr>
        <w:t xml:space="preserve">ET APRÈS EXAMEN </w:t>
      </w:r>
      <w:r w:rsidRPr="00495EFA">
        <w:rPr>
          <w:rFonts w:eastAsia="Times New Roman" w:cs="Times New Roman"/>
          <w:bCs/>
          <w:sz w:val="20"/>
          <w:szCs w:val="20"/>
          <w:lang w:val="fr-CA" w:eastAsia="en-CA"/>
        </w:rPr>
        <w:t>des documents déposés</w:t>
      </w:r>
      <w:r w:rsidRPr="00495EFA">
        <w:rPr>
          <w:rFonts w:eastAsia="Times New Roman" w:cs="Times New Roman"/>
          <w:sz w:val="20"/>
          <w:szCs w:val="20"/>
          <w:lang w:val="fr-CA" w:eastAsia="en-CA"/>
        </w:rPr>
        <w:t>;</w:t>
      </w:r>
    </w:p>
    <w:p w:rsidR="00495EFA" w:rsidRPr="00495EFA" w:rsidRDefault="00495EFA" w:rsidP="00495EFA">
      <w:pPr>
        <w:rPr>
          <w:rFonts w:eastAsia="Times New Roman" w:cs="Times New Roman"/>
          <w:b/>
          <w:bCs/>
          <w:sz w:val="20"/>
          <w:szCs w:val="20"/>
          <w:lang w:val="fr-CA" w:eastAsia="en-CA"/>
        </w:rPr>
      </w:pPr>
      <w:r w:rsidRPr="00495EFA">
        <w:rPr>
          <w:rFonts w:eastAsia="Times New Roman" w:cs="Times New Roman"/>
          <w:b/>
          <w:bCs/>
          <w:sz w:val="20"/>
          <w:szCs w:val="20"/>
          <w:lang w:val="fr-CA" w:eastAsia="en-CA"/>
        </w:rPr>
        <w:br w:type="page"/>
      </w:r>
    </w:p>
    <w:p w:rsidR="00495EFA" w:rsidRPr="00495EFA" w:rsidRDefault="00495EFA" w:rsidP="00495EFA">
      <w:pPr>
        <w:spacing w:line="233" w:lineRule="auto"/>
        <w:jc w:val="both"/>
        <w:rPr>
          <w:rFonts w:eastAsia="Times New Roman" w:cs="Times New Roman"/>
          <w:sz w:val="20"/>
          <w:szCs w:val="20"/>
          <w:lang w:val="fr-CA" w:eastAsia="en-CA"/>
        </w:rPr>
      </w:pPr>
      <w:r w:rsidRPr="00495EFA">
        <w:rPr>
          <w:rFonts w:eastAsia="Times New Roman" w:cs="Times New Roman"/>
          <w:b/>
          <w:bCs/>
          <w:sz w:val="20"/>
          <w:szCs w:val="20"/>
          <w:lang w:val="fr-CA" w:eastAsia="en-CA"/>
        </w:rPr>
        <w:lastRenderedPageBreak/>
        <w:t>IL EST ORDONNÉ CE QUI SUIT :</w:t>
      </w:r>
    </w:p>
    <w:p w:rsidR="00495EFA" w:rsidRPr="00495EFA" w:rsidRDefault="00495EFA" w:rsidP="00495EFA">
      <w:pPr>
        <w:spacing w:line="233" w:lineRule="auto"/>
        <w:jc w:val="both"/>
        <w:rPr>
          <w:rFonts w:eastAsia="Times New Roman" w:cs="Times New Roman"/>
          <w:sz w:val="20"/>
          <w:szCs w:val="20"/>
          <w:lang w:val="fr-CA" w:eastAsia="en-CA"/>
        </w:rPr>
      </w:pPr>
    </w:p>
    <w:p w:rsidR="00495EFA" w:rsidRPr="00495EFA" w:rsidRDefault="00495EFA" w:rsidP="00495EFA">
      <w:pPr>
        <w:jc w:val="both"/>
        <w:rPr>
          <w:rFonts w:cs="Times New Roman"/>
          <w:sz w:val="20"/>
          <w:szCs w:val="20"/>
          <w:lang w:val="fr-CA" w:eastAsia="en-CA"/>
        </w:rPr>
      </w:pPr>
      <w:r w:rsidRPr="00495EFA">
        <w:rPr>
          <w:rFonts w:cs="Times New Roman"/>
          <w:sz w:val="20"/>
          <w:szCs w:val="20"/>
          <w:lang w:val="fr-CA" w:eastAsia="en-CA"/>
        </w:rPr>
        <w:t xml:space="preserve">La requête est accueillie. L’appelante est autorisée à signifier et à déposer un mémoire en réplique de 5 pages au plus tard le 19 novembre 2014. </w:t>
      </w:r>
    </w:p>
    <w:p w:rsidR="00495EFA" w:rsidRPr="00495EFA" w:rsidRDefault="00495EFA" w:rsidP="00495EFA">
      <w:pPr>
        <w:tabs>
          <w:tab w:val="left" w:pos="-1440"/>
          <w:tab w:val="left" w:pos="-720"/>
        </w:tabs>
        <w:jc w:val="both"/>
        <w:rPr>
          <w:rFonts w:eastAsia="Times New Roman" w:cs="Times New Roman"/>
          <w:sz w:val="20"/>
          <w:szCs w:val="20"/>
          <w:lang w:val="fr-CA" w:eastAsia="en-CA"/>
        </w:rPr>
      </w:pPr>
    </w:p>
    <w:p w:rsidR="00495EFA" w:rsidRPr="00495EFA" w:rsidRDefault="00690162" w:rsidP="00495EFA">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83" style="width:2in;height:1pt" o:hrpct="0" o:hralign="center" o:hrstd="t" o:hrnoshade="t" o:hr="t" fillcolor="black [3213]" stroked="f"/>
        </w:pict>
      </w:r>
    </w:p>
    <w:p w:rsidR="00495EFA" w:rsidRPr="00495EFA" w:rsidRDefault="00495EFA" w:rsidP="00495EFA">
      <w:pPr>
        <w:rPr>
          <w:rFonts w:eastAsia="Times New Roman" w:cs="Times New Roman"/>
          <w:sz w:val="20"/>
          <w:szCs w:val="20"/>
          <w:lang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690162"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88737B" w:rsidRPr="00736B38" w:rsidRDefault="0088737B" w:rsidP="0088737B">
      <w:pPr>
        <w:widowControl w:val="0"/>
        <w:rPr>
          <w:sz w:val="20"/>
          <w:szCs w:val="20"/>
        </w:rPr>
      </w:pPr>
      <w:r w:rsidRPr="00736B38">
        <w:rPr>
          <w:sz w:val="20"/>
          <w:szCs w:val="20"/>
        </w:rPr>
        <w:t>12.11.2014</w:t>
      </w:r>
    </w:p>
    <w:p w:rsidR="0088737B" w:rsidRDefault="0088737B" w:rsidP="0088737B">
      <w:pPr>
        <w:widowControl w:val="0"/>
        <w:rPr>
          <w:sz w:val="20"/>
          <w:szCs w:val="20"/>
        </w:rPr>
      </w:pPr>
    </w:p>
    <w:p w:rsidR="0088737B" w:rsidRPr="005909B0" w:rsidRDefault="0088737B" w:rsidP="0088737B">
      <w:pPr>
        <w:widowControl w:val="0"/>
        <w:ind w:left="720" w:hanging="720"/>
        <w:rPr>
          <w:sz w:val="20"/>
          <w:szCs w:val="20"/>
          <w:u w:val="single"/>
        </w:rPr>
      </w:pPr>
      <w:r w:rsidRPr="005909B0">
        <w:rPr>
          <w:sz w:val="20"/>
          <w:szCs w:val="20"/>
        </w:rPr>
        <w:t xml:space="preserve">Coram: </w:t>
      </w:r>
      <w:r w:rsidRPr="005909B0">
        <w:rPr>
          <w:sz w:val="20"/>
          <w:szCs w:val="20"/>
        </w:rPr>
        <w:tab/>
      </w:r>
      <w:r w:rsidRPr="005909B0">
        <w:rPr>
          <w:sz w:val="20"/>
          <w:szCs w:val="20"/>
          <w:u w:val="single"/>
        </w:rPr>
        <w:t>McLachlin C.J. and Abella, Rothstein, Moldaver, Karakatsanis, Wagner and Gascon JJ.</w:t>
      </w:r>
    </w:p>
    <w:p w:rsidR="0088737B" w:rsidRPr="00736B38" w:rsidRDefault="0088737B" w:rsidP="0088737B">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8737B" w:rsidRPr="00D934C5" w:rsidTr="003B3ED7">
        <w:tc>
          <w:tcPr>
            <w:tcW w:w="4380" w:type="dxa"/>
            <w:tcMar>
              <w:left w:w="0" w:type="dxa"/>
              <w:right w:w="0" w:type="dxa"/>
            </w:tcMar>
          </w:tcPr>
          <w:p w:rsidR="0088737B" w:rsidRDefault="0088737B" w:rsidP="003B3ED7">
            <w:pPr>
              <w:rPr>
                <w:b/>
                <w:iCs/>
                <w:sz w:val="20"/>
                <w:szCs w:val="20"/>
              </w:rPr>
            </w:pPr>
            <w:r w:rsidRPr="00015FB4">
              <w:rPr>
                <w:b/>
                <w:iCs/>
                <w:sz w:val="20"/>
                <w:szCs w:val="20"/>
              </w:rPr>
              <w:t>British Columbia Teachers</w:t>
            </w:r>
            <w:r>
              <w:rPr>
                <w:b/>
                <w:iCs/>
                <w:sz w:val="20"/>
                <w:szCs w:val="20"/>
              </w:rPr>
              <w:t xml:space="preserve">’ </w:t>
            </w:r>
            <w:r w:rsidRPr="00015FB4">
              <w:rPr>
                <w:b/>
                <w:iCs/>
                <w:sz w:val="20"/>
                <w:szCs w:val="20"/>
              </w:rPr>
              <w:t xml:space="preserve">Federation et al. </w:t>
            </w:r>
          </w:p>
          <w:p w:rsidR="0088737B" w:rsidRDefault="0088737B" w:rsidP="003B3ED7">
            <w:pPr>
              <w:rPr>
                <w:b/>
                <w:iCs/>
                <w:sz w:val="20"/>
                <w:szCs w:val="20"/>
              </w:rPr>
            </w:pPr>
          </w:p>
          <w:p w:rsidR="0088737B" w:rsidRDefault="0088737B" w:rsidP="003B3ED7">
            <w:pPr>
              <w:rPr>
                <w:b/>
                <w:iCs/>
                <w:sz w:val="20"/>
                <w:szCs w:val="20"/>
              </w:rPr>
            </w:pPr>
            <w:r>
              <w:rPr>
                <w:b/>
                <w:iCs/>
                <w:sz w:val="20"/>
                <w:szCs w:val="20"/>
              </w:rPr>
              <w:tab/>
            </w:r>
            <w:r w:rsidRPr="00015FB4">
              <w:rPr>
                <w:b/>
                <w:iCs/>
                <w:sz w:val="20"/>
                <w:szCs w:val="20"/>
              </w:rPr>
              <w:t xml:space="preserve">v. </w:t>
            </w:r>
            <w:r w:rsidRPr="00015FB4">
              <w:rPr>
                <w:sz w:val="20"/>
                <w:szCs w:val="20"/>
              </w:rPr>
              <w:t>(</w:t>
            </w:r>
            <w:hyperlink r:id="rId89" w:history="1">
              <w:r w:rsidRPr="00015FB4">
                <w:rPr>
                  <w:rStyle w:val="Hyperlink"/>
                  <w:sz w:val="20"/>
                  <w:szCs w:val="20"/>
                </w:rPr>
                <w:t>35623</w:t>
              </w:r>
            </w:hyperlink>
            <w:r w:rsidRPr="00015FB4">
              <w:rPr>
                <w:sz w:val="20"/>
                <w:szCs w:val="20"/>
              </w:rPr>
              <w:t>)</w:t>
            </w:r>
          </w:p>
          <w:p w:rsidR="0088737B" w:rsidRDefault="0088737B" w:rsidP="003B3ED7">
            <w:pPr>
              <w:rPr>
                <w:b/>
                <w:iCs/>
                <w:sz w:val="20"/>
                <w:szCs w:val="20"/>
              </w:rPr>
            </w:pPr>
          </w:p>
          <w:p w:rsidR="0088737B" w:rsidRPr="00736B38" w:rsidRDefault="0088737B" w:rsidP="003B3ED7">
            <w:pPr>
              <w:rPr>
                <w:sz w:val="20"/>
                <w:szCs w:val="20"/>
              </w:rPr>
            </w:pPr>
            <w:r w:rsidRPr="00015FB4">
              <w:rPr>
                <w:b/>
                <w:iCs/>
                <w:sz w:val="20"/>
                <w:szCs w:val="20"/>
              </w:rPr>
              <w:t>British Columbia Public School Employers</w:t>
            </w:r>
            <w:r>
              <w:rPr>
                <w:b/>
                <w:iCs/>
                <w:sz w:val="20"/>
                <w:szCs w:val="20"/>
              </w:rPr>
              <w:t>’</w:t>
            </w:r>
            <w:r w:rsidRPr="00015FB4">
              <w:rPr>
                <w:b/>
                <w:iCs/>
                <w:sz w:val="20"/>
                <w:szCs w:val="20"/>
              </w:rPr>
              <w:t xml:space="preserve"> Association et al.</w:t>
            </w:r>
            <w:r w:rsidRPr="007A6BDF">
              <w:rPr>
                <w:b/>
                <w:sz w:val="20"/>
                <w:szCs w:val="20"/>
              </w:rPr>
              <w:t xml:space="preserve"> (B.C.) (Civil) (By Leave)</w:t>
            </w:r>
          </w:p>
        </w:tc>
        <w:tc>
          <w:tcPr>
            <w:tcW w:w="720" w:type="dxa"/>
            <w:tcMar>
              <w:left w:w="0" w:type="dxa"/>
              <w:right w:w="0" w:type="dxa"/>
            </w:tcMar>
          </w:tcPr>
          <w:p w:rsidR="0088737B" w:rsidRPr="00736B38" w:rsidRDefault="0088737B" w:rsidP="003B3ED7">
            <w:pPr>
              <w:widowControl w:val="0"/>
              <w:jc w:val="center"/>
              <w:rPr>
                <w:sz w:val="20"/>
                <w:szCs w:val="20"/>
              </w:rPr>
            </w:pPr>
          </w:p>
        </w:tc>
        <w:tc>
          <w:tcPr>
            <w:tcW w:w="4380" w:type="dxa"/>
            <w:tcMar>
              <w:left w:w="0" w:type="dxa"/>
              <w:right w:w="0" w:type="dxa"/>
            </w:tcMar>
          </w:tcPr>
          <w:p w:rsidR="0088737B" w:rsidRPr="00C763BE" w:rsidRDefault="0088737B" w:rsidP="003B3ED7">
            <w:pPr>
              <w:jc w:val="both"/>
              <w:rPr>
                <w:sz w:val="20"/>
                <w:szCs w:val="20"/>
                <w:lang w:val="en-US"/>
              </w:rPr>
            </w:pPr>
            <w:r w:rsidRPr="00C763BE">
              <w:rPr>
                <w:sz w:val="20"/>
                <w:szCs w:val="20"/>
                <w:lang w:val="en-US"/>
              </w:rPr>
              <w:t>Robyn Trask</w:t>
            </w:r>
            <w:r>
              <w:rPr>
                <w:sz w:val="20"/>
                <w:szCs w:val="20"/>
                <w:lang w:val="en-US"/>
              </w:rPr>
              <w:t xml:space="preserve">, </w:t>
            </w:r>
            <w:r w:rsidRPr="00C763BE">
              <w:rPr>
                <w:sz w:val="20"/>
                <w:szCs w:val="20"/>
                <w:lang w:val="en-US"/>
              </w:rPr>
              <w:t>Diane MacDonald</w:t>
            </w:r>
            <w:r>
              <w:rPr>
                <w:sz w:val="20"/>
                <w:szCs w:val="20"/>
                <w:lang w:val="en-US"/>
              </w:rPr>
              <w:t xml:space="preserve"> and </w:t>
            </w:r>
            <w:r w:rsidRPr="00C763BE">
              <w:rPr>
                <w:sz w:val="20"/>
                <w:szCs w:val="20"/>
                <w:lang w:val="en-US"/>
              </w:rPr>
              <w:t>Michael Sobkin</w:t>
            </w:r>
            <w:r>
              <w:rPr>
                <w:sz w:val="20"/>
                <w:szCs w:val="20"/>
                <w:lang w:val="en-US"/>
              </w:rPr>
              <w:t xml:space="preserve"> f</w:t>
            </w:r>
            <w:r w:rsidRPr="00C763BE">
              <w:rPr>
                <w:sz w:val="20"/>
                <w:szCs w:val="20"/>
                <w:lang w:val="en-US"/>
              </w:rPr>
              <w:t>or the appellants</w:t>
            </w:r>
            <w:r>
              <w:rPr>
                <w:sz w:val="20"/>
                <w:szCs w:val="20"/>
                <w:lang w:val="en-US"/>
              </w:rPr>
              <w:t>.</w:t>
            </w:r>
          </w:p>
          <w:p w:rsidR="0088737B" w:rsidRPr="00C763BE" w:rsidRDefault="0088737B" w:rsidP="003B3ED7">
            <w:pPr>
              <w:jc w:val="both"/>
              <w:rPr>
                <w:sz w:val="20"/>
                <w:szCs w:val="20"/>
                <w:lang w:val="en-US"/>
              </w:rPr>
            </w:pPr>
          </w:p>
          <w:p w:rsidR="0088737B" w:rsidRPr="00C763BE" w:rsidRDefault="0088737B" w:rsidP="003B3ED7">
            <w:pPr>
              <w:jc w:val="both"/>
              <w:rPr>
                <w:sz w:val="20"/>
                <w:szCs w:val="20"/>
                <w:lang w:val="en-US"/>
              </w:rPr>
            </w:pPr>
            <w:r w:rsidRPr="00C763BE">
              <w:rPr>
                <w:sz w:val="20"/>
                <w:szCs w:val="20"/>
              </w:rPr>
              <w:t xml:space="preserve">Clea F. Parfitt </w:t>
            </w:r>
            <w:r>
              <w:rPr>
                <w:sz w:val="20"/>
                <w:szCs w:val="20"/>
              </w:rPr>
              <w:t xml:space="preserve">and </w:t>
            </w:r>
            <w:r w:rsidRPr="00C763BE">
              <w:rPr>
                <w:sz w:val="20"/>
                <w:szCs w:val="20"/>
              </w:rPr>
              <w:t>Kasari Govender</w:t>
            </w:r>
            <w:r>
              <w:rPr>
                <w:sz w:val="20"/>
                <w:szCs w:val="20"/>
              </w:rPr>
              <w:t xml:space="preserve"> f</w:t>
            </w:r>
            <w:r w:rsidRPr="00C763BE">
              <w:rPr>
                <w:sz w:val="20"/>
                <w:szCs w:val="20"/>
              </w:rPr>
              <w:t xml:space="preserve">or the </w:t>
            </w:r>
            <w:r>
              <w:rPr>
                <w:sz w:val="20"/>
                <w:szCs w:val="20"/>
              </w:rPr>
              <w:t>i</w:t>
            </w:r>
            <w:r w:rsidRPr="00C763BE">
              <w:rPr>
                <w:sz w:val="20"/>
                <w:szCs w:val="20"/>
              </w:rPr>
              <w:t>ntervener</w:t>
            </w:r>
            <w:r>
              <w:rPr>
                <w:sz w:val="20"/>
                <w:szCs w:val="20"/>
              </w:rPr>
              <w:t xml:space="preserve"> </w:t>
            </w:r>
            <w:r w:rsidRPr="00C763BE">
              <w:rPr>
                <w:sz w:val="20"/>
                <w:szCs w:val="20"/>
              </w:rPr>
              <w:t>West Coast Women's Legal Education and Action Fund</w:t>
            </w:r>
            <w:r>
              <w:rPr>
                <w:sz w:val="20"/>
                <w:szCs w:val="20"/>
              </w:rPr>
              <w:t>.</w:t>
            </w:r>
          </w:p>
          <w:p w:rsidR="0088737B" w:rsidRPr="00C763BE" w:rsidRDefault="0088737B" w:rsidP="003B3ED7">
            <w:pPr>
              <w:jc w:val="both"/>
              <w:rPr>
                <w:sz w:val="20"/>
                <w:szCs w:val="20"/>
                <w:lang w:val="en-US"/>
              </w:rPr>
            </w:pPr>
          </w:p>
          <w:p w:rsidR="0088737B" w:rsidRPr="00736B38" w:rsidRDefault="0088737B" w:rsidP="003B3ED7">
            <w:pPr>
              <w:widowControl w:val="0"/>
              <w:jc w:val="both"/>
              <w:rPr>
                <w:sz w:val="20"/>
                <w:szCs w:val="20"/>
              </w:rPr>
            </w:pPr>
            <w:r w:rsidRPr="00C763BE">
              <w:rPr>
                <w:sz w:val="20"/>
                <w:szCs w:val="20"/>
              </w:rPr>
              <w:t xml:space="preserve">Delayne M. Sartison, Q.C. and </w:t>
            </w:r>
            <w:r w:rsidRPr="00C763BE">
              <w:rPr>
                <w:sz w:val="20"/>
                <w:szCs w:val="20"/>
                <w:lang w:val="en-US"/>
              </w:rPr>
              <w:t>Jennifer R. Devins</w:t>
            </w:r>
            <w:r>
              <w:rPr>
                <w:sz w:val="20"/>
                <w:szCs w:val="20"/>
                <w:lang w:val="en-US"/>
              </w:rPr>
              <w:t xml:space="preserve"> f</w:t>
            </w:r>
            <w:r w:rsidRPr="00C763BE">
              <w:rPr>
                <w:sz w:val="20"/>
                <w:szCs w:val="20"/>
                <w:lang w:val="en-US"/>
              </w:rPr>
              <w:t xml:space="preserve">or the </w:t>
            </w:r>
            <w:r>
              <w:rPr>
                <w:sz w:val="20"/>
                <w:szCs w:val="20"/>
                <w:lang w:val="en-US"/>
              </w:rPr>
              <w:t>r</w:t>
            </w:r>
            <w:r w:rsidRPr="00C763BE">
              <w:rPr>
                <w:sz w:val="20"/>
                <w:szCs w:val="20"/>
                <w:lang w:val="en-US"/>
              </w:rPr>
              <w:t>espondents</w:t>
            </w:r>
            <w:r>
              <w:rPr>
                <w:sz w:val="20"/>
                <w:szCs w:val="20"/>
                <w:lang w:val="en-US"/>
              </w:rPr>
              <w:t>.</w:t>
            </w:r>
          </w:p>
        </w:tc>
      </w:tr>
    </w:tbl>
    <w:p w:rsidR="0088737B" w:rsidRDefault="0088737B" w:rsidP="0088737B">
      <w:pPr>
        <w:widowControl w:val="0"/>
        <w:rPr>
          <w:sz w:val="20"/>
          <w:szCs w:val="20"/>
        </w:rPr>
      </w:pPr>
    </w:p>
    <w:p w:rsidR="0088737B" w:rsidRPr="00582501" w:rsidRDefault="0088737B" w:rsidP="0088737B">
      <w:pPr>
        <w:rPr>
          <w:rFonts w:eastAsia="Calibri"/>
          <w:b/>
          <w:iCs/>
          <w:sz w:val="20"/>
          <w:szCs w:val="20"/>
        </w:rPr>
      </w:pPr>
      <w:r w:rsidRPr="00582501">
        <w:rPr>
          <w:rFonts w:eastAsia="Calibri"/>
          <w:b/>
          <w:iCs/>
          <w:sz w:val="20"/>
          <w:szCs w:val="20"/>
        </w:rPr>
        <w:t>2014 SCC 70 / 2014 CSC 70</w:t>
      </w:r>
    </w:p>
    <w:p w:rsidR="0088737B" w:rsidRPr="00956614" w:rsidRDefault="0088737B" w:rsidP="0088737B">
      <w:pPr>
        <w:rPr>
          <w:sz w:val="20"/>
          <w:szCs w:val="20"/>
        </w:rPr>
      </w:pPr>
    </w:p>
    <w:p w:rsidR="0088737B" w:rsidRDefault="0088737B" w:rsidP="0088737B">
      <w:pPr>
        <w:widowControl w:val="0"/>
        <w:rPr>
          <w:b/>
          <w:sz w:val="20"/>
          <w:szCs w:val="20"/>
          <w:lang w:val="fr-CA"/>
        </w:rPr>
      </w:pPr>
      <w:r>
        <w:rPr>
          <w:b/>
          <w:sz w:val="20"/>
          <w:szCs w:val="20"/>
        </w:rPr>
        <w:t>ALLOW</w:t>
      </w:r>
      <w:r w:rsidRPr="0085476B">
        <w:rPr>
          <w:b/>
          <w:sz w:val="20"/>
          <w:szCs w:val="20"/>
        </w:rPr>
        <w:t xml:space="preserve">ED / </w:t>
      </w:r>
      <w:r>
        <w:rPr>
          <w:b/>
          <w:sz w:val="20"/>
          <w:szCs w:val="20"/>
        </w:rPr>
        <w:t>ACCU</w:t>
      </w:r>
      <w:r w:rsidRPr="0085476B">
        <w:rPr>
          <w:b/>
          <w:sz w:val="20"/>
          <w:szCs w:val="20"/>
          <w:lang w:val="fr-CA"/>
        </w:rPr>
        <w:t>EI</w:t>
      </w:r>
      <w:r>
        <w:rPr>
          <w:b/>
          <w:sz w:val="20"/>
          <w:szCs w:val="20"/>
          <w:lang w:val="fr-CA"/>
        </w:rPr>
        <w:t>LLI</w:t>
      </w:r>
    </w:p>
    <w:p w:rsidR="0088737B" w:rsidRPr="0088737B" w:rsidRDefault="0088737B" w:rsidP="0088737B">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8737B" w:rsidRPr="00690162" w:rsidTr="003B3ED7">
        <w:tc>
          <w:tcPr>
            <w:tcW w:w="4380" w:type="dxa"/>
            <w:tcMar>
              <w:left w:w="0" w:type="dxa"/>
              <w:right w:w="0" w:type="dxa"/>
            </w:tcMar>
          </w:tcPr>
          <w:p w:rsidR="0088737B" w:rsidRPr="00CC4D84" w:rsidRDefault="0088737B" w:rsidP="003B3ED7">
            <w:pPr>
              <w:widowControl w:val="0"/>
              <w:jc w:val="both"/>
              <w:rPr>
                <w:b/>
                <w:sz w:val="20"/>
                <w:szCs w:val="20"/>
                <w:u w:val="single"/>
              </w:rPr>
            </w:pPr>
            <w:r>
              <w:rPr>
                <w:b/>
                <w:sz w:val="20"/>
                <w:szCs w:val="20"/>
                <w:u w:val="single"/>
              </w:rPr>
              <w:t>JUDGMENT</w:t>
            </w:r>
            <w:r w:rsidRPr="00CC4D84">
              <w:rPr>
                <w:b/>
                <w:sz w:val="20"/>
                <w:szCs w:val="20"/>
                <w:u w:val="single"/>
              </w:rPr>
              <w:t>:</w:t>
            </w:r>
          </w:p>
          <w:p w:rsidR="0088737B" w:rsidRPr="001A663B" w:rsidRDefault="0088737B" w:rsidP="003B3ED7">
            <w:pPr>
              <w:widowControl w:val="0"/>
              <w:jc w:val="both"/>
              <w:rPr>
                <w:b/>
                <w:sz w:val="20"/>
                <w:szCs w:val="20"/>
              </w:rPr>
            </w:pPr>
          </w:p>
          <w:p w:rsidR="005F58EE" w:rsidRPr="00307752" w:rsidRDefault="005F58EE" w:rsidP="005F58EE">
            <w:pPr>
              <w:jc w:val="both"/>
              <w:rPr>
                <w:rFonts w:cs="Times New Roman"/>
                <w:sz w:val="20"/>
                <w:szCs w:val="20"/>
              </w:rPr>
            </w:pPr>
            <w:r w:rsidRPr="00307752">
              <w:rPr>
                <w:rFonts w:cs="Times New Roman"/>
                <w:sz w:val="20"/>
                <w:szCs w:val="20"/>
              </w:rPr>
              <w:t>The appeal from the judgment of the Court of Appeal for British Columbia (Vancouver), Number CA040450, 2013 BCCA 405, dated September 20, 2013, was heard on November 12, 2014, and the Court on that day delivered the following judgment orally:</w:t>
            </w:r>
          </w:p>
          <w:p w:rsidR="005F58EE" w:rsidRPr="00307752" w:rsidRDefault="005F58EE" w:rsidP="005F58EE">
            <w:pPr>
              <w:jc w:val="both"/>
              <w:rPr>
                <w:rFonts w:cs="Times New Roman"/>
                <w:sz w:val="20"/>
                <w:szCs w:val="20"/>
              </w:rPr>
            </w:pPr>
          </w:p>
          <w:p w:rsidR="005F58EE" w:rsidRPr="00307752" w:rsidRDefault="005F58EE" w:rsidP="005F58EE">
            <w:pPr>
              <w:jc w:val="both"/>
              <w:rPr>
                <w:rFonts w:cs="Times New Roman"/>
                <w:sz w:val="20"/>
                <w:szCs w:val="20"/>
              </w:rPr>
            </w:pPr>
          </w:p>
          <w:p w:rsidR="0088737B" w:rsidRPr="00C1697B" w:rsidRDefault="005F58EE" w:rsidP="005F58EE">
            <w:pPr>
              <w:jc w:val="both"/>
              <w:rPr>
                <w:b/>
                <w:sz w:val="20"/>
                <w:szCs w:val="20"/>
              </w:rPr>
            </w:pPr>
            <w:r w:rsidRPr="00307752">
              <w:rPr>
                <w:rFonts w:cs="Times New Roman"/>
                <w:smallCaps/>
                <w:sz w:val="20"/>
                <w:szCs w:val="20"/>
              </w:rPr>
              <w:t>Karakatsanis J.</w:t>
            </w:r>
            <w:r w:rsidRPr="00307752">
              <w:rPr>
                <w:rFonts w:cs="Times New Roman"/>
                <w:sz w:val="20"/>
                <w:szCs w:val="20"/>
              </w:rPr>
              <w:t xml:space="preserve"> — The Court of Appeal erred in failing to give deference to the Arbitrator’s interpretation of the collective agreement and in failing to recognize the different purposes of pregnancy benefits and parental benefits.  The Arbitrator was entitled to reach the conclusions that he did and we see no reason to interfere with the remedy.  The appeal is allowed with costs and the Arbitrator’s award is restored.</w:t>
            </w:r>
          </w:p>
        </w:tc>
        <w:tc>
          <w:tcPr>
            <w:tcW w:w="720" w:type="dxa"/>
            <w:tcMar>
              <w:left w:w="0" w:type="dxa"/>
              <w:right w:w="0" w:type="dxa"/>
            </w:tcMar>
          </w:tcPr>
          <w:p w:rsidR="0088737B" w:rsidRPr="00C1697B" w:rsidRDefault="0088737B" w:rsidP="003B3ED7">
            <w:pPr>
              <w:widowControl w:val="0"/>
              <w:jc w:val="center"/>
              <w:rPr>
                <w:sz w:val="20"/>
                <w:szCs w:val="20"/>
              </w:rPr>
            </w:pPr>
          </w:p>
        </w:tc>
        <w:tc>
          <w:tcPr>
            <w:tcW w:w="4380" w:type="dxa"/>
            <w:tcMar>
              <w:left w:w="0" w:type="dxa"/>
              <w:right w:w="0" w:type="dxa"/>
            </w:tcMar>
          </w:tcPr>
          <w:p w:rsidR="0088737B" w:rsidRPr="00CC4D84" w:rsidRDefault="0088737B" w:rsidP="003B3ED7">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88737B" w:rsidRPr="00C1697B" w:rsidRDefault="0088737B" w:rsidP="003B3ED7">
            <w:pPr>
              <w:widowControl w:val="0"/>
              <w:jc w:val="both"/>
              <w:rPr>
                <w:sz w:val="20"/>
                <w:szCs w:val="20"/>
                <w:lang w:val="fr-CA"/>
              </w:rPr>
            </w:pPr>
          </w:p>
          <w:p w:rsidR="005F58EE" w:rsidRPr="00307752" w:rsidRDefault="005F58EE" w:rsidP="005F58EE">
            <w:pPr>
              <w:jc w:val="both"/>
              <w:rPr>
                <w:rFonts w:cs="Times New Roman"/>
                <w:sz w:val="20"/>
                <w:szCs w:val="20"/>
                <w:lang w:val="fr-CA"/>
              </w:rPr>
            </w:pPr>
            <w:r w:rsidRPr="00307752">
              <w:rPr>
                <w:rFonts w:cs="Times New Roman"/>
                <w:sz w:val="20"/>
                <w:szCs w:val="20"/>
                <w:lang w:val="fr-CA"/>
              </w:rPr>
              <w:t>L’appel interjeté de l’arrêt de la Cour d’appel de la Colombie-Britannique (Vancouver), numéro CA040450, 2013 BCCA 405, daté du 20 septembre 2013, a été entendu le 12 novembre 2014, et la Cour a prononcé oralement le même jour le jugement suivant</w:t>
            </w:r>
            <w:r>
              <w:rPr>
                <w:rFonts w:cs="Times New Roman"/>
                <w:sz w:val="20"/>
                <w:szCs w:val="20"/>
                <w:lang w:val="fr-CA"/>
              </w:rPr>
              <w:t> </w:t>
            </w:r>
            <w:r w:rsidRPr="00307752">
              <w:rPr>
                <w:rFonts w:cs="Times New Roman"/>
                <w:sz w:val="20"/>
                <w:szCs w:val="20"/>
                <w:lang w:val="fr-CA"/>
              </w:rPr>
              <w:t>:</w:t>
            </w:r>
          </w:p>
          <w:p w:rsidR="005F58EE" w:rsidRPr="00307752" w:rsidRDefault="005F58EE" w:rsidP="005F58EE">
            <w:pPr>
              <w:jc w:val="both"/>
              <w:rPr>
                <w:rFonts w:cs="Times New Roman"/>
                <w:sz w:val="20"/>
                <w:szCs w:val="20"/>
                <w:lang w:val="fr-CA"/>
              </w:rPr>
            </w:pPr>
          </w:p>
          <w:p w:rsidR="005F58EE" w:rsidRPr="00307752" w:rsidRDefault="005F58EE" w:rsidP="005F58EE">
            <w:pPr>
              <w:jc w:val="both"/>
              <w:rPr>
                <w:rFonts w:cs="Times New Roman"/>
                <w:smallCaps/>
                <w:sz w:val="20"/>
                <w:szCs w:val="20"/>
                <w:lang w:val="fr-CA"/>
              </w:rPr>
            </w:pPr>
            <w:r w:rsidRPr="00307752">
              <w:rPr>
                <w:rFonts w:cs="Times New Roman"/>
                <w:sz w:val="20"/>
                <w:szCs w:val="20"/>
                <w:lang w:val="fr-CA"/>
              </w:rPr>
              <w:t>[</w:t>
            </w:r>
            <w:r w:rsidRPr="00307752">
              <w:rPr>
                <w:rFonts w:cs="Times New Roman"/>
                <w:smallCaps/>
                <w:sz w:val="20"/>
                <w:szCs w:val="20"/>
                <w:lang w:val="fr-CA"/>
              </w:rPr>
              <w:t>traduction]</w:t>
            </w:r>
          </w:p>
          <w:p w:rsidR="0088737B" w:rsidRPr="00C1697B" w:rsidRDefault="005F58EE" w:rsidP="005F58EE">
            <w:pPr>
              <w:jc w:val="both"/>
              <w:rPr>
                <w:sz w:val="20"/>
                <w:szCs w:val="20"/>
                <w:lang w:val="fr-CA"/>
              </w:rPr>
            </w:pPr>
            <w:r w:rsidRPr="00307752">
              <w:rPr>
                <w:rFonts w:cs="Times New Roman"/>
                <w:smallCaps/>
                <w:sz w:val="20"/>
                <w:szCs w:val="20"/>
                <w:lang w:val="fr-CA"/>
              </w:rPr>
              <w:t>La juge</w:t>
            </w:r>
            <w:r w:rsidRPr="00307752">
              <w:rPr>
                <w:rFonts w:cs="Times New Roman"/>
                <w:sz w:val="20"/>
                <w:szCs w:val="20"/>
                <w:lang w:val="fr-CA"/>
              </w:rPr>
              <w:t xml:space="preserve"> </w:t>
            </w:r>
            <w:r w:rsidRPr="00307752">
              <w:rPr>
                <w:rFonts w:cs="Times New Roman"/>
                <w:smallCaps/>
                <w:sz w:val="20"/>
                <w:szCs w:val="20"/>
                <w:lang w:val="fr-CA"/>
              </w:rPr>
              <w:t>Karakatsanis</w:t>
            </w:r>
            <w:r w:rsidRPr="00307752">
              <w:rPr>
                <w:rFonts w:cs="Times New Roman"/>
                <w:sz w:val="20"/>
                <w:szCs w:val="20"/>
                <w:lang w:val="fr-CA"/>
              </w:rPr>
              <w:t xml:space="preserve"> — La Cour d’appel a fait erreur en ne déférant pas à l’interprétation de la convention collective faite par l’arbitre et en ne reconnaissant pas que les prestations de grossesse et les prestations parentales ont des objets distincts. L’arbitre pouvait à bon droit conclure comme il l’a fait, et nous ne voyons aucune raison de modifier la réparation accordée.  Le pourvoi est accueilli avec dépens, et la sentence arbitrale est rétablie.</w:t>
            </w:r>
          </w:p>
        </w:tc>
      </w:tr>
    </w:tbl>
    <w:p w:rsidR="0088737B" w:rsidRPr="005E31A3" w:rsidRDefault="0088737B" w:rsidP="0088737B">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8737B" w:rsidRPr="00690162" w:rsidTr="003B3ED7">
        <w:tc>
          <w:tcPr>
            <w:tcW w:w="4380" w:type="dxa"/>
            <w:tcMar>
              <w:left w:w="0" w:type="dxa"/>
              <w:right w:w="0" w:type="dxa"/>
            </w:tcMar>
          </w:tcPr>
          <w:p w:rsidR="0088737B" w:rsidRPr="00CC4D84" w:rsidRDefault="0088737B" w:rsidP="003B3ED7">
            <w:pPr>
              <w:widowControl w:val="0"/>
              <w:jc w:val="both"/>
              <w:rPr>
                <w:b/>
                <w:sz w:val="20"/>
                <w:szCs w:val="20"/>
                <w:u w:val="single"/>
              </w:rPr>
            </w:pPr>
            <w:r w:rsidRPr="00CC4D84">
              <w:rPr>
                <w:b/>
                <w:sz w:val="20"/>
                <w:szCs w:val="20"/>
                <w:u w:val="single"/>
              </w:rPr>
              <w:t>Nature of the case:</w:t>
            </w:r>
          </w:p>
          <w:p w:rsidR="0088737B" w:rsidRPr="001A663B" w:rsidRDefault="0088737B" w:rsidP="003B3ED7">
            <w:pPr>
              <w:widowControl w:val="0"/>
              <w:jc w:val="both"/>
              <w:rPr>
                <w:b/>
                <w:sz w:val="20"/>
                <w:szCs w:val="20"/>
              </w:rPr>
            </w:pPr>
          </w:p>
          <w:p w:rsidR="0088737B" w:rsidRPr="00C1697B" w:rsidRDefault="0088737B" w:rsidP="003B3ED7">
            <w:pPr>
              <w:widowControl w:val="0"/>
              <w:jc w:val="both"/>
              <w:rPr>
                <w:b/>
                <w:sz w:val="20"/>
                <w:szCs w:val="20"/>
              </w:rPr>
            </w:pPr>
            <w:r w:rsidRPr="00222EC6">
              <w:rPr>
                <w:sz w:val="20"/>
                <w:szCs w:val="20"/>
              </w:rPr>
              <w:t>Labour relations - Collective agreements - Pregnancy benefits - Parental benefits - Supplemental employment benefits - Whether the arbitrator committed a reviewable error in his interpretation of the collective agreement - Whether the Court of Appeal erred in finding that pregnancy leave and benefits and parental leave and benefits have the same purpose - Whether the Court of Appeal erred in finding that birth mothers are not subject to discrimination because they receive “equal” treatment in the provision of supplementary employment benefits under the collective agreement.</w:t>
            </w:r>
          </w:p>
        </w:tc>
        <w:tc>
          <w:tcPr>
            <w:tcW w:w="720" w:type="dxa"/>
            <w:tcMar>
              <w:left w:w="0" w:type="dxa"/>
              <w:right w:w="0" w:type="dxa"/>
            </w:tcMar>
          </w:tcPr>
          <w:p w:rsidR="0088737B" w:rsidRPr="00C1697B" w:rsidRDefault="0088737B" w:rsidP="003B3ED7">
            <w:pPr>
              <w:widowControl w:val="0"/>
              <w:jc w:val="center"/>
              <w:rPr>
                <w:sz w:val="20"/>
                <w:szCs w:val="20"/>
              </w:rPr>
            </w:pPr>
          </w:p>
        </w:tc>
        <w:tc>
          <w:tcPr>
            <w:tcW w:w="4380" w:type="dxa"/>
            <w:tcMar>
              <w:left w:w="0" w:type="dxa"/>
              <w:right w:w="0" w:type="dxa"/>
            </w:tcMar>
          </w:tcPr>
          <w:p w:rsidR="0088737B" w:rsidRPr="00CC4D84" w:rsidRDefault="0088737B" w:rsidP="003B3ED7">
            <w:pPr>
              <w:widowControl w:val="0"/>
              <w:jc w:val="both"/>
              <w:rPr>
                <w:b/>
                <w:sz w:val="20"/>
                <w:szCs w:val="20"/>
                <w:u w:val="single"/>
                <w:lang w:val="fr-CA"/>
              </w:rPr>
            </w:pPr>
            <w:r w:rsidRPr="00CC4D84">
              <w:rPr>
                <w:b/>
                <w:sz w:val="20"/>
                <w:szCs w:val="20"/>
                <w:u w:val="single"/>
                <w:lang w:val="fr-CA"/>
              </w:rPr>
              <w:t>Nature de la cause :</w:t>
            </w:r>
          </w:p>
          <w:p w:rsidR="0088737B" w:rsidRPr="00C1697B" w:rsidRDefault="0088737B" w:rsidP="003B3ED7">
            <w:pPr>
              <w:widowControl w:val="0"/>
              <w:jc w:val="both"/>
              <w:rPr>
                <w:sz w:val="20"/>
                <w:szCs w:val="20"/>
                <w:lang w:val="fr-CA"/>
              </w:rPr>
            </w:pPr>
          </w:p>
          <w:p w:rsidR="0088737B" w:rsidRPr="00C1697B" w:rsidRDefault="0088737B" w:rsidP="003B3ED7">
            <w:pPr>
              <w:widowControl w:val="0"/>
              <w:jc w:val="both"/>
              <w:rPr>
                <w:sz w:val="20"/>
                <w:szCs w:val="20"/>
                <w:lang w:val="fr-CA"/>
              </w:rPr>
            </w:pPr>
            <w:r w:rsidRPr="008615C9">
              <w:rPr>
                <w:sz w:val="20"/>
                <w:szCs w:val="20"/>
                <w:lang w:val="fr-CA"/>
              </w:rPr>
              <w:t xml:space="preserve">Relations du travail - Conventions collectives - Prestations de grossesse - Prestations parentales - Supplément aux prestations d’assurance-emploi - L’arbitre a-t-il commis une erreur susceptible de révision dans son interprétation de la convention collective? La Cour d’appel a-t-elle conclu à tort que les prestations versées lors du congé pour grossesse et du congé parental ont le même objet? - La Cour d’appel a-t-elle fait erreur en concluant que les mères biologiques ne sont pas victimes de discrimination parce qu’elles reçoivent un traitement « égal » en ce sens qu’elles touchent le supplément aux prestations d’assurance-emploi que prévoit la convention </w:t>
            </w:r>
            <w:r w:rsidRPr="008615C9">
              <w:rPr>
                <w:sz w:val="20"/>
                <w:szCs w:val="20"/>
                <w:lang w:val="fr-CA"/>
              </w:rPr>
              <w:lastRenderedPageBreak/>
              <w:t>collective?</w:t>
            </w:r>
          </w:p>
        </w:tc>
      </w:tr>
    </w:tbl>
    <w:p w:rsidR="0088737B" w:rsidRDefault="0088737B" w:rsidP="0088737B">
      <w:pPr>
        <w:widowControl w:val="0"/>
        <w:rPr>
          <w:sz w:val="20"/>
          <w:szCs w:val="20"/>
          <w:lang w:val="fr-CA"/>
        </w:rPr>
      </w:pPr>
    </w:p>
    <w:p w:rsidR="0088737B" w:rsidRDefault="00690162" w:rsidP="0088737B">
      <w:pPr>
        <w:widowControl w:val="0"/>
        <w:rPr>
          <w:sz w:val="20"/>
          <w:szCs w:val="20"/>
        </w:rPr>
      </w:pPr>
      <w:r>
        <w:rPr>
          <w:sz w:val="20"/>
          <w:szCs w:val="20"/>
          <w:lang w:val="fr-CA"/>
        </w:rPr>
        <w:pict>
          <v:rect id="_x0000_i1086" style="width:2in;height:1pt" o:hrpct="0" o:hralign="center" o:hrstd="t" o:hrnoshade="t" o:hr="t" fillcolor="black [3213]" stroked="f"/>
        </w:pict>
      </w:r>
    </w:p>
    <w:p w:rsidR="0088737B" w:rsidRDefault="0088737B" w:rsidP="0088737B">
      <w:pPr>
        <w:widowControl w:val="0"/>
        <w:rPr>
          <w:sz w:val="20"/>
          <w:szCs w:val="20"/>
        </w:rPr>
      </w:pPr>
    </w:p>
    <w:p w:rsidR="0088737B" w:rsidRPr="00736B38" w:rsidRDefault="0088737B" w:rsidP="0088737B">
      <w:pPr>
        <w:widowControl w:val="0"/>
        <w:rPr>
          <w:sz w:val="20"/>
          <w:szCs w:val="20"/>
        </w:rPr>
      </w:pPr>
      <w:r w:rsidRPr="00736B38">
        <w:rPr>
          <w:sz w:val="20"/>
          <w:szCs w:val="20"/>
        </w:rPr>
        <w:t>1</w:t>
      </w:r>
      <w:r>
        <w:rPr>
          <w:sz w:val="20"/>
          <w:szCs w:val="20"/>
        </w:rPr>
        <w:t>4</w:t>
      </w:r>
      <w:r w:rsidRPr="00736B38">
        <w:rPr>
          <w:sz w:val="20"/>
          <w:szCs w:val="20"/>
        </w:rPr>
        <w:t>.11.2014</w:t>
      </w:r>
    </w:p>
    <w:p w:rsidR="0088737B" w:rsidRDefault="0088737B" w:rsidP="0088737B">
      <w:pPr>
        <w:widowControl w:val="0"/>
        <w:rPr>
          <w:sz w:val="20"/>
          <w:szCs w:val="20"/>
        </w:rPr>
      </w:pPr>
    </w:p>
    <w:p w:rsidR="00495EFA" w:rsidRPr="00F02FF8" w:rsidRDefault="00495EFA" w:rsidP="00495EFA">
      <w:pPr>
        <w:widowControl w:val="0"/>
        <w:ind w:left="720" w:hanging="720"/>
        <w:rPr>
          <w:sz w:val="20"/>
          <w:szCs w:val="20"/>
          <w:u w:val="single"/>
        </w:rPr>
      </w:pPr>
      <w:r w:rsidRPr="00F02FF8">
        <w:rPr>
          <w:sz w:val="20"/>
          <w:szCs w:val="20"/>
        </w:rPr>
        <w:t xml:space="preserve">Coram: </w:t>
      </w:r>
      <w:r w:rsidRPr="00F02FF8">
        <w:rPr>
          <w:sz w:val="20"/>
          <w:szCs w:val="20"/>
        </w:rPr>
        <w:tab/>
      </w:r>
      <w:r w:rsidRPr="00F02FF8">
        <w:rPr>
          <w:sz w:val="20"/>
          <w:szCs w:val="20"/>
          <w:u w:val="single"/>
        </w:rPr>
        <w:t>Abella, Rothstein, Cromwell, Moldaver, Karakatsanis, Wagner and Gascon JJ.</w:t>
      </w:r>
    </w:p>
    <w:p w:rsidR="0088737B" w:rsidRPr="00736B38" w:rsidRDefault="0088737B" w:rsidP="0088737B">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8737B" w:rsidRPr="00D934C5" w:rsidTr="003B3ED7">
        <w:tc>
          <w:tcPr>
            <w:tcW w:w="4380" w:type="dxa"/>
            <w:tcMar>
              <w:left w:w="0" w:type="dxa"/>
              <w:right w:w="0" w:type="dxa"/>
            </w:tcMar>
          </w:tcPr>
          <w:p w:rsidR="00BE64AE" w:rsidRDefault="00BE64AE" w:rsidP="00BE64AE">
            <w:pPr>
              <w:rPr>
                <w:b/>
                <w:iCs/>
                <w:sz w:val="20"/>
                <w:szCs w:val="20"/>
              </w:rPr>
            </w:pPr>
            <w:r w:rsidRPr="00F02FF8">
              <w:rPr>
                <w:b/>
                <w:iCs/>
                <w:sz w:val="20"/>
                <w:szCs w:val="20"/>
              </w:rPr>
              <w:t xml:space="preserve">Her Majesty the Queen </w:t>
            </w:r>
          </w:p>
          <w:p w:rsidR="00BE64AE" w:rsidRDefault="00BE64AE" w:rsidP="00BE64AE">
            <w:pPr>
              <w:rPr>
                <w:b/>
                <w:iCs/>
                <w:sz w:val="20"/>
                <w:szCs w:val="20"/>
              </w:rPr>
            </w:pPr>
          </w:p>
          <w:p w:rsidR="00BE64AE" w:rsidRDefault="00BE64AE" w:rsidP="00BE64AE">
            <w:pPr>
              <w:rPr>
                <w:b/>
                <w:iCs/>
                <w:sz w:val="20"/>
                <w:szCs w:val="20"/>
              </w:rPr>
            </w:pPr>
            <w:r>
              <w:rPr>
                <w:b/>
                <w:iCs/>
                <w:sz w:val="20"/>
                <w:szCs w:val="20"/>
              </w:rPr>
              <w:tab/>
            </w:r>
            <w:r w:rsidRPr="00F02FF8">
              <w:rPr>
                <w:b/>
                <w:iCs/>
                <w:sz w:val="20"/>
                <w:szCs w:val="20"/>
              </w:rPr>
              <w:t xml:space="preserve">v. </w:t>
            </w:r>
            <w:r w:rsidRPr="00F02FF8">
              <w:rPr>
                <w:sz w:val="20"/>
                <w:szCs w:val="20"/>
              </w:rPr>
              <w:t>(</w:t>
            </w:r>
            <w:hyperlink r:id="rId90" w:history="1">
              <w:r w:rsidRPr="00F02FF8">
                <w:rPr>
                  <w:rStyle w:val="Hyperlink"/>
                  <w:sz w:val="20"/>
                  <w:szCs w:val="20"/>
                </w:rPr>
                <w:t>35664</w:t>
              </w:r>
            </w:hyperlink>
            <w:r w:rsidRPr="00F02FF8">
              <w:rPr>
                <w:sz w:val="20"/>
                <w:szCs w:val="20"/>
              </w:rPr>
              <w:t>)</w:t>
            </w:r>
          </w:p>
          <w:p w:rsidR="00BE64AE" w:rsidRDefault="00BE64AE" w:rsidP="00BE64AE">
            <w:pPr>
              <w:rPr>
                <w:b/>
                <w:iCs/>
                <w:sz w:val="20"/>
                <w:szCs w:val="20"/>
              </w:rPr>
            </w:pPr>
          </w:p>
          <w:p w:rsidR="0088737B" w:rsidRPr="00736B38" w:rsidRDefault="00BE64AE" w:rsidP="00495EFA">
            <w:pPr>
              <w:rPr>
                <w:sz w:val="20"/>
                <w:szCs w:val="20"/>
              </w:rPr>
            </w:pPr>
            <w:r w:rsidRPr="00BE64AE">
              <w:rPr>
                <w:b/>
                <w:iCs/>
                <w:sz w:val="20"/>
                <w:szCs w:val="20"/>
              </w:rPr>
              <w:t>Mark Edward Grant</w:t>
            </w:r>
            <w:r w:rsidRPr="00BE64AE">
              <w:rPr>
                <w:b/>
                <w:sz w:val="20"/>
                <w:szCs w:val="20"/>
              </w:rPr>
              <w:t xml:space="preserve"> (Man.) (Criminal) (By Leave)</w:t>
            </w:r>
            <w:r w:rsidRPr="00F02FF8">
              <w:rPr>
                <w:sz w:val="20"/>
                <w:szCs w:val="20"/>
              </w:rPr>
              <w:t xml:space="preserve"> </w:t>
            </w:r>
          </w:p>
        </w:tc>
        <w:tc>
          <w:tcPr>
            <w:tcW w:w="720" w:type="dxa"/>
            <w:tcMar>
              <w:left w:w="0" w:type="dxa"/>
              <w:right w:w="0" w:type="dxa"/>
            </w:tcMar>
          </w:tcPr>
          <w:p w:rsidR="0088737B" w:rsidRPr="00736B38" w:rsidRDefault="0088737B" w:rsidP="003B3ED7">
            <w:pPr>
              <w:widowControl w:val="0"/>
              <w:jc w:val="center"/>
              <w:rPr>
                <w:sz w:val="20"/>
                <w:szCs w:val="20"/>
              </w:rPr>
            </w:pPr>
          </w:p>
        </w:tc>
        <w:tc>
          <w:tcPr>
            <w:tcW w:w="4380" w:type="dxa"/>
            <w:tcMar>
              <w:left w:w="0" w:type="dxa"/>
              <w:right w:w="0" w:type="dxa"/>
            </w:tcMar>
          </w:tcPr>
          <w:p w:rsidR="004F6467" w:rsidRPr="000221D8" w:rsidRDefault="004F6467" w:rsidP="004F6467">
            <w:pPr>
              <w:rPr>
                <w:sz w:val="20"/>
                <w:szCs w:val="20"/>
              </w:rPr>
            </w:pPr>
            <w:r w:rsidRPr="000221D8">
              <w:rPr>
                <w:sz w:val="20"/>
                <w:szCs w:val="20"/>
              </w:rPr>
              <w:t>Amiram Kotler</w:t>
            </w:r>
            <w:r>
              <w:rPr>
                <w:sz w:val="20"/>
                <w:szCs w:val="20"/>
              </w:rPr>
              <w:t xml:space="preserve"> and </w:t>
            </w:r>
            <w:r w:rsidRPr="000221D8">
              <w:rPr>
                <w:sz w:val="20"/>
                <w:szCs w:val="20"/>
              </w:rPr>
              <w:t xml:space="preserve">Rekha Malaviya </w:t>
            </w:r>
            <w:r>
              <w:rPr>
                <w:sz w:val="20"/>
                <w:szCs w:val="20"/>
              </w:rPr>
              <w:t>f</w:t>
            </w:r>
            <w:r w:rsidRPr="000221D8">
              <w:rPr>
                <w:sz w:val="20"/>
                <w:szCs w:val="20"/>
              </w:rPr>
              <w:t xml:space="preserve">or the </w:t>
            </w:r>
            <w:r>
              <w:rPr>
                <w:sz w:val="20"/>
                <w:szCs w:val="20"/>
              </w:rPr>
              <w:t>a</w:t>
            </w:r>
            <w:r w:rsidRPr="000221D8">
              <w:rPr>
                <w:sz w:val="20"/>
                <w:szCs w:val="20"/>
              </w:rPr>
              <w:t>ppellant</w:t>
            </w:r>
            <w:r>
              <w:rPr>
                <w:sz w:val="20"/>
                <w:szCs w:val="20"/>
              </w:rPr>
              <w:t>.</w:t>
            </w:r>
          </w:p>
          <w:p w:rsidR="004F6467" w:rsidRPr="000221D8" w:rsidRDefault="004F6467" w:rsidP="004F6467">
            <w:pPr>
              <w:rPr>
                <w:sz w:val="20"/>
                <w:szCs w:val="20"/>
              </w:rPr>
            </w:pPr>
          </w:p>
          <w:p w:rsidR="0088737B" w:rsidRPr="00736B38" w:rsidRDefault="004F6467" w:rsidP="004F6467">
            <w:pPr>
              <w:widowControl w:val="0"/>
              <w:jc w:val="both"/>
              <w:rPr>
                <w:sz w:val="20"/>
                <w:szCs w:val="20"/>
              </w:rPr>
            </w:pPr>
            <w:r w:rsidRPr="000221D8">
              <w:rPr>
                <w:sz w:val="20"/>
                <w:szCs w:val="20"/>
              </w:rPr>
              <w:t>Saul B. Simmonds</w:t>
            </w:r>
            <w:r>
              <w:rPr>
                <w:sz w:val="20"/>
                <w:szCs w:val="20"/>
              </w:rPr>
              <w:t xml:space="preserve">, </w:t>
            </w:r>
            <w:r w:rsidRPr="000221D8">
              <w:rPr>
                <w:sz w:val="20"/>
                <w:szCs w:val="20"/>
                <w:lang w:val="en-US"/>
              </w:rPr>
              <w:t>Vanessa Hébert</w:t>
            </w:r>
            <w:r>
              <w:rPr>
                <w:sz w:val="20"/>
                <w:szCs w:val="20"/>
                <w:lang w:val="en-US"/>
              </w:rPr>
              <w:t xml:space="preserve"> and </w:t>
            </w:r>
            <w:r w:rsidRPr="000221D8">
              <w:rPr>
                <w:sz w:val="20"/>
                <w:szCs w:val="20"/>
                <w:lang w:val="en-US"/>
              </w:rPr>
              <w:t>Laura Robinson</w:t>
            </w:r>
            <w:r>
              <w:rPr>
                <w:sz w:val="20"/>
                <w:szCs w:val="20"/>
                <w:lang w:val="en-US"/>
              </w:rPr>
              <w:t xml:space="preserve"> f</w:t>
            </w:r>
            <w:r w:rsidRPr="000221D8">
              <w:rPr>
                <w:sz w:val="20"/>
                <w:szCs w:val="20"/>
              </w:rPr>
              <w:t xml:space="preserve">or the </w:t>
            </w:r>
            <w:r>
              <w:rPr>
                <w:sz w:val="20"/>
                <w:szCs w:val="20"/>
              </w:rPr>
              <w:t>r</w:t>
            </w:r>
            <w:r w:rsidRPr="000221D8">
              <w:rPr>
                <w:sz w:val="20"/>
                <w:szCs w:val="20"/>
              </w:rPr>
              <w:t>espondent</w:t>
            </w:r>
            <w:r>
              <w:rPr>
                <w:sz w:val="20"/>
                <w:szCs w:val="20"/>
              </w:rPr>
              <w:t>.</w:t>
            </w:r>
          </w:p>
        </w:tc>
      </w:tr>
    </w:tbl>
    <w:p w:rsidR="0088737B" w:rsidRDefault="0088737B" w:rsidP="0088737B">
      <w:pPr>
        <w:widowControl w:val="0"/>
        <w:rPr>
          <w:sz w:val="20"/>
          <w:szCs w:val="20"/>
        </w:rPr>
      </w:pPr>
    </w:p>
    <w:p w:rsidR="007C47C2" w:rsidRPr="0085476B" w:rsidRDefault="007C47C2" w:rsidP="007C47C2">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7C47C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B3ED7" w:rsidRPr="00690162" w:rsidTr="003B3ED7">
        <w:tc>
          <w:tcPr>
            <w:tcW w:w="4380" w:type="dxa"/>
            <w:tcMar>
              <w:left w:w="0" w:type="dxa"/>
              <w:right w:w="0" w:type="dxa"/>
            </w:tcMar>
          </w:tcPr>
          <w:p w:rsidR="003B3ED7" w:rsidRPr="00CC4D84" w:rsidRDefault="003B3ED7" w:rsidP="003B3ED7">
            <w:pPr>
              <w:widowControl w:val="0"/>
              <w:jc w:val="both"/>
              <w:rPr>
                <w:b/>
                <w:sz w:val="20"/>
                <w:szCs w:val="20"/>
                <w:u w:val="single"/>
              </w:rPr>
            </w:pPr>
            <w:r w:rsidRPr="00CC4D84">
              <w:rPr>
                <w:b/>
                <w:sz w:val="20"/>
                <w:szCs w:val="20"/>
                <w:u w:val="single"/>
              </w:rPr>
              <w:t>Nature of the case:</w:t>
            </w:r>
          </w:p>
          <w:p w:rsidR="003B3ED7" w:rsidRPr="001A663B" w:rsidRDefault="003B3ED7" w:rsidP="003B3ED7">
            <w:pPr>
              <w:widowControl w:val="0"/>
              <w:jc w:val="both"/>
              <w:rPr>
                <w:b/>
                <w:sz w:val="20"/>
                <w:szCs w:val="20"/>
              </w:rPr>
            </w:pPr>
          </w:p>
          <w:p w:rsidR="003B3ED7" w:rsidRPr="00C1697B" w:rsidRDefault="003B3ED7" w:rsidP="003B3ED7">
            <w:pPr>
              <w:widowControl w:val="0"/>
              <w:jc w:val="both"/>
              <w:rPr>
                <w:b/>
                <w:sz w:val="20"/>
                <w:szCs w:val="20"/>
              </w:rPr>
            </w:pPr>
            <w:r w:rsidRPr="00762AAD">
              <w:rPr>
                <w:sz w:val="20"/>
                <w:szCs w:val="20"/>
              </w:rPr>
              <w:t>Criminal law - Evidence - Unknown third party suspect - Similar fact evidence - Whether the Manitoba Court of Appeal erred in overturning the trial judge’s decision not to admit the evidence of an alleged, unknown third party suspect?</w:t>
            </w:r>
          </w:p>
        </w:tc>
        <w:tc>
          <w:tcPr>
            <w:tcW w:w="720" w:type="dxa"/>
            <w:tcMar>
              <w:left w:w="0" w:type="dxa"/>
              <w:right w:w="0" w:type="dxa"/>
            </w:tcMar>
          </w:tcPr>
          <w:p w:rsidR="003B3ED7" w:rsidRPr="00C1697B" w:rsidRDefault="003B3ED7" w:rsidP="003B3ED7">
            <w:pPr>
              <w:widowControl w:val="0"/>
              <w:jc w:val="center"/>
              <w:rPr>
                <w:sz w:val="20"/>
                <w:szCs w:val="20"/>
              </w:rPr>
            </w:pPr>
          </w:p>
        </w:tc>
        <w:tc>
          <w:tcPr>
            <w:tcW w:w="4380" w:type="dxa"/>
            <w:tcMar>
              <w:left w:w="0" w:type="dxa"/>
              <w:right w:w="0" w:type="dxa"/>
            </w:tcMar>
          </w:tcPr>
          <w:p w:rsidR="003B3ED7" w:rsidRPr="00CC4D84" w:rsidRDefault="003B3ED7" w:rsidP="003B3ED7">
            <w:pPr>
              <w:widowControl w:val="0"/>
              <w:jc w:val="both"/>
              <w:rPr>
                <w:b/>
                <w:sz w:val="20"/>
                <w:szCs w:val="20"/>
                <w:u w:val="single"/>
                <w:lang w:val="fr-CA"/>
              </w:rPr>
            </w:pPr>
            <w:r w:rsidRPr="00CC4D84">
              <w:rPr>
                <w:b/>
                <w:sz w:val="20"/>
                <w:szCs w:val="20"/>
                <w:u w:val="single"/>
                <w:lang w:val="fr-CA"/>
              </w:rPr>
              <w:t>Nature de la cause :</w:t>
            </w:r>
          </w:p>
          <w:p w:rsidR="003B3ED7" w:rsidRPr="00C1697B" w:rsidRDefault="003B3ED7" w:rsidP="003B3ED7">
            <w:pPr>
              <w:widowControl w:val="0"/>
              <w:jc w:val="both"/>
              <w:rPr>
                <w:sz w:val="20"/>
                <w:szCs w:val="20"/>
                <w:lang w:val="fr-CA"/>
              </w:rPr>
            </w:pPr>
          </w:p>
          <w:p w:rsidR="003B3ED7" w:rsidRPr="00C1697B" w:rsidRDefault="003B3ED7" w:rsidP="003B3ED7">
            <w:pPr>
              <w:widowControl w:val="0"/>
              <w:jc w:val="both"/>
              <w:rPr>
                <w:sz w:val="20"/>
                <w:szCs w:val="20"/>
                <w:lang w:val="fr-CA"/>
              </w:rPr>
            </w:pPr>
            <w:r w:rsidRPr="000070BF">
              <w:rPr>
                <w:sz w:val="20"/>
                <w:szCs w:val="20"/>
                <w:lang w:val="fr-CA"/>
              </w:rPr>
              <w:t>Droit criminel - Preuve - Tiers suspect inconnu - Preuve de faits similaires - La Cour d’appel du Manitoba a-t-elle eu tort d’infirmer la décision du juge du procès de ne pas admettre la preuve d’un présumé tiers suspect inconnu?</w:t>
            </w:r>
          </w:p>
        </w:tc>
      </w:tr>
    </w:tbl>
    <w:p w:rsidR="003B3ED7" w:rsidRDefault="003B3ED7" w:rsidP="002A27D1">
      <w:pPr>
        <w:widowControl w:val="0"/>
        <w:rPr>
          <w:sz w:val="20"/>
          <w:szCs w:val="20"/>
          <w:lang w:val="fr-CA"/>
        </w:rPr>
      </w:pPr>
    </w:p>
    <w:p w:rsidR="002A27D1" w:rsidRDefault="00690162" w:rsidP="002A27D1">
      <w:pPr>
        <w:widowControl w:val="0"/>
        <w:rPr>
          <w:sz w:val="20"/>
          <w:szCs w:val="20"/>
        </w:rPr>
      </w:pPr>
      <w:r>
        <w:rPr>
          <w:sz w:val="20"/>
          <w:szCs w:val="20"/>
          <w:lang w:val="fr-CA"/>
        </w:rPr>
        <w:pict>
          <v:rect id="_x0000_i1087" style="width:2in;height:1pt" o:hrpct="0" o:hralign="center" o:hrstd="t" o:hrnoshade="t" o:hr="t" fillcolor="black [3213]" stroked="f"/>
        </w:pict>
      </w:r>
    </w:p>
    <w:p w:rsidR="002A27D1" w:rsidRDefault="002A27D1" w:rsidP="002A27D1">
      <w:pPr>
        <w:widowControl w:val="0"/>
        <w:rPr>
          <w:sz w:val="20"/>
          <w:szCs w:val="20"/>
        </w:rPr>
      </w:pPr>
    </w:p>
    <w:p w:rsidR="007C47C2" w:rsidRPr="00C50A5C" w:rsidRDefault="007C47C2" w:rsidP="007C47C2">
      <w:pPr>
        <w:widowControl w:val="0"/>
        <w:rPr>
          <w:sz w:val="20"/>
          <w:szCs w:val="20"/>
        </w:rPr>
      </w:pPr>
      <w:r>
        <w:rPr>
          <w:sz w:val="20"/>
          <w:szCs w:val="20"/>
        </w:rPr>
        <w:t>1</w:t>
      </w:r>
      <w:r w:rsidR="00495EFA">
        <w:rPr>
          <w:sz w:val="20"/>
          <w:szCs w:val="20"/>
        </w:rPr>
        <w:t>4</w:t>
      </w:r>
      <w:r w:rsidRPr="00C50A5C">
        <w:rPr>
          <w:sz w:val="20"/>
          <w:szCs w:val="20"/>
        </w:rPr>
        <w:t>.</w:t>
      </w:r>
      <w:r w:rsidR="00495EFA">
        <w:rPr>
          <w:sz w:val="20"/>
          <w:szCs w:val="20"/>
        </w:rPr>
        <w:t>11</w:t>
      </w:r>
      <w:r w:rsidRPr="00C50A5C">
        <w:rPr>
          <w:sz w:val="20"/>
          <w:szCs w:val="20"/>
        </w:rPr>
        <w:t>.201</w:t>
      </w:r>
      <w:r>
        <w:rPr>
          <w:sz w:val="20"/>
          <w:szCs w:val="20"/>
        </w:rPr>
        <w:t>4</w:t>
      </w:r>
    </w:p>
    <w:p w:rsidR="007C47C2" w:rsidRDefault="007C47C2" w:rsidP="007C47C2">
      <w:pPr>
        <w:widowControl w:val="0"/>
        <w:rPr>
          <w:sz w:val="20"/>
          <w:szCs w:val="20"/>
        </w:rPr>
      </w:pPr>
    </w:p>
    <w:p w:rsidR="00495EFA" w:rsidRPr="00F02FF8" w:rsidRDefault="00495EFA" w:rsidP="00495EFA">
      <w:pPr>
        <w:widowControl w:val="0"/>
        <w:ind w:left="720" w:hanging="720"/>
        <w:rPr>
          <w:sz w:val="20"/>
          <w:szCs w:val="20"/>
          <w:u w:val="single"/>
        </w:rPr>
      </w:pPr>
      <w:r w:rsidRPr="00F02FF8">
        <w:rPr>
          <w:sz w:val="20"/>
          <w:szCs w:val="20"/>
        </w:rPr>
        <w:t xml:space="preserve">Coram: </w:t>
      </w:r>
      <w:r w:rsidRPr="00F02FF8">
        <w:rPr>
          <w:sz w:val="20"/>
          <w:szCs w:val="20"/>
        </w:rPr>
        <w:tab/>
      </w:r>
      <w:r w:rsidRPr="00F02FF8">
        <w:rPr>
          <w:sz w:val="20"/>
          <w:szCs w:val="20"/>
          <w:u w:val="single"/>
        </w:rPr>
        <w:t>Rothstein, Cromwell, Moldaver, Karakatsanis and Wagner JJ.</w:t>
      </w:r>
    </w:p>
    <w:p w:rsidR="007C47C2" w:rsidRPr="00C50A5C" w:rsidRDefault="007C47C2" w:rsidP="007C47C2">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50A5C" w:rsidTr="00C80C4E">
        <w:tc>
          <w:tcPr>
            <w:tcW w:w="4380" w:type="dxa"/>
            <w:tcMar>
              <w:left w:w="0" w:type="dxa"/>
              <w:right w:w="0" w:type="dxa"/>
            </w:tcMar>
          </w:tcPr>
          <w:p w:rsidR="00495EFA" w:rsidRDefault="00495EFA" w:rsidP="00495EFA">
            <w:pPr>
              <w:rPr>
                <w:b/>
                <w:iCs/>
                <w:sz w:val="20"/>
                <w:szCs w:val="20"/>
              </w:rPr>
            </w:pPr>
            <w:r w:rsidRPr="00F02FF8">
              <w:rPr>
                <w:b/>
                <w:iCs/>
                <w:sz w:val="20"/>
                <w:szCs w:val="20"/>
              </w:rPr>
              <w:t xml:space="preserve">Brandon Wills </w:t>
            </w:r>
          </w:p>
          <w:p w:rsidR="00495EFA" w:rsidRDefault="00495EFA" w:rsidP="00495EFA">
            <w:pPr>
              <w:rPr>
                <w:b/>
                <w:iCs/>
                <w:sz w:val="20"/>
                <w:szCs w:val="20"/>
              </w:rPr>
            </w:pPr>
          </w:p>
          <w:p w:rsidR="00495EFA" w:rsidRDefault="00495EFA" w:rsidP="00495EFA">
            <w:pPr>
              <w:rPr>
                <w:b/>
                <w:iCs/>
                <w:sz w:val="20"/>
                <w:szCs w:val="20"/>
              </w:rPr>
            </w:pPr>
            <w:r>
              <w:rPr>
                <w:b/>
                <w:iCs/>
                <w:sz w:val="20"/>
                <w:szCs w:val="20"/>
              </w:rPr>
              <w:tab/>
            </w:r>
            <w:r w:rsidRPr="00F02FF8">
              <w:rPr>
                <w:b/>
                <w:iCs/>
                <w:sz w:val="20"/>
                <w:szCs w:val="20"/>
              </w:rPr>
              <w:t xml:space="preserve">v. </w:t>
            </w:r>
            <w:r w:rsidRPr="00F02FF8">
              <w:rPr>
                <w:sz w:val="20"/>
                <w:szCs w:val="20"/>
              </w:rPr>
              <w:t>(</w:t>
            </w:r>
            <w:hyperlink r:id="rId91" w:history="1">
              <w:r w:rsidRPr="00F02FF8">
                <w:rPr>
                  <w:rStyle w:val="Hyperlink"/>
                  <w:sz w:val="20"/>
                  <w:szCs w:val="20"/>
                </w:rPr>
                <w:t>35804</w:t>
              </w:r>
            </w:hyperlink>
            <w:r w:rsidRPr="00F02FF8">
              <w:rPr>
                <w:sz w:val="20"/>
                <w:szCs w:val="20"/>
              </w:rPr>
              <w:t>)</w:t>
            </w:r>
          </w:p>
          <w:p w:rsidR="00495EFA" w:rsidRDefault="00495EFA" w:rsidP="00495EFA">
            <w:pPr>
              <w:rPr>
                <w:b/>
                <w:iCs/>
                <w:sz w:val="20"/>
                <w:szCs w:val="20"/>
              </w:rPr>
            </w:pPr>
          </w:p>
          <w:p w:rsidR="007C47C2" w:rsidRPr="00893C7B" w:rsidRDefault="00495EFA" w:rsidP="00495EFA">
            <w:pPr>
              <w:rPr>
                <w:sz w:val="20"/>
                <w:szCs w:val="20"/>
              </w:rPr>
            </w:pPr>
            <w:r w:rsidRPr="00F02FF8">
              <w:rPr>
                <w:b/>
                <w:iCs/>
                <w:sz w:val="20"/>
                <w:szCs w:val="20"/>
              </w:rPr>
              <w:t>Her Majesty the Queen</w:t>
            </w:r>
            <w:r w:rsidRPr="00F02FF8">
              <w:rPr>
                <w:sz w:val="20"/>
                <w:szCs w:val="20"/>
              </w:rPr>
              <w:t xml:space="preserve"> </w:t>
            </w:r>
            <w:r w:rsidRPr="00495EFA">
              <w:rPr>
                <w:b/>
                <w:sz w:val="20"/>
                <w:szCs w:val="20"/>
              </w:rPr>
              <w:t>(Ont.) (Criminal) (As of Right)</w:t>
            </w:r>
            <w:r w:rsidRPr="00F02FF8">
              <w:rPr>
                <w:sz w:val="20"/>
                <w:szCs w:val="20"/>
              </w:rPr>
              <w:t xml:space="preserve"> </w:t>
            </w:r>
          </w:p>
        </w:tc>
        <w:tc>
          <w:tcPr>
            <w:tcW w:w="720" w:type="dxa"/>
            <w:tcMar>
              <w:left w:w="0" w:type="dxa"/>
              <w:right w:w="0" w:type="dxa"/>
            </w:tcMar>
          </w:tcPr>
          <w:p w:rsidR="007C47C2" w:rsidRPr="00893C7B" w:rsidRDefault="007C47C2" w:rsidP="00C80C4E">
            <w:pPr>
              <w:widowControl w:val="0"/>
              <w:jc w:val="center"/>
              <w:rPr>
                <w:sz w:val="20"/>
                <w:szCs w:val="20"/>
              </w:rPr>
            </w:pPr>
          </w:p>
        </w:tc>
        <w:tc>
          <w:tcPr>
            <w:tcW w:w="4380" w:type="dxa"/>
            <w:tcMar>
              <w:left w:w="0" w:type="dxa"/>
              <w:right w:w="0" w:type="dxa"/>
            </w:tcMar>
          </w:tcPr>
          <w:p w:rsidR="000721E5" w:rsidRPr="00A5412E" w:rsidRDefault="000721E5" w:rsidP="000721E5">
            <w:pPr>
              <w:jc w:val="both"/>
              <w:rPr>
                <w:sz w:val="20"/>
                <w:szCs w:val="20"/>
                <w:lang w:val="en-US"/>
              </w:rPr>
            </w:pPr>
            <w:r>
              <w:rPr>
                <w:sz w:val="20"/>
                <w:szCs w:val="20"/>
              </w:rPr>
              <w:t xml:space="preserve">Carlos Rippell and </w:t>
            </w:r>
            <w:r w:rsidRPr="00A5412E">
              <w:rPr>
                <w:sz w:val="20"/>
                <w:szCs w:val="20"/>
                <w:lang w:val="en-US"/>
              </w:rPr>
              <w:t>Diana M. Lumba</w:t>
            </w:r>
            <w:r>
              <w:rPr>
                <w:sz w:val="20"/>
                <w:szCs w:val="20"/>
                <w:lang w:val="en-US"/>
              </w:rPr>
              <w:t xml:space="preserve"> f</w:t>
            </w:r>
            <w:r w:rsidRPr="00A5412E">
              <w:rPr>
                <w:sz w:val="20"/>
                <w:szCs w:val="20"/>
              </w:rPr>
              <w:t xml:space="preserve">or the </w:t>
            </w:r>
            <w:r>
              <w:rPr>
                <w:sz w:val="20"/>
                <w:szCs w:val="20"/>
              </w:rPr>
              <w:t>a</w:t>
            </w:r>
            <w:r w:rsidRPr="00A5412E">
              <w:rPr>
                <w:sz w:val="20"/>
                <w:szCs w:val="20"/>
              </w:rPr>
              <w:t>ppellant</w:t>
            </w:r>
            <w:r>
              <w:rPr>
                <w:sz w:val="20"/>
                <w:szCs w:val="20"/>
              </w:rPr>
              <w:t>.</w:t>
            </w:r>
          </w:p>
          <w:p w:rsidR="000721E5" w:rsidRPr="00A5412E" w:rsidRDefault="000721E5" w:rsidP="000721E5">
            <w:pPr>
              <w:jc w:val="both"/>
              <w:rPr>
                <w:sz w:val="20"/>
                <w:szCs w:val="20"/>
                <w:lang w:val="en-US"/>
              </w:rPr>
            </w:pPr>
          </w:p>
          <w:p w:rsidR="007C47C2" w:rsidRPr="00C50A5C" w:rsidRDefault="000721E5" w:rsidP="000721E5">
            <w:pPr>
              <w:widowControl w:val="0"/>
              <w:jc w:val="both"/>
              <w:rPr>
                <w:sz w:val="20"/>
                <w:szCs w:val="20"/>
              </w:rPr>
            </w:pPr>
            <w:r w:rsidRPr="00A5412E">
              <w:rPr>
                <w:sz w:val="20"/>
                <w:szCs w:val="20"/>
              </w:rPr>
              <w:t>David M. Lepofsky</w:t>
            </w:r>
            <w:r>
              <w:rPr>
                <w:sz w:val="20"/>
                <w:szCs w:val="20"/>
              </w:rPr>
              <w:t xml:space="preserve"> f</w:t>
            </w:r>
            <w:r w:rsidRPr="00A5412E">
              <w:rPr>
                <w:sz w:val="20"/>
                <w:szCs w:val="20"/>
              </w:rPr>
              <w:t xml:space="preserve">or the </w:t>
            </w:r>
            <w:r>
              <w:rPr>
                <w:sz w:val="20"/>
                <w:szCs w:val="20"/>
              </w:rPr>
              <w:t>r</w:t>
            </w:r>
            <w:r w:rsidRPr="00A5412E">
              <w:rPr>
                <w:sz w:val="20"/>
                <w:szCs w:val="20"/>
              </w:rPr>
              <w:t>espondent</w:t>
            </w:r>
            <w:r>
              <w:rPr>
                <w:sz w:val="20"/>
                <w:szCs w:val="20"/>
              </w:rPr>
              <w:t>.</w:t>
            </w:r>
          </w:p>
        </w:tc>
      </w:tr>
    </w:tbl>
    <w:p w:rsidR="007C47C2" w:rsidRDefault="007C47C2" w:rsidP="007C47C2">
      <w:pPr>
        <w:widowControl w:val="0"/>
      </w:pPr>
    </w:p>
    <w:p w:rsidR="00495EFA" w:rsidRPr="0085476B" w:rsidRDefault="00495EFA" w:rsidP="00495EFA">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7C47C2" w:rsidRPr="005E31A3" w:rsidRDefault="007C47C2"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690162" w:rsidTr="00C80C4E">
        <w:tc>
          <w:tcPr>
            <w:tcW w:w="4380" w:type="dxa"/>
            <w:tcMar>
              <w:left w:w="0" w:type="dxa"/>
              <w:right w:w="0" w:type="dxa"/>
            </w:tcMar>
          </w:tcPr>
          <w:p w:rsidR="007C47C2" w:rsidRPr="00CC4D84" w:rsidRDefault="007C47C2" w:rsidP="00C80C4E">
            <w:pPr>
              <w:widowControl w:val="0"/>
              <w:jc w:val="both"/>
              <w:rPr>
                <w:b/>
                <w:sz w:val="20"/>
                <w:szCs w:val="20"/>
                <w:u w:val="single"/>
              </w:rPr>
            </w:pPr>
            <w:r w:rsidRPr="00CC4D84">
              <w:rPr>
                <w:b/>
                <w:sz w:val="20"/>
                <w:szCs w:val="20"/>
                <w:u w:val="single"/>
              </w:rPr>
              <w:t>Nature of the case:</w:t>
            </w:r>
          </w:p>
          <w:p w:rsidR="007C47C2" w:rsidRPr="00C1697B" w:rsidRDefault="007C47C2" w:rsidP="00C80C4E">
            <w:pPr>
              <w:widowControl w:val="0"/>
              <w:jc w:val="both"/>
              <w:rPr>
                <w:b/>
                <w:sz w:val="20"/>
                <w:szCs w:val="20"/>
              </w:rPr>
            </w:pPr>
          </w:p>
          <w:p w:rsidR="007C47C2" w:rsidRPr="00C1697B" w:rsidRDefault="000721E5" w:rsidP="00C80C4E">
            <w:pPr>
              <w:widowControl w:val="0"/>
              <w:jc w:val="both"/>
              <w:rPr>
                <w:b/>
                <w:sz w:val="20"/>
                <w:szCs w:val="20"/>
              </w:rPr>
            </w:pPr>
            <w:r w:rsidRPr="00B70BAF">
              <w:rPr>
                <w:sz w:val="20"/>
                <w:szCs w:val="20"/>
              </w:rPr>
              <w:t>Criminal law - Reasonable verdict - Whether, given the frailties of the circumstantial evidence, the guilty verdict was one that a properly instructed jury, acting judicially, could properly have rendered.</w:t>
            </w:r>
          </w:p>
        </w:tc>
        <w:tc>
          <w:tcPr>
            <w:tcW w:w="720" w:type="dxa"/>
            <w:tcMar>
              <w:left w:w="0" w:type="dxa"/>
              <w:right w:w="0" w:type="dxa"/>
            </w:tcMar>
          </w:tcPr>
          <w:p w:rsidR="007C47C2" w:rsidRPr="00C1697B" w:rsidRDefault="007C47C2" w:rsidP="00C80C4E">
            <w:pPr>
              <w:widowControl w:val="0"/>
              <w:jc w:val="center"/>
              <w:rPr>
                <w:sz w:val="20"/>
                <w:szCs w:val="20"/>
              </w:rPr>
            </w:pPr>
          </w:p>
        </w:tc>
        <w:tc>
          <w:tcPr>
            <w:tcW w:w="4380" w:type="dxa"/>
            <w:tcMar>
              <w:left w:w="0" w:type="dxa"/>
              <w:right w:w="0" w:type="dxa"/>
            </w:tcMar>
          </w:tcPr>
          <w:p w:rsidR="007C47C2" w:rsidRPr="00CC4D84" w:rsidRDefault="007C47C2" w:rsidP="00C80C4E">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C80C4E">
            <w:pPr>
              <w:widowControl w:val="0"/>
              <w:jc w:val="both"/>
              <w:rPr>
                <w:sz w:val="20"/>
                <w:szCs w:val="20"/>
                <w:lang w:val="fr-CA"/>
              </w:rPr>
            </w:pPr>
          </w:p>
          <w:p w:rsidR="007C47C2" w:rsidRPr="00C1697B" w:rsidRDefault="000721E5" w:rsidP="00C80C4E">
            <w:pPr>
              <w:widowControl w:val="0"/>
              <w:jc w:val="both"/>
              <w:rPr>
                <w:sz w:val="20"/>
                <w:szCs w:val="20"/>
                <w:lang w:val="fr-CA"/>
              </w:rPr>
            </w:pPr>
            <w:r w:rsidRPr="001B7E95">
              <w:rPr>
                <w:sz w:val="20"/>
                <w:szCs w:val="20"/>
                <w:lang w:val="fr-CA"/>
              </w:rPr>
              <w:t>Droit criminel - Verdict raisonnable - Compte tenu des faiblesses de la preuve circonstancielle, le verdict de culpabilité était-il un de ceux qu’un jury qui a reçu des directives appropriées et qui agit d’une manière judiciaire aurait pu raisonnablement rendre?</w:t>
            </w:r>
          </w:p>
        </w:tc>
      </w:tr>
    </w:tbl>
    <w:p w:rsidR="007C47C2" w:rsidRDefault="007C47C2" w:rsidP="007C47C2">
      <w:pPr>
        <w:widowControl w:val="0"/>
        <w:rPr>
          <w:sz w:val="20"/>
          <w:szCs w:val="20"/>
          <w:lang w:val="fr-CA"/>
        </w:rPr>
      </w:pPr>
    </w:p>
    <w:p w:rsidR="00E940EB" w:rsidRDefault="00690162" w:rsidP="00732DB7">
      <w:pPr>
        <w:widowControl w:val="0"/>
        <w:rPr>
          <w:sz w:val="20"/>
          <w:szCs w:val="20"/>
          <w:lang w:val="fr-CA"/>
        </w:rPr>
      </w:pPr>
      <w:r>
        <w:rPr>
          <w:sz w:val="20"/>
          <w:szCs w:val="20"/>
          <w:lang w:val="fr-CA"/>
        </w:rPr>
        <w:pict>
          <v:rect id="_x0000_i1088" style="width:2in;height:1pt" o:hrpct="0" o:hralign="center" o:hrstd="t" o:hrnoshade="t" o:hr="t" fillcolor="black [3213]" stroked="f"/>
        </w:pict>
      </w:r>
    </w:p>
    <w:p w:rsidR="00D004FC" w:rsidRPr="00C1697B" w:rsidRDefault="00D004FC"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92"/>
          <w:headerReference w:type="default" r:id="rId93"/>
          <w:footerReference w:type="even" r:id="rId94"/>
          <w:footerReference w:type="default" r:id="rId95"/>
          <w:headerReference w:type="first" r:id="rId96"/>
          <w:footerReference w:type="first" r:id="rId97"/>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690162"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5F5D47" w:rsidRDefault="0052229C" w:rsidP="0052229C">
      <w:pPr>
        <w:rPr>
          <w:b/>
          <w:sz w:val="20"/>
          <w:szCs w:val="20"/>
        </w:rPr>
      </w:pPr>
      <w:r w:rsidRPr="005F5D47">
        <w:rPr>
          <w:b/>
          <w:sz w:val="20"/>
          <w:szCs w:val="20"/>
        </w:rPr>
        <w:t>N</w:t>
      </w:r>
      <w:r w:rsidR="003022E2" w:rsidRPr="005F5D47">
        <w:rPr>
          <w:b/>
          <w:sz w:val="20"/>
          <w:szCs w:val="20"/>
        </w:rPr>
        <w:t>OVEMBE</w:t>
      </w:r>
      <w:r w:rsidRPr="005F5D47">
        <w:rPr>
          <w:b/>
          <w:sz w:val="20"/>
          <w:szCs w:val="20"/>
        </w:rPr>
        <w:t xml:space="preserve">R </w:t>
      </w:r>
      <w:r w:rsidR="003022E2" w:rsidRPr="005F5D47">
        <w:rPr>
          <w:b/>
          <w:sz w:val="20"/>
          <w:szCs w:val="20"/>
        </w:rPr>
        <w:t>20</w:t>
      </w:r>
      <w:r w:rsidRPr="005F5D47">
        <w:rPr>
          <w:b/>
          <w:sz w:val="20"/>
          <w:szCs w:val="20"/>
        </w:rPr>
        <w:t xml:space="preserve">, 2014 / LE </w:t>
      </w:r>
      <w:r w:rsidR="003022E2" w:rsidRPr="005F5D47">
        <w:rPr>
          <w:b/>
          <w:sz w:val="20"/>
          <w:szCs w:val="20"/>
        </w:rPr>
        <w:t>20</w:t>
      </w:r>
      <w:r w:rsidRPr="005F5D47">
        <w:rPr>
          <w:b/>
          <w:sz w:val="20"/>
          <w:szCs w:val="20"/>
        </w:rPr>
        <w:t xml:space="preserve"> N</w:t>
      </w:r>
      <w:r w:rsidR="003022E2" w:rsidRPr="005F5D47">
        <w:rPr>
          <w:b/>
          <w:sz w:val="20"/>
          <w:szCs w:val="20"/>
        </w:rPr>
        <w:t>O</w:t>
      </w:r>
      <w:r w:rsidRPr="005F5D47">
        <w:rPr>
          <w:b/>
          <w:sz w:val="20"/>
          <w:szCs w:val="20"/>
        </w:rPr>
        <w:t>VE</w:t>
      </w:r>
      <w:r w:rsidR="003022E2" w:rsidRPr="005F5D47">
        <w:rPr>
          <w:b/>
          <w:sz w:val="20"/>
          <w:szCs w:val="20"/>
        </w:rPr>
        <w:t>MB</w:t>
      </w:r>
      <w:r w:rsidRPr="005F5D47">
        <w:rPr>
          <w:b/>
          <w:sz w:val="20"/>
          <w:szCs w:val="20"/>
        </w:rPr>
        <w:t>R</w:t>
      </w:r>
      <w:r w:rsidR="003022E2" w:rsidRPr="005F5D47">
        <w:rPr>
          <w:b/>
          <w:sz w:val="20"/>
          <w:szCs w:val="20"/>
        </w:rPr>
        <w:t>E</w:t>
      </w:r>
      <w:r w:rsidRPr="005F5D47">
        <w:rPr>
          <w:b/>
          <w:sz w:val="20"/>
          <w:szCs w:val="20"/>
        </w:rPr>
        <w:t xml:space="preserve"> 2014</w:t>
      </w:r>
    </w:p>
    <w:p w:rsidR="0052229C" w:rsidRPr="005F5D47" w:rsidRDefault="0052229C" w:rsidP="0052229C">
      <w:pPr>
        <w:rPr>
          <w:sz w:val="20"/>
          <w:szCs w:val="20"/>
        </w:rPr>
      </w:pPr>
    </w:p>
    <w:p w:rsidR="00915D6A" w:rsidRPr="00915D6A" w:rsidRDefault="00D921D7" w:rsidP="00915D6A">
      <w:pPr>
        <w:ind w:left="1440" w:hanging="1440"/>
        <w:jc w:val="both"/>
        <w:rPr>
          <w:sz w:val="20"/>
          <w:szCs w:val="20"/>
        </w:rPr>
      </w:pPr>
      <w:r w:rsidRPr="00915D6A">
        <w:rPr>
          <w:b/>
          <w:sz w:val="20"/>
          <w:szCs w:val="20"/>
        </w:rPr>
        <w:fldChar w:fldCharType="begin"/>
      </w:r>
      <w:r w:rsidR="00915D6A" w:rsidRPr="00915D6A">
        <w:rPr>
          <w:b/>
          <w:sz w:val="20"/>
          <w:szCs w:val="20"/>
        </w:rPr>
        <w:instrText xml:space="preserve"> SEQ CHAPTER \h \r 1</w:instrText>
      </w:r>
      <w:r w:rsidRPr="00915D6A">
        <w:rPr>
          <w:b/>
          <w:sz w:val="20"/>
          <w:szCs w:val="20"/>
        </w:rPr>
        <w:fldChar w:fldCharType="end"/>
      </w:r>
      <w:r w:rsidR="00915D6A" w:rsidRPr="00915D6A">
        <w:rPr>
          <w:b/>
          <w:sz w:val="20"/>
          <w:szCs w:val="20"/>
        </w:rPr>
        <w:t>35804</w:t>
      </w:r>
      <w:r w:rsidR="00915D6A" w:rsidRPr="00915D6A">
        <w:rPr>
          <w:sz w:val="20"/>
          <w:szCs w:val="20"/>
        </w:rPr>
        <w:tab/>
      </w:r>
      <w:r w:rsidR="00915D6A" w:rsidRPr="00915D6A">
        <w:rPr>
          <w:b/>
          <w:sz w:val="20"/>
          <w:szCs w:val="20"/>
          <w:u w:val="single"/>
        </w:rPr>
        <w:t>Brandon Wills v. Her Majesty the Queen</w:t>
      </w:r>
      <w:r w:rsidR="00915D6A" w:rsidRPr="00915D6A">
        <w:rPr>
          <w:sz w:val="20"/>
          <w:szCs w:val="20"/>
        </w:rPr>
        <w:t xml:space="preserve"> (Ont.)</w:t>
      </w:r>
    </w:p>
    <w:p w:rsidR="00915D6A" w:rsidRPr="00915D6A" w:rsidRDefault="00915D6A" w:rsidP="00915D6A">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915D6A">
        <w:rPr>
          <w:b/>
          <w:sz w:val="20"/>
          <w:szCs w:val="20"/>
        </w:rPr>
        <w:t>2014 SCC 73 / 2014 CSC 73</w:t>
      </w:r>
    </w:p>
    <w:p w:rsidR="00915D6A" w:rsidRPr="00915D6A" w:rsidRDefault="00915D6A" w:rsidP="00915D6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915D6A" w:rsidRPr="00915D6A" w:rsidRDefault="00915D6A" w:rsidP="00915D6A">
      <w:pPr>
        <w:ind w:left="1440" w:hanging="1440"/>
        <w:rPr>
          <w:sz w:val="20"/>
          <w:szCs w:val="20"/>
          <w:u w:val="single"/>
        </w:rPr>
      </w:pPr>
      <w:r w:rsidRPr="00915D6A">
        <w:rPr>
          <w:sz w:val="20"/>
          <w:szCs w:val="20"/>
        </w:rPr>
        <w:t>Coram:</w:t>
      </w:r>
      <w:r w:rsidRPr="00915D6A">
        <w:rPr>
          <w:sz w:val="20"/>
          <w:szCs w:val="20"/>
        </w:rPr>
        <w:tab/>
      </w:r>
      <w:r w:rsidRPr="00915D6A">
        <w:rPr>
          <w:sz w:val="20"/>
          <w:szCs w:val="20"/>
          <w:u w:val="single"/>
        </w:rPr>
        <w:t>Rothstein, Cromwell, Moldaver, Karakatsanis and Wagner JJ.</w:t>
      </w:r>
    </w:p>
    <w:p w:rsidR="00915D6A" w:rsidRPr="00915D6A" w:rsidRDefault="00915D6A" w:rsidP="00915D6A">
      <w:pPr>
        <w:ind w:left="1440" w:hanging="1440"/>
        <w:rPr>
          <w:sz w:val="20"/>
          <w:szCs w:val="20"/>
          <w:u w:val="single"/>
        </w:rPr>
      </w:pPr>
    </w:p>
    <w:p w:rsidR="00915D6A" w:rsidRPr="00915D6A" w:rsidRDefault="00915D6A" w:rsidP="00915D6A">
      <w:pPr>
        <w:jc w:val="both"/>
        <w:rPr>
          <w:sz w:val="20"/>
          <w:szCs w:val="20"/>
        </w:rPr>
      </w:pPr>
      <w:r w:rsidRPr="00915D6A">
        <w:rPr>
          <w:sz w:val="20"/>
          <w:szCs w:val="20"/>
        </w:rPr>
        <w:t>The appeal from the judgment of the Court of Appeal for Ontario, Number C54968, 2014 ONCA 178, dated March 7, 2014, was heard on November 14, 2014, and the Court on November 20, 2014, delivered the following judgment:</w:t>
      </w:r>
    </w:p>
    <w:p w:rsidR="00915D6A" w:rsidRPr="00915D6A" w:rsidRDefault="00915D6A" w:rsidP="00915D6A">
      <w:pPr>
        <w:jc w:val="both"/>
        <w:rPr>
          <w:sz w:val="20"/>
          <w:szCs w:val="20"/>
        </w:rPr>
      </w:pPr>
    </w:p>
    <w:p w:rsidR="00915D6A" w:rsidRPr="00915D6A" w:rsidRDefault="00915D6A" w:rsidP="00915D6A">
      <w:pPr>
        <w:jc w:val="both"/>
        <w:rPr>
          <w:sz w:val="20"/>
          <w:szCs w:val="20"/>
        </w:rPr>
      </w:pPr>
      <w:r w:rsidRPr="00915D6A">
        <w:rPr>
          <w:sz w:val="20"/>
          <w:szCs w:val="20"/>
        </w:rPr>
        <w:t>ROTHSTEIN J. — The majority of the Court is of the view that the appeal should be dismissed for the reasons of Doherty J.A. in the Court of Appeal. Justices Cromwell and Karakatsanis, dissenting, would have allowed the appeal for the reasons of Pepall J.A.</w:t>
      </w:r>
    </w:p>
    <w:p w:rsidR="00915D6A" w:rsidRPr="00915D6A" w:rsidRDefault="00915D6A" w:rsidP="00915D6A">
      <w:pPr>
        <w:rPr>
          <w:sz w:val="20"/>
          <w:szCs w:val="20"/>
        </w:rPr>
      </w:pPr>
    </w:p>
    <w:p w:rsidR="00915D6A" w:rsidRPr="00915D6A" w:rsidRDefault="00915D6A" w:rsidP="00915D6A">
      <w:pPr>
        <w:rPr>
          <w:sz w:val="20"/>
          <w:szCs w:val="20"/>
        </w:rPr>
      </w:pPr>
    </w:p>
    <w:p w:rsidR="00915D6A" w:rsidRPr="00915D6A" w:rsidRDefault="00915D6A" w:rsidP="00915D6A">
      <w:pPr>
        <w:jc w:val="both"/>
        <w:rPr>
          <w:rFonts w:eastAsia="Calibri"/>
          <w:sz w:val="20"/>
          <w:szCs w:val="20"/>
          <w:lang w:val="fr-CA"/>
        </w:rPr>
      </w:pPr>
      <w:r w:rsidRPr="00915D6A">
        <w:rPr>
          <w:rFonts w:eastAsia="Calibri"/>
          <w:sz w:val="20"/>
          <w:szCs w:val="20"/>
          <w:lang w:val="fr-CA"/>
        </w:rPr>
        <w:t>L’appel interjeté contre l’arrêt de la Cour d’appel de l’Ontario, numéro C54968, 2014 ONCA 178, daté du 7 mars 2014, a été entendu le 14 novembre 2014, et la Cour a prononcé le jugement suivant le 20 novembre 2014 :</w:t>
      </w:r>
    </w:p>
    <w:p w:rsidR="00915D6A" w:rsidRPr="00915D6A" w:rsidRDefault="00915D6A" w:rsidP="00915D6A">
      <w:pPr>
        <w:jc w:val="both"/>
        <w:rPr>
          <w:rFonts w:eastAsia="Calibri"/>
          <w:sz w:val="20"/>
          <w:szCs w:val="20"/>
          <w:lang w:val="fr-CA"/>
        </w:rPr>
      </w:pPr>
    </w:p>
    <w:p w:rsidR="00915D6A" w:rsidRPr="00915D6A" w:rsidRDefault="00915D6A" w:rsidP="00915D6A">
      <w:pPr>
        <w:jc w:val="both"/>
        <w:rPr>
          <w:rFonts w:eastAsia="Calibri"/>
          <w:sz w:val="20"/>
          <w:szCs w:val="20"/>
          <w:lang w:val="fr-CA"/>
        </w:rPr>
      </w:pPr>
      <w:r w:rsidRPr="00915D6A">
        <w:rPr>
          <w:rFonts w:eastAsia="Calibri"/>
          <w:sz w:val="20"/>
          <w:szCs w:val="20"/>
          <w:lang w:val="fr-CA"/>
        </w:rPr>
        <w:t xml:space="preserve">LE JUGE ROTHSTEIN — La majorité de la Cour est d’avis de rejeter le pourvoi pour les motifs exposés par le juge Doherty de la Cour d’appel. Les juges Cromwell et Karakatsanis, dissidents, auraient accueilli le pourvoi pour les motifs de la juge d’appel Pepall. </w:t>
      </w:r>
    </w:p>
    <w:p w:rsidR="00915D6A" w:rsidRDefault="00915D6A" w:rsidP="0052229C">
      <w:pPr>
        <w:rPr>
          <w:sz w:val="20"/>
          <w:szCs w:val="20"/>
          <w:lang w:val="fr-CA"/>
        </w:rPr>
      </w:pPr>
    </w:p>
    <w:p w:rsidR="0052229C" w:rsidRPr="003B3977" w:rsidRDefault="00690162" w:rsidP="0052229C">
      <w:pPr>
        <w:spacing w:line="0" w:lineRule="atLeast"/>
        <w:rPr>
          <w:sz w:val="20"/>
          <w:szCs w:val="20"/>
        </w:rPr>
      </w:pPr>
      <w:r>
        <w:rPr>
          <w:b/>
          <w:sz w:val="20"/>
          <w:szCs w:val="20"/>
        </w:rPr>
        <w:pict>
          <v:rect id="_x0000_i1091"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98"/>
          <w:headerReference w:type="default" r:id="rId99"/>
          <w:footerReference w:type="even" r:id="rId100"/>
          <w:footerReference w:type="default" r:id="rId101"/>
          <w:headerReference w:type="first" r:id="rId102"/>
          <w:footerReference w:type="first" r:id="rId103"/>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CF582C">
            <w:pPr>
              <w:keepNext/>
              <w:keepLines/>
              <w:rPr>
                <w:b/>
                <w:szCs w:val="24"/>
              </w:rPr>
            </w:pPr>
            <w:r w:rsidRPr="00C50A5C">
              <w:rPr>
                <w:b/>
                <w:szCs w:val="24"/>
              </w:rPr>
              <w:lastRenderedPageBreak/>
              <w:t xml:space="preserve">AGENDA FOR </w:t>
            </w:r>
            <w:r w:rsidR="00CF582C">
              <w:rPr>
                <w:b/>
                <w:szCs w:val="24"/>
              </w:rPr>
              <w:t>DECEMBE</w:t>
            </w:r>
            <w:r w:rsidR="005F1ED8">
              <w:rPr>
                <w:b/>
                <w:szCs w:val="24"/>
              </w:rPr>
              <w:t>R 2014</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CF582C">
            <w:pPr>
              <w:keepNext/>
              <w:keepLines/>
              <w:rPr>
                <w:b/>
                <w:szCs w:val="24"/>
                <w:lang w:val="fr-CA"/>
              </w:rPr>
            </w:pPr>
            <w:r w:rsidRPr="00C50A5C">
              <w:rPr>
                <w:b/>
                <w:szCs w:val="24"/>
                <w:lang w:val="fr-CA"/>
              </w:rPr>
              <w:t>CALENDRIER D</w:t>
            </w:r>
            <w:r w:rsidR="00CF582C">
              <w:rPr>
                <w:b/>
                <w:szCs w:val="24"/>
                <w:lang w:val="fr-CA"/>
              </w:rPr>
              <w:t>E DÉCEMB</w:t>
            </w:r>
            <w:r w:rsidRPr="00C50A5C">
              <w:rPr>
                <w:b/>
                <w:szCs w:val="24"/>
                <w:lang w:val="fr-CA"/>
              </w:rPr>
              <w:t>R</w:t>
            </w:r>
            <w:r w:rsidR="00CF582C">
              <w:rPr>
                <w:b/>
                <w:szCs w:val="24"/>
                <w:lang w:val="fr-CA"/>
              </w:rPr>
              <w:t>E</w:t>
            </w:r>
            <w:r w:rsidRPr="00C50A5C">
              <w:rPr>
                <w:b/>
                <w:szCs w:val="24"/>
                <w:lang w:val="fr-CA"/>
              </w:rPr>
              <w:t xml:space="preserve"> </w:t>
            </w:r>
            <w:r w:rsidR="005F1ED8">
              <w:rPr>
                <w:b/>
                <w:szCs w:val="24"/>
                <w:lang w:val="fr-CA"/>
              </w:rPr>
              <w:t>2014</w:t>
            </w:r>
          </w:p>
        </w:tc>
      </w:tr>
    </w:tbl>
    <w:p w:rsidR="004B66B4" w:rsidRPr="00DD0B49" w:rsidRDefault="004B66B4" w:rsidP="004B66B4">
      <w:pPr>
        <w:rPr>
          <w:b/>
          <w:sz w:val="20"/>
          <w:szCs w:val="20"/>
        </w:rPr>
      </w:pPr>
    </w:p>
    <w:p w:rsidR="005F1ED8" w:rsidRPr="00DD0B49" w:rsidRDefault="005F1ED8" w:rsidP="005F1ED8">
      <w:pPr>
        <w:rPr>
          <w:b/>
          <w:sz w:val="20"/>
          <w:szCs w:val="20"/>
        </w:rPr>
      </w:pPr>
      <w:r w:rsidRPr="00DD0B49">
        <w:rPr>
          <w:b/>
          <w:sz w:val="20"/>
          <w:szCs w:val="20"/>
        </w:rPr>
        <w:t xml:space="preserve">AGENDA for the weeks of </w:t>
      </w:r>
      <w:r w:rsidR="00CF582C">
        <w:rPr>
          <w:b/>
          <w:sz w:val="20"/>
          <w:szCs w:val="20"/>
        </w:rPr>
        <w:t xml:space="preserve">December </w:t>
      </w:r>
      <w:r w:rsidRPr="00DD0B49">
        <w:rPr>
          <w:b/>
          <w:sz w:val="20"/>
          <w:szCs w:val="20"/>
        </w:rPr>
        <w:t xml:space="preserve">1 and </w:t>
      </w:r>
      <w:r w:rsidR="00CF582C">
        <w:rPr>
          <w:b/>
          <w:sz w:val="20"/>
          <w:szCs w:val="20"/>
        </w:rPr>
        <w:t>8</w:t>
      </w:r>
      <w:r w:rsidRPr="00DD0B49">
        <w:rPr>
          <w:b/>
          <w:sz w:val="20"/>
          <w:szCs w:val="20"/>
        </w:rPr>
        <w:t>, 201</w:t>
      </w:r>
      <w:r>
        <w:rPr>
          <w:b/>
          <w:sz w:val="20"/>
          <w:szCs w:val="20"/>
        </w:rPr>
        <w:t>4</w:t>
      </w:r>
      <w:r w:rsidRPr="00DD0B49">
        <w:rPr>
          <w:b/>
          <w:sz w:val="20"/>
          <w:szCs w:val="20"/>
        </w:rPr>
        <w:t>.</w:t>
      </w:r>
    </w:p>
    <w:p w:rsidR="005F1ED8" w:rsidRPr="00DD0B49" w:rsidRDefault="005F1ED8" w:rsidP="005F1ED8">
      <w:pPr>
        <w:rPr>
          <w:sz w:val="20"/>
          <w:szCs w:val="20"/>
          <w:lang w:val="fr-CA"/>
        </w:rPr>
      </w:pPr>
      <w:r w:rsidRPr="00DD0B49">
        <w:rPr>
          <w:b/>
          <w:sz w:val="20"/>
          <w:szCs w:val="20"/>
          <w:lang w:val="fr-CA"/>
        </w:rPr>
        <w:t>CALENDRIER de la semaine du 1</w:t>
      </w:r>
      <w:r w:rsidR="00CF582C" w:rsidRPr="00CF582C">
        <w:rPr>
          <w:b/>
          <w:sz w:val="20"/>
          <w:szCs w:val="20"/>
          <w:vertAlign w:val="superscript"/>
          <w:lang w:val="fr-CA"/>
        </w:rPr>
        <w:t>er</w:t>
      </w:r>
      <w:r w:rsidR="00CF582C">
        <w:rPr>
          <w:b/>
          <w:sz w:val="20"/>
          <w:szCs w:val="20"/>
          <w:lang w:val="fr-CA"/>
        </w:rPr>
        <w:t xml:space="preserve"> dé</w:t>
      </w:r>
      <w:r w:rsidR="001662A9">
        <w:rPr>
          <w:b/>
          <w:sz w:val="20"/>
          <w:szCs w:val="20"/>
          <w:lang w:val="fr-CA"/>
        </w:rPr>
        <w:t>c</w:t>
      </w:r>
      <w:r w:rsidR="00CF582C">
        <w:rPr>
          <w:b/>
          <w:sz w:val="20"/>
          <w:szCs w:val="20"/>
          <w:lang w:val="fr-CA"/>
        </w:rPr>
        <w:t>emb</w:t>
      </w:r>
      <w:r>
        <w:rPr>
          <w:b/>
          <w:sz w:val="20"/>
          <w:szCs w:val="20"/>
          <w:lang w:val="fr-CA"/>
        </w:rPr>
        <w:t>r</w:t>
      </w:r>
      <w:r w:rsidR="00CF582C">
        <w:rPr>
          <w:b/>
          <w:sz w:val="20"/>
          <w:szCs w:val="20"/>
          <w:lang w:val="fr-CA"/>
        </w:rPr>
        <w:t>e</w:t>
      </w:r>
      <w:r>
        <w:rPr>
          <w:b/>
          <w:sz w:val="20"/>
          <w:szCs w:val="20"/>
          <w:lang w:val="fr-CA"/>
        </w:rPr>
        <w:t xml:space="preserve"> </w:t>
      </w:r>
      <w:r w:rsidRPr="00DD0B49">
        <w:rPr>
          <w:b/>
          <w:sz w:val="20"/>
          <w:szCs w:val="20"/>
          <w:lang w:val="fr-CA"/>
        </w:rPr>
        <w:t xml:space="preserve">et celle du </w:t>
      </w:r>
      <w:r w:rsidR="00CF582C">
        <w:rPr>
          <w:b/>
          <w:sz w:val="20"/>
          <w:szCs w:val="20"/>
          <w:lang w:val="fr-CA"/>
        </w:rPr>
        <w:t>8</w:t>
      </w:r>
      <w:r w:rsidRPr="00DD0B49">
        <w:rPr>
          <w:b/>
          <w:sz w:val="20"/>
          <w:szCs w:val="20"/>
          <w:lang w:val="fr-CA"/>
        </w:rPr>
        <w:t xml:space="preserve"> </w:t>
      </w:r>
      <w:r w:rsidR="00CF582C">
        <w:rPr>
          <w:b/>
          <w:sz w:val="20"/>
          <w:szCs w:val="20"/>
          <w:lang w:val="fr-CA"/>
        </w:rPr>
        <w:t>décembre</w:t>
      </w:r>
      <w:r w:rsidRPr="00DD0B49">
        <w:rPr>
          <w:b/>
          <w:sz w:val="20"/>
          <w:szCs w:val="20"/>
          <w:lang w:val="fr-CA"/>
        </w:rPr>
        <w:t xml:space="preserve"> 201</w:t>
      </w:r>
      <w:r>
        <w:rPr>
          <w:b/>
          <w:sz w:val="20"/>
          <w:szCs w:val="20"/>
          <w:lang w:val="fr-CA"/>
        </w:rPr>
        <w:t>4</w:t>
      </w:r>
      <w:r w:rsidRPr="00DD0B49">
        <w:rPr>
          <w:b/>
          <w:sz w:val="20"/>
          <w:szCs w:val="20"/>
          <w:lang w:val="fr-CA"/>
        </w:rPr>
        <w:t>.</w:t>
      </w:r>
    </w:p>
    <w:p w:rsidR="005F1ED8" w:rsidRPr="00DD0B49" w:rsidRDefault="005F1ED8" w:rsidP="005F1ED8">
      <w:pPr>
        <w:rPr>
          <w:sz w:val="20"/>
          <w:szCs w:val="20"/>
          <w:lang w:val="fr-CA"/>
        </w:rPr>
      </w:pPr>
    </w:p>
    <w:p w:rsidR="005F1ED8" w:rsidRPr="00DD0B49" w:rsidRDefault="005F1ED8" w:rsidP="005F1ED8">
      <w:pPr>
        <w:rPr>
          <w:sz w:val="20"/>
          <w:szCs w:val="20"/>
        </w:rPr>
      </w:pPr>
      <w:r w:rsidRPr="00DD0B49">
        <w:rPr>
          <w:sz w:val="20"/>
          <w:szCs w:val="20"/>
        </w:rPr>
        <w:t xml:space="preserve">The Court will not be sitting during the weeks of </w:t>
      </w:r>
      <w:r w:rsidR="00CF582C">
        <w:rPr>
          <w:sz w:val="20"/>
          <w:szCs w:val="20"/>
        </w:rPr>
        <w:t>Decembe</w:t>
      </w:r>
      <w:r>
        <w:rPr>
          <w:sz w:val="20"/>
          <w:szCs w:val="20"/>
        </w:rPr>
        <w:t xml:space="preserve">r </w:t>
      </w:r>
      <w:r w:rsidR="00CF582C">
        <w:rPr>
          <w:sz w:val="20"/>
          <w:szCs w:val="20"/>
        </w:rPr>
        <w:t xml:space="preserve">15, 22 </w:t>
      </w:r>
      <w:r w:rsidRPr="00DD0B49">
        <w:rPr>
          <w:sz w:val="20"/>
          <w:szCs w:val="20"/>
        </w:rPr>
        <w:t>and 2</w:t>
      </w:r>
      <w:r w:rsidR="00CF582C">
        <w:rPr>
          <w:sz w:val="20"/>
          <w:szCs w:val="20"/>
        </w:rPr>
        <w:t>9</w:t>
      </w:r>
      <w:r w:rsidRPr="00DD0B49">
        <w:rPr>
          <w:sz w:val="20"/>
          <w:szCs w:val="20"/>
        </w:rPr>
        <w:t>, 201</w:t>
      </w:r>
      <w:r>
        <w:rPr>
          <w:sz w:val="20"/>
          <w:szCs w:val="20"/>
        </w:rPr>
        <w:t>4</w:t>
      </w:r>
      <w:r w:rsidRPr="00DD0B49">
        <w:rPr>
          <w:sz w:val="20"/>
          <w:szCs w:val="20"/>
        </w:rPr>
        <w:t>.</w:t>
      </w:r>
    </w:p>
    <w:p w:rsidR="005F1ED8" w:rsidRPr="00DD0B49" w:rsidRDefault="005F1ED8" w:rsidP="005F1ED8">
      <w:pPr>
        <w:rPr>
          <w:sz w:val="20"/>
          <w:szCs w:val="20"/>
          <w:lang w:val="fr-CA"/>
        </w:rPr>
      </w:pPr>
      <w:r w:rsidRPr="00DD0B49">
        <w:rPr>
          <w:sz w:val="20"/>
          <w:szCs w:val="20"/>
          <w:lang w:val="fr-CA"/>
        </w:rPr>
        <w:t xml:space="preserve">La Cour ne siègera pas pendant les semaines du </w:t>
      </w:r>
      <w:r w:rsidR="00CF582C">
        <w:rPr>
          <w:sz w:val="20"/>
          <w:szCs w:val="20"/>
          <w:lang w:val="fr-CA"/>
        </w:rPr>
        <w:t>15, 22</w:t>
      </w:r>
      <w:r w:rsidRPr="00DD0B49">
        <w:rPr>
          <w:sz w:val="20"/>
          <w:szCs w:val="20"/>
          <w:lang w:val="fr-CA"/>
        </w:rPr>
        <w:t xml:space="preserve"> et du 2</w:t>
      </w:r>
      <w:r w:rsidR="00CF582C">
        <w:rPr>
          <w:sz w:val="20"/>
          <w:szCs w:val="20"/>
          <w:lang w:val="fr-CA"/>
        </w:rPr>
        <w:t>9</w:t>
      </w:r>
      <w:r w:rsidRPr="00DD0B49">
        <w:rPr>
          <w:sz w:val="20"/>
          <w:szCs w:val="20"/>
          <w:lang w:val="fr-CA"/>
        </w:rPr>
        <w:t xml:space="preserve"> </w:t>
      </w:r>
      <w:r w:rsidR="00CF582C">
        <w:rPr>
          <w:sz w:val="20"/>
          <w:szCs w:val="20"/>
          <w:lang w:val="fr-CA"/>
        </w:rPr>
        <w:t>décemb</w:t>
      </w:r>
      <w:r>
        <w:rPr>
          <w:sz w:val="20"/>
          <w:szCs w:val="20"/>
          <w:lang w:val="fr-CA"/>
        </w:rPr>
        <w:t>r</w:t>
      </w:r>
      <w:r w:rsidR="00CF582C">
        <w:rPr>
          <w:sz w:val="20"/>
          <w:szCs w:val="20"/>
          <w:lang w:val="fr-CA"/>
        </w:rPr>
        <w:t>e</w:t>
      </w:r>
      <w:r w:rsidRPr="00DD0B49">
        <w:rPr>
          <w:sz w:val="20"/>
          <w:szCs w:val="20"/>
          <w:lang w:val="fr-CA"/>
        </w:rPr>
        <w:t xml:space="preserve"> 201</w:t>
      </w:r>
      <w:r>
        <w:rPr>
          <w:sz w:val="20"/>
          <w:szCs w:val="20"/>
          <w:lang w:val="fr-CA"/>
        </w:rPr>
        <w:t>4</w:t>
      </w:r>
      <w:r w:rsidRPr="00DD0B49">
        <w:rPr>
          <w:sz w:val="20"/>
          <w:szCs w:val="20"/>
          <w:lang w:val="fr-CA"/>
        </w:rPr>
        <w:t>.</w:t>
      </w:r>
    </w:p>
    <w:p w:rsidR="004B66B4" w:rsidRPr="00DD0B49" w:rsidRDefault="00690162" w:rsidP="004B66B4">
      <w:pPr>
        <w:rPr>
          <w:sz w:val="20"/>
          <w:szCs w:val="20"/>
        </w:rPr>
      </w:pPr>
      <w:r>
        <w:rPr>
          <w:sz w:val="20"/>
          <w:szCs w:val="20"/>
        </w:rPr>
        <w:pict>
          <v:rect id="_x0000_i1094"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5F1ED8" w:rsidRPr="00690162" w:rsidTr="005F1ED8">
        <w:trPr>
          <w:cantSplit/>
        </w:trPr>
        <w:tc>
          <w:tcPr>
            <w:tcW w:w="2398" w:type="dxa"/>
          </w:tcPr>
          <w:p w:rsidR="005F1ED8" w:rsidRPr="003A74F5" w:rsidRDefault="005F1ED8" w:rsidP="005F1ED8">
            <w:pPr>
              <w:rPr>
                <w:rFonts w:eastAsia="Calibri" w:cs="Times New Roman"/>
                <w:sz w:val="20"/>
                <w:szCs w:val="20"/>
              </w:rPr>
            </w:pPr>
            <w:r w:rsidRPr="003A74F5">
              <w:rPr>
                <w:rFonts w:eastAsia="Calibri" w:cs="Times New Roman"/>
                <w:sz w:val="20"/>
                <w:szCs w:val="20"/>
              </w:rPr>
              <w:t>DATE OF HEARING /</w:t>
            </w:r>
          </w:p>
          <w:p w:rsidR="005F1ED8" w:rsidRPr="003A74F5" w:rsidRDefault="005F1ED8" w:rsidP="005F1ED8">
            <w:pPr>
              <w:rPr>
                <w:rFonts w:eastAsia="Calibri" w:cs="Times New Roman"/>
                <w:sz w:val="20"/>
                <w:szCs w:val="20"/>
              </w:rPr>
            </w:pPr>
            <w:r w:rsidRPr="003A74F5">
              <w:rPr>
                <w:rFonts w:eastAsia="Calibri" w:cs="Times New Roman"/>
                <w:sz w:val="20"/>
                <w:szCs w:val="20"/>
              </w:rPr>
              <w:t>DATE D’AUDITION</w:t>
            </w:r>
          </w:p>
        </w:tc>
        <w:tc>
          <w:tcPr>
            <w:tcW w:w="7178" w:type="dxa"/>
          </w:tcPr>
          <w:p w:rsidR="005F1ED8" w:rsidRPr="003A74F5" w:rsidRDefault="005F1ED8" w:rsidP="005F1ED8">
            <w:pPr>
              <w:rPr>
                <w:rFonts w:eastAsia="Calibri" w:cs="Times New Roman"/>
                <w:sz w:val="20"/>
                <w:szCs w:val="20"/>
                <w:lang w:val="fr-CA"/>
              </w:rPr>
            </w:pPr>
            <w:r w:rsidRPr="003A74F5">
              <w:rPr>
                <w:rFonts w:eastAsia="Calibri" w:cs="Times New Roman"/>
                <w:sz w:val="20"/>
                <w:szCs w:val="20"/>
                <w:lang w:val="fr-CA"/>
              </w:rPr>
              <w:t>NAME AND CASE NUMBER /</w:t>
            </w:r>
          </w:p>
          <w:p w:rsidR="005F1ED8" w:rsidRDefault="005F1ED8" w:rsidP="005F1ED8">
            <w:pPr>
              <w:rPr>
                <w:sz w:val="20"/>
                <w:szCs w:val="20"/>
                <w:lang w:val="fr-CA"/>
              </w:rPr>
            </w:pPr>
            <w:r w:rsidRPr="003A74F5">
              <w:rPr>
                <w:rFonts w:eastAsia="Calibri" w:cs="Times New Roman"/>
                <w:sz w:val="20"/>
                <w:szCs w:val="20"/>
                <w:lang w:val="fr-CA"/>
              </w:rPr>
              <w:t>NOM DE LA CAUSE ET NUMÉRO</w:t>
            </w:r>
          </w:p>
          <w:p w:rsidR="005F1ED8" w:rsidRPr="003A74F5" w:rsidRDefault="005F1ED8" w:rsidP="005F1ED8">
            <w:pPr>
              <w:rPr>
                <w:rFonts w:eastAsia="Calibri" w:cs="Times New Roman"/>
                <w:sz w:val="20"/>
                <w:szCs w:val="20"/>
                <w:lang w:val="fr-CA"/>
              </w:rPr>
            </w:pPr>
          </w:p>
        </w:tc>
      </w:tr>
      <w:tr w:rsidR="005F1ED8" w:rsidRPr="003A74F5" w:rsidTr="002B3732">
        <w:trPr>
          <w:cantSplit/>
          <w:trHeight w:hRule="exact" w:val="576"/>
        </w:trPr>
        <w:tc>
          <w:tcPr>
            <w:tcW w:w="2398" w:type="dxa"/>
          </w:tcPr>
          <w:p w:rsidR="005F1ED8" w:rsidRPr="003A74F5" w:rsidRDefault="005F1ED8" w:rsidP="00CF582C">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sidR="00CF582C">
              <w:rPr>
                <w:rFonts w:eastAsia="Calibri" w:cs="Times New Roman"/>
                <w:sz w:val="20"/>
                <w:szCs w:val="20"/>
              </w:rPr>
              <w:t>12</w:t>
            </w:r>
            <w:r w:rsidRPr="003A74F5">
              <w:rPr>
                <w:rFonts w:eastAsia="Calibri" w:cs="Times New Roman"/>
                <w:sz w:val="20"/>
                <w:szCs w:val="20"/>
              </w:rPr>
              <w:t>-</w:t>
            </w:r>
            <w:r w:rsidR="00CF582C">
              <w:rPr>
                <w:rFonts w:eastAsia="Calibri" w:cs="Times New Roman"/>
                <w:sz w:val="20"/>
                <w:szCs w:val="20"/>
              </w:rPr>
              <w:t>01</w:t>
            </w:r>
          </w:p>
        </w:tc>
        <w:tc>
          <w:tcPr>
            <w:tcW w:w="7178" w:type="dxa"/>
          </w:tcPr>
          <w:p w:rsidR="005F1ED8" w:rsidRPr="003A74F5" w:rsidRDefault="005F1ED8" w:rsidP="00A00D06">
            <w:pPr>
              <w:jc w:val="both"/>
              <w:rPr>
                <w:rFonts w:eastAsia="Calibri" w:cs="Times New Roman"/>
                <w:sz w:val="20"/>
                <w:szCs w:val="20"/>
              </w:rPr>
            </w:pPr>
            <w:r w:rsidRPr="00094F1A">
              <w:rPr>
                <w:rFonts w:eastAsia="Calibri" w:cs="Times New Roman"/>
                <w:i/>
                <w:sz w:val="20"/>
                <w:szCs w:val="20"/>
                <w:lang w:val="fr-CA"/>
              </w:rPr>
              <w:t>T</w:t>
            </w:r>
            <w:r w:rsidR="00CF582C" w:rsidRPr="00094F1A">
              <w:rPr>
                <w:rFonts w:eastAsia="Calibri" w:cs="Times New Roman"/>
                <w:i/>
                <w:sz w:val="20"/>
                <w:szCs w:val="20"/>
                <w:lang w:val="fr-CA"/>
              </w:rPr>
              <w:t>he</w:t>
            </w:r>
            <w:r w:rsidRPr="00094F1A">
              <w:rPr>
                <w:rFonts w:eastAsia="Calibri" w:cs="Times New Roman"/>
                <w:i/>
                <w:sz w:val="20"/>
                <w:szCs w:val="20"/>
                <w:lang w:val="fr-CA"/>
              </w:rPr>
              <w:t>ra</w:t>
            </w:r>
            <w:r w:rsidR="00CF582C" w:rsidRPr="00094F1A">
              <w:rPr>
                <w:rFonts w:eastAsia="Calibri" w:cs="Times New Roman"/>
                <w:i/>
                <w:sz w:val="20"/>
                <w:szCs w:val="20"/>
                <w:lang w:val="fr-CA"/>
              </w:rPr>
              <w:t>techno</w:t>
            </w:r>
            <w:r w:rsidRPr="00094F1A">
              <w:rPr>
                <w:rFonts w:eastAsia="Calibri" w:cs="Times New Roman"/>
                <w:i/>
                <w:sz w:val="20"/>
                <w:szCs w:val="20"/>
                <w:lang w:val="fr-CA"/>
              </w:rPr>
              <w:t>l</w:t>
            </w:r>
            <w:r w:rsidR="00CF582C" w:rsidRPr="00094F1A">
              <w:rPr>
                <w:rFonts w:eastAsia="Calibri" w:cs="Times New Roman"/>
                <w:i/>
                <w:sz w:val="20"/>
                <w:szCs w:val="20"/>
                <w:lang w:val="fr-CA"/>
              </w:rPr>
              <w:t>ogies inc.</w:t>
            </w:r>
            <w:r w:rsidRPr="00094F1A">
              <w:rPr>
                <w:rFonts w:eastAsia="Calibri" w:cs="Times New Roman"/>
                <w:i/>
                <w:sz w:val="20"/>
                <w:szCs w:val="20"/>
                <w:lang w:val="fr-CA"/>
              </w:rPr>
              <w:t xml:space="preserve"> et a</w:t>
            </w:r>
            <w:r w:rsidR="00A00D06" w:rsidRPr="00094F1A">
              <w:rPr>
                <w:rFonts w:eastAsia="Calibri" w:cs="Times New Roman"/>
                <w:i/>
                <w:sz w:val="20"/>
                <w:szCs w:val="20"/>
                <w:lang w:val="fr-CA"/>
              </w:rPr>
              <w:t>utres</w:t>
            </w:r>
            <w:r w:rsidRPr="00094F1A">
              <w:rPr>
                <w:rFonts w:eastAsia="Calibri" w:cs="Times New Roman"/>
                <w:i/>
                <w:sz w:val="20"/>
                <w:szCs w:val="20"/>
                <w:lang w:val="fr-CA"/>
              </w:rPr>
              <w:t xml:space="preserve"> </w:t>
            </w:r>
            <w:r w:rsidR="00A00D06" w:rsidRPr="00094F1A">
              <w:rPr>
                <w:rFonts w:eastAsia="Calibri" w:cs="Times New Roman"/>
                <w:i/>
                <w:sz w:val="20"/>
                <w:szCs w:val="20"/>
                <w:lang w:val="fr-CA"/>
              </w:rPr>
              <w:t>c</w:t>
            </w:r>
            <w:r w:rsidRPr="00094F1A">
              <w:rPr>
                <w:rFonts w:eastAsia="Calibri" w:cs="Times New Roman"/>
                <w:i/>
                <w:sz w:val="20"/>
                <w:szCs w:val="20"/>
                <w:lang w:val="fr-CA"/>
              </w:rPr>
              <w:t xml:space="preserve">. </w:t>
            </w:r>
            <w:r w:rsidR="00A00D06" w:rsidRPr="00094F1A">
              <w:rPr>
                <w:rFonts w:eastAsia="Calibri" w:cs="Times New Roman"/>
                <w:i/>
                <w:sz w:val="20"/>
                <w:szCs w:val="20"/>
                <w:lang w:val="fr-CA"/>
              </w:rPr>
              <w:t>121851 Can</w:t>
            </w:r>
            <w:r w:rsidRPr="00094F1A">
              <w:rPr>
                <w:rFonts w:eastAsia="Calibri" w:cs="Times New Roman"/>
                <w:i/>
                <w:sz w:val="20"/>
                <w:szCs w:val="20"/>
                <w:lang w:val="fr-CA"/>
              </w:rPr>
              <w:t>a</w:t>
            </w:r>
            <w:r w:rsidR="00A00D06" w:rsidRPr="00094F1A">
              <w:rPr>
                <w:rFonts w:eastAsia="Calibri" w:cs="Times New Roman"/>
                <w:i/>
                <w:sz w:val="20"/>
                <w:szCs w:val="20"/>
                <w:lang w:val="fr-CA"/>
              </w:rPr>
              <w:t xml:space="preserve">da </w:t>
            </w:r>
            <w:r w:rsidRPr="00094F1A">
              <w:rPr>
                <w:rFonts w:eastAsia="Calibri" w:cs="Times New Roman"/>
                <w:i/>
                <w:sz w:val="20"/>
                <w:szCs w:val="20"/>
                <w:lang w:val="fr-CA"/>
              </w:rPr>
              <w:t>i</w:t>
            </w:r>
            <w:r w:rsidR="00A00D06" w:rsidRPr="00094F1A">
              <w:rPr>
                <w:rFonts w:eastAsia="Calibri" w:cs="Times New Roman"/>
                <w:i/>
                <w:sz w:val="20"/>
                <w:szCs w:val="20"/>
                <w:lang w:val="fr-CA"/>
              </w:rPr>
              <w:t>nc.</w:t>
            </w:r>
            <w:r w:rsidRPr="00094F1A">
              <w:rPr>
                <w:rFonts w:eastAsia="Calibri" w:cs="Times New Roman"/>
                <w:i/>
                <w:sz w:val="20"/>
                <w:szCs w:val="20"/>
                <w:lang w:val="fr-CA"/>
              </w:rPr>
              <w:t xml:space="preserve"> </w:t>
            </w:r>
            <w:r w:rsidRPr="003A74F5">
              <w:rPr>
                <w:rFonts w:eastAsia="Calibri" w:cs="Times New Roman"/>
                <w:sz w:val="20"/>
                <w:szCs w:val="20"/>
              </w:rPr>
              <w:t>(</w:t>
            </w:r>
            <w:r w:rsidR="00A00D06">
              <w:rPr>
                <w:rFonts w:eastAsia="Calibri" w:cs="Times New Roman"/>
                <w:sz w:val="20"/>
                <w:szCs w:val="20"/>
              </w:rPr>
              <w:t>Qc</w:t>
            </w:r>
            <w:r w:rsidRPr="003A74F5">
              <w:rPr>
                <w:rFonts w:eastAsia="Calibri" w:cs="Times New Roman"/>
                <w:sz w:val="20"/>
                <w:szCs w:val="20"/>
              </w:rPr>
              <w:t>) (Ci</w:t>
            </w:r>
            <w:r>
              <w:rPr>
                <w:rFonts w:eastAsia="Calibri" w:cs="Times New Roman"/>
                <w:sz w:val="20"/>
                <w:szCs w:val="20"/>
              </w:rPr>
              <w:t>v</w:t>
            </w:r>
            <w:r w:rsidRPr="003A74F5">
              <w:rPr>
                <w:rFonts w:eastAsia="Calibri" w:cs="Times New Roman"/>
                <w:sz w:val="20"/>
                <w:szCs w:val="20"/>
              </w:rPr>
              <w:t>il</w:t>
            </w:r>
            <w:r w:rsidR="00A00D06">
              <w:rPr>
                <w:rFonts w:eastAsia="Calibri" w:cs="Times New Roman"/>
                <w:sz w:val="20"/>
                <w:szCs w:val="20"/>
              </w:rPr>
              <w:t>e</w:t>
            </w:r>
            <w:r w:rsidRPr="003A74F5">
              <w:rPr>
                <w:rFonts w:eastAsia="Calibri" w:cs="Times New Roman"/>
                <w:sz w:val="20"/>
                <w:szCs w:val="20"/>
              </w:rPr>
              <w:t>) (</w:t>
            </w:r>
            <w:r w:rsidR="00A00D06">
              <w:rPr>
                <w:rFonts w:eastAsia="Calibri" w:cs="Times New Roman"/>
                <w:sz w:val="20"/>
                <w:szCs w:val="20"/>
              </w:rPr>
              <w:t>Autoris</w:t>
            </w:r>
            <w:r w:rsidRPr="003A74F5">
              <w:rPr>
                <w:rFonts w:eastAsia="Calibri" w:cs="Times New Roman"/>
                <w:sz w:val="20"/>
                <w:szCs w:val="20"/>
              </w:rPr>
              <w:t>a</w:t>
            </w:r>
            <w:r w:rsidR="00A00D06">
              <w:rPr>
                <w:rFonts w:eastAsia="Calibri" w:cs="Times New Roman"/>
                <w:sz w:val="20"/>
                <w:szCs w:val="20"/>
              </w:rPr>
              <w:t>tion</w:t>
            </w:r>
            <w:r w:rsidRPr="003A74F5">
              <w:rPr>
                <w:rFonts w:eastAsia="Calibri" w:cs="Times New Roman"/>
                <w:sz w:val="20"/>
                <w:szCs w:val="20"/>
              </w:rPr>
              <w:t>) (3</w:t>
            </w:r>
            <w:r>
              <w:rPr>
                <w:rFonts w:eastAsia="Calibri" w:cs="Times New Roman"/>
                <w:sz w:val="20"/>
                <w:szCs w:val="20"/>
              </w:rPr>
              <w:t>55</w:t>
            </w:r>
            <w:r w:rsidR="00CF582C">
              <w:rPr>
                <w:rFonts w:eastAsia="Calibri" w:cs="Times New Roman"/>
                <w:sz w:val="20"/>
                <w:szCs w:val="20"/>
              </w:rPr>
              <w:t>50</w:t>
            </w:r>
            <w:r w:rsidRPr="003A74F5">
              <w:rPr>
                <w:rFonts w:eastAsia="Calibri" w:cs="Times New Roman"/>
                <w:sz w:val="20"/>
                <w:szCs w:val="20"/>
              </w:rPr>
              <w:t>)</w:t>
            </w:r>
          </w:p>
        </w:tc>
      </w:tr>
      <w:tr w:rsidR="005F1ED8" w:rsidRPr="00A00D06" w:rsidTr="00A00D06">
        <w:trPr>
          <w:cantSplit/>
          <w:trHeight w:hRule="exact" w:val="821"/>
        </w:trPr>
        <w:tc>
          <w:tcPr>
            <w:tcW w:w="2398" w:type="dxa"/>
          </w:tcPr>
          <w:p w:rsidR="005F1ED8" w:rsidRPr="003A74F5" w:rsidRDefault="00CF582C" w:rsidP="00BF71E4">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12</w:t>
            </w:r>
            <w:r w:rsidRPr="003A74F5">
              <w:rPr>
                <w:rFonts w:eastAsia="Calibri" w:cs="Times New Roman"/>
                <w:sz w:val="20"/>
                <w:szCs w:val="20"/>
              </w:rPr>
              <w:t>-</w:t>
            </w:r>
            <w:r>
              <w:rPr>
                <w:rFonts w:eastAsia="Calibri" w:cs="Times New Roman"/>
                <w:sz w:val="20"/>
                <w:szCs w:val="20"/>
              </w:rPr>
              <w:t>0</w:t>
            </w:r>
            <w:r w:rsidR="00BF71E4">
              <w:rPr>
                <w:rFonts w:eastAsia="Calibri" w:cs="Times New Roman"/>
                <w:sz w:val="20"/>
                <w:szCs w:val="20"/>
              </w:rPr>
              <w:t>2</w:t>
            </w:r>
          </w:p>
        </w:tc>
        <w:tc>
          <w:tcPr>
            <w:tcW w:w="7178" w:type="dxa"/>
          </w:tcPr>
          <w:p w:rsidR="005F1ED8" w:rsidRPr="00A00D06" w:rsidRDefault="00A00D06" w:rsidP="00E17788">
            <w:pPr>
              <w:jc w:val="both"/>
              <w:rPr>
                <w:rFonts w:eastAsia="Calibri" w:cs="Times New Roman"/>
                <w:sz w:val="20"/>
                <w:szCs w:val="20"/>
                <w:lang w:val="fr-CA"/>
              </w:rPr>
            </w:pPr>
            <w:r>
              <w:rPr>
                <w:rFonts w:eastAsia="Calibri" w:cs="Times New Roman"/>
                <w:i/>
                <w:sz w:val="20"/>
                <w:szCs w:val="20"/>
                <w:lang w:val="fr-CA"/>
              </w:rPr>
              <w:t>A</w:t>
            </w:r>
            <w:r w:rsidRPr="00A00D06">
              <w:rPr>
                <w:rFonts w:eastAsia="Calibri" w:cs="Times New Roman"/>
                <w:i/>
                <w:sz w:val="20"/>
                <w:szCs w:val="20"/>
                <w:lang w:val="fr-CA"/>
              </w:rPr>
              <w:t>ss</w:t>
            </w:r>
            <w:r w:rsidR="005F1ED8" w:rsidRPr="00A00D06">
              <w:rPr>
                <w:rFonts w:eastAsia="Calibri" w:cs="Times New Roman"/>
                <w:i/>
                <w:sz w:val="20"/>
                <w:szCs w:val="20"/>
                <w:lang w:val="fr-CA"/>
              </w:rPr>
              <w:t>o</w:t>
            </w:r>
            <w:r w:rsidRPr="00A00D06">
              <w:rPr>
                <w:rFonts w:eastAsia="Calibri" w:cs="Times New Roman"/>
                <w:i/>
                <w:sz w:val="20"/>
                <w:szCs w:val="20"/>
                <w:lang w:val="fr-CA"/>
              </w:rPr>
              <w:t>ci</w:t>
            </w:r>
            <w:r w:rsidR="005F1ED8" w:rsidRPr="00A00D06">
              <w:rPr>
                <w:rFonts w:eastAsia="Calibri" w:cs="Times New Roman"/>
                <w:i/>
                <w:sz w:val="20"/>
                <w:szCs w:val="20"/>
                <w:lang w:val="fr-CA"/>
              </w:rPr>
              <w:t>a</w:t>
            </w:r>
            <w:r w:rsidRPr="00A00D06">
              <w:rPr>
                <w:rFonts w:eastAsia="Calibri" w:cs="Times New Roman"/>
                <w:i/>
                <w:sz w:val="20"/>
                <w:szCs w:val="20"/>
                <w:lang w:val="fr-CA"/>
              </w:rPr>
              <w:t xml:space="preserve">tion des parents de l’école Rose-des-vents et </w:t>
            </w:r>
            <w:r w:rsidR="005F1ED8" w:rsidRPr="00A00D06">
              <w:rPr>
                <w:rFonts w:eastAsia="Calibri" w:cs="Times New Roman"/>
                <w:i/>
                <w:sz w:val="20"/>
                <w:szCs w:val="20"/>
                <w:lang w:val="fr-CA"/>
              </w:rPr>
              <w:t>a</w:t>
            </w:r>
            <w:r>
              <w:rPr>
                <w:rFonts w:eastAsia="Calibri" w:cs="Times New Roman"/>
                <w:i/>
                <w:sz w:val="20"/>
                <w:szCs w:val="20"/>
                <w:lang w:val="fr-CA"/>
              </w:rPr>
              <w:t>utres</w:t>
            </w:r>
            <w:r w:rsidR="005F1ED8" w:rsidRPr="00A00D06">
              <w:rPr>
                <w:rFonts w:eastAsia="Calibri" w:cs="Times New Roman"/>
                <w:i/>
                <w:sz w:val="20"/>
                <w:szCs w:val="20"/>
                <w:lang w:val="fr-CA"/>
              </w:rPr>
              <w:t xml:space="preserve"> </w:t>
            </w:r>
            <w:r>
              <w:rPr>
                <w:rFonts w:eastAsia="Calibri" w:cs="Times New Roman"/>
                <w:i/>
                <w:sz w:val="20"/>
                <w:szCs w:val="20"/>
                <w:lang w:val="fr-CA"/>
              </w:rPr>
              <w:t>c</w:t>
            </w:r>
            <w:r w:rsidR="005F1ED8" w:rsidRPr="00A00D06">
              <w:rPr>
                <w:rFonts w:eastAsia="Calibri" w:cs="Times New Roman"/>
                <w:i/>
                <w:sz w:val="20"/>
                <w:szCs w:val="20"/>
                <w:lang w:val="fr-CA"/>
              </w:rPr>
              <w:t xml:space="preserve">. </w:t>
            </w:r>
            <w:r>
              <w:rPr>
                <w:rFonts w:eastAsia="Calibri" w:cs="Times New Roman"/>
                <w:i/>
                <w:sz w:val="20"/>
                <w:szCs w:val="20"/>
                <w:lang w:val="fr-CA"/>
              </w:rPr>
              <w:t>Ministè</w:t>
            </w:r>
            <w:r w:rsidR="005F1ED8" w:rsidRPr="00A00D06">
              <w:rPr>
                <w:rFonts w:eastAsia="Calibri" w:cs="Times New Roman"/>
                <w:i/>
                <w:sz w:val="20"/>
                <w:szCs w:val="20"/>
                <w:lang w:val="fr-CA"/>
              </w:rPr>
              <w:t>r</w:t>
            </w:r>
            <w:r>
              <w:rPr>
                <w:rFonts w:eastAsia="Calibri" w:cs="Times New Roman"/>
                <w:i/>
                <w:sz w:val="20"/>
                <w:szCs w:val="20"/>
                <w:lang w:val="fr-CA"/>
              </w:rPr>
              <w:t>e</w:t>
            </w:r>
            <w:r w:rsidR="005F1ED8" w:rsidRPr="00A00D06">
              <w:rPr>
                <w:rFonts w:eastAsia="Calibri" w:cs="Times New Roman"/>
                <w:i/>
                <w:sz w:val="20"/>
                <w:szCs w:val="20"/>
                <w:lang w:val="fr-CA"/>
              </w:rPr>
              <w:t xml:space="preserve"> </w:t>
            </w:r>
            <w:r>
              <w:rPr>
                <w:rFonts w:eastAsia="Calibri" w:cs="Times New Roman"/>
                <w:i/>
                <w:sz w:val="20"/>
                <w:szCs w:val="20"/>
                <w:lang w:val="fr-CA"/>
              </w:rPr>
              <w:t>d</w:t>
            </w:r>
            <w:r w:rsidR="005F1ED8" w:rsidRPr="00A00D06">
              <w:rPr>
                <w:rFonts w:eastAsia="Calibri" w:cs="Times New Roman"/>
                <w:i/>
                <w:sz w:val="20"/>
                <w:szCs w:val="20"/>
                <w:lang w:val="fr-CA"/>
              </w:rPr>
              <w:t>e</w:t>
            </w:r>
            <w:r>
              <w:rPr>
                <w:rFonts w:eastAsia="Calibri" w:cs="Times New Roman"/>
                <w:i/>
                <w:sz w:val="20"/>
                <w:szCs w:val="20"/>
                <w:lang w:val="fr-CA"/>
              </w:rPr>
              <w:t xml:space="preserve"> l’Éducation de la province de la Colombie-Bri</w:t>
            </w:r>
            <w:r w:rsidR="005F1ED8" w:rsidRPr="00A00D06">
              <w:rPr>
                <w:rFonts w:eastAsia="Calibri" w:cs="Times New Roman"/>
                <w:i/>
                <w:sz w:val="20"/>
                <w:szCs w:val="20"/>
                <w:lang w:val="fr-CA"/>
              </w:rPr>
              <w:t>t</w:t>
            </w:r>
            <w:r>
              <w:rPr>
                <w:rFonts w:eastAsia="Calibri" w:cs="Times New Roman"/>
                <w:i/>
                <w:sz w:val="20"/>
                <w:szCs w:val="20"/>
                <w:lang w:val="fr-CA"/>
              </w:rPr>
              <w:t>anniqu</w:t>
            </w:r>
            <w:r w:rsidR="005F1ED8" w:rsidRPr="00A00D06">
              <w:rPr>
                <w:rFonts w:eastAsia="Calibri" w:cs="Times New Roman"/>
                <w:i/>
                <w:sz w:val="20"/>
                <w:szCs w:val="20"/>
                <w:lang w:val="fr-CA"/>
              </w:rPr>
              <w:t>e e</w:t>
            </w:r>
            <w:r>
              <w:rPr>
                <w:rFonts w:eastAsia="Calibri" w:cs="Times New Roman"/>
                <w:i/>
                <w:sz w:val="20"/>
                <w:szCs w:val="20"/>
                <w:lang w:val="fr-CA"/>
              </w:rPr>
              <w:t>t</w:t>
            </w:r>
            <w:r w:rsidR="00E17788">
              <w:rPr>
                <w:rFonts w:eastAsia="Calibri" w:cs="Times New Roman"/>
                <w:i/>
                <w:sz w:val="20"/>
                <w:szCs w:val="20"/>
                <w:lang w:val="fr-CA"/>
              </w:rPr>
              <w:t> </w:t>
            </w:r>
            <w:r>
              <w:rPr>
                <w:rFonts w:eastAsia="Calibri" w:cs="Times New Roman"/>
                <w:i/>
                <w:sz w:val="20"/>
                <w:szCs w:val="20"/>
                <w:lang w:val="fr-CA"/>
              </w:rPr>
              <w:t>autre</w:t>
            </w:r>
            <w:r w:rsidR="005F1ED8" w:rsidRPr="00A00D06">
              <w:rPr>
                <w:rFonts w:eastAsia="Calibri" w:cs="Times New Roman"/>
                <w:sz w:val="20"/>
                <w:szCs w:val="20"/>
                <w:lang w:val="fr-CA"/>
              </w:rPr>
              <w:t xml:space="preserve"> (</w:t>
            </w:r>
            <w:r>
              <w:rPr>
                <w:rFonts w:eastAsia="Calibri" w:cs="Times New Roman"/>
                <w:sz w:val="20"/>
                <w:szCs w:val="20"/>
                <w:lang w:val="fr-CA"/>
              </w:rPr>
              <w:t>C.-B.</w:t>
            </w:r>
            <w:r w:rsidR="005F1ED8" w:rsidRPr="00A00D06">
              <w:rPr>
                <w:rFonts w:eastAsia="Calibri" w:cs="Times New Roman"/>
                <w:sz w:val="20"/>
                <w:szCs w:val="20"/>
                <w:lang w:val="fr-CA"/>
              </w:rPr>
              <w:t>) (Ci</w:t>
            </w:r>
            <w:r w:rsidRPr="00A00D06">
              <w:rPr>
                <w:rFonts w:eastAsia="Calibri" w:cs="Times New Roman"/>
                <w:sz w:val="20"/>
                <w:szCs w:val="20"/>
                <w:lang w:val="fr-CA"/>
              </w:rPr>
              <w:t>v</w:t>
            </w:r>
            <w:r w:rsidR="005F1ED8" w:rsidRPr="00A00D06">
              <w:rPr>
                <w:rFonts w:eastAsia="Calibri" w:cs="Times New Roman"/>
                <w:sz w:val="20"/>
                <w:szCs w:val="20"/>
                <w:lang w:val="fr-CA"/>
              </w:rPr>
              <w:t>il</w:t>
            </w:r>
            <w:r w:rsidRPr="00A00D06">
              <w:rPr>
                <w:rFonts w:eastAsia="Calibri" w:cs="Times New Roman"/>
                <w:sz w:val="20"/>
                <w:szCs w:val="20"/>
                <w:lang w:val="fr-CA"/>
              </w:rPr>
              <w:t>e</w:t>
            </w:r>
            <w:r w:rsidR="005F1ED8" w:rsidRPr="00A00D06">
              <w:rPr>
                <w:rFonts w:eastAsia="Calibri" w:cs="Times New Roman"/>
                <w:sz w:val="20"/>
                <w:szCs w:val="20"/>
                <w:lang w:val="fr-CA"/>
              </w:rPr>
              <w:t>) (</w:t>
            </w:r>
            <w:r w:rsidRPr="00A00D06">
              <w:rPr>
                <w:rFonts w:eastAsia="Calibri" w:cs="Times New Roman"/>
                <w:sz w:val="20"/>
                <w:szCs w:val="20"/>
                <w:lang w:val="fr-CA"/>
              </w:rPr>
              <w:t>Autorisation</w:t>
            </w:r>
            <w:r w:rsidR="005F1ED8" w:rsidRPr="00A00D06">
              <w:rPr>
                <w:rFonts w:eastAsia="Calibri" w:cs="Times New Roman"/>
                <w:sz w:val="20"/>
                <w:szCs w:val="20"/>
                <w:lang w:val="fr-CA"/>
              </w:rPr>
              <w:t>) (35</w:t>
            </w:r>
            <w:r w:rsidR="00CF582C" w:rsidRPr="00A00D06">
              <w:rPr>
                <w:rFonts w:eastAsia="Calibri" w:cs="Times New Roman"/>
                <w:sz w:val="20"/>
                <w:szCs w:val="20"/>
                <w:lang w:val="fr-CA"/>
              </w:rPr>
              <w:t>6</w:t>
            </w:r>
            <w:r w:rsidR="005F1ED8" w:rsidRPr="00A00D06">
              <w:rPr>
                <w:rFonts w:eastAsia="Calibri" w:cs="Times New Roman"/>
                <w:sz w:val="20"/>
                <w:szCs w:val="20"/>
                <w:lang w:val="fr-CA"/>
              </w:rPr>
              <w:t>1</w:t>
            </w:r>
            <w:r w:rsidR="00CF582C" w:rsidRPr="00A00D06">
              <w:rPr>
                <w:rFonts w:eastAsia="Calibri" w:cs="Times New Roman"/>
                <w:sz w:val="20"/>
                <w:szCs w:val="20"/>
                <w:lang w:val="fr-CA"/>
              </w:rPr>
              <w:t>9</w:t>
            </w:r>
            <w:r w:rsidR="005F1ED8" w:rsidRPr="00A00D06">
              <w:rPr>
                <w:rFonts w:eastAsia="Calibri" w:cs="Times New Roman"/>
                <w:sz w:val="20"/>
                <w:szCs w:val="20"/>
                <w:lang w:val="fr-CA"/>
              </w:rPr>
              <w:t>)</w:t>
            </w:r>
          </w:p>
        </w:tc>
      </w:tr>
      <w:tr w:rsidR="005F1ED8" w:rsidRPr="00C5600D" w:rsidTr="00A00D06">
        <w:trPr>
          <w:cantSplit/>
          <w:trHeight w:hRule="exact" w:val="576"/>
        </w:trPr>
        <w:tc>
          <w:tcPr>
            <w:tcW w:w="2398" w:type="dxa"/>
          </w:tcPr>
          <w:p w:rsidR="005F1ED8" w:rsidRPr="003A74F5" w:rsidRDefault="00CF582C" w:rsidP="00BF71E4">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12</w:t>
            </w:r>
            <w:r w:rsidRPr="003A74F5">
              <w:rPr>
                <w:rFonts w:eastAsia="Calibri" w:cs="Times New Roman"/>
                <w:sz w:val="20"/>
                <w:szCs w:val="20"/>
              </w:rPr>
              <w:t>-</w:t>
            </w:r>
            <w:r>
              <w:rPr>
                <w:rFonts w:eastAsia="Calibri" w:cs="Times New Roman"/>
                <w:sz w:val="20"/>
                <w:szCs w:val="20"/>
              </w:rPr>
              <w:t>0</w:t>
            </w:r>
            <w:r w:rsidR="00BF71E4">
              <w:rPr>
                <w:rFonts w:eastAsia="Calibri" w:cs="Times New Roman"/>
                <w:sz w:val="20"/>
                <w:szCs w:val="20"/>
              </w:rPr>
              <w:t>3</w:t>
            </w:r>
          </w:p>
        </w:tc>
        <w:tc>
          <w:tcPr>
            <w:tcW w:w="7178" w:type="dxa"/>
          </w:tcPr>
          <w:p w:rsidR="005F1ED8" w:rsidRPr="00A00D06" w:rsidRDefault="00A00D06" w:rsidP="00BF71E4">
            <w:pPr>
              <w:jc w:val="both"/>
              <w:rPr>
                <w:rFonts w:eastAsia="Calibri" w:cs="Times New Roman"/>
                <w:sz w:val="20"/>
                <w:szCs w:val="20"/>
              </w:rPr>
            </w:pPr>
            <w:r>
              <w:rPr>
                <w:rFonts w:eastAsia="Calibri" w:cs="Times New Roman"/>
                <w:i/>
                <w:sz w:val="20"/>
                <w:szCs w:val="20"/>
              </w:rPr>
              <w:t>Ont</w:t>
            </w:r>
            <w:r w:rsidR="005F1ED8" w:rsidRPr="003B7455">
              <w:rPr>
                <w:rFonts w:eastAsia="Calibri" w:cs="Times New Roman"/>
                <w:i/>
                <w:sz w:val="20"/>
                <w:szCs w:val="20"/>
              </w:rPr>
              <w:t>a</w:t>
            </w:r>
            <w:r>
              <w:rPr>
                <w:rFonts w:eastAsia="Calibri" w:cs="Times New Roman"/>
                <w:i/>
                <w:sz w:val="20"/>
                <w:szCs w:val="20"/>
              </w:rPr>
              <w:t>rio En</w:t>
            </w:r>
            <w:r w:rsidR="005F1ED8" w:rsidRPr="003B7455">
              <w:rPr>
                <w:rFonts w:eastAsia="Calibri" w:cs="Times New Roman"/>
                <w:i/>
                <w:sz w:val="20"/>
                <w:szCs w:val="20"/>
              </w:rPr>
              <w:t>e</w:t>
            </w:r>
            <w:r>
              <w:rPr>
                <w:rFonts w:eastAsia="Calibri" w:cs="Times New Roman"/>
                <w:i/>
                <w:sz w:val="20"/>
                <w:szCs w:val="20"/>
              </w:rPr>
              <w:t>rgy Board</w:t>
            </w:r>
            <w:r w:rsidR="005F1ED8" w:rsidRPr="003B7455">
              <w:rPr>
                <w:rFonts w:eastAsia="Calibri" w:cs="Times New Roman"/>
                <w:i/>
                <w:sz w:val="20"/>
                <w:szCs w:val="20"/>
              </w:rPr>
              <w:t xml:space="preserve"> v.</w:t>
            </w:r>
            <w:r w:rsidR="00E17788">
              <w:rPr>
                <w:rFonts w:eastAsia="Calibri" w:cs="Times New Roman"/>
                <w:i/>
                <w:sz w:val="20"/>
                <w:szCs w:val="20"/>
              </w:rPr>
              <w:t xml:space="preserve"> </w:t>
            </w:r>
            <w:r>
              <w:rPr>
                <w:rFonts w:eastAsia="Calibri" w:cs="Times New Roman"/>
                <w:i/>
                <w:sz w:val="20"/>
                <w:szCs w:val="20"/>
              </w:rPr>
              <w:t>Onta</w:t>
            </w:r>
            <w:r w:rsidR="005F1ED8" w:rsidRPr="003B7455">
              <w:rPr>
                <w:rFonts w:eastAsia="Calibri" w:cs="Times New Roman"/>
                <w:i/>
                <w:sz w:val="20"/>
                <w:szCs w:val="20"/>
              </w:rPr>
              <w:t>r</w:t>
            </w:r>
            <w:r>
              <w:rPr>
                <w:rFonts w:eastAsia="Calibri" w:cs="Times New Roman"/>
                <w:i/>
                <w:sz w:val="20"/>
                <w:szCs w:val="20"/>
              </w:rPr>
              <w:t>io Power Gen</w:t>
            </w:r>
            <w:r w:rsidR="005F1ED8" w:rsidRPr="003B7455">
              <w:rPr>
                <w:rFonts w:eastAsia="Calibri" w:cs="Times New Roman"/>
                <w:i/>
                <w:sz w:val="20"/>
                <w:szCs w:val="20"/>
              </w:rPr>
              <w:t>e</w:t>
            </w:r>
            <w:r>
              <w:rPr>
                <w:rFonts w:eastAsia="Calibri" w:cs="Times New Roman"/>
                <w:i/>
                <w:sz w:val="20"/>
                <w:szCs w:val="20"/>
              </w:rPr>
              <w:t>ra</w:t>
            </w:r>
            <w:r w:rsidR="005F1ED8" w:rsidRPr="003B7455">
              <w:rPr>
                <w:rFonts w:eastAsia="Calibri" w:cs="Times New Roman"/>
                <w:i/>
                <w:sz w:val="20"/>
                <w:szCs w:val="20"/>
              </w:rPr>
              <w:t>t</w:t>
            </w:r>
            <w:r>
              <w:rPr>
                <w:rFonts w:eastAsia="Calibri" w:cs="Times New Roman"/>
                <w:i/>
                <w:sz w:val="20"/>
                <w:szCs w:val="20"/>
              </w:rPr>
              <w:t>ion Inc. e</w:t>
            </w:r>
            <w:r w:rsidR="005F1ED8" w:rsidRPr="003B7455">
              <w:rPr>
                <w:rFonts w:eastAsia="Calibri" w:cs="Times New Roman"/>
                <w:i/>
                <w:sz w:val="20"/>
                <w:szCs w:val="20"/>
              </w:rPr>
              <w:t>t</w:t>
            </w:r>
            <w:r>
              <w:rPr>
                <w:rFonts w:eastAsia="Calibri" w:cs="Times New Roman"/>
                <w:i/>
                <w:sz w:val="20"/>
                <w:szCs w:val="20"/>
              </w:rPr>
              <w:t xml:space="preserve"> al.</w:t>
            </w:r>
            <w:r w:rsidR="005F1ED8" w:rsidRPr="003B7455">
              <w:rPr>
                <w:rFonts w:eastAsia="Calibri" w:cs="Times New Roman"/>
                <w:i/>
                <w:sz w:val="20"/>
                <w:szCs w:val="20"/>
              </w:rPr>
              <w:t xml:space="preserve"> </w:t>
            </w:r>
            <w:r w:rsidR="005F1ED8" w:rsidRPr="003B7455">
              <w:rPr>
                <w:rFonts w:eastAsia="Calibri" w:cs="Times New Roman"/>
                <w:sz w:val="20"/>
                <w:szCs w:val="20"/>
              </w:rPr>
              <w:t xml:space="preserve">(Ont.) </w:t>
            </w:r>
            <w:r w:rsidR="005F1ED8" w:rsidRPr="00A00D06">
              <w:rPr>
                <w:rFonts w:eastAsia="Calibri" w:cs="Times New Roman"/>
                <w:sz w:val="20"/>
                <w:szCs w:val="20"/>
              </w:rPr>
              <w:t>(Ci</w:t>
            </w:r>
            <w:r w:rsidR="00BF71E4">
              <w:rPr>
                <w:rFonts w:eastAsia="Calibri" w:cs="Times New Roman"/>
                <w:sz w:val="20"/>
                <w:szCs w:val="20"/>
              </w:rPr>
              <w:t>v</w:t>
            </w:r>
            <w:r w:rsidR="005F1ED8" w:rsidRPr="00A00D06">
              <w:rPr>
                <w:rFonts w:eastAsia="Calibri" w:cs="Times New Roman"/>
                <w:sz w:val="20"/>
                <w:szCs w:val="20"/>
              </w:rPr>
              <w:t>il) (By</w:t>
            </w:r>
            <w:r>
              <w:rPr>
                <w:rFonts w:eastAsia="Calibri" w:cs="Times New Roman"/>
                <w:sz w:val="20"/>
                <w:szCs w:val="20"/>
              </w:rPr>
              <w:t> </w:t>
            </w:r>
            <w:r w:rsidR="005F1ED8" w:rsidRPr="00A00D06">
              <w:rPr>
                <w:rFonts w:eastAsia="Calibri" w:cs="Times New Roman"/>
                <w:sz w:val="20"/>
                <w:szCs w:val="20"/>
              </w:rPr>
              <w:t>Leave) (35</w:t>
            </w:r>
            <w:r w:rsidR="00CF582C" w:rsidRPr="00A00D06">
              <w:rPr>
                <w:rFonts w:eastAsia="Calibri" w:cs="Times New Roman"/>
                <w:sz w:val="20"/>
                <w:szCs w:val="20"/>
              </w:rPr>
              <w:t>5</w:t>
            </w:r>
            <w:r w:rsidR="005F1ED8" w:rsidRPr="00A00D06">
              <w:rPr>
                <w:rFonts w:eastAsia="Calibri" w:cs="Times New Roman"/>
                <w:sz w:val="20"/>
                <w:szCs w:val="20"/>
              </w:rPr>
              <w:t>0</w:t>
            </w:r>
            <w:r w:rsidR="00CF582C" w:rsidRPr="00A00D06">
              <w:rPr>
                <w:rFonts w:eastAsia="Calibri" w:cs="Times New Roman"/>
                <w:sz w:val="20"/>
                <w:szCs w:val="20"/>
              </w:rPr>
              <w:t>6</w:t>
            </w:r>
            <w:r w:rsidR="005F1ED8" w:rsidRPr="00A00D06">
              <w:rPr>
                <w:rFonts w:eastAsia="Calibri" w:cs="Times New Roman"/>
                <w:sz w:val="20"/>
                <w:szCs w:val="20"/>
              </w:rPr>
              <w:t>)</w:t>
            </w:r>
          </w:p>
        </w:tc>
      </w:tr>
      <w:tr w:rsidR="005F1ED8" w:rsidRPr="00C5600D" w:rsidTr="00BF71E4">
        <w:trPr>
          <w:cantSplit/>
          <w:trHeight w:hRule="exact" w:val="576"/>
        </w:trPr>
        <w:tc>
          <w:tcPr>
            <w:tcW w:w="2398" w:type="dxa"/>
          </w:tcPr>
          <w:p w:rsidR="005F1ED8" w:rsidRPr="00A00D06" w:rsidRDefault="00CF582C" w:rsidP="00BF71E4">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12</w:t>
            </w:r>
            <w:r w:rsidRPr="003A74F5">
              <w:rPr>
                <w:rFonts w:eastAsia="Calibri" w:cs="Times New Roman"/>
                <w:sz w:val="20"/>
                <w:szCs w:val="20"/>
              </w:rPr>
              <w:t>-</w:t>
            </w:r>
            <w:r>
              <w:rPr>
                <w:rFonts w:eastAsia="Calibri" w:cs="Times New Roman"/>
                <w:sz w:val="20"/>
                <w:szCs w:val="20"/>
              </w:rPr>
              <w:t>0</w:t>
            </w:r>
            <w:r w:rsidR="00BF71E4">
              <w:rPr>
                <w:rFonts w:eastAsia="Calibri" w:cs="Times New Roman"/>
                <w:sz w:val="20"/>
                <w:szCs w:val="20"/>
              </w:rPr>
              <w:t>3</w:t>
            </w:r>
          </w:p>
        </w:tc>
        <w:tc>
          <w:tcPr>
            <w:tcW w:w="7178" w:type="dxa"/>
          </w:tcPr>
          <w:p w:rsidR="005F1ED8" w:rsidRPr="00A00D06" w:rsidRDefault="00BF71E4" w:rsidP="00BF71E4">
            <w:pPr>
              <w:jc w:val="both"/>
              <w:rPr>
                <w:rFonts w:eastAsia="Calibri" w:cs="Times New Roman"/>
                <w:sz w:val="20"/>
                <w:szCs w:val="20"/>
              </w:rPr>
            </w:pPr>
            <w:r>
              <w:rPr>
                <w:rFonts w:eastAsia="Calibri" w:cs="Times New Roman"/>
                <w:i/>
                <w:sz w:val="20"/>
                <w:szCs w:val="20"/>
              </w:rPr>
              <w:t>ATCO G</w:t>
            </w:r>
            <w:r w:rsidR="005F1ED8" w:rsidRPr="003B7455">
              <w:rPr>
                <w:rFonts w:eastAsia="Calibri" w:cs="Times New Roman"/>
                <w:i/>
                <w:sz w:val="20"/>
                <w:szCs w:val="20"/>
              </w:rPr>
              <w:t>a</w:t>
            </w:r>
            <w:r>
              <w:rPr>
                <w:rFonts w:eastAsia="Calibri" w:cs="Times New Roman"/>
                <w:i/>
                <w:sz w:val="20"/>
                <w:szCs w:val="20"/>
              </w:rPr>
              <w:t>s and Pipelines Ltd. et al.</w:t>
            </w:r>
            <w:r w:rsidR="005F1ED8" w:rsidRPr="003B7455">
              <w:rPr>
                <w:rFonts w:eastAsia="Calibri" w:cs="Times New Roman"/>
                <w:i/>
                <w:sz w:val="20"/>
                <w:szCs w:val="20"/>
              </w:rPr>
              <w:t xml:space="preserve"> v. </w:t>
            </w:r>
            <w:r>
              <w:rPr>
                <w:rFonts w:eastAsia="Calibri" w:cs="Times New Roman"/>
                <w:i/>
                <w:sz w:val="20"/>
                <w:szCs w:val="20"/>
              </w:rPr>
              <w:t>Alb</w:t>
            </w:r>
            <w:r w:rsidR="005F1ED8" w:rsidRPr="003A74F5">
              <w:rPr>
                <w:rFonts w:eastAsia="Calibri" w:cs="Times New Roman"/>
                <w:i/>
                <w:sz w:val="20"/>
                <w:szCs w:val="20"/>
              </w:rPr>
              <w:t>e</w:t>
            </w:r>
            <w:r>
              <w:rPr>
                <w:rFonts w:eastAsia="Calibri" w:cs="Times New Roman"/>
                <w:i/>
                <w:sz w:val="20"/>
                <w:szCs w:val="20"/>
              </w:rPr>
              <w:t>rt</w:t>
            </w:r>
            <w:r w:rsidR="005F1ED8" w:rsidRPr="003A74F5">
              <w:rPr>
                <w:rFonts w:eastAsia="Calibri" w:cs="Times New Roman"/>
                <w:i/>
                <w:sz w:val="20"/>
                <w:szCs w:val="20"/>
              </w:rPr>
              <w:t>a</w:t>
            </w:r>
            <w:r>
              <w:rPr>
                <w:rFonts w:eastAsia="Calibri" w:cs="Times New Roman"/>
                <w:i/>
                <w:sz w:val="20"/>
                <w:szCs w:val="20"/>
              </w:rPr>
              <w:t xml:space="preserve"> Utiliti</w:t>
            </w:r>
            <w:r w:rsidR="005F1ED8" w:rsidRPr="003A74F5">
              <w:rPr>
                <w:rFonts w:eastAsia="Calibri" w:cs="Times New Roman"/>
                <w:i/>
                <w:sz w:val="20"/>
                <w:szCs w:val="20"/>
              </w:rPr>
              <w:t>es</w:t>
            </w:r>
            <w:r>
              <w:rPr>
                <w:rFonts w:eastAsia="Calibri" w:cs="Times New Roman"/>
                <w:i/>
                <w:sz w:val="20"/>
                <w:szCs w:val="20"/>
              </w:rPr>
              <w:t xml:space="preserve"> Commission e</w:t>
            </w:r>
            <w:r w:rsidR="005F1ED8" w:rsidRPr="003A74F5">
              <w:rPr>
                <w:rFonts w:eastAsia="Calibri" w:cs="Times New Roman"/>
                <w:i/>
                <w:sz w:val="20"/>
                <w:szCs w:val="20"/>
              </w:rPr>
              <w:t>t</w:t>
            </w:r>
            <w:r>
              <w:rPr>
                <w:rFonts w:eastAsia="Calibri" w:cs="Times New Roman"/>
                <w:i/>
                <w:sz w:val="20"/>
                <w:szCs w:val="20"/>
              </w:rPr>
              <w:t xml:space="preserve"> al.</w:t>
            </w:r>
            <w:r w:rsidR="005F1ED8" w:rsidRPr="003A74F5">
              <w:rPr>
                <w:rFonts w:eastAsia="Calibri" w:cs="Times New Roman"/>
                <w:i/>
                <w:sz w:val="20"/>
                <w:szCs w:val="20"/>
              </w:rPr>
              <w:t xml:space="preserve"> </w:t>
            </w:r>
            <w:r w:rsidR="005F1ED8" w:rsidRPr="003B7455">
              <w:rPr>
                <w:rFonts w:eastAsia="Calibri" w:cs="Times New Roman"/>
                <w:sz w:val="20"/>
                <w:szCs w:val="20"/>
              </w:rPr>
              <w:t>(</w:t>
            </w:r>
            <w:r>
              <w:rPr>
                <w:rFonts w:eastAsia="Calibri" w:cs="Times New Roman"/>
                <w:sz w:val="20"/>
                <w:szCs w:val="20"/>
              </w:rPr>
              <w:t>Al</w:t>
            </w:r>
            <w:r w:rsidR="005F1ED8" w:rsidRPr="003B7455">
              <w:rPr>
                <w:rFonts w:eastAsia="Calibri" w:cs="Times New Roman"/>
                <w:sz w:val="20"/>
                <w:szCs w:val="20"/>
              </w:rPr>
              <w:t>t</w:t>
            </w:r>
            <w:r>
              <w:rPr>
                <w:rFonts w:eastAsia="Calibri" w:cs="Times New Roman"/>
                <w:sz w:val="20"/>
                <w:szCs w:val="20"/>
              </w:rPr>
              <w:t>a</w:t>
            </w:r>
            <w:r w:rsidR="005F1ED8" w:rsidRPr="003B7455">
              <w:rPr>
                <w:rFonts w:eastAsia="Calibri" w:cs="Times New Roman"/>
                <w:sz w:val="20"/>
                <w:szCs w:val="20"/>
              </w:rPr>
              <w:t xml:space="preserve">.) </w:t>
            </w:r>
            <w:r w:rsidR="005F1ED8" w:rsidRPr="00A00D06">
              <w:rPr>
                <w:rFonts w:eastAsia="Calibri" w:cs="Times New Roman"/>
                <w:sz w:val="20"/>
                <w:szCs w:val="20"/>
              </w:rPr>
              <w:t>(Ci</w:t>
            </w:r>
            <w:r>
              <w:rPr>
                <w:rFonts w:eastAsia="Calibri" w:cs="Times New Roman"/>
                <w:sz w:val="20"/>
                <w:szCs w:val="20"/>
              </w:rPr>
              <w:t>v</w:t>
            </w:r>
            <w:r w:rsidR="005F1ED8" w:rsidRPr="00A00D06">
              <w:rPr>
                <w:rFonts w:eastAsia="Calibri" w:cs="Times New Roman"/>
                <w:sz w:val="20"/>
                <w:szCs w:val="20"/>
              </w:rPr>
              <w:t>il) (By Leave) (35</w:t>
            </w:r>
            <w:r w:rsidR="00CF582C" w:rsidRPr="00A00D06">
              <w:rPr>
                <w:rFonts w:eastAsia="Calibri" w:cs="Times New Roman"/>
                <w:sz w:val="20"/>
                <w:szCs w:val="20"/>
              </w:rPr>
              <w:t>6</w:t>
            </w:r>
            <w:r w:rsidR="005F1ED8" w:rsidRPr="00A00D06">
              <w:rPr>
                <w:rFonts w:eastAsia="Calibri" w:cs="Times New Roman"/>
                <w:sz w:val="20"/>
                <w:szCs w:val="20"/>
              </w:rPr>
              <w:t>2</w:t>
            </w:r>
            <w:r w:rsidR="00CF582C" w:rsidRPr="00A00D06">
              <w:rPr>
                <w:rFonts w:eastAsia="Calibri" w:cs="Times New Roman"/>
                <w:sz w:val="20"/>
                <w:szCs w:val="20"/>
              </w:rPr>
              <w:t>4</w:t>
            </w:r>
            <w:r w:rsidR="005F1ED8" w:rsidRPr="00A00D06">
              <w:rPr>
                <w:rFonts w:eastAsia="Calibri" w:cs="Times New Roman"/>
                <w:sz w:val="20"/>
                <w:szCs w:val="20"/>
              </w:rPr>
              <w:t>)</w:t>
            </w:r>
          </w:p>
        </w:tc>
      </w:tr>
      <w:tr w:rsidR="005F1ED8" w:rsidRPr="00216AEB" w:rsidTr="005F1ED8">
        <w:trPr>
          <w:cantSplit/>
          <w:trHeight w:hRule="exact" w:val="432"/>
        </w:trPr>
        <w:tc>
          <w:tcPr>
            <w:tcW w:w="2398" w:type="dxa"/>
          </w:tcPr>
          <w:p w:rsidR="005F1ED8" w:rsidRPr="00A00D06" w:rsidRDefault="00CF582C" w:rsidP="00AE49EA">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12</w:t>
            </w:r>
            <w:r w:rsidRPr="003A74F5">
              <w:rPr>
                <w:rFonts w:eastAsia="Calibri" w:cs="Times New Roman"/>
                <w:sz w:val="20"/>
                <w:szCs w:val="20"/>
              </w:rPr>
              <w:t>-</w:t>
            </w:r>
            <w:r>
              <w:rPr>
                <w:rFonts w:eastAsia="Calibri" w:cs="Times New Roman"/>
                <w:sz w:val="20"/>
                <w:szCs w:val="20"/>
              </w:rPr>
              <w:t>0</w:t>
            </w:r>
            <w:r w:rsidR="00AE49EA">
              <w:rPr>
                <w:rFonts w:eastAsia="Calibri" w:cs="Times New Roman"/>
                <w:sz w:val="20"/>
                <w:szCs w:val="20"/>
              </w:rPr>
              <w:t>4</w:t>
            </w:r>
          </w:p>
        </w:tc>
        <w:tc>
          <w:tcPr>
            <w:tcW w:w="7178" w:type="dxa"/>
          </w:tcPr>
          <w:p w:rsidR="005F1ED8" w:rsidRPr="003B7455" w:rsidRDefault="00BF71E4" w:rsidP="00BF71E4">
            <w:pPr>
              <w:jc w:val="both"/>
              <w:rPr>
                <w:rFonts w:eastAsia="Calibri" w:cs="Times New Roman"/>
                <w:sz w:val="20"/>
                <w:szCs w:val="20"/>
              </w:rPr>
            </w:pPr>
            <w:r>
              <w:rPr>
                <w:rFonts w:eastAsia="Calibri" w:cs="Times New Roman"/>
                <w:i/>
                <w:sz w:val="20"/>
                <w:szCs w:val="20"/>
              </w:rPr>
              <w:t>Minist</w:t>
            </w:r>
            <w:r w:rsidR="005F1ED8" w:rsidRPr="003B7455">
              <w:rPr>
                <w:rFonts w:eastAsia="Calibri" w:cs="Times New Roman"/>
                <w:i/>
                <w:sz w:val="20"/>
                <w:szCs w:val="20"/>
              </w:rPr>
              <w:t xml:space="preserve">er </w:t>
            </w:r>
            <w:r>
              <w:rPr>
                <w:rFonts w:eastAsia="Calibri" w:cs="Times New Roman"/>
                <w:i/>
                <w:sz w:val="20"/>
                <w:szCs w:val="20"/>
              </w:rPr>
              <w:t>of N</w:t>
            </w:r>
            <w:r w:rsidR="005F1ED8" w:rsidRPr="0085047E">
              <w:rPr>
                <w:rFonts w:eastAsia="Calibri" w:cs="Times New Roman"/>
                <w:i/>
                <w:sz w:val="20"/>
                <w:szCs w:val="20"/>
              </w:rPr>
              <w:t>at</w:t>
            </w:r>
            <w:r>
              <w:rPr>
                <w:rFonts w:eastAsia="Calibri" w:cs="Times New Roman"/>
                <w:i/>
                <w:sz w:val="20"/>
                <w:szCs w:val="20"/>
              </w:rPr>
              <w:t>ional R</w:t>
            </w:r>
            <w:r w:rsidR="005F1ED8" w:rsidRPr="0085047E">
              <w:rPr>
                <w:rFonts w:eastAsia="Calibri" w:cs="Times New Roman"/>
                <w:i/>
                <w:sz w:val="20"/>
                <w:szCs w:val="20"/>
              </w:rPr>
              <w:t>e</w:t>
            </w:r>
            <w:r>
              <w:rPr>
                <w:rFonts w:eastAsia="Calibri" w:cs="Times New Roman"/>
                <w:i/>
                <w:sz w:val="20"/>
                <w:szCs w:val="20"/>
              </w:rPr>
              <w:t>v</w:t>
            </w:r>
            <w:r w:rsidR="005F1ED8" w:rsidRPr="0085047E">
              <w:rPr>
                <w:rFonts w:eastAsia="Calibri" w:cs="Times New Roman"/>
                <w:i/>
                <w:sz w:val="20"/>
                <w:szCs w:val="20"/>
              </w:rPr>
              <w:t>en</w:t>
            </w:r>
            <w:r>
              <w:rPr>
                <w:rFonts w:eastAsia="Calibri" w:cs="Times New Roman"/>
                <w:i/>
                <w:sz w:val="20"/>
                <w:szCs w:val="20"/>
              </w:rPr>
              <w:t>ue</w:t>
            </w:r>
            <w:r w:rsidR="005F1ED8" w:rsidRPr="0085047E">
              <w:rPr>
                <w:rFonts w:eastAsia="Calibri" w:cs="Times New Roman"/>
                <w:sz w:val="20"/>
                <w:szCs w:val="20"/>
              </w:rPr>
              <w:t xml:space="preserve"> </w:t>
            </w:r>
            <w:r w:rsidR="005F1ED8" w:rsidRPr="003B7455">
              <w:rPr>
                <w:rFonts w:eastAsia="Calibri" w:cs="Times New Roman"/>
                <w:i/>
                <w:sz w:val="20"/>
                <w:szCs w:val="20"/>
              </w:rPr>
              <w:t>v.</w:t>
            </w:r>
            <w:r w:rsidR="005F1ED8">
              <w:rPr>
                <w:rFonts w:eastAsia="Calibri" w:cs="Times New Roman"/>
                <w:i/>
                <w:sz w:val="20"/>
                <w:szCs w:val="20"/>
              </w:rPr>
              <w:t xml:space="preserve"> </w:t>
            </w:r>
            <w:r>
              <w:rPr>
                <w:rFonts w:eastAsia="Calibri" w:cs="Times New Roman"/>
                <w:i/>
                <w:sz w:val="20"/>
                <w:szCs w:val="20"/>
              </w:rPr>
              <w:t>Dunca</w:t>
            </w:r>
            <w:r w:rsidR="005F1ED8">
              <w:rPr>
                <w:rFonts w:eastAsia="Calibri" w:cs="Times New Roman"/>
                <w:i/>
                <w:sz w:val="20"/>
                <w:szCs w:val="20"/>
              </w:rPr>
              <w:t xml:space="preserve">n </w:t>
            </w:r>
            <w:r>
              <w:rPr>
                <w:rFonts w:eastAsia="Calibri" w:cs="Times New Roman"/>
                <w:i/>
                <w:sz w:val="20"/>
                <w:szCs w:val="20"/>
              </w:rPr>
              <w:t>Thompson</w:t>
            </w:r>
            <w:r w:rsidR="005F1ED8" w:rsidRPr="003B7455">
              <w:rPr>
                <w:rFonts w:eastAsia="Calibri" w:cs="Times New Roman"/>
                <w:i/>
                <w:sz w:val="20"/>
                <w:szCs w:val="20"/>
              </w:rPr>
              <w:t xml:space="preserve"> </w:t>
            </w:r>
            <w:r w:rsidR="005F1ED8" w:rsidRPr="0085047E">
              <w:rPr>
                <w:rFonts w:eastAsia="Calibri" w:cs="Times New Roman"/>
                <w:sz w:val="20"/>
                <w:szCs w:val="20"/>
              </w:rPr>
              <w:t>(</w:t>
            </w:r>
            <w:r>
              <w:rPr>
                <w:rFonts w:eastAsia="Calibri" w:cs="Times New Roman"/>
                <w:sz w:val="20"/>
                <w:szCs w:val="20"/>
              </w:rPr>
              <w:t>F.C</w:t>
            </w:r>
            <w:r w:rsidR="005F1ED8" w:rsidRPr="0085047E">
              <w:rPr>
                <w:rFonts w:eastAsia="Calibri" w:cs="Times New Roman"/>
                <w:sz w:val="20"/>
                <w:szCs w:val="20"/>
              </w:rPr>
              <w:t xml:space="preserve">.) </w:t>
            </w:r>
            <w:r w:rsidR="005F1ED8" w:rsidRPr="003B7455">
              <w:rPr>
                <w:rFonts w:eastAsia="Calibri" w:cs="Times New Roman"/>
                <w:sz w:val="20"/>
                <w:szCs w:val="20"/>
              </w:rPr>
              <w:t>(Ci</w:t>
            </w:r>
            <w:r>
              <w:rPr>
                <w:rFonts w:eastAsia="Calibri" w:cs="Times New Roman"/>
                <w:sz w:val="20"/>
                <w:szCs w:val="20"/>
              </w:rPr>
              <w:t>v</w:t>
            </w:r>
            <w:r w:rsidR="005F1ED8" w:rsidRPr="003B7455">
              <w:rPr>
                <w:rFonts w:eastAsia="Calibri" w:cs="Times New Roman"/>
                <w:sz w:val="20"/>
                <w:szCs w:val="20"/>
              </w:rPr>
              <w:t>il) (</w:t>
            </w:r>
            <w:r w:rsidR="005F1ED8">
              <w:rPr>
                <w:rFonts w:eastAsia="Calibri" w:cs="Times New Roman"/>
                <w:sz w:val="20"/>
                <w:szCs w:val="20"/>
              </w:rPr>
              <w:t>By Leave)</w:t>
            </w:r>
            <w:r w:rsidR="005F1ED8" w:rsidRPr="003B7455">
              <w:rPr>
                <w:rFonts w:eastAsia="Calibri" w:cs="Times New Roman"/>
                <w:sz w:val="20"/>
                <w:szCs w:val="20"/>
              </w:rPr>
              <w:t xml:space="preserve"> (3</w:t>
            </w:r>
            <w:r w:rsidR="005F1ED8">
              <w:rPr>
                <w:rFonts w:eastAsia="Calibri" w:cs="Times New Roman"/>
                <w:sz w:val="20"/>
                <w:szCs w:val="20"/>
              </w:rPr>
              <w:t>5</w:t>
            </w:r>
            <w:r w:rsidR="00CF582C">
              <w:rPr>
                <w:rFonts w:eastAsia="Calibri" w:cs="Times New Roman"/>
                <w:sz w:val="20"/>
                <w:szCs w:val="20"/>
              </w:rPr>
              <w:t>590</w:t>
            </w:r>
            <w:r w:rsidR="005F1ED8" w:rsidRPr="003B7455">
              <w:rPr>
                <w:rFonts w:eastAsia="Calibri" w:cs="Times New Roman"/>
                <w:sz w:val="20"/>
                <w:szCs w:val="20"/>
              </w:rPr>
              <w:t>)</w:t>
            </w:r>
          </w:p>
        </w:tc>
      </w:tr>
      <w:tr w:rsidR="005F1ED8" w:rsidRPr="003A74F5" w:rsidTr="00BF71E4">
        <w:trPr>
          <w:cantSplit/>
          <w:trHeight w:hRule="exact" w:val="432"/>
        </w:trPr>
        <w:tc>
          <w:tcPr>
            <w:tcW w:w="2398" w:type="dxa"/>
          </w:tcPr>
          <w:p w:rsidR="005F1ED8" w:rsidRPr="003A74F5" w:rsidRDefault="00CF582C" w:rsidP="00AE49EA">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12</w:t>
            </w:r>
            <w:r w:rsidRPr="003A74F5">
              <w:rPr>
                <w:rFonts w:eastAsia="Calibri" w:cs="Times New Roman"/>
                <w:sz w:val="20"/>
                <w:szCs w:val="20"/>
              </w:rPr>
              <w:t>-</w:t>
            </w:r>
            <w:r>
              <w:rPr>
                <w:rFonts w:eastAsia="Calibri" w:cs="Times New Roman"/>
                <w:sz w:val="20"/>
                <w:szCs w:val="20"/>
              </w:rPr>
              <w:t>0</w:t>
            </w:r>
            <w:r w:rsidR="00AE49EA">
              <w:rPr>
                <w:rFonts w:eastAsia="Calibri" w:cs="Times New Roman"/>
                <w:sz w:val="20"/>
                <w:szCs w:val="20"/>
              </w:rPr>
              <w:t>5</w:t>
            </w:r>
          </w:p>
        </w:tc>
        <w:tc>
          <w:tcPr>
            <w:tcW w:w="7178" w:type="dxa"/>
          </w:tcPr>
          <w:p w:rsidR="005F1ED8" w:rsidRPr="003A74F5" w:rsidRDefault="00BF71E4" w:rsidP="00BF71E4">
            <w:pPr>
              <w:jc w:val="both"/>
              <w:rPr>
                <w:rFonts w:eastAsia="Calibri" w:cs="Times New Roman"/>
                <w:sz w:val="20"/>
                <w:szCs w:val="20"/>
              </w:rPr>
            </w:pPr>
            <w:r>
              <w:rPr>
                <w:rFonts w:eastAsia="Calibri" w:cs="Times New Roman"/>
                <w:i/>
                <w:sz w:val="20"/>
                <w:szCs w:val="20"/>
              </w:rPr>
              <w:t>Juli</w:t>
            </w:r>
            <w:r w:rsidR="005F1ED8">
              <w:rPr>
                <w:rFonts w:eastAsia="Calibri" w:cs="Times New Roman"/>
                <w:i/>
                <w:sz w:val="20"/>
                <w:szCs w:val="20"/>
              </w:rPr>
              <w:t>e G</w:t>
            </w:r>
            <w:r>
              <w:rPr>
                <w:rFonts w:eastAsia="Calibri" w:cs="Times New Roman"/>
                <w:i/>
                <w:sz w:val="20"/>
                <w:szCs w:val="20"/>
              </w:rPr>
              <w:t>uin</w:t>
            </w:r>
            <w:r w:rsidR="005F1ED8">
              <w:rPr>
                <w:rFonts w:eastAsia="Calibri" w:cs="Times New Roman"/>
                <w:i/>
                <w:sz w:val="20"/>
                <w:szCs w:val="20"/>
              </w:rPr>
              <w:t xml:space="preserve">don </w:t>
            </w:r>
            <w:r w:rsidR="005F1ED8" w:rsidRPr="0085047E">
              <w:rPr>
                <w:rFonts w:eastAsia="Calibri" w:cs="Times New Roman"/>
                <w:i/>
                <w:sz w:val="20"/>
                <w:szCs w:val="20"/>
              </w:rPr>
              <w:t xml:space="preserve">v. </w:t>
            </w:r>
            <w:r w:rsidRPr="00202908">
              <w:rPr>
                <w:rFonts w:eastAsia="Calibri" w:cs="Times New Roman"/>
                <w:i/>
                <w:sz w:val="20"/>
                <w:szCs w:val="20"/>
              </w:rPr>
              <w:t>Her Majesty the</w:t>
            </w:r>
            <w:r>
              <w:rPr>
                <w:rFonts w:eastAsia="Calibri" w:cs="Times New Roman"/>
                <w:i/>
                <w:sz w:val="20"/>
                <w:szCs w:val="20"/>
              </w:rPr>
              <w:t xml:space="preserve"> Quee</w:t>
            </w:r>
            <w:r w:rsidRPr="00202908">
              <w:rPr>
                <w:rFonts w:eastAsia="Calibri" w:cs="Times New Roman"/>
                <w:i/>
                <w:sz w:val="20"/>
                <w:szCs w:val="20"/>
              </w:rPr>
              <w:t>n</w:t>
            </w:r>
            <w:r w:rsidR="005F1ED8" w:rsidRPr="0085047E">
              <w:rPr>
                <w:rFonts w:eastAsia="Calibri" w:cs="Times New Roman"/>
                <w:sz w:val="20"/>
                <w:szCs w:val="20"/>
              </w:rPr>
              <w:t xml:space="preserve"> </w:t>
            </w:r>
            <w:r w:rsidR="005F1ED8" w:rsidRPr="003A74F5">
              <w:rPr>
                <w:rFonts w:eastAsia="Calibri" w:cs="Times New Roman"/>
                <w:sz w:val="20"/>
                <w:szCs w:val="20"/>
              </w:rPr>
              <w:t>(</w:t>
            </w:r>
            <w:r>
              <w:rPr>
                <w:rFonts w:eastAsia="Calibri" w:cs="Times New Roman"/>
                <w:sz w:val="20"/>
                <w:szCs w:val="20"/>
              </w:rPr>
              <w:t>F</w:t>
            </w:r>
            <w:r w:rsidR="005F1ED8" w:rsidRPr="003A74F5">
              <w:rPr>
                <w:rFonts w:eastAsia="Calibri" w:cs="Times New Roman"/>
                <w:sz w:val="20"/>
                <w:szCs w:val="20"/>
              </w:rPr>
              <w:t>.C.) (Ci</w:t>
            </w:r>
            <w:r>
              <w:rPr>
                <w:rFonts w:eastAsia="Calibri" w:cs="Times New Roman"/>
                <w:sz w:val="20"/>
                <w:szCs w:val="20"/>
              </w:rPr>
              <w:t>v</w:t>
            </w:r>
            <w:r w:rsidR="005F1ED8" w:rsidRPr="003A74F5">
              <w:rPr>
                <w:rFonts w:eastAsia="Calibri" w:cs="Times New Roman"/>
                <w:sz w:val="20"/>
                <w:szCs w:val="20"/>
              </w:rPr>
              <w:t>il) (By Leave) (3</w:t>
            </w:r>
            <w:r w:rsidR="005F1ED8">
              <w:rPr>
                <w:rFonts w:eastAsia="Calibri" w:cs="Times New Roman"/>
                <w:sz w:val="20"/>
                <w:szCs w:val="20"/>
              </w:rPr>
              <w:t>5</w:t>
            </w:r>
            <w:r w:rsidR="00CF582C">
              <w:rPr>
                <w:rFonts w:eastAsia="Calibri" w:cs="Times New Roman"/>
                <w:sz w:val="20"/>
                <w:szCs w:val="20"/>
              </w:rPr>
              <w:t>519</w:t>
            </w:r>
            <w:r w:rsidR="005F1ED8" w:rsidRPr="003A74F5">
              <w:rPr>
                <w:rFonts w:eastAsia="Calibri" w:cs="Times New Roman"/>
                <w:sz w:val="20"/>
                <w:szCs w:val="20"/>
              </w:rPr>
              <w:t>)</w:t>
            </w:r>
          </w:p>
        </w:tc>
      </w:tr>
      <w:tr w:rsidR="005F1ED8" w:rsidRPr="003A74F5" w:rsidTr="00BF71E4">
        <w:trPr>
          <w:cantSplit/>
          <w:trHeight w:hRule="exact" w:val="432"/>
        </w:trPr>
        <w:tc>
          <w:tcPr>
            <w:tcW w:w="2398" w:type="dxa"/>
          </w:tcPr>
          <w:p w:rsidR="005F1ED8" w:rsidRPr="003A74F5" w:rsidRDefault="00CF582C" w:rsidP="00AE49EA">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12</w:t>
            </w:r>
            <w:r w:rsidRPr="003A74F5">
              <w:rPr>
                <w:rFonts w:eastAsia="Calibri" w:cs="Times New Roman"/>
                <w:sz w:val="20"/>
                <w:szCs w:val="20"/>
              </w:rPr>
              <w:t>-</w:t>
            </w:r>
            <w:r>
              <w:rPr>
                <w:rFonts w:eastAsia="Calibri" w:cs="Times New Roman"/>
                <w:sz w:val="20"/>
                <w:szCs w:val="20"/>
              </w:rPr>
              <w:t>0</w:t>
            </w:r>
            <w:r w:rsidR="00AE49EA">
              <w:rPr>
                <w:rFonts w:eastAsia="Calibri" w:cs="Times New Roman"/>
                <w:sz w:val="20"/>
                <w:szCs w:val="20"/>
              </w:rPr>
              <w:t>8</w:t>
            </w:r>
          </w:p>
        </w:tc>
        <w:tc>
          <w:tcPr>
            <w:tcW w:w="7178" w:type="dxa"/>
          </w:tcPr>
          <w:p w:rsidR="005F1ED8" w:rsidRPr="003A74F5" w:rsidRDefault="00BF71E4" w:rsidP="00BF71E4">
            <w:pPr>
              <w:jc w:val="both"/>
              <w:rPr>
                <w:rFonts w:eastAsia="Calibri" w:cs="Times New Roman"/>
                <w:sz w:val="20"/>
                <w:szCs w:val="20"/>
              </w:rPr>
            </w:pPr>
            <w:r>
              <w:rPr>
                <w:rFonts w:eastAsia="Calibri" w:cs="Times New Roman"/>
                <w:i/>
                <w:sz w:val="20"/>
                <w:szCs w:val="20"/>
              </w:rPr>
              <w:t xml:space="preserve">Ryan Paul Day </w:t>
            </w:r>
            <w:r w:rsidR="005F1ED8">
              <w:rPr>
                <w:rFonts w:eastAsia="Calibri" w:cs="Times New Roman"/>
                <w:i/>
                <w:sz w:val="20"/>
                <w:szCs w:val="20"/>
              </w:rPr>
              <w:t xml:space="preserve">v. </w:t>
            </w:r>
            <w:r w:rsidRPr="00202908">
              <w:rPr>
                <w:rFonts w:eastAsia="Calibri" w:cs="Times New Roman"/>
                <w:i/>
                <w:sz w:val="20"/>
                <w:szCs w:val="20"/>
              </w:rPr>
              <w:t>Her Majesty the</w:t>
            </w:r>
            <w:r>
              <w:rPr>
                <w:rFonts w:eastAsia="Calibri" w:cs="Times New Roman"/>
                <w:i/>
                <w:sz w:val="20"/>
                <w:szCs w:val="20"/>
              </w:rPr>
              <w:t xml:space="preserve"> Quee</w:t>
            </w:r>
            <w:r w:rsidRPr="00202908">
              <w:rPr>
                <w:rFonts w:eastAsia="Calibri" w:cs="Times New Roman"/>
                <w:i/>
                <w:sz w:val="20"/>
                <w:szCs w:val="20"/>
              </w:rPr>
              <w:t>n</w:t>
            </w:r>
            <w:r w:rsidR="005F1ED8">
              <w:rPr>
                <w:rFonts w:eastAsia="Calibri" w:cs="Times New Roman"/>
                <w:i/>
                <w:sz w:val="20"/>
                <w:szCs w:val="20"/>
              </w:rPr>
              <w:t xml:space="preserve"> </w:t>
            </w:r>
            <w:r w:rsidR="005F1ED8" w:rsidRPr="00202908">
              <w:rPr>
                <w:rFonts w:eastAsia="Calibri" w:cs="Times New Roman"/>
                <w:sz w:val="20"/>
                <w:szCs w:val="20"/>
              </w:rPr>
              <w:t>(</w:t>
            </w:r>
            <w:r>
              <w:rPr>
                <w:rFonts w:eastAsia="Calibri" w:cs="Times New Roman"/>
                <w:sz w:val="20"/>
                <w:szCs w:val="20"/>
              </w:rPr>
              <w:t>N.L</w:t>
            </w:r>
            <w:r w:rsidR="005F1ED8" w:rsidRPr="00202908">
              <w:rPr>
                <w:rFonts w:eastAsia="Calibri" w:cs="Times New Roman"/>
                <w:sz w:val="20"/>
                <w:szCs w:val="20"/>
              </w:rPr>
              <w:t xml:space="preserve">.) </w:t>
            </w:r>
            <w:r w:rsidR="005F1ED8" w:rsidRPr="005B6C58">
              <w:rPr>
                <w:rFonts w:eastAsia="Calibri" w:cs="Times New Roman"/>
                <w:sz w:val="20"/>
                <w:szCs w:val="20"/>
              </w:rPr>
              <w:t>(C</w:t>
            </w:r>
            <w:r w:rsidR="005F1ED8">
              <w:rPr>
                <w:rFonts w:eastAsia="Calibri" w:cs="Times New Roman"/>
                <w:sz w:val="20"/>
                <w:szCs w:val="20"/>
              </w:rPr>
              <w:t>r</w:t>
            </w:r>
            <w:r w:rsidR="005F1ED8" w:rsidRPr="005B6C58">
              <w:rPr>
                <w:rFonts w:eastAsia="Calibri" w:cs="Times New Roman"/>
                <w:sz w:val="20"/>
                <w:szCs w:val="20"/>
              </w:rPr>
              <w:t>i</w:t>
            </w:r>
            <w:r w:rsidR="005F1ED8">
              <w:rPr>
                <w:rFonts w:eastAsia="Calibri" w:cs="Times New Roman"/>
                <w:sz w:val="20"/>
                <w:szCs w:val="20"/>
              </w:rPr>
              <w:t>m</w:t>
            </w:r>
            <w:r w:rsidR="005F1ED8" w:rsidRPr="005B6C58">
              <w:rPr>
                <w:rFonts w:eastAsia="Calibri" w:cs="Times New Roman"/>
                <w:sz w:val="20"/>
                <w:szCs w:val="20"/>
              </w:rPr>
              <w:t>i</w:t>
            </w:r>
            <w:r w:rsidR="005F1ED8">
              <w:rPr>
                <w:rFonts w:eastAsia="Calibri" w:cs="Times New Roman"/>
                <w:sz w:val="20"/>
                <w:szCs w:val="20"/>
              </w:rPr>
              <w:t>na</w:t>
            </w:r>
            <w:r w:rsidR="005F1ED8" w:rsidRPr="005B6C58">
              <w:rPr>
                <w:rFonts w:eastAsia="Calibri" w:cs="Times New Roman"/>
                <w:sz w:val="20"/>
                <w:szCs w:val="20"/>
              </w:rPr>
              <w:t>l) (</w:t>
            </w:r>
            <w:r w:rsidR="005F1ED8">
              <w:rPr>
                <w:rFonts w:eastAsia="Calibri" w:cs="Times New Roman"/>
                <w:sz w:val="20"/>
                <w:szCs w:val="20"/>
              </w:rPr>
              <w:t>As of Right</w:t>
            </w:r>
            <w:r w:rsidR="005F1ED8" w:rsidRPr="005B6C58">
              <w:rPr>
                <w:rFonts w:eastAsia="Calibri" w:cs="Times New Roman"/>
                <w:sz w:val="20"/>
                <w:szCs w:val="20"/>
              </w:rPr>
              <w:t>) (3</w:t>
            </w:r>
            <w:r w:rsidR="005F1ED8">
              <w:rPr>
                <w:rFonts w:eastAsia="Calibri" w:cs="Times New Roman"/>
                <w:sz w:val="20"/>
                <w:szCs w:val="20"/>
              </w:rPr>
              <w:t>5</w:t>
            </w:r>
            <w:r w:rsidR="00CF582C">
              <w:rPr>
                <w:rFonts w:eastAsia="Calibri" w:cs="Times New Roman"/>
                <w:sz w:val="20"/>
                <w:szCs w:val="20"/>
              </w:rPr>
              <w:t>822</w:t>
            </w:r>
            <w:r w:rsidR="005F1ED8" w:rsidRPr="005B6C58">
              <w:rPr>
                <w:rFonts w:eastAsia="Calibri" w:cs="Times New Roman"/>
                <w:sz w:val="20"/>
                <w:szCs w:val="20"/>
              </w:rPr>
              <w:t>)</w:t>
            </w:r>
          </w:p>
        </w:tc>
      </w:tr>
      <w:tr w:rsidR="005F1ED8" w:rsidRPr="003A74F5" w:rsidTr="005F1ED8">
        <w:trPr>
          <w:cantSplit/>
          <w:trHeight w:hRule="exact" w:val="432"/>
        </w:trPr>
        <w:tc>
          <w:tcPr>
            <w:tcW w:w="2398" w:type="dxa"/>
          </w:tcPr>
          <w:p w:rsidR="005F1ED8" w:rsidRDefault="00CF582C" w:rsidP="00AE49EA">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12</w:t>
            </w:r>
            <w:r w:rsidRPr="003A74F5">
              <w:rPr>
                <w:rFonts w:eastAsia="Calibri" w:cs="Times New Roman"/>
                <w:sz w:val="20"/>
                <w:szCs w:val="20"/>
              </w:rPr>
              <w:t>-</w:t>
            </w:r>
            <w:r>
              <w:rPr>
                <w:rFonts w:eastAsia="Calibri" w:cs="Times New Roman"/>
                <w:sz w:val="20"/>
                <w:szCs w:val="20"/>
              </w:rPr>
              <w:t>0</w:t>
            </w:r>
            <w:r w:rsidR="00AE49EA">
              <w:rPr>
                <w:rFonts w:eastAsia="Calibri" w:cs="Times New Roman"/>
                <w:sz w:val="20"/>
                <w:szCs w:val="20"/>
              </w:rPr>
              <w:t>8</w:t>
            </w:r>
          </w:p>
        </w:tc>
        <w:tc>
          <w:tcPr>
            <w:tcW w:w="7178" w:type="dxa"/>
          </w:tcPr>
          <w:p w:rsidR="005F1ED8" w:rsidRPr="00202908" w:rsidRDefault="00BF71E4" w:rsidP="00BF71E4">
            <w:pPr>
              <w:jc w:val="both"/>
              <w:rPr>
                <w:rFonts w:eastAsia="Calibri" w:cs="Times New Roman"/>
                <w:i/>
                <w:sz w:val="20"/>
                <w:szCs w:val="20"/>
              </w:rPr>
            </w:pPr>
            <w:r>
              <w:rPr>
                <w:rFonts w:eastAsia="Calibri" w:cs="Times New Roman"/>
                <w:i/>
                <w:sz w:val="20"/>
                <w:szCs w:val="20"/>
              </w:rPr>
              <w:t>James Steven Wilc</w:t>
            </w:r>
            <w:r w:rsidR="005F1ED8">
              <w:rPr>
                <w:rFonts w:eastAsia="Calibri" w:cs="Times New Roman"/>
                <w:i/>
                <w:sz w:val="20"/>
                <w:szCs w:val="20"/>
              </w:rPr>
              <w:t>o</w:t>
            </w:r>
            <w:r>
              <w:rPr>
                <w:rFonts w:eastAsia="Calibri" w:cs="Times New Roman"/>
                <w:i/>
                <w:sz w:val="20"/>
                <w:szCs w:val="20"/>
              </w:rPr>
              <w:t>x</w:t>
            </w:r>
            <w:r w:rsidR="005F1ED8">
              <w:rPr>
                <w:rFonts w:eastAsia="Calibri" w:cs="Times New Roman"/>
                <w:i/>
                <w:sz w:val="20"/>
                <w:szCs w:val="20"/>
              </w:rPr>
              <w:t xml:space="preserve"> v. </w:t>
            </w:r>
            <w:r w:rsidR="005F1ED8" w:rsidRPr="00202908">
              <w:rPr>
                <w:rFonts w:eastAsia="Calibri" w:cs="Times New Roman"/>
                <w:i/>
                <w:sz w:val="20"/>
                <w:szCs w:val="20"/>
              </w:rPr>
              <w:t>Her Majesty the</w:t>
            </w:r>
            <w:r w:rsidR="005F1ED8">
              <w:rPr>
                <w:rFonts w:eastAsia="Calibri" w:cs="Times New Roman"/>
                <w:i/>
                <w:sz w:val="20"/>
                <w:szCs w:val="20"/>
              </w:rPr>
              <w:t xml:space="preserve"> Quee</w:t>
            </w:r>
            <w:r w:rsidR="005F1ED8" w:rsidRPr="00202908">
              <w:rPr>
                <w:rFonts w:eastAsia="Calibri" w:cs="Times New Roman"/>
                <w:i/>
                <w:sz w:val="20"/>
                <w:szCs w:val="20"/>
              </w:rPr>
              <w:t>n</w:t>
            </w:r>
            <w:r w:rsidR="005F1ED8">
              <w:rPr>
                <w:rFonts w:eastAsia="Calibri" w:cs="Times New Roman"/>
                <w:i/>
                <w:sz w:val="20"/>
                <w:szCs w:val="20"/>
              </w:rPr>
              <w:t xml:space="preserve"> </w:t>
            </w:r>
            <w:r w:rsidR="005F1ED8" w:rsidRPr="00202908">
              <w:rPr>
                <w:rFonts w:eastAsia="Calibri" w:cs="Times New Roman"/>
                <w:sz w:val="20"/>
                <w:szCs w:val="20"/>
              </w:rPr>
              <w:t>(</w:t>
            </w:r>
            <w:r>
              <w:rPr>
                <w:rFonts w:eastAsia="Calibri" w:cs="Times New Roman"/>
                <w:sz w:val="20"/>
                <w:szCs w:val="20"/>
              </w:rPr>
              <w:t>Que</w:t>
            </w:r>
            <w:r w:rsidR="005F1ED8" w:rsidRPr="00202908">
              <w:rPr>
                <w:rFonts w:eastAsia="Calibri" w:cs="Times New Roman"/>
                <w:sz w:val="20"/>
                <w:szCs w:val="20"/>
              </w:rPr>
              <w:t xml:space="preserve">.) </w:t>
            </w:r>
            <w:r w:rsidR="005F1ED8" w:rsidRPr="005B6C58">
              <w:rPr>
                <w:rFonts w:eastAsia="Calibri" w:cs="Times New Roman"/>
                <w:sz w:val="20"/>
                <w:szCs w:val="20"/>
              </w:rPr>
              <w:t>(C</w:t>
            </w:r>
            <w:r w:rsidR="005F1ED8">
              <w:rPr>
                <w:rFonts w:eastAsia="Calibri" w:cs="Times New Roman"/>
                <w:sz w:val="20"/>
                <w:szCs w:val="20"/>
              </w:rPr>
              <w:t>r</w:t>
            </w:r>
            <w:r w:rsidR="005F1ED8" w:rsidRPr="005B6C58">
              <w:rPr>
                <w:rFonts w:eastAsia="Calibri" w:cs="Times New Roman"/>
                <w:sz w:val="20"/>
                <w:szCs w:val="20"/>
              </w:rPr>
              <w:t>i</w:t>
            </w:r>
            <w:r w:rsidR="005F1ED8">
              <w:rPr>
                <w:rFonts w:eastAsia="Calibri" w:cs="Times New Roman"/>
                <w:sz w:val="20"/>
                <w:szCs w:val="20"/>
              </w:rPr>
              <w:t>m</w:t>
            </w:r>
            <w:r w:rsidR="005F1ED8" w:rsidRPr="005B6C58">
              <w:rPr>
                <w:rFonts w:eastAsia="Calibri" w:cs="Times New Roman"/>
                <w:sz w:val="20"/>
                <w:szCs w:val="20"/>
              </w:rPr>
              <w:t>i</w:t>
            </w:r>
            <w:r w:rsidR="005F1ED8">
              <w:rPr>
                <w:rFonts w:eastAsia="Calibri" w:cs="Times New Roman"/>
                <w:sz w:val="20"/>
                <w:szCs w:val="20"/>
              </w:rPr>
              <w:t>na</w:t>
            </w:r>
            <w:r w:rsidR="005F1ED8" w:rsidRPr="005B6C58">
              <w:rPr>
                <w:rFonts w:eastAsia="Calibri" w:cs="Times New Roman"/>
                <w:sz w:val="20"/>
                <w:szCs w:val="20"/>
              </w:rPr>
              <w:t>l) (</w:t>
            </w:r>
            <w:r w:rsidR="005F1ED8">
              <w:rPr>
                <w:rFonts w:eastAsia="Calibri" w:cs="Times New Roman"/>
                <w:sz w:val="20"/>
                <w:szCs w:val="20"/>
              </w:rPr>
              <w:t>As of Right</w:t>
            </w:r>
            <w:r w:rsidR="005F1ED8" w:rsidRPr="005B6C58">
              <w:rPr>
                <w:rFonts w:eastAsia="Calibri" w:cs="Times New Roman"/>
                <w:sz w:val="20"/>
                <w:szCs w:val="20"/>
              </w:rPr>
              <w:t>) (3</w:t>
            </w:r>
            <w:r w:rsidR="005F1ED8">
              <w:rPr>
                <w:rFonts w:eastAsia="Calibri" w:cs="Times New Roman"/>
                <w:sz w:val="20"/>
                <w:szCs w:val="20"/>
              </w:rPr>
              <w:t>5</w:t>
            </w:r>
            <w:r w:rsidR="00CF582C">
              <w:rPr>
                <w:rFonts w:eastAsia="Calibri" w:cs="Times New Roman"/>
                <w:sz w:val="20"/>
                <w:szCs w:val="20"/>
              </w:rPr>
              <w:t>758</w:t>
            </w:r>
            <w:r w:rsidR="005F1ED8">
              <w:rPr>
                <w:rFonts w:eastAsia="Calibri" w:cs="Times New Roman"/>
                <w:sz w:val="20"/>
                <w:szCs w:val="20"/>
              </w:rPr>
              <w:t>)</w:t>
            </w:r>
          </w:p>
        </w:tc>
      </w:tr>
      <w:tr w:rsidR="00CF582C" w:rsidRPr="003A74F5" w:rsidTr="005F1ED8">
        <w:trPr>
          <w:cantSplit/>
          <w:trHeight w:hRule="exact" w:val="432"/>
        </w:trPr>
        <w:tc>
          <w:tcPr>
            <w:tcW w:w="2398" w:type="dxa"/>
          </w:tcPr>
          <w:p w:rsidR="00CF582C" w:rsidRDefault="00CF582C" w:rsidP="00AE49EA">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12</w:t>
            </w:r>
            <w:r w:rsidRPr="003A74F5">
              <w:rPr>
                <w:rFonts w:eastAsia="Calibri" w:cs="Times New Roman"/>
                <w:sz w:val="20"/>
                <w:szCs w:val="20"/>
              </w:rPr>
              <w:t>-</w:t>
            </w:r>
            <w:r>
              <w:rPr>
                <w:rFonts w:eastAsia="Calibri" w:cs="Times New Roman"/>
                <w:sz w:val="20"/>
                <w:szCs w:val="20"/>
              </w:rPr>
              <w:t>0</w:t>
            </w:r>
            <w:r w:rsidR="00AE49EA">
              <w:rPr>
                <w:rFonts w:eastAsia="Calibri" w:cs="Times New Roman"/>
                <w:sz w:val="20"/>
                <w:szCs w:val="20"/>
              </w:rPr>
              <w:t>9</w:t>
            </w:r>
          </w:p>
        </w:tc>
        <w:tc>
          <w:tcPr>
            <w:tcW w:w="7178" w:type="dxa"/>
          </w:tcPr>
          <w:p w:rsidR="00CF582C" w:rsidRDefault="00BF71E4" w:rsidP="00BF71E4">
            <w:pPr>
              <w:jc w:val="both"/>
              <w:rPr>
                <w:rFonts w:eastAsia="Calibri" w:cs="Times New Roman"/>
                <w:i/>
                <w:sz w:val="20"/>
                <w:szCs w:val="20"/>
              </w:rPr>
            </w:pPr>
            <w:r w:rsidRPr="00202908">
              <w:rPr>
                <w:rFonts w:eastAsia="Calibri" w:cs="Times New Roman"/>
                <w:i/>
                <w:sz w:val="20"/>
                <w:szCs w:val="20"/>
              </w:rPr>
              <w:t>Her Majesty the</w:t>
            </w:r>
            <w:r>
              <w:rPr>
                <w:rFonts w:eastAsia="Calibri" w:cs="Times New Roman"/>
                <w:i/>
                <w:sz w:val="20"/>
                <w:szCs w:val="20"/>
              </w:rPr>
              <w:t xml:space="preserve"> Quee</w:t>
            </w:r>
            <w:r w:rsidRPr="00202908">
              <w:rPr>
                <w:rFonts w:eastAsia="Calibri" w:cs="Times New Roman"/>
                <w:i/>
                <w:sz w:val="20"/>
                <w:szCs w:val="20"/>
              </w:rPr>
              <w:t>n</w:t>
            </w:r>
            <w:r>
              <w:rPr>
                <w:rFonts w:eastAsia="Calibri" w:cs="Times New Roman"/>
                <w:i/>
                <w:sz w:val="20"/>
                <w:szCs w:val="20"/>
              </w:rPr>
              <w:t xml:space="preserve"> </w:t>
            </w:r>
            <w:r w:rsidR="00CF582C">
              <w:rPr>
                <w:rFonts w:eastAsia="Calibri" w:cs="Times New Roman"/>
                <w:i/>
                <w:sz w:val="20"/>
                <w:szCs w:val="20"/>
              </w:rPr>
              <w:t xml:space="preserve">v. </w:t>
            </w:r>
            <w:r>
              <w:rPr>
                <w:rFonts w:eastAsia="Calibri" w:cs="Times New Roman"/>
                <w:i/>
                <w:sz w:val="20"/>
                <w:szCs w:val="20"/>
              </w:rPr>
              <w:t>P</w:t>
            </w:r>
            <w:r w:rsidR="00CF582C" w:rsidRPr="00202908">
              <w:rPr>
                <w:rFonts w:eastAsia="Calibri" w:cs="Times New Roman"/>
                <w:i/>
                <w:sz w:val="20"/>
                <w:szCs w:val="20"/>
              </w:rPr>
              <w:t>a</w:t>
            </w:r>
            <w:r>
              <w:rPr>
                <w:rFonts w:eastAsia="Calibri" w:cs="Times New Roman"/>
                <w:i/>
                <w:sz w:val="20"/>
                <w:szCs w:val="20"/>
              </w:rPr>
              <w:t>ul Franci</w:t>
            </w:r>
            <w:r w:rsidR="00CF582C" w:rsidRPr="00202908">
              <w:rPr>
                <w:rFonts w:eastAsia="Calibri" w:cs="Times New Roman"/>
                <w:i/>
                <w:sz w:val="20"/>
                <w:szCs w:val="20"/>
              </w:rPr>
              <w:t xml:space="preserve">s </w:t>
            </w:r>
            <w:r>
              <w:rPr>
                <w:rFonts w:eastAsia="Calibri" w:cs="Times New Roman"/>
                <w:i/>
                <w:sz w:val="20"/>
                <w:szCs w:val="20"/>
              </w:rPr>
              <w:t>Ta</w:t>
            </w:r>
            <w:r w:rsidR="00CF582C" w:rsidRPr="00202908">
              <w:rPr>
                <w:rFonts w:eastAsia="Calibri" w:cs="Times New Roman"/>
                <w:i/>
                <w:sz w:val="20"/>
                <w:szCs w:val="20"/>
              </w:rPr>
              <w:t>t</w:t>
            </w:r>
            <w:r>
              <w:rPr>
                <w:rFonts w:eastAsia="Calibri" w:cs="Times New Roman"/>
                <w:i/>
                <w:sz w:val="20"/>
                <w:szCs w:val="20"/>
              </w:rPr>
              <w:t>to</w:t>
            </w:r>
            <w:r w:rsidR="00CF582C" w:rsidRPr="00202908">
              <w:rPr>
                <w:rFonts w:eastAsia="Calibri" w:cs="Times New Roman"/>
                <w:i/>
                <w:sz w:val="20"/>
                <w:szCs w:val="20"/>
              </w:rPr>
              <w:t>n</w:t>
            </w:r>
            <w:r w:rsidR="00CF582C">
              <w:rPr>
                <w:rFonts w:eastAsia="Calibri" w:cs="Times New Roman"/>
                <w:i/>
                <w:sz w:val="20"/>
                <w:szCs w:val="20"/>
              </w:rPr>
              <w:t xml:space="preserve"> </w:t>
            </w:r>
            <w:r w:rsidR="00CF582C" w:rsidRPr="00202908">
              <w:rPr>
                <w:rFonts w:eastAsia="Calibri" w:cs="Times New Roman"/>
                <w:sz w:val="20"/>
                <w:szCs w:val="20"/>
              </w:rPr>
              <w:t>(</w:t>
            </w:r>
            <w:r w:rsidR="00CF582C">
              <w:rPr>
                <w:rFonts w:eastAsia="Calibri" w:cs="Times New Roman"/>
                <w:sz w:val="20"/>
                <w:szCs w:val="20"/>
              </w:rPr>
              <w:t>Ont</w:t>
            </w:r>
            <w:r w:rsidR="00CF582C" w:rsidRPr="00202908">
              <w:rPr>
                <w:rFonts w:eastAsia="Calibri" w:cs="Times New Roman"/>
                <w:sz w:val="20"/>
                <w:szCs w:val="20"/>
              </w:rPr>
              <w:t xml:space="preserve">.) </w:t>
            </w:r>
            <w:r w:rsidR="00CF582C" w:rsidRPr="005B6C58">
              <w:rPr>
                <w:rFonts w:eastAsia="Calibri" w:cs="Times New Roman"/>
                <w:sz w:val="20"/>
                <w:szCs w:val="20"/>
              </w:rPr>
              <w:t>(C</w:t>
            </w:r>
            <w:r w:rsidR="00CF582C">
              <w:rPr>
                <w:rFonts w:eastAsia="Calibri" w:cs="Times New Roman"/>
                <w:sz w:val="20"/>
                <w:szCs w:val="20"/>
              </w:rPr>
              <w:t>r</w:t>
            </w:r>
            <w:r w:rsidR="00CF582C" w:rsidRPr="005B6C58">
              <w:rPr>
                <w:rFonts w:eastAsia="Calibri" w:cs="Times New Roman"/>
                <w:sz w:val="20"/>
                <w:szCs w:val="20"/>
              </w:rPr>
              <w:t>i</w:t>
            </w:r>
            <w:r w:rsidR="00CF582C">
              <w:rPr>
                <w:rFonts w:eastAsia="Calibri" w:cs="Times New Roman"/>
                <w:sz w:val="20"/>
                <w:szCs w:val="20"/>
              </w:rPr>
              <w:t>m</w:t>
            </w:r>
            <w:r w:rsidR="00CF582C" w:rsidRPr="005B6C58">
              <w:rPr>
                <w:rFonts w:eastAsia="Calibri" w:cs="Times New Roman"/>
                <w:sz w:val="20"/>
                <w:szCs w:val="20"/>
              </w:rPr>
              <w:t>i</w:t>
            </w:r>
            <w:r w:rsidR="00CF582C">
              <w:rPr>
                <w:rFonts w:eastAsia="Calibri" w:cs="Times New Roman"/>
                <w:sz w:val="20"/>
                <w:szCs w:val="20"/>
              </w:rPr>
              <w:t>na</w:t>
            </w:r>
            <w:r w:rsidR="00CF582C" w:rsidRPr="005B6C58">
              <w:rPr>
                <w:rFonts w:eastAsia="Calibri" w:cs="Times New Roman"/>
                <w:sz w:val="20"/>
                <w:szCs w:val="20"/>
              </w:rPr>
              <w:t>l) (</w:t>
            </w:r>
            <w:r w:rsidR="00CF582C">
              <w:rPr>
                <w:rFonts w:eastAsia="Calibri" w:cs="Times New Roman"/>
                <w:sz w:val="20"/>
                <w:szCs w:val="20"/>
              </w:rPr>
              <w:t>As of Right</w:t>
            </w:r>
            <w:r w:rsidR="00CF582C" w:rsidRPr="005B6C58">
              <w:rPr>
                <w:rFonts w:eastAsia="Calibri" w:cs="Times New Roman"/>
                <w:sz w:val="20"/>
                <w:szCs w:val="20"/>
              </w:rPr>
              <w:t>) (3</w:t>
            </w:r>
            <w:r w:rsidR="00CF582C">
              <w:rPr>
                <w:rFonts w:eastAsia="Calibri" w:cs="Times New Roman"/>
                <w:sz w:val="20"/>
                <w:szCs w:val="20"/>
              </w:rPr>
              <w:t>5866)</w:t>
            </w:r>
          </w:p>
        </w:tc>
      </w:tr>
      <w:tr w:rsidR="005F1ED8" w:rsidRPr="00C80C4E" w:rsidTr="005F1ED8">
        <w:trPr>
          <w:cantSplit/>
          <w:trHeight w:hRule="exact" w:val="432"/>
        </w:trPr>
        <w:tc>
          <w:tcPr>
            <w:tcW w:w="2398" w:type="dxa"/>
          </w:tcPr>
          <w:p w:rsidR="005F1ED8" w:rsidRDefault="00CF582C" w:rsidP="00AE49EA">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12</w:t>
            </w:r>
            <w:r w:rsidRPr="003A74F5">
              <w:rPr>
                <w:rFonts w:eastAsia="Calibri" w:cs="Times New Roman"/>
                <w:sz w:val="20"/>
                <w:szCs w:val="20"/>
              </w:rPr>
              <w:t>-</w:t>
            </w:r>
            <w:r w:rsidR="00AE49EA">
              <w:rPr>
                <w:rFonts w:eastAsia="Calibri" w:cs="Times New Roman"/>
                <w:sz w:val="20"/>
                <w:szCs w:val="20"/>
              </w:rPr>
              <w:t>1</w:t>
            </w:r>
            <w:r>
              <w:rPr>
                <w:rFonts w:eastAsia="Calibri" w:cs="Times New Roman"/>
                <w:sz w:val="20"/>
                <w:szCs w:val="20"/>
              </w:rPr>
              <w:t>0</w:t>
            </w:r>
          </w:p>
        </w:tc>
        <w:tc>
          <w:tcPr>
            <w:tcW w:w="7178" w:type="dxa"/>
          </w:tcPr>
          <w:p w:rsidR="005F1ED8" w:rsidRPr="00A708C5" w:rsidRDefault="005F1ED8" w:rsidP="00E17788">
            <w:pPr>
              <w:jc w:val="both"/>
              <w:rPr>
                <w:rFonts w:eastAsia="Calibri" w:cs="Times New Roman"/>
                <w:i/>
                <w:sz w:val="20"/>
                <w:szCs w:val="20"/>
                <w:lang w:val="fr-CA"/>
              </w:rPr>
            </w:pPr>
            <w:r w:rsidRPr="00E17788">
              <w:rPr>
                <w:rFonts w:eastAsia="Calibri" w:cs="Times New Roman"/>
                <w:i/>
                <w:sz w:val="20"/>
                <w:szCs w:val="20"/>
              </w:rPr>
              <w:t>Pe</w:t>
            </w:r>
            <w:r w:rsidR="00BF71E4" w:rsidRPr="00E17788">
              <w:rPr>
                <w:rFonts w:eastAsia="Calibri" w:cs="Times New Roman"/>
                <w:i/>
                <w:sz w:val="20"/>
                <w:szCs w:val="20"/>
              </w:rPr>
              <w:t>ter W.G. C</w:t>
            </w:r>
            <w:r w:rsidRPr="00E17788">
              <w:rPr>
                <w:rFonts w:eastAsia="Calibri" w:cs="Times New Roman"/>
                <w:i/>
                <w:sz w:val="20"/>
                <w:szCs w:val="20"/>
              </w:rPr>
              <w:t>a</w:t>
            </w:r>
            <w:r w:rsidR="00BF71E4" w:rsidRPr="00E17788">
              <w:rPr>
                <w:rFonts w:eastAsia="Calibri" w:cs="Times New Roman"/>
                <w:i/>
                <w:sz w:val="20"/>
                <w:szCs w:val="20"/>
              </w:rPr>
              <w:t>r</w:t>
            </w:r>
            <w:r w:rsidRPr="00E17788">
              <w:rPr>
                <w:rFonts w:eastAsia="Calibri" w:cs="Times New Roman"/>
                <w:i/>
                <w:sz w:val="20"/>
                <w:szCs w:val="20"/>
              </w:rPr>
              <w:t>e</w:t>
            </w:r>
            <w:r w:rsidR="00BF71E4" w:rsidRPr="00E17788">
              <w:rPr>
                <w:rFonts w:eastAsia="Calibri" w:cs="Times New Roman"/>
                <w:i/>
                <w:sz w:val="20"/>
                <w:szCs w:val="20"/>
              </w:rPr>
              <w:t>y</w:t>
            </w:r>
            <w:r w:rsidRPr="00E17788">
              <w:rPr>
                <w:rFonts w:eastAsia="Calibri" w:cs="Times New Roman"/>
                <w:i/>
                <w:sz w:val="20"/>
                <w:szCs w:val="20"/>
              </w:rPr>
              <w:t xml:space="preserve"> </w:t>
            </w:r>
            <w:r w:rsidR="00BF71E4" w:rsidRPr="00E17788">
              <w:rPr>
                <w:rFonts w:eastAsia="Calibri" w:cs="Times New Roman"/>
                <w:i/>
                <w:sz w:val="20"/>
                <w:szCs w:val="20"/>
              </w:rPr>
              <w:t>v</w:t>
            </w:r>
            <w:r w:rsidRPr="00E17788">
              <w:rPr>
                <w:rFonts w:eastAsia="Calibri" w:cs="Times New Roman"/>
                <w:i/>
                <w:sz w:val="20"/>
                <w:szCs w:val="20"/>
              </w:rPr>
              <w:t>. J</w:t>
            </w:r>
            <w:r w:rsidR="00BF71E4" w:rsidRPr="00E17788">
              <w:rPr>
                <w:rFonts w:eastAsia="Calibri" w:cs="Times New Roman"/>
                <w:i/>
                <w:sz w:val="20"/>
                <w:szCs w:val="20"/>
              </w:rPr>
              <w:t>udith L</w:t>
            </w:r>
            <w:r w:rsidRPr="00E17788">
              <w:rPr>
                <w:rFonts w:eastAsia="Calibri" w:cs="Times New Roman"/>
                <w:i/>
                <w:sz w:val="20"/>
                <w:szCs w:val="20"/>
              </w:rPr>
              <w:t>a</w:t>
            </w:r>
            <w:r w:rsidR="00BF71E4" w:rsidRPr="00E17788">
              <w:rPr>
                <w:rFonts w:eastAsia="Calibri" w:cs="Times New Roman"/>
                <w:i/>
                <w:sz w:val="20"/>
                <w:szCs w:val="20"/>
              </w:rPr>
              <w:t>ik</w:t>
            </w:r>
            <w:r w:rsidRPr="00E17788">
              <w:rPr>
                <w:rFonts w:eastAsia="Calibri" w:cs="Times New Roman"/>
                <w:i/>
                <w:sz w:val="20"/>
                <w:szCs w:val="20"/>
              </w:rPr>
              <w:t>e</w:t>
            </w:r>
            <w:r w:rsidR="00BF71E4" w:rsidRPr="00E17788">
              <w:rPr>
                <w:rFonts w:eastAsia="Calibri" w:cs="Times New Roman"/>
                <w:i/>
                <w:sz w:val="20"/>
                <w:szCs w:val="20"/>
              </w:rPr>
              <w:t>n</w:t>
            </w:r>
            <w:r w:rsidRPr="00E17788">
              <w:rPr>
                <w:rFonts w:eastAsia="Calibri" w:cs="Times New Roman"/>
                <w:i/>
                <w:sz w:val="20"/>
                <w:szCs w:val="20"/>
              </w:rPr>
              <w:t xml:space="preserve"> </w:t>
            </w:r>
            <w:r w:rsidRPr="00E17788">
              <w:rPr>
                <w:rFonts w:eastAsia="Calibri" w:cs="Times New Roman"/>
                <w:sz w:val="20"/>
                <w:szCs w:val="20"/>
              </w:rPr>
              <w:t>(</w:t>
            </w:r>
            <w:r w:rsidR="00E17788" w:rsidRPr="00E17788">
              <w:rPr>
                <w:rFonts w:eastAsia="Calibri" w:cs="Times New Roman"/>
                <w:sz w:val="20"/>
                <w:szCs w:val="20"/>
              </w:rPr>
              <w:t>Ont.</w:t>
            </w:r>
            <w:r w:rsidRPr="00E17788">
              <w:rPr>
                <w:rFonts w:eastAsia="Calibri" w:cs="Times New Roman"/>
                <w:sz w:val="20"/>
                <w:szCs w:val="20"/>
              </w:rPr>
              <w:t xml:space="preserve">) </w:t>
            </w:r>
            <w:r w:rsidRPr="00A708C5">
              <w:rPr>
                <w:rFonts w:eastAsia="Calibri" w:cs="Times New Roman"/>
                <w:sz w:val="20"/>
                <w:szCs w:val="20"/>
                <w:lang w:val="fr-CA"/>
              </w:rPr>
              <w:t>(Civil) (</w:t>
            </w:r>
            <w:r w:rsidR="00E17788">
              <w:rPr>
                <w:rFonts w:eastAsia="Calibri" w:cs="Times New Roman"/>
                <w:sz w:val="20"/>
                <w:szCs w:val="20"/>
                <w:lang w:val="fr-CA"/>
              </w:rPr>
              <w:t>By Leave</w:t>
            </w:r>
            <w:r w:rsidRPr="00A708C5">
              <w:rPr>
                <w:rFonts w:eastAsia="Calibri" w:cs="Times New Roman"/>
                <w:sz w:val="20"/>
                <w:szCs w:val="20"/>
                <w:lang w:val="fr-CA"/>
              </w:rPr>
              <w:t>) (35</w:t>
            </w:r>
            <w:r w:rsidR="00CF582C">
              <w:rPr>
                <w:rFonts w:eastAsia="Calibri" w:cs="Times New Roman"/>
                <w:sz w:val="20"/>
                <w:szCs w:val="20"/>
                <w:lang w:val="fr-CA"/>
              </w:rPr>
              <w:t>597</w:t>
            </w:r>
            <w:r w:rsidRPr="00A708C5">
              <w:rPr>
                <w:rFonts w:eastAsia="Calibri" w:cs="Times New Roman"/>
                <w:sz w:val="20"/>
                <w:szCs w:val="20"/>
                <w:lang w:val="fr-CA"/>
              </w:rPr>
              <w:t>)</w:t>
            </w:r>
          </w:p>
        </w:tc>
      </w:tr>
      <w:tr w:rsidR="005F1ED8" w:rsidRPr="00AE49EA" w:rsidTr="002B3732">
        <w:trPr>
          <w:cantSplit/>
          <w:trHeight w:hRule="exact" w:val="576"/>
        </w:trPr>
        <w:tc>
          <w:tcPr>
            <w:tcW w:w="2398" w:type="dxa"/>
          </w:tcPr>
          <w:p w:rsidR="005F1ED8" w:rsidRPr="00BF71E4" w:rsidRDefault="00CF582C" w:rsidP="00AE49EA">
            <w:pPr>
              <w:rPr>
                <w:rFonts w:eastAsia="Calibri" w:cs="Times New Roman"/>
                <w:sz w:val="20"/>
                <w:szCs w:val="20"/>
                <w:lang w:val="fr-CA"/>
              </w:rPr>
            </w:pPr>
            <w:r w:rsidRPr="00BF71E4">
              <w:rPr>
                <w:rFonts w:eastAsia="Calibri" w:cs="Times New Roman"/>
                <w:sz w:val="20"/>
                <w:szCs w:val="20"/>
                <w:lang w:val="fr-CA"/>
              </w:rPr>
              <w:t>2014-12-</w:t>
            </w:r>
            <w:r w:rsidR="00AE49EA">
              <w:rPr>
                <w:rFonts w:eastAsia="Calibri" w:cs="Times New Roman"/>
                <w:sz w:val="20"/>
                <w:szCs w:val="20"/>
                <w:lang w:val="fr-CA"/>
              </w:rPr>
              <w:t>1</w:t>
            </w:r>
            <w:r w:rsidRPr="00BF71E4">
              <w:rPr>
                <w:rFonts w:eastAsia="Calibri" w:cs="Times New Roman"/>
                <w:sz w:val="20"/>
                <w:szCs w:val="20"/>
                <w:lang w:val="fr-CA"/>
              </w:rPr>
              <w:t>0</w:t>
            </w:r>
          </w:p>
        </w:tc>
        <w:tc>
          <w:tcPr>
            <w:tcW w:w="7178" w:type="dxa"/>
          </w:tcPr>
          <w:p w:rsidR="005F1ED8" w:rsidRPr="00AE49EA" w:rsidRDefault="00AE49EA" w:rsidP="00AE49EA">
            <w:pPr>
              <w:jc w:val="both"/>
              <w:rPr>
                <w:rFonts w:eastAsia="Calibri" w:cs="Times New Roman"/>
                <w:i/>
                <w:sz w:val="20"/>
                <w:szCs w:val="20"/>
              </w:rPr>
            </w:pPr>
            <w:r w:rsidRPr="00202908">
              <w:rPr>
                <w:rFonts w:eastAsia="Calibri" w:cs="Times New Roman"/>
                <w:i/>
                <w:sz w:val="20"/>
                <w:szCs w:val="20"/>
              </w:rPr>
              <w:t>Her Majesty the</w:t>
            </w:r>
            <w:r>
              <w:rPr>
                <w:rFonts w:eastAsia="Calibri" w:cs="Times New Roman"/>
                <w:i/>
                <w:sz w:val="20"/>
                <w:szCs w:val="20"/>
              </w:rPr>
              <w:t xml:space="preserve"> Quee</w:t>
            </w:r>
            <w:r w:rsidRPr="00202908">
              <w:rPr>
                <w:rFonts w:eastAsia="Calibri" w:cs="Times New Roman"/>
                <w:i/>
                <w:sz w:val="20"/>
                <w:szCs w:val="20"/>
              </w:rPr>
              <w:t>n</w:t>
            </w:r>
            <w:r>
              <w:rPr>
                <w:rFonts w:eastAsia="Calibri" w:cs="Times New Roman"/>
                <w:i/>
                <w:sz w:val="20"/>
                <w:szCs w:val="20"/>
              </w:rPr>
              <w:t xml:space="preserve"> v. Cl</w:t>
            </w:r>
            <w:r w:rsidRPr="00202908">
              <w:rPr>
                <w:rFonts w:eastAsia="Calibri" w:cs="Times New Roman"/>
                <w:i/>
                <w:sz w:val="20"/>
                <w:szCs w:val="20"/>
              </w:rPr>
              <w:t>a</w:t>
            </w:r>
            <w:r>
              <w:rPr>
                <w:rFonts w:eastAsia="Calibri" w:cs="Times New Roman"/>
                <w:i/>
                <w:sz w:val="20"/>
                <w:szCs w:val="20"/>
              </w:rPr>
              <w:t xml:space="preserve">rence Michael MacLeod </w:t>
            </w:r>
            <w:r w:rsidRPr="00202908">
              <w:rPr>
                <w:rFonts w:eastAsia="Calibri" w:cs="Times New Roman"/>
                <w:sz w:val="20"/>
                <w:szCs w:val="20"/>
              </w:rPr>
              <w:t>(</w:t>
            </w:r>
            <w:r>
              <w:rPr>
                <w:rFonts w:eastAsia="Calibri" w:cs="Times New Roman"/>
                <w:sz w:val="20"/>
                <w:szCs w:val="20"/>
              </w:rPr>
              <w:t>N.S</w:t>
            </w:r>
            <w:r w:rsidRPr="00202908">
              <w:rPr>
                <w:rFonts w:eastAsia="Calibri" w:cs="Times New Roman"/>
                <w:sz w:val="20"/>
                <w:szCs w:val="20"/>
              </w:rPr>
              <w:t xml:space="preserve">.) </w:t>
            </w:r>
            <w:r w:rsidRPr="005B6C58">
              <w:rPr>
                <w:rFonts w:eastAsia="Calibri" w:cs="Times New Roman"/>
                <w:sz w:val="20"/>
                <w:szCs w:val="20"/>
              </w:rPr>
              <w:t>(C</w:t>
            </w:r>
            <w:r>
              <w:rPr>
                <w:rFonts w:eastAsia="Calibri" w:cs="Times New Roman"/>
                <w:sz w:val="20"/>
                <w:szCs w:val="20"/>
              </w:rPr>
              <w:t>r</w:t>
            </w:r>
            <w:r w:rsidRPr="005B6C58">
              <w:rPr>
                <w:rFonts w:eastAsia="Calibri" w:cs="Times New Roman"/>
                <w:sz w:val="20"/>
                <w:szCs w:val="20"/>
              </w:rPr>
              <w:t>i</w:t>
            </w:r>
            <w:r>
              <w:rPr>
                <w:rFonts w:eastAsia="Calibri" w:cs="Times New Roman"/>
                <w:sz w:val="20"/>
                <w:szCs w:val="20"/>
              </w:rPr>
              <w:t>m</w:t>
            </w:r>
            <w:r w:rsidRPr="005B6C58">
              <w:rPr>
                <w:rFonts w:eastAsia="Calibri" w:cs="Times New Roman"/>
                <w:sz w:val="20"/>
                <w:szCs w:val="20"/>
              </w:rPr>
              <w:t>i</w:t>
            </w:r>
            <w:r>
              <w:rPr>
                <w:rFonts w:eastAsia="Calibri" w:cs="Times New Roman"/>
                <w:sz w:val="20"/>
                <w:szCs w:val="20"/>
              </w:rPr>
              <w:t>na</w:t>
            </w:r>
            <w:r w:rsidRPr="005B6C58">
              <w:rPr>
                <w:rFonts w:eastAsia="Calibri" w:cs="Times New Roman"/>
                <w:sz w:val="20"/>
                <w:szCs w:val="20"/>
              </w:rPr>
              <w:t>l) (</w:t>
            </w:r>
            <w:r>
              <w:rPr>
                <w:rFonts w:eastAsia="Calibri" w:cs="Times New Roman"/>
                <w:sz w:val="20"/>
                <w:szCs w:val="20"/>
              </w:rPr>
              <w:t>As of Right</w:t>
            </w:r>
            <w:r w:rsidRPr="005B6C58">
              <w:rPr>
                <w:rFonts w:eastAsia="Calibri" w:cs="Times New Roman"/>
                <w:sz w:val="20"/>
                <w:szCs w:val="20"/>
              </w:rPr>
              <w:t>)</w:t>
            </w:r>
            <w:r w:rsidR="005F1ED8" w:rsidRPr="00AE49EA">
              <w:rPr>
                <w:rFonts w:eastAsia="Calibri" w:cs="Times New Roman"/>
                <w:sz w:val="20"/>
                <w:szCs w:val="20"/>
              </w:rPr>
              <w:t xml:space="preserve"> (35</w:t>
            </w:r>
            <w:r w:rsidR="00CF582C" w:rsidRPr="00AE49EA">
              <w:rPr>
                <w:rFonts w:eastAsia="Calibri" w:cs="Times New Roman"/>
                <w:sz w:val="20"/>
                <w:szCs w:val="20"/>
              </w:rPr>
              <w:t>957</w:t>
            </w:r>
            <w:r w:rsidR="005F1ED8" w:rsidRPr="00AE49EA">
              <w:rPr>
                <w:rFonts w:eastAsia="Calibri" w:cs="Times New Roman"/>
                <w:sz w:val="20"/>
                <w:szCs w:val="20"/>
              </w:rPr>
              <w:t>)</w:t>
            </w:r>
          </w:p>
        </w:tc>
      </w:tr>
      <w:tr w:rsidR="005F1ED8" w:rsidRPr="00CF582C" w:rsidTr="002B3732">
        <w:trPr>
          <w:cantSplit/>
          <w:trHeight w:hRule="exact" w:val="864"/>
        </w:trPr>
        <w:tc>
          <w:tcPr>
            <w:tcW w:w="2398" w:type="dxa"/>
          </w:tcPr>
          <w:p w:rsidR="005F1ED8" w:rsidRPr="0085047E" w:rsidRDefault="00CF582C" w:rsidP="00AE49EA">
            <w:pPr>
              <w:rPr>
                <w:rFonts w:eastAsia="Calibri" w:cs="Times New Roman"/>
                <w:sz w:val="20"/>
                <w:szCs w:val="20"/>
                <w:lang w:val="fr-CA"/>
              </w:rPr>
            </w:pPr>
            <w:r w:rsidRPr="00BF71E4">
              <w:rPr>
                <w:rFonts w:eastAsia="Calibri" w:cs="Times New Roman"/>
                <w:sz w:val="20"/>
                <w:szCs w:val="20"/>
                <w:lang w:val="fr-CA"/>
              </w:rPr>
              <w:t>2014-12-</w:t>
            </w:r>
            <w:r w:rsidR="00AE49EA">
              <w:rPr>
                <w:rFonts w:eastAsia="Calibri" w:cs="Times New Roman"/>
                <w:sz w:val="20"/>
                <w:szCs w:val="20"/>
                <w:lang w:val="fr-CA"/>
              </w:rPr>
              <w:t>1</w:t>
            </w:r>
            <w:r w:rsidRPr="00BF71E4">
              <w:rPr>
                <w:rFonts w:eastAsia="Calibri" w:cs="Times New Roman"/>
                <w:sz w:val="20"/>
                <w:szCs w:val="20"/>
                <w:lang w:val="fr-CA"/>
              </w:rPr>
              <w:t>1</w:t>
            </w:r>
          </w:p>
        </w:tc>
        <w:tc>
          <w:tcPr>
            <w:tcW w:w="7178" w:type="dxa"/>
          </w:tcPr>
          <w:p w:rsidR="005F1ED8" w:rsidRPr="00AE49EA" w:rsidRDefault="005F1ED8" w:rsidP="005F1ED8">
            <w:pPr>
              <w:jc w:val="both"/>
              <w:rPr>
                <w:rFonts w:eastAsia="Calibri" w:cs="Times New Roman"/>
                <w:sz w:val="20"/>
                <w:szCs w:val="20"/>
              </w:rPr>
            </w:pPr>
            <w:r>
              <w:rPr>
                <w:rFonts w:eastAsia="Calibri" w:cs="Times New Roman"/>
                <w:i/>
                <w:sz w:val="20"/>
                <w:szCs w:val="20"/>
                <w:lang w:val="fr-CA"/>
              </w:rPr>
              <w:t>Ch</w:t>
            </w:r>
            <w:r w:rsidRPr="00A708C5">
              <w:rPr>
                <w:rFonts w:eastAsia="Calibri" w:cs="Times New Roman"/>
                <w:i/>
                <w:sz w:val="20"/>
                <w:szCs w:val="20"/>
                <w:lang w:val="fr-CA"/>
              </w:rPr>
              <w:t>e</w:t>
            </w:r>
            <w:r w:rsidR="00AE49EA">
              <w:rPr>
                <w:rFonts w:eastAsia="Calibri" w:cs="Times New Roman"/>
                <w:i/>
                <w:sz w:val="20"/>
                <w:szCs w:val="20"/>
                <w:lang w:val="fr-CA"/>
              </w:rPr>
              <w:t>v</w:t>
            </w:r>
            <w:r>
              <w:rPr>
                <w:rFonts w:eastAsia="Calibri" w:cs="Times New Roman"/>
                <w:i/>
                <w:sz w:val="20"/>
                <w:szCs w:val="20"/>
                <w:lang w:val="fr-CA"/>
              </w:rPr>
              <w:t>r</w:t>
            </w:r>
            <w:r w:rsidR="00AE49EA">
              <w:rPr>
                <w:rFonts w:eastAsia="Calibri" w:cs="Times New Roman"/>
                <w:i/>
                <w:sz w:val="20"/>
                <w:szCs w:val="20"/>
                <w:lang w:val="fr-CA"/>
              </w:rPr>
              <w:t>on Corporat</w:t>
            </w:r>
            <w:r>
              <w:rPr>
                <w:rFonts w:eastAsia="Calibri" w:cs="Times New Roman"/>
                <w:i/>
                <w:sz w:val="20"/>
                <w:szCs w:val="20"/>
                <w:lang w:val="fr-CA"/>
              </w:rPr>
              <w:t>i</w:t>
            </w:r>
            <w:r w:rsidR="00AE49EA">
              <w:rPr>
                <w:rFonts w:eastAsia="Calibri" w:cs="Times New Roman"/>
                <w:i/>
                <w:sz w:val="20"/>
                <w:szCs w:val="20"/>
                <w:lang w:val="fr-CA"/>
              </w:rPr>
              <w:t>o</w:t>
            </w:r>
            <w:r>
              <w:rPr>
                <w:rFonts w:eastAsia="Calibri" w:cs="Times New Roman"/>
                <w:i/>
                <w:sz w:val="20"/>
                <w:szCs w:val="20"/>
                <w:lang w:val="fr-CA"/>
              </w:rPr>
              <w:t>n</w:t>
            </w:r>
            <w:r w:rsidR="00AE49EA">
              <w:rPr>
                <w:rFonts w:eastAsia="Calibri" w:cs="Times New Roman"/>
                <w:i/>
                <w:sz w:val="20"/>
                <w:szCs w:val="20"/>
                <w:lang w:val="fr-CA"/>
              </w:rPr>
              <w:t xml:space="preserve"> </w:t>
            </w:r>
            <w:r>
              <w:rPr>
                <w:rFonts w:eastAsia="Calibri" w:cs="Times New Roman"/>
                <w:i/>
                <w:sz w:val="20"/>
                <w:szCs w:val="20"/>
                <w:lang w:val="fr-CA"/>
              </w:rPr>
              <w:t>et a</w:t>
            </w:r>
            <w:r w:rsidR="00AE49EA">
              <w:rPr>
                <w:rFonts w:eastAsia="Calibri" w:cs="Times New Roman"/>
                <w:i/>
                <w:sz w:val="20"/>
                <w:szCs w:val="20"/>
                <w:lang w:val="fr-CA"/>
              </w:rPr>
              <w:t>l.</w:t>
            </w:r>
            <w:r w:rsidRPr="00A708C5">
              <w:rPr>
                <w:rFonts w:eastAsia="Calibri" w:cs="Times New Roman"/>
                <w:i/>
                <w:sz w:val="20"/>
                <w:szCs w:val="20"/>
                <w:lang w:val="fr-CA"/>
              </w:rPr>
              <w:t xml:space="preserve"> </w:t>
            </w:r>
            <w:r w:rsidR="00AE49EA">
              <w:rPr>
                <w:rFonts w:eastAsia="Calibri" w:cs="Times New Roman"/>
                <w:i/>
                <w:sz w:val="20"/>
                <w:szCs w:val="20"/>
                <w:lang w:val="fr-CA"/>
              </w:rPr>
              <w:t>v</w:t>
            </w:r>
            <w:r w:rsidRPr="00A708C5">
              <w:rPr>
                <w:rFonts w:eastAsia="Calibri" w:cs="Times New Roman"/>
                <w:i/>
                <w:sz w:val="20"/>
                <w:szCs w:val="20"/>
                <w:lang w:val="fr-CA"/>
              </w:rPr>
              <w:t xml:space="preserve">. </w:t>
            </w:r>
            <w:r w:rsidR="00AE49EA">
              <w:rPr>
                <w:rFonts w:eastAsia="Calibri" w:cs="Times New Roman"/>
                <w:i/>
                <w:sz w:val="20"/>
                <w:szCs w:val="20"/>
                <w:lang w:val="fr-CA"/>
              </w:rPr>
              <w:t>Da</w:t>
            </w:r>
            <w:r w:rsidRPr="00A708C5">
              <w:rPr>
                <w:rFonts w:eastAsia="Calibri" w:cs="Times New Roman"/>
                <w:i/>
                <w:sz w:val="20"/>
                <w:szCs w:val="20"/>
                <w:lang w:val="fr-CA"/>
              </w:rPr>
              <w:t>n</w:t>
            </w:r>
            <w:r w:rsidR="00AE49EA">
              <w:rPr>
                <w:rFonts w:eastAsia="Calibri" w:cs="Times New Roman"/>
                <w:i/>
                <w:sz w:val="20"/>
                <w:szCs w:val="20"/>
                <w:lang w:val="fr-CA"/>
              </w:rPr>
              <w:t>iel C</w:t>
            </w:r>
            <w:r w:rsidRPr="00A708C5">
              <w:rPr>
                <w:rFonts w:eastAsia="Calibri" w:cs="Times New Roman"/>
                <w:i/>
                <w:sz w:val="20"/>
                <w:szCs w:val="20"/>
                <w:lang w:val="fr-CA"/>
              </w:rPr>
              <w:t>a</w:t>
            </w:r>
            <w:r w:rsidR="00AE49EA">
              <w:rPr>
                <w:rFonts w:eastAsia="Calibri" w:cs="Times New Roman"/>
                <w:i/>
                <w:sz w:val="20"/>
                <w:szCs w:val="20"/>
                <w:lang w:val="fr-CA"/>
              </w:rPr>
              <w:t>rlo</w:t>
            </w:r>
            <w:r w:rsidRPr="00A708C5">
              <w:rPr>
                <w:rFonts w:eastAsia="Calibri" w:cs="Times New Roman"/>
                <w:i/>
                <w:sz w:val="20"/>
                <w:szCs w:val="20"/>
                <w:lang w:val="fr-CA"/>
              </w:rPr>
              <w:t>s</w:t>
            </w:r>
            <w:r w:rsidR="00AE49EA">
              <w:rPr>
                <w:rFonts w:eastAsia="Calibri" w:cs="Times New Roman"/>
                <w:i/>
                <w:sz w:val="20"/>
                <w:szCs w:val="20"/>
                <w:lang w:val="fr-CA"/>
              </w:rPr>
              <w:t xml:space="preserve"> Lusitande Yaiguaje et al.</w:t>
            </w:r>
            <w:r w:rsidRPr="00A708C5">
              <w:rPr>
                <w:rFonts w:eastAsia="Calibri" w:cs="Times New Roman"/>
                <w:i/>
                <w:sz w:val="20"/>
                <w:szCs w:val="20"/>
                <w:lang w:val="fr-CA"/>
              </w:rPr>
              <w:t xml:space="preserve"> </w:t>
            </w:r>
            <w:r w:rsidRPr="00AE49EA">
              <w:rPr>
                <w:rFonts w:eastAsia="Calibri" w:cs="Times New Roman"/>
                <w:sz w:val="20"/>
                <w:szCs w:val="20"/>
              </w:rPr>
              <w:t>(</w:t>
            </w:r>
            <w:r w:rsidR="00AE49EA" w:rsidRPr="00AE49EA">
              <w:rPr>
                <w:rFonts w:eastAsia="Calibri" w:cs="Times New Roman"/>
                <w:sz w:val="20"/>
                <w:szCs w:val="20"/>
              </w:rPr>
              <w:t>Ont.</w:t>
            </w:r>
            <w:r w:rsidRPr="00AE49EA">
              <w:rPr>
                <w:rFonts w:eastAsia="Calibri" w:cs="Times New Roman"/>
                <w:sz w:val="20"/>
                <w:szCs w:val="20"/>
              </w:rPr>
              <w:t>) (Civil) (</w:t>
            </w:r>
            <w:r w:rsidR="00AE49EA">
              <w:rPr>
                <w:rFonts w:eastAsia="Calibri" w:cs="Times New Roman"/>
                <w:sz w:val="20"/>
                <w:szCs w:val="20"/>
              </w:rPr>
              <w:t>By Leave</w:t>
            </w:r>
            <w:r w:rsidRPr="00AE49EA">
              <w:rPr>
                <w:rFonts w:eastAsia="Calibri" w:cs="Times New Roman"/>
                <w:sz w:val="20"/>
                <w:szCs w:val="20"/>
              </w:rPr>
              <w:t>) (35</w:t>
            </w:r>
            <w:r w:rsidR="00CF582C" w:rsidRPr="00AE49EA">
              <w:rPr>
                <w:rFonts w:eastAsia="Calibri" w:cs="Times New Roman"/>
                <w:sz w:val="20"/>
                <w:szCs w:val="20"/>
              </w:rPr>
              <w:t>68</w:t>
            </w:r>
            <w:r w:rsidRPr="00AE49EA">
              <w:rPr>
                <w:rFonts w:eastAsia="Calibri" w:cs="Times New Roman"/>
                <w:sz w:val="20"/>
                <w:szCs w:val="20"/>
              </w:rPr>
              <w:t>2)</w:t>
            </w:r>
          </w:p>
          <w:p w:rsidR="00CF582C" w:rsidRPr="00CF582C" w:rsidRDefault="00CF582C" w:rsidP="00CF582C">
            <w:pPr>
              <w:jc w:val="both"/>
              <w:rPr>
                <w:rFonts w:eastAsia="Calibri" w:cs="Times New Roman"/>
                <w:i/>
                <w:sz w:val="20"/>
                <w:szCs w:val="20"/>
              </w:rPr>
            </w:pPr>
            <w:r w:rsidRPr="00CF582C">
              <w:rPr>
                <w:rFonts w:eastAsia="Calibri" w:cs="Times New Roman"/>
                <w:sz w:val="20"/>
                <w:szCs w:val="20"/>
              </w:rPr>
              <w:t xml:space="preserve">(Early start time: 9:00 a.m. </w:t>
            </w:r>
            <w:r>
              <w:rPr>
                <w:rFonts w:eastAsia="Calibri" w:cs="Times New Roman"/>
                <w:sz w:val="20"/>
                <w:szCs w:val="20"/>
              </w:rPr>
              <w:t>/ Horaire modifié : audience debutant à 9 h)</w:t>
            </w:r>
          </w:p>
        </w:tc>
      </w:tr>
    </w:tbl>
    <w:p w:rsidR="004B66B4" w:rsidRPr="00DD0B49" w:rsidRDefault="00690162" w:rsidP="002868D0">
      <w:pPr>
        <w:jc w:val="both"/>
        <w:rPr>
          <w:sz w:val="20"/>
          <w:szCs w:val="20"/>
        </w:rPr>
      </w:pPr>
      <w:r>
        <w:rPr>
          <w:sz w:val="20"/>
          <w:szCs w:val="20"/>
          <w:lang w:val="fr-CA"/>
        </w:rPr>
        <w:pict>
          <v:rect id="_x0000_i1095"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Pr>
          <w:sz w:val="20"/>
          <w:szCs w:val="20"/>
        </w:rPr>
        <w:t>-</w:t>
      </w:r>
      <w:r w:rsidRPr="00DD0B49">
        <w:rPr>
          <w:sz w:val="20"/>
          <w:szCs w:val="20"/>
        </w:rPr>
        <w:t xml:space="preserve">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104"/>
          <w:headerReference w:type="default" r:id="rId105"/>
          <w:footerReference w:type="even" r:id="rId106"/>
          <w:footerReference w:type="default" r:id="rId107"/>
          <w:headerReference w:type="first" r:id="rId108"/>
          <w:footerReference w:type="first" r:id="rId10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50A5C" w:rsidRDefault="005F263E" w:rsidP="005F263E">
      <w:pPr>
        <w:tabs>
          <w:tab w:val="left" w:pos="-1440"/>
          <w:tab w:val="left" w:pos="-720"/>
        </w:tabs>
        <w:ind w:left="720" w:hanging="720"/>
        <w:jc w:val="both"/>
        <w:rPr>
          <w:b/>
          <w:sz w:val="20"/>
          <w:szCs w:val="20"/>
        </w:rPr>
      </w:pPr>
    </w:p>
    <w:bookmarkStart w:id="2" w:name="1"/>
    <w:bookmarkEnd w:id="2"/>
    <w:p w:rsidR="002A1C6A" w:rsidRPr="008949FD" w:rsidRDefault="00D921D7" w:rsidP="00251DE6">
      <w:pPr>
        <w:ind w:left="720" w:hanging="720"/>
        <w:jc w:val="both"/>
        <w:rPr>
          <w:i/>
          <w:sz w:val="20"/>
          <w:szCs w:val="20"/>
          <w:lang w:val="fr-CA"/>
        </w:rPr>
      </w:pPr>
      <w:r w:rsidRPr="008949FD">
        <w:rPr>
          <w:b/>
          <w:sz w:val="20"/>
          <w:szCs w:val="20"/>
        </w:rPr>
        <w:fldChar w:fldCharType="begin"/>
      </w:r>
      <w:r w:rsidR="002A1C6A" w:rsidRPr="008949FD">
        <w:rPr>
          <w:b/>
          <w:sz w:val="20"/>
          <w:szCs w:val="20"/>
          <w:lang w:val="fr-CA"/>
        </w:rPr>
        <w:instrText xml:space="preserve"> SEQ CHAPTER \h \r 1</w:instrText>
      </w:r>
      <w:r w:rsidRPr="008949FD">
        <w:rPr>
          <w:b/>
          <w:sz w:val="20"/>
          <w:szCs w:val="20"/>
        </w:rPr>
        <w:fldChar w:fldCharType="end"/>
      </w:r>
      <w:r w:rsidR="002A1C6A" w:rsidRPr="008949FD">
        <w:rPr>
          <w:b/>
          <w:sz w:val="20"/>
          <w:szCs w:val="20"/>
          <w:lang w:val="fr-CA"/>
        </w:rPr>
        <w:t>35550</w:t>
      </w:r>
      <w:r w:rsidR="002A1C6A" w:rsidRPr="008949FD">
        <w:rPr>
          <w:sz w:val="20"/>
          <w:szCs w:val="20"/>
          <w:lang w:val="fr-CA"/>
        </w:rPr>
        <w:tab/>
      </w:r>
      <w:bookmarkStart w:id="3" w:name="3"/>
      <w:bookmarkEnd w:id="3"/>
      <w:r w:rsidR="002A1C6A" w:rsidRPr="008949FD">
        <w:rPr>
          <w:b/>
          <w:i/>
          <w:sz w:val="20"/>
          <w:szCs w:val="20"/>
          <w:lang w:val="fr-CA"/>
        </w:rPr>
        <w:t>Theratechnologies Inc., Yves Rosconi and Paul Pommier v. 121851 Canada Inc. and Mouvement d’éducation et de défense des actionnaires</w:t>
      </w:r>
    </w:p>
    <w:p w:rsidR="002A1C6A" w:rsidRPr="008949FD" w:rsidRDefault="002A1C6A" w:rsidP="002A1C6A">
      <w:pPr>
        <w:rPr>
          <w:sz w:val="20"/>
          <w:szCs w:val="20"/>
          <w:lang w:val="fr-CA"/>
        </w:rPr>
      </w:pPr>
    </w:p>
    <w:p w:rsidR="002A1C6A" w:rsidRPr="008949FD" w:rsidRDefault="00D54B70" w:rsidP="002A1C6A">
      <w:pPr>
        <w:jc w:val="both"/>
        <w:rPr>
          <w:sz w:val="20"/>
          <w:szCs w:val="20"/>
        </w:rPr>
      </w:pPr>
      <w:r w:rsidRPr="00BC0D0A">
        <w:rPr>
          <w:sz w:val="20"/>
          <w:szCs w:val="20"/>
        </w:rPr>
        <w:t xml:space="preserve">Civil procedure - Class action specific to securities field - Criteria for authorizing class action - Share-issuing company in process of obtaining authorization to market new drug - Rating agencies publishing questions or objections raised by health authorities in this context - Market reacting negatively between that press release and subsequent authorization - Some investors selling quickly at loss in meantime - Those investors applying for authorization to institute class action on basis of company’s alleged failure to reveal objections raised - Obligation to disclose any material change relied on in support - Action authorized based on its “reasonable possibility of success” - Manner in which that burden of proof should be interpreted - Whether that burden involves consideration of all evidence - Whether event external to issuing company can constitute material change in company’s business - </w:t>
      </w:r>
      <w:r w:rsidRPr="00BC0D0A">
        <w:rPr>
          <w:i/>
          <w:sz w:val="20"/>
          <w:szCs w:val="20"/>
        </w:rPr>
        <w:t>Securities Act</w:t>
      </w:r>
      <w:r w:rsidRPr="00BC0D0A">
        <w:rPr>
          <w:sz w:val="20"/>
          <w:szCs w:val="20"/>
        </w:rPr>
        <w:t>, R.S.Q. c. V-1.1, s. 225.4.</w:t>
      </w:r>
    </w:p>
    <w:p w:rsidR="002A1C6A" w:rsidRPr="008949FD" w:rsidRDefault="002A1C6A" w:rsidP="002A1C6A">
      <w:pPr>
        <w:widowControl w:val="0"/>
        <w:jc w:val="both"/>
        <w:rPr>
          <w:sz w:val="20"/>
          <w:szCs w:val="20"/>
        </w:rPr>
      </w:pPr>
    </w:p>
    <w:p w:rsidR="002A1C6A" w:rsidRPr="008949FD" w:rsidRDefault="002A1C6A" w:rsidP="002A1C6A">
      <w:pPr>
        <w:jc w:val="both"/>
        <w:rPr>
          <w:sz w:val="20"/>
          <w:szCs w:val="20"/>
        </w:rPr>
      </w:pPr>
      <w:r w:rsidRPr="008949FD">
        <w:rPr>
          <w:sz w:val="20"/>
          <w:szCs w:val="20"/>
        </w:rPr>
        <w:t xml:space="preserve">On May 25, 2010, the United States Food and Drug Administration, as was its practice, published information on its site about new drugs awaiting approval.  In the case of tesamorelin, which had been developed by Theratechnologies, the article referred to some questions and objections raised by the FDA.  The information attracted the attention of stock market rating companies like Bloomberg, Dow Jones and Thomson Reuters, which expressed their reservations in a press release.  The same day, 121851 Canada sold its 190,000 shares in Theratechnologies and incurred a loss of $271,752 on their market value.  After the share price fell so much that a halt in stock exchange trading in the securities was ordered, the drug was approved anyway and, on May 29, the value of the share went back to normal. 121851 Canada sought authorization to institute a class action against Theratechnologies, arguing that it had breached its obligation to disclose the objections raised by the FDA as a “material change” that could affect the value of the securities within the meaning of the </w:t>
      </w:r>
      <w:r w:rsidRPr="008949FD">
        <w:rPr>
          <w:i/>
          <w:sz w:val="20"/>
          <w:szCs w:val="20"/>
        </w:rPr>
        <w:t>Securities Act</w:t>
      </w:r>
      <w:r w:rsidRPr="008949FD">
        <w:rPr>
          <w:sz w:val="20"/>
          <w:szCs w:val="20"/>
        </w:rPr>
        <w:t xml:space="preserve">, R.S.Q. c. V-1.1.  The Superior Court authorized the class action, finding, </w:t>
      </w:r>
      <w:r w:rsidRPr="008949FD">
        <w:rPr>
          <w:i/>
          <w:sz w:val="20"/>
          <w:szCs w:val="20"/>
        </w:rPr>
        <w:t>inter alia</w:t>
      </w:r>
      <w:r w:rsidRPr="008949FD">
        <w:rPr>
          <w:sz w:val="20"/>
          <w:szCs w:val="20"/>
        </w:rPr>
        <w:t>, that the action had a reasonable chance of success within the meaning of the same Act.  The Court of Appeal dismissed the appeal.</w:t>
      </w:r>
    </w:p>
    <w:p w:rsidR="002A1C6A" w:rsidRPr="008949FD" w:rsidRDefault="002A1C6A" w:rsidP="002A1C6A">
      <w:pPr>
        <w:widowControl w:val="0"/>
        <w:jc w:val="both"/>
        <w:rPr>
          <w:sz w:val="20"/>
          <w:szCs w:val="20"/>
        </w:rPr>
      </w:pPr>
    </w:p>
    <w:p w:rsidR="002A1C6A" w:rsidRPr="008949FD" w:rsidRDefault="002A1C6A" w:rsidP="002A1C6A">
      <w:pPr>
        <w:widowControl w:val="0"/>
        <w:jc w:val="both"/>
        <w:rPr>
          <w:sz w:val="20"/>
          <w:szCs w:val="20"/>
        </w:rPr>
      </w:pPr>
    </w:p>
    <w:p w:rsidR="002A1C6A" w:rsidRPr="008949FD" w:rsidRDefault="002A1C6A" w:rsidP="002A1C6A">
      <w:pPr>
        <w:widowControl w:val="0"/>
        <w:ind w:left="2880" w:hanging="2880"/>
        <w:jc w:val="both"/>
        <w:rPr>
          <w:sz w:val="20"/>
          <w:szCs w:val="20"/>
        </w:rPr>
      </w:pPr>
      <w:r w:rsidRPr="008949FD">
        <w:rPr>
          <w:sz w:val="20"/>
          <w:szCs w:val="20"/>
        </w:rPr>
        <w:t>Origin of the case:</w:t>
      </w:r>
      <w:r w:rsidRPr="008949FD">
        <w:rPr>
          <w:sz w:val="20"/>
          <w:szCs w:val="20"/>
        </w:rPr>
        <w:tab/>
      </w:r>
      <w:bookmarkStart w:id="4" w:name="4"/>
      <w:bookmarkEnd w:id="4"/>
      <w:r w:rsidRPr="008949FD">
        <w:rPr>
          <w:sz w:val="20"/>
          <w:szCs w:val="20"/>
        </w:rPr>
        <w:t>Quebec</w:t>
      </w:r>
    </w:p>
    <w:p w:rsidR="002A1C6A" w:rsidRPr="008949FD" w:rsidRDefault="002A1C6A" w:rsidP="002A1C6A">
      <w:pPr>
        <w:widowControl w:val="0"/>
        <w:ind w:left="2880" w:hanging="2880"/>
        <w:jc w:val="both"/>
        <w:rPr>
          <w:sz w:val="20"/>
          <w:szCs w:val="20"/>
        </w:rPr>
      </w:pPr>
    </w:p>
    <w:p w:rsidR="002A1C6A" w:rsidRPr="008949FD" w:rsidRDefault="002A1C6A" w:rsidP="002A1C6A">
      <w:pPr>
        <w:widowControl w:val="0"/>
        <w:ind w:left="2880" w:hanging="2880"/>
        <w:jc w:val="both"/>
        <w:rPr>
          <w:sz w:val="20"/>
          <w:szCs w:val="20"/>
        </w:rPr>
      </w:pPr>
      <w:r w:rsidRPr="008949FD">
        <w:rPr>
          <w:sz w:val="20"/>
          <w:szCs w:val="20"/>
        </w:rPr>
        <w:t>File No.:</w:t>
      </w:r>
      <w:r w:rsidRPr="008949FD">
        <w:rPr>
          <w:sz w:val="20"/>
          <w:szCs w:val="20"/>
        </w:rPr>
        <w:tab/>
      </w:r>
      <w:bookmarkStart w:id="5" w:name="2"/>
      <w:bookmarkEnd w:id="5"/>
      <w:r w:rsidRPr="008949FD">
        <w:rPr>
          <w:sz w:val="20"/>
          <w:szCs w:val="20"/>
        </w:rPr>
        <w:t>35550</w:t>
      </w:r>
    </w:p>
    <w:p w:rsidR="002A1C6A" w:rsidRPr="008949FD" w:rsidRDefault="002A1C6A" w:rsidP="002A1C6A">
      <w:pPr>
        <w:widowControl w:val="0"/>
        <w:ind w:left="2880" w:hanging="2880"/>
        <w:jc w:val="both"/>
        <w:rPr>
          <w:sz w:val="20"/>
          <w:szCs w:val="20"/>
        </w:rPr>
      </w:pPr>
    </w:p>
    <w:p w:rsidR="002A1C6A" w:rsidRPr="008949FD" w:rsidRDefault="002A1C6A" w:rsidP="002A1C6A">
      <w:pPr>
        <w:widowControl w:val="0"/>
        <w:ind w:left="2880" w:hanging="2880"/>
        <w:jc w:val="both"/>
        <w:rPr>
          <w:sz w:val="20"/>
          <w:szCs w:val="20"/>
        </w:rPr>
      </w:pPr>
      <w:r w:rsidRPr="008949FD">
        <w:rPr>
          <w:sz w:val="20"/>
          <w:szCs w:val="20"/>
        </w:rPr>
        <w:t>Judgment of the Court of Appeal:</w:t>
      </w:r>
      <w:r w:rsidRPr="008949FD">
        <w:rPr>
          <w:sz w:val="20"/>
          <w:szCs w:val="20"/>
        </w:rPr>
        <w:tab/>
        <w:t>July</w:t>
      </w:r>
      <w:bookmarkStart w:id="6" w:name="5"/>
      <w:bookmarkEnd w:id="6"/>
      <w:r w:rsidRPr="008949FD">
        <w:rPr>
          <w:sz w:val="20"/>
          <w:szCs w:val="20"/>
        </w:rPr>
        <w:t> 17, 2013</w:t>
      </w:r>
    </w:p>
    <w:p w:rsidR="002A1C6A" w:rsidRPr="008949FD" w:rsidRDefault="002A1C6A" w:rsidP="002A1C6A">
      <w:pPr>
        <w:widowControl w:val="0"/>
        <w:ind w:left="2880" w:hanging="2880"/>
        <w:jc w:val="both"/>
        <w:rPr>
          <w:sz w:val="20"/>
          <w:szCs w:val="20"/>
        </w:rPr>
      </w:pPr>
    </w:p>
    <w:p w:rsidR="002A1C6A" w:rsidRPr="008949FD" w:rsidRDefault="002A1C6A" w:rsidP="002A1C6A">
      <w:pPr>
        <w:widowControl w:val="0"/>
        <w:ind w:left="2880" w:hanging="2880"/>
        <w:jc w:val="both"/>
        <w:rPr>
          <w:sz w:val="20"/>
          <w:szCs w:val="20"/>
        </w:rPr>
      </w:pPr>
      <w:r w:rsidRPr="008949FD">
        <w:rPr>
          <w:sz w:val="20"/>
          <w:szCs w:val="20"/>
        </w:rPr>
        <w:t>Counsel:</w:t>
      </w:r>
      <w:r w:rsidRPr="008949FD">
        <w:rPr>
          <w:sz w:val="20"/>
          <w:szCs w:val="20"/>
        </w:rPr>
        <w:tab/>
      </w:r>
      <w:bookmarkStart w:id="7" w:name="6"/>
      <w:bookmarkEnd w:id="7"/>
      <w:r w:rsidRPr="008949FD">
        <w:rPr>
          <w:sz w:val="20"/>
          <w:szCs w:val="20"/>
        </w:rPr>
        <w:t>Pierre Y. Lefebvre and</w:t>
      </w:r>
      <w:r>
        <w:rPr>
          <w:sz w:val="20"/>
          <w:szCs w:val="20"/>
        </w:rPr>
        <w:t xml:space="preserve"> </w:t>
      </w:r>
      <w:r w:rsidRPr="008949FD">
        <w:rPr>
          <w:sz w:val="20"/>
          <w:szCs w:val="20"/>
        </w:rPr>
        <w:t>Philippe Charest-Beaudry for the appellants</w:t>
      </w:r>
    </w:p>
    <w:p w:rsidR="002A1C6A" w:rsidRPr="008949FD" w:rsidRDefault="002A1C6A" w:rsidP="002A1C6A">
      <w:pPr>
        <w:widowControl w:val="0"/>
        <w:ind w:left="2880" w:hanging="2880"/>
        <w:jc w:val="both"/>
        <w:rPr>
          <w:sz w:val="20"/>
          <w:szCs w:val="20"/>
        </w:rPr>
      </w:pPr>
      <w:r w:rsidRPr="008949FD">
        <w:rPr>
          <w:sz w:val="20"/>
          <w:szCs w:val="20"/>
        </w:rPr>
        <w:tab/>
      </w:r>
      <w:bookmarkStart w:id="8" w:name="7"/>
      <w:bookmarkEnd w:id="8"/>
      <w:r w:rsidRPr="008949FD">
        <w:rPr>
          <w:sz w:val="20"/>
          <w:szCs w:val="20"/>
        </w:rPr>
        <w:t>Michel Savonitto for the respondent</w:t>
      </w:r>
    </w:p>
    <w:p w:rsidR="002A1C6A" w:rsidRPr="008949FD" w:rsidRDefault="002A1C6A" w:rsidP="002A1C6A">
      <w:pPr>
        <w:widowControl w:val="0"/>
        <w:ind w:left="2880" w:hanging="2880"/>
        <w:jc w:val="both"/>
        <w:rPr>
          <w:sz w:val="20"/>
          <w:szCs w:val="20"/>
        </w:rPr>
      </w:pPr>
      <w:r w:rsidRPr="008949FD">
        <w:rPr>
          <w:sz w:val="20"/>
          <w:szCs w:val="20"/>
        </w:rPr>
        <w:tab/>
        <w:t>Éric Lemay and Simon Hébert for the intervener</w:t>
      </w:r>
    </w:p>
    <w:p w:rsidR="000B3C9A" w:rsidRPr="005F1ED8" w:rsidRDefault="000B3C9A" w:rsidP="000B3C9A">
      <w:pPr>
        <w:tabs>
          <w:tab w:val="left" w:pos="-1440"/>
          <w:tab w:val="left" w:pos="-720"/>
        </w:tabs>
        <w:ind w:left="720" w:hanging="720"/>
        <w:jc w:val="both"/>
        <w:rPr>
          <w:sz w:val="20"/>
          <w:szCs w:val="20"/>
        </w:rPr>
      </w:pPr>
    </w:p>
    <w:p w:rsidR="000B3C9A" w:rsidRPr="00DD0B49" w:rsidRDefault="00690162" w:rsidP="000B3C9A">
      <w:pPr>
        <w:tabs>
          <w:tab w:val="left" w:pos="-1440"/>
          <w:tab w:val="left" w:pos="-720"/>
        </w:tabs>
        <w:ind w:left="720" w:hanging="720"/>
        <w:jc w:val="both"/>
        <w:rPr>
          <w:sz w:val="20"/>
          <w:szCs w:val="20"/>
          <w:lang w:val="fr-CA"/>
        </w:rPr>
      </w:pPr>
      <w:r>
        <w:rPr>
          <w:sz w:val="20"/>
          <w:szCs w:val="20"/>
          <w:lang w:val="fr-CA"/>
        </w:rPr>
        <w:pict>
          <v:rect id="_x0000_i1098"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p w:rsidR="002A1C6A" w:rsidRPr="00EE5F4A" w:rsidRDefault="00D921D7" w:rsidP="002A1C6A">
      <w:pPr>
        <w:ind w:left="720" w:hanging="720"/>
        <w:rPr>
          <w:i/>
          <w:sz w:val="20"/>
          <w:szCs w:val="20"/>
          <w:lang w:val="fr-CA"/>
        </w:rPr>
      </w:pPr>
      <w:r w:rsidRPr="00EE5F4A">
        <w:rPr>
          <w:b/>
          <w:sz w:val="20"/>
          <w:szCs w:val="20"/>
          <w:lang w:val="fr-CA"/>
        </w:rPr>
        <w:lastRenderedPageBreak/>
        <w:fldChar w:fldCharType="begin"/>
      </w:r>
      <w:r w:rsidR="002A1C6A" w:rsidRPr="00EE5F4A">
        <w:rPr>
          <w:b/>
          <w:sz w:val="20"/>
          <w:szCs w:val="20"/>
          <w:lang w:val="fr-CA"/>
        </w:rPr>
        <w:instrText xml:space="preserve"> SEQ CHAPTER \h \r 1</w:instrText>
      </w:r>
      <w:r w:rsidRPr="00EE5F4A">
        <w:rPr>
          <w:b/>
          <w:sz w:val="20"/>
          <w:szCs w:val="20"/>
        </w:rPr>
        <w:fldChar w:fldCharType="end"/>
      </w:r>
      <w:r w:rsidR="002A1C6A" w:rsidRPr="00EE5F4A">
        <w:rPr>
          <w:b/>
          <w:sz w:val="20"/>
          <w:szCs w:val="20"/>
          <w:lang w:val="fr-CA"/>
        </w:rPr>
        <w:t>35550</w:t>
      </w:r>
      <w:r w:rsidR="002A1C6A" w:rsidRPr="00EE5F4A">
        <w:rPr>
          <w:sz w:val="20"/>
          <w:szCs w:val="20"/>
          <w:lang w:val="fr-CA"/>
        </w:rPr>
        <w:tab/>
      </w:r>
      <w:r w:rsidR="002A1C6A" w:rsidRPr="00EE5F4A">
        <w:rPr>
          <w:b/>
          <w:i/>
          <w:sz w:val="20"/>
          <w:szCs w:val="20"/>
          <w:lang w:val="fr-CA"/>
        </w:rPr>
        <w:t>Theratechnologies inc., Yves Rosconi et Paul Pommier c. 121851 Canada inc. et Mouvement d’éducation et de défense des actionnaires</w:t>
      </w:r>
    </w:p>
    <w:p w:rsidR="002A1C6A" w:rsidRPr="00EE5F4A" w:rsidRDefault="002A1C6A" w:rsidP="002A1C6A">
      <w:pPr>
        <w:rPr>
          <w:sz w:val="20"/>
          <w:szCs w:val="20"/>
          <w:lang w:val="fr-CA"/>
        </w:rPr>
      </w:pPr>
    </w:p>
    <w:p w:rsidR="002A1C6A" w:rsidRPr="00EE5F4A" w:rsidRDefault="002A1C6A" w:rsidP="002A1C6A">
      <w:pPr>
        <w:jc w:val="both"/>
        <w:rPr>
          <w:sz w:val="20"/>
          <w:szCs w:val="20"/>
          <w:lang w:val="fr-CA"/>
        </w:rPr>
      </w:pPr>
      <w:r w:rsidRPr="00EE5F4A">
        <w:rPr>
          <w:sz w:val="20"/>
          <w:szCs w:val="20"/>
          <w:lang w:val="fr-CA"/>
        </w:rPr>
        <w:t xml:space="preserve">Procédure civile - Recours collectif spécifique au domaine des valeurs mobilières - Critères d’autorisation - Compagnie émettrice d’actions en voie d’obtenir une autorisation pour mettre en marché un nouveau médicament - Publication par des agences de cotation des questions ou objections formulées par les autorités de la santé dans ce cadre - Réaction négative du marché entre ce communiqué et l’autorisation subséquente - Vente rapide à perte de la part de certains investisseurs pendant l’intervalle - Demande de ceux-ci d’être autorisés à intenter un recours collectif sur la base du défaut allégué de la compagnie de révéler les objections formulées - Obligation de divulgation de tout changement important invoquée à l’appui - Recours autorisé considérant sa « possibilité raisonnable de succès » - Comment doit être interprété ce fardeau de preuve? - Ce fardeau implique-t-il l’examen de l’ensemble de la preuve? - Un événement extérieur à la société émettrice peut-il constituer un changement important dans l’activité de celle-ci? - </w:t>
      </w:r>
      <w:r w:rsidRPr="00EE5F4A">
        <w:rPr>
          <w:i/>
          <w:sz w:val="20"/>
          <w:szCs w:val="20"/>
          <w:lang w:val="fr-CA"/>
        </w:rPr>
        <w:t>Loi sur les valeurs mobilières</w:t>
      </w:r>
      <w:r w:rsidRPr="00EE5F4A">
        <w:rPr>
          <w:sz w:val="20"/>
          <w:szCs w:val="20"/>
          <w:lang w:val="fr-CA"/>
        </w:rPr>
        <w:t>, L.R.Q. ch. 1.1, art. 225.4.</w:t>
      </w:r>
    </w:p>
    <w:p w:rsidR="002A1C6A" w:rsidRPr="00EE5F4A" w:rsidRDefault="002A1C6A" w:rsidP="002A1C6A">
      <w:pPr>
        <w:widowControl w:val="0"/>
        <w:jc w:val="both"/>
        <w:rPr>
          <w:sz w:val="20"/>
          <w:szCs w:val="20"/>
          <w:lang w:val="fr-CA"/>
        </w:rPr>
      </w:pPr>
    </w:p>
    <w:p w:rsidR="002A1C6A" w:rsidRPr="00EE5F4A" w:rsidRDefault="002A1C6A" w:rsidP="002A1C6A">
      <w:pPr>
        <w:jc w:val="both"/>
        <w:rPr>
          <w:sz w:val="20"/>
          <w:szCs w:val="20"/>
          <w:lang w:val="fr-CA"/>
        </w:rPr>
      </w:pPr>
      <w:r w:rsidRPr="00EE5F4A">
        <w:rPr>
          <w:sz w:val="20"/>
          <w:szCs w:val="20"/>
          <w:lang w:val="fr-CA"/>
        </w:rPr>
        <w:t xml:space="preserve">Le 25 mai 2010, la </w:t>
      </w:r>
      <w:r w:rsidRPr="00EE5F4A">
        <w:rPr>
          <w:i/>
          <w:sz w:val="20"/>
          <w:szCs w:val="20"/>
          <w:lang w:val="fr-CA"/>
        </w:rPr>
        <w:t>Food and Drug Administration</w:t>
      </w:r>
      <w:r w:rsidRPr="00EE5F4A">
        <w:rPr>
          <w:sz w:val="20"/>
          <w:szCs w:val="20"/>
          <w:lang w:val="fr-CA"/>
        </w:rPr>
        <w:t xml:space="preserve"> des États-Unis, comme elle en a l’habitude, publie sur son site les renseignements relatifs aux nouveaux médicaments en attente d’approbation.  Dans le cas de la tésamoréline, développée par Theratechnologies, l’article mentionne certaines questions et objections formulées par la FDA.  Ces renseignements attirent l’attention d’entreprises de cotation boursière telles Bloomberg, Dow Jones, Thompson et Reuters, qui expriment leurs réserves dans un communiqué. 121851 Canada vend ses 190 000 actions de Theratechnologies le jour même et enregistre une perte de 271 752 $ sur leur valeur marchande.  Après que le prix de l’action eut chuté au point d’entraîner un décret d’arrêt des transactions sur ce titre en bourse, l’approbation du médicament devient pourtant chose faite et, le 29 mai, la valeur de l’action revient à la normale.  121851 Canada sollicite l’autorisation d’exercer un recours collectif contre Theratechnologies, estimant que celle-ci a manqué à son obligation de divulguer les objections formulées par la FDA à titre de « changement important » susceptible d’affecter la valeur du titre, au sens de la </w:t>
      </w:r>
      <w:r w:rsidRPr="00EE5F4A">
        <w:rPr>
          <w:i/>
          <w:sz w:val="20"/>
          <w:szCs w:val="20"/>
          <w:lang w:val="fr-CA"/>
        </w:rPr>
        <w:t>Loi sur les valeurs mobilières</w:t>
      </w:r>
      <w:r w:rsidRPr="00EE5F4A">
        <w:rPr>
          <w:sz w:val="20"/>
          <w:szCs w:val="20"/>
          <w:lang w:val="fr-CA"/>
        </w:rPr>
        <w:t>, L.R.Q. ch. V-1.1. La Cour supérieure autorise le recours collectif, considérant, notamment, qu’il présente une chance raisonnable de succès au sens de cette même loi. La Cour d’appel rejette l’appel.</w:t>
      </w:r>
    </w:p>
    <w:p w:rsidR="002A1C6A" w:rsidRPr="00EE5F4A" w:rsidRDefault="002A1C6A" w:rsidP="002A1C6A">
      <w:pPr>
        <w:widowControl w:val="0"/>
        <w:jc w:val="both"/>
        <w:rPr>
          <w:sz w:val="20"/>
          <w:szCs w:val="20"/>
          <w:lang w:val="fr-CA"/>
        </w:rPr>
      </w:pPr>
    </w:p>
    <w:p w:rsidR="002A1C6A" w:rsidRPr="00EE5F4A" w:rsidRDefault="002A1C6A" w:rsidP="002A1C6A">
      <w:pPr>
        <w:widowControl w:val="0"/>
        <w:jc w:val="both"/>
        <w:rPr>
          <w:sz w:val="20"/>
          <w:szCs w:val="20"/>
          <w:lang w:val="fr-CA"/>
        </w:rPr>
      </w:pPr>
    </w:p>
    <w:p w:rsidR="002A1C6A" w:rsidRPr="00EE5F4A" w:rsidRDefault="002A1C6A" w:rsidP="002A1C6A">
      <w:pPr>
        <w:widowControl w:val="0"/>
        <w:ind w:left="2880" w:hanging="2880"/>
        <w:jc w:val="both"/>
        <w:rPr>
          <w:sz w:val="20"/>
          <w:szCs w:val="20"/>
          <w:lang w:val="fr-CA"/>
        </w:rPr>
      </w:pPr>
      <w:r w:rsidRPr="00EE5F4A">
        <w:rPr>
          <w:sz w:val="20"/>
          <w:szCs w:val="20"/>
          <w:lang w:val="fr-CA"/>
        </w:rPr>
        <w:t>Origine:</w:t>
      </w:r>
      <w:r w:rsidRPr="00EE5F4A">
        <w:rPr>
          <w:sz w:val="20"/>
          <w:szCs w:val="20"/>
          <w:lang w:val="fr-CA"/>
        </w:rPr>
        <w:tab/>
        <w:t>Québec</w:t>
      </w:r>
    </w:p>
    <w:p w:rsidR="002A1C6A" w:rsidRPr="00EE5F4A" w:rsidRDefault="002A1C6A" w:rsidP="002A1C6A">
      <w:pPr>
        <w:widowControl w:val="0"/>
        <w:ind w:left="2880" w:hanging="2880"/>
        <w:jc w:val="both"/>
        <w:rPr>
          <w:sz w:val="20"/>
          <w:szCs w:val="20"/>
          <w:lang w:val="fr-CA"/>
        </w:rPr>
      </w:pPr>
    </w:p>
    <w:p w:rsidR="002A1C6A" w:rsidRPr="00EE5F4A" w:rsidRDefault="002A1C6A" w:rsidP="002A1C6A">
      <w:pPr>
        <w:widowControl w:val="0"/>
        <w:ind w:left="2880" w:hanging="2880"/>
        <w:jc w:val="both"/>
        <w:rPr>
          <w:sz w:val="20"/>
          <w:szCs w:val="20"/>
          <w:lang w:val="fr-CA"/>
        </w:rPr>
      </w:pPr>
      <w:r w:rsidRPr="00EE5F4A">
        <w:rPr>
          <w:sz w:val="20"/>
          <w:szCs w:val="20"/>
          <w:lang w:val="fr-CA"/>
        </w:rPr>
        <w:t>N</w:t>
      </w:r>
      <w:r w:rsidRPr="00EE5F4A">
        <w:rPr>
          <w:sz w:val="20"/>
          <w:szCs w:val="20"/>
          <w:vertAlign w:val="superscript"/>
          <w:lang w:val="fr-CA"/>
        </w:rPr>
        <w:t>o</w:t>
      </w:r>
      <w:r w:rsidRPr="00EE5F4A">
        <w:rPr>
          <w:sz w:val="20"/>
          <w:szCs w:val="20"/>
          <w:lang w:val="fr-CA"/>
        </w:rPr>
        <w:t xml:space="preserve"> du greffe:</w:t>
      </w:r>
      <w:r w:rsidRPr="00EE5F4A">
        <w:rPr>
          <w:sz w:val="20"/>
          <w:szCs w:val="20"/>
          <w:lang w:val="fr-CA"/>
        </w:rPr>
        <w:tab/>
        <w:t>35550</w:t>
      </w:r>
    </w:p>
    <w:p w:rsidR="002A1C6A" w:rsidRPr="00EE5F4A" w:rsidRDefault="002A1C6A" w:rsidP="002A1C6A">
      <w:pPr>
        <w:widowControl w:val="0"/>
        <w:ind w:left="2880" w:hanging="2880"/>
        <w:jc w:val="both"/>
        <w:rPr>
          <w:sz w:val="20"/>
          <w:szCs w:val="20"/>
          <w:lang w:val="fr-CA"/>
        </w:rPr>
      </w:pPr>
    </w:p>
    <w:p w:rsidR="002A1C6A" w:rsidRPr="00EE5F4A" w:rsidRDefault="002A1C6A" w:rsidP="002A1C6A">
      <w:pPr>
        <w:widowControl w:val="0"/>
        <w:ind w:left="2880" w:hanging="2880"/>
        <w:jc w:val="both"/>
        <w:rPr>
          <w:sz w:val="20"/>
          <w:szCs w:val="20"/>
          <w:lang w:val="fr-CA"/>
        </w:rPr>
      </w:pPr>
      <w:r w:rsidRPr="00EE5F4A">
        <w:rPr>
          <w:sz w:val="20"/>
          <w:szCs w:val="20"/>
          <w:lang w:val="fr-CA"/>
        </w:rPr>
        <w:t>Arrêt de la Cour d’appel:</w:t>
      </w:r>
      <w:r w:rsidRPr="00EE5F4A">
        <w:rPr>
          <w:sz w:val="20"/>
          <w:szCs w:val="20"/>
          <w:lang w:val="fr-CA"/>
        </w:rPr>
        <w:tab/>
        <w:t>le 17 juillet 2013</w:t>
      </w:r>
    </w:p>
    <w:p w:rsidR="002A1C6A" w:rsidRPr="00EE5F4A" w:rsidRDefault="002A1C6A" w:rsidP="002A1C6A">
      <w:pPr>
        <w:widowControl w:val="0"/>
        <w:ind w:left="2880" w:hanging="2880"/>
        <w:jc w:val="both"/>
        <w:rPr>
          <w:sz w:val="20"/>
          <w:szCs w:val="20"/>
          <w:lang w:val="fr-CA"/>
        </w:rPr>
      </w:pPr>
    </w:p>
    <w:p w:rsidR="002A1C6A" w:rsidRPr="00EE5F4A" w:rsidRDefault="002A1C6A" w:rsidP="002A1C6A">
      <w:pPr>
        <w:widowControl w:val="0"/>
        <w:ind w:left="2880" w:hanging="2880"/>
        <w:jc w:val="both"/>
        <w:rPr>
          <w:sz w:val="20"/>
          <w:szCs w:val="20"/>
          <w:lang w:val="fr-CA"/>
        </w:rPr>
      </w:pPr>
      <w:r w:rsidRPr="00EE5F4A">
        <w:rPr>
          <w:sz w:val="20"/>
          <w:szCs w:val="20"/>
          <w:lang w:val="fr-CA"/>
        </w:rPr>
        <w:t>Avocats:</w:t>
      </w:r>
      <w:r w:rsidRPr="00EE5F4A">
        <w:rPr>
          <w:sz w:val="20"/>
          <w:szCs w:val="20"/>
          <w:lang w:val="fr-CA"/>
        </w:rPr>
        <w:tab/>
        <w:t>Me Pierre Y. Lefebvre et</w:t>
      </w:r>
      <w:r>
        <w:rPr>
          <w:sz w:val="20"/>
          <w:szCs w:val="20"/>
          <w:lang w:val="fr-CA"/>
        </w:rPr>
        <w:t xml:space="preserve"> </w:t>
      </w:r>
      <w:r w:rsidRPr="00EE5F4A">
        <w:rPr>
          <w:sz w:val="20"/>
          <w:szCs w:val="20"/>
          <w:lang w:val="fr-CA"/>
        </w:rPr>
        <w:t>Me Philippe Charest-Beaudry pour les appelants</w:t>
      </w:r>
    </w:p>
    <w:p w:rsidR="002A1C6A" w:rsidRPr="00EE5F4A" w:rsidRDefault="002A1C6A" w:rsidP="002A1C6A">
      <w:pPr>
        <w:widowControl w:val="0"/>
        <w:ind w:left="2880" w:hanging="2880"/>
        <w:jc w:val="both"/>
        <w:rPr>
          <w:sz w:val="20"/>
          <w:szCs w:val="20"/>
          <w:lang w:val="fr-CA"/>
        </w:rPr>
      </w:pPr>
      <w:r w:rsidRPr="00EE5F4A">
        <w:rPr>
          <w:sz w:val="20"/>
          <w:szCs w:val="20"/>
          <w:lang w:val="fr-CA"/>
        </w:rPr>
        <w:tab/>
        <w:t>Me Michel Savonitto pour l’intimée</w:t>
      </w:r>
    </w:p>
    <w:p w:rsidR="002A1C6A" w:rsidRDefault="002A1C6A" w:rsidP="002A1C6A">
      <w:pPr>
        <w:widowControl w:val="0"/>
        <w:ind w:left="2880" w:hanging="2880"/>
        <w:jc w:val="both"/>
        <w:rPr>
          <w:sz w:val="20"/>
          <w:szCs w:val="20"/>
          <w:lang w:val="fr-CA"/>
        </w:rPr>
      </w:pPr>
      <w:r w:rsidRPr="00EE5F4A">
        <w:rPr>
          <w:sz w:val="20"/>
          <w:szCs w:val="20"/>
          <w:lang w:val="fr-CA"/>
        </w:rPr>
        <w:tab/>
        <w:t>Me Éric Lemay et Me Simon Hébert pour l’intervenant</w:t>
      </w:r>
    </w:p>
    <w:p w:rsidR="002A1C6A" w:rsidRDefault="002A1C6A" w:rsidP="002A1C6A">
      <w:pPr>
        <w:widowControl w:val="0"/>
        <w:ind w:left="2880" w:hanging="2880"/>
        <w:jc w:val="both"/>
        <w:rPr>
          <w:sz w:val="20"/>
          <w:szCs w:val="20"/>
          <w:lang w:val="fr-CA"/>
        </w:rPr>
      </w:pPr>
    </w:p>
    <w:p w:rsidR="002A1C6A" w:rsidRPr="00EE5F4A" w:rsidRDefault="00690162" w:rsidP="002A1C6A">
      <w:pPr>
        <w:widowControl w:val="0"/>
        <w:ind w:left="2880" w:hanging="2880"/>
        <w:jc w:val="both"/>
        <w:rPr>
          <w:sz w:val="20"/>
          <w:szCs w:val="20"/>
          <w:lang w:val="fr-CA"/>
        </w:rPr>
      </w:pPr>
      <w:r>
        <w:rPr>
          <w:sz w:val="20"/>
          <w:szCs w:val="20"/>
          <w:lang w:val="fr-CA"/>
        </w:rPr>
        <w:pict>
          <v:rect id="_x0000_i1099" style="width:2in;height:1pt" o:hrpct="0" o:hralign="center" o:hrstd="t" o:hrnoshade="t" o:hr="t" fillcolor="black [3213]" stroked="f"/>
        </w:pict>
      </w:r>
    </w:p>
    <w:p w:rsidR="001662A9" w:rsidRDefault="001662A9">
      <w:pPr>
        <w:rPr>
          <w:sz w:val="20"/>
          <w:szCs w:val="20"/>
          <w:lang w:val="fr-CA"/>
        </w:rPr>
      </w:pPr>
      <w:r>
        <w:rPr>
          <w:sz w:val="20"/>
          <w:szCs w:val="20"/>
          <w:lang w:val="fr-CA"/>
        </w:rPr>
        <w:br w:type="page"/>
      </w:r>
    </w:p>
    <w:p w:rsidR="005026CD" w:rsidRPr="005026CD" w:rsidRDefault="005026CD" w:rsidP="005026CD">
      <w:pPr>
        <w:widowControl w:val="0"/>
        <w:ind w:left="720" w:hanging="720"/>
        <w:jc w:val="both"/>
        <w:rPr>
          <w:sz w:val="19"/>
          <w:szCs w:val="19"/>
        </w:rPr>
      </w:pPr>
      <w:r w:rsidRPr="005026CD">
        <w:rPr>
          <w:b/>
          <w:sz w:val="19"/>
          <w:szCs w:val="19"/>
        </w:rPr>
        <w:lastRenderedPageBreak/>
        <w:t>35619</w:t>
      </w:r>
      <w:r w:rsidR="00D921D7" w:rsidRPr="005026CD">
        <w:rPr>
          <w:sz w:val="19"/>
          <w:szCs w:val="19"/>
        </w:rPr>
        <w:fldChar w:fldCharType="begin"/>
      </w:r>
      <w:r w:rsidRPr="005026CD">
        <w:rPr>
          <w:sz w:val="19"/>
          <w:szCs w:val="19"/>
        </w:rPr>
        <w:instrText xml:space="preserve"> SEQ CHAPTER \h \r 1</w:instrText>
      </w:r>
      <w:r w:rsidR="00D921D7" w:rsidRPr="005026CD">
        <w:rPr>
          <w:sz w:val="19"/>
          <w:szCs w:val="19"/>
        </w:rPr>
        <w:fldChar w:fldCharType="end"/>
      </w:r>
      <w:r w:rsidRPr="005026CD">
        <w:rPr>
          <w:sz w:val="19"/>
          <w:szCs w:val="19"/>
        </w:rPr>
        <w:tab/>
      </w:r>
      <w:r w:rsidRPr="005026CD">
        <w:rPr>
          <w:b/>
          <w:i/>
          <w:sz w:val="19"/>
          <w:szCs w:val="19"/>
        </w:rPr>
        <w:t>Association des parents de l’école Rose-des-Vents et al. v. Ministry of Education of British Columbia and Attorney General of British Columbia</w:t>
      </w:r>
    </w:p>
    <w:p w:rsidR="005026CD" w:rsidRPr="005026CD" w:rsidRDefault="005026CD" w:rsidP="005026CD">
      <w:pPr>
        <w:widowControl w:val="0"/>
        <w:jc w:val="both"/>
        <w:rPr>
          <w:sz w:val="19"/>
          <w:szCs w:val="19"/>
        </w:rPr>
      </w:pPr>
    </w:p>
    <w:p w:rsidR="005026CD" w:rsidRPr="005026CD" w:rsidRDefault="005026CD" w:rsidP="005026CD">
      <w:pPr>
        <w:jc w:val="both"/>
        <w:rPr>
          <w:sz w:val="19"/>
          <w:szCs w:val="19"/>
        </w:rPr>
      </w:pPr>
      <w:r w:rsidRPr="005026CD">
        <w:rPr>
          <w:sz w:val="19"/>
          <w:szCs w:val="19"/>
        </w:rPr>
        <w:t xml:space="preserve">Charter of rights - Constitutional law - Minority language educational rights - Minority French-language educational facility - Substantive equality - Approach to be taken by court in assessing real equivalence of school facilities of minority French-language school with majority English-language school facilities for purpose of determining whether school facilities of French-language school meet requirements of s. 23 of </w:t>
      </w:r>
      <w:r w:rsidRPr="005026CD">
        <w:rPr>
          <w:i/>
          <w:sz w:val="19"/>
          <w:szCs w:val="19"/>
        </w:rPr>
        <w:t>Charter</w:t>
      </w:r>
      <w:r w:rsidRPr="005026CD">
        <w:rPr>
          <w:sz w:val="19"/>
          <w:szCs w:val="19"/>
        </w:rPr>
        <w:t xml:space="preserve"> -  Stage of analysis at which province’s financial resources relevant - In addition to establishing that numbers warrant educational facilities, whether rights-holder parents must show that it is “practically possible” to provide facilities equivalent to those provided to linguistic majority and must prove share of responsibility of province and/or school board for infringement of s. 23 - Role played by school board’s power of management and control in analyzing real equivalence of school facilities - </w:t>
      </w:r>
      <w:r w:rsidRPr="005026CD">
        <w:rPr>
          <w:i/>
          <w:sz w:val="19"/>
          <w:szCs w:val="19"/>
        </w:rPr>
        <w:t>Canadian Charter of Rights and Freedoms</w:t>
      </w:r>
      <w:r w:rsidRPr="005026CD">
        <w:rPr>
          <w:sz w:val="19"/>
          <w:szCs w:val="19"/>
        </w:rPr>
        <w:t>, s. 23.</w:t>
      </w:r>
    </w:p>
    <w:p w:rsidR="005026CD" w:rsidRPr="005026CD" w:rsidRDefault="005026CD" w:rsidP="005026CD">
      <w:pPr>
        <w:widowControl w:val="0"/>
        <w:jc w:val="both"/>
        <w:rPr>
          <w:sz w:val="19"/>
          <w:szCs w:val="19"/>
        </w:rPr>
      </w:pPr>
    </w:p>
    <w:p w:rsidR="005026CD" w:rsidRPr="005026CD" w:rsidRDefault="005026CD" w:rsidP="005026CD">
      <w:pPr>
        <w:jc w:val="both"/>
        <w:rPr>
          <w:sz w:val="19"/>
          <w:szCs w:val="19"/>
        </w:rPr>
      </w:pPr>
      <w:r w:rsidRPr="005026CD">
        <w:rPr>
          <w:sz w:val="19"/>
          <w:szCs w:val="19"/>
        </w:rPr>
        <w:t>École Rose-des-Vents is a French-language elementary school that was established in Vancouver in 2001 and has about 350 students.  It is the only French-language elementary school serving those living west of Main Street.  For many years, the parents of students attending the school have called for an educational facility whose quality is equivalent to that of the educational facilities provided to the English-speaking majority in the same catchment area.</w:t>
      </w:r>
    </w:p>
    <w:p w:rsidR="005026CD" w:rsidRPr="005026CD" w:rsidRDefault="005026CD" w:rsidP="005026CD">
      <w:pPr>
        <w:rPr>
          <w:sz w:val="19"/>
          <w:szCs w:val="19"/>
        </w:rPr>
      </w:pPr>
    </w:p>
    <w:p w:rsidR="005026CD" w:rsidRPr="005026CD" w:rsidRDefault="005026CD" w:rsidP="005026CD">
      <w:pPr>
        <w:jc w:val="both"/>
        <w:rPr>
          <w:sz w:val="19"/>
          <w:szCs w:val="19"/>
        </w:rPr>
      </w:pPr>
      <w:r w:rsidRPr="005026CD">
        <w:rPr>
          <w:sz w:val="19"/>
          <w:szCs w:val="19"/>
        </w:rPr>
        <w:t xml:space="preserve">In 2010, a group of parents whose children attended the school filed a petition in the Supreme Court of British Columbia seeking a declaration that their rights guaranteed by s. 23 of the </w:t>
      </w:r>
      <w:r w:rsidRPr="005026CD">
        <w:rPr>
          <w:i/>
          <w:sz w:val="19"/>
          <w:szCs w:val="19"/>
        </w:rPr>
        <w:t>Charter</w:t>
      </w:r>
      <w:r w:rsidRPr="005026CD">
        <w:rPr>
          <w:sz w:val="19"/>
          <w:szCs w:val="19"/>
        </w:rPr>
        <w:t xml:space="preserve"> had been infringed because their school facilities did not meet the standards set by that constitutional provision.  The parents argued that École Rose-des-vents was overcrowded and not as easily accessible as English-language schools in the area and that its facilities were of poor quality.  The petition filed by the parents named the Ministry of Education of British Columbia and the Conseil scolaire francophone de la Colombie-Britannique as respondents. </w:t>
      </w:r>
    </w:p>
    <w:p w:rsidR="005026CD" w:rsidRPr="005026CD" w:rsidRDefault="005026CD" w:rsidP="005026CD">
      <w:pPr>
        <w:rPr>
          <w:sz w:val="19"/>
          <w:szCs w:val="19"/>
        </w:rPr>
      </w:pPr>
    </w:p>
    <w:p w:rsidR="005026CD" w:rsidRPr="005026CD" w:rsidRDefault="005026CD" w:rsidP="005026CD">
      <w:pPr>
        <w:jc w:val="both"/>
        <w:rPr>
          <w:sz w:val="19"/>
          <w:szCs w:val="19"/>
        </w:rPr>
      </w:pPr>
      <w:r w:rsidRPr="005026CD">
        <w:rPr>
          <w:sz w:val="19"/>
          <w:szCs w:val="19"/>
        </w:rPr>
        <w:t xml:space="preserve">A judge sitting as a case management judge ordered that the petition be heard in three phases, the first of which would involve determining whether the facilities at École Rose-des-Vents and the transportation afforded to the children of the members of the group of parents were equivalent to the facilities and transportation afforded to students attending English-language schools in a comparable situation.  The same judge ordered that certain paragraphs be struck from the response of the Attorney General of British Columbia on the basis that they were irrelevant to that phase of the litigation.  At the close of the first phase of the proceedings, a declaration was made that rights-holder parents living west of Main Street in Vancouver were not being provided the French-language educational facilities guaranteed to them by s. 23 of the </w:t>
      </w:r>
      <w:r w:rsidRPr="005026CD">
        <w:rPr>
          <w:i/>
          <w:sz w:val="19"/>
          <w:szCs w:val="19"/>
        </w:rPr>
        <w:t>Charter</w:t>
      </w:r>
      <w:r w:rsidRPr="005026CD">
        <w:rPr>
          <w:sz w:val="19"/>
          <w:szCs w:val="19"/>
        </w:rPr>
        <w:t xml:space="preserve">.  The Court of Appeal allowed the province’s appeal and set aside both the declaration concerning s. 23 of the </w:t>
      </w:r>
      <w:r w:rsidRPr="005026CD">
        <w:rPr>
          <w:i/>
          <w:sz w:val="19"/>
          <w:szCs w:val="19"/>
        </w:rPr>
        <w:t>Charter</w:t>
      </w:r>
      <w:r w:rsidRPr="005026CD">
        <w:rPr>
          <w:sz w:val="19"/>
          <w:szCs w:val="19"/>
        </w:rPr>
        <w:t xml:space="preserve"> and the order striking paragraphs from the Attorney General’s response.</w:t>
      </w:r>
    </w:p>
    <w:p w:rsidR="005026CD" w:rsidRPr="005026CD" w:rsidRDefault="005026CD" w:rsidP="005026CD">
      <w:pPr>
        <w:widowControl w:val="0"/>
        <w:jc w:val="both"/>
        <w:rPr>
          <w:sz w:val="19"/>
          <w:szCs w:val="19"/>
        </w:rPr>
      </w:pPr>
    </w:p>
    <w:p w:rsidR="005026CD" w:rsidRPr="005026CD" w:rsidRDefault="005026CD" w:rsidP="005026CD">
      <w:pPr>
        <w:widowControl w:val="0"/>
        <w:jc w:val="both"/>
        <w:rPr>
          <w:sz w:val="19"/>
          <w:szCs w:val="19"/>
        </w:rPr>
      </w:pPr>
    </w:p>
    <w:p w:rsidR="005026CD" w:rsidRPr="005026CD" w:rsidRDefault="005026CD" w:rsidP="005026CD">
      <w:pPr>
        <w:widowControl w:val="0"/>
        <w:ind w:left="2880" w:hanging="2880"/>
        <w:jc w:val="both"/>
        <w:rPr>
          <w:sz w:val="19"/>
          <w:szCs w:val="19"/>
        </w:rPr>
      </w:pPr>
      <w:r w:rsidRPr="005026CD">
        <w:rPr>
          <w:sz w:val="19"/>
          <w:szCs w:val="19"/>
        </w:rPr>
        <w:t>Origin of the case:</w:t>
      </w:r>
      <w:r w:rsidRPr="005026CD">
        <w:rPr>
          <w:sz w:val="19"/>
          <w:szCs w:val="19"/>
        </w:rPr>
        <w:tab/>
        <w:t>British Columbia</w:t>
      </w:r>
    </w:p>
    <w:p w:rsidR="005026CD" w:rsidRPr="005026CD" w:rsidRDefault="005026CD" w:rsidP="005026CD">
      <w:pPr>
        <w:widowControl w:val="0"/>
        <w:ind w:left="2880" w:hanging="2880"/>
        <w:jc w:val="both"/>
        <w:rPr>
          <w:sz w:val="19"/>
          <w:szCs w:val="19"/>
        </w:rPr>
      </w:pPr>
    </w:p>
    <w:p w:rsidR="005026CD" w:rsidRPr="005026CD" w:rsidRDefault="005026CD" w:rsidP="005026CD">
      <w:pPr>
        <w:widowControl w:val="0"/>
        <w:ind w:left="2880" w:hanging="2880"/>
        <w:jc w:val="both"/>
        <w:rPr>
          <w:sz w:val="19"/>
          <w:szCs w:val="19"/>
        </w:rPr>
      </w:pPr>
      <w:r w:rsidRPr="005026CD">
        <w:rPr>
          <w:sz w:val="19"/>
          <w:szCs w:val="19"/>
        </w:rPr>
        <w:t>File No.:</w:t>
      </w:r>
      <w:r w:rsidRPr="005026CD">
        <w:rPr>
          <w:sz w:val="19"/>
          <w:szCs w:val="19"/>
        </w:rPr>
        <w:tab/>
        <w:t>35619</w:t>
      </w:r>
    </w:p>
    <w:p w:rsidR="005026CD" w:rsidRPr="005026CD" w:rsidRDefault="005026CD" w:rsidP="005026CD">
      <w:pPr>
        <w:widowControl w:val="0"/>
        <w:ind w:left="2880" w:hanging="2880"/>
        <w:jc w:val="both"/>
        <w:rPr>
          <w:sz w:val="19"/>
          <w:szCs w:val="19"/>
        </w:rPr>
      </w:pPr>
    </w:p>
    <w:p w:rsidR="005026CD" w:rsidRPr="005026CD" w:rsidRDefault="005026CD" w:rsidP="005026CD">
      <w:pPr>
        <w:ind w:left="2880" w:hanging="2880"/>
        <w:rPr>
          <w:sz w:val="19"/>
          <w:szCs w:val="19"/>
        </w:rPr>
      </w:pPr>
      <w:r w:rsidRPr="005026CD">
        <w:rPr>
          <w:sz w:val="19"/>
          <w:szCs w:val="19"/>
        </w:rPr>
        <w:t>Judgment of the Court of Appeal:</w:t>
      </w:r>
      <w:r w:rsidRPr="005026CD">
        <w:rPr>
          <w:sz w:val="19"/>
          <w:szCs w:val="19"/>
        </w:rPr>
        <w:tab/>
        <w:t>September 20, 2013</w:t>
      </w:r>
    </w:p>
    <w:p w:rsidR="005026CD" w:rsidRPr="005026CD" w:rsidRDefault="005026CD" w:rsidP="005026CD">
      <w:pPr>
        <w:widowControl w:val="0"/>
        <w:ind w:left="2880" w:hanging="2880"/>
        <w:jc w:val="both"/>
        <w:rPr>
          <w:sz w:val="19"/>
          <w:szCs w:val="19"/>
        </w:rPr>
      </w:pPr>
    </w:p>
    <w:p w:rsidR="005026CD" w:rsidRPr="005026CD" w:rsidRDefault="005026CD" w:rsidP="005026CD">
      <w:pPr>
        <w:widowControl w:val="0"/>
        <w:ind w:left="2880" w:hanging="2880"/>
        <w:jc w:val="both"/>
        <w:rPr>
          <w:sz w:val="19"/>
          <w:szCs w:val="19"/>
          <w:lang w:val="fr-CA"/>
        </w:rPr>
      </w:pPr>
      <w:r w:rsidRPr="005026CD">
        <w:rPr>
          <w:sz w:val="19"/>
          <w:szCs w:val="19"/>
          <w:lang w:val="fr-CA"/>
        </w:rPr>
        <w:t>Counsel:</w:t>
      </w:r>
      <w:r w:rsidRPr="005026CD">
        <w:rPr>
          <w:sz w:val="19"/>
          <w:szCs w:val="19"/>
          <w:lang w:val="fr-CA"/>
        </w:rPr>
        <w:tab/>
        <w:t xml:space="preserve">Nicholas M. Rouleau for the appellants Association des parents de l’École Rose-des-Vents and Joseph Pagé et al. </w:t>
      </w:r>
    </w:p>
    <w:p w:rsidR="005026CD" w:rsidRPr="005026CD" w:rsidRDefault="005026CD" w:rsidP="005026CD">
      <w:pPr>
        <w:widowControl w:val="0"/>
        <w:ind w:left="2880" w:hanging="2880"/>
        <w:jc w:val="both"/>
        <w:rPr>
          <w:sz w:val="19"/>
          <w:szCs w:val="19"/>
          <w:lang w:val="fr-CA"/>
        </w:rPr>
      </w:pPr>
      <w:r w:rsidRPr="005026CD">
        <w:rPr>
          <w:sz w:val="19"/>
          <w:szCs w:val="19"/>
          <w:lang w:val="fr-CA"/>
        </w:rPr>
        <w:tab/>
        <w:t>Mark C. Power, Jean-Pierre Hachey, David P. Taylor and Robert W. Grant, Q.C., for the appellant Conseil scolaire francophone de la Colombie-Britannique</w:t>
      </w:r>
    </w:p>
    <w:p w:rsidR="005026CD" w:rsidRPr="005026CD" w:rsidRDefault="005026CD" w:rsidP="005026CD">
      <w:pPr>
        <w:widowControl w:val="0"/>
        <w:ind w:left="2880" w:hanging="2880"/>
        <w:jc w:val="both"/>
        <w:rPr>
          <w:sz w:val="19"/>
          <w:szCs w:val="19"/>
        </w:rPr>
      </w:pPr>
      <w:r w:rsidRPr="005026CD">
        <w:rPr>
          <w:sz w:val="19"/>
          <w:szCs w:val="19"/>
          <w:lang w:val="fr-CA"/>
        </w:rPr>
        <w:tab/>
      </w:r>
      <w:r w:rsidRPr="005026CD">
        <w:rPr>
          <w:sz w:val="19"/>
          <w:szCs w:val="19"/>
        </w:rPr>
        <w:t>Warran B. Milman and Karrie Wolfe for the respondents Ministry of Education of British Columbia and Attorney General of British Columbia</w:t>
      </w:r>
    </w:p>
    <w:p w:rsidR="001662A9" w:rsidRPr="005026CD" w:rsidRDefault="001662A9" w:rsidP="001662A9">
      <w:pPr>
        <w:tabs>
          <w:tab w:val="left" w:pos="-1440"/>
          <w:tab w:val="left" w:pos="-720"/>
        </w:tabs>
        <w:jc w:val="both"/>
        <w:rPr>
          <w:sz w:val="20"/>
          <w:szCs w:val="20"/>
        </w:rPr>
      </w:pPr>
    </w:p>
    <w:p w:rsidR="001662A9" w:rsidRPr="00DD0B49" w:rsidRDefault="00690162" w:rsidP="001662A9">
      <w:pPr>
        <w:tabs>
          <w:tab w:val="left" w:pos="-1440"/>
          <w:tab w:val="left" w:pos="-720"/>
        </w:tabs>
        <w:jc w:val="both"/>
        <w:rPr>
          <w:sz w:val="20"/>
          <w:szCs w:val="20"/>
          <w:lang w:val="fr-CA"/>
        </w:rPr>
      </w:pPr>
      <w:r>
        <w:rPr>
          <w:sz w:val="20"/>
          <w:szCs w:val="20"/>
          <w:lang w:val="fr-CA"/>
        </w:rPr>
        <w:pict>
          <v:rect id="_x0000_i1100" style="width:2in;height:1pt" o:hrpct="0" o:hralign="center" o:hrstd="t" o:hrnoshade="t" o:hr="t" fillcolor="black [3213]" stroked="f"/>
        </w:pict>
      </w:r>
    </w:p>
    <w:p w:rsidR="001662A9" w:rsidRDefault="001662A9">
      <w:pPr>
        <w:rPr>
          <w:sz w:val="20"/>
          <w:szCs w:val="20"/>
          <w:lang w:val="fr-CA"/>
        </w:rPr>
      </w:pPr>
      <w:r>
        <w:rPr>
          <w:sz w:val="20"/>
          <w:szCs w:val="20"/>
          <w:lang w:val="fr-CA"/>
        </w:rPr>
        <w:br w:type="page"/>
      </w:r>
    </w:p>
    <w:p w:rsidR="005026CD" w:rsidRPr="005026CD" w:rsidRDefault="005026CD" w:rsidP="005026CD">
      <w:pPr>
        <w:widowControl w:val="0"/>
        <w:ind w:left="720" w:hanging="720"/>
        <w:jc w:val="both"/>
        <w:rPr>
          <w:sz w:val="19"/>
          <w:szCs w:val="19"/>
          <w:lang w:val="fr-CA"/>
        </w:rPr>
      </w:pPr>
      <w:r w:rsidRPr="005026CD">
        <w:rPr>
          <w:b/>
          <w:sz w:val="19"/>
          <w:szCs w:val="19"/>
          <w:lang w:val="fr-CA"/>
        </w:rPr>
        <w:lastRenderedPageBreak/>
        <w:t>35619</w:t>
      </w:r>
      <w:r w:rsidR="00D921D7" w:rsidRPr="005026CD">
        <w:rPr>
          <w:sz w:val="19"/>
          <w:szCs w:val="19"/>
          <w:lang w:val="fr-CA"/>
        </w:rPr>
        <w:fldChar w:fldCharType="begin"/>
      </w:r>
      <w:r w:rsidRPr="005026CD">
        <w:rPr>
          <w:sz w:val="19"/>
          <w:szCs w:val="19"/>
          <w:lang w:val="fr-CA"/>
        </w:rPr>
        <w:instrText xml:space="preserve"> SEQ CHAPTER \h \r 1</w:instrText>
      </w:r>
      <w:r w:rsidR="00D921D7" w:rsidRPr="005026CD">
        <w:rPr>
          <w:sz w:val="19"/>
          <w:szCs w:val="19"/>
        </w:rPr>
        <w:fldChar w:fldCharType="end"/>
      </w:r>
      <w:r w:rsidRPr="005026CD">
        <w:rPr>
          <w:sz w:val="19"/>
          <w:szCs w:val="19"/>
          <w:lang w:val="fr-CA"/>
        </w:rPr>
        <w:tab/>
      </w:r>
      <w:r w:rsidRPr="005026CD">
        <w:rPr>
          <w:b/>
          <w:i/>
          <w:sz w:val="19"/>
          <w:szCs w:val="19"/>
          <w:lang w:val="fr-CA"/>
        </w:rPr>
        <w:t>Association des parents de l'école Rose-des-Vents et autres c. Ministère de l'Éducation de la province de la Colombie-Britannique et procureur général de la Colombie-Britannique</w:t>
      </w:r>
    </w:p>
    <w:p w:rsidR="005026CD" w:rsidRPr="005026CD" w:rsidRDefault="005026CD" w:rsidP="005026CD">
      <w:pPr>
        <w:widowControl w:val="0"/>
        <w:jc w:val="both"/>
        <w:rPr>
          <w:sz w:val="19"/>
          <w:szCs w:val="19"/>
          <w:lang w:val="fr-CA"/>
        </w:rPr>
      </w:pPr>
    </w:p>
    <w:p w:rsidR="005026CD" w:rsidRPr="005026CD" w:rsidRDefault="005026CD" w:rsidP="005026CD">
      <w:pPr>
        <w:jc w:val="both"/>
        <w:rPr>
          <w:sz w:val="19"/>
          <w:szCs w:val="19"/>
          <w:lang w:val="fr-FR"/>
        </w:rPr>
      </w:pPr>
      <w:r w:rsidRPr="005026CD">
        <w:rPr>
          <w:sz w:val="19"/>
          <w:szCs w:val="19"/>
          <w:lang w:val="fr-FR"/>
        </w:rPr>
        <w:t xml:space="preserve">Charte des droits - Droit constitutionnel - Droit à l’instruction dans la langue de la minorité - Établissement d’enseignement de langue française en milieu minoritaire - Égalité réelle - Comment un tribunal doit-il aborder l’évaluation de l’équivalence véritable des installations scolaires d’une école de langue française minoritaire aux installations scolaires de langue anglaise majoritaires, aux fins de déterminer si les installations scolaires de l’école de langue française respectent les exigences de l’article 23 de la </w:t>
      </w:r>
      <w:r w:rsidRPr="005026CD">
        <w:rPr>
          <w:i/>
          <w:sz w:val="19"/>
          <w:szCs w:val="19"/>
          <w:lang w:val="fr-FR"/>
        </w:rPr>
        <w:t>Charte</w:t>
      </w:r>
      <w:r w:rsidRPr="005026CD">
        <w:rPr>
          <w:sz w:val="19"/>
          <w:szCs w:val="19"/>
          <w:lang w:val="fr-FR"/>
        </w:rPr>
        <w:t xml:space="preserve">? - À quelle étape de l’analyse les ressources financières de la province sont-elles pertinentes? - En plus d’établir que les nombres justifient des établissements d’enseignement, est-il nécessaire pour les parents titulaires de démontrer qu’il soit « pratiquement faisable » de fournir des établissements équivalents à ceux offerts à la majorité linguistique et d’établir en preuve la ou les parts de responsabilité de la province et/ou du conseil scolaire pour une violation de l’art. 23? - Quel rôle joue le pouvoir de gestion et de contrôle exercé par un conseil scolaire dans l’analyse de l’équivalence véritable des installations scolaires? - </w:t>
      </w:r>
      <w:r w:rsidRPr="005026CD">
        <w:rPr>
          <w:i/>
          <w:sz w:val="19"/>
          <w:szCs w:val="19"/>
          <w:lang w:val="fr-FR"/>
        </w:rPr>
        <w:t>Charte canadienne des droits et libertés</w:t>
      </w:r>
      <w:r w:rsidRPr="005026CD">
        <w:rPr>
          <w:sz w:val="19"/>
          <w:szCs w:val="19"/>
          <w:lang w:val="fr-FR"/>
        </w:rPr>
        <w:t>, art. 23.</w:t>
      </w:r>
    </w:p>
    <w:p w:rsidR="005026CD" w:rsidRPr="005026CD" w:rsidRDefault="005026CD" w:rsidP="005026CD">
      <w:pPr>
        <w:widowControl w:val="0"/>
        <w:jc w:val="both"/>
        <w:rPr>
          <w:sz w:val="19"/>
          <w:szCs w:val="19"/>
          <w:lang w:val="fr-FR"/>
        </w:rPr>
      </w:pPr>
    </w:p>
    <w:p w:rsidR="005026CD" w:rsidRPr="005026CD" w:rsidRDefault="005026CD" w:rsidP="005026CD">
      <w:pPr>
        <w:jc w:val="both"/>
        <w:rPr>
          <w:sz w:val="19"/>
          <w:szCs w:val="19"/>
          <w:lang w:val="fr-FR"/>
        </w:rPr>
      </w:pPr>
      <w:r w:rsidRPr="005026CD">
        <w:rPr>
          <w:sz w:val="19"/>
          <w:szCs w:val="19"/>
          <w:lang w:val="fr-FR"/>
        </w:rPr>
        <w:t>L’École Rose-des-Vents est une école élémentaire de langue française qui fut établie à Vancouver en 2001 et qui accueille environ 350 élèves.  Il s’agit de la seule école élémentaire francophone desservant la population habitant à l’ouest de la rue Main.  Depuis de nombreuses années, les parents d’élèves fréquentant l’école réclament un établissement scolaire de qualité équivalente aux établissements scolaires dont dispose la majorité anglophone de la même zone scolaire.</w:t>
      </w:r>
    </w:p>
    <w:p w:rsidR="005026CD" w:rsidRPr="005026CD" w:rsidRDefault="005026CD" w:rsidP="005026CD">
      <w:pPr>
        <w:rPr>
          <w:sz w:val="19"/>
          <w:szCs w:val="19"/>
          <w:lang w:val="fr-FR"/>
        </w:rPr>
      </w:pPr>
    </w:p>
    <w:p w:rsidR="005026CD" w:rsidRPr="005026CD" w:rsidRDefault="005026CD" w:rsidP="005026CD">
      <w:pPr>
        <w:jc w:val="both"/>
        <w:rPr>
          <w:sz w:val="19"/>
          <w:szCs w:val="19"/>
          <w:lang w:val="fr-FR"/>
        </w:rPr>
      </w:pPr>
      <w:r w:rsidRPr="005026CD">
        <w:rPr>
          <w:sz w:val="19"/>
          <w:szCs w:val="19"/>
          <w:lang w:val="fr-FR"/>
        </w:rPr>
        <w:t xml:space="preserve">En 2010, un regroupement de parents dont les enfants fréquentaient l’École ont présenté une requête en Cour suprême de la Colombie-Britannique cherchant à obtenir une déclaration que leurs droits garantis par l’article 23 de la </w:t>
      </w:r>
      <w:r w:rsidRPr="005026CD">
        <w:rPr>
          <w:i/>
          <w:sz w:val="19"/>
          <w:szCs w:val="19"/>
          <w:lang w:val="fr-FR"/>
        </w:rPr>
        <w:t>Charte</w:t>
      </w:r>
      <w:r w:rsidRPr="005026CD">
        <w:rPr>
          <w:sz w:val="19"/>
          <w:szCs w:val="19"/>
          <w:lang w:val="fr-FR"/>
        </w:rPr>
        <w:t xml:space="preserve"> avaient été enfreints dans la mesure que les installations scolaires dont ils bénéficient ne rencontrent pas les normes prévues par cette disposition constitutionnelle.  Selon ces parents, l’École Rose-des-Vents est surpeuplée, moins facilement accessible que les écoles de langue anglaise de la région et ses installations de piètre qualité.  La requête déposée par ces parents nommait le ministère de l’Éducation de la province de la Colombie-Britannique et le Conseil scolaire francophone de la Colombie-Britannique à titre de défendeurs. </w:t>
      </w:r>
    </w:p>
    <w:p w:rsidR="005026CD" w:rsidRPr="005026CD" w:rsidRDefault="005026CD" w:rsidP="005026CD">
      <w:pPr>
        <w:rPr>
          <w:sz w:val="19"/>
          <w:szCs w:val="19"/>
          <w:lang w:val="fr-FR"/>
        </w:rPr>
      </w:pPr>
    </w:p>
    <w:p w:rsidR="005026CD" w:rsidRPr="005026CD" w:rsidRDefault="005026CD" w:rsidP="005026CD">
      <w:pPr>
        <w:jc w:val="both"/>
        <w:rPr>
          <w:sz w:val="19"/>
          <w:szCs w:val="19"/>
          <w:lang w:val="fr-FR"/>
        </w:rPr>
      </w:pPr>
      <w:r w:rsidRPr="005026CD">
        <w:rPr>
          <w:sz w:val="19"/>
          <w:szCs w:val="19"/>
          <w:lang w:val="fr-FR"/>
        </w:rPr>
        <w:t xml:space="preserve">Un juge, siégeant en tant que juge de gestion d’instance, a ordonné que l’audition de la requête ait lieu en trois phases, la première consistant à déterminer si les installations à l’École Rose-des-Vents et le transport scolaire dont bénéficient les enfants des membres du regroupement de parents sont équivalents aux installations et transport scolaire dont disposent les élèves fréquentant des écoles de langue anglaise se trouvant dans une situation analogue.  Ce même juge a ordonné que soient rayés de la réponse du procureur général de la Colombie-Britannique certains paragraphes qu’il jugea non pertinents à cette phase du litige.  À la clôture de la première phase des procédures, une déclaration fut émise à l’effet que parents ayants droit habitant à l’ouest de la rue Main à Vancouver n’ont pas accès aux établissements scolaires de langue française que leur garanti l’art. 23 de la </w:t>
      </w:r>
      <w:r w:rsidRPr="005026CD">
        <w:rPr>
          <w:i/>
          <w:sz w:val="19"/>
          <w:szCs w:val="19"/>
          <w:lang w:val="fr-FR"/>
        </w:rPr>
        <w:t xml:space="preserve">Charte.  </w:t>
      </w:r>
      <w:r w:rsidRPr="005026CD">
        <w:rPr>
          <w:sz w:val="19"/>
          <w:szCs w:val="19"/>
          <w:lang w:val="fr-FR"/>
        </w:rPr>
        <w:t xml:space="preserve">La Cour d’appel a accueilli l’appel logé par la province et a infirmé à la fois la déclaration relativement à l’art. 23 de la </w:t>
      </w:r>
      <w:r w:rsidRPr="005026CD">
        <w:rPr>
          <w:i/>
          <w:sz w:val="19"/>
          <w:szCs w:val="19"/>
          <w:lang w:val="fr-FR"/>
        </w:rPr>
        <w:t>Charte</w:t>
      </w:r>
      <w:r w:rsidRPr="005026CD">
        <w:rPr>
          <w:sz w:val="19"/>
          <w:szCs w:val="19"/>
          <w:lang w:val="fr-FR"/>
        </w:rPr>
        <w:t xml:space="preserve"> et l’ordonnance ayant radiée des paragraphes de la réponse du procureur général.</w:t>
      </w:r>
    </w:p>
    <w:p w:rsidR="005026CD" w:rsidRPr="005026CD" w:rsidRDefault="005026CD" w:rsidP="005026CD">
      <w:pPr>
        <w:widowControl w:val="0"/>
        <w:jc w:val="both"/>
        <w:rPr>
          <w:sz w:val="19"/>
          <w:szCs w:val="19"/>
          <w:lang w:val="fr-FR"/>
        </w:rPr>
      </w:pPr>
    </w:p>
    <w:p w:rsidR="005026CD" w:rsidRPr="005026CD" w:rsidRDefault="005026CD" w:rsidP="005026CD">
      <w:pPr>
        <w:widowControl w:val="0"/>
        <w:jc w:val="both"/>
        <w:rPr>
          <w:sz w:val="19"/>
          <w:szCs w:val="19"/>
          <w:lang w:val="fr-FR"/>
        </w:rPr>
      </w:pPr>
    </w:p>
    <w:p w:rsidR="005026CD" w:rsidRPr="005026CD" w:rsidRDefault="005026CD" w:rsidP="005026CD">
      <w:pPr>
        <w:widowControl w:val="0"/>
        <w:ind w:left="2880" w:hanging="2880"/>
        <w:jc w:val="both"/>
        <w:rPr>
          <w:sz w:val="19"/>
          <w:szCs w:val="19"/>
          <w:lang w:val="fr-CA"/>
        </w:rPr>
      </w:pPr>
      <w:r w:rsidRPr="005026CD">
        <w:rPr>
          <w:sz w:val="19"/>
          <w:szCs w:val="19"/>
          <w:lang w:val="fr-CA"/>
        </w:rPr>
        <w:t>Origine:</w:t>
      </w:r>
      <w:r w:rsidRPr="005026CD">
        <w:rPr>
          <w:sz w:val="19"/>
          <w:szCs w:val="19"/>
          <w:lang w:val="fr-CA"/>
        </w:rPr>
        <w:tab/>
        <w:t>Colombie-Britannique</w:t>
      </w:r>
    </w:p>
    <w:p w:rsidR="005026CD" w:rsidRPr="005026CD" w:rsidRDefault="005026CD" w:rsidP="005026CD">
      <w:pPr>
        <w:widowControl w:val="0"/>
        <w:ind w:left="2880" w:hanging="2880"/>
        <w:jc w:val="both"/>
        <w:rPr>
          <w:sz w:val="19"/>
          <w:szCs w:val="19"/>
          <w:lang w:val="fr-CA"/>
        </w:rPr>
      </w:pPr>
    </w:p>
    <w:p w:rsidR="005026CD" w:rsidRPr="005026CD" w:rsidRDefault="005026CD" w:rsidP="005026CD">
      <w:pPr>
        <w:widowControl w:val="0"/>
        <w:ind w:left="2880" w:hanging="2880"/>
        <w:jc w:val="both"/>
        <w:rPr>
          <w:sz w:val="19"/>
          <w:szCs w:val="19"/>
          <w:lang w:val="fr-CA"/>
        </w:rPr>
      </w:pPr>
      <w:r w:rsidRPr="005026CD">
        <w:rPr>
          <w:sz w:val="19"/>
          <w:szCs w:val="19"/>
          <w:lang w:val="fr-CA"/>
        </w:rPr>
        <w:t>N</w:t>
      </w:r>
      <w:r w:rsidRPr="005026CD">
        <w:rPr>
          <w:sz w:val="19"/>
          <w:szCs w:val="19"/>
          <w:vertAlign w:val="superscript"/>
          <w:lang w:val="fr-CA"/>
        </w:rPr>
        <w:t>o</w:t>
      </w:r>
      <w:r w:rsidRPr="005026CD">
        <w:rPr>
          <w:sz w:val="19"/>
          <w:szCs w:val="19"/>
          <w:lang w:val="fr-CA"/>
        </w:rPr>
        <w:t xml:space="preserve"> du greffe:</w:t>
      </w:r>
      <w:r w:rsidRPr="005026CD">
        <w:rPr>
          <w:sz w:val="19"/>
          <w:szCs w:val="19"/>
          <w:lang w:val="fr-CA"/>
        </w:rPr>
        <w:tab/>
        <w:t>35619</w:t>
      </w:r>
    </w:p>
    <w:p w:rsidR="005026CD" w:rsidRPr="005026CD" w:rsidRDefault="005026CD" w:rsidP="005026CD">
      <w:pPr>
        <w:widowControl w:val="0"/>
        <w:ind w:left="2880" w:hanging="2880"/>
        <w:jc w:val="both"/>
        <w:rPr>
          <w:sz w:val="19"/>
          <w:szCs w:val="19"/>
          <w:lang w:val="fr-CA"/>
        </w:rPr>
      </w:pPr>
    </w:p>
    <w:p w:rsidR="005026CD" w:rsidRPr="005026CD" w:rsidRDefault="005026CD" w:rsidP="005026CD">
      <w:pPr>
        <w:ind w:left="2880" w:hanging="2880"/>
        <w:rPr>
          <w:sz w:val="19"/>
          <w:szCs w:val="19"/>
          <w:lang w:val="fr-FR"/>
        </w:rPr>
      </w:pPr>
      <w:r w:rsidRPr="005026CD">
        <w:rPr>
          <w:sz w:val="19"/>
          <w:szCs w:val="19"/>
          <w:lang w:val="fr-CA"/>
        </w:rPr>
        <w:t>Arrêt de la Cour d’appel:</w:t>
      </w:r>
      <w:r w:rsidRPr="005026CD">
        <w:rPr>
          <w:sz w:val="19"/>
          <w:szCs w:val="19"/>
          <w:lang w:val="fr-CA"/>
        </w:rPr>
        <w:tab/>
        <w:t>l</w:t>
      </w:r>
      <w:r w:rsidRPr="005026CD">
        <w:rPr>
          <w:sz w:val="19"/>
          <w:szCs w:val="19"/>
          <w:lang w:val="fr-FR"/>
        </w:rPr>
        <w:t>e 20 septembre 2013</w:t>
      </w:r>
    </w:p>
    <w:p w:rsidR="005026CD" w:rsidRPr="005026CD" w:rsidRDefault="005026CD" w:rsidP="005026CD">
      <w:pPr>
        <w:widowControl w:val="0"/>
        <w:ind w:left="2880" w:hanging="2880"/>
        <w:jc w:val="both"/>
        <w:rPr>
          <w:sz w:val="19"/>
          <w:szCs w:val="19"/>
          <w:lang w:val="fr-CA"/>
        </w:rPr>
      </w:pPr>
    </w:p>
    <w:p w:rsidR="005026CD" w:rsidRPr="005026CD" w:rsidRDefault="005026CD" w:rsidP="005026CD">
      <w:pPr>
        <w:widowControl w:val="0"/>
        <w:ind w:left="2880" w:hanging="2880"/>
        <w:jc w:val="both"/>
        <w:rPr>
          <w:sz w:val="19"/>
          <w:szCs w:val="19"/>
          <w:lang w:val="fr-CA"/>
        </w:rPr>
      </w:pPr>
      <w:r w:rsidRPr="005026CD">
        <w:rPr>
          <w:sz w:val="19"/>
          <w:szCs w:val="19"/>
          <w:lang w:val="fr-CA"/>
        </w:rPr>
        <w:t>Avocats:</w:t>
      </w:r>
      <w:r w:rsidRPr="005026CD">
        <w:rPr>
          <w:sz w:val="19"/>
          <w:szCs w:val="19"/>
          <w:lang w:val="fr-CA"/>
        </w:rPr>
        <w:tab/>
        <w:t xml:space="preserve">Nicholas M. Rouleau pour les appelants Association des parents de l’École Rose-des-Vents et Joseph Pagé et autres </w:t>
      </w:r>
    </w:p>
    <w:p w:rsidR="005026CD" w:rsidRPr="005026CD" w:rsidRDefault="005026CD" w:rsidP="005026CD">
      <w:pPr>
        <w:widowControl w:val="0"/>
        <w:ind w:left="2880" w:hanging="2880"/>
        <w:jc w:val="both"/>
        <w:rPr>
          <w:sz w:val="19"/>
          <w:szCs w:val="19"/>
          <w:lang w:val="fr-CA"/>
        </w:rPr>
      </w:pPr>
      <w:r w:rsidRPr="005026CD">
        <w:rPr>
          <w:sz w:val="19"/>
          <w:szCs w:val="19"/>
          <w:lang w:val="fr-CA"/>
        </w:rPr>
        <w:tab/>
        <w:t>Mark C. Power, Jean-Pierre Hachey, David P. Taylor et Robert W. Grant, c.r., pour l’appelant Conseil scolaire francophone de la Colombie-Britannique</w:t>
      </w:r>
    </w:p>
    <w:p w:rsidR="005026CD" w:rsidRDefault="005026CD" w:rsidP="005026CD">
      <w:pPr>
        <w:widowControl w:val="0"/>
        <w:ind w:left="2880" w:hanging="2880"/>
        <w:jc w:val="both"/>
        <w:rPr>
          <w:sz w:val="19"/>
          <w:szCs w:val="19"/>
          <w:lang w:val="fr-CA"/>
        </w:rPr>
      </w:pPr>
      <w:r w:rsidRPr="005026CD">
        <w:rPr>
          <w:sz w:val="19"/>
          <w:szCs w:val="19"/>
          <w:lang w:val="fr-CA"/>
        </w:rPr>
        <w:tab/>
        <w:t xml:space="preserve">Warran B. Milman et Karrie Wolfe pour les </w:t>
      </w:r>
      <w:r w:rsidRPr="005026CD">
        <w:rPr>
          <w:sz w:val="19"/>
          <w:szCs w:val="19"/>
          <w:lang w:val="fr-CA"/>
        </w:rPr>
        <w:tab/>
        <w:t xml:space="preserve">intimés </w:t>
      </w:r>
      <w:r w:rsidRPr="005026CD">
        <w:rPr>
          <w:sz w:val="19"/>
          <w:szCs w:val="19"/>
          <w:lang w:val="fr-CA"/>
        </w:rPr>
        <w:tab/>
        <w:t>Ministère de l’éducation de la province de la Colombie-Britannique et le procureur général de la Colombie-Britannique</w:t>
      </w:r>
    </w:p>
    <w:p w:rsidR="005026CD" w:rsidRPr="005026CD" w:rsidRDefault="005026CD" w:rsidP="005026CD">
      <w:pPr>
        <w:widowControl w:val="0"/>
        <w:ind w:left="2880" w:hanging="2880"/>
        <w:jc w:val="both"/>
        <w:rPr>
          <w:sz w:val="19"/>
          <w:szCs w:val="19"/>
          <w:lang w:val="fr-CA"/>
        </w:rPr>
      </w:pPr>
    </w:p>
    <w:p w:rsidR="001662A9" w:rsidRDefault="00690162" w:rsidP="005026CD">
      <w:pPr>
        <w:tabs>
          <w:tab w:val="left" w:pos="-1440"/>
          <w:tab w:val="left" w:pos="-720"/>
        </w:tabs>
        <w:jc w:val="both"/>
        <w:rPr>
          <w:sz w:val="20"/>
          <w:szCs w:val="20"/>
          <w:lang w:val="fr-CA"/>
        </w:rPr>
      </w:pPr>
      <w:r>
        <w:rPr>
          <w:sz w:val="19"/>
          <w:szCs w:val="19"/>
          <w:lang w:val="fr-CA"/>
        </w:rPr>
        <w:pict>
          <v:rect id="_x0000_i1101" style="width:2in;height:1pt" o:hrpct="0" o:hralign="center" o:hrstd="t" o:hrnoshade="t" o:hr="t" fillcolor="black [3213]" stroked="f"/>
        </w:pict>
      </w:r>
      <w:r w:rsidR="001662A9">
        <w:rPr>
          <w:sz w:val="20"/>
          <w:szCs w:val="20"/>
          <w:lang w:val="fr-CA"/>
        </w:rPr>
        <w:br w:type="page"/>
      </w:r>
    </w:p>
    <w:p w:rsidR="005026CD" w:rsidRPr="005026CD" w:rsidRDefault="005026CD" w:rsidP="005026CD">
      <w:pPr>
        <w:widowControl w:val="0"/>
        <w:ind w:left="720" w:hanging="720"/>
        <w:jc w:val="both"/>
        <w:rPr>
          <w:b/>
          <w:i/>
          <w:sz w:val="18"/>
          <w:szCs w:val="18"/>
        </w:rPr>
      </w:pPr>
      <w:r w:rsidRPr="005026CD">
        <w:rPr>
          <w:b/>
          <w:sz w:val="18"/>
          <w:szCs w:val="18"/>
        </w:rPr>
        <w:lastRenderedPageBreak/>
        <w:t>35506</w:t>
      </w:r>
      <w:r w:rsidR="00D921D7" w:rsidRPr="005026CD">
        <w:rPr>
          <w:b/>
          <w:sz w:val="18"/>
          <w:szCs w:val="18"/>
        </w:rPr>
        <w:fldChar w:fldCharType="begin"/>
      </w:r>
      <w:r w:rsidRPr="005026CD">
        <w:rPr>
          <w:b/>
          <w:sz w:val="18"/>
          <w:szCs w:val="18"/>
        </w:rPr>
        <w:instrText xml:space="preserve"> SEQ CHAPTER \h \r 1</w:instrText>
      </w:r>
      <w:r w:rsidR="00D921D7" w:rsidRPr="005026CD">
        <w:rPr>
          <w:b/>
          <w:sz w:val="18"/>
          <w:szCs w:val="18"/>
        </w:rPr>
        <w:fldChar w:fldCharType="end"/>
      </w:r>
      <w:r w:rsidRPr="005026CD">
        <w:rPr>
          <w:b/>
          <w:sz w:val="18"/>
          <w:szCs w:val="18"/>
        </w:rPr>
        <w:tab/>
      </w:r>
      <w:r w:rsidRPr="005026CD">
        <w:rPr>
          <w:b/>
          <w:i/>
          <w:sz w:val="18"/>
          <w:szCs w:val="18"/>
        </w:rPr>
        <w:t>Ontario Energy Board v. Ontario Power Generation Inc., Power Workers’ Union, Canadian Union of Public Employees, Local 1000 and Society of Energy Professionals</w:t>
      </w:r>
    </w:p>
    <w:p w:rsidR="005026CD" w:rsidRPr="005026CD" w:rsidRDefault="005026CD" w:rsidP="005026CD">
      <w:pPr>
        <w:rPr>
          <w:sz w:val="18"/>
          <w:szCs w:val="18"/>
        </w:rPr>
      </w:pPr>
    </w:p>
    <w:p w:rsidR="005026CD" w:rsidRPr="005026CD" w:rsidRDefault="005026CD" w:rsidP="005026CD">
      <w:pPr>
        <w:jc w:val="both"/>
        <w:rPr>
          <w:sz w:val="18"/>
          <w:szCs w:val="18"/>
        </w:rPr>
      </w:pPr>
      <w:r w:rsidRPr="005026CD">
        <w:rPr>
          <w:sz w:val="18"/>
          <w:szCs w:val="18"/>
        </w:rPr>
        <w:t>Administrative law - Boards and tribunals - Public Utilities - Electricity - Standing - Whether reasonableness is the applicable standard of review for the Board’s decision - Whether the  board’s decision to reduce the forecast compensation costs is reasonable - Whether the Board was required to utilize the prudent investment test to assess “committed costs” - Whether the Board acted unreasonably in not utilizing the prudent investment test to assess the forecast compensation costs - Whether the Board was required to presume that forecast compensation costs arising from a collective agreement are prudent - Whether the Board used hindsight to assess the forecast compensation costs - Whether the Board required utility company to manage forecast compensation costs that it could not manage.</w:t>
      </w:r>
    </w:p>
    <w:p w:rsidR="005026CD" w:rsidRPr="005026CD" w:rsidRDefault="005026CD" w:rsidP="005026CD">
      <w:pPr>
        <w:jc w:val="both"/>
        <w:rPr>
          <w:sz w:val="18"/>
          <w:szCs w:val="18"/>
        </w:rPr>
      </w:pPr>
    </w:p>
    <w:p w:rsidR="005026CD" w:rsidRPr="005026CD" w:rsidRDefault="005026CD" w:rsidP="005026CD">
      <w:pPr>
        <w:jc w:val="both"/>
        <w:rPr>
          <w:sz w:val="18"/>
          <w:szCs w:val="18"/>
        </w:rPr>
      </w:pPr>
      <w:r w:rsidRPr="005026CD">
        <w:rPr>
          <w:sz w:val="18"/>
          <w:szCs w:val="18"/>
        </w:rPr>
        <w:t>The Respondent, Ontario Power Generation Inc. (“OPG”) is Ontario’s largest electricity generator.  Some 90 percent of OPG’s regulated workplace is unionized.  The Respondent, Power Workers’ Union (“PWU”) represents approximately two-thirds of the unionized staff.  The Respondent, Society of Energy Professionals (“the Society”) represents the remainder of its unionized workforce.  OPG entered into a collective agreement with PWU for the period April 1, 2009 to March 31, 2012 and with the Society for the period January 1, 2011 to December 31, 2011.  These agreements prescribe the compensation rates for each staff position held by its represented employees.  They also provide strict terms regulating the staff levels at OPG’s stations.  Under these agreements OPG is not free to reduce compensation rates unilaterally.  Nor can it unilaterally reduce staffing levels.</w:t>
      </w:r>
    </w:p>
    <w:p w:rsidR="005026CD" w:rsidRPr="005026CD" w:rsidRDefault="005026CD" w:rsidP="005026CD">
      <w:pPr>
        <w:jc w:val="both"/>
        <w:rPr>
          <w:sz w:val="18"/>
          <w:szCs w:val="18"/>
        </w:rPr>
      </w:pPr>
    </w:p>
    <w:p w:rsidR="005026CD" w:rsidRPr="005026CD" w:rsidRDefault="005026CD" w:rsidP="005026CD">
      <w:pPr>
        <w:jc w:val="both"/>
        <w:rPr>
          <w:sz w:val="18"/>
          <w:szCs w:val="18"/>
        </w:rPr>
      </w:pPr>
      <w:r w:rsidRPr="005026CD">
        <w:rPr>
          <w:sz w:val="18"/>
          <w:szCs w:val="18"/>
        </w:rPr>
        <w:t xml:space="preserve">On May 26, 2010, OPG filed an application seeking approval of the rates its customers must pay for its electricity.  The rates sought provide the revenue required by OPG to cover its projected costs for operating and maintaining its assets, for making new investments, and for earning a fair rate on invested capital.  The application was for the period from January 1, 2011 to December 31, 2012.  The terms of the two collective agreements cover the same period, save for nine months, in the case of the PWU contract.  </w:t>
      </w:r>
    </w:p>
    <w:p w:rsidR="005026CD" w:rsidRPr="005026CD" w:rsidRDefault="005026CD" w:rsidP="005026CD">
      <w:pPr>
        <w:jc w:val="both"/>
        <w:rPr>
          <w:sz w:val="18"/>
          <w:szCs w:val="18"/>
        </w:rPr>
      </w:pPr>
    </w:p>
    <w:p w:rsidR="005026CD" w:rsidRPr="005026CD" w:rsidRDefault="005026CD" w:rsidP="005026CD">
      <w:pPr>
        <w:jc w:val="both"/>
        <w:rPr>
          <w:sz w:val="18"/>
          <w:szCs w:val="18"/>
        </w:rPr>
      </w:pPr>
      <w:r w:rsidRPr="005026CD">
        <w:rPr>
          <w:sz w:val="18"/>
          <w:szCs w:val="18"/>
        </w:rPr>
        <w:t xml:space="preserve">OPG’s application was filed under s. 78.1 of the </w:t>
      </w:r>
      <w:r w:rsidRPr="005026CD">
        <w:rPr>
          <w:i/>
          <w:sz w:val="18"/>
          <w:szCs w:val="18"/>
        </w:rPr>
        <w:t>Ontario Energy Board Act, 1998</w:t>
      </w:r>
      <w:r w:rsidRPr="005026CD">
        <w:rPr>
          <w:sz w:val="18"/>
          <w:szCs w:val="18"/>
        </w:rPr>
        <w:t xml:space="preserve">, S.O. 1998, c. 15, sched. B (“the </w:t>
      </w:r>
      <w:r w:rsidRPr="005026CD">
        <w:rPr>
          <w:i/>
          <w:sz w:val="18"/>
          <w:szCs w:val="18"/>
        </w:rPr>
        <w:t>Act</w:t>
      </w:r>
      <w:r w:rsidRPr="005026CD">
        <w:rPr>
          <w:sz w:val="18"/>
          <w:szCs w:val="18"/>
        </w:rPr>
        <w:t>”).  It empowers the Ontario Energy Board (“OEB” or “the Board”) to fix the rates that OPG is entitled to charge its customers.  Section 78.1(5) requires that those rates be “just and reasonable”.   The OEB reduced by $145,000,000, the nuclear compensation costs applied for by OPG:  $55,000,000 for the 2011 year, and a further $90,000,000 for the 2012 year.  The OEB concluded that OPG’s compensation rates and its staffing levels were both too high.  The OEB treated both compensation rates and staffing levels as forecast costs that OPG could manage downward.  Neither was treated as committed costs.  The majority of the Divisional Court found that OEB’s decision was reasonable and should not be disturbed on appeal.  The dissenting judge concluded that the collective agreements imposed compensation costs on OPG that are committed costs.  A prudence review was therefore required to determine whether the costs are just and reasonable. The Court of Appeal concluded that the OEB acted unreasonably.  The appeal was allowed and the OEB’s decision set aside.  OPG’s application was remitted to the OEB to be heard in accordance with the principles set out in the reasons of the Court of Appeal.</w:t>
      </w:r>
    </w:p>
    <w:p w:rsidR="005026CD" w:rsidRPr="005026CD" w:rsidRDefault="005026CD" w:rsidP="005026CD">
      <w:pPr>
        <w:widowControl w:val="0"/>
        <w:jc w:val="both"/>
        <w:rPr>
          <w:sz w:val="18"/>
          <w:szCs w:val="18"/>
        </w:rPr>
      </w:pPr>
    </w:p>
    <w:p w:rsidR="005026CD" w:rsidRPr="005026CD" w:rsidRDefault="005026CD" w:rsidP="005026CD">
      <w:pPr>
        <w:widowControl w:val="0"/>
        <w:jc w:val="both"/>
        <w:rPr>
          <w:sz w:val="18"/>
          <w:szCs w:val="18"/>
        </w:rPr>
      </w:pPr>
    </w:p>
    <w:p w:rsidR="005026CD" w:rsidRPr="005026CD" w:rsidRDefault="005026CD" w:rsidP="005026CD">
      <w:pPr>
        <w:widowControl w:val="0"/>
        <w:ind w:left="2880" w:hanging="2880"/>
        <w:jc w:val="both"/>
        <w:rPr>
          <w:sz w:val="18"/>
          <w:szCs w:val="18"/>
        </w:rPr>
      </w:pPr>
      <w:r w:rsidRPr="005026CD">
        <w:rPr>
          <w:sz w:val="18"/>
          <w:szCs w:val="18"/>
        </w:rPr>
        <w:t>Origin of the case:</w:t>
      </w:r>
      <w:r w:rsidRPr="005026CD">
        <w:rPr>
          <w:sz w:val="18"/>
          <w:szCs w:val="18"/>
        </w:rPr>
        <w:tab/>
        <w:t>Ontario</w:t>
      </w:r>
    </w:p>
    <w:p w:rsidR="005026CD" w:rsidRPr="005026CD" w:rsidRDefault="005026CD" w:rsidP="005026CD">
      <w:pPr>
        <w:widowControl w:val="0"/>
        <w:ind w:left="2880" w:hanging="2880"/>
        <w:jc w:val="both"/>
        <w:rPr>
          <w:sz w:val="18"/>
          <w:szCs w:val="18"/>
        </w:rPr>
      </w:pPr>
    </w:p>
    <w:p w:rsidR="005026CD" w:rsidRPr="005026CD" w:rsidRDefault="005026CD" w:rsidP="005026CD">
      <w:pPr>
        <w:widowControl w:val="0"/>
        <w:ind w:left="2880" w:hanging="2880"/>
        <w:jc w:val="both"/>
        <w:rPr>
          <w:sz w:val="18"/>
          <w:szCs w:val="18"/>
        </w:rPr>
      </w:pPr>
      <w:r w:rsidRPr="005026CD">
        <w:rPr>
          <w:sz w:val="18"/>
          <w:szCs w:val="18"/>
        </w:rPr>
        <w:t>File No.:</w:t>
      </w:r>
      <w:r w:rsidRPr="005026CD">
        <w:rPr>
          <w:sz w:val="18"/>
          <w:szCs w:val="18"/>
        </w:rPr>
        <w:tab/>
        <w:t>35506</w:t>
      </w:r>
    </w:p>
    <w:p w:rsidR="005026CD" w:rsidRPr="005026CD" w:rsidRDefault="005026CD" w:rsidP="005026CD">
      <w:pPr>
        <w:widowControl w:val="0"/>
        <w:ind w:left="2880" w:hanging="2880"/>
        <w:jc w:val="both"/>
        <w:rPr>
          <w:sz w:val="18"/>
          <w:szCs w:val="18"/>
        </w:rPr>
      </w:pPr>
    </w:p>
    <w:p w:rsidR="005026CD" w:rsidRPr="005026CD" w:rsidRDefault="005026CD" w:rsidP="005026CD">
      <w:pPr>
        <w:widowControl w:val="0"/>
        <w:ind w:left="2880" w:hanging="2880"/>
        <w:jc w:val="both"/>
        <w:rPr>
          <w:sz w:val="18"/>
          <w:szCs w:val="18"/>
        </w:rPr>
      </w:pPr>
      <w:r w:rsidRPr="005026CD">
        <w:rPr>
          <w:sz w:val="18"/>
          <w:szCs w:val="18"/>
        </w:rPr>
        <w:t>Judgment of the Court of Appeal:</w:t>
      </w:r>
      <w:r w:rsidRPr="005026CD">
        <w:rPr>
          <w:sz w:val="18"/>
          <w:szCs w:val="18"/>
        </w:rPr>
        <w:tab/>
        <w:t>June 4, 2013</w:t>
      </w:r>
    </w:p>
    <w:p w:rsidR="005026CD" w:rsidRPr="005026CD" w:rsidRDefault="005026CD" w:rsidP="005026CD">
      <w:pPr>
        <w:widowControl w:val="0"/>
        <w:ind w:left="2880" w:hanging="2880"/>
        <w:jc w:val="both"/>
        <w:rPr>
          <w:sz w:val="18"/>
          <w:szCs w:val="18"/>
        </w:rPr>
      </w:pPr>
    </w:p>
    <w:p w:rsidR="005026CD" w:rsidRPr="005026CD" w:rsidRDefault="005026CD" w:rsidP="005026CD">
      <w:pPr>
        <w:widowControl w:val="0"/>
        <w:ind w:left="2880" w:hanging="2880"/>
        <w:jc w:val="both"/>
        <w:rPr>
          <w:sz w:val="18"/>
          <w:szCs w:val="18"/>
        </w:rPr>
      </w:pPr>
      <w:r w:rsidRPr="005026CD">
        <w:rPr>
          <w:sz w:val="18"/>
          <w:szCs w:val="18"/>
        </w:rPr>
        <w:t>Counsel:</w:t>
      </w:r>
      <w:r w:rsidRPr="005026CD">
        <w:rPr>
          <w:sz w:val="18"/>
          <w:szCs w:val="18"/>
        </w:rPr>
        <w:tab/>
        <w:t>Glenn Zacher and Patrick G. Duffy for the Appellant</w:t>
      </w:r>
    </w:p>
    <w:p w:rsidR="005026CD" w:rsidRPr="005026CD" w:rsidRDefault="005026CD" w:rsidP="005026CD">
      <w:pPr>
        <w:widowControl w:val="0"/>
        <w:ind w:left="2880" w:hanging="2880"/>
        <w:jc w:val="both"/>
        <w:rPr>
          <w:sz w:val="18"/>
          <w:szCs w:val="18"/>
        </w:rPr>
      </w:pPr>
      <w:r w:rsidRPr="005026CD">
        <w:rPr>
          <w:sz w:val="18"/>
          <w:szCs w:val="18"/>
        </w:rPr>
        <w:tab/>
        <w:t>John B. Laskin and Crawford Smith for the Respondent Ontario Power Generation</w:t>
      </w:r>
    </w:p>
    <w:p w:rsidR="005026CD" w:rsidRPr="005026CD" w:rsidRDefault="005026CD" w:rsidP="005026CD">
      <w:pPr>
        <w:widowControl w:val="0"/>
        <w:ind w:left="2880" w:hanging="2880"/>
        <w:jc w:val="both"/>
        <w:rPr>
          <w:sz w:val="18"/>
          <w:szCs w:val="18"/>
        </w:rPr>
      </w:pPr>
      <w:r w:rsidRPr="005026CD">
        <w:rPr>
          <w:sz w:val="18"/>
          <w:szCs w:val="18"/>
        </w:rPr>
        <w:tab/>
        <w:t>Richard Stephenson and Emily Lawrence for the Respondent Power Workers’ Union, Canadian Union of Public Employees, Local 1000</w:t>
      </w:r>
    </w:p>
    <w:p w:rsidR="005026CD" w:rsidRPr="005026CD" w:rsidRDefault="005026CD" w:rsidP="005026CD">
      <w:pPr>
        <w:widowControl w:val="0"/>
        <w:ind w:left="2880" w:hanging="2880"/>
        <w:jc w:val="both"/>
        <w:rPr>
          <w:sz w:val="18"/>
          <w:szCs w:val="18"/>
        </w:rPr>
      </w:pPr>
      <w:r w:rsidRPr="005026CD">
        <w:rPr>
          <w:sz w:val="18"/>
          <w:szCs w:val="18"/>
        </w:rPr>
        <w:tab/>
        <w:t>Paul Cavalluzzo and Amanda Darrach for the Respondent Society of Energy Professionals</w:t>
      </w:r>
    </w:p>
    <w:p w:rsidR="005026CD" w:rsidRPr="005026CD" w:rsidRDefault="005026CD" w:rsidP="005026CD">
      <w:pPr>
        <w:widowControl w:val="0"/>
        <w:ind w:left="2880" w:hanging="2880"/>
        <w:jc w:val="both"/>
        <w:rPr>
          <w:sz w:val="18"/>
          <w:szCs w:val="18"/>
        </w:rPr>
      </w:pPr>
      <w:r w:rsidRPr="005026CD">
        <w:rPr>
          <w:sz w:val="18"/>
          <w:szCs w:val="18"/>
        </w:rPr>
        <w:tab/>
        <w:t>Mark Rubenstein for the Intervener Ontario Education Services Corporation</w:t>
      </w:r>
    </w:p>
    <w:p w:rsidR="005026CD" w:rsidRPr="005026CD" w:rsidRDefault="005026CD" w:rsidP="005026CD">
      <w:pPr>
        <w:widowControl w:val="0"/>
        <w:ind w:left="2880" w:hanging="2880"/>
        <w:jc w:val="both"/>
        <w:rPr>
          <w:sz w:val="18"/>
          <w:szCs w:val="18"/>
        </w:rPr>
      </w:pPr>
      <w:r w:rsidRPr="005026CD">
        <w:rPr>
          <w:sz w:val="18"/>
          <w:szCs w:val="18"/>
        </w:rPr>
        <w:tab/>
        <w:t>Robert B. Warren for the Intervener Consumers Council of Canada</w:t>
      </w:r>
    </w:p>
    <w:p w:rsidR="005026CD" w:rsidRPr="005026CD" w:rsidRDefault="005026CD" w:rsidP="005026CD">
      <w:pPr>
        <w:widowControl w:val="0"/>
        <w:ind w:left="2880" w:hanging="2880"/>
        <w:jc w:val="both"/>
        <w:rPr>
          <w:sz w:val="19"/>
          <w:szCs w:val="19"/>
        </w:rPr>
      </w:pPr>
    </w:p>
    <w:p w:rsidR="001662A9" w:rsidRPr="00DD0B49" w:rsidRDefault="00690162" w:rsidP="001662A9">
      <w:pPr>
        <w:tabs>
          <w:tab w:val="left" w:pos="-1440"/>
          <w:tab w:val="left" w:pos="-720"/>
        </w:tabs>
        <w:jc w:val="both"/>
        <w:rPr>
          <w:sz w:val="20"/>
          <w:szCs w:val="20"/>
          <w:lang w:val="fr-CA"/>
        </w:rPr>
      </w:pPr>
      <w:r>
        <w:rPr>
          <w:sz w:val="20"/>
          <w:szCs w:val="20"/>
          <w:lang w:val="fr-CA"/>
        </w:rPr>
        <w:pict>
          <v:rect id="_x0000_i1102" style="width:2in;height:1pt" o:hrpct="0" o:hralign="center" o:hrstd="t" o:hrnoshade="t" o:hr="t" fillcolor="black [3213]" stroked="f"/>
        </w:pict>
      </w:r>
    </w:p>
    <w:p w:rsidR="001662A9" w:rsidRDefault="001662A9">
      <w:pPr>
        <w:rPr>
          <w:sz w:val="20"/>
          <w:szCs w:val="20"/>
          <w:lang w:val="fr-CA"/>
        </w:rPr>
      </w:pPr>
      <w:r>
        <w:rPr>
          <w:sz w:val="20"/>
          <w:szCs w:val="20"/>
          <w:lang w:val="fr-CA"/>
        </w:rPr>
        <w:br w:type="page"/>
      </w:r>
    </w:p>
    <w:p w:rsidR="005026CD" w:rsidRPr="005026CD" w:rsidRDefault="005026CD" w:rsidP="005026CD">
      <w:pPr>
        <w:widowControl w:val="0"/>
        <w:ind w:left="720" w:hanging="720"/>
        <w:jc w:val="both"/>
        <w:rPr>
          <w:b/>
          <w:i/>
          <w:sz w:val="18"/>
          <w:szCs w:val="18"/>
          <w:lang w:val="fr-CA"/>
        </w:rPr>
      </w:pPr>
      <w:r w:rsidRPr="005026CD">
        <w:rPr>
          <w:b/>
          <w:sz w:val="18"/>
          <w:szCs w:val="18"/>
          <w:lang w:val="fr-CA"/>
        </w:rPr>
        <w:lastRenderedPageBreak/>
        <w:t>35506</w:t>
      </w:r>
      <w:r w:rsidR="00D921D7" w:rsidRPr="005026CD">
        <w:rPr>
          <w:sz w:val="18"/>
          <w:szCs w:val="18"/>
          <w:lang w:val="fr-CA"/>
        </w:rPr>
        <w:fldChar w:fldCharType="begin"/>
      </w:r>
      <w:r w:rsidRPr="005026CD">
        <w:rPr>
          <w:sz w:val="18"/>
          <w:szCs w:val="18"/>
          <w:lang w:val="fr-CA"/>
        </w:rPr>
        <w:instrText xml:space="preserve"> SEQ CHAPTER \h \r 1</w:instrText>
      </w:r>
      <w:r w:rsidR="00D921D7" w:rsidRPr="005026CD">
        <w:rPr>
          <w:sz w:val="18"/>
          <w:szCs w:val="18"/>
          <w:lang w:val="fr-CA"/>
        </w:rPr>
        <w:fldChar w:fldCharType="end"/>
      </w:r>
      <w:r w:rsidRPr="005026CD">
        <w:rPr>
          <w:sz w:val="18"/>
          <w:szCs w:val="18"/>
          <w:lang w:val="fr-CA"/>
        </w:rPr>
        <w:tab/>
      </w:r>
      <w:r w:rsidRPr="005026CD">
        <w:rPr>
          <w:b/>
          <w:i/>
          <w:sz w:val="18"/>
          <w:szCs w:val="18"/>
          <w:lang w:val="fr-CA"/>
        </w:rPr>
        <w:t>Commission de l'énergie de l'Ontario c. Ontario Power Generation Inc., Syndicat des travailleurs et travailleuses du secteur énergétique, Syndicat canadien de la fonction publique, section locale 1000, Society of Energy Professionals</w:t>
      </w:r>
    </w:p>
    <w:p w:rsidR="005026CD" w:rsidRPr="005026CD" w:rsidRDefault="005026CD" w:rsidP="005026CD">
      <w:pPr>
        <w:widowControl w:val="0"/>
        <w:ind w:left="720" w:hanging="720"/>
        <w:jc w:val="both"/>
        <w:rPr>
          <w:sz w:val="18"/>
          <w:szCs w:val="18"/>
          <w:lang w:val="fr-CA"/>
        </w:rPr>
      </w:pPr>
    </w:p>
    <w:p w:rsidR="005F5A7B" w:rsidRPr="007F04EB" w:rsidRDefault="005F5A7B" w:rsidP="005F5A7B">
      <w:pPr>
        <w:jc w:val="both"/>
        <w:rPr>
          <w:sz w:val="18"/>
          <w:szCs w:val="18"/>
          <w:lang w:val="fr-CA"/>
        </w:rPr>
      </w:pPr>
      <w:r w:rsidRPr="007F04EB">
        <w:rPr>
          <w:sz w:val="18"/>
          <w:szCs w:val="18"/>
          <w:lang w:val="fr-CA"/>
        </w:rPr>
        <w:t>Droit administratif - Organismes et tribunaux administratifs - Services publics - Électricité - Qualité pour agir - La norme de la décision raisonnable est-elle applicable à la décision de la Commission? - La décision de la Commission de réduire les coûts projetés de rémunération est-elle raisonnable? - La Commission était-elle obligée d’employer le critère de l’investissement prudent pour évaluer les « coûts engagés »? - La Commission a-t-elle agi déraisonnablement en n’employant pas le critère de l’investissement prudent pour évaluer les coûts projetés de rémunération? - La Commission était-elle tenue de présumer que les coûts projetés de rémunération en application d’une convention collective étaient prudents? - La Commission a-t-elle fait appel à une vision par rétrospective pour évaluer les coûts projetés de rémunération? - La Commission a-t-elle obligé l’entreprise de services publics à gérer des coûts projetés de rémunération que l’entreprise ne pouvait gérer?</w:t>
      </w:r>
    </w:p>
    <w:p w:rsidR="005F5A7B" w:rsidRPr="007F04EB" w:rsidRDefault="005F5A7B" w:rsidP="005F5A7B">
      <w:pPr>
        <w:jc w:val="both"/>
        <w:rPr>
          <w:sz w:val="18"/>
          <w:szCs w:val="18"/>
          <w:lang w:val="fr-CA"/>
        </w:rPr>
      </w:pPr>
    </w:p>
    <w:p w:rsidR="005F5A7B" w:rsidRPr="007F04EB" w:rsidRDefault="005F5A7B" w:rsidP="005F5A7B">
      <w:pPr>
        <w:jc w:val="both"/>
        <w:rPr>
          <w:sz w:val="18"/>
          <w:szCs w:val="18"/>
          <w:lang w:val="fr-CA"/>
        </w:rPr>
      </w:pPr>
      <w:r w:rsidRPr="007F04EB">
        <w:rPr>
          <w:sz w:val="18"/>
          <w:szCs w:val="18"/>
        </w:rPr>
        <w:t xml:space="preserve">L’intimée, Ontario Power Generation Inc. </w:t>
      </w:r>
      <w:r w:rsidRPr="007F04EB">
        <w:rPr>
          <w:sz w:val="18"/>
          <w:szCs w:val="18"/>
          <w:lang w:val="fr-CA"/>
        </w:rPr>
        <w:t>(« OPG ») est le plus le important producteur d’électricité de l’Ontario. Environ 90 pour cent du milieu de travail réglementé d’OPG est syndiqué.  Le Syndicat des travailleurs et travailleuses du secteur énergétique (« STTSÉ »), intimé, représente environ deux tiers des salariés syndiqués.  La Society of Energy Professionals (« la Societé »), intimée, représente le reste de la main-d’œuvre syndiquée.  OPG a conclu une convention collective avec le STTSÉ pour la période du 1</w:t>
      </w:r>
      <w:r w:rsidRPr="007F04EB">
        <w:rPr>
          <w:sz w:val="18"/>
          <w:szCs w:val="18"/>
          <w:vertAlign w:val="superscript"/>
          <w:lang w:val="fr-CA"/>
        </w:rPr>
        <w:t>er</w:t>
      </w:r>
      <w:r w:rsidRPr="007F04EB">
        <w:rPr>
          <w:sz w:val="18"/>
          <w:szCs w:val="18"/>
          <w:lang w:val="fr-CA"/>
        </w:rPr>
        <w:t> avril 2009 au 31 mars 2012 et une convention collective avec la Société pour la période du 1</w:t>
      </w:r>
      <w:r w:rsidRPr="007F04EB">
        <w:rPr>
          <w:sz w:val="18"/>
          <w:szCs w:val="18"/>
          <w:vertAlign w:val="superscript"/>
          <w:lang w:val="fr-CA"/>
        </w:rPr>
        <w:t>er</w:t>
      </w:r>
      <w:r w:rsidRPr="007F04EB">
        <w:rPr>
          <w:sz w:val="18"/>
          <w:szCs w:val="18"/>
          <w:lang w:val="fr-CA"/>
        </w:rPr>
        <w:t> janvier 2011 au 31 décembre 2011.  Ces conventions prescrivent les taux de rémunération pour chaque poste occupé par les employés représentés.  Elles prévoient également des conditions strictes réglementant les niveaux de dotation aux centrales d’OPG.  En vertu de ces conventions, il n’est pas loisible à OPG de réduire unilatéralement les taux de rémunération.  Il ne lui est pas non plus loisible de réduire unilatéralement les niveaux de dotation.</w:t>
      </w:r>
    </w:p>
    <w:p w:rsidR="005F5A7B" w:rsidRPr="007F04EB" w:rsidRDefault="005F5A7B" w:rsidP="005F5A7B">
      <w:pPr>
        <w:jc w:val="both"/>
        <w:rPr>
          <w:sz w:val="18"/>
          <w:szCs w:val="18"/>
          <w:lang w:val="fr-CA"/>
        </w:rPr>
      </w:pPr>
    </w:p>
    <w:p w:rsidR="005F5A7B" w:rsidRPr="007F04EB" w:rsidRDefault="005F5A7B" w:rsidP="005F5A7B">
      <w:pPr>
        <w:jc w:val="both"/>
        <w:rPr>
          <w:sz w:val="18"/>
          <w:szCs w:val="18"/>
          <w:lang w:val="fr-CA"/>
        </w:rPr>
      </w:pPr>
      <w:r w:rsidRPr="007F04EB">
        <w:rPr>
          <w:sz w:val="18"/>
          <w:szCs w:val="18"/>
          <w:lang w:val="fr-CA"/>
        </w:rPr>
        <w:t>Le 26 mai 2010, OPG a déposé une requête d’autorisation des tarifs que doivent payer ses clients pour son électricité.  Les tarifs demandés procurent les revenus dont OPG a besoin pour couvrir ses coûts projetés pour l’exploitation et l’entretien de ses actifs, faire de nouveaux investissements et toucher un taux juste sur le capital investi.  La requête couvrait la période du 1</w:t>
      </w:r>
      <w:r w:rsidRPr="007F04EB">
        <w:rPr>
          <w:sz w:val="18"/>
          <w:szCs w:val="18"/>
          <w:vertAlign w:val="superscript"/>
          <w:lang w:val="fr-CA"/>
        </w:rPr>
        <w:t>er</w:t>
      </w:r>
      <w:r w:rsidRPr="007F04EB">
        <w:rPr>
          <w:sz w:val="18"/>
          <w:szCs w:val="18"/>
          <w:lang w:val="fr-CA"/>
        </w:rPr>
        <w:t xml:space="preserve"> janvier 2011 au 31 décembre 2012. Les deux conventions collectives couvrent la même période, à l’exception de neuf mois dans le cas du contrat conclu avec le STTSÉ.  </w:t>
      </w:r>
    </w:p>
    <w:p w:rsidR="005F5A7B" w:rsidRPr="007F04EB" w:rsidRDefault="005F5A7B" w:rsidP="005F5A7B">
      <w:pPr>
        <w:jc w:val="both"/>
        <w:rPr>
          <w:sz w:val="18"/>
          <w:szCs w:val="18"/>
          <w:lang w:val="fr-CA"/>
        </w:rPr>
      </w:pPr>
    </w:p>
    <w:p w:rsidR="005F5A7B" w:rsidRPr="007F04EB" w:rsidRDefault="005F5A7B" w:rsidP="005F5A7B">
      <w:pPr>
        <w:jc w:val="both"/>
        <w:rPr>
          <w:sz w:val="18"/>
          <w:szCs w:val="18"/>
          <w:lang w:val="fr-CA"/>
        </w:rPr>
      </w:pPr>
      <w:r w:rsidRPr="007F04EB">
        <w:rPr>
          <w:sz w:val="18"/>
          <w:szCs w:val="18"/>
          <w:lang w:val="fr-CA"/>
        </w:rPr>
        <w:t>La requête d’OPG a été déposée en application de l’art. 78.1 de la</w:t>
      </w:r>
      <w:r w:rsidRPr="007F04EB">
        <w:rPr>
          <w:i/>
          <w:sz w:val="18"/>
          <w:szCs w:val="18"/>
          <w:lang w:val="fr-CA"/>
        </w:rPr>
        <w:t xml:space="preserve"> Loi de 1998 sur la Commission de l’énergie de l’Ontario</w:t>
      </w:r>
      <w:r w:rsidRPr="007F04EB">
        <w:rPr>
          <w:sz w:val="18"/>
          <w:szCs w:val="18"/>
          <w:lang w:val="fr-CA"/>
        </w:rPr>
        <w:t xml:space="preserve">, L.O. 1998, ch. 15, annexe B (« la </w:t>
      </w:r>
      <w:r w:rsidRPr="007F04EB">
        <w:rPr>
          <w:i/>
          <w:sz w:val="18"/>
          <w:szCs w:val="18"/>
          <w:lang w:val="fr-CA"/>
        </w:rPr>
        <w:t>Loi</w:t>
      </w:r>
      <w:r w:rsidRPr="007F04EB">
        <w:rPr>
          <w:sz w:val="18"/>
          <w:szCs w:val="18"/>
          <w:lang w:val="fr-CA"/>
        </w:rPr>
        <w:t> »).  Cette disposition autorise la Commission de l’énergie de l’Ontario (« la CÉO » ou « la Commission ») à fixer les tarifs qu’OPG a le droit de demander à ses clients.  En vertu du paragraphe 78.1(5), ces tarifs doivent à être « justes et raisonnables ».  La CÉO a réduit de 145 millions de dollars les coûts demandés par OPG au titre de la rémunération des employés de centrales nucléaires : 55 millions de dollars pour l’exercice 2011, et un montant supplémentaire de 90 millions de dollars pour l’exercice 2012.  La CÉO a conclu que les taux de rémunération d’OPG et ses niveaux de dotation étaient trop élevés.  La CÉO a traité les taux de rémunération et les niveaux de dotation comme des coûts projetés qu’OPG pouvait revoir à la baisse.  Ni l’un ni l’autre de ces postes n’a été traité comme coûts engagés.  Les juges majoritaires de la Cour divisionnaire ont conclu que les décisions de la CÉO étaient raisonnables et qu’il ne fallait pas les infirmer en appel.  La juge dissidente a conclu que les conventions collectives imposaient à OPG des coûts de rémunération et qu’il s’agissait de coûts engagés.  Un examen fondé sur le principe de la prudence était donc nécessaire pour déterminer si les coûts sont justes et raisonnables.  La Cour d’appel a conclu que la CÉO avait agi déraisonnablement.  L’appel a été accueilli et la décision de la CÉO a été annulée.  La requête d’OPG a été renvoyée à la CÉO pour que celle-ci l’entende conformément aux principes énoncés dans les motifs de la Cour d’appel.</w:t>
      </w:r>
    </w:p>
    <w:p w:rsidR="005026CD" w:rsidRPr="005026CD" w:rsidRDefault="005026CD" w:rsidP="005026CD">
      <w:pPr>
        <w:widowControl w:val="0"/>
        <w:ind w:left="1440" w:hanging="1440"/>
        <w:jc w:val="both"/>
        <w:rPr>
          <w:sz w:val="18"/>
          <w:szCs w:val="18"/>
          <w:lang w:val="fr-CA"/>
        </w:rPr>
      </w:pPr>
    </w:p>
    <w:p w:rsidR="005026CD" w:rsidRPr="005026CD" w:rsidRDefault="005026CD" w:rsidP="005026CD">
      <w:pPr>
        <w:widowControl w:val="0"/>
        <w:jc w:val="both"/>
        <w:rPr>
          <w:sz w:val="18"/>
          <w:szCs w:val="18"/>
          <w:lang w:val="fr-CA"/>
        </w:rPr>
      </w:pPr>
    </w:p>
    <w:p w:rsidR="005026CD" w:rsidRPr="005026CD" w:rsidRDefault="005026CD" w:rsidP="005026CD">
      <w:pPr>
        <w:widowControl w:val="0"/>
        <w:ind w:left="2880" w:hanging="2880"/>
        <w:jc w:val="both"/>
        <w:rPr>
          <w:sz w:val="18"/>
          <w:szCs w:val="18"/>
          <w:lang w:val="fr-CA"/>
        </w:rPr>
      </w:pPr>
      <w:r w:rsidRPr="005026CD">
        <w:rPr>
          <w:sz w:val="18"/>
          <w:szCs w:val="18"/>
          <w:lang w:val="fr-CA"/>
        </w:rPr>
        <w:t>Origine :</w:t>
      </w:r>
      <w:r w:rsidRPr="005026CD">
        <w:rPr>
          <w:sz w:val="18"/>
          <w:szCs w:val="18"/>
          <w:lang w:val="fr-CA"/>
        </w:rPr>
        <w:tab/>
        <w:t>Ontario</w:t>
      </w:r>
      <w:r w:rsidRPr="005026CD">
        <w:rPr>
          <w:sz w:val="18"/>
          <w:szCs w:val="18"/>
          <w:lang w:val="fr-CA"/>
        </w:rPr>
        <w:tab/>
      </w:r>
    </w:p>
    <w:p w:rsidR="005026CD" w:rsidRPr="005026CD" w:rsidRDefault="005026CD" w:rsidP="005026CD">
      <w:pPr>
        <w:widowControl w:val="0"/>
        <w:ind w:left="2880" w:hanging="2880"/>
        <w:jc w:val="both"/>
        <w:rPr>
          <w:sz w:val="18"/>
          <w:szCs w:val="18"/>
          <w:lang w:val="fr-CA"/>
        </w:rPr>
      </w:pPr>
    </w:p>
    <w:p w:rsidR="005026CD" w:rsidRPr="005026CD" w:rsidRDefault="005026CD" w:rsidP="005026CD">
      <w:pPr>
        <w:widowControl w:val="0"/>
        <w:ind w:left="2880" w:hanging="2880"/>
        <w:jc w:val="both"/>
        <w:rPr>
          <w:sz w:val="18"/>
          <w:szCs w:val="18"/>
          <w:lang w:val="fr-CA"/>
        </w:rPr>
      </w:pPr>
      <w:r w:rsidRPr="005026CD">
        <w:rPr>
          <w:sz w:val="18"/>
          <w:szCs w:val="18"/>
          <w:lang w:val="fr-CA"/>
        </w:rPr>
        <w:t>N</w:t>
      </w:r>
      <w:r w:rsidRPr="005026CD">
        <w:rPr>
          <w:sz w:val="18"/>
          <w:szCs w:val="18"/>
          <w:vertAlign w:val="superscript"/>
          <w:lang w:val="fr-CA"/>
        </w:rPr>
        <w:t>o</w:t>
      </w:r>
      <w:r w:rsidRPr="005026CD">
        <w:rPr>
          <w:sz w:val="18"/>
          <w:szCs w:val="18"/>
          <w:lang w:val="fr-CA"/>
        </w:rPr>
        <w:t xml:space="preserve"> du greffe :</w:t>
      </w:r>
      <w:r w:rsidRPr="005026CD">
        <w:rPr>
          <w:sz w:val="18"/>
          <w:szCs w:val="18"/>
          <w:lang w:val="fr-CA"/>
        </w:rPr>
        <w:tab/>
        <w:t>35506</w:t>
      </w:r>
    </w:p>
    <w:p w:rsidR="005026CD" w:rsidRPr="005026CD" w:rsidRDefault="005026CD" w:rsidP="005026CD">
      <w:pPr>
        <w:widowControl w:val="0"/>
        <w:ind w:left="2880" w:hanging="2880"/>
        <w:jc w:val="both"/>
        <w:rPr>
          <w:sz w:val="18"/>
          <w:szCs w:val="18"/>
          <w:lang w:val="fr-CA"/>
        </w:rPr>
      </w:pPr>
    </w:p>
    <w:p w:rsidR="005026CD" w:rsidRPr="005026CD" w:rsidRDefault="005026CD" w:rsidP="005026CD">
      <w:pPr>
        <w:widowControl w:val="0"/>
        <w:ind w:left="2880" w:hanging="2880"/>
        <w:jc w:val="both"/>
        <w:rPr>
          <w:sz w:val="18"/>
          <w:szCs w:val="18"/>
          <w:lang w:val="fr-CA"/>
        </w:rPr>
      </w:pPr>
      <w:r w:rsidRPr="005026CD">
        <w:rPr>
          <w:sz w:val="18"/>
          <w:szCs w:val="18"/>
          <w:lang w:val="fr-CA"/>
        </w:rPr>
        <w:t>Arrêt de la Cour d’appel :</w:t>
      </w:r>
      <w:r w:rsidRPr="005026CD">
        <w:rPr>
          <w:sz w:val="18"/>
          <w:szCs w:val="18"/>
          <w:lang w:val="fr-CA"/>
        </w:rPr>
        <w:tab/>
        <w:t>le 4 juin 2013</w:t>
      </w:r>
    </w:p>
    <w:p w:rsidR="005026CD" w:rsidRPr="005026CD" w:rsidRDefault="005026CD" w:rsidP="005026CD">
      <w:pPr>
        <w:widowControl w:val="0"/>
        <w:ind w:left="2880" w:hanging="2880"/>
        <w:jc w:val="both"/>
        <w:rPr>
          <w:sz w:val="18"/>
          <w:szCs w:val="18"/>
          <w:lang w:val="fr-CA"/>
        </w:rPr>
      </w:pPr>
    </w:p>
    <w:p w:rsidR="005026CD" w:rsidRPr="005026CD" w:rsidRDefault="005026CD" w:rsidP="005026CD">
      <w:pPr>
        <w:widowControl w:val="0"/>
        <w:ind w:left="2880" w:hanging="2880"/>
        <w:jc w:val="both"/>
        <w:rPr>
          <w:sz w:val="18"/>
          <w:szCs w:val="18"/>
          <w:lang w:val="fr-CA"/>
        </w:rPr>
      </w:pPr>
      <w:r w:rsidRPr="005026CD">
        <w:rPr>
          <w:sz w:val="18"/>
          <w:szCs w:val="18"/>
          <w:lang w:val="fr-CA"/>
        </w:rPr>
        <w:t>Avocats :</w:t>
      </w:r>
      <w:r w:rsidRPr="005026CD">
        <w:rPr>
          <w:sz w:val="18"/>
          <w:szCs w:val="18"/>
          <w:lang w:val="fr-CA"/>
        </w:rPr>
        <w:tab/>
        <w:t>Glenn Zacher et Patrick G. Duffy</w:t>
      </w:r>
    </w:p>
    <w:p w:rsidR="005026CD" w:rsidRPr="005026CD" w:rsidRDefault="005026CD" w:rsidP="005026CD">
      <w:pPr>
        <w:widowControl w:val="0"/>
        <w:ind w:left="2880" w:hanging="2880"/>
        <w:jc w:val="both"/>
        <w:rPr>
          <w:sz w:val="18"/>
          <w:szCs w:val="18"/>
        </w:rPr>
      </w:pPr>
      <w:r w:rsidRPr="005026CD">
        <w:rPr>
          <w:sz w:val="18"/>
          <w:szCs w:val="18"/>
          <w:lang w:val="fr-CA"/>
        </w:rPr>
        <w:tab/>
      </w:r>
      <w:r w:rsidRPr="005026CD">
        <w:rPr>
          <w:sz w:val="18"/>
          <w:szCs w:val="18"/>
        </w:rPr>
        <w:t>John B. Laskin et Crawford Smith pour l’intimée Ontario Power Generation</w:t>
      </w:r>
    </w:p>
    <w:p w:rsidR="005026CD" w:rsidRPr="005026CD" w:rsidRDefault="005026CD" w:rsidP="005026CD">
      <w:pPr>
        <w:widowControl w:val="0"/>
        <w:ind w:left="2880" w:hanging="2880"/>
        <w:jc w:val="both"/>
        <w:rPr>
          <w:sz w:val="18"/>
          <w:szCs w:val="18"/>
          <w:lang w:val="fr-CA"/>
        </w:rPr>
      </w:pPr>
      <w:r w:rsidRPr="00094F1A">
        <w:rPr>
          <w:sz w:val="18"/>
          <w:szCs w:val="18"/>
        </w:rPr>
        <w:tab/>
      </w:r>
      <w:r w:rsidRPr="005026CD">
        <w:rPr>
          <w:sz w:val="18"/>
          <w:szCs w:val="18"/>
          <w:lang w:val="fr-CA"/>
        </w:rPr>
        <w:t>Richard Stephenson et Emily Lawrence pour l’intimé Syndicat des travailleurs et travailleuses du secteur énergétique, Syndicat canadien de la fonction publique, section locale 1000</w:t>
      </w:r>
    </w:p>
    <w:p w:rsidR="005026CD" w:rsidRPr="005026CD" w:rsidRDefault="005026CD" w:rsidP="005026CD">
      <w:pPr>
        <w:widowControl w:val="0"/>
        <w:ind w:left="2880" w:hanging="2880"/>
        <w:jc w:val="both"/>
        <w:rPr>
          <w:sz w:val="18"/>
          <w:szCs w:val="18"/>
          <w:lang w:val="fr-CA"/>
        </w:rPr>
      </w:pPr>
      <w:r w:rsidRPr="005026CD">
        <w:rPr>
          <w:sz w:val="18"/>
          <w:szCs w:val="18"/>
          <w:lang w:val="fr-CA"/>
        </w:rPr>
        <w:tab/>
        <w:t>Paul Cavalluzzo et Amanda Darrach pour l’intimé Society of Energy Professionals</w:t>
      </w:r>
    </w:p>
    <w:p w:rsidR="005026CD" w:rsidRPr="005026CD" w:rsidRDefault="005026CD" w:rsidP="005026CD">
      <w:pPr>
        <w:widowControl w:val="0"/>
        <w:ind w:left="2880" w:hanging="2880"/>
        <w:jc w:val="both"/>
        <w:rPr>
          <w:sz w:val="18"/>
          <w:szCs w:val="18"/>
          <w:lang w:val="fr-CA"/>
        </w:rPr>
      </w:pPr>
      <w:r w:rsidRPr="005026CD">
        <w:rPr>
          <w:sz w:val="18"/>
          <w:szCs w:val="18"/>
          <w:lang w:val="fr-CA"/>
        </w:rPr>
        <w:tab/>
        <w:t>Mark Rubenstein pour l’intervenante La Corporation des services en éducation de l’Ontario</w:t>
      </w:r>
    </w:p>
    <w:p w:rsidR="005026CD" w:rsidRPr="005026CD" w:rsidRDefault="005026CD" w:rsidP="005026CD">
      <w:pPr>
        <w:widowControl w:val="0"/>
        <w:ind w:left="2880" w:hanging="2880"/>
        <w:jc w:val="both"/>
        <w:rPr>
          <w:sz w:val="18"/>
          <w:szCs w:val="18"/>
          <w:lang w:val="fr-CA"/>
        </w:rPr>
      </w:pPr>
      <w:r w:rsidRPr="005026CD">
        <w:rPr>
          <w:sz w:val="18"/>
          <w:szCs w:val="18"/>
          <w:lang w:val="fr-CA"/>
        </w:rPr>
        <w:tab/>
        <w:t>Robert B. Warren pour l’intervenant Conseil canadien de la consommation</w:t>
      </w:r>
    </w:p>
    <w:p w:rsidR="001662A9" w:rsidRPr="00DD0B49" w:rsidRDefault="001662A9" w:rsidP="001662A9">
      <w:pPr>
        <w:tabs>
          <w:tab w:val="left" w:pos="-1440"/>
          <w:tab w:val="left" w:pos="-720"/>
        </w:tabs>
        <w:jc w:val="both"/>
        <w:rPr>
          <w:sz w:val="20"/>
          <w:szCs w:val="20"/>
          <w:lang w:val="fr-CA"/>
        </w:rPr>
      </w:pPr>
    </w:p>
    <w:p w:rsidR="001662A9" w:rsidRPr="00DD0B49" w:rsidRDefault="00690162" w:rsidP="001662A9">
      <w:pPr>
        <w:tabs>
          <w:tab w:val="left" w:pos="-1440"/>
          <w:tab w:val="left" w:pos="-720"/>
        </w:tabs>
        <w:jc w:val="both"/>
        <w:rPr>
          <w:sz w:val="20"/>
          <w:szCs w:val="20"/>
          <w:lang w:val="fr-CA"/>
        </w:rPr>
      </w:pPr>
      <w:r>
        <w:rPr>
          <w:sz w:val="20"/>
          <w:szCs w:val="20"/>
          <w:lang w:val="fr-CA"/>
        </w:rPr>
        <w:pict>
          <v:rect id="_x0000_i1103" style="width:2in;height:1pt" o:hrpct="0" o:hralign="center" o:hrstd="t" o:hrnoshade="t" o:hr="t" fillcolor="black [3213]" stroked="f"/>
        </w:pict>
      </w:r>
    </w:p>
    <w:p w:rsidR="001662A9" w:rsidRDefault="001662A9">
      <w:pPr>
        <w:rPr>
          <w:sz w:val="20"/>
          <w:szCs w:val="20"/>
          <w:lang w:val="fr-CA"/>
        </w:rPr>
      </w:pPr>
      <w:r>
        <w:rPr>
          <w:sz w:val="20"/>
          <w:szCs w:val="20"/>
          <w:lang w:val="fr-CA"/>
        </w:rPr>
        <w:br w:type="page"/>
      </w:r>
    </w:p>
    <w:p w:rsidR="005026CD" w:rsidRPr="003B4F03" w:rsidRDefault="00D921D7" w:rsidP="005026CD">
      <w:pPr>
        <w:widowControl w:val="0"/>
        <w:ind w:left="720" w:hanging="720"/>
        <w:jc w:val="both"/>
        <w:rPr>
          <w:sz w:val="20"/>
          <w:szCs w:val="20"/>
        </w:rPr>
      </w:pPr>
      <w:r w:rsidRPr="003B4F03">
        <w:rPr>
          <w:b/>
          <w:sz w:val="20"/>
          <w:szCs w:val="20"/>
        </w:rPr>
        <w:lastRenderedPageBreak/>
        <w:fldChar w:fldCharType="begin"/>
      </w:r>
      <w:r w:rsidR="005026CD" w:rsidRPr="003B4F03">
        <w:rPr>
          <w:b/>
          <w:sz w:val="20"/>
          <w:szCs w:val="20"/>
        </w:rPr>
        <w:instrText xml:space="preserve"> SEQ CHAPTER \h \r 1</w:instrText>
      </w:r>
      <w:r w:rsidRPr="003B4F03">
        <w:rPr>
          <w:b/>
          <w:sz w:val="20"/>
          <w:szCs w:val="20"/>
        </w:rPr>
        <w:fldChar w:fldCharType="end"/>
      </w:r>
      <w:r w:rsidR="005026CD" w:rsidRPr="003B4F03">
        <w:rPr>
          <w:b/>
          <w:sz w:val="20"/>
          <w:szCs w:val="20"/>
        </w:rPr>
        <w:t>35624</w:t>
      </w:r>
      <w:r w:rsidR="005026CD" w:rsidRPr="003B4F03">
        <w:rPr>
          <w:sz w:val="20"/>
          <w:szCs w:val="20"/>
        </w:rPr>
        <w:tab/>
      </w:r>
      <w:r w:rsidR="005026CD" w:rsidRPr="003B4F03">
        <w:rPr>
          <w:b/>
          <w:i/>
          <w:sz w:val="20"/>
          <w:szCs w:val="20"/>
        </w:rPr>
        <w:t>ATCO Gas and Pipelines Ltd., ATCO Electric Ltd. v. Alberta Utilities Commission and Office of the Utilities Consumer Advocate of Alberta</w:t>
      </w:r>
    </w:p>
    <w:p w:rsidR="005026CD" w:rsidRPr="003B4F03" w:rsidRDefault="005026CD" w:rsidP="005026CD">
      <w:pPr>
        <w:widowControl w:val="0"/>
        <w:jc w:val="both"/>
        <w:rPr>
          <w:sz w:val="20"/>
          <w:szCs w:val="20"/>
        </w:rPr>
      </w:pPr>
    </w:p>
    <w:p w:rsidR="005026CD" w:rsidRPr="003B4F03" w:rsidRDefault="005026CD" w:rsidP="005026CD">
      <w:pPr>
        <w:jc w:val="both"/>
        <w:rPr>
          <w:sz w:val="20"/>
          <w:szCs w:val="20"/>
        </w:rPr>
      </w:pPr>
      <w:r w:rsidRPr="003B4F03">
        <w:rPr>
          <w:sz w:val="20"/>
          <w:szCs w:val="20"/>
        </w:rPr>
        <w:t>Administrative law - Boards and tribunals - Public utilities - Gas - Whether the Alberta Court of Appeal and the Commission erred in adopting an approach to reviewing the prudence of utility costs which failed to conduct, or to explicitly conduct, a prudence analysis - Whether the Alberta Court of Appeal and the Commission failed to consider and apply the presumption of prudence to COLA costs incurred by the ATCO Utilities - Whether the Alberta Court of Appeal and the Commission erred by assessing the COLA costs based on hindsight, including factors existing at the time of the rate application, rather than assessing such costs utilizing factors existing when the cost decision was made - Whether the Alberta Court of Appeal and the Commission conflated the tests for recovery of prudently incurred costs and the setting of just and reasonable rates by failing to assess prudence independently of the potential impact on ratepayers, or at all.</w:t>
      </w:r>
    </w:p>
    <w:p w:rsidR="005026CD" w:rsidRPr="003B4F03" w:rsidRDefault="005026CD" w:rsidP="005026CD">
      <w:pPr>
        <w:widowControl w:val="0"/>
        <w:jc w:val="both"/>
        <w:rPr>
          <w:sz w:val="20"/>
          <w:szCs w:val="20"/>
        </w:rPr>
      </w:pPr>
    </w:p>
    <w:p w:rsidR="005026CD" w:rsidRPr="003B4F03" w:rsidRDefault="005026CD" w:rsidP="005026CD">
      <w:pPr>
        <w:jc w:val="both"/>
        <w:rPr>
          <w:sz w:val="20"/>
          <w:szCs w:val="20"/>
        </w:rPr>
      </w:pPr>
      <w:r w:rsidRPr="003B4F03">
        <w:rPr>
          <w:sz w:val="20"/>
          <w:szCs w:val="20"/>
        </w:rPr>
        <w:t>ATCO Gas and Pipelines Ltd. and ATCO Electric Ltd. (“ATCO”) participate in pension plans which had accumulated an actuarial unfunded liability of $157.1 million by the end of 2009.  Each year, the Management Pension Committee decides how much of a cost of living adjustment (“COLA”) increment should be granted, having regard to the Consumer Price Index (“CPI”) for Canada, but to a maximum of 3%. The Committee, based on historical practices and on advice received from the pension fund actuary, decided that the COLA benefit should be 100% of the CPI increase, to the maximum of 3%.  ATCO applied to the Alberta Utilities Commission (the “Commission”) to include their full pension costs in their revenue requirements. The Commission reviewed other pension plans and rejected ATCO’s contention that a cost of living adjustment of 100% of CPI was an acceptable standard practice and that it was necessarily a reasonable expense for inclusion in the revenue requirement for regulated utilities.  The Commission concluded that a reduction to the cost of living adjustment in the amount of 50% of CPI up to the maximum 3% represented a reasonable level for setting the cost of living adjustment amount for the purposes of determining the pension costs for regulatory purposes for all employees.  ATCO brought an application for review and variance before the Commission which was denied.  A subsequent appeal to the Court of Appeal was dismissed.</w:t>
      </w:r>
    </w:p>
    <w:p w:rsidR="005026CD" w:rsidRPr="003B4F03" w:rsidRDefault="005026CD" w:rsidP="005026CD">
      <w:pPr>
        <w:widowControl w:val="0"/>
        <w:jc w:val="both"/>
        <w:rPr>
          <w:sz w:val="20"/>
          <w:szCs w:val="20"/>
        </w:rPr>
      </w:pPr>
    </w:p>
    <w:p w:rsidR="005026CD" w:rsidRPr="003B4F03" w:rsidRDefault="005026CD" w:rsidP="005026CD">
      <w:pPr>
        <w:widowControl w:val="0"/>
        <w:jc w:val="both"/>
        <w:rPr>
          <w:sz w:val="20"/>
          <w:szCs w:val="20"/>
        </w:rPr>
      </w:pPr>
    </w:p>
    <w:p w:rsidR="005026CD" w:rsidRPr="003B4F03" w:rsidRDefault="005026CD" w:rsidP="005026CD">
      <w:pPr>
        <w:widowControl w:val="0"/>
        <w:ind w:left="2880" w:hanging="2880"/>
        <w:jc w:val="both"/>
        <w:rPr>
          <w:sz w:val="20"/>
          <w:szCs w:val="20"/>
        </w:rPr>
      </w:pPr>
      <w:r w:rsidRPr="003B4F03">
        <w:rPr>
          <w:sz w:val="20"/>
          <w:szCs w:val="20"/>
        </w:rPr>
        <w:t>Origin of the case:</w:t>
      </w:r>
      <w:r w:rsidRPr="003B4F03">
        <w:rPr>
          <w:sz w:val="20"/>
          <w:szCs w:val="20"/>
        </w:rPr>
        <w:tab/>
        <w:t>Alberta</w:t>
      </w:r>
    </w:p>
    <w:p w:rsidR="005026CD" w:rsidRPr="003B4F03" w:rsidRDefault="005026CD" w:rsidP="005026CD">
      <w:pPr>
        <w:widowControl w:val="0"/>
        <w:ind w:left="2880" w:hanging="2880"/>
        <w:jc w:val="both"/>
        <w:rPr>
          <w:sz w:val="20"/>
          <w:szCs w:val="20"/>
        </w:rPr>
      </w:pPr>
    </w:p>
    <w:p w:rsidR="005026CD" w:rsidRPr="003B4F03" w:rsidRDefault="005026CD" w:rsidP="005026CD">
      <w:pPr>
        <w:widowControl w:val="0"/>
        <w:ind w:left="2880" w:hanging="2880"/>
        <w:jc w:val="both"/>
        <w:rPr>
          <w:sz w:val="20"/>
          <w:szCs w:val="20"/>
        </w:rPr>
      </w:pPr>
      <w:r w:rsidRPr="003B4F03">
        <w:rPr>
          <w:sz w:val="20"/>
          <w:szCs w:val="20"/>
        </w:rPr>
        <w:t>File No.:</w:t>
      </w:r>
      <w:r w:rsidRPr="003B4F03">
        <w:rPr>
          <w:sz w:val="20"/>
          <w:szCs w:val="20"/>
        </w:rPr>
        <w:tab/>
        <w:t>35624</w:t>
      </w:r>
    </w:p>
    <w:p w:rsidR="005026CD" w:rsidRPr="003B4F03" w:rsidRDefault="005026CD" w:rsidP="005026CD">
      <w:pPr>
        <w:widowControl w:val="0"/>
        <w:ind w:left="2880" w:hanging="2880"/>
        <w:jc w:val="both"/>
        <w:rPr>
          <w:sz w:val="20"/>
          <w:szCs w:val="20"/>
        </w:rPr>
      </w:pPr>
    </w:p>
    <w:p w:rsidR="005026CD" w:rsidRPr="003B4F03" w:rsidRDefault="005026CD" w:rsidP="005026CD">
      <w:pPr>
        <w:widowControl w:val="0"/>
        <w:ind w:left="2880" w:hanging="2880"/>
        <w:jc w:val="both"/>
        <w:rPr>
          <w:sz w:val="20"/>
          <w:szCs w:val="20"/>
        </w:rPr>
      </w:pPr>
      <w:r w:rsidRPr="003B4F03">
        <w:rPr>
          <w:sz w:val="20"/>
          <w:szCs w:val="20"/>
        </w:rPr>
        <w:t>Judgment of the Court of Appeal:</w:t>
      </w:r>
      <w:r w:rsidRPr="003B4F03">
        <w:rPr>
          <w:sz w:val="20"/>
          <w:szCs w:val="20"/>
        </w:rPr>
        <w:tab/>
        <w:t>September 23, 2013</w:t>
      </w:r>
    </w:p>
    <w:p w:rsidR="005026CD" w:rsidRPr="003B4F03" w:rsidRDefault="005026CD" w:rsidP="005026CD">
      <w:pPr>
        <w:widowControl w:val="0"/>
        <w:ind w:left="2880" w:hanging="2880"/>
        <w:jc w:val="both"/>
        <w:rPr>
          <w:sz w:val="20"/>
          <w:szCs w:val="20"/>
        </w:rPr>
      </w:pPr>
    </w:p>
    <w:p w:rsidR="005026CD" w:rsidRPr="003B4F03" w:rsidRDefault="005026CD" w:rsidP="005026CD">
      <w:pPr>
        <w:widowControl w:val="0"/>
        <w:ind w:left="2880" w:hanging="2880"/>
        <w:jc w:val="both"/>
        <w:rPr>
          <w:sz w:val="20"/>
          <w:szCs w:val="20"/>
        </w:rPr>
      </w:pPr>
      <w:r w:rsidRPr="003B4F03">
        <w:rPr>
          <w:sz w:val="20"/>
          <w:szCs w:val="20"/>
        </w:rPr>
        <w:t>Counsel:</w:t>
      </w:r>
      <w:r w:rsidRPr="003B4F03">
        <w:rPr>
          <w:sz w:val="20"/>
          <w:szCs w:val="20"/>
        </w:rPr>
        <w:tab/>
        <w:t>John N. Craig, Q.C., Loyola G. Keough and E. Bruce Mellett for the Appellant</w:t>
      </w:r>
    </w:p>
    <w:p w:rsidR="005026CD" w:rsidRPr="003B4F03" w:rsidRDefault="005026CD" w:rsidP="005026CD">
      <w:pPr>
        <w:widowControl w:val="0"/>
        <w:ind w:left="2880" w:hanging="2880"/>
        <w:jc w:val="both"/>
        <w:rPr>
          <w:sz w:val="20"/>
          <w:szCs w:val="20"/>
        </w:rPr>
      </w:pPr>
      <w:r>
        <w:rPr>
          <w:sz w:val="20"/>
          <w:szCs w:val="20"/>
        </w:rPr>
        <w:tab/>
      </w:r>
      <w:r w:rsidRPr="003B4F03">
        <w:rPr>
          <w:sz w:val="20"/>
          <w:szCs w:val="20"/>
        </w:rPr>
        <w:t xml:space="preserve">Catherine Wall for the Respondent Alberta Utilities Commission </w:t>
      </w:r>
    </w:p>
    <w:p w:rsidR="005026CD" w:rsidRPr="003B4F03" w:rsidRDefault="005026CD" w:rsidP="005026CD">
      <w:pPr>
        <w:widowControl w:val="0"/>
        <w:ind w:left="2880" w:hanging="2880"/>
        <w:jc w:val="both"/>
        <w:rPr>
          <w:sz w:val="20"/>
          <w:szCs w:val="20"/>
        </w:rPr>
      </w:pPr>
      <w:r>
        <w:rPr>
          <w:sz w:val="20"/>
          <w:szCs w:val="20"/>
        </w:rPr>
        <w:tab/>
      </w:r>
      <w:r w:rsidRPr="003B4F03">
        <w:rPr>
          <w:sz w:val="20"/>
          <w:szCs w:val="20"/>
        </w:rPr>
        <w:t>Todd A. Shipley and C. Randall McCreary for the Respondent Office of the Utilities Consumer Advocate of Alberta</w:t>
      </w:r>
    </w:p>
    <w:p w:rsidR="001662A9" w:rsidRPr="005026CD" w:rsidRDefault="001662A9" w:rsidP="001662A9">
      <w:pPr>
        <w:tabs>
          <w:tab w:val="left" w:pos="-1440"/>
          <w:tab w:val="left" w:pos="-720"/>
        </w:tabs>
        <w:jc w:val="both"/>
        <w:rPr>
          <w:sz w:val="20"/>
          <w:szCs w:val="20"/>
        </w:rPr>
      </w:pPr>
    </w:p>
    <w:p w:rsidR="001662A9" w:rsidRPr="00DD0B49" w:rsidRDefault="00690162" w:rsidP="001662A9">
      <w:pPr>
        <w:tabs>
          <w:tab w:val="left" w:pos="-1440"/>
          <w:tab w:val="left" w:pos="-720"/>
        </w:tabs>
        <w:jc w:val="both"/>
        <w:rPr>
          <w:sz w:val="20"/>
          <w:szCs w:val="20"/>
          <w:lang w:val="fr-CA"/>
        </w:rPr>
      </w:pPr>
      <w:r>
        <w:rPr>
          <w:sz w:val="20"/>
          <w:szCs w:val="20"/>
          <w:lang w:val="fr-CA"/>
        </w:rPr>
        <w:pict>
          <v:rect id="_x0000_i1104" style="width:2in;height:1pt" o:hrpct="0" o:hralign="center" o:hrstd="t" o:hrnoshade="t" o:hr="t" fillcolor="black [3213]" stroked="f"/>
        </w:pict>
      </w:r>
    </w:p>
    <w:p w:rsidR="001662A9" w:rsidRDefault="001662A9">
      <w:pPr>
        <w:rPr>
          <w:sz w:val="20"/>
          <w:szCs w:val="20"/>
          <w:lang w:val="fr-CA"/>
        </w:rPr>
      </w:pPr>
      <w:r>
        <w:rPr>
          <w:sz w:val="20"/>
          <w:szCs w:val="20"/>
          <w:lang w:val="fr-CA"/>
        </w:rPr>
        <w:br w:type="page"/>
      </w:r>
    </w:p>
    <w:p w:rsidR="005026CD" w:rsidRPr="00F37E23" w:rsidRDefault="00D921D7" w:rsidP="005026CD">
      <w:pPr>
        <w:widowControl w:val="0"/>
        <w:ind w:left="720" w:hanging="720"/>
        <w:jc w:val="both"/>
        <w:rPr>
          <w:sz w:val="20"/>
          <w:szCs w:val="20"/>
        </w:rPr>
      </w:pPr>
      <w:r w:rsidRPr="00F37E23">
        <w:rPr>
          <w:b/>
          <w:sz w:val="20"/>
          <w:szCs w:val="20"/>
          <w:lang w:val="fr-CA"/>
        </w:rPr>
        <w:lastRenderedPageBreak/>
        <w:fldChar w:fldCharType="begin"/>
      </w:r>
      <w:r w:rsidR="005026CD" w:rsidRPr="00F37E23">
        <w:rPr>
          <w:b/>
          <w:sz w:val="20"/>
          <w:szCs w:val="20"/>
        </w:rPr>
        <w:instrText xml:space="preserve"> SEQ CHAPTER \h \r 1</w:instrText>
      </w:r>
      <w:r w:rsidRPr="00F37E23">
        <w:rPr>
          <w:b/>
          <w:sz w:val="20"/>
          <w:szCs w:val="20"/>
          <w:lang w:val="fr-CA"/>
        </w:rPr>
        <w:fldChar w:fldCharType="end"/>
      </w:r>
      <w:r w:rsidR="005026CD" w:rsidRPr="00F37E23">
        <w:rPr>
          <w:b/>
          <w:sz w:val="20"/>
          <w:szCs w:val="20"/>
        </w:rPr>
        <w:t>35624</w:t>
      </w:r>
      <w:r w:rsidR="005026CD" w:rsidRPr="00F37E23">
        <w:rPr>
          <w:sz w:val="20"/>
          <w:szCs w:val="20"/>
        </w:rPr>
        <w:tab/>
      </w:r>
      <w:r w:rsidR="005026CD" w:rsidRPr="00F37E23">
        <w:rPr>
          <w:b/>
          <w:i/>
          <w:sz w:val="20"/>
          <w:szCs w:val="20"/>
        </w:rPr>
        <w:t>ATCO Gas and Pipelines Ltd., ATCO Electric Ltd. c. Alberta Utilities Commission et Office of the Utilities Consumer Advocate of Alberta</w:t>
      </w:r>
    </w:p>
    <w:p w:rsidR="005026CD" w:rsidRPr="00F37E23" w:rsidRDefault="005026CD" w:rsidP="005026CD">
      <w:pPr>
        <w:widowControl w:val="0"/>
        <w:jc w:val="both"/>
        <w:rPr>
          <w:sz w:val="20"/>
          <w:szCs w:val="20"/>
        </w:rPr>
      </w:pPr>
    </w:p>
    <w:p w:rsidR="005026CD" w:rsidRPr="00F37E23" w:rsidRDefault="005026CD" w:rsidP="005026CD">
      <w:pPr>
        <w:jc w:val="both"/>
        <w:rPr>
          <w:sz w:val="20"/>
          <w:szCs w:val="20"/>
          <w:lang w:val="fr-CA"/>
        </w:rPr>
      </w:pPr>
      <w:r w:rsidRPr="00F37E23">
        <w:rPr>
          <w:sz w:val="20"/>
          <w:szCs w:val="20"/>
          <w:lang w:val="fr-CA"/>
        </w:rPr>
        <w:t>Droit administratif - Organismes et tribunaux administratifs - Services publics - Gaz - La Cour d’appel de l’Alberta et la Commission ont-elles eu tort d’adopter une méthode d’examen de la prudence des coûts de services publics sans effectuer, explicitement ou autrement, une analyse de la prudence? - La Cour d’appel de l’Alberta et la Commission ont-elles omis de prendre en compte et d’appliquer la présomption de prudence aux charges au titre de l’ajustement au coût de la vie engagées par les entreprises de services publics ATCO? - La Cour d’appel de l’Alberta et la Commission ont-elles eu tort d’évaluer les charges au titre de l’ajustement au coût de la vie en se fondant sur une vision par rétrospective, notamment en s’appuyant sur des facteurs qui existaient au moment de la demande d’approbation de tarifs, plutôt que d’apprécier ces charges en s’appuyant sur des facteurs qui existaient au moment où la décision quant à la charge a été prise? - La Cour d’appel de l’Alberta et la Commission ont-elles confondu les critères de récupération de charges prudemment engagées et l’établissement de tarifs justes et raisonnables en ayant omis d’apprécier la prudence indépendamment de l’impact potentiel sur les clients, ni même du tout?</w:t>
      </w:r>
    </w:p>
    <w:p w:rsidR="005026CD" w:rsidRPr="00F37E23" w:rsidRDefault="005026CD" w:rsidP="005026CD">
      <w:pPr>
        <w:widowControl w:val="0"/>
        <w:jc w:val="both"/>
        <w:rPr>
          <w:sz w:val="20"/>
          <w:szCs w:val="20"/>
          <w:lang w:val="fr-CA"/>
        </w:rPr>
      </w:pPr>
    </w:p>
    <w:p w:rsidR="005026CD" w:rsidRPr="00F37E23" w:rsidRDefault="005026CD" w:rsidP="005026CD">
      <w:pPr>
        <w:jc w:val="both"/>
        <w:rPr>
          <w:sz w:val="20"/>
          <w:szCs w:val="20"/>
          <w:lang w:val="fr-CA"/>
        </w:rPr>
      </w:pPr>
      <w:r w:rsidRPr="00F37E23">
        <w:rPr>
          <w:sz w:val="20"/>
          <w:szCs w:val="20"/>
        </w:rPr>
        <w:t xml:space="preserve">ATCO Gas and Pipelines Ltd. et ATCO Electric Ltd. </w:t>
      </w:r>
      <w:r w:rsidRPr="00F37E23">
        <w:rPr>
          <w:sz w:val="20"/>
          <w:szCs w:val="20"/>
          <w:lang w:val="fr-CA"/>
        </w:rPr>
        <w:t>(« ATCO ») participent à des régimes de retraite qui avaient accumulé un déficit actuariel de 157,1 millions de dollars à la fin de 2009.  À chaque année, le comité de retraite de la direction décide quelle augmentation au titre de l’ajustement au coût de la vie doit être accordée, eu égard à l’indice des prix à la consommation (« IPC ») pour le Canada, jusqu’à concurrence d’un maximum de 3 %.  Le comité, s’appuyant sur les pratiques historiques et les conseils reçus de l’actuaire du régime de retraite, a décidé que la prestation au titre de l’ajustement au coût de la vie devait être 100 % de l’augmentation de l’IPC, jusqu’à concurrence du maximum de 3 %.  ATCO a fait une demande à l’Alberta Utilities Commission (la « Commission ») afin d’inclure le plein montant de ses charges de retraite dans ses besoins en revenus.  La commission a examiné d’autres régimes de retraite et a rejeté l’allégation d’ATCO selon laquelle un ajustement au coût de la vie de 100 % de l’IPC était une pratique normale acceptable et qu’il s’agissait nécessairement d’une charge raisonnable à inclure dans le besoin en revenus de services publics règlementés.  La commission a conclu qu’une réduction de l’ajustement au coût de la vie de 50 % de l’IPC jusqu’à concurrence du maximum de 3 % représentait un niveau raisonnable dans l’établissement du montant de l’ajustement au coût de la vie afin de déterminer les charges de retraite à des fins de règlementation pour tous les employés.  ATCO a présenté une demande de révision et de modification à la commission, mais sa demande a été rejetée.  Un appel subséquent à la Cour d’appel a été rejeté.</w:t>
      </w:r>
    </w:p>
    <w:p w:rsidR="005026CD" w:rsidRPr="00F37E23" w:rsidRDefault="005026CD" w:rsidP="005026CD">
      <w:pPr>
        <w:widowControl w:val="0"/>
        <w:jc w:val="both"/>
        <w:rPr>
          <w:sz w:val="20"/>
          <w:szCs w:val="20"/>
          <w:lang w:val="fr-CA"/>
        </w:rPr>
      </w:pPr>
    </w:p>
    <w:p w:rsidR="005026CD" w:rsidRPr="00F37E23" w:rsidRDefault="005026CD" w:rsidP="005026CD">
      <w:pPr>
        <w:widowControl w:val="0"/>
        <w:jc w:val="both"/>
        <w:rPr>
          <w:sz w:val="20"/>
          <w:szCs w:val="20"/>
          <w:lang w:val="fr-CA"/>
        </w:rPr>
      </w:pPr>
    </w:p>
    <w:p w:rsidR="005026CD" w:rsidRPr="00F37E23" w:rsidRDefault="005026CD" w:rsidP="005026CD">
      <w:pPr>
        <w:widowControl w:val="0"/>
        <w:ind w:left="2880" w:hanging="2880"/>
        <w:jc w:val="both"/>
        <w:rPr>
          <w:sz w:val="20"/>
          <w:szCs w:val="20"/>
          <w:lang w:val="fr-CA"/>
        </w:rPr>
      </w:pPr>
      <w:r w:rsidRPr="00F37E23">
        <w:rPr>
          <w:sz w:val="20"/>
          <w:szCs w:val="20"/>
          <w:lang w:val="fr-CA"/>
        </w:rPr>
        <w:t>Origine :</w:t>
      </w:r>
      <w:r w:rsidRPr="00F37E23">
        <w:rPr>
          <w:sz w:val="20"/>
          <w:szCs w:val="20"/>
          <w:lang w:val="fr-CA"/>
        </w:rPr>
        <w:tab/>
        <w:t>Alberta</w:t>
      </w:r>
    </w:p>
    <w:p w:rsidR="005026CD" w:rsidRPr="00F37E23" w:rsidRDefault="005026CD" w:rsidP="005026CD">
      <w:pPr>
        <w:widowControl w:val="0"/>
        <w:ind w:left="2880" w:hanging="2880"/>
        <w:jc w:val="both"/>
        <w:rPr>
          <w:sz w:val="20"/>
          <w:szCs w:val="20"/>
          <w:lang w:val="fr-CA"/>
        </w:rPr>
      </w:pPr>
    </w:p>
    <w:p w:rsidR="005026CD" w:rsidRPr="00F37E23" w:rsidRDefault="005026CD" w:rsidP="005026CD">
      <w:pPr>
        <w:widowControl w:val="0"/>
        <w:ind w:left="2880" w:hanging="2880"/>
        <w:jc w:val="both"/>
        <w:rPr>
          <w:sz w:val="20"/>
          <w:szCs w:val="20"/>
          <w:lang w:val="fr-CA"/>
        </w:rPr>
      </w:pPr>
      <w:r w:rsidRPr="00F37E23">
        <w:rPr>
          <w:sz w:val="20"/>
          <w:szCs w:val="20"/>
          <w:lang w:val="fr-CA"/>
        </w:rPr>
        <w:t>N</w:t>
      </w:r>
      <w:r w:rsidRPr="00F37E23">
        <w:rPr>
          <w:sz w:val="20"/>
          <w:szCs w:val="20"/>
          <w:vertAlign w:val="superscript"/>
          <w:lang w:val="fr-CA"/>
        </w:rPr>
        <w:t>o</w:t>
      </w:r>
      <w:r w:rsidRPr="00F37E23">
        <w:rPr>
          <w:sz w:val="20"/>
          <w:szCs w:val="20"/>
          <w:lang w:val="fr-CA"/>
        </w:rPr>
        <w:t xml:space="preserve"> du greffe :</w:t>
      </w:r>
      <w:r w:rsidRPr="00F37E23">
        <w:rPr>
          <w:sz w:val="20"/>
          <w:szCs w:val="20"/>
          <w:lang w:val="fr-CA"/>
        </w:rPr>
        <w:tab/>
        <w:t>35624</w:t>
      </w:r>
    </w:p>
    <w:p w:rsidR="005026CD" w:rsidRPr="00F37E23" w:rsidRDefault="005026CD" w:rsidP="005026CD">
      <w:pPr>
        <w:widowControl w:val="0"/>
        <w:ind w:left="2880" w:hanging="2880"/>
        <w:jc w:val="both"/>
        <w:rPr>
          <w:sz w:val="20"/>
          <w:szCs w:val="20"/>
          <w:lang w:val="fr-CA"/>
        </w:rPr>
      </w:pPr>
    </w:p>
    <w:p w:rsidR="005026CD" w:rsidRPr="00F37E23" w:rsidRDefault="005026CD" w:rsidP="005026CD">
      <w:pPr>
        <w:widowControl w:val="0"/>
        <w:ind w:left="2880" w:hanging="2880"/>
        <w:jc w:val="both"/>
        <w:rPr>
          <w:sz w:val="20"/>
          <w:szCs w:val="20"/>
          <w:lang w:val="fr-CA"/>
        </w:rPr>
      </w:pPr>
      <w:r w:rsidRPr="00F37E23">
        <w:rPr>
          <w:sz w:val="20"/>
          <w:szCs w:val="20"/>
          <w:lang w:val="fr-CA"/>
        </w:rPr>
        <w:t>Arrêt de la Cour d’appel :</w:t>
      </w:r>
      <w:r w:rsidRPr="00F37E23">
        <w:rPr>
          <w:sz w:val="20"/>
          <w:szCs w:val="20"/>
          <w:lang w:val="fr-CA"/>
        </w:rPr>
        <w:tab/>
        <w:t>le 23 septembre 2013</w:t>
      </w:r>
    </w:p>
    <w:p w:rsidR="005026CD" w:rsidRPr="00F37E23" w:rsidRDefault="005026CD" w:rsidP="005026CD">
      <w:pPr>
        <w:widowControl w:val="0"/>
        <w:ind w:left="2880" w:hanging="2880"/>
        <w:jc w:val="both"/>
        <w:rPr>
          <w:sz w:val="20"/>
          <w:szCs w:val="20"/>
          <w:lang w:val="fr-CA"/>
        </w:rPr>
      </w:pPr>
    </w:p>
    <w:p w:rsidR="005026CD" w:rsidRPr="00F37E23" w:rsidRDefault="005026CD" w:rsidP="005026CD">
      <w:pPr>
        <w:widowControl w:val="0"/>
        <w:ind w:left="2880" w:hanging="2880"/>
        <w:jc w:val="both"/>
        <w:rPr>
          <w:sz w:val="20"/>
          <w:szCs w:val="20"/>
          <w:lang w:val="fr-CA"/>
        </w:rPr>
      </w:pPr>
      <w:r w:rsidRPr="00F37E23">
        <w:rPr>
          <w:sz w:val="20"/>
          <w:szCs w:val="20"/>
          <w:lang w:val="fr-CA"/>
        </w:rPr>
        <w:t>Avocats :</w:t>
      </w:r>
      <w:r w:rsidRPr="00F37E23">
        <w:rPr>
          <w:sz w:val="20"/>
          <w:szCs w:val="20"/>
          <w:lang w:val="fr-CA"/>
        </w:rPr>
        <w:tab/>
        <w:t>John N. Craig, c.r., Loyola G. Keough et E. Bruce Mellett pour l’appelante</w:t>
      </w:r>
    </w:p>
    <w:p w:rsidR="005026CD" w:rsidRPr="00F37E23" w:rsidRDefault="005026CD" w:rsidP="005026CD">
      <w:pPr>
        <w:widowControl w:val="0"/>
        <w:ind w:left="2880" w:hanging="2880"/>
        <w:jc w:val="both"/>
        <w:rPr>
          <w:sz w:val="20"/>
          <w:szCs w:val="20"/>
          <w:lang w:val="fr-CA"/>
        </w:rPr>
      </w:pPr>
      <w:r>
        <w:rPr>
          <w:sz w:val="20"/>
          <w:szCs w:val="20"/>
          <w:lang w:val="fr-CA"/>
        </w:rPr>
        <w:tab/>
      </w:r>
      <w:r w:rsidRPr="00F37E23">
        <w:rPr>
          <w:sz w:val="20"/>
          <w:szCs w:val="20"/>
          <w:lang w:val="fr-CA"/>
        </w:rPr>
        <w:t xml:space="preserve">Catherine Wall pour l’intimée Alberta Utilities Commission </w:t>
      </w:r>
    </w:p>
    <w:p w:rsidR="005026CD" w:rsidRPr="00F37E23" w:rsidRDefault="005026CD" w:rsidP="005026CD">
      <w:pPr>
        <w:widowControl w:val="0"/>
        <w:ind w:left="2880" w:hanging="2880"/>
        <w:jc w:val="both"/>
        <w:rPr>
          <w:sz w:val="20"/>
          <w:szCs w:val="20"/>
        </w:rPr>
      </w:pPr>
      <w:r w:rsidRPr="00094F1A">
        <w:rPr>
          <w:sz w:val="20"/>
          <w:szCs w:val="20"/>
          <w:lang w:val="fr-CA"/>
        </w:rPr>
        <w:tab/>
      </w:r>
      <w:r w:rsidRPr="00F37E23">
        <w:rPr>
          <w:sz w:val="20"/>
          <w:szCs w:val="20"/>
        </w:rPr>
        <w:t>Todd A. Shipley et C. Randall McCreary pour l’intimé Office of the Utilities Consumer Advocate of Alberta</w:t>
      </w:r>
    </w:p>
    <w:p w:rsidR="001662A9" w:rsidRPr="005026CD" w:rsidRDefault="001662A9" w:rsidP="001662A9">
      <w:pPr>
        <w:tabs>
          <w:tab w:val="left" w:pos="-1440"/>
          <w:tab w:val="left" w:pos="-720"/>
        </w:tabs>
        <w:jc w:val="both"/>
        <w:rPr>
          <w:sz w:val="20"/>
          <w:szCs w:val="20"/>
        </w:rPr>
      </w:pPr>
    </w:p>
    <w:p w:rsidR="001662A9" w:rsidRPr="00DD0B49" w:rsidRDefault="00690162" w:rsidP="001662A9">
      <w:pPr>
        <w:tabs>
          <w:tab w:val="left" w:pos="-1440"/>
          <w:tab w:val="left" w:pos="-720"/>
        </w:tabs>
        <w:jc w:val="both"/>
        <w:rPr>
          <w:sz w:val="20"/>
          <w:szCs w:val="20"/>
          <w:lang w:val="fr-CA"/>
        </w:rPr>
      </w:pPr>
      <w:r>
        <w:rPr>
          <w:sz w:val="20"/>
          <w:szCs w:val="20"/>
          <w:lang w:val="fr-CA"/>
        </w:rPr>
        <w:pict>
          <v:rect id="_x0000_i1105" style="width:2in;height:1pt" o:hrpct="0" o:hralign="center" o:hrstd="t" o:hrnoshade="t" o:hr="t" fillcolor="black [3213]" stroked="f"/>
        </w:pict>
      </w:r>
    </w:p>
    <w:p w:rsidR="001662A9" w:rsidRDefault="001662A9">
      <w:pPr>
        <w:rPr>
          <w:sz w:val="20"/>
          <w:szCs w:val="20"/>
          <w:lang w:val="fr-CA"/>
        </w:rPr>
      </w:pPr>
      <w:r>
        <w:rPr>
          <w:sz w:val="20"/>
          <w:szCs w:val="20"/>
          <w:lang w:val="fr-CA"/>
        </w:rPr>
        <w:br w:type="page"/>
      </w:r>
    </w:p>
    <w:p w:rsidR="005026CD" w:rsidRPr="003821F2" w:rsidRDefault="005026CD" w:rsidP="005026CD">
      <w:pPr>
        <w:widowControl w:val="0"/>
        <w:ind w:left="709" w:hanging="709"/>
        <w:jc w:val="both"/>
        <w:rPr>
          <w:sz w:val="20"/>
          <w:szCs w:val="20"/>
        </w:rPr>
      </w:pPr>
      <w:r w:rsidRPr="003821F2">
        <w:rPr>
          <w:b/>
          <w:sz w:val="20"/>
          <w:szCs w:val="20"/>
        </w:rPr>
        <w:lastRenderedPageBreak/>
        <w:t>35590</w:t>
      </w:r>
      <w:r w:rsidR="00D921D7" w:rsidRPr="003821F2">
        <w:rPr>
          <w:sz w:val="20"/>
          <w:szCs w:val="20"/>
        </w:rPr>
        <w:fldChar w:fldCharType="begin"/>
      </w:r>
      <w:r w:rsidRPr="003821F2">
        <w:rPr>
          <w:sz w:val="20"/>
          <w:szCs w:val="20"/>
        </w:rPr>
        <w:instrText xml:space="preserve"> SEQ CHAPTER \h \r 1</w:instrText>
      </w:r>
      <w:r w:rsidR="00D921D7" w:rsidRPr="003821F2">
        <w:rPr>
          <w:sz w:val="20"/>
          <w:szCs w:val="20"/>
        </w:rPr>
        <w:fldChar w:fldCharType="end"/>
      </w:r>
      <w:r w:rsidRPr="003821F2">
        <w:rPr>
          <w:sz w:val="20"/>
          <w:szCs w:val="20"/>
        </w:rPr>
        <w:tab/>
      </w:r>
      <w:r w:rsidRPr="003821F2">
        <w:rPr>
          <w:b/>
          <w:i/>
          <w:sz w:val="20"/>
          <w:szCs w:val="20"/>
        </w:rPr>
        <w:t>Minister of National Revenue v. Duncan Thompson</w:t>
      </w:r>
    </w:p>
    <w:p w:rsidR="005026CD" w:rsidRPr="003821F2" w:rsidRDefault="005026CD" w:rsidP="005026CD">
      <w:pPr>
        <w:widowControl w:val="0"/>
        <w:jc w:val="both"/>
        <w:rPr>
          <w:sz w:val="20"/>
          <w:szCs w:val="20"/>
        </w:rPr>
      </w:pPr>
    </w:p>
    <w:p w:rsidR="005026CD" w:rsidRPr="003821F2" w:rsidRDefault="005026CD" w:rsidP="005026CD">
      <w:pPr>
        <w:jc w:val="both"/>
        <w:rPr>
          <w:sz w:val="20"/>
          <w:szCs w:val="20"/>
        </w:rPr>
      </w:pPr>
      <w:r w:rsidRPr="003821F2">
        <w:rPr>
          <w:sz w:val="20"/>
          <w:szCs w:val="20"/>
        </w:rPr>
        <w:t xml:space="preserve">Taxation - Income tax - Enforcement - Solicitor-client privilege - </w:t>
      </w:r>
      <w:r w:rsidRPr="003821F2">
        <w:rPr>
          <w:i/>
          <w:sz w:val="20"/>
          <w:szCs w:val="20"/>
        </w:rPr>
        <w:t xml:space="preserve">Income Tax Act </w:t>
      </w:r>
      <w:r w:rsidRPr="003821F2">
        <w:rPr>
          <w:sz w:val="20"/>
          <w:szCs w:val="20"/>
        </w:rPr>
        <w:t xml:space="preserve">containing provision creating exception to privilege for  accounting records of lawyers - Whether courts are required to apply that exception without further inquiry - Whether Court of Appeal erred in imposing a procedure to determine whether solicitor-client privilege applies to information or documents once Parliament has legislated, with clear and explicit language, a narrowing of the definition of solicitor-client privilege? - Whether Court of Appeal erred in returning the matter to Federal Court to allow respondent, or his clients, to file new evidence? - </w:t>
      </w:r>
      <w:r w:rsidRPr="003821F2">
        <w:rPr>
          <w:i/>
          <w:sz w:val="20"/>
          <w:szCs w:val="20"/>
        </w:rPr>
        <w:t>Income Tax Act</w:t>
      </w:r>
      <w:r w:rsidRPr="003821F2">
        <w:rPr>
          <w:sz w:val="20"/>
          <w:szCs w:val="20"/>
        </w:rPr>
        <w:t xml:space="preserve">, R.S.C. 1985, c. 1 (5th Supp.), s. 237.7(1). </w:t>
      </w:r>
    </w:p>
    <w:p w:rsidR="005026CD" w:rsidRPr="003821F2" w:rsidRDefault="005026CD" w:rsidP="005026CD">
      <w:pPr>
        <w:widowControl w:val="0"/>
        <w:jc w:val="both"/>
        <w:rPr>
          <w:sz w:val="20"/>
          <w:szCs w:val="20"/>
        </w:rPr>
      </w:pPr>
    </w:p>
    <w:p w:rsidR="005026CD" w:rsidRPr="003821F2" w:rsidRDefault="005026CD" w:rsidP="005026CD">
      <w:pPr>
        <w:jc w:val="both"/>
        <w:rPr>
          <w:sz w:val="20"/>
          <w:szCs w:val="20"/>
        </w:rPr>
      </w:pPr>
      <w:r w:rsidRPr="003821F2">
        <w:rPr>
          <w:sz w:val="20"/>
          <w:szCs w:val="20"/>
        </w:rPr>
        <w:t xml:space="preserve">The respondent is a lawyer who is the subject of enforcement proceedings pursuant to the </w:t>
      </w:r>
      <w:r w:rsidRPr="003821F2">
        <w:rPr>
          <w:i/>
          <w:sz w:val="20"/>
          <w:szCs w:val="20"/>
        </w:rPr>
        <w:t>Income Tax Act</w:t>
      </w:r>
      <w:r w:rsidRPr="003821F2">
        <w:rPr>
          <w:sz w:val="20"/>
          <w:szCs w:val="20"/>
        </w:rPr>
        <w:t xml:space="preserve">, R.S.C. 1985, c. 1 (5th Supp.).  The Canada Revenue Agency (CRA) issued a Requirement seeking information and documents pertaining the respondent’s income and expenses, and assets and liabilities, including a current accounts receivable listing. The respondent provided some, but not all, of the information set out in the Requirement.  The CRA subsequently found that he had provided no details regarding his accounts receivable other than a total balance owing. </w:t>
      </w:r>
    </w:p>
    <w:p w:rsidR="005026CD" w:rsidRPr="003821F2" w:rsidRDefault="005026CD" w:rsidP="005026CD">
      <w:pPr>
        <w:jc w:val="both"/>
        <w:rPr>
          <w:sz w:val="20"/>
          <w:szCs w:val="20"/>
        </w:rPr>
      </w:pPr>
    </w:p>
    <w:p w:rsidR="005026CD" w:rsidRPr="003821F2" w:rsidRDefault="005026CD" w:rsidP="005026CD">
      <w:pPr>
        <w:jc w:val="both"/>
        <w:rPr>
          <w:sz w:val="20"/>
          <w:szCs w:val="20"/>
        </w:rPr>
      </w:pPr>
      <w:r w:rsidRPr="003821F2">
        <w:rPr>
          <w:sz w:val="20"/>
          <w:szCs w:val="20"/>
        </w:rPr>
        <w:t xml:space="preserve">The respondent challenged the Requirement, making solicitor-client privilege the focus of his objection. He sought a determination of whether s. 231.2(1) of the </w:t>
      </w:r>
      <w:r w:rsidRPr="003821F2">
        <w:rPr>
          <w:i/>
          <w:sz w:val="20"/>
          <w:szCs w:val="20"/>
        </w:rPr>
        <w:t>Income Tax Act</w:t>
      </w:r>
      <w:r w:rsidRPr="003821F2">
        <w:rPr>
          <w:sz w:val="20"/>
          <w:szCs w:val="20"/>
        </w:rPr>
        <w:t xml:space="preserve"> can be interpreted, applied or enforced so as to require a lawyer who is the subject of enforcement proceedings by the CRA to divulge information about his clients, information which he argued is protected by solicitor-client privilege.  He also alleged that the Requirement was akin to an unreasonable search or seizure and thus was contrary to s. 8 of the </w:t>
      </w:r>
      <w:r w:rsidRPr="003821F2">
        <w:rPr>
          <w:i/>
          <w:sz w:val="20"/>
          <w:szCs w:val="20"/>
        </w:rPr>
        <w:t>Canadian Charter of Rights and Freedoms</w:t>
      </w:r>
      <w:r w:rsidRPr="003821F2">
        <w:rPr>
          <w:sz w:val="20"/>
          <w:szCs w:val="20"/>
        </w:rPr>
        <w:t>.</w:t>
      </w:r>
    </w:p>
    <w:p w:rsidR="005026CD" w:rsidRPr="003821F2" w:rsidRDefault="005026CD" w:rsidP="005026CD">
      <w:pPr>
        <w:widowControl w:val="0"/>
        <w:jc w:val="both"/>
        <w:rPr>
          <w:sz w:val="20"/>
          <w:szCs w:val="20"/>
        </w:rPr>
      </w:pPr>
    </w:p>
    <w:p w:rsidR="005026CD" w:rsidRPr="003821F2" w:rsidRDefault="005026CD" w:rsidP="005026CD">
      <w:pPr>
        <w:widowControl w:val="0"/>
        <w:jc w:val="both"/>
        <w:rPr>
          <w:sz w:val="20"/>
          <w:szCs w:val="20"/>
        </w:rPr>
      </w:pPr>
    </w:p>
    <w:p w:rsidR="005026CD" w:rsidRPr="003821F2" w:rsidRDefault="005026CD" w:rsidP="005026CD">
      <w:pPr>
        <w:widowControl w:val="0"/>
        <w:ind w:left="2880" w:hanging="2880"/>
        <w:jc w:val="both"/>
        <w:rPr>
          <w:sz w:val="20"/>
          <w:szCs w:val="20"/>
        </w:rPr>
      </w:pPr>
      <w:r w:rsidRPr="003821F2">
        <w:rPr>
          <w:sz w:val="20"/>
          <w:szCs w:val="20"/>
        </w:rPr>
        <w:t>Origin of the case:</w:t>
      </w:r>
      <w:r w:rsidRPr="003821F2">
        <w:rPr>
          <w:sz w:val="20"/>
          <w:szCs w:val="20"/>
        </w:rPr>
        <w:tab/>
        <w:t>Federal Court of Appeal</w:t>
      </w:r>
    </w:p>
    <w:p w:rsidR="005026CD" w:rsidRPr="003821F2" w:rsidRDefault="005026CD" w:rsidP="005026CD">
      <w:pPr>
        <w:widowControl w:val="0"/>
        <w:ind w:left="2880" w:hanging="2880"/>
        <w:jc w:val="both"/>
        <w:rPr>
          <w:sz w:val="20"/>
          <w:szCs w:val="20"/>
        </w:rPr>
      </w:pPr>
    </w:p>
    <w:p w:rsidR="005026CD" w:rsidRPr="003821F2" w:rsidRDefault="005026CD" w:rsidP="005026CD">
      <w:pPr>
        <w:widowControl w:val="0"/>
        <w:ind w:left="2880" w:hanging="2880"/>
        <w:jc w:val="both"/>
        <w:rPr>
          <w:sz w:val="20"/>
          <w:szCs w:val="20"/>
        </w:rPr>
      </w:pPr>
      <w:r w:rsidRPr="003821F2">
        <w:rPr>
          <w:sz w:val="20"/>
          <w:szCs w:val="20"/>
        </w:rPr>
        <w:t>File No.:</w:t>
      </w:r>
      <w:r w:rsidRPr="003821F2">
        <w:rPr>
          <w:sz w:val="20"/>
          <w:szCs w:val="20"/>
        </w:rPr>
        <w:tab/>
        <w:t>35590</w:t>
      </w:r>
    </w:p>
    <w:p w:rsidR="005026CD" w:rsidRPr="003821F2" w:rsidRDefault="005026CD" w:rsidP="005026CD">
      <w:pPr>
        <w:widowControl w:val="0"/>
        <w:ind w:left="2880" w:hanging="2880"/>
        <w:jc w:val="both"/>
        <w:rPr>
          <w:sz w:val="20"/>
          <w:szCs w:val="20"/>
        </w:rPr>
      </w:pPr>
    </w:p>
    <w:p w:rsidR="005026CD" w:rsidRPr="003821F2" w:rsidRDefault="005026CD" w:rsidP="005026CD">
      <w:pPr>
        <w:ind w:left="2880" w:hanging="2880"/>
        <w:rPr>
          <w:sz w:val="20"/>
          <w:szCs w:val="20"/>
        </w:rPr>
      </w:pPr>
      <w:r w:rsidRPr="003821F2">
        <w:rPr>
          <w:sz w:val="20"/>
          <w:szCs w:val="20"/>
        </w:rPr>
        <w:t>Judgment of the Court of Appeal:</w:t>
      </w:r>
      <w:r w:rsidRPr="003821F2">
        <w:rPr>
          <w:sz w:val="20"/>
          <w:szCs w:val="20"/>
        </w:rPr>
        <w:tab/>
        <w:t>August 29, 2013</w:t>
      </w:r>
    </w:p>
    <w:p w:rsidR="005026CD" w:rsidRPr="003821F2" w:rsidRDefault="005026CD" w:rsidP="005026CD">
      <w:pPr>
        <w:widowControl w:val="0"/>
        <w:ind w:left="2880" w:hanging="2880"/>
        <w:jc w:val="both"/>
        <w:rPr>
          <w:sz w:val="20"/>
          <w:szCs w:val="20"/>
        </w:rPr>
      </w:pPr>
    </w:p>
    <w:p w:rsidR="005026CD" w:rsidRDefault="005026CD" w:rsidP="005026CD">
      <w:pPr>
        <w:widowControl w:val="0"/>
        <w:ind w:left="2880" w:hanging="2880"/>
        <w:jc w:val="both"/>
        <w:rPr>
          <w:sz w:val="20"/>
          <w:szCs w:val="20"/>
        </w:rPr>
      </w:pPr>
      <w:r w:rsidRPr="003821F2">
        <w:rPr>
          <w:sz w:val="20"/>
          <w:szCs w:val="20"/>
        </w:rPr>
        <w:t>Counsel:</w:t>
      </w:r>
      <w:r w:rsidRPr="003821F2">
        <w:rPr>
          <w:sz w:val="20"/>
          <w:szCs w:val="20"/>
        </w:rPr>
        <w:tab/>
        <w:t xml:space="preserve">Christopher Rupar and Daniel Bourgeois for the appellant </w:t>
      </w:r>
    </w:p>
    <w:p w:rsidR="005026CD" w:rsidRPr="003821F2" w:rsidRDefault="005026CD" w:rsidP="005026CD">
      <w:pPr>
        <w:widowControl w:val="0"/>
        <w:ind w:left="2880" w:hanging="2880"/>
        <w:jc w:val="both"/>
        <w:rPr>
          <w:sz w:val="20"/>
          <w:szCs w:val="20"/>
        </w:rPr>
      </w:pPr>
      <w:r>
        <w:rPr>
          <w:sz w:val="20"/>
          <w:szCs w:val="20"/>
        </w:rPr>
        <w:tab/>
      </w:r>
      <w:r w:rsidRPr="003821F2">
        <w:rPr>
          <w:sz w:val="20"/>
          <w:szCs w:val="20"/>
        </w:rPr>
        <w:t>Michael A. Feder for the respondent</w:t>
      </w:r>
    </w:p>
    <w:p w:rsidR="001662A9" w:rsidRPr="005026CD" w:rsidRDefault="001662A9" w:rsidP="001662A9">
      <w:pPr>
        <w:tabs>
          <w:tab w:val="left" w:pos="-1440"/>
          <w:tab w:val="left" w:pos="-720"/>
        </w:tabs>
        <w:jc w:val="both"/>
        <w:rPr>
          <w:sz w:val="20"/>
          <w:szCs w:val="20"/>
        </w:rPr>
      </w:pPr>
    </w:p>
    <w:p w:rsidR="001662A9" w:rsidRPr="00DD0B49" w:rsidRDefault="00690162" w:rsidP="001662A9">
      <w:pPr>
        <w:tabs>
          <w:tab w:val="left" w:pos="-1440"/>
          <w:tab w:val="left" w:pos="-720"/>
        </w:tabs>
        <w:jc w:val="both"/>
        <w:rPr>
          <w:sz w:val="20"/>
          <w:szCs w:val="20"/>
          <w:lang w:val="fr-CA"/>
        </w:rPr>
      </w:pPr>
      <w:r>
        <w:rPr>
          <w:sz w:val="20"/>
          <w:szCs w:val="20"/>
          <w:lang w:val="fr-CA"/>
        </w:rPr>
        <w:pict>
          <v:rect id="_x0000_i1106" style="width:2in;height:1pt" o:hrpct="0" o:hralign="center" o:hrstd="t" o:hrnoshade="t" o:hr="t" fillcolor="black [3213]" stroked="f"/>
        </w:pict>
      </w:r>
    </w:p>
    <w:p w:rsidR="001662A9" w:rsidRDefault="001662A9">
      <w:pPr>
        <w:rPr>
          <w:sz w:val="20"/>
          <w:szCs w:val="20"/>
          <w:lang w:val="fr-CA"/>
        </w:rPr>
      </w:pPr>
      <w:r>
        <w:rPr>
          <w:sz w:val="20"/>
          <w:szCs w:val="20"/>
          <w:lang w:val="fr-CA"/>
        </w:rPr>
        <w:br w:type="page"/>
      </w:r>
    </w:p>
    <w:p w:rsidR="005026CD" w:rsidRPr="0064130B" w:rsidRDefault="005026CD" w:rsidP="005026CD">
      <w:pPr>
        <w:widowControl w:val="0"/>
        <w:ind w:left="709" w:hanging="709"/>
        <w:jc w:val="both"/>
        <w:rPr>
          <w:sz w:val="20"/>
          <w:szCs w:val="20"/>
          <w:lang w:val="fr-CA"/>
        </w:rPr>
      </w:pPr>
      <w:r w:rsidRPr="0064130B">
        <w:rPr>
          <w:b/>
          <w:sz w:val="20"/>
          <w:szCs w:val="20"/>
          <w:lang w:val="fr-CA"/>
        </w:rPr>
        <w:lastRenderedPageBreak/>
        <w:t>35590</w:t>
      </w:r>
      <w:r w:rsidR="00D921D7" w:rsidRPr="0064130B">
        <w:rPr>
          <w:sz w:val="20"/>
          <w:szCs w:val="20"/>
          <w:lang w:val="fr-CA"/>
        </w:rPr>
        <w:fldChar w:fldCharType="begin"/>
      </w:r>
      <w:r w:rsidRPr="0064130B">
        <w:rPr>
          <w:sz w:val="20"/>
          <w:szCs w:val="20"/>
          <w:lang w:val="fr-CA"/>
        </w:rPr>
        <w:instrText xml:space="preserve"> SEQ CHAPTER \h \r 1</w:instrText>
      </w:r>
      <w:r w:rsidR="00D921D7" w:rsidRPr="0064130B">
        <w:rPr>
          <w:sz w:val="20"/>
          <w:szCs w:val="20"/>
          <w:lang w:val="fr-CA"/>
        </w:rPr>
        <w:fldChar w:fldCharType="end"/>
      </w:r>
      <w:r w:rsidRPr="0064130B">
        <w:rPr>
          <w:sz w:val="20"/>
          <w:szCs w:val="20"/>
          <w:lang w:val="fr-CA"/>
        </w:rPr>
        <w:tab/>
      </w:r>
      <w:r w:rsidRPr="0064130B">
        <w:rPr>
          <w:b/>
          <w:i/>
          <w:sz w:val="20"/>
          <w:szCs w:val="20"/>
          <w:lang w:val="fr-CA"/>
        </w:rPr>
        <w:t>Ministre du Revenu national c. Duncan Thompson</w:t>
      </w:r>
    </w:p>
    <w:p w:rsidR="005026CD" w:rsidRPr="0064130B" w:rsidRDefault="005026CD" w:rsidP="005026CD">
      <w:pPr>
        <w:widowControl w:val="0"/>
        <w:jc w:val="both"/>
        <w:rPr>
          <w:sz w:val="20"/>
          <w:szCs w:val="20"/>
          <w:lang w:val="fr-CA"/>
        </w:rPr>
      </w:pPr>
    </w:p>
    <w:p w:rsidR="005026CD" w:rsidRPr="0064130B" w:rsidRDefault="005026CD" w:rsidP="005026CD">
      <w:pPr>
        <w:jc w:val="both"/>
        <w:rPr>
          <w:sz w:val="20"/>
          <w:szCs w:val="20"/>
          <w:lang w:val="fr-CA"/>
        </w:rPr>
      </w:pPr>
      <w:r w:rsidRPr="0064130B">
        <w:rPr>
          <w:sz w:val="20"/>
          <w:szCs w:val="20"/>
          <w:lang w:val="fr-CA"/>
        </w:rPr>
        <w:t xml:space="preserve">Droit fiscal - Impôt sur le revenu - Exécution - Secret professionnel de l’avocat - Disposition de la </w:t>
      </w:r>
      <w:r w:rsidRPr="0064130B">
        <w:rPr>
          <w:i/>
          <w:sz w:val="20"/>
          <w:szCs w:val="20"/>
          <w:lang w:val="fr-CA"/>
        </w:rPr>
        <w:t>Loi de l’impôt sur le revenu</w:t>
      </w:r>
      <w:r w:rsidRPr="0064130B">
        <w:rPr>
          <w:sz w:val="20"/>
          <w:szCs w:val="20"/>
          <w:lang w:val="fr-CA"/>
        </w:rPr>
        <w:t xml:space="preserve"> soustrayant au privilège du secret professionnel les relevés comptables des avocats. - Les tribunaux sont-ils tenus d’appliquer cette exception sans autre examen? - La Cour d’appel a-t-elle eu tort d’imposer une procédure pour déterminer si le secret professionnel de l’avocat s’applique aux renseignements ou aux documents lorsque le Parlement a, par un texte de loi clair et explicite, restreint la définition du secret professionnel de l’avocat? - La Cour d’appel a-t-elle eu tort de renvoyer l’affaire à la Cour fédérale pour permettre à l’intimé ou à ses clients de fournir de nouveaux éléments de preuve? - </w:t>
      </w:r>
      <w:r w:rsidRPr="0064130B">
        <w:rPr>
          <w:i/>
          <w:sz w:val="20"/>
          <w:szCs w:val="20"/>
          <w:lang w:val="fr-CA"/>
        </w:rPr>
        <w:t>Loi de l’impôt sur le revenu</w:t>
      </w:r>
      <w:r w:rsidRPr="0064130B">
        <w:rPr>
          <w:sz w:val="20"/>
          <w:szCs w:val="20"/>
          <w:lang w:val="fr-CA"/>
        </w:rPr>
        <w:t>, L.R.C. 1985, ch. 1 (5</w:t>
      </w:r>
      <w:r w:rsidRPr="0064130B">
        <w:rPr>
          <w:sz w:val="20"/>
          <w:szCs w:val="20"/>
          <w:vertAlign w:val="superscript"/>
          <w:lang w:val="fr-CA"/>
        </w:rPr>
        <w:t>e</w:t>
      </w:r>
      <w:r w:rsidRPr="0064130B">
        <w:rPr>
          <w:sz w:val="20"/>
          <w:szCs w:val="20"/>
          <w:lang w:val="fr-CA"/>
        </w:rPr>
        <w:t xml:space="preserve"> suppl.), par. 237.7(1).</w:t>
      </w:r>
    </w:p>
    <w:p w:rsidR="005026CD" w:rsidRPr="0064130B" w:rsidRDefault="005026CD" w:rsidP="005026CD">
      <w:pPr>
        <w:widowControl w:val="0"/>
        <w:jc w:val="both"/>
        <w:rPr>
          <w:sz w:val="20"/>
          <w:szCs w:val="20"/>
          <w:lang w:val="fr-CA"/>
        </w:rPr>
      </w:pPr>
    </w:p>
    <w:p w:rsidR="005026CD" w:rsidRPr="0064130B" w:rsidRDefault="005026CD" w:rsidP="005026CD">
      <w:pPr>
        <w:jc w:val="both"/>
        <w:rPr>
          <w:sz w:val="20"/>
          <w:szCs w:val="20"/>
          <w:lang w:val="fr-CA"/>
        </w:rPr>
      </w:pPr>
      <w:r w:rsidRPr="0064130B">
        <w:rPr>
          <w:sz w:val="20"/>
          <w:szCs w:val="20"/>
          <w:lang w:val="fr-CA"/>
        </w:rPr>
        <w:t xml:space="preserve">L’intimé, un avocat, est visé par des procédures d’exécutions prises en application de la </w:t>
      </w:r>
      <w:r w:rsidRPr="0064130B">
        <w:rPr>
          <w:i/>
          <w:sz w:val="20"/>
          <w:szCs w:val="20"/>
          <w:lang w:val="fr-CA"/>
        </w:rPr>
        <w:t>Loi de l’impôt sur le revenu</w:t>
      </w:r>
      <w:r w:rsidRPr="0064130B">
        <w:rPr>
          <w:sz w:val="20"/>
          <w:szCs w:val="20"/>
          <w:lang w:val="fr-CA"/>
        </w:rPr>
        <w:t>, L.R.C. 1985, ch. 1 (5</w:t>
      </w:r>
      <w:r w:rsidRPr="0064130B">
        <w:rPr>
          <w:sz w:val="20"/>
          <w:szCs w:val="20"/>
          <w:vertAlign w:val="superscript"/>
          <w:lang w:val="fr-CA"/>
        </w:rPr>
        <w:t>e</w:t>
      </w:r>
      <w:r w:rsidRPr="0064130B">
        <w:rPr>
          <w:sz w:val="20"/>
          <w:szCs w:val="20"/>
          <w:lang w:val="fr-CA"/>
        </w:rPr>
        <w:t xml:space="preserve"> suppl.).  L’Agence du revenu du Canada (ARC) a décerné une demande en vue d’obtenir des renseignements et des documents relatifs aux revenus et aux dépenses, ainsi qu’à l’actif et au passif, de l’intimé, y compris une liste à jour de ses comptes clients.  L’intimé a fourni certains des renseignements requis dans la demande, mais pas tous.  Subséquemment, l’ARC a constaté qu’il n’avait fourni aucun détail concernant ses comptes clients si ce n’est le solde total dû. </w:t>
      </w:r>
    </w:p>
    <w:p w:rsidR="005026CD" w:rsidRPr="0064130B" w:rsidRDefault="005026CD" w:rsidP="005026CD">
      <w:pPr>
        <w:jc w:val="both"/>
        <w:rPr>
          <w:sz w:val="20"/>
          <w:szCs w:val="20"/>
          <w:lang w:val="fr-CA"/>
        </w:rPr>
      </w:pPr>
    </w:p>
    <w:p w:rsidR="005026CD" w:rsidRPr="0064130B" w:rsidRDefault="005026CD" w:rsidP="005026CD">
      <w:pPr>
        <w:jc w:val="both"/>
        <w:rPr>
          <w:sz w:val="20"/>
          <w:szCs w:val="20"/>
          <w:lang w:val="fr-CA"/>
        </w:rPr>
      </w:pPr>
      <w:r w:rsidRPr="0064130B">
        <w:rPr>
          <w:sz w:val="20"/>
          <w:szCs w:val="20"/>
          <w:lang w:val="fr-CA"/>
        </w:rPr>
        <w:t xml:space="preserve">L’intimé a contesté la demande, appuyant son objection sur le secret professionnel de l’avocat.  Il a demandé à la cour de décider si le par. 231.2(1) de la </w:t>
      </w:r>
      <w:r w:rsidRPr="0064130B">
        <w:rPr>
          <w:i/>
          <w:sz w:val="20"/>
          <w:szCs w:val="20"/>
          <w:lang w:val="fr-CA"/>
        </w:rPr>
        <w:t>Loi de l’impôt sur le revenu</w:t>
      </w:r>
      <w:r w:rsidRPr="0064130B">
        <w:rPr>
          <w:sz w:val="20"/>
          <w:szCs w:val="20"/>
          <w:lang w:val="fr-CA"/>
        </w:rPr>
        <w:t xml:space="preserve"> peut être interprété et appliqué de façon à obliger un avocat visé par des procédures d’exécution prises par l’ARC de communiquer des renseignements à propos de ses clients; il plaide que ces renseignements sont protégés par le secret professionnel de l’avocat.  Il allègue également que la demande s’apparente à une fouille, perquisition ou saisie abusive et par conséquent contraire à l’art. 8 de la </w:t>
      </w:r>
      <w:r w:rsidRPr="0064130B">
        <w:rPr>
          <w:i/>
          <w:sz w:val="20"/>
          <w:szCs w:val="20"/>
          <w:lang w:val="fr-CA"/>
        </w:rPr>
        <w:t>Charte canadienne des droits et libertés</w:t>
      </w:r>
      <w:r w:rsidRPr="0064130B">
        <w:rPr>
          <w:sz w:val="20"/>
          <w:szCs w:val="20"/>
          <w:lang w:val="fr-CA"/>
        </w:rPr>
        <w:t>.</w:t>
      </w:r>
    </w:p>
    <w:p w:rsidR="005026CD" w:rsidRPr="0064130B" w:rsidRDefault="005026CD" w:rsidP="005026CD">
      <w:pPr>
        <w:widowControl w:val="0"/>
        <w:jc w:val="both"/>
        <w:rPr>
          <w:sz w:val="20"/>
          <w:szCs w:val="20"/>
          <w:lang w:val="fr-CA"/>
        </w:rPr>
      </w:pPr>
    </w:p>
    <w:p w:rsidR="005026CD" w:rsidRPr="0064130B" w:rsidRDefault="005026CD" w:rsidP="005026CD">
      <w:pPr>
        <w:widowControl w:val="0"/>
        <w:jc w:val="both"/>
        <w:rPr>
          <w:sz w:val="20"/>
          <w:szCs w:val="20"/>
          <w:lang w:val="fr-CA"/>
        </w:rPr>
      </w:pPr>
    </w:p>
    <w:p w:rsidR="005026CD" w:rsidRPr="0064130B" w:rsidRDefault="005026CD" w:rsidP="005026CD">
      <w:pPr>
        <w:widowControl w:val="0"/>
        <w:ind w:left="2880" w:hanging="2880"/>
        <w:jc w:val="both"/>
        <w:rPr>
          <w:sz w:val="20"/>
          <w:szCs w:val="20"/>
          <w:lang w:val="fr-CA"/>
        </w:rPr>
      </w:pPr>
      <w:r w:rsidRPr="0064130B">
        <w:rPr>
          <w:sz w:val="20"/>
          <w:szCs w:val="20"/>
          <w:lang w:val="fr-CA"/>
        </w:rPr>
        <w:t>Origine :</w:t>
      </w:r>
      <w:r w:rsidRPr="0064130B">
        <w:rPr>
          <w:sz w:val="20"/>
          <w:szCs w:val="20"/>
          <w:lang w:val="fr-CA"/>
        </w:rPr>
        <w:tab/>
        <w:t>Cour d’appel fédérale</w:t>
      </w:r>
    </w:p>
    <w:p w:rsidR="005026CD" w:rsidRPr="0064130B" w:rsidRDefault="005026CD" w:rsidP="005026CD">
      <w:pPr>
        <w:widowControl w:val="0"/>
        <w:ind w:left="2880" w:hanging="2880"/>
        <w:jc w:val="both"/>
        <w:rPr>
          <w:sz w:val="20"/>
          <w:szCs w:val="20"/>
          <w:lang w:val="fr-CA"/>
        </w:rPr>
      </w:pPr>
    </w:p>
    <w:p w:rsidR="005026CD" w:rsidRPr="0064130B" w:rsidRDefault="005026CD" w:rsidP="005026CD">
      <w:pPr>
        <w:widowControl w:val="0"/>
        <w:ind w:left="2880" w:hanging="2880"/>
        <w:jc w:val="both"/>
        <w:rPr>
          <w:sz w:val="20"/>
          <w:szCs w:val="20"/>
          <w:lang w:val="fr-CA"/>
        </w:rPr>
      </w:pPr>
      <w:r w:rsidRPr="0064130B">
        <w:rPr>
          <w:sz w:val="20"/>
          <w:szCs w:val="20"/>
          <w:lang w:val="fr-CA"/>
        </w:rPr>
        <w:t>N</w:t>
      </w:r>
      <w:r w:rsidRPr="0064130B">
        <w:rPr>
          <w:sz w:val="20"/>
          <w:szCs w:val="20"/>
          <w:vertAlign w:val="superscript"/>
          <w:lang w:val="fr-CA"/>
        </w:rPr>
        <w:t>o</w:t>
      </w:r>
      <w:r w:rsidRPr="0064130B">
        <w:rPr>
          <w:sz w:val="20"/>
          <w:szCs w:val="20"/>
          <w:lang w:val="fr-CA"/>
        </w:rPr>
        <w:t xml:space="preserve"> du greffe :</w:t>
      </w:r>
      <w:r w:rsidRPr="0064130B">
        <w:rPr>
          <w:sz w:val="20"/>
          <w:szCs w:val="20"/>
          <w:lang w:val="fr-CA"/>
        </w:rPr>
        <w:tab/>
        <w:t>35590</w:t>
      </w:r>
    </w:p>
    <w:p w:rsidR="005026CD" w:rsidRPr="0064130B" w:rsidRDefault="005026CD" w:rsidP="005026CD">
      <w:pPr>
        <w:widowControl w:val="0"/>
        <w:ind w:left="2880" w:hanging="2880"/>
        <w:jc w:val="both"/>
        <w:rPr>
          <w:sz w:val="20"/>
          <w:szCs w:val="20"/>
          <w:lang w:val="fr-CA"/>
        </w:rPr>
      </w:pPr>
    </w:p>
    <w:p w:rsidR="005026CD" w:rsidRPr="0064130B" w:rsidRDefault="005026CD" w:rsidP="005026CD">
      <w:pPr>
        <w:ind w:left="2880" w:hanging="2880"/>
        <w:rPr>
          <w:sz w:val="20"/>
          <w:szCs w:val="20"/>
          <w:lang w:val="fr-CA"/>
        </w:rPr>
      </w:pPr>
      <w:r w:rsidRPr="0064130B">
        <w:rPr>
          <w:sz w:val="20"/>
          <w:szCs w:val="20"/>
          <w:lang w:val="fr-CA"/>
        </w:rPr>
        <w:t>Arrêt de la Cour d’appel :</w:t>
      </w:r>
      <w:r w:rsidRPr="0064130B">
        <w:rPr>
          <w:sz w:val="20"/>
          <w:szCs w:val="20"/>
          <w:lang w:val="fr-CA"/>
        </w:rPr>
        <w:tab/>
        <w:t>le 29 août 2013</w:t>
      </w:r>
    </w:p>
    <w:p w:rsidR="005026CD" w:rsidRPr="0064130B" w:rsidRDefault="005026CD" w:rsidP="005026CD">
      <w:pPr>
        <w:widowControl w:val="0"/>
        <w:ind w:left="2880" w:hanging="2880"/>
        <w:jc w:val="both"/>
        <w:rPr>
          <w:sz w:val="20"/>
          <w:szCs w:val="20"/>
          <w:lang w:val="fr-CA"/>
        </w:rPr>
      </w:pPr>
    </w:p>
    <w:p w:rsidR="005026CD" w:rsidRDefault="005026CD" w:rsidP="005026CD">
      <w:pPr>
        <w:widowControl w:val="0"/>
        <w:ind w:left="2880" w:hanging="2880"/>
        <w:jc w:val="both"/>
        <w:rPr>
          <w:sz w:val="20"/>
          <w:szCs w:val="20"/>
          <w:lang w:val="fr-CA"/>
        </w:rPr>
      </w:pPr>
      <w:r w:rsidRPr="0064130B">
        <w:rPr>
          <w:sz w:val="20"/>
          <w:szCs w:val="20"/>
          <w:lang w:val="fr-CA"/>
        </w:rPr>
        <w:t>Avocats :</w:t>
      </w:r>
      <w:r w:rsidRPr="0064130B">
        <w:rPr>
          <w:sz w:val="20"/>
          <w:szCs w:val="20"/>
          <w:lang w:val="fr-CA"/>
        </w:rPr>
        <w:tab/>
        <w:t>Christopher Rupar et Daniel Bourgeois pour l’appelant</w:t>
      </w:r>
    </w:p>
    <w:p w:rsidR="005026CD" w:rsidRPr="0064130B" w:rsidRDefault="005026CD" w:rsidP="005026CD">
      <w:pPr>
        <w:widowControl w:val="0"/>
        <w:ind w:left="2880" w:hanging="2880"/>
        <w:jc w:val="both"/>
        <w:rPr>
          <w:sz w:val="20"/>
          <w:szCs w:val="20"/>
          <w:lang w:val="fr-CA"/>
        </w:rPr>
      </w:pPr>
      <w:r w:rsidRPr="0064130B">
        <w:rPr>
          <w:sz w:val="20"/>
          <w:szCs w:val="20"/>
          <w:lang w:val="fr-CA"/>
        </w:rPr>
        <w:tab/>
        <w:t>Michael A. Feder pour l’intimé</w:t>
      </w:r>
    </w:p>
    <w:p w:rsidR="001662A9" w:rsidRPr="00DD0B49" w:rsidRDefault="001662A9" w:rsidP="001662A9">
      <w:pPr>
        <w:tabs>
          <w:tab w:val="left" w:pos="-1440"/>
          <w:tab w:val="left" w:pos="-720"/>
        </w:tabs>
        <w:jc w:val="both"/>
        <w:rPr>
          <w:sz w:val="20"/>
          <w:szCs w:val="20"/>
          <w:lang w:val="fr-CA"/>
        </w:rPr>
      </w:pPr>
    </w:p>
    <w:p w:rsidR="001662A9" w:rsidRPr="00DD0B49" w:rsidRDefault="00690162" w:rsidP="001662A9">
      <w:pPr>
        <w:tabs>
          <w:tab w:val="left" w:pos="-1440"/>
          <w:tab w:val="left" w:pos="-720"/>
        </w:tabs>
        <w:jc w:val="both"/>
        <w:rPr>
          <w:sz w:val="20"/>
          <w:szCs w:val="20"/>
          <w:lang w:val="fr-CA"/>
        </w:rPr>
      </w:pPr>
      <w:r>
        <w:rPr>
          <w:sz w:val="20"/>
          <w:szCs w:val="20"/>
          <w:lang w:val="fr-CA"/>
        </w:rPr>
        <w:pict>
          <v:rect id="_x0000_i1107" style="width:2in;height:1pt" o:hrpct="0" o:hralign="center" o:hrstd="t" o:hrnoshade="t" o:hr="t" fillcolor="black [3213]" stroked="f"/>
        </w:pict>
      </w:r>
    </w:p>
    <w:p w:rsidR="001662A9" w:rsidRDefault="001662A9">
      <w:pPr>
        <w:rPr>
          <w:sz w:val="20"/>
          <w:szCs w:val="20"/>
          <w:lang w:val="fr-CA"/>
        </w:rPr>
      </w:pPr>
      <w:r>
        <w:rPr>
          <w:sz w:val="20"/>
          <w:szCs w:val="20"/>
          <w:lang w:val="fr-CA"/>
        </w:rPr>
        <w:br w:type="page"/>
      </w:r>
    </w:p>
    <w:p w:rsidR="005026CD" w:rsidRPr="008B3DE3" w:rsidRDefault="00D921D7" w:rsidP="005026CD">
      <w:pPr>
        <w:widowControl w:val="0"/>
        <w:ind w:left="720" w:hanging="720"/>
        <w:jc w:val="both"/>
        <w:rPr>
          <w:sz w:val="20"/>
          <w:szCs w:val="20"/>
        </w:rPr>
      </w:pPr>
      <w:r w:rsidRPr="008B3DE3">
        <w:rPr>
          <w:b/>
          <w:sz w:val="20"/>
          <w:szCs w:val="20"/>
        </w:rPr>
        <w:lastRenderedPageBreak/>
        <w:fldChar w:fldCharType="begin"/>
      </w:r>
      <w:r w:rsidR="005026CD" w:rsidRPr="008B3DE3">
        <w:rPr>
          <w:b/>
          <w:sz w:val="20"/>
          <w:szCs w:val="20"/>
        </w:rPr>
        <w:instrText xml:space="preserve"> SEQ CHAPTER \h \r 1</w:instrText>
      </w:r>
      <w:r w:rsidRPr="008B3DE3">
        <w:rPr>
          <w:b/>
          <w:sz w:val="20"/>
          <w:szCs w:val="20"/>
        </w:rPr>
        <w:fldChar w:fldCharType="end"/>
      </w:r>
      <w:r w:rsidR="005026CD" w:rsidRPr="008B3DE3">
        <w:rPr>
          <w:b/>
          <w:sz w:val="20"/>
          <w:szCs w:val="20"/>
        </w:rPr>
        <w:t>35519</w:t>
      </w:r>
      <w:r w:rsidR="005026CD" w:rsidRPr="008B3DE3">
        <w:rPr>
          <w:sz w:val="20"/>
          <w:szCs w:val="20"/>
        </w:rPr>
        <w:tab/>
      </w:r>
      <w:r w:rsidR="005026CD" w:rsidRPr="008B3DE3">
        <w:rPr>
          <w:b/>
          <w:i/>
          <w:sz w:val="20"/>
          <w:szCs w:val="20"/>
        </w:rPr>
        <w:t>Julie Guindon v. Her Majesty the Queen</w:t>
      </w:r>
    </w:p>
    <w:p w:rsidR="005026CD" w:rsidRPr="008B3DE3" w:rsidRDefault="005026CD" w:rsidP="005026CD">
      <w:pPr>
        <w:widowControl w:val="0"/>
        <w:jc w:val="both"/>
        <w:rPr>
          <w:sz w:val="20"/>
          <w:szCs w:val="20"/>
        </w:rPr>
      </w:pPr>
    </w:p>
    <w:p w:rsidR="005026CD" w:rsidRPr="008B3DE3" w:rsidRDefault="005026CD" w:rsidP="005026CD">
      <w:pPr>
        <w:jc w:val="both"/>
        <w:rPr>
          <w:sz w:val="20"/>
          <w:szCs w:val="20"/>
        </w:rPr>
      </w:pPr>
      <w:r w:rsidRPr="008B3DE3">
        <w:rPr>
          <w:i/>
          <w:sz w:val="20"/>
          <w:szCs w:val="20"/>
        </w:rPr>
        <w:t>Charter of Rights</w:t>
      </w:r>
      <w:r w:rsidRPr="008B3DE3">
        <w:rPr>
          <w:sz w:val="20"/>
          <w:szCs w:val="20"/>
        </w:rPr>
        <w:t xml:space="preserve"> - Taxation - Assessments - Penalties - Misrepresentation of a tax matter by a third party - Whether an individual assessed a penalty under s. 163.2 of the </w:t>
      </w:r>
      <w:r w:rsidRPr="008B3DE3">
        <w:rPr>
          <w:i/>
          <w:sz w:val="20"/>
          <w:szCs w:val="20"/>
        </w:rPr>
        <w:t>Income Tax Act</w:t>
      </w:r>
      <w:r w:rsidRPr="008B3DE3">
        <w:rPr>
          <w:sz w:val="20"/>
          <w:szCs w:val="20"/>
        </w:rPr>
        <w:t>, R.S.C. 1985, c. 1 (5</w:t>
      </w:r>
      <w:r w:rsidRPr="008B3DE3">
        <w:rPr>
          <w:sz w:val="20"/>
          <w:szCs w:val="20"/>
          <w:vertAlign w:val="superscript"/>
        </w:rPr>
        <w:t>th</w:t>
      </w:r>
      <w:r w:rsidRPr="008B3DE3">
        <w:rPr>
          <w:sz w:val="20"/>
          <w:szCs w:val="20"/>
        </w:rPr>
        <w:t xml:space="preserve"> Supp.), is entitled to the rights guaranteed by s. 11 of the </w:t>
      </w:r>
      <w:r w:rsidRPr="008B3DE3">
        <w:rPr>
          <w:i/>
          <w:sz w:val="20"/>
          <w:szCs w:val="20"/>
        </w:rPr>
        <w:t>Canadian Charter of Rights and Freedoms</w:t>
      </w:r>
      <w:r w:rsidRPr="008B3DE3">
        <w:rPr>
          <w:sz w:val="20"/>
          <w:szCs w:val="20"/>
        </w:rPr>
        <w:t xml:space="preserve"> - Whether the requirement that a notice of constitutional question be served on the attorneys general is a matter going to the jurisdiction of the court to consider the constitutional issue - Application of </w:t>
      </w:r>
      <w:r w:rsidRPr="008B3DE3">
        <w:rPr>
          <w:i/>
          <w:sz w:val="20"/>
          <w:szCs w:val="20"/>
        </w:rPr>
        <w:t>R. v. Wigglesworth</w:t>
      </w:r>
      <w:r w:rsidRPr="008B3DE3">
        <w:rPr>
          <w:sz w:val="20"/>
          <w:szCs w:val="20"/>
        </w:rPr>
        <w:t xml:space="preserve">, [1987] 2 S.C.R. 541, and </w:t>
      </w:r>
      <w:r w:rsidRPr="008B3DE3">
        <w:rPr>
          <w:i/>
          <w:sz w:val="20"/>
          <w:szCs w:val="20"/>
        </w:rPr>
        <w:t xml:space="preserve">Martineau </w:t>
      </w:r>
      <w:r w:rsidRPr="008B3DE3">
        <w:rPr>
          <w:i/>
          <w:iCs/>
          <w:sz w:val="20"/>
          <w:szCs w:val="20"/>
        </w:rPr>
        <w:t xml:space="preserve">v. </w:t>
      </w:r>
      <w:r w:rsidRPr="008B3DE3">
        <w:rPr>
          <w:i/>
          <w:sz w:val="20"/>
          <w:szCs w:val="20"/>
        </w:rPr>
        <w:t>M.N.R.</w:t>
      </w:r>
      <w:r w:rsidRPr="008B3DE3">
        <w:rPr>
          <w:sz w:val="20"/>
          <w:szCs w:val="20"/>
        </w:rPr>
        <w:t>, [2004] 3 S.C.R. 737, 2004 SCC 81.</w:t>
      </w:r>
    </w:p>
    <w:p w:rsidR="005026CD" w:rsidRPr="008B3DE3" w:rsidRDefault="005026CD" w:rsidP="005026CD">
      <w:pPr>
        <w:widowControl w:val="0"/>
        <w:jc w:val="both"/>
        <w:rPr>
          <w:sz w:val="20"/>
          <w:szCs w:val="20"/>
        </w:rPr>
      </w:pPr>
    </w:p>
    <w:p w:rsidR="005026CD" w:rsidRPr="008B3DE3" w:rsidRDefault="005026CD" w:rsidP="005026CD">
      <w:pPr>
        <w:widowControl w:val="0"/>
        <w:jc w:val="both"/>
        <w:rPr>
          <w:sz w:val="20"/>
          <w:szCs w:val="20"/>
        </w:rPr>
      </w:pPr>
      <w:r w:rsidRPr="008B3DE3">
        <w:rPr>
          <w:sz w:val="20"/>
          <w:szCs w:val="20"/>
        </w:rPr>
        <w:t xml:space="preserve">The Minister of National Revenue assessed against Ms. Guindon, the appellant, penalties under s. 163.2 of the </w:t>
      </w:r>
      <w:r w:rsidRPr="008B3DE3">
        <w:rPr>
          <w:i/>
          <w:sz w:val="20"/>
          <w:szCs w:val="20"/>
        </w:rPr>
        <w:t>Income Tax Act</w:t>
      </w:r>
      <w:r w:rsidRPr="008B3DE3">
        <w:rPr>
          <w:sz w:val="20"/>
          <w:szCs w:val="20"/>
        </w:rPr>
        <w:t xml:space="preserve"> in the amount of $546,747, for false statements she made in the context of a charitable donation program. The Minister took the position that Ms. Guindon participated in, assented to or acquiesced in the making of 135 tax receipts she knew, or would reasonably be expected to have known, constituted false statements that could be used by participants in the donation program to claim an unwarranted tax credit under the </w:t>
      </w:r>
      <w:r w:rsidRPr="008B3DE3">
        <w:rPr>
          <w:i/>
          <w:sz w:val="20"/>
          <w:szCs w:val="20"/>
        </w:rPr>
        <w:t>Income Tax Act</w:t>
      </w:r>
      <w:r w:rsidRPr="008B3DE3">
        <w:rPr>
          <w:sz w:val="20"/>
          <w:szCs w:val="20"/>
        </w:rPr>
        <w:t xml:space="preserve">. Ms. Guindon appealed the assessment. She argued, among other things, that the third party penalty imposed under s. 163.2 of the </w:t>
      </w:r>
      <w:r w:rsidRPr="008B3DE3">
        <w:rPr>
          <w:i/>
          <w:sz w:val="20"/>
          <w:szCs w:val="20"/>
        </w:rPr>
        <w:t>Income Tax Act</w:t>
      </w:r>
      <w:r w:rsidRPr="008B3DE3">
        <w:rPr>
          <w:sz w:val="20"/>
          <w:szCs w:val="20"/>
        </w:rPr>
        <w:t xml:space="preserve"> is a provision with true penal consequences and therefore falls within the ambit of s. 11 of the </w:t>
      </w:r>
      <w:r w:rsidRPr="008B3DE3">
        <w:rPr>
          <w:i/>
          <w:sz w:val="20"/>
          <w:szCs w:val="20"/>
        </w:rPr>
        <w:t>Canadian Charter of Rights and Freedoms</w:t>
      </w:r>
      <w:r w:rsidRPr="008B3DE3">
        <w:rPr>
          <w:sz w:val="20"/>
          <w:szCs w:val="20"/>
        </w:rPr>
        <w:t>. Accordingly, she claimed she should have been entitled to the fundamental substantive and procedural legal rights for which that section provides, such as the right to be presumed innocent, which would raise the burden of proof from proof on a balance of probabilities to proof beyond a reasonable doubt. The Tax Court accepted Ms. Guindon’s argument and vacated the assessment. The Court of Appeal reversed that decision.</w:t>
      </w:r>
    </w:p>
    <w:p w:rsidR="005026CD" w:rsidRPr="008B3DE3" w:rsidRDefault="005026CD" w:rsidP="005026CD">
      <w:pPr>
        <w:widowControl w:val="0"/>
        <w:jc w:val="both"/>
        <w:rPr>
          <w:sz w:val="20"/>
          <w:szCs w:val="20"/>
        </w:rPr>
      </w:pPr>
    </w:p>
    <w:p w:rsidR="005026CD" w:rsidRPr="008B3DE3" w:rsidRDefault="005026CD" w:rsidP="005026CD">
      <w:pPr>
        <w:widowControl w:val="0"/>
        <w:jc w:val="both"/>
        <w:rPr>
          <w:sz w:val="20"/>
          <w:szCs w:val="20"/>
        </w:rPr>
      </w:pPr>
    </w:p>
    <w:p w:rsidR="005026CD" w:rsidRPr="008B3DE3" w:rsidRDefault="005026CD" w:rsidP="005026CD">
      <w:pPr>
        <w:widowControl w:val="0"/>
        <w:ind w:left="2880" w:hanging="2880"/>
        <w:jc w:val="both"/>
        <w:rPr>
          <w:sz w:val="20"/>
          <w:szCs w:val="20"/>
        </w:rPr>
      </w:pPr>
      <w:r w:rsidRPr="008B3DE3">
        <w:rPr>
          <w:sz w:val="20"/>
          <w:szCs w:val="20"/>
        </w:rPr>
        <w:t>Origin of the case:</w:t>
      </w:r>
      <w:r w:rsidRPr="008B3DE3">
        <w:rPr>
          <w:sz w:val="20"/>
          <w:szCs w:val="20"/>
        </w:rPr>
        <w:tab/>
        <w:t>Federal Court of Appeal</w:t>
      </w:r>
    </w:p>
    <w:p w:rsidR="005026CD" w:rsidRPr="008B3DE3" w:rsidRDefault="005026CD" w:rsidP="005026CD">
      <w:pPr>
        <w:widowControl w:val="0"/>
        <w:ind w:left="2880" w:hanging="2880"/>
        <w:jc w:val="both"/>
        <w:rPr>
          <w:sz w:val="20"/>
          <w:szCs w:val="20"/>
        </w:rPr>
      </w:pPr>
    </w:p>
    <w:p w:rsidR="005026CD" w:rsidRPr="008B3DE3" w:rsidRDefault="005026CD" w:rsidP="005026CD">
      <w:pPr>
        <w:widowControl w:val="0"/>
        <w:ind w:left="2880" w:hanging="2880"/>
        <w:jc w:val="both"/>
        <w:rPr>
          <w:sz w:val="20"/>
          <w:szCs w:val="20"/>
        </w:rPr>
      </w:pPr>
      <w:r w:rsidRPr="008B3DE3">
        <w:rPr>
          <w:sz w:val="20"/>
          <w:szCs w:val="20"/>
        </w:rPr>
        <w:t>File No.:</w:t>
      </w:r>
      <w:r w:rsidRPr="008B3DE3">
        <w:rPr>
          <w:sz w:val="20"/>
          <w:szCs w:val="20"/>
        </w:rPr>
        <w:tab/>
        <w:t>35519</w:t>
      </w:r>
    </w:p>
    <w:p w:rsidR="005026CD" w:rsidRPr="008B3DE3" w:rsidRDefault="005026CD" w:rsidP="005026CD">
      <w:pPr>
        <w:widowControl w:val="0"/>
        <w:ind w:left="2880" w:hanging="2880"/>
        <w:jc w:val="both"/>
        <w:rPr>
          <w:sz w:val="20"/>
          <w:szCs w:val="20"/>
        </w:rPr>
      </w:pPr>
    </w:p>
    <w:p w:rsidR="005026CD" w:rsidRPr="008B3DE3" w:rsidRDefault="005026CD" w:rsidP="005026CD">
      <w:pPr>
        <w:widowControl w:val="0"/>
        <w:ind w:left="2880" w:hanging="2880"/>
        <w:jc w:val="both"/>
        <w:rPr>
          <w:sz w:val="20"/>
          <w:szCs w:val="20"/>
        </w:rPr>
      </w:pPr>
      <w:r w:rsidRPr="008B3DE3">
        <w:rPr>
          <w:sz w:val="20"/>
          <w:szCs w:val="20"/>
        </w:rPr>
        <w:t>Judgment of the Court of Appeal:</w:t>
      </w:r>
      <w:r w:rsidRPr="008B3DE3">
        <w:rPr>
          <w:sz w:val="20"/>
          <w:szCs w:val="20"/>
        </w:rPr>
        <w:tab/>
        <w:t>June 12, 2013</w:t>
      </w:r>
    </w:p>
    <w:p w:rsidR="005026CD" w:rsidRPr="008B3DE3" w:rsidRDefault="005026CD" w:rsidP="005026CD">
      <w:pPr>
        <w:widowControl w:val="0"/>
        <w:ind w:left="2880" w:hanging="2880"/>
        <w:jc w:val="both"/>
        <w:rPr>
          <w:sz w:val="20"/>
          <w:szCs w:val="20"/>
        </w:rPr>
      </w:pPr>
    </w:p>
    <w:p w:rsidR="005026CD" w:rsidRPr="008B3DE3" w:rsidRDefault="005026CD" w:rsidP="005026CD">
      <w:pPr>
        <w:widowControl w:val="0"/>
        <w:ind w:left="2880" w:hanging="2880"/>
        <w:jc w:val="both"/>
        <w:rPr>
          <w:sz w:val="20"/>
          <w:szCs w:val="20"/>
        </w:rPr>
      </w:pPr>
      <w:r w:rsidRPr="008B3DE3">
        <w:rPr>
          <w:sz w:val="20"/>
          <w:szCs w:val="20"/>
        </w:rPr>
        <w:t>Counsel:</w:t>
      </w:r>
      <w:r w:rsidRPr="008B3DE3">
        <w:rPr>
          <w:sz w:val="20"/>
          <w:szCs w:val="20"/>
        </w:rPr>
        <w:tab/>
        <w:t>Adam Aptowitzer, Arthur Drache, C.M., Q.C., and Alexandra Tzannidakis for the appellant</w:t>
      </w:r>
    </w:p>
    <w:p w:rsidR="005026CD" w:rsidRDefault="005026CD" w:rsidP="005026CD">
      <w:pPr>
        <w:widowControl w:val="0"/>
        <w:ind w:left="2880" w:hanging="2880"/>
        <w:jc w:val="both"/>
        <w:rPr>
          <w:sz w:val="20"/>
          <w:szCs w:val="20"/>
        </w:rPr>
      </w:pPr>
      <w:r w:rsidRPr="008B3DE3">
        <w:rPr>
          <w:sz w:val="20"/>
          <w:szCs w:val="20"/>
        </w:rPr>
        <w:tab/>
        <w:t>William F. Pentney for the respondent</w:t>
      </w:r>
    </w:p>
    <w:p w:rsidR="005026CD" w:rsidRPr="008B3DE3" w:rsidRDefault="005026CD" w:rsidP="005026CD">
      <w:pPr>
        <w:widowControl w:val="0"/>
        <w:jc w:val="both"/>
        <w:rPr>
          <w:sz w:val="20"/>
          <w:szCs w:val="20"/>
        </w:rPr>
      </w:pPr>
    </w:p>
    <w:p w:rsidR="001662A9" w:rsidRPr="00DD0B49" w:rsidRDefault="00690162" w:rsidP="001662A9">
      <w:pPr>
        <w:tabs>
          <w:tab w:val="left" w:pos="-1440"/>
          <w:tab w:val="left" w:pos="-720"/>
        </w:tabs>
        <w:jc w:val="both"/>
        <w:rPr>
          <w:sz w:val="20"/>
          <w:szCs w:val="20"/>
          <w:lang w:val="fr-CA"/>
        </w:rPr>
      </w:pPr>
      <w:r>
        <w:rPr>
          <w:sz w:val="20"/>
          <w:szCs w:val="20"/>
          <w:lang w:val="fr-CA"/>
        </w:rPr>
        <w:pict>
          <v:rect id="_x0000_i1108" style="width:2in;height:1pt" o:hrpct="0" o:hralign="center" o:hrstd="t" o:hrnoshade="t" o:hr="t" fillcolor="black [3213]" stroked="f"/>
        </w:pict>
      </w:r>
    </w:p>
    <w:p w:rsidR="001662A9" w:rsidRDefault="001662A9">
      <w:pPr>
        <w:rPr>
          <w:sz w:val="20"/>
          <w:szCs w:val="20"/>
          <w:lang w:val="fr-CA"/>
        </w:rPr>
      </w:pPr>
      <w:r>
        <w:rPr>
          <w:sz w:val="20"/>
          <w:szCs w:val="20"/>
          <w:lang w:val="fr-CA"/>
        </w:rPr>
        <w:br w:type="page"/>
      </w:r>
    </w:p>
    <w:p w:rsidR="00BD4770" w:rsidRPr="00537C0F" w:rsidRDefault="00D921D7" w:rsidP="00BD4770">
      <w:pPr>
        <w:widowControl w:val="0"/>
        <w:ind w:left="720" w:hanging="720"/>
        <w:jc w:val="both"/>
        <w:rPr>
          <w:sz w:val="20"/>
          <w:szCs w:val="20"/>
          <w:lang w:val="fr-CA"/>
        </w:rPr>
      </w:pPr>
      <w:r w:rsidRPr="00537C0F">
        <w:rPr>
          <w:b/>
          <w:sz w:val="20"/>
          <w:szCs w:val="20"/>
          <w:lang w:val="fr-CA"/>
        </w:rPr>
        <w:lastRenderedPageBreak/>
        <w:fldChar w:fldCharType="begin"/>
      </w:r>
      <w:r w:rsidR="00BD4770" w:rsidRPr="00537C0F">
        <w:rPr>
          <w:b/>
          <w:sz w:val="20"/>
          <w:szCs w:val="20"/>
          <w:lang w:val="fr-CA"/>
        </w:rPr>
        <w:instrText xml:space="preserve"> SEQ CHAPTER \h \r 1</w:instrText>
      </w:r>
      <w:r w:rsidRPr="00537C0F">
        <w:rPr>
          <w:b/>
          <w:sz w:val="20"/>
          <w:szCs w:val="20"/>
          <w:lang w:val="fr-CA"/>
        </w:rPr>
        <w:fldChar w:fldCharType="end"/>
      </w:r>
      <w:r w:rsidR="00BD4770" w:rsidRPr="00537C0F">
        <w:rPr>
          <w:b/>
          <w:sz w:val="20"/>
          <w:szCs w:val="20"/>
          <w:lang w:val="fr-CA"/>
        </w:rPr>
        <w:t>35519</w:t>
      </w:r>
      <w:r w:rsidR="00BD4770" w:rsidRPr="00537C0F">
        <w:rPr>
          <w:sz w:val="20"/>
          <w:szCs w:val="20"/>
          <w:lang w:val="fr-CA"/>
        </w:rPr>
        <w:tab/>
      </w:r>
      <w:r w:rsidR="00BD4770" w:rsidRPr="00537C0F">
        <w:rPr>
          <w:b/>
          <w:i/>
          <w:sz w:val="20"/>
          <w:szCs w:val="20"/>
          <w:lang w:val="fr-CA"/>
        </w:rPr>
        <w:t>Julie Guindon c. Sa Majesté la Reine</w:t>
      </w:r>
    </w:p>
    <w:p w:rsidR="00BD4770" w:rsidRPr="00537C0F" w:rsidRDefault="00BD4770" w:rsidP="00BD4770">
      <w:pPr>
        <w:widowControl w:val="0"/>
        <w:jc w:val="both"/>
        <w:rPr>
          <w:sz w:val="20"/>
          <w:szCs w:val="20"/>
          <w:lang w:val="fr-CA"/>
        </w:rPr>
      </w:pPr>
    </w:p>
    <w:p w:rsidR="00752469" w:rsidRPr="00E02B59" w:rsidRDefault="00752469" w:rsidP="00752469">
      <w:pPr>
        <w:jc w:val="both"/>
        <w:rPr>
          <w:sz w:val="20"/>
          <w:szCs w:val="20"/>
          <w:lang w:val="fr-CA"/>
        </w:rPr>
      </w:pPr>
      <w:r w:rsidRPr="00E02B59">
        <w:rPr>
          <w:i/>
          <w:sz w:val="20"/>
          <w:szCs w:val="20"/>
          <w:lang w:val="fr-CA"/>
        </w:rPr>
        <w:t>Charte des droits</w:t>
      </w:r>
      <w:r w:rsidRPr="00E02B59">
        <w:rPr>
          <w:sz w:val="20"/>
          <w:szCs w:val="20"/>
          <w:lang w:val="fr-CA"/>
        </w:rPr>
        <w:t xml:space="preserve"> - Droit fiscal - Cotisations - Pénalités - Information trompeuse donnée par un tiers sur une question fiscale - Le particulier qui se voit imposer une pénalité en application de l’art. 163.2 de la </w:t>
      </w:r>
      <w:r w:rsidRPr="00E02B59">
        <w:rPr>
          <w:i/>
          <w:sz w:val="20"/>
          <w:szCs w:val="20"/>
          <w:lang w:val="fr-CA"/>
        </w:rPr>
        <w:t>Loi de l’impôt sur le revenu</w:t>
      </w:r>
      <w:r w:rsidRPr="00E02B59">
        <w:rPr>
          <w:sz w:val="20"/>
          <w:szCs w:val="20"/>
          <w:lang w:val="fr-CA"/>
        </w:rPr>
        <w:t>, L.R.C. 1985, ch. 1 (5</w:t>
      </w:r>
      <w:r w:rsidRPr="00E02B59">
        <w:rPr>
          <w:sz w:val="20"/>
          <w:szCs w:val="20"/>
          <w:vertAlign w:val="superscript"/>
          <w:lang w:val="fr-CA"/>
        </w:rPr>
        <w:t>e</w:t>
      </w:r>
      <w:r w:rsidRPr="00E02B59">
        <w:rPr>
          <w:sz w:val="20"/>
          <w:szCs w:val="20"/>
          <w:lang w:val="fr-CA"/>
        </w:rPr>
        <w:t xml:space="preserve"> suppl.) dispose-t-il des droits garantis par l’art. 11 de la </w:t>
      </w:r>
      <w:r w:rsidRPr="00E02B59">
        <w:rPr>
          <w:i/>
          <w:sz w:val="20"/>
          <w:szCs w:val="20"/>
          <w:lang w:val="fr-CA"/>
        </w:rPr>
        <w:t>Charte canadienne des droits et libertés</w:t>
      </w:r>
      <w:r w:rsidRPr="00E02B59">
        <w:rPr>
          <w:sz w:val="20"/>
          <w:szCs w:val="20"/>
          <w:lang w:val="fr-CA"/>
        </w:rPr>
        <w:t xml:space="preserve">? - Un tribunal n’est-il compétent à l’égard d’une question constitutionnelle que si l’on a signifié un avis de question constitutionnelle aux procureurs généraux? - Application de </w:t>
      </w:r>
      <w:r w:rsidRPr="00E02B59">
        <w:rPr>
          <w:i/>
          <w:sz w:val="20"/>
          <w:szCs w:val="20"/>
          <w:lang w:val="fr-CA"/>
        </w:rPr>
        <w:t>R. c. Wigglesworth</w:t>
      </w:r>
      <w:r w:rsidRPr="00E02B59">
        <w:rPr>
          <w:sz w:val="20"/>
          <w:szCs w:val="20"/>
          <w:lang w:val="fr-CA"/>
        </w:rPr>
        <w:t xml:space="preserve">, [1987] 2 R.C.S. 541 et de </w:t>
      </w:r>
      <w:r w:rsidRPr="00E02B59">
        <w:rPr>
          <w:i/>
          <w:sz w:val="20"/>
          <w:szCs w:val="20"/>
          <w:lang w:val="fr-CA"/>
        </w:rPr>
        <w:t xml:space="preserve">Martineau </w:t>
      </w:r>
      <w:r w:rsidRPr="00E02B59">
        <w:rPr>
          <w:i/>
          <w:iCs/>
          <w:sz w:val="20"/>
          <w:szCs w:val="20"/>
          <w:lang w:val="fr-CA"/>
        </w:rPr>
        <w:t xml:space="preserve">c. </w:t>
      </w:r>
      <w:r w:rsidRPr="00E02B59">
        <w:rPr>
          <w:i/>
          <w:sz w:val="20"/>
          <w:szCs w:val="20"/>
          <w:lang w:val="fr-CA"/>
        </w:rPr>
        <w:t>M.R.N.</w:t>
      </w:r>
      <w:r w:rsidRPr="00E02B59">
        <w:rPr>
          <w:sz w:val="20"/>
          <w:szCs w:val="20"/>
          <w:lang w:val="fr-CA"/>
        </w:rPr>
        <w:t>, [2004] 3 R.C.S. 737, 2004 CSC 81.</w:t>
      </w:r>
    </w:p>
    <w:p w:rsidR="00752469" w:rsidRPr="00E02B59" w:rsidRDefault="00752469" w:rsidP="00752469">
      <w:pPr>
        <w:widowControl w:val="0"/>
        <w:jc w:val="both"/>
        <w:rPr>
          <w:sz w:val="20"/>
          <w:szCs w:val="20"/>
          <w:lang w:val="fr-CA"/>
        </w:rPr>
      </w:pPr>
    </w:p>
    <w:p w:rsidR="00752469" w:rsidRPr="00E02B59" w:rsidRDefault="00752469" w:rsidP="00752469">
      <w:pPr>
        <w:widowControl w:val="0"/>
        <w:jc w:val="both"/>
        <w:rPr>
          <w:sz w:val="20"/>
          <w:szCs w:val="20"/>
          <w:lang w:val="fr-CA"/>
        </w:rPr>
      </w:pPr>
      <w:r w:rsidRPr="00E02B59">
        <w:rPr>
          <w:sz w:val="20"/>
          <w:szCs w:val="20"/>
          <w:lang w:val="fr-CA"/>
        </w:rPr>
        <w:t>Le ministre du Revenu national a imposé à Mme Guindon, l’appelante, en application de l’article 163.2 de la </w:t>
      </w:r>
      <w:r w:rsidRPr="00E02B59">
        <w:rPr>
          <w:i/>
          <w:sz w:val="20"/>
          <w:szCs w:val="20"/>
          <w:lang w:val="fr-CA"/>
        </w:rPr>
        <w:t>Loi de l’impôt sur le revenu</w:t>
      </w:r>
      <w:r w:rsidRPr="00E02B59">
        <w:rPr>
          <w:sz w:val="20"/>
          <w:szCs w:val="20"/>
          <w:lang w:val="fr-CA"/>
        </w:rPr>
        <w:t>, des pénalités de 546 747 $ à l’égard de faux énoncés qu’elle a faits au sujet d’un programme de dons de bienfaisance.  Selon le ministre, Mme Guindon aurait participé, consenti ou acquiescé à l’établissement de 135 reçus d’impôt dont elle savait ou aurait dû savoir qu’ils constituaient de faux énoncés que les participants au programme de dons pouvaient utiliser pour demander un crédit d’impôt injustifié sous le régime de la </w:t>
      </w:r>
      <w:r w:rsidRPr="00E02B59">
        <w:rPr>
          <w:i/>
          <w:iCs/>
          <w:sz w:val="20"/>
          <w:szCs w:val="20"/>
          <w:lang w:val="fr-CA"/>
        </w:rPr>
        <w:t>Loi de l’impôt sur le revenu</w:t>
      </w:r>
      <w:r w:rsidRPr="00E02B59">
        <w:rPr>
          <w:sz w:val="20"/>
          <w:szCs w:val="20"/>
          <w:lang w:val="fr-CA"/>
        </w:rPr>
        <w:t>.  Madame Guindon a interjeté appel de la cotisation.  Elle a notamment plaidé que la pénalité imposée à un tiers en vertu de l’article 163.2 de la </w:t>
      </w:r>
      <w:r w:rsidRPr="00E02B59">
        <w:rPr>
          <w:i/>
          <w:sz w:val="20"/>
          <w:szCs w:val="20"/>
          <w:lang w:val="fr-CA"/>
        </w:rPr>
        <w:t>Loi de l’impôt sur le revenu</w:t>
      </w:r>
      <w:r w:rsidRPr="00E02B59">
        <w:rPr>
          <w:sz w:val="20"/>
          <w:szCs w:val="20"/>
          <w:lang w:val="fr-CA"/>
        </w:rPr>
        <w:t xml:space="preserve"> menait à une véritable conséquence pénale, si bien que l’art. 11 de la </w:t>
      </w:r>
      <w:r w:rsidRPr="00E02B59">
        <w:rPr>
          <w:i/>
          <w:sz w:val="20"/>
          <w:szCs w:val="20"/>
          <w:lang w:val="fr-CA"/>
        </w:rPr>
        <w:t xml:space="preserve">Charte canadienne des droits et libertés </w:t>
      </w:r>
      <w:r w:rsidRPr="00E02B59">
        <w:rPr>
          <w:sz w:val="20"/>
          <w:szCs w:val="20"/>
          <w:lang w:val="fr-CA"/>
        </w:rPr>
        <w:t>s’applique.  En conséquence, elle allègue qu’elle aurait dû disposer des droits de fond et des droits procéduraux fondamentaux que garantit cet article, notamment le droit d’être présumé innocent, qui ferait passer le fardeau de la preuve selon la prépondérance des probabilités à la preuve hors de tout doute raisonnable.  La Cour de l’impôt a donné gain de cause à Mme Guindon et a annulé la cotisation.  La Cour d’appel a infirmé cette décision.</w:t>
      </w:r>
    </w:p>
    <w:p w:rsidR="00BD4770" w:rsidRPr="00537C0F" w:rsidRDefault="00BD4770" w:rsidP="00BD4770">
      <w:pPr>
        <w:widowControl w:val="0"/>
        <w:jc w:val="both"/>
        <w:rPr>
          <w:sz w:val="20"/>
          <w:szCs w:val="20"/>
          <w:lang w:val="fr-CA"/>
        </w:rPr>
      </w:pPr>
    </w:p>
    <w:p w:rsidR="00BD4770" w:rsidRPr="00537C0F" w:rsidRDefault="00BD4770" w:rsidP="00BD4770">
      <w:pPr>
        <w:widowControl w:val="0"/>
        <w:jc w:val="both"/>
        <w:rPr>
          <w:sz w:val="20"/>
          <w:szCs w:val="20"/>
          <w:lang w:val="fr-CA"/>
        </w:rPr>
      </w:pPr>
    </w:p>
    <w:p w:rsidR="00BD4770" w:rsidRPr="00537C0F" w:rsidRDefault="00BD4770" w:rsidP="00BD4770">
      <w:pPr>
        <w:widowControl w:val="0"/>
        <w:ind w:left="2880" w:hanging="2880"/>
        <w:jc w:val="both"/>
        <w:rPr>
          <w:sz w:val="20"/>
          <w:szCs w:val="20"/>
          <w:lang w:val="fr-CA"/>
        </w:rPr>
      </w:pPr>
      <w:r w:rsidRPr="00537C0F">
        <w:rPr>
          <w:sz w:val="20"/>
          <w:szCs w:val="20"/>
          <w:lang w:val="fr-CA"/>
        </w:rPr>
        <w:t>Origine :</w:t>
      </w:r>
      <w:r w:rsidRPr="00537C0F">
        <w:rPr>
          <w:sz w:val="20"/>
          <w:szCs w:val="20"/>
          <w:lang w:val="fr-CA"/>
        </w:rPr>
        <w:tab/>
        <w:t>Cour d’appel fédérale</w:t>
      </w:r>
    </w:p>
    <w:p w:rsidR="00BD4770" w:rsidRPr="00537C0F" w:rsidRDefault="00BD4770" w:rsidP="00BD4770">
      <w:pPr>
        <w:widowControl w:val="0"/>
        <w:ind w:left="2880" w:hanging="2880"/>
        <w:jc w:val="both"/>
        <w:rPr>
          <w:sz w:val="20"/>
          <w:szCs w:val="20"/>
          <w:lang w:val="fr-CA"/>
        </w:rPr>
      </w:pPr>
    </w:p>
    <w:p w:rsidR="00BD4770" w:rsidRPr="00537C0F" w:rsidRDefault="00BD4770" w:rsidP="00BD4770">
      <w:pPr>
        <w:widowControl w:val="0"/>
        <w:ind w:left="2880" w:hanging="2880"/>
        <w:jc w:val="both"/>
        <w:rPr>
          <w:sz w:val="20"/>
          <w:szCs w:val="20"/>
          <w:lang w:val="fr-CA"/>
        </w:rPr>
      </w:pPr>
      <w:r w:rsidRPr="00537C0F">
        <w:rPr>
          <w:sz w:val="20"/>
          <w:szCs w:val="20"/>
          <w:lang w:val="fr-CA"/>
        </w:rPr>
        <w:t>N</w:t>
      </w:r>
      <w:r w:rsidRPr="00537C0F">
        <w:rPr>
          <w:sz w:val="20"/>
          <w:szCs w:val="20"/>
          <w:vertAlign w:val="superscript"/>
          <w:lang w:val="fr-CA"/>
        </w:rPr>
        <w:t>o</w:t>
      </w:r>
      <w:r w:rsidRPr="00537C0F">
        <w:rPr>
          <w:sz w:val="20"/>
          <w:szCs w:val="20"/>
          <w:lang w:val="fr-CA"/>
        </w:rPr>
        <w:t xml:space="preserve"> du greffe :</w:t>
      </w:r>
      <w:r w:rsidRPr="00537C0F">
        <w:rPr>
          <w:sz w:val="20"/>
          <w:szCs w:val="20"/>
          <w:lang w:val="fr-CA"/>
        </w:rPr>
        <w:tab/>
        <w:t>35519</w:t>
      </w:r>
    </w:p>
    <w:p w:rsidR="00BD4770" w:rsidRPr="00537C0F" w:rsidRDefault="00BD4770" w:rsidP="00BD4770">
      <w:pPr>
        <w:widowControl w:val="0"/>
        <w:ind w:left="2880" w:hanging="2880"/>
        <w:jc w:val="both"/>
        <w:rPr>
          <w:sz w:val="20"/>
          <w:szCs w:val="20"/>
          <w:lang w:val="fr-CA"/>
        </w:rPr>
      </w:pPr>
    </w:p>
    <w:p w:rsidR="00BD4770" w:rsidRPr="00537C0F" w:rsidRDefault="00BD4770" w:rsidP="00BD4770">
      <w:pPr>
        <w:widowControl w:val="0"/>
        <w:ind w:left="2880" w:hanging="2880"/>
        <w:jc w:val="both"/>
        <w:rPr>
          <w:sz w:val="20"/>
          <w:szCs w:val="20"/>
          <w:lang w:val="fr-CA"/>
        </w:rPr>
      </w:pPr>
      <w:r w:rsidRPr="00537C0F">
        <w:rPr>
          <w:sz w:val="20"/>
          <w:szCs w:val="20"/>
          <w:lang w:val="fr-CA"/>
        </w:rPr>
        <w:t>Arrêt de la Cour d’appel :</w:t>
      </w:r>
      <w:r w:rsidRPr="00537C0F">
        <w:rPr>
          <w:sz w:val="20"/>
          <w:szCs w:val="20"/>
          <w:lang w:val="fr-CA"/>
        </w:rPr>
        <w:tab/>
        <w:t>le 12 juin 2013</w:t>
      </w:r>
    </w:p>
    <w:p w:rsidR="00BD4770" w:rsidRPr="00537C0F" w:rsidRDefault="00BD4770" w:rsidP="00BD4770">
      <w:pPr>
        <w:widowControl w:val="0"/>
        <w:ind w:left="2880" w:hanging="2880"/>
        <w:jc w:val="both"/>
        <w:rPr>
          <w:sz w:val="20"/>
          <w:szCs w:val="20"/>
          <w:lang w:val="fr-CA"/>
        </w:rPr>
      </w:pPr>
    </w:p>
    <w:p w:rsidR="00BD4770" w:rsidRPr="00537C0F" w:rsidRDefault="00BD4770" w:rsidP="00BD4770">
      <w:pPr>
        <w:widowControl w:val="0"/>
        <w:ind w:left="2880" w:hanging="2880"/>
        <w:jc w:val="both"/>
        <w:rPr>
          <w:sz w:val="20"/>
          <w:szCs w:val="20"/>
          <w:lang w:val="fr-CA"/>
        </w:rPr>
      </w:pPr>
      <w:r w:rsidRPr="00537C0F">
        <w:rPr>
          <w:sz w:val="20"/>
          <w:szCs w:val="20"/>
          <w:lang w:val="fr-CA"/>
        </w:rPr>
        <w:t>Avocats :</w:t>
      </w:r>
      <w:r w:rsidRPr="00537C0F">
        <w:rPr>
          <w:sz w:val="20"/>
          <w:szCs w:val="20"/>
          <w:lang w:val="fr-CA"/>
        </w:rPr>
        <w:tab/>
        <w:t>Adam Aptowitzer, Arthur Drache, C.M., c.r., et Alexandra Tzannidakis pour l’appelante</w:t>
      </w:r>
    </w:p>
    <w:p w:rsidR="00BD4770" w:rsidRPr="00537C0F" w:rsidRDefault="00BD4770" w:rsidP="00BD4770">
      <w:pPr>
        <w:widowControl w:val="0"/>
        <w:ind w:left="2880" w:hanging="2880"/>
        <w:jc w:val="both"/>
        <w:rPr>
          <w:sz w:val="20"/>
          <w:szCs w:val="20"/>
          <w:lang w:val="fr-CA"/>
        </w:rPr>
      </w:pPr>
      <w:r w:rsidRPr="00537C0F">
        <w:rPr>
          <w:sz w:val="20"/>
          <w:szCs w:val="20"/>
          <w:lang w:val="fr-CA"/>
        </w:rPr>
        <w:tab/>
        <w:t>William F. Pentney pour l’intimée</w:t>
      </w:r>
    </w:p>
    <w:p w:rsidR="001662A9" w:rsidRPr="00DD0B49" w:rsidRDefault="001662A9" w:rsidP="001662A9">
      <w:pPr>
        <w:tabs>
          <w:tab w:val="left" w:pos="-1440"/>
          <w:tab w:val="left" w:pos="-720"/>
        </w:tabs>
        <w:jc w:val="both"/>
        <w:rPr>
          <w:sz w:val="20"/>
          <w:szCs w:val="20"/>
          <w:lang w:val="fr-CA"/>
        </w:rPr>
      </w:pPr>
    </w:p>
    <w:p w:rsidR="001662A9" w:rsidRPr="00DD0B49" w:rsidRDefault="00690162" w:rsidP="001662A9">
      <w:pPr>
        <w:tabs>
          <w:tab w:val="left" w:pos="-1440"/>
          <w:tab w:val="left" w:pos="-720"/>
        </w:tabs>
        <w:jc w:val="both"/>
        <w:rPr>
          <w:sz w:val="20"/>
          <w:szCs w:val="20"/>
          <w:lang w:val="fr-CA"/>
        </w:rPr>
      </w:pPr>
      <w:r>
        <w:rPr>
          <w:sz w:val="20"/>
          <w:szCs w:val="20"/>
          <w:lang w:val="fr-CA"/>
        </w:rPr>
        <w:pict>
          <v:rect id="_x0000_i1109" style="width:2in;height:1pt" o:hrpct="0" o:hralign="center" o:hrstd="t" o:hrnoshade="t" o:hr="t" fillcolor="black [3213]" stroked="f"/>
        </w:pict>
      </w:r>
    </w:p>
    <w:p w:rsidR="001662A9" w:rsidRDefault="001662A9">
      <w:pPr>
        <w:rPr>
          <w:sz w:val="20"/>
          <w:szCs w:val="20"/>
          <w:lang w:val="fr-CA"/>
        </w:rPr>
      </w:pPr>
      <w:r>
        <w:rPr>
          <w:sz w:val="20"/>
          <w:szCs w:val="20"/>
          <w:lang w:val="fr-CA"/>
        </w:rPr>
        <w:br w:type="page"/>
      </w:r>
    </w:p>
    <w:p w:rsidR="00B70C19" w:rsidRPr="00AA5DDA" w:rsidRDefault="00D921D7" w:rsidP="00B70C19">
      <w:pPr>
        <w:widowControl w:val="0"/>
        <w:ind w:left="720" w:hanging="720"/>
        <w:jc w:val="both"/>
        <w:rPr>
          <w:sz w:val="20"/>
          <w:szCs w:val="20"/>
        </w:rPr>
      </w:pPr>
      <w:r w:rsidRPr="00AA5DDA">
        <w:rPr>
          <w:b/>
          <w:sz w:val="20"/>
          <w:szCs w:val="20"/>
        </w:rPr>
        <w:lastRenderedPageBreak/>
        <w:fldChar w:fldCharType="begin"/>
      </w:r>
      <w:r w:rsidR="00B70C19" w:rsidRPr="00AA5DDA">
        <w:rPr>
          <w:b/>
          <w:sz w:val="20"/>
          <w:szCs w:val="20"/>
        </w:rPr>
        <w:instrText xml:space="preserve"> SEQ CHAPTER \h \r 1</w:instrText>
      </w:r>
      <w:r w:rsidRPr="00AA5DDA">
        <w:rPr>
          <w:b/>
          <w:sz w:val="20"/>
          <w:szCs w:val="20"/>
        </w:rPr>
        <w:fldChar w:fldCharType="end"/>
      </w:r>
      <w:r w:rsidR="00B70C19" w:rsidRPr="00AA5DDA">
        <w:rPr>
          <w:b/>
          <w:sz w:val="20"/>
          <w:szCs w:val="20"/>
        </w:rPr>
        <w:t>35822</w:t>
      </w:r>
      <w:r w:rsidR="00B70C19" w:rsidRPr="00AA5DDA">
        <w:rPr>
          <w:sz w:val="20"/>
          <w:szCs w:val="20"/>
        </w:rPr>
        <w:tab/>
      </w:r>
      <w:r w:rsidR="00B70C19" w:rsidRPr="00AA5DDA">
        <w:rPr>
          <w:b/>
          <w:i/>
          <w:sz w:val="20"/>
          <w:szCs w:val="20"/>
        </w:rPr>
        <w:t>Ryan Paul Day v. Her Majesty the Queen</w:t>
      </w:r>
    </w:p>
    <w:p w:rsidR="00B70C19" w:rsidRPr="00AA5DDA" w:rsidRDefault="00B70C19" w:rsidP="00B70C19">
      <w:pPr>
        <w:widowControl w:val="0"/>
        <w:jc w:val="both"/>
        <w:rPr>
          <w:sz w:val="20"/>
          <w:szCs w:val="20"/>
        </w:rPr>
      </w:pPr>
    </w:p>
    <w:p w:rsidR="00B70C19" w:rsidRPr="00AA5DDA" w:rsidRDefault="00B70C19" w:rsidP="00B70C19">
      <w:pPr>
        <w:widowControl w:val="0"/>
        <w:jc w:val="both"/>
        <w:rPr>
          <w:sz w:val="20"/>
          <w:szCs w:val="20"/>
        </w:rPr>
      </w:pPr>
      <w:r w:rsidRPr="00AA5DDA">
        <w:rPr>
          <w:i/>
          <w:sz w:val="20"/>
          <w:szCs w:val="20"/>
        </w:rPr>
        <w:t>Charter of Rights</w:t>
      </w:r>
      <w:r w:rsidRPr="00AA5DDA">
        <w:rPr>
          <w:sz w:val="20"/>
          <w:szCs w:val="20"/>
        </w:rPr>
        <w:t xml:space="preserve"> - Criminal law - Arbitrary detention - Unreasonable search and seizure - Exclusion of evidence - </w:t>
      </w:r>
      <w:r w:rsidRPr="00AA5DDA">
        <w:rPr>
          <w:i/>
          <w:sz w:val="20"/>
          <w:szCs w:val="20"/>
        </w:rPr>
        <w:t>Canadian Charter of Rights and Freedoms</w:t>
      </w:r>
      <w:r w:rsidRPr="00AA5DDA">
        <w:rPr>
          <w:sz w:val="20"/>
          <w:szCs w:val="20"/>
        </w:rPr>
        <w:t>, ss. 8, 9 and 24(2).</w:t>
      </w:r>
    </w:p>
    <w:p w:rsidR="00B70C19" w:rsidRPr="00AA5DDA" w:rsidRDefault="00B70C19" w:rsidP="00B70C19">
      <w:pPr>
        <w:widowControl w:val="0"/>
        <w:jc w:val="both"/>
        <w:rPr>
          <w:sz w:val="20"/>
          <w:szCs w:val="20"/>
        </w:rPr>
      </w:pPr>
    </w:p>
    <w:p w:rsidR="00B70C19" w:rsidRPr="00AA5DDA" w:rsidRDefault="00B70C19" w:rsidP="00B70C19">
      <w:pPr>
        <w:widowControl w:val="0"/>
        <w:jc w:val="both"/>
        <w:rPr>
          <w:sz w:val="20"/>
          <w:szCs w:val="20"/>
        </w:rPr>
      </w:pPr>
      <w:r w:rsidRPr="00AA5DDA">
        <w:rPr>
          <w:sz w:val="20"/>
          <w:szCs w:val="20"/>
        </w:rPr>
        <w:t xml:space="preserve">The appellant was acquitted of possession of marihuana for the purpose of trafficking.  The trial judge found that the appellant’s arrest was unlawful and that his s. 8 and 9 </w:t>
      </w:r>
      <w:r w:rsidRPr="00AA5DDA">
        <w:rPr>
          <w:i/>
          <w:sz w:val="20"/>
          <w:szCs w:val="20"/>
        </w:rPr>
        <w:t xml:space="preserve">Charter </w:t>
      </w:r>
      <w:r w:rsidRPr="00AA5DDA">
        <w:rPr>
          <w:sz w:val="20"/>
          <w:szCs w:val="20"/>
        </w:rPr>
        <w:t xml:space="preserve">rights had been infringed.  Marihuana evidence, cell phones and drug paraphernalia were excluded pursuant to s. 24(2) of the </w:t>
      </w:r>
      <w:r w:rsidRPr="00AA5DDA">
        <w:rPr>
          <w:i/>
          <w:sz w:val="20"/>
          <w:szCs w:val="20"/>
        </w:rPr>
        <w:t>Charter</w:t>
      </w:r>
      <w:r w:rsidRPr="00AA5DDA">
        <w:rPr>
          <w:sz w:val="20"/>
          <w:szCs w:val="20"/>
        </w:rPr>
        <w:t xml:space="preserve">.  The Crown appealed, arguing that the appellant’s arrest was lawful and that his s. 8 and 9 </w:t>
      </w:r>
      <w:r w:rsidRPr="00AA5DDA">
        <w:rPr>
          <w:i/>
          <w:sz w:val="20"/>
          <w:szCs w:val="20"/>
        </w:rPr>
        <w:t>Charter</w:t>
      </w:r>
      <w:r w:rsidRPr="00AA5DDA">
        <w:rPr>
          <w:sz w:val="20"/>
          <w:szCs w:val="20"/>
        </w:rPr>
        <w:t xml:space="preserve"> rights had not been breached.  Alternatively, the Crown argued that even if his </w:t>
      </w:r>
      <w:r w:rsidRPr="00AA5DDA">
        <w:rPr>
          <w:i/>
          <w:sz w:val="20"/>
          <w:szCs w:val="20"/>
        </w:rPr>
        <w:t xml:space="preserve">Charter </w:t>
      </w:r>
      <w:r w:rsidRPr="00AA5DDA">
        <w:rPr>
          <w:sz w:val="20"/>
          <w:szCs w:val="20"/>
        </w:rPr>
        <w:t>rights had been infringed, the trial judge erred by excluding the evidence.  A majority of the Court of Appeal allowed the appeal and ordered a new trial.  Rowe J.A., dissenting, would have dismissed the appeal.</w:t>
      </w:r>
    </w:p>
    <w:p w:rsidR="00B70C19" w:rsidRPr="00AA5DDA" w:rsidRDefault="00B70C19" w:rsidP="00B70C19">
      <w:pPr>
        <w:widowControl w:val="0"/>
        <w:jc w:val="both"/>
        <w:rPr>
          <w:sz w:val="20"/>
          <w:szCs w:val="20"/>
        </w:rPr>
      </w:pPr>
    </w:p>
    <w:p w:rsidR="00B70C19" w:rsidRPr="00AA5DDA" w:rsidRDefault="00B70C19" w:rsidP="00B70C19">
      <w:pPr>
        <w:widowControl w:val="0"/>
        <w:jc w:val="both"/>
        <w:rPr>
          <w:sz w:val="20"/>
          <w:szCs w:val="20"/>
        </w:rPr>
      </w:pPr>
    </w:p>
    <w:p w:rsidR="00B70C19" w:rsidRPr="00AA5DDA" w:rsidRDefault="00B70C19" w:rsidP="00B70C19">
      <w:pPr>
        <w:widowControl w:val="0"/>
        <w:ind w:left="2880" w:hanging="2880"/>
        <w:jc w:val="both"/>
        <w:rPr>
          <w:sz w:val="20"/>
          <w:szCs w:val="20"/>
        </w:rPr>
      </w:pPr>
      <w:r w:rsidRPr="00AA5DDA">
        <w:rPr>
          <w:sz w:val="20"/>
          <w:szCs w:val="20"/>
        </w:rPr>
        <w:t>Origin of the case:</w:t>
      </w:r>
      <w:r w:rsidRPr="00AA5DDA">
        <w:rPr>
          <w:sz w:val="20"/>
          <w:szCs w:val="20"/>
        </w:rPr>
        <w:tab/>
        <w:t>Newfoundland and Labrador</w:t>
      </w:r>
    </w:p>
    <w:p w:rsidR="00B70C19" w:rsidRPr="00AA5DDA" w:rsidRDefault="00B70C19" w:rsidP="00B70C19">
      <w:pPr>
        <w:widowControl w:val="0"/>
        <w:ind w:left="2880" w:hanging="2880"/>
        <w:jc w:val="both"/>
        <w:rPr>
          <w:sz w:val="20"/>
          <w:szCs w:val="20"/>
        </w:rPr>
      </w:pPr>
    </w:p>
    <w:p w:rsidR="00B70C19" w:rsidRPr="00AA5DDA" w:rsidRDefault="00B70C19" w:rsidP="00B70C19">
      <w:pPr>
        <w:widowControl w:val="0"/>
        <w:ind w:left="2880" w:hanging="2880"/>
        <w:jc w:val="both"/>
        <w:rPr>
          <w:sz w:val="20"/>
          <w:szCs w:val="20"/>
        </w:rPr>
      </w:pPr>
      <w:r w:rsidRPr="00AA5DDA">
        <w:rPr>
          <w:sz w:val="20"/>
          <w:szCs w:val="20"/>
        </w:rPr>
        <w:t>File No.:</w:t>
      </w:r>
      <w:r w:rsidRPr="00AA5DDA">
        <w:rPr>
          <w:sz w:val="20"/>
          <w:szCs w:val="20"/>
        </w:rPr>
        <w:tab/>
        <w:t>35822</w:t>
      </w:r>
    </w:p>
    <w:p w:rsidR="00B70C19" w:rsidRPr="00AA5DDA" w:rsidRDefault="00B70C19" w:rsidP="00B70C19">
      <w:pPr>
        <w:widowControl w:val="0"/>
        <w:ind w:left="2880" w:hanging="2880"/>
        <w:jc w:val="both"/>
        <w:rPr>
          <w:sz w:val="20"/>
          <w:szCs w:val="20"/>
        </w:rPr>
      </w:pPr>
    </w:p>
    <w:p w:rsidR="00B70C19" w:rsidRPr="00AA5DDA" w:rsidRDefault="00B70C19" w:rsidP="00B70C19">
      <w:pPr>
        <w:widowControl w:val="0"/>
        <w:ind w:left="2880" w:hanging="2880"/>
        <w:jc w:val="both"/>
        <w:rPr>
          <w:sz w:val="20"/>
          <w:szCs w:val="20"/>
        </w:rPr>
      </w:pPr>
      <w:r w:rsidRPr="00AA5DDA">
        <w:rPr>
          <w:sz w:val="20"/>
          <w:szCs w:val="20"/>
        </w:rPr>
        <w:t>Judgment of the Court of Appeal:</w:t>
      </w:r>
      <w:r w:rsidRPr="00AA5DDA">
        <w:rPr>
          <w:sz w:val="20"/>
          <w:szCs w:val="20"/>
        </w:rPr>
        <w:tab/>
        <w:t>March 11, 2014</w:t>
      </w:r>
    </w:p>
    <w:p w:rsidR="00B70C19" w:rsidRPr="00AA5DDA" w:rsidRDefault="00B70C19" w:rsidP="00B70C19">
      <w:pPr>
        <w:widowControl w:val="0"/>
        <w:ind w:left="2880" w:hanging="2880"/>
        <w:jc w:val="both"/>
        <w:rPr>
          <w:sz w:val="20"/>
          <w:szCs w:val="20"/>
        </w:rPr>
      </w:pPr>
    </w:p>
    <w:p w:rsidR="00B70C19" w:rsidRPr="00AA5DDA" w:rsidRDefault="00B70C19" w:rsidP="00B70C19">
      <w:pPr>
        <w:widowControl w:val="0"/>
        <w:ind w:left="2880" w:hanging="2880"/>
        <w:jc w:val="both"/>
        <w:rPr>
          <w:sz w:val="20"/>
          <w:szCs w:val="20"/>
        </w:rPr>
      </w:pPr>
      <w:r w:rsidRPr="00AA5DDA">
        <w:rPr>
          <w:sz w:val="20"/>
          <w:szCs w:val="20"/>
        </w:rPr>
        <w:t>Counsel:</w:t>
      </w:r>
      <w:r w:rsidRPr="00AA5DDA">
        <w:rPr>
          <w:sz w:val="20"/>
          <w:szCs w:val="20"/>
        </w:rPr>
        <w:tab/>
        <w:t>Kenneth J. Mahoney for the appellant</w:t>
      </w:r>
    </w:p>
    <w:p w:rsidR="00B70C19" w:rsidRPr="00AA5DDA" w:rsidRDefault="00B70C19" w:rsidP="00B70C19">
      <w:pPr>
        <w:widowControl w:val="0"/>
        <w:ind w:left="2880" w:hanging="2880"/>
        <w:jc w:val="both"/>
        <w:rPr>
          <w:sz w:val="20"/>
          <w:szCs w:val="20"/>
        </w:rPr>
      </w:pPr>
      <w:r w:rsidRPr="00AA5DDA">
        <w:rPr>
          <w:sz w:val="20"/>
          <w:szCs w:val="20"/>
        </w:rPr>
        <w:tab/>
        <w:t>Andrew O. Brown for the respondent</w:t>
      </w:r>
    </w:p>
    <w:p w:rsidR="001662A9" w:rsidRPr="00B70C19" w:rsidRDefault="001662A9" w:rsidP="001662A9">
      <w:pPr>
        <w:tabs>
          <w:tab w:val="left" w:pos="-1440"/>
          <w:tab w:val="left" w:pos="-720"/>
        </w:tabs>
        <w:jc w:val="both"/>
        <w:rPr>
          <w:sz w:val="20"/>
          <w:szCs w:val="20"/>
        </w:rPr>
      </w:pPr>
    </w:p>
    <w:p w:rsidR="001662A9" w:rsidRPr="00DD0B49" w:rsidRDefault="00690162" w:rsidP="001662A9">
      <w:pPr>
        <w:tabs>
          <w:tab w:val="left" w:pos="-1440"/>
          <w:tab w:val="left" w:pos="-720"/>
        </w:tabs>
        <w:jc w:val="both"/>
        <w:rPr>
          <w:sz w:val="20"/>
          <w:szCs w:val="20"/>
          <w:lang w:val="fr-CA"/>
        </w:rPr>
      </w:pPr>
      <w:r>
        <w:rPr>
          <w:sz w:val="20"/>
          <w:szCs w:val="20"/>
          <w:lang w:val="fr-CA"/>
        </w:rPr>
        <w:pict>
          <v:rect id="_x0000_i1110" style="width:2in;height:1pt" o:hrpct="0" o:hralign="center" o:hrstd="t" o:hrnoshade="t" o:hr="t" fillcolor="black [3213]" stroked="f"/>
        </w:pict>
      </w:r>
    </w:p>
    <w:p w:rsidR="001662A9" w:rsidRDefault="001662A9">
      <w:pPr>
        <w:rPr>
          <w:sz w:val="20"/>
          <w:szCs w:val="20"/>
          <w:lang w:val="fr-CA"/>
        </w:rPr>
      </w:pPr>
      <w:r>
        <w:rPr>
          <w:sz w:val="20"/>
          <w:szCs w:val="20"/>
          <w:lang w:val="fr-CA"/>
        </w:rPr>
        <w:br w:type="page"/>
      </w:r>
    </w:p>
    <w:p w:rsidR="00B70C19" w:rsidRPr="001E7A1F" w:rsidRDefault="00D921D7" w:rsidP="00B70C19">
      <w:pPr>
        <w:widowControl w:val="0"/>
        <w:ind w:left="720" w:hanging="720"/>
        <w:jc w:val="both"/>
        <w:rPr>
          <w:sz w:val="20"/>
          <w:szCs w:val="20"/>
          <w:lang w:val="fr-CA"/>
        </w:rPr>
      </w:pPr>
      <w:r w:rsidRPr="001E7A1F">
        <w:rPr>
          <w:b/>
          <w:sz w:val="20"/>
          <w:szCs w:val="20"/>
          <w:lang w:val="fr-CA"/>
        </w:rPr>
        <w:lastRenderedPageBreak/>
        <w:fldChar w:fldCharType="begin"/>
      </w:r>
      <w:r w:rsidR="00B70C19" w:rsidRPr="001E7A1F">
        <w:rPr>
          <w:b/>
          <w:sz w:val="20"/>
          <w:szCs w:val="20"/>
          <w:lang w:val="fr-CA"/>
        </w:rPr>
        <w:instrText xml:space="preserve"> SEQ CHAPTER \h \r 1</w:instrText>
      </w:r>
      <w:r w:rsidRPr="001E7A1F">
        <w:rPr>
          <w:b/>
          <w:sz w:val="20"/>
          <w:szCs w:val="20"/>
          <w:lang w:val="fr-CA"/>
        </w:rPr>
        <w:fldChar w:fldCharType="end"/>
      </w:r>
      <w:r w:rsidR="00B70C19" w:rsidRPr="001E7A1F">
        <w:rPr>
          <w:b/>
          <w:sz w:val="20"/>
          <w:szCs w:val="20"/>
          <w:lang w:val="fr-CA"/>
        </w:rPr>
        <w:t>35822</w:t>
      </w:r>
      <w:r w:rsidR="00B70C19" w:rsidRPr="001E7A1F">
        <w:rPr>
          <w:sz w:val="20"/>
          <w:szCs w:val="20"/>
          <w:lang w:val="fr-CA"/>
        </w:rPr>
        <w:tab/>
      </w:r>
      <w:r w:rsidR="00B70C19" w:rsidRPr="001E7A1F">
        <w:rPr>
          <w:b/>
          <w:i/>
          <w:sz w:val="20"/>
          <w:szCs w:val="20"/>
          <w:lang w:val="fr-CA"/>
        </w:rPr>
        <w:t>Ryan Paul Day c. Sa Majesté la Reine</w:t>
      </w:r>
    </w:p>
    <w:p w:rsidR="00B70C19" w:rsidRPr="001E7A1F" w:rsidRDefault="00B70C19" w:rsidP="00B70C19">
      <w:pPr>
        <w:widowControl w:val="0"/>
        <w:jc w:val="both"/>
        <w:rPr>
          <w:sz w:val="20"/>
          <w:szCs w:val="20"/>
          <w:lang w:val="fr-CA"/>
        </w:rPr>
      </w:pPr>
    </w:p>
    <w:p w:rsidR="00B70C19" w:rsidRPr="001E7A1F" w:rsidRDefault="00B70C19" w:rsidP="00B70C19">
      <w:pPr>
        <w:widowControl w:val="0"/>
        <w:jc w:val="both"/>
        <w:rPr>
          <w:sz w:val="20"/>
          <w:szCs w:val="20"/>
          <w:lang w:val="fr-CA"/>
        </w:rPr>
      </w:pPr>
      <w:r w:rsidRPr="001E7A1F">
        <w:rPr>
          <w:i/>
          <w:sz w:val="20"/>
          <w:szCs w:val="20"/>
          <w:lang w:val="fr-CA"/>
        </w:rPr>
        <w:t xml:space="preserve">Charte des droits </w:t>
      </w:r>
      <w:r w:rsidRPr="001E7A1F">
        <w:rPr>
          <w:sz w:val="20"/>
          <w:szCs w:val="20"/>
          <w:lang w:val="fr-CA"/>
        </w:rPr>
        <w:t xml:space="preserve">- Droit criminel - Détention arbitraire - Fouilles, perquisitions et saisies abusives - Exclusion de la preuve - </w:t>
      </w:r>
      <w:r w:rsidRPr="001E7A1F">
        <w:rPr>
          <w:i/>
          <w:sz w:val="20"/>
          <w:szCs w:val="20"/>
          <w:lang w:val="fr-CA"/>
        </w:rPr>
        <w:t>Charte canadienne des droits et libertés</w:t>
      </w:r>
      <w:r w:rsidRPr="001E7A1F">
        <w:rPr>
          <w:sz w:val="20"/>
          <w:szCs w:val="20"/>
          <w:lang w:val="fr-CA"/>
        </w:rPr>
        <w:t>, art. 8, 9 et 24(2).</w:t>
      </w:r>
    </w:p>
    <w:p w:rsidR="00B70C19" w:rsidRPr="001E7A1F" w:rsidRDefault="00B70C19" w:rsidP="00B70C19">
      <w:pPr>
        <w:widowControl w:val="0"/>
        <w:jc w:val="both"/>
        <w:rPr>
          <w:sz w:val="20"/>
          <w:szCs w:val="20"/>
          <w:lang w:val="fr-CA"/>
        </w:rPr>
      </w:pPr>
    </w:p>
    <w:p w:rsidR="00B70C19" w:rsidRPr="001E7A1F" w:rsidRDefault="00B70C19" w:rsidP="00B70C19">
      <w:pPr>
        <w:widowControl w:val="0"/>
        <w:jc w:val="both"/>
        <w:rPr>
          <w:sz w:val="20"/>
          <w:szCs w:val="20"/>
          <w:lang w:val="fr-CA"/>
        </w:rPr>
      </w:pPr>
      <w:r w:rsidRPr="001E7A1F">
        <w:rPr>
          <w:sz w:val="20"/>
          <w:szCs w:val="20"/>
          <w:lang w:val="fr-CA"/>
        </w:rPr>
        <w:t xml:space="preserve">L’appelant a été acquitté de possession de marihuana en vue d’en faire le trafic.  La juge du procès a conclu que l’arrestation de l’appelant était illégale et que les droits que lui garantissent les art. 8 et 9 de la </w:t>
      </w:r>
      <w:r w:rsidRPr="001E7A1F">
        <w:rPr>
          <w:i/>
          <w:sz w:val="20"/>
          <w:szCs w:val="20"/>
          <w:lang w:val="fr-CA"/>
        </w:rPr>
        <w:t xml:space="preserve">Charte </w:t>
      </w:r>
      <w:r w:rsidRPr="001E7A1F">
        <w:rPr>
          <w:sz w:val="20"/>
          <w:szCs w:val="20"/>
          <w:lang w:val="fr-CA"/>
        </w:rPr>
        <w:t xml:space="preserve">avaient été violés.  La marihuana, un téléphone cellulaire et les accessoires facilitant la consommation de drogues ont été exclus de la preuve en application du par. 24(2) de la </w:t>
      </w:r>
      <w:r w:rsidRPr="001E7A1F">
        <w:rPr>
          <w:i/>
          <w:sz w:val="20"/>
          <w:szCs w:val="20"/>
          <w:lang w:val="fr-CA"/>
        </w:rPr>
        <w:t>Charte</w:t>
      </w:r>
      <w:r w:rsidRPr="001E7A1F">
        <w:rPr>
          <w:sz w:val="20"/>
          <w:szCs w:val="20"/>
          <w:lang w:val="fr-CA"/>
        </w:rPr>
        <w:t xml:space="preserve">.  Le ministère public a interjeté appel, plaidant que l’arrestation de l’appelant était légale et que les droits que lui garantissent les art. 8 et 9 de la </w:t>
      </w:r>
      <w:r w:rsidRPr="001E7A1F">
        <w:rPr>
          <w:i/>
          <w:sz w:val="20"/>
          <w:szCs w:val="20"/>
          <w:lang w:val="fr-CA"/>
        </w:rPr>
        <w:t>Charte</w:t>
      </w:r>
      <w:r w:rsidRPr="001E7A1F">
        <w:rPr>
          <w:sz w:val="20"/>
          <w:szCs w:val="20"/>
          <w:lang w:val="fr-CA"/>
        </w:rPr>
        <w:t xml:space="preserve"> n’avaient pas été violés.  Subsidiairement, le ministère public a plaidé que même si les droits que la </w:t>
      </w:r>
      <w:r w:rsidRPr="001E7A1F">
        <w:rPr>
          <w:i/>
          <w:sz w:val="20"/>
          <w:szCs w:val="20"/>
          <w:lang w:val="fr-CA"/>
        </w:rPr>
        <w:t>Charte</w:t>
      </w:r>
      <w:r w:rsidRPr="001E7A1F">
        <w:rPr>
          <w:sz w:val="20"/>
          <w:szCs w:val="20"/>
          <w:lang w:val="fr-CA"/>
        </w:rPr>
        <w:t xml:space="preserve"> garantit à l’appelant avait été violés, la juge du procès a eu tort d’exclure la preuve.  Les juges majoritaires de la Cour d’appel ont accueilli l’appel et ordonné un nouveau procès.  Le juge Rowe, dissident, aurait rejeté l’appel.</w:t>
      </w:r>
    </w:p>
    <w:p w:rsidR="00B70C19" w:rsidRPr="001E7A1F" w:rsidRDefault="00B70C19" w:rsidP="00B70C19">
      <w:pPr>
        <w:widowControl w:val="0"/>
        <w:jc w:val="both"/>
        <w:rPr>
          <w:sz w:val="20"/>
          <w:szCs w:val="20"/>
          <w:lang w:val="fr-CA"/>
        </w:rPr>
      </w:pPr>
    </w:p>
    <w:p w:rsidR="00B70C19" w:rsidRPr="001E7A1F" w:rsidRDefault="00B70C19" w:rsidP="00B70C19">
      <w:pPr>
        <w:widowControl w:val="0"/>
        <w:jc w:val="both"/>
        <w:rPr>
          <w:sz w:val="20"/>
          <w:szCs w:val="20"/>
          <w:lang w:val="fr-CA"/>
        </w:rPr>
      </w:pPr>
    </w:p>
    <w:p w:rsidR="00B70C19" w:rsidRPr="001E7A1F" w:rsidRDefault="00B70C19" w:rsidP="00B70C19">
      <w:pPr>
        <w:widowControl w:val="0"/>
        <w:ind w:left="2880" w:hanging="2880"/>
        <w:jc w:val="both"/>
        <w:rPr>
          <w:sz w:val="20"/>
          <w:szCs w:val="20"/>
          <w:lang w:val="fr-CA"/>
        </w:rPr>
      </w:pPr>
      <w:r w:rsidRPr="001E7A1F">
        <w:rPr>
          <w:sz w:val="20"/>
          <w:szCs w:val="20"/>
          <w:lang w:val="fr-CA"/>
        </w:rPr>
        <w:t>Origine :</w:t>
      </w:r>
      <w:r w:rsidRPr="001E7A1F">
        <w:rPr>
          <w:sz w:val="20"/>
          <w:szCs w:val="20"/>
          <w:lang w:val="fr-CA"/>
        </w:rPr>
        <w:tab/>
        <w:t>Terre-Neuve-et-Labrador</w:t>
      </w:r>
    </w:p>
    <w:p w:rsidR="00B70C19" w:rsidRPr="001E7A1F" w:rsidRDefault="00B70C19" w:rsidP="00B70C19">
      <w:pPr>
        <w:widowControl w:val="0"/>
        <w:ind w:left="2880" w:hanging="2880"/>
        <w:jc w:val="both"/>
        <w:rPr>
          <w:sz w:val="20"/>
          <w:szCs w:val="20"/>
          <w:lang w:val="fr-CA"/>
        </w:rPr>
      </w:pPr>
    </w:p>
    <w:p w:rsidR="00B70C19" w:rsidRPr="001E7A1F" w:rsidRDefault="00B70C19" w:rsidP="00B70C19">
      <w:pPr>
        <w:widowControl w:val="0"/>
        <w:ind w:left="2880" w:hanging="2880"/>
        <w:jc w:val="both"/>
        <w:rPr>
          <w:sz w:val="20"/>
          <w:szCs w:val="20"/>
          <w:lang w:val="fr-CA"/>
        </w:rPr>
      </w:pPr>
      <w:r w:rsidRPr="001E7A1F">
        <w:rPr>
          <w:sz w:val="20"/>
          <w:szCs w:val="20"/>
          <w:lang w:val="fr-CA"/>
        </w:rPr>
        <w:t>N</w:t>
      </w:r>
      <w:r w:rsidRPr="001E7A1F">
        <w:rPr>
          <w:sz w:val="20"/>
          <w:szCs w:val="20"/>
          <w:vertAlign w:val="superscript"/>
          <w:lang w:val="fr-CA"/>
        </w:rPr>
        <w:t>o</w:t>
      </w:r>
      <w:r w:rsidRPr="001E7A1F">
        <w:rPr>
          <w:sz w:val="20"/>
          <w:szCs w:val="20"/>
          <w:lang w:val="fr-CA"/>
        </w:rPr>
        <w:t xml:space="preserve"> du greffe :</w:t>
      </w:r>
      <w:r w:rsidRPr="001E7A1F">
        <w:rPr>
          <w:sz w:val="20"/>
          <w:szCs w:val="20"/>
          <w:lang w:val="fr-CA"/>
        </w:rPr>
        <w:tab/>
        <w:t>35822</w:t>
      </w:r>
    </w:p>
    <w:p w:rsidR="00B70C19" w:rsidRPr="001E7A1F" w:rsidRDefault="00B70C19" w:rsidP="00B70C19">
      <w:pPr>
        <w:widowControl w:val="0"/>
        <w:ind w:left="2880" w:hanging="2880"/>
        <w:jc w:val="both"/>
        <w:rPr>
          <w:sz w:val="20"/>
          <w:szCs w:val="20"/>
          <w:lang w:val="fr-CA"/>
        </w:rPr>
      </w:pPr>
    </w:p>
    <w:p w:rsidR="00B70C19" w:rsidRPr="001E7A1F" w:rsidRDefault="00B70C19" w:rsidP="00B70C19">
      <w:pPr>
        <w:widowControl w:val="0"/>
        <w:ind w:left="2880" w:hanging="2880"/>
        <w:jc w:val="both"/>
        <w:rPr>
          <w:sz w:val="20"/>
          <w:szCs w:val="20"/>
          <w:lang w:val="fr-CA"/>
        </w:rPr>
      </w:pPr>
      <w:r w:rsidRPr="001E7A1F">
        <w:rPr>
          <w:sz w:val="20"/>
          <w:szCs w:val="20"/>
          <w:lang w:val="fr-CA"/>
        </w:rPr>
        <w:t>Arrêt de la Cour d’appel :</w:t>
      </w:r>
      <w:r w:rsidRPr="001E7A1F">
        <w:rPr>
          <w:sz w:val="20"/>
          <w:szCs w:val="20"/>
          <w:lang w:val="fr-CA"/>
        </w:rPr>
        <w:tab/>
        <w:t>le 11 mars 2014</w:t>
      </w:r>
    </w:p>
    <w:p w:rsidR="00B70C19" w:rsidRPr="001E7A1F" w:rsidRDefault="00B70C19" w:rsidP="00B70C19">
      <w:pPr>
        <w:widowControl w:val="0"/>
        <w:ind w:left="2880" w:hanging="2880"/>
        <w:jc w:val="both"/>
        <w:rPr>
          <w:sz w:val="20"/>
          <w:szCs w:val="20"/>
          <w:lang w:val="fr-CA"/>
        </w:rPr>
      </w:pPr>
    </w:p>
    <w:p w:rsidR="00B70C19" w:rsidRPr="001E7A1F" w:rsidRDefault="00B70C19" w:rsidP="00B70C19">
      <w:pPr>
        <w:widowControl w:val="0"/>
        <w:ind w:left="2880" w:hanging="2880"/>
        <w:jc w:val="both"/>
        <w:rPr>
          <w:sz w:val="20"/>
          <w:szCs w:val="20"/>
          <w:lang w:val="fr-CA"/>
        </w:rPr>
      </w:pPr>
      <w:r w:rsidRPr="001E7A1F">
        <w:rPr>
          <w:sz w:val="20"/>
          <w:szCs w:val="20"/>
          <w:lang w:val="fr-CA"/>
        </w:rPr>
        <w:t>Avocats :</w:t>
      </w:r>
      <w:r w:rsidRPr="001E7A1F">
        <w:rPr>
          <w:sz w:val="20"/>
          <w:szCs w:val="20"/>
          <w:lang w:val="fr-CA"/>
        </w:rPr>
        <w:tab/>
        <w:t>Kenneth J. Mahoney pour l’appelant</w:t>
      </w:r>
    </w:p>
    <w:p w:rsidR="00B70C19" w:rsidRPr="001E7A1F" w:rsidRDefault="00B70C19" w:rsidP="00B70C19">
      <w:pPr>
        <w:widowControl w:val="0"/>
        <w:ind w:left="2880" w:hanging="2880"/>
        <w:jc w:val="both"/>
        <w:rPr>
          <w:sz w:val="20"/>
          <w:szCs w:val="20"/>
          <w:lang w:val="fr-CA"/>
        </w:rPr>
      </w:pPr>
      <w:r w:rsidRPr="001E7A1F">
        <w:rPr>
          <w:sz w:val="20"/>
          <w:szCs w:val="20"/>
          <w:lang w:val="fr-CA"/>
        </w:rPr>
        <w:tab/>
        <w:t>Andrew O. Brown pour l’intimée</w:t>
      </w:r>
    </w:p>
    <w:p w:rsidR="001662A9" w:rsidRPr="00DD0B49" w:rsidRDefault="001662A9" w:rsidP="001662A9">
      <w:pPr>
        <w:tabs>
          <w:tab w:val="left" w:pos="-1440"/>
          <w:tab w:val="left" w:pos="-720"/>
        </w:tabs>
        <w:jc w:val="both"/>
        <w:rPr>
          <w:sz w:val="20"/>
          <w:szCs w:val="20"/>
          <w:lang w:val="fr-CA"/>
        </w:rPr>
      </w:pPr>
    </w:p>
    <w:p w:rsidR="001662A9" w:rsidRPr="00DD0B49" w:rsidRDefault="00690162" w:rsidP="001662A9">
      <w:pPr>
        <w:tabs>
          <w:tab w:val="left" w:pos="-1440"/>
          <w:tab w:val="left" w:pos="-720"/>
        </w:tabs>
        <w:jc w:val="both"/>
        <w:rPr>
          <w:sz w:val="20"/>
          <w:szCs w:val="20"/>
          <w:lang w:val="fr-CA"/>
        </w:rPr>
      </w:pPr>
      <w:r>
        <w:rPr>
          <w:sz w:val="20"/>
          <w:szCs w:val="20"/>
          <w:lang w:val="fr-CA"/>
        </w:rPr>
        <w:pict>
          <v:rect id="_x0000_i1111" style="width:2in;height:1pt" o:hrpct="0" o:hralign="center" o:hrstd="t" o:hrnoshade="t" o:hr="t" fillcolor="black [3213]" stroked="f"/>
        </w:pict>
      </w:r>
    </w:p>
    <w:p w:rsidR="001662A9" w:rsidRDefault="001662A9">
      <w:pPr>
        <w:rPr>
          <w:sz w:val="20"/>
          <w:szCs w:val="20"/>
          <w:lang w:val="fr-CA"/>
        </w:rPr>
      </w:pPr>
      <w:r>
        <w:rPr>
          <w:sz w:val="20"/>
          <w:szCs w:val="20"/>
          <w:lang w:val="fr-CA"/>
        </w:rPr>
        <w:br w:type="page"/>
      </w:r>
    </w:p>
    <w:p w:rsidR="00E3391B" w:rsidRPr="00E82D47" w:rsidRDefault="00D921D7" w:rsidP="00E3391B">
      <w:pPr>
        <w:widowControl w:val="0"/>
        <w:ind w:left="720" w:hanging="720"/>
        <w:jc w:val="both"/>
        <w:rPr>
          <w:sz w:val="20"/>
          <w:szCs w:val="20"/>
        </w:rPr>
      </w:pPr>
      <w:r w:rsidRPr="00E82D47">
        <w:rPr>
          <w:b/>
          <w:sz w:val="20"/>
          <w:szCs w:val="20"/>
        </w:rPr>
        <w:lastRenderedPageBreak/>
        <w:fldChar w:fldCharType="begin"/>
      </w:r>
      <w:r w:rsidR="00E3391B" w:rsidRPr="00E82D47">
        <w:rPr>
          <w:b/>
          <w:sz w:val="20"/>
          <w:szCs w:val="20"/>
        </w:rPr>
        <w:instrText xml:space="preserve"> SEQ CHAPTER \h \r 1</w:instrText>
      </w:r>
      <w:r w:rsidRPr="00E82D47">
        <w:rPr>
          <w:b/>
          <w:sz w:val="20"/>
          <w:szCs w:val="20"/>
        </w:rPr>
        <w:fldChar w:fldCharType="end"/>
      </w:r>
      <w:r w:rsidR="00E3391B" w:rsidRPr="00E82D47">
        <w:rPr>
          <w:b/>
          <w:sz w:val="20"/>
          <w:szCs w:val="20"/>
        </w:rPr>
        <w:t>35758</w:t>
      </w:r>
      <w:r w:rsidR="00E3391B" w:rsidRPr="00E82D47">
        <w:rPr>
          <w:sz w:val="20"/>
          <w:szCs w:val="20"/>
        </w:rPr>
        <w:tab/>
      </w:r>
      <w:r w:rsidR="00E3391B" w:rsidRPr="00E82D47">
        <w:rPr>
          <w:b/>
          <w:i/>
          <w:sz w:val="20"/>
          <w:szCs w:val="20"/>
        </w:rPr>
        <w:t>James Steven Wilcox v. Her Majesty the Queen</w:t>
      </w:r>
    </w:p>
    <w:p w:rsidR="00E3391B" w:rsidRPr="00E82D47" w:rsidRDefault="00E3391B" w:rsidP="00E3391B">
      <w:pPr>
        <w:widowControl w:val="0"/>
        <w:jc w:val="both"/>
        <w:rPr>
          <w:sz w:val="20"/>
          <w:szCs w:val="20"/>
        </w:rPr>
      </w:pPr>
    </w:p>
    <w:p w:rsidR="00E3391B" w:rsidRPr="00E82D47" w:rsidRDefault="00E3391B" w:rsidP="00E3391B">
      <w:pPr>
        <w:widowControl w:val="0"/>
        <w:jc w:val="both"/>
        <w:rPr>
          <w:sz w:val="20"/>
          <w:szCs w:val="20"/>
        </w:rPr>
      </w:pPr>
      <w:r w:rsidRPr="00E82D47">
        <w:rPr>
          <w:sz w:val="20"/>
          <w:szCs w:val="20"/>
        </w:rPr>
        <w:t xml:space="preserve">Criminal law - Aggravated sexual assault - Consent - Evidence - Whether the trial judge failed to properly consider and apply </w:t>
      </w:r>
      <w:r w:rsidRPr="00E82D47">
        <w:rPr>
          <w:i/>
          <w:sz w:val="20"/>
          <w:szCs w:val="20"/>
        </w:rPr>
        <w:t>R. v. W. (D.)</w:t>
      </w:r>
      <w:r w:rsidRPr="00E82D47">
        <w:rPr>
          <w:sz w:val="20"/>
          <w:szCs w:val="20"/>
        </w:rPr>
        <w:t xml:space="preserve">, [1991] 1 S.C.R. 742, when assessing the evidence as a whole - Whether the trial judge’s findings were unsupported by the evidence when assessed as a whole. </w:t>
      </w:r>
    </w:p>
    <w:p w:rsidR="00E3391B" w:rsidRPr="00E82D47" w:rsidRDefault="00E3391B" w:rsidP="00E3391B">
      <w:pPr>
        <w:widowControl w:val="0"/>
        <w:jc w:val="both"/>
        <w:rPr>
          <w:sz w:val="20"/>
          <w:szCs w:val="20"/>
        </w:rPr>
      </w:pPr>
    </w:p>
    <w:p w:rsidR="00E3391B" w:rsidRPr="00E82D47" w:rsidRDefault="00E3391B" w:rsidP="00E3391B">
      <w:pPr>
        <w:widowControl w:val="0"/>
        <w:jc w:val="both"/>
        <w:rPr>
          <w:sz w:val="20"/>
          <w:szCs w:val="20"/>
        </w:rPr>
      </w:pPr>
      <w:r w:rsidRPr="00E82D47">
        <w:rPr>
          <w:sz w:val="20"/>
          <w:szCs w:val="20"/>
        </w:rPr>
        <w:t xml:space="preserve">The appellant was convicted of aggravated sexual assault.  The trial judge found that he knowingly exposed the complainant to HIV without the complainant’s consent, by engaging in unprotected anal intercourse with him.  The complainant tested negative for the virus at the time of the assault, but was later found to be HIV positive.  The appellant appealed his conviction, arguing, among other things, that his failure to disclose that he had HIV was immaterial because the complainant would still have consented to the unprotected intercourse.  A majority of the Court of Appeal dismissed the appeal.  Hilton J.A., dissenting, would have allowed the appeal and ordered a new trial on the basis that the trial judge erred in his application of </w:t>
      </w:r>
      <w:r w:rsidRPr="00E82D47">
        <w:rPr>
          <w:i/>
          <w:sz w:val="20"/>
          <w:szCs w:val="20"/>
        </w:rPr>
        <w:t>R. v. W. (D.)</w:t>
      </w:r>
      <w:r w:rsidRPr="00E82D47">
        <w:rPr>
          <w:sz w:val="20"/>
          <w:szCs w:val="20"/>
        </w:rPr>
        <w:t xml:space="preserve">, [1991] 1 S.C.R. 742, and in his analysis of the evidence as a whole relating to whether there was a reasonable doubt as to the appellant’s guilt. </w:t>
      </w:r>
    </w:p>
    <w:p w:rsidR="00E3391B" w:rsidRPr="00E82D47" w:rsidRDefault="00E3391B" w:rsidP="00E3391B">
      <w:pPr>
        <w:widowControl w:val="0"/>
        <w:jc w:val="both"/>
        <w:rPr>
          <w:sz w:val="20"/>
          <w:szCs w:val="20"/>
        </w:rPr>
      </w:pPr>
    </w:p>
    <w:p w:rsidR="00E3391B" w:rsidRPr="00E82D47" w:rsidRDefault="00E3391B" w:rsidP="00E3391B">
      <w:pPr>
        <w:widowControl w:val="0"/>
        <w:jc w:val="both"/>
        <w:rPr>
          <w:sz w:val="20"/>
          <w:szCs w:val="20"/>
        </w:rPr>
      </w:pPr>
    </w:p>
    <w:p w:rsidR="00E3391B" w:rsidRPr="00E82D47" w:rsidRDefault="00E3391B" w:rsidP="00E3391B">
      <w:pPr>
        <w:widowControl w:val="0"/>
        <w:ind w:left="2880" w:hanging="2880"/>
        <w:jc w:val="both"/>
        <w:rPr>
          <w:sz w:val="20"/>
          <w:szCs w:val="20"/>
        </w:rPr>
      </w:pPr>
      <w:r w:rsidRPr="00E82D47">
        <w:rPr>
          <w:sz w:val="20"/>
          <w:szCs w:val="20"/>
        </w:rPr>
        <w:t>Origin of the case:</w:t>
      </w:r>
      <w:r w:rsidRPr="00E82D47">
        <w:rPr>
          <w:sz w:val="20"/>
          <w:szCs w:val="20"/>
        </w:rPr>
        <w:tab/>
        <w:t>Quebec</w:t>
      </w:r>
    </w:p>
    <w:p w:rsidR="00E3391B" w:rsidRPr="00E82D47" w:rsidRDefault="00E3391B" w:rsidP="00E3391B">
      <w:pPr>
        <w:widowControl w:val="0"/>
        <w:ind w:left="2880" w:hanging="2880"/>
        <w:jc w:val="both"/>
        <w:rPr>
          <w:sz w:val="20"/>
          <w:szCs w:val="20"/>
        </w:rPr>
      </w:pPr>
    </w:p>
    <w:p w:rsidR="00E3391B" w:rsidRPr="00E82D47" w:rsidRDefault="00E3391B" w:rsidP="00E3391B">
      <w:pPr>
        <w:widowControl w:val="0"/>
        <w:ind w:left="2880" w:hanging="2880"/>
        <w:jc w:val="both"/>
        <w:rPr>
          <w:sz w:val="20"/>
          <w:szCs w:val="20"/>
        </w:rPr>
      </w:pPr>
      <w:r w:rsidRPr="00E82D47">
        <w:rPr>
          <w:sz w:val="20"/>
          <w:szCs w:val="20"/>
        </w:rPr>
        <w:t>File No.:</w:t>
      </w:r>
      <w:r w:rsidRPr="00E82D47">
        <w:rPr>
          <w:sz w:val="20"/>
          <w:szCs w:val="20"/>
        </w:rPr>
        <w:tab/>
        <w:t>35758</w:t>
      </w:r>
    </w:p>
    <w:p w:rsidR="00E3391B" w:rsidRPr="00E82D47" w:rsidRDefault="00E3391B" w:rsidP="00E3391B">
      <w:pPr>
        <w:widowControl w:val="0"/>
        <w:ind w:left="2880" w:hanging="2880"/>
        <w:jc w:val="both"/>
        <w:rPr>
          <w:sz w:val="20"/>
          <w:szCs w:val="20"/>
        </w:rPr>
      </w:pPr>
    </w:p>
    <w:p w:rsidR="00E3391B" w:rsidRPr="00E82D47" w:rsidRDefault="00E3391B" w:rsidP="00E3391B">
      <w:pPr>
        <w:widowControl w:val="0"/>
        <w:ind w:left="2880" w:hanging="2880"/>
        <w:jc w:val="both"/>
        <w:rPr>
          <w:sz w:val="20"/>
          <w:szCs w:val="20"/>
        </w:rPr>
      </w:pPr>
      <w:r w:rsidRPr="00E82D47">
        <w:rPr>
          <w:sz w:val="20"/>
          <w:szCs w:val="20"/>
        </w:rPr>
        <w:t>Judgment of the Court of Appeal:</w:t>
      </w:r>
      <w:r w:rsidRPr="00E82D47">
        <w:rPr>
          <w:sz w:val="20"/>
          <w:szCs w:val="20"/>
        </w:rPr>
        <w:tab/>
        <w:t>February 20, 2014</w:t>
      </w:r>
    </w:p>
    <w:p w:rsidR="00E3391B" w:rsidRPr="00E82D47" w:rsidRDefault="00E3391B" w:rsidP="00E3391B">
      <w:pPr>
        <w:widowControl w:val="0"/>
        <w:ind w:left="2880" w:hanging="2880"/>
        <w:jc w:val="both"/>
        <w:rPr>
          <w:sz w:val="20"/>
          <w:szCs w:val="20"/>
        </w:rPr>
      </w:pPr>
    </w:p>
    <w:p w:rsidR="00E3391B" w:rsidRPr="00E82D47" w:rsidRDefault="00E3391B" w:rsidP="00E3391B">
      <w:pPr>
        <w:widowControl w:val="0"/>
        <w:ind w:left="2880" w:hanging="2880"/>
        <w:jc w:val="both"/>
        <w:rPr>
          <w:sz w:val="20"/>
          <w:szCs w:val="20"/>
        </w:rPr>
      </w:pPr>
      <w:r w:rsidRPr="00E82D47">
        <w:rPr>
          <w:sz w:val="20"/>
          <w:szCs w:val="20"/>
        </w:rPr>
        <w:t>Counsel:</w:t>
      </w:r>
      <w:r w:rsidRPr="00E82D47">
        <w:rPr>
          <w:sz w:val="20"/>
          <w:szCs w:val="20"/>
        </w:rPr>
        <w:tab/>
        <w:t>Jeffrey K. Boro for the appellant</w:t>
      </w:r>
    </w:p>
    <w:p w:rsidR="00E3391B" w:rsidRPr="00E82D47" w:rsidRDefault="00E3391B" w:rsidP="00E3391B">
      <w:pPr>
        <w:widowControl w:val="0"/>
        <w:ind w:left="2880" w:hanging="2880"/>
        <w:jc w:val="both"/>
        <w:rPr>
          <w:sz w:val="20"/>
          <w:szCs w:val="20"/>
        </w:rPr>
      </w:pPr>
      <w:r w:rsidRPr="00E82D47">
        <w:rPr>
          <w:sz w:val="20"/>
          <w:szCs w:val="20"/>
        </w:rPr>
        <w:tab/>
        <w:t>Dennis Galiatsatos for the respondent</w:t>
      </w:r>
    </w:p>
    <w:p w:rsidR="001662A9" w:rsidRPr="00E3391B" w:rsidRDefault="001662A9" w:rsidP="001662A9">
      <w:pPr>
        <w:tabs>
          <w:tab w:val="left" w:pos="-1440"/>
          <w:tab w:val="left" w:pos="-720"/>
        </w:tabs>
        <w:jc w:val="both"/>
        <w:rPr>
          <w:sz w:val="20"/>
          <w:szCs w:val="20"/>
        </w:rPr>
      </w:pPr>
    </w:p>
    <w:p w:rsidR="001662A9" w:rsidRPr="00DD0B49" w:rsidRDefault="00690162" w:rsidP="001662A9">
      <w:pPr>
        <w:tabs>
          <w:tab w:val="left" w:pos="-1440"/>
          <w:tab w:val="left" w:pos="-720"/>
        </w:tabs>
        <w:jc w:val="both"/>
        <w:rPr>
          <w:sz w:val="20"/>
          <w:szCs w:val="20"/>
          <w:lang w:val="fr-CA"/>
        </w:rPr>
      </w:pPr>
      <w:r>
        <w:rPr>
          <w:sz w:val="20"/>
          <w:szCs w:val="20"/>
          <w:lang w:val="fr-CA"/>
        </w:rPr>
        <w:pict>
          <v:rect id="_x0000_i1112" style="width:2in;height:1pt" o:hrpct="0" o:hralign="center" o:hrstd="t" o:hrnoshade="t" o:hr="t" fillcolor="black [3213]" stroked="f"/>
        </w:pict>
      </w:r>
    </w:p>
    <w:p w:rsidR="001662A9" w:rsidRDefault="001662A9">
      <w:pPr>
        <w:rPr>
          <w:sz w:val="20"/>
          <w:szCs w:val="20"/>
          <w:lang w:val="fr-CA"/>
        </w:rPr>
      </w:pPr>
      <w:r>
        <w:rPr>
          <w:sz w:val="20"/>
          <w:szCs w:val="20"/>
          <w:lang w:val="fr-CA"/>
        </w:rPr>
        <w:br w:type="page"/>
      </w:r>
    </w:p>
    <w:p w:rsidR="00232D10" w:rsidRPr="0043042B" w:rsidRDefault="00D921D7" w:rsidP="00232D10">
      <w:pPr>
        <w:widowControl w:val="0"/>
        <w:ind w:left="720" w:hanging="720"/>
        <w:jc w:val="both"/>
        <w:rPr>
          <w:sz w:val="20"/>
          <w:szCs w:val="20"/>
          <w:lang w:val="fr-CA"/>
        </w:rPr>
      </w:pPr>
      <w:r w:rsidRPr="0043042B">
        <w:rPr>
          <w:b/>
          <w:sz w:val="20"/>
          <w:szCs w:val="20"/>
          <w:lang w:val="fr-CA"/>
        </w:rPr>
        <w:lastRenderedPageBreak/>
        <w:fldChar w:fldCharType="begin"/>
      </w:r>
      <w:r w:rsidR="00232D10" w:rsidRPr="0043042B">
        <w:rPr>
          <w:b/>
          <w:sz w:val="20"/>
          <w:szCs w:val="20"/>
          <w:lang w:val="fr-CA"/>
        </w:rPr>
        <w:instrText xml:space="preserve"> SEQ CHAPTER \h \r 1</w:instrText>
      </w:r>
      <w:r w:rsidRPr="0043042B">
        <w:rPr>
          <w:b/>
          <w:sz w:val="20"/>
          <w:szCs w:val="20"/>
          <w:lang w:val="fr-CA"/>
        </w:rPr>
        <w:fldChar w:fldCharType="end"/>
      </w:r>
      <w:r w:rsidR="00232D10" w:rsidRPr="0043042B">
        <w:rPr>
          <w:b/>
          <w:sz w:val="20"/>
          <w:szCs w:val="20"/>
          <w:lang w:val="fr-CA"/>
        </w:rPr>
        <w:t>35758</w:t>
      </w:r>
      <w:r w:rsidR="00232D10" w:rsidRPr="0043042B">
        <w:rPr>
          <w:sz w:val="20"/>
          <w:szCs w:val="20"/>
          <w:lang w:val="fr-CA"/>
        </w:rPr>
        <w:tab/>
      </w:r>
      <w:r w:rsidR="00232D10" w:rsidRPr="0043042B">
        <w:rPr>
          <w:b/>
          <w:i/>
          <w:sz w:val="20"/>
          <w:szCs w:val="20"/>
          <w:lang w:val="fr-CA"/>
        </w:rPr>
        <w:t>James Steven Wilcox c. Sa Majesté la Reine</w:t>
      </w:r>
    </w:p>
    <w:p w:rsidR="00232D10" w:rsidRPr="0043042B" w:rsidRDefault="00232D10" w:rsidP="00232D10">
      <w:pPr>
        <w:widowControl w:val="0"/>
        <w:jc w:val="both"/>
        <w:rPr>
          <w:sz w:val="20"/>
          <w:szCs w:val="20"/>
          <w:lang w:val="fr-CA"/>
        </w:rPr>
      </w:pPr>
    </w:p>
    <w:p w:rsidR="00232D10" w:rsidRPr="0043042B" w:rsidRDefault="00232D10" w:rsidP="00232D10">
      <w:pPr>
        <w:widowControl w:val="0"/>
        <w:jc w:val="both"/>
        <w:rPr>
          <w:sz w:val="20"/>
          <w:szCs w:val="20"/>
          <w:lang w:val="fr-CA"/>
        </w:rPr>
      </w:pPr>
      <w:r w:rsidRPr="0043042B">
        <w:rPr>
          <w:sz w:val="20"/>
          <w:szCs w:val="20"/>
          <w:lang w:val="fr-CA"/>
        </w:rPr>
        <w:t xml:space="preserve">Droit criminel - Agression sexuelle grave - Consentement - Preuve - Le juge du procès a-t-il omis de prendre en considération et d’appliquer adéquatement l’arrêt </w:t>
      </w:r>
      <w:r w:rsidRPr="0043042B">
        <w:rPr>
          <w:i/>
          <w:sz w:val="20"/>
          <w:szCs w:val="20"/>
          <w:lang w:val="fr-CA"/>
        </w:rPr>
        <w:t>R. c. W. (D.)</w:t>
      </w:r>
      <w:r w:rsidRPr="0043042B">
        <w:rPr>
          <w:sz w:val="20"/>
          <w:szCs w:val="20"/>
          <w:lang w:val="fr-CA"/>
        </w:rPr>
        <w:t xml:space="preserve">, [1991] 1 R.C.S. 742 dans son appréciation de l’ensemble de la preuve? - Est-il vrai que les conclusions du juge du procès ne s’appuyaient pas sur la preuve, appréciée dans son ensemble? </w:t>
      </w:r>
    </w:p>
    <w:p w:rsidR="00232D10" w:rsidRPr="0043042B" w:rsidRDefault="00232D10" w:rsidP="00232D10">
      <w:pPr>
        <w:widowControl w:val="0"/>
        <w:jc w:val="both"/>
        <w:rPr>
          <w:sz w:val="20"/>
          <w:szCs w:val="20"/>
          <w:lang w:val="fr-CA"/>
        </w:rPr>
      </w:pPr>
    </w:p>
    <w:p w:rsidR="00232D10" w:rsidRPr="0043042B" w:rsidRDefault="00232D10" w:rsidP="00232D10">
      <w:pPr>
        <w:widowControl w:val="0"/>
        <w:jc w:val="both"/>
        <w:rPr>
          <w:sz w:val="20"/>
          <w:szCs w:val="20"/>
          <w:lang w:val="fr-CA"/>
        </w:rPr>
      </w:pPr>
      <w:r w:rsidRPr="0043042B">
        <w:rPr>
          <w:sz w:val="20"/>
          <w:szCs w:val="20"/>
          <w:lang w:val="fr-CA"/>
        </w:rPr>
        <w:t xml:space="preserve">L’appelant a été déclaré coupable d’agression sexuelle grave.  Le juge du procès a conclu que l’appelant avait sciemment exposé le plaignant au VIH sans le consentement du plaignant en ayant eu des relations sexuelles anales non protégées avec lui.  Le plaignant a obtenu un résultat négatif au test de dépistage du virus au moment de l’agression, mais il a été diagnostiqué séropositif par la suite.  L’appelant a interjeté appel de sa condamnation, plaidant notamment que son omission de divulguer le fait qu’il avait le VIH était sans importance, puisque le plaignant aurait quand même consenti aux relations sexuelles non protégées.  Les juges majoritaires de la Cour d’appel ont rejeté l’appel.  Le juge Hilton, dissident, aurait accueilli l’appel et ordonné un nouveau procès, puisqu’à son avis, le juge du procès avait commis une erreur dans son application de l’arrêt </w:t>
      </w:r>
      <w:r w:rsidRPr="0043042B">
        <w:rPr>
          <w:i/>
          <w:sz w:val="20"/>
          <w:szCs w:val="20"/>
          <w:lang w:val="fr-CA"/>
        </w:rPr>
        <w:t>R. c. W. (D.)</w:t>
      </w:r>
      <w:r w:rsidRPr="0043042B">
        <w:rPr>
          <w:sz w:val="20"/>
          <w:szCs w:val="20"/>
          <w:lang w:val="fr-CA"/>
        </w:rPr>
        <w:t xml:space="preserve">, [1991] 1 R.C.S. 742, et dans son analyse de l’ensemble de la preuve relativement à la question de savoir s’il y avait un doute raisonnable quant à la culpabilité de l’appelant. </w:t>
      </w:r>
    </w:p>
    <w:p w:rsidR="00232D10" w:rsidRPr="0043042B" w:rsidRDefault="00232D10" w:rsidP="00232D10">
      <w:pPr>
        <w:widowControl w:val="0"/>
        <w:jc w:val="both"/>
        <w:rPr>
          <w:sz w:val="20"/>
          <w:szCs w:val="20"/>
          <w:lang w:val="fr-CA"/>
        </w:rPr>
      </w:pPr>
    </w:p>
    <w:p w:rsidR="00232D10" w:rsidRPr="0043042B" w:rsidRDefault="00232D10" w:rsidP="00232D10">
      <w:pPr>
        <w:widowControl w:val="0"/>
        <w:ind w:left="2880" w:hanging="2880"/>
        <w:jc w:val="both"/>
        <w:rPr>
          <w:sz w:val="20"/>
          <w:szCs w:val="20"/>
          <w:lang w:val="fr-CA"/>
        </w:rPr>
      </w:pPr>
    </w:p>
    <w:p w:rsidR="00232D10" w:rsidRPr="0043042B" w:rsidRDefault="00232D10" w:rsidP="00232D10">
      <w:pPr>
        <w:widowControl w:val="0"/>
        <w:ind w:left="2880" w:hanging="2880"/>
        <w:jc w:val="both"/>
        <w:rPr>
          <w:sz w:val="20"/>
          <w:szCs w:val="20"/>
          <w:lang w:val="fr-CA"/>
        </w:rPr>
      </w:pPr>
      <w:r w:rsidRPr="0043042B">
        <w:rPr>
          <w:sz w:val="20"/>
          <w:szCs w:val="20"/>
          <w:lang w:val="fr-CA"/>
        </w:rPr>
        <w:t>Origine :</w:t>
      </w:r>
      <w:r w:rsidRPr="0043042B">
        <w:rPr>
          <w:sz w:val="20"/>
          <w:szCs w:val="20"/>
          <w:lang w:val="fr-CA"/>
        </w:rPr>
        <w:tab/>
        <w:t>Québec</w:t>
      </w:r>
    </w:p>
    <w:p w:rsidR="00232D10" w:rsidRPr="0043042B" w:rsidRDefault="00232D10" w:rsidP="00232D10">
      <w:pPr>
        <w:widowControl w:val="0"/>
        <w:ind w:left="2880" w:hanging="2880"/>
        <w:jc w:val="both"/>
        <w:rPr>
          <w:sz w:val="20"/>
          <w:szCs w:val="20"/>
          <w:lang w:val="fr-CA"/>
        </w:rPr>
      </w:pPr>
    </w:p>
    <w:p w:rsidR="00232D10" w:rsidRPr="0043042B" w:rsidRDefault="00232D10" w:rsidP="00232D10">
      <w:pPr>
        <w:widowControl w:val="0"/>
        <w:ind w:left="2880" w:hanging="2880"/>
        <w:jc w:val="both"/>
        <w:rPr>
          <w:sz w:val="20"/>
          <w:szCs w:val="20"/>
          <w:lang w:val="fr-CA"/>
        </w:rPr>
      </w:pPr>
      <w:r w:rsidRPr="0043042B">
        <w:rPr>
          <w:sz w:val="20"/>
          <w:szCs w:val="20"/>
          <w:lang w:val="fr-CA"/>
        </w:rPr>
        <w:t>N</w:t>
      </w:r>
      <w:r w:rsidRPr="0043042B">
        <w:rPr>
          <w:sz w:val="20"/>
          <w:szCs w:val="20"/>
          <w:vertAlign w:val="superscript"/>
          <w:lang w:val="fr-CA"/>
        </w:rPr>
        <w:t>o</w:t>
      </w:r>
      <w:r w:rsidRPr="0043042B">
        <w:rPr>
          <w:sz w:val="20"/>
          <w:szCs w:val="20"/>
          <w:lang w:val="fr-CA"/>
        </w:rPr>
        <w:t xml:space="preserve"> du greffe :</w:t>
      </w:r>
      <w:r w:rsidRPr="0043042B">
        <w:rPr>
          <w:sz w:val="20"/>
          <w:szCs w:val="20"/>
          <w:lang w:val="fr-CA"/>
        </w:rPr>
        <w:tab/>
        <w:t>35758</w:t>
      </w:r>
    </w:p>
    <w:p w:rsidR="00232D10" w:rsidRPr="0043042B" w:rsidRDefault="00232D10" w:rsidP="00232D10">
      <w:pPr>
        <w:widowControl w:val="0"/>
        <w:ind w:left="2880" w:hanging="2880"/>
        <w:jc w:val="both"/>
        <w:rPr>
          <w:sz w:val="20"/>
          <w:szCs w:val="20"/>
          <w:lang w:val="fr-CA"/>
        </w:rPr>
      </w:pPr>
    </w:p>
    <w:p w:rsidR="00232D10" w:rsidRPr="0043042B" w:rsidRDefault="00232D10" w:rsidP="00232D10">
      <w:pPr>
        <w:widowControl w:val="0"/>
        <w:ind w:left="2880" w:hanging="2880"/>
        <w:jc w:val="both"/>
        <w:rPr>
          <w:sz w:val="20"/>
          <w:szCs w:val="20"/>
          <w:lang w:val="fr-CA"/>
        </w:rPr>
      </w:pPr>
      <w:r w:rsidRPr="0043042B">
        <w:rPr>
          <w:sz w:val="20"/>
          <w:szCs w:val="20"/>
          <w:lang w:val="fr-CA"/>
        </w:rPr>
        <w:t>Arrêt de la Cour d’appel :</w:t>
      </w:r>
      <w:r w:rsidRPr="0043042B">
        <w:rPr>
          <w:sz w:val="20"/>
          <w:szCs w:val="20"/>
          <w:lang w:val="fr-CA"/>
        </w:rPr>
        <w:tab/>
        <w:t>le 20 février 2014</w:t>
      </w:r>
    </w:p>
    <w:p w:rsidR="00232D10" w:rsidRPr="0043042B" w:rsidRDefault="00232D10" w:rsidP="00232D10">
      <w:pPr>
        <w:widowControl w:val="0"/>
        <w:ind w:left="2880" w:hanging="2880"/>
        <w:jc w:val="both"/>
        <w:rPr>
          <w:sz w:val="20"/>
          <w:szCs w:val="20"/>
          <w:lang w:val="fr-CA"/>
        </w:rPr>
      </w:pPr>
    </w:p>
    <w:p w:rsidR="00232D10" w:rsidRPr="0043042B" w:rsidRDefault="00232D10" w:rsidP="00232D10">
      <w:pPr>
        <w:widowControl w:val="0"/>
        <w:ind w:left="2880" w:hanging="2880"/>
        <w:jc w:val="both"/>
        <w:rPr>
          <w:sz w:val="20"/>
          <w:szCs w:val="20"/>
          <w:lang w:val="fr-CA"/>
        </w:rPr>
      </w:pPr>
      <w:r w:rsidRPr="0043042B">
        <w:rPr>
          <w:sz w:val="20"/>
          <w:szCs w:val="20"/>
          <w:lang w:val="fr-CA"/>
        </w:rPr>
        <w:t>Avocats :</w:t>
      </w:r>
      <w:r w:rsidRPr="0043042B">
        <w:rPr>
          <w:sz w:val="20"/>
          <w:szCs w:val="20"/>
          <w:lang w:val="fr-CA"/>
        </w:rPr>
        <w:tab/>
        <w:t>Jeffrey K. Boro pour l’appelant</w:t>
      </w:r>
    </w:p>
    <w:p w:rsidR="00232D10" w:rsidRPr="0043042B" w:rsidRDefault="00232D10" w:rsidP="00232D10">
      <w:pPr>
        <w:widowControl w:val="0"/>
        <w:ind w:left="2880" w:hanging="2880"/>
        <w:jc w:val="both"/>
        <w:rPr>
          <w:sz w:val="20"/>
          <w:szCs w:val="20"/>
          <w:lang w:val="fr-CA"/>
        </w:rPr>
      </w:pPr>
      <w:r w:rsidRPr="0043042B">
        <w:rPr>
          <w:sz w:val="20"/>
          <w:szCs w:val="20"/>
          <w:lang w:val="fr-CA"/>
        </w:rPr>
        <w:tab/>
        <w:t>Dennis Galiatsatos pour l’intimée</w:t>
      </w:r>
    </w:p>
    <w:p w:rsidR="001662A9" w:rsidRPr="00E3391B" w:rsidRDefault="001662A9" w:rsidP="001662A9">
      <w:pPr>
        <w:tabs>
          <w:tab w:val="left" w:pos="-1440"/>
          <w:tab w:val="left" w:pos="-720"/>
        </w:tabs>
        <w:jc w:val="both"/>
        <w:rPr>
          <w:sz w:val="20"/>
          <w:szCs w:val="20"/>
        </w:rPr>
      </w:pPr>
    </w:p>
    <w:p w:rsidR="001662A9" w:rsidRPr="00DD0B49" w:rsidRDefault="00690162" w:rsidP="001662A9">
      <w:pPr>
        <w:tabs>
          <w:tab w:val="left" w:pos="-1440"/>
          <w:tab w:val="left" w:pos="-720"/>
        </w:tabs>
        <w:jc w:val="both"/>
        <w:rPr>
          <w:sz w:val="20"/>
          <w:szCs w:val="20"/>
          <w:lang w:val="fr-CA"/>
        </w:rPr>
      </w:pPr>
      <w:r>
        <w:rPr>
          <w:sz w:val="20"/>
          <w:szCs w:val="20"/>
          <w:lang w:val="fr-CA"/>
        </w:rPr>
        <w:pict>
          <v:rect id="_x0000_i1113" style="width:2in;height:1pt" o:hrpct="0" o:hralign="center" o:hrstd="t" o:hrnoshade="t" o:hr="t" fillcolor="black [3213]" stroked="f"/>
        </w:pict>
      </w:r>
    </w:p>
    <w:p w:rsidR="001662A9" w:rsidRDefault="001662A9">
      <w:pPr>
        <w:rPr>
          <w:sz w:val="20"/>
          <w:szCs w:val="20"/>
          <w:lang w:val="fr-CA"/>
        </w:rPr>
      </w:pPr>
      <w:r>
        <w:rPr>
          <w:sz w:val="20"/>
          <w:szCs w:val="20"/>
          <w:lang w:val="fr-CA"/>
        </w:rPr>
        <w:br w:type="page"/>
      </w:r>
    </w:p>
    <w:p w:rsidR="00773A98" w:rsidRPr="001043BC" w:rsidRDefault="00D921D7" w:rsidP="00773A98">
      <w:pPr>
        <w:widowControl w:val="0"/>
        <w:ind w:left="720" w:hanging="720"/>
        <w:jc w:val="both"/>
        <w:rPr>
          <w:sz w:val="20"/>
          <w:szCs w:val="20"/>
        </w:rPr>
      </w:pPr>
      <w:r w:rsidRPr="001043BC">
        <w:rPr>
          <w:b/>
          <w:sz w:val="20"/>
          <w:szCs w:val="20"/>
        </w:rPr>
        <w:lastRenderedPageBreak/>
        <w:fldChar w:fldCharType="begin"/>
      </w:r>
      <w:r w:rsidR="00773A98" w:rsidRPr="001043BC">
        <w:rPr>
          <w:b/>
          <w:sz w:val="20"/>
          <w:szCs w:val="20"/>
        </w:rPr>
        <w:instrText xml:space="preserve"> SEQ CHAPTER \h \r 1</w:instrText>
      </w:r>
      <w:r w:rsidRPr="001043BC">
        <w:rPr>
          <w:b/>
          <w:sz w:val="20"/>
          <w:szCs w:val="20"/>
        </w:rPr>
        <w:fldChar w:fldCharType="end"/>
      </w:r>
      <w:r w:rsidR="00773A98" w:rsidRPr="001043BC">
        <w:rPr>
          <w:b/>
          <w:sz w:val="20"/>
          <w:szCs w:val="20"/>
        </w:rPr>
        <w:t>35866</w:t>
      </w:r>
      <w:r w:rsidR="00773A98" w:rsidRPr="001043BC">
        <w:rPr>
          <w:sz w:val="20"/>
          <w:szCs w:val="20"/>
        </w:rPr>
        <w:tab/>
      </w:r>
      <w:r w:rsidR="00773A98" w:rsidRPr="001043BC">
        <w:rPr>
          <w:b/>
          <w:i/>
          <w:sz w:val="20"/>
          <w:szCs w:val="20"/>
        </w:rPr>
        <w:t>Her Majesty the Queen v. Paul Francis Tatton</w:t>
      </w:r>
    </w:p>
    <w:p w:rsidR="00773A98" w:rsidRPr="001043BC" w:rsidRDefault="00773A98" w:rsidP="00773A98">
      <w:pPr>
        <w:widowControl w:val="0"/>
        <w:jc w:val="both"/>
        <w:rPr>
          <w:sz w:val="20"/>
          <w:szCs w:val="20"/>
        </w:rPr>
      </w:pPr>
    </w:p>
    <w:p w:rsidR="00773A98" w:rsidRPr="001043BC" w:rsidRDefault="00773A98" w:rsidP="00773A98">
      <w:pPr>
        <w:widowControl w:val="0"/>
        <w:jc w:val="both"/>
        <w:rPr>
          <w:sz w:val="20"/>
          <w:szCs w:val="20"/>
        </w:rPr>
      </w:pPr>
      <w:r w:rsidRPr="001043BC">
        <w:rPr>
          <w:sz w:val="20"/>
          <w:szCs w:val="20"/>
        </w:rPr>
        <w:t>Criminal law - Arson - Defences - Whether arson is an offence of general or specific intent - Whether an accused person’s self-induced drunkenness, short of extreme intoxication akin to automatism, is a defence to arson.</w:t>
      </w:r>
    </w:p>
    <w:p w:rsidR="00773A98" w:rsidRPr="001043BC" w:rsidRDefault="00773A98" w:rsidP="00773A98">
      <w:pPr>
        <w:widowControl w:val="0"/>
        <w:jc w:val="both"/>
        <w:rPr>
          <w:sz w:val="20"/>
          <w:szCs w:val="20"/>
        </w:rPr>
      </w:pPr>
    </w:p>
    <w:p w:rsidR="00773A98" w:rsidRPr="001043BC" w:rsidRDefault="00773A98" w:rsidP="00773A98">
      <w:pPr>
        <w:widowControl w:val="0"/>
        <w:jc w:val="both"/>
        <w:rPr>
          <w:sz w:val="20"/>
          <w:szCs w:val="20"/>
        </w:rPr>
      </w:pPr>
      <w:r w:rsidRPr="001043BC">
        <w:rPr>
          <w:sz w:val="20"/>
          <w:szCs w:val="20"/>
        </w:rPr>
        <w:t xml:space="preserve">The respondent was acquitted of arson.  While intoxicated at his ex-girlfriend’s house, he put oil in a frying pan, turned the element on high, and then left the house to go to Tim Horton’s.  When he returned fifteen to twenty minutes later, the house was on fire.  The home was completely destroyed.  At trial, the respondent raised the defence of accident and tendered evidence of his intoxication at the time he caused the fire.  The trial judge considered the evidence of intoxication, finding that, in the circumstances of this case, arson was a specific intent offence.  Ultimately, the trial judge was not satisfied beyond a reasonable doubt that the respondent left the stove on high either intentionally or recklessly.  The Crown appealed, arguing that the trial judge should not have considered the evidence of the respondent’s intoxication because arson is an offence of general intent, and evidence of self-induced intoxication is inadmissible for the purpose of determining whether an accused has the requisite intent to commit that offence.  A majority of the Court of Appeal dismissed the appeal.  Goudge J.A., dissenting, would have allowed the appeal, set aside the acquittal and ordered a new trial.  In his view, the offence of arson at s. 434 of the </w:t>
      </w:r>
      <w:r w:rsidRPr="001043BC">
        <w:rPr>
          <w:i/>
          <w:sz w:val="20"/>
          <w:szCs w:val="20"/>
        </w:rPr>
        <w:t>Criminal Code</w:t>
      </w:r>
      <w:r w:rsidRPr="001043BC">
        <w:rPr>
          <w:sz w:val="20"/>
          <w:szCs w:val="20"/>
        </w:rPr>
        <w:t xml:space="preserve">, R.S.C. 1985, c. C-46, is a general intent offence which meant that the trial judge could not consider the respondent’s self-induced intoxication as a defence. </w:t>
      </w:r>
    </w:p>
    <w:p w:rsidR="00773A98" w:rsidRPr="001043BC" w:rsidRDefault="00773A98" w:rsidP="00773A98">
      <w:pPr>
        <w:widowControl w:val="0"/>
        <w:jc w:val="both"/>
        <w:rPr>
          <w:sz w:val="20"/>
          <w:szCs w:val="20"/>
        </w:rPr>
      </w:pPr>
    </w:p>
    <w:p w:rsidR="00773A98" w:rsidRPr="001043BC" w:rsidRDefault="00773A98" w:rsidP="00773A98">
      <w:pPr>
        <w:widowControl w:val="0"/>
        <w:jc w:val="both"/>
        <w:rPr>
          <w:sz w:val="20"/>
          <w:szCs w:val="20"/>
        </w:rPr>
      </w:pPr>
    </w:p>
    <w:p w:rsidR="00773A98" w:rsidRPr="001043BC" w:rsidRDefault="00773A98" w:rsidP="00773A98">
      <w:pPr>
        <w:widowControl w:val="0"/>
        <w:ind w:left="2880" w:hanging="2880"/>
        <w:jc w:val="both"/>
        <w:rPr>
          <w:sz w:val="20"/>
          <w:szCs w:val="20"/>
        </w:rPr>
      </w:pPr>
      <w:r w:rsidRPr="001043BC">
        <w:rPr>
          <w:sz w:val="20"/>
          <w:szCs w:val="20"/>
        </w:rPr>
        <w:t>Origin of the case:</w:t>
      </w:r>
      <w:r w:rsidRPr="001043BC">
        <w:rPr>
          <w:sz w:val="20"/>
          <w:szCs w:val="20"/>
        </w:rPr>
        <w:tab/>
        <w:t>Ontario</w:t>
      </w:r>
    </w:p>
    <w:p w:rsidR="00773A98" w:rsidRPr="001043BC" w:rsidRDefault="00773A98" w:rsidP="00773A98">
      <w:pPr>
        <w:widowControl w:val="0"/>
        <w:ind w:left="2880" w:hanging="2880"/>
        <w:jc w:val="both"/>
        <w:rPr>
          <w:sz w:val="20"/>
          <w:szCs w:val="20"/>
        </w:rPr>
      </w:pPr>
    </w:p>
    <w:p w:rsidR="00773A98" w:rsidRPr="001043BC" w:rsidRDefault="00773A98" w:rsidP="00773A98">
      <w:pPr>
        <w:widowControl w:val="0"/>
        <w:ind w:left="2880" w:hanging="2880"/>
        <w:jc w:val="both"/>
        <w:rPr>
          <w:sz w:val="20"/>
          <w:szCs w:val="20"/>
        </w:rPr>
      </w:pPr>
      <w:r w:rsidRPr="001043BC">
        <w:rPr>
          <w:sz w:val="20"/>
          <w:szCs w:val="20"/>
        </w:rPr>
        <w:t>File No.:</w:t>
      </w:r>
      <w:r w:rsidRPr="001043BC">
        <w:rPr>
          <w:sz w:val="20"/>
          <w:szCs w:val="20"/>
        </w:rPr>
        <w:tab/>
        <w:t>35866</w:t>
      </w:r>
    </w:p>
    <w:p w:rsidR="00773A98" w:rsidRPr="001043BC" w:rsidRDefault="00773A98" w:rsidP="00773A98">
      <w:pPr>
        <w:widowControl w:val="0"/>
        <w:ind w:left="2880" w:hanging="2880"/>
        <w:jc w:val="both"/>
        <w:rPr>
          <w:sz w:val="20"/>
          <w:szCs w:val="20"/>
        </w:rPr>
      </w:pPr>
    </w:p>
    <w:p w:rsidR="00773A98" w:rsidRPr="001043BC" w:rsidRDefault="00773A98" w:rsidP="00773A98">
      <w:pPr>
        <w:widowControl w:val="0"/>
        <w:ind w:left="2880" w:hanging="2880"/>
        <w:jc w:val="both"/>
        <w:rPr>
          <w:sz w:val="20"/>
          <w:szCs w:val="20"/>
        </w:rPr>
      </w:pPr>
      <w:r w:rsidRPr="001043BC">
        <w:rPr>
          <w:sz w:val="20"/>
          <w:szCs w:val="20"/>
        </w:rPr>
        <w:t>Judgment of the Court of Appeal:</w:t>
      </w:r>
      <w:r w:rsidRPr="001043BC">
        <w:rPr>
          <w:sz w:val="20"/>
          <w:szCs w:val="20"/>
        </w:rPr>
        <w:tab/>
        <w:t>April 8, 2014</w:t>
      </w:r>
    </w:p>
    <w:p w:rsidR="00773A98" w:rsidRPr="001043BC" w:rsidRDefault="00773A98" w:rsidP="00773A98">
      <w:pPr>
        <w:widowControl w:val="0"/>
        <w:ind w:left="2880" w:hanging="2880"/>
        <w:jc w:val="both"/>
        <w:rPr>
          <w:sz w:val="20"/>
          <w:szCs w:val="20"/>
        </w:rPr>
      </w:pPr>
    </w:p>
    <w:p w:rsidR="00773A98" w:rsidRPr="001043BC" w:rsidRDefault="00773A98" w:rsidP="00773A98">
      <w:pPr>
        <w:widowControl w:val="0"/>
        <w:ind w:left="2880" w:hanging="2880"/>
        <w:jc w:val="both"/>
        <w:rPr>
          <w:sz w:val="20"/>
          <w:szCs w:val="20"/>
        </w:rPr>
      </w:pPr>
      <w:r w:rsidRPr="001043BC">
        <w:rPr>
          <w:sz w:val="20"/>
          <w:szCs w:val="20"/>
        </w:rPr>
        <w:t>Counsel:</w:t>
      </w:r>
      <w:r w:rsidRPr="001043BC">
        <w:rPr>
          <w:sz w:val="20"/>
          <w:szCs w:val="20"/>
        </w:rPr>
        <w:tab/>
        <w:t>Randy Schwartz for the appellant</w:t>
      </w:r>
    </w:p>
    <w:p w:rsidR="00773A98" w:rsidRPr="001043BC" w:rsidRDefault="00773A98" w:rsidP="00773A98">
      <w:pPr>
        <w:widowControl w:val="0"/>
        <w:ind w:left="2880" w:hanging="2880"/>
        <w:jc w:val="both"/>
        <w:rPr>
          <w:sz w:val="20"/>
          <w:szCs w:val="20"/>
        </w:rPr>
      </w:pPr>
      <w:r w:rsidRPr="001043BC">
        <w:rPr>
          <w:sz w:val="20"/>
          <w:szCs w:val="20"/>
        </w:rPr>
        <w:tab/>
        <w:t>J. Douglas Grenkie, Q.C. and William J. Webber for the respondent</w:t>
      </w:r>
    </w:p>
    <w:p w:rsidR="001662A9" w:rsidRPr="00E3391B" w:rsidRDefault="001662A9" w:rsidP="001662A9">
      <w:pPr>
        <w:tabs>
          <w:tab w:val="left" w:pos="-1440"/>
          <w:tab w:val="left" w:pos="-720"/>
        </w:tabs>
        <w:jc w:val="both"/>
        <w:rPr>
          <w:sz w:val="20"/>
          <w:szCs w:val="20"/>
        </w:rPr>
      </w:pPr>
    </w:p>
    <w:p w:rsidR="001662A9" w:rsidRPr="00DD0B49" w:rsidRDefault="00690162" w:rsidP="001662A9">
      <w:pPr>
        <w:tabs>
          <w:tab w:val="left" w:pos="-1440"/>
          <w:tab w:val="left" w:pos="-720"/>
        </w:tabs>
        <w:jc w:val="both"/>
        <w:rPr>
          <w:sz w:val="20"/>
          <w:szCs w:val="20"/>
          <w:lang w:val="fr-CA"/>
        </w:rPr>
      </w:pPr>
      <w:r>
        <w:rPr>
          <w:sz w:val="20"/>
          <w:szCs w:val="20"/>
          <w:lang w:val="fr-CA"/>
        </w:rPr>
        <w:pict>
          <v:rect id="_x0000_i1114" style="width:2in;height:1pt" o:hrpct="0" o:hralign="center" o:hrstd="t" o:hrnoshade="t" o:hr="t" fillcolor="black [3213]" stroked="f"/>
        </w:pict>
      </w:r>
    </w:p>
    <w:p w:rsidR="001662A9" w:rsidRDefault="001662A9">
      <w:pPr>
        <w:rPr>
          <w:sz w:val="20"/>
          <w:szCs w:val="20"/>
          <w:lang w:val="fr-CA"/>
        </w:rPr>
      </w:pPr>
      <w:r>
        <w:rPr>
          <w:sz w:val="20"/>
          <w:szCs w:val="20"/>
          <w:lang w:val="fr-CA"/>
        </w:rPr>
        <w:br w:type="page"/>
      </w:r>
    </w:p>
    <w:p w:rsidR="00E3391B" w:rsidRPr="007B367E" w:rsidRDefault="00D921D7" w:rsidP="00E3391B">
      <w:pPr>
        <w:widowControl w:val="0"/>
        <w:ind w:left="720" w:hanging="720"/>
        <w:jc w:val="both"/>
        <w:rPr>
          <w:sz w:val="20"/>
          <w:szCs w:val="20"/>
          <w:lang w:val="fr-CA"/>
        </w:rPr>
      </w:pPr>
      <w:r w:rsidRPr="007B367E">
        <w:rPr>
          <w:b/>
          <w:sz w:val="20"/>
          <w:szCs w:val="20"/>
        </w:rPr>
        <w:lastRenderedPageBreak/>
        <w:fldChar w:fldCharType="begin"/>
      </w:r>
      <w:r w:rsidR="00E3391B" w:rsidRPr="007B367E">
        <w:rPr>
          <w:b/>
          <w:sz w:val="20"/>
          <w:szCs w:val="20"/>
          <w:lang w:val="fr-CA"/>
        </w:rPr>
        <w:instrText xml:space="preserve"> SEQ CHAPTER \h \r 1</w:instrText>
      </w:r>
      <w:r w:rsidRPr="007B367E">
        <w:rPr>
          <w:b/>
          <w:sz w:val="20"/>
          <w:szCs w:val="20"/>
        </w:rPr>
        <w:fldChar w:fldCharType="end"/>
      </w:r>
      <w:r w:rsidR="00E3391B" w:rsidRPr="007B367E">
        <w:rPr>
          <w:b/>
          <w:sz w:val="20"/>
          <w:szCs w:val="20"/>
          <w:lang w:val="fr-CA"/>
        </w:rPr>
        <w:t>35866</w:t>
      </w:r>
      <w:r w:rsidR="00E3391B" w:rsidRPr="007B367E">
        <w:rPr>
          <w:sz w:val="20"/>
          <w:szCs w:val="20"/>
          <w:lang w:val="fr-CA"/>
        </w:rPr>
        <w:tab/>
      </w:r>
      <w:r w:rsidR="00E3391B" w:rsidRPr="007B367E">
        <w:rPr>
          <w:b/>
          <w:i/>
          <w:sz w:val="20"/>
          <w:szCs w:val="20"/>
          <w:lang w:val="fr-CA"/>
        </w:rPr>
        <w:t>Sa Majesté la Reine c. Paul Francis Tatton</w:t>
      </w:r>
    </w:p>
    <w:p w:rsidR="00E3391B" w:rsidRPr="007B367E" w:rsidRDefault="00E3391B" w:rsidP="00E3391B">
      <w:pPr>
        <w:widowControl w:val="0"/>
        <w:jc w:val="both"/>
        <w:rPr>
          <w:sz w:val="20"/>
          <w:szCs w:val="20"/>
          <w:lang w:val="fr-CA"/>
        </w:rPr>
      </w:pPr>
    </w:p>
    <w:p w:rsidR="00E3391B" w:rsidRPr="007B367E" w:rsidRDefault="00E3391B" w:rsidP="00E3391B">
      <w:pPr>
        <w:widowControl w:val="0"/>
        <w:jc w:val="both"/>
        <w:rPr>
          <w:sz w:val="20"/>
          <w:szCs w:val="20"/>
          <w:lang w:val="fr-CA"/>
        </w:rPr>
      </w:pPr>
      <w:r w:rsidRPr="007B367E">
        <w:rPr>
          <w:sz w:val="20"/>
          <w:szCs w:val="20"/>
          <w:lang w:val="fr-CA"/>
        </w:rPr>
        <w:t xml:space="preserve">Droit criminel - Incendie criminel - Moyens de défense - L’incendie criminel est-il une infraction d’intention générale ou une infraction d’intention spécifique? - L’ivresse volontaire de l’accusé qui ne constitue pas une intoxication extrême s’apparentant à l’automatisme est-il un moyen de défense opposable à l’incendie criminel?  </w:t>
      </w:r>
    </w:p>
    <w:p w:rsidR="00E3391B" w:rsidRPr="007B367E" w:rsidRDefault="00E3391B" w:rsidP="00E3391B">
      <w:pPr>
        <w:widowControl w:val="0"/>
        <w:jc w:val="both"/>
        <w:rPr>
          <w:sz w:val="20"/>
          <w:szCs w:val="20"/>
          <w:lang w:val="fr-CA"/>
        </w:rPr>
      </w:pPr>
    </w:p>
    <w:p w:rsidR="00E3391B" w:rsidRPr="007B367E" w:rsidRDefault="00E3391B" w:rsidP="00E3391B">
      <w:pPr>
        <w:widowControl w:val="0"/>
        <w:jc w:val="both"/>
        <w:rPr>
          <w:sz w:val="20"/>
          <w:szCs w:val="20"/>
          <w:lang w:val="fr-CA"/>
        </w:rPr>
      </w:pPr>
      <w:r w:rsidRPr="007B367E">
        <w:rPr>
          <w:sz w:val="20"/>
          <w:szCs w:val="20"/>
          <w:lang w:val="fr-CA"/>
        </w:rPr>
        <w:t xml:space="preserve">L’intimé a été acquitté de l’accusation d’incendie criminel.  Alors qu’il était intoxiqué chez son ex-petite amie, il a versé de l’huile dans une poêle à frire et allumé le rond à feu élevé avant de partir au Tim Horton’s.  À son retour quinze ou vingt minutes plus tard, la résidence était la proie des flammes et elle a été entièrement détruite.  Au procès, l’intimé a invoqué la défense d’accident et produit une preuve de son intoxication au moment où il avait causé l’incendie.  Le juge du procès a pris en considération la preuve d’intoxication et conclu que, dans les circonstances de l’espèce, l’incendie criminel était une infraction d’intention spécifique.  En fin de compte, le juge du procès n’était pas convaincu hors de tout doute raisonnable que l’intimé avait laissé intentionnellement ou par insouciance le rond allumé à feu élevé.  Le ministère public a interjeté appel, soutenant que le juge du procès n’aurait pas dû prendre en considération la preuve de l’intoxication de l’intimé parce que l’incendie criminel constitue une infraction d’intention générale et que la preuve d’intoxication volontaire est inadmissible pour déterminer si l’accusé a l’intention requise de commettre cette infraction.  Les juges majoritaires de la Cour d’appel ont rejeté l’appel.  Le juge Goudge, dissident, aurait accueilli l’appel, annulé l’acquittement et ordonné la tenue d’un nouveau procès.  Selon lui, l’infraction d’incendie criminel prévue à l’art. 434 du </w:t>
      </w:r>
      <w:r w:rsidRPr="007B367E">
        <w:rPr>
          <w:i/>
          <w:sz w:val="20"/>
          <w:szCs w:val="20"/>
          <w:lang w:val="fr-CA"/>
        </w:rPr>
        <w:t>Code criminel</w:t>
      </w:r>
      <w:r w:rsidRPr="007B367E">
        <w:rPr>
          <w:sz w:val="20"/>
          <w:szCs w:val="20"/>
          <w:lang w:val="fr-CA"/>
        </w:rPr>
        <w:t xml:space="preserve">, L.R.C. 1985, ch. C-46, constitue une infraction d’intention générale, ce qui empêche le juge du procès de considérer l’intoxication volontaire de l’intimé comme un moyen de défense.  </w:t>
      </w:r>
    </w:p>
    <w:p w:rsidR="00E3391B" w:rsidRPr="007B367E" w:rsidRDefault="00E3391B" w:rsidP="00E3391B">
      <w:pPr>
        <w:widowControl w:val="0"/>
        <w:jc w:val="both"/>
        <w:rPr>
          <w:sz w:val="20"/>
          <w:szCs w:val="20"/>
          <w:lang w:val="fr-CA"/>
        </w:rPr>
      </w:pPr>
    </w:p>
    <w:p w:rsidR="00E3391B" w:rsidRPr="007B367E" w:rsidRDefault="00E3391B" w:rsidP="00E3391B">
      <w:pPr>
        <w:widowControl w:val="0"/>
        <w:jc w:val="both"/>
        <w:rPr>
          <w:sz w:val="20"/>
          <w:szCs w:val="20"/>
          <w:lang w:val="fr-CA"/>
        </w:rPr>
      </w:pPr>
    </w:p>
    <w:p w:rsidR="00E3391B" w:rsidRPr="007B367E" w:rsidRDefault="00E3391B" w:rsidP="00E3391B">
      <w:pPr>
        <w:widowControl w:val="0"/>
        <w:ind w:left="2880" w:hanging="2880"/>
        <w:jc w:val="both"/>
        <w:rPr>
          <w:sz w:val="20"/>
          <w:szCs w:val="20"/>
          <w:lang w:val="fr-CA"/>
        </w:rPr>
      </w:pPr>
      <w:r w:rsidRPr="007B367E">
        <w:rPr>
          <w:sz w:val="20"/>
          <w:szCs w:val="20"/>
          <w:lang w:val="fr-CA"/>
        </w:rPr>
        <w:t>Origine :</w:t>
      </w:r>
      <w:r w:rsidRPr="007B367E">
        <w:rPr>
          <w:sz w:val="20"/>
          <w:szCs w:val="20"/>
          <w:lang w:val="fr-CA"/>
        </w:rPr>
        <w:tab/>
        <w:t>Ontario</w:t>
      </w:r>
    </w:p>
    <w:p w:rsidR="00E3391B" w:rsidRPr="007B367E" w:rsidRDefault="00E3391B" w:rsidP="00E3391B">
      <w:pPr>
        <w:widowControl w:val="0"/>
        <w:ind w:left="2880" w:hanging="2880"/>
        <w:jc w:val="both"/>
        <w:rPr>
          <w:sz w:val="20"/>
          <w:szCs w:val="20"/>
          <w:lang w:val="fr-CA"/>
        </w:rPr>
      </w:pPr>
    </w:p>
    <w:p w:rsidR="00E3391B" w:rsidRPr="007B367E" w:rsidRDefault="00E3391B" w:rsidP="00E3391B">
      <w:pPr>
        <w:widowControl w:val="0"/>
        <w:ind w:left="2880" w:hanging="2880"/>
        <w:jc w:val="both"/>
        <w:rPr>
          <w:sz w:val="20"/>
          <w:szCs w:val="20"/>
          <w:lang w:val="fr-CA"/>
        </w:rPr>
      </w:pPr>
      <w:r w:rsidRPr="007B367E">
        <w:rPr>
          <w:sz w:val="20"/>
          <w:szCs w:val="20"/>
          <w:lang w:val="fr-CA"/>
        </w:rPr>
        <w:t>N</w:t>
      </w:r>
      <w:r w:rsidRPr="007B367E">
        <w:rPr>
          <w:sz w:val="20"/>
          <w:szCs w:val="20"/>
          <w:vertAlign w:val="superscript"/>
          <w:lang w:val="fr-CA"/>
        </w:rPr>
        <w:t>o</w:t>
      </w:r>
      <w:r w:rsidRPr="007B367E">
        <w:rPr>
          <w:sz w:val="20"/>
          <w:szCs w:val="20"/>
          <w:lang w:val="fr-CA"/>
        </w:rPr>
        <w:t xml:space="preserve"> du greffe :</w:t>
      </w:r>
      <w:r w:rsidRPr="007B367E">
        <w:rPr>
          <w:sz w:val="20"/>
          <w:szCs w:val="20"/>
          <w:lang w:val="fr-CA"/>
        </w:rPr>
        <w:tab/>
        <w:t>35866</w:t>
      </w:r>
    </w:p>
    <w:p w:rsidR="00E3391B" w:rsidRPr="007B367E" w:rsidRDefault="00E3391B" w:rsidP="00E3391B">
      <w:pPr>
        <w:widowControl w:val="0"/>
        <w:ind w:left="2880" w:hanging="2880"/>
        <w:jc w:val="both"/>
        <w:rPr>
          <w:sz w:val="20"/>
          <w:szCs w:val="20"/>
          <w:lang w:val="fr-CA"/>
        </w:rPr>
      </w:pPr>
    </w:p>
    <w:p w:rsidR="00E3391B" w:rsidRPr="007B367E" w:rsidRDefault="00E3391B" w:rsidP="00E3391B">
      <w:pPr>
        <w:widowControl w:val="0"/>
        <w:ind w:left="2880" w:hanging="2880"/>
        <w:jc w:val="both"/>
        <w:rPr>
          <w:sz w:val="20"/>
          <w:szCs w:val="20"/>
          <w:lang w:val="fr-CA"/>
        </w:rPr>
      </w:pPr>
      <w:r w:rsidRPr="007B367E">
        <w:rPr>
          <w:sz w:val="20"/>
          <w:szCs w:val="20"/>
          <w:lang w:val="fr-CA"/>
        </w:rPr>
        <w:t>Arrêt de la Cour d’appel :</w:t>
      </w:r>
      <w:r w:rsidRPr="007B367E">
        <w:rPr>
          <w:sz w:val="20"/>
          <w:szCs w:val="20"/>
          <w:lang w:val="fr-CA"/>
        </w:rPr>
        <w:tab/>
        <w:t>le 8 avril 2014</w:t>
      </w:r>
    </w:p>
    <w:p w:rsidR="00E3391B" w:rsidRPr="007B367E" w:rsidRDefault="00E3391B" w:rsidP="00E3391B">
      <w:pPr>
        <w:widowControl w:val="0"/>
        <w:ind w:left="2880" w:hanging="2880"/>
        <w:jc w:val="both"/>
        <w:rPr>
          <w:sz w:val="20"/>
          <w:szCs w:val="20"/>
          <w:lang w:val="fr-CA"/>
        </w:rPr>
      </w:pPr>
    </w:p>
    <w:p w:rsidR="00E3391B" w:rsidRPr="007B367E" w:rsidRDefault="00E3391B" w:rsidP="00E3391B">
      <w:pPr>
        <w:widowControl w:val="0"/>
        <w:ind w:left="2880" w:hanging="2880"/>
        <w:jc w:val="both"/>
        <w:rPr>
          <w:sz w:val="20"/>
          <w:szCs w:val="20"/>
          <w:lang w:val="fr-CA"/>
        </w:rPr>
      </w:pPr>
      <w:r w:rsidRPr="007B367E">
        <w:rPr>
          <w:sz w:val="20"/>
          <w:szCs w:val="20"/>
          <w:lang w:val="fr-CA"/>
        </w:rPr>
        <w:t>Avocats :</w:t>
      </w:r>
      <w:r w:rsidRPr="007B367E">
        <w:rPr>
          <w:sz w:val="20"/>
          <w:szCs w:val="20"/>
          <w:lang w:val="fr-CA"/>
        </w:rPr>
        <w:tab/>
        <w:t>Randy Schwartz pour l’appelante</w:t>
      </w:r>
    </w:p>
    <w:p w:rsidR="00E3391B" w:rsidRPr="007B367E" w:rsidRDefault="00E3391B" w:rsidP="00E3391B">
      <w:pPr>
        <w:widowControl w:val="0"/>
        <w:ind w:left="2880" w:hanging="2880"/>
        <w:jc w:val="both"/>
        <w:rPr>
          <w:sz w:val="20"/>
          <w:szCs w:val="20"/>
          <w:lang w:val="fr-CA"/>
        </w:rPr>
      </w:pPr>
      <w:r>
        <w:rPr>
          <w:sz w:val="20"/>
          <w:szCs w:val="20"/>
          <w:lang w:val="fr-CA"/>
        </w:rPr>
        <w:tab/>
      </w:r>
      <w:r w:rsidRPr="007B367E">
        <w:rPr>
          <w:sz w:val="20"/>
          <w:szCs w:val="20"/>
          <w:lang w:val="fr-CA"/>
        </w:rPr>
        <w:t>J. Douglas Grenkie, c.r., et William J. Webber pour l’intimé</w:t>
      </w:r>
    </w:p>
    <w:p w:rsidR="001662A9" w:rsidRPr="00DD0B49" w:rsidRDefault="001662A9" w:rsidP="001662A9">
      <w:pPr>
        <w:tabs>
          <w:tab w:val="left" w:pos="-1440"/>
          <w:tab w:val="left" w:pos="-720"/>
        </w:tabs>
        <w:jc w:val="both"/>
        <w:rPr>
          <w:sz w:val="20"/>
          <w:szCs w:val="20"/>
          <w:lang w:val="fr-CA"/>
        </w:rPr>
      </w:pPr>
    </w:p>
    <w:p w:rsidR="001662A9" w:rsidRPr="00DD0B49" w:rsidRDefault="00690162" w:rsidP="001662A9">
      <w:pPr>
        <w:tabs>
          <w:tab w:val="left" w:pos="-1440"/>
          <w:tab w:val="left" w:pos="-720"/>
        </w:tabs>
        <w:jc w:val="both"/>
        <w:rPr>
          <w:sz w:val="20"/>
          <w:szCs w:val="20"/>
          <w:lang w:val="fr-CA"/>
        </w:rPr>
      </w:pPr>
      <w:r>
        <w:rPr>
          <w:sz w:val="20"/>
          <w:szCs w:val="20"/>
          <w:lang w:val="fr-CA"/>
        </w:rPr>
        <w:pict>
          <v:rect id="_x0000_i1115" style="width:2in;height:1pt" o:hrpct="0" o:hralign="center" o:hrstd="t" o:hrnoshade="t" o:hr="t" fillcolor="black [3213]" stroked="f"/>
        </w:pict>
      </w:r>
    </w:p>
    <w:p w:rsidR="001662A9" w:rsidRDefault="001662A9">
      <w:pPr>
        <w:rPr>
          <w:sz w:val="20"/>
          <w:szCs w:val="20"/>
          <w:lang w:val="fr-CA"/>
        </w:rPr>
      </w:pPr>
      <w:r>
        <w:rPr>
          <w:sz w:val="20"/>
          <w:szCs w:val="20"/>
          <w:lang w:val="fr-CA"/>
        </w:rPr>
        <w:br w:type="page"/>
      </w:r>
    </w:p>
    <w:p w:rsidR="00505CE6" w:rsidRPr="000A4EE2" w:rsidRDefault="00D921D7" w:rsidP="00505CE6">
      <w:pPr>
        <w:widowControl w:val="0"/>
        <w:ind w:left="720" w:hanging="720"/>
        <w:jc w:val="both"/>
        <w:rPr>
          <w:sz w:val="20"/>
          <w:szCs w:val="20"/>
        </w:rPr>
      </w:pPr>
      <w:r w:rsidRPr="000A4EE2">
        <w:rPr>
          <w:b/>
          <w:sz w:val="20"/>
          <w:szCs w:val="20"/>
        </w:rPr>
        <w:lastRenderedPageBreak/>
        <w:fldChar w:fldCharType="begin"/>
      </w:r>
      <w:r w:rsidR="00505CE6" w:rsidRPr="000A4EE2">
        <w:rPr>
          <w:b/>
          <w:sz w:val="20"/>
          <w:szCs w:val="20"/>
        </w:rPr>
        <w:instrText xml:space="preserve"> SEQ CHAPTER \h \r 1</w:instrText>
      </w:r>
      <w:r w:rsidRPr="000A4EE2">
        <w:rPr>
          <w:b/>
          <w:sz w:val="20"/>
          <w:szCs w:val="20"/>
        </w:rPr>
        <w:fldChar w:fldCharType="end"/>
      </w:r>
      <w:r w:rsidR="00505CE6" w:rsidRPr="000A4EE2">
        <w:rPr>
          <w:b/>
          <w:sz w:val="20"/>
          <w:szCs w:val="20"/>
        </w:rPr>
        <w:t>35597</w:t>
      </w:r>
      <w:r w:rsidR="00505CE6" w:rsidRPr="000A4EE2">
        <w:rPr>
          <w:sz w:val="20"/>
          <w:szCs w:val="20"/>
        </w:rPr>
        <w:tab/>
      </w:r>
      <w:r w:rsidR="00505CE6" w:rsidRPr="000A4EE2">
        <w:rPr>
          <w:b/>
          <w:i/>
          <w:sz w:val="20"/>
          <w:szCs w:val="20"/>
        </w:rPr>
        <w:t>Peter W.G. Carey v. Judith Laiken</w:t>
      </w:r>
    </w:p>
    <w:p w:rsidR="00505CE6" w:rsidRPr="000A4EE2" w:rsidRDefault="00505CE6" w:rsidP="00505CE6">
      <w:pPr>
        <w:widowControl w:val="0"/>
        <w:jc w:val="both"/>
        <w:rPr>
          <w:sz w:val="20"/>
          <w:szCs w:val="20"/>
        </w:rPr>
      </w:pPr>
    </w:p>
    <w:p w:rsidR="00505CE6" w:rsidRPr="000A4EE2" w:rsidRDefault="00505CE6" w:rsidP="00505CE6">
      <w:pPr>
        <w:jc w:val="both"/>
        <w:rPr>
          <w:sz w:val="20"/>
          <w:szCs w:val="20"/>
        </w:rPr>
      </w:pPr>
      <w:r w:rsidRPr="000A4EE2">
        <w:rPr>
          <w:sz w:val="20"/>
          <w:szCs w:val="20"/>
        </w:rPr>
        <w:t>Civil procedure - Contempt of court - Whether a judge should be allowed to revisit his or her finding of contempt at the penalty stage of the contempt proceedings - Whether it is necessary to show that an act was deliberately and willfully disobedient in order for it to constitute civil contempt.</w:t>
      </w:r>
    </w:p>
    <w:p w:rsidR="00505CE6" w:rsidRPr="000A4EE2" w:rsidRDefault="00505CE6" w:rsidP="00505CE6">
      <w:pPr>
        <w:widowControl w:val="0"/>
        <w:jc w:val="both"/>
        <w:rPr>
          <w:sz w:val="20"/>
          <w:szCs w:val="20"/>
        </w:rPr>
      </w:pPr>
    </w:p>
    <w:p w:rsidR="00505CE6" w:rsidRPr="000A4EE2" w:rsidRDefault="00505CE6" w:rsidP="00505CE6">
      <w:pPr>
        <w:widowControl w:val="0"/>
        <w:jc w:val="both"/>
        <w:rPr>
          <w:sz w:val="20"/>
          <w:szCs w:val="20"/>
        </w:rPr>
      </w:pPr>
      <w:r w:rsidRPr="000A4EE2">
        <w:rPr>
          <w:sz w:val="20"/>
          <w:szCs w:val="20"/>
        </w:rPr>
        <w:t xml:space="preserve">The appellant, Mr. Carey, is a lawyer. While acting for one of his clients who was subject to a </w:t>
      </w:r>
      <w:r w:rsidRPr="000A4EE2">
        <w:rPr>
          <w:i/>
          <w:sz w:val="20"/>
          <w:szCs w:val="20"/>
        </w:rPr>
        <w:t>Mareva</w:t>
      </w:r>
      <w:r w:rsidRPr="000A4EE2">
        <w:rPr>
          <w:sz w:val="20"/>
          <w:szCs w:val="20"/>
        </w:rPr>
        <w:t xml:space="preserve"> injunction obtained by the respondent, Ms. Laiken, he returned certain funds to his client from his trust account. Ms. Laiken and Mr. Carey’s client were involved in protracted litigation and she ultimately obtained judgment against him in the amount of $820,000.00. Mr. Carey’s client eventually went out of business and disappeared. Ms. Laiken brought a contempt motion against Mr. Carey, arguing that by returning the money to his client, he had violated the </w:t>
      </w:r>
      <w:r w:rsidRPr="000A4EE2">
        <w:rPr>
          <w:i/>
          <w:sz w:val="20"/>
          <w:szCs w:val="20"/>
        </w:rPr>
        <w:t>Mareva</w:t>
      </w:r>
      <w:r w:rsidRPr="000A4EE2">
        <w:rPr>
          <w:sz w:val="20"/>
          <w:szCs w:val="20"/>
        </w:rPr>
        <w:t xml:space="preserve"> injunction which, by its terms, applied to monies held in trust. The motion judge initially found Mr. Carey in contempt and adjourned the matter pursuant to rule 60.11(5) and (8) of the </w:t>
      </w:r>
      <w:r w:rsidRPr="000A4EE2">
        <w:rPr>
          <w:i/>
          <w:sz w:val="20"/>
          <w:szCs w:val="20"/>
        </w:rPr>
        <w:t>Rules of Civil Procedure</w:t>
      </w:r>
      <w:r w:rsidRPr="000A4EE2">
        <w:rPr>
          <w:sz w:val="20"/>
          <w:szCs w:val="20"/>
        </w:rPr>
        <w:t xml:space="preserve">. When the matter resumed, the motion judge allowed Mr. Carey to reopen the contempt motion, and she found, on the basis of Mr. Carey’s testimony, that she was not satisfied beyond a reasonable doubt that Mr. Carey had deliberately violated the </w:t>
      </w:r>
      <w:r w:rsidRPr="000A4EE2">
        <w:rPr>
          <w:i/>
          <w:sz w:val="20"/>
          <w:szCs w:val="20"/>
        </w:rPr>
        <w:t>Mareva</w:t>
      </w:r>
      <w:r w:rsidRPr="000A4EE2">
        <w:rPr>
          <w:sz w:val="20"/>
          <w:szCs w:val="20"/>
        </w:rPr>
        <w:t xml:space="preserve"> order or that his interpretation of it was willfully blind. Accordingly, she set aside her previous order. The Court of Appeal allowed the appeal and reinstated the contempt order for two reasons. First, it found that Mr. Carey should not have been permitted to re-open the finding of contempt. Second, it found that Mr. Carey knew of the </w:t>
      </w:r>
      <w:r w:rsidRPr="000A4EE2">
        <w:rPr>
          <w:i/>
          <w:sz w:val="20"/>
          <w:szCs w:val="20"/>
        </w:rPr>
        <w:t>Mareva</w:t>
      </w:r>
      <w:r w:rsidRPr="000A4EE2">
        <w:rPr>
          <w:sz w:val="20"/>
          <w:szCs w:val="20"/>
        </w:rPr>
        <w:t xml:space="preserve"> injunction and violated it, and that while he did not desire or knowingly choose to disobey the order, contumacious intent is not an essential element of civil contempt.</w:t>
      </w:r>
    </w:p>
    <w:p w:rsidR="00505CE6" w:rsidRPr="000A4EE2" w:rsidRDefault="00505CE6" w:rsidP="00505CE6">
      <w:pPr>
        <w:widowControl w:val="0"/>
        <w:jc w:val="both"/>
        <w:rPr>
          <w:sz w:val="20"/>
          <w:szCs w:val="20"/>
        </w:rPr>
      </w:pPr>
    </w:p>
    <w:p w:rsidR="00505CE6" w:rsidRPr="000A4EE2" w:rsidRDefault="00505CE6" w:rsidP="00505CE6">
      <w:pPr>
        <w:widowControl w:val="0"/>
        <w:jc w:val="both"/>
        <w:rPr>
          <w:sz w:val="20"/>
          <w:szCs w:val="20"/>
        </w:rPr>
      </w:pPr>
    </w:p>
    <w:p w:rsidR="00505CE6" w:rsidRPr="000A4EE2" w:rsidRDefault="00505CE6" w:rsidP="00505CE6">
      <w:pPr>
        <w:widowControl w:val="0"/>
        <w:ind w:left="2880" w:hanging="2880"/>
        <w:jc w:val="both"/>
        <w:rPr>
          <w:sz w:val="20"/>
          <w:szCs w:val="20"/>
        </w:rPr>
      </w:pPr>
      <w:r w:rsidRPr="000A4EE2">
        <w:rPr>
          <w:sz w:val="20"/>
          <w:szCs w:val="20"/>
        </w:rPr>
        <w:t>Origin of the case:</w:t>
      </w:r>
      <w:r w:rsidRPr="000A4EE2">
        <w:rPr>
          <w:sz w:val="20"/>
          <w:szCs w:val="20"/>
        </w:rPr>
        <w:tab/>
        <w:t>Ontario</w:t>
      </w:r>
    </w:p>
    <w:p w:rsidR="00505CE6" w:rsidRPr="000A4EE2" w:rsidRDefault="00505CE6" w:rsidP="00505CE6">
      <w:pPr>
        <w:widowControl w:val="0"/>
        <w:ind w:left="2880" w:hanging="2880"/>
        <w:jc w:val="both"/>
        <w:rPr>
          <w:sz w:val="20"/>
          <w:szCs w:val="20"/>
        </w:rPr>
      </w:pPr>
    </w:p>
    <w:p w:rsidR="00505CE6" w:rsidRPr="000A4EE2" w:rsidRDefault="00505CE6" w:rsidP="00505CE6">
      <w:pPr>
        <w:widowControl w:val="0"/>
        <w:ind w:left="2880" w:hanging="2880"/>
        <w:jc w:val="both"/>
        <w:rPr>
          <w:sz w:val="20"/>
          <w:szCs w:val="20"/>
        </w:rPr>
      </w:pPr>
      <w:r w:rsidRPr="000A4EE2">
        <w:rPr>
          <w:sz w:val="20"/>
          <w:szCs w:val="20"/>
        </w:rPr>
        <w:t>File No.:</w:t>
      </w:r>
      <w:r w:rsidRPr="000A4EE2">
        <w:rPr>
          <w:sz w:val="20"/>
          <w:szCs w:val="20"/>
        </w:rPr>
        <w:tab/>
        <w:t>35597</w:t>
      </w:r>
    </w:p>
    <w:p w:rsidR="00505CE6" w:rsidRPr="000A4EE2" w:rsidRDefault="00505CE6" w:rsidP="00505CE6">
      <w:pPr>
        <w:widowControl w:val="0"/>
        <w:ind w:left="2880" w:hanging="2880"/>
        <w:jc w:val="both"/>
        <w:rPr>
          <w:sz w:val="20"/>
          <w:szCs w:val="20"/>
        </w:rPr>
      </w:pPr>
    </w:p>
    <w:p w:rsidR="00505CE6" w:rsidRPr="000A4EE2" w:rsidRDefault="00505CE6" w:rsidP="00505CE6">
      <w:pPr>
        <w:widowControl w:val="0"/>
        <w:ind w:left="2880" w:hanging="2880"/>
        <w:jc w:val="both"/>
        <w:rPr>
          <w:sz w:val="20"/>
          <w:szCs w:val="20"/>
        </w:rPr>
      </w:pPr>
      <w:r w:rsidRPr="000A4EE2">
        <w:rPr>
          <w:sz w:val="20"/>
          <w:szCs w:val="20"/>
        </w:rPr>
        <w:t>Judgment of the Court of Appeal:</w:t>
      </w:r>
      <w:r w:rsidRPr="000A4EE2">
        <w:rPr>
          <w:sz w:val="20"/>
          <w:szCs w:val="20"/>
        </w:rPr>
        <w:tab/>
        <w:t>August 27, 2013</w:t>
      </w:r>
    </w:p>
    <w:p w:rsidR="00505CE6" w:rsidRPr="000A4EE2" w:rsidRDefault="00505CE6" w:rsidP="00505CE6">
      <w:pPr>
        <w:widowControl w:val="0"/>
        <w:ind w:left="2880" w:hanging="2880"/>
        <w:jc w:val="both"/>
        <w:rPr>
          <w:sz w:val="20"/>
          <w:szCs w:val="20"/>
        </w:rPr>
      </w:pPr>
    </w:p>
    <w:p w:rsidR="00505CE6" w:rsidRPr="000A4EE2" w:rsidRDefault="00505CE6" w:rsidP="00505CE6">
      <w:pPr>
        <w:widowControl w:val="0"/>
        <w:ind w:left="2880" w:hanging="2880"/>
        <w:jc w:val="both"/>
        <w:rPr>
          <w:sz w:val="20"/>
          <w:szCs w:val="20"/>
        </w:rPr>
      </w:pPr>
      <w:r w:rsidRPr="000A4EE2">
        <w:rPr>
          <w:sz w:val="20"/>
          <w:szCs w:val="20"/>
        </w:rPr>
        <w:t>Counsel:</w:t>
      </w:r>
      <w:r w:rsidRPr="000A4EE2">
        <w:rPr>
          <w:sz w:val="20"/>
          <w:szCs w:val="20"/>
        </w:rPr>
        <w:tab/>
        <w:t>Patricia D.S. Jackson and Rachael Pauls for the appellant</w:t>
      </w:r>
    </w:p>
    <w:p w:rsidR="00505CE6" w:rsidRPr="000A4EE2" w:rsidRDefault="00505CE6" w:rsidP="00505CE6">
      <w:pPr>
        <w:widowControl w:val="0"/>
        <w:ind w:left="2880" w:hanging="2880"/>
        <w:jc w:val="both"/>
        <w:rPr>
          <w:sz w:val="20"/>
          <w:szCs w:val="20"/>
        </w:rPr>
      </w:pPr>
      <w:r w:rsidRPr="000A4EE2">
        <w:rPr>
          <w:sz w:val="20"/>
          <w:szCs w:val="20"/>
        </w:rPr>
        <w:tab/>
        <w:t>Kevin D. Toyne for the respondent</w:t>
      </w:r>
    </w:p>
    <w:p w:rsidR="001662A9" w:rsidRPr="00505CE6" w:rsidRDefault="001662A9" w:rsidP="001662A9">
      <w:pPr>
        <w:tabs>
          <w:tab w:val="left" w:pos="-1440"/>
          <w:tab w:val="left" w:pos="-720"/>
        </w:tabs>
        <w:jc w:val="both"/>
        <w:rPr>
          <w:sz w:val="20"/>
          <w:szCs w:val="20"/>
        </w:rPr>
      </w:pPr>
    </w:p>
    <w:p w:rsidR="001662A9" w:rsidRPr="00DD0B49" w:rsidRDefault="00690162" w:rsidP="001662A9">
      <w:pPr>
        <w:tabs>
          <w:tab w:val="left" w:pos="-1440"/>
          <w:tab w:val="left" w:pos="-720"/>
        </w:tabs>
        <w:jc w:val="both"/>
        <w:rPr>
          <w:sz w:val="20"/>
          <w:szCs w:val="20"/>
          <w:lang w:val="fr-CA"/>
        </w:rPr>
      </w:pPr>
      <w:r>
        <w:rPr>
          <w:sz w:val="20"/>
          <w:szCs w:val="20"/>
          <w:lang w:val="fr-CA"/>
        </w:rPr>
        <w:pict>
          <v:rect id="_x0000_i1116" style="width:2in;height:1pt" o:hrpct="0" o:hralign="center" o:hrstd="t" o:hrnoshade="t" o:hr="t" fillcolor="black [3213]" stroked="f"/>
        </w:pict>
      </w:r>
    </w:p>
    <w:p w:rsidR="001662A9" w:rsidRDefault="001662A9">
      <w:pPr>
        <w:rPr>
          <w:sz w:val="20"/>
          <w:szCs w:val="20"/>
          <w:lang w:val="fr-CA"/>
        </w:rPr>
      </w:pPr>
      <w:r>
        <w:rPr>
          <w:sz w:val="20"/>
          <w:szCs w:val="20"/>
          <w:lang w:val="fr-CA"/>
        </w:rPr>
        <w:br w:type="page"/>
      </w:r>
    </w:p>
    <w:p w:rsidR="00505CE6" w:rsidRPr="008B03FF" w:rsidRDefault="00D921D7" w:rsidP="00505CE6">
      <w:pPr>
        <w:widowControl w:val="0"/>
        <w:ind w:left="720" w:hanging="720"/>
        <w:jc w:val="both"/>
        <w:rPr>
          <w:sz w:val="20"/>
          <w:szCs w:val="20"/>
        </w:rPr>
      </w:pPr>
      <w:r w:rsidRPr="008B03FF">
        <w:rPr>
          <w:b/>
          <w:sz w:val="20"/>
          <w:szCs w:val="20"/>
          <w:lang w:val="fr-CA"/>
        </w:rPr>
        <w:lastRenderedPageBreak/>
        <w:fldChar w:fldCharType="begin"/>
      </w:r>
      <w:r w:rsidR="00505CE6" w:rsidRPr="008B03FF">
        <w:rPr>
          <w:b/>
          <w:sz w:val="20"/>
          <w:szCs w:val="20"/>
        </w:rPr>
        <w:instrText xml:space="preserve"> SEQ CHAPTER \h \r 1</w:instrText>
      </w:r>
      <w:r w:rsidRPr="008B03FF">
        <w:rPr>
          <w:b/>
          <w:sz w:val="20"/>
          <w:szCs w:val="20"/>
          <w:lang w:val="fr-CA"/>
        </w:rPr>
        <w:fldChar w:fldCharType="end"/>
      </w:r>
      <w:r w:rsidR="00505CE6" w:rsidRPr="008B03FF">
        <w:rPr>
          <w:b/>
          <w:sz w:val="20"/>
          <w:szCs w:val="20"/>
        </w:rPr>
        <w:t>35597</w:t>
      </w:r>
      <w:r w:rsidR="00505CE6" w:rsidRPr="008B03FF">
        <w:rPr>
          <w:sz w:val="20"/>
          <w:szCs w:val="20"/>
        </w:rPr>
        <w:tab/>
      </w:r>
      <w:r w:rsidR="00505CE6" w:rsidRPr="008B03FF">
        <w:rPr>
          <w:b/>
          <w:i/>
          <w:sz w:val="20"/>
          <w:szCs w:val="20"/>
        </w:rPr>
        <w:t>Peter W.G. Carey c. Judith Laiken</w:t>
      </w:r>
    </w:p>
    <w:p w:rsidR="00505CE6" w:rsidRPr="008B03FF" w:rsidRDefault="00505CE6" w:rsidP="00505CE6">
      <w:pPr>
        <w:widowControl w:val="0"/>
        <w:jc w:val="both"/>
        <w:rPr>
          <w:sz w:val="20"/>
          <w:szCs w:val="20"/>
        </w:rPr>
      </w:pPr>
    </w:p>
    <w:p w:rsidR="00752469" w:rsidRPr="00FC6522" w:rsidRDefault="00752469" w:rsidP="00752469">
      <w:pPr>
        <w:jc w:val="both"/>
        <w:rPr>
          <w:sz w:val="20"/>
          <w:szCs w:val="20"/>
          <w:lang w:val="fr-CA"/>
        </w:rPr>
      </w:pPr>
      <w:r w:rsidRPr="00FC6522">
        <w:rPr>
          <w:sz w:val="20"/>
          <w:szCs w:val="20"/>
          <w:lang w:val="fr-CA"/>
        </w:rPr>
        <w:t>Procédure civile - Outrage au tribunal - Un juge devrait-il avoir le droit de réexaminer la condamnation pour outrage au tribunal au stade de l’imposition de la peine dans une instance d’outrage? - Est-il nécessaire de démontrer qu’un acte était le fait d’une désobéissance délibérée et volontaire pour qu’il constitue un outrage civil?</w:t>
      </w:r>
    </w:p>
    <w:p w:rsidR="00752469" w:rsidRPr="00FC6522" w:rsidRDefault="00752469" w:rsidP="00752469">
      <w:pPr>
        <w:widowControl w:val="0"/>
        <w:jc w:val="both"/>
        <w:rPr>
          <w:sz w:val="20"/>
          <w:szCs w:val="20"/>
          <w:lang w:val="fr-CA"/>
        </w:rPr>
      </w:pPr>
    </w:p>
    <w:p w:rsidR="00752469" w:rsidRPr="00FC6522" w:rsidRDefault="00752469" w:rsidP="00752469">
      <w:pPr>
        <w:widowControl w:val="0"/>
        <w:jc w:val="both"/>
        <w:rPr>
          <w:sz w:val="20"/>
          <w:szCs w:val="20"/>
          <w:lang w:val="fr-CA"/>
        </w:rPr>
      </w:pPr>
      <w:r w:rsidRPr="00FC6522">
        <w:rPr>
          <w:sz w:val="20"/>
          <w:szCs w:val="20"/>
          <w:lang w:val="fr-CA"/>
        </w:rPr>
        <w:t>L’appelant, M</w:t>
      </w:r>
      <w:r w:rsidRPr="00FC6522">
        <w:rPr>
          <w:sz w:val="20"/>
          <w:szCs w:val="20"/>
          <w:vertAlign w:val="superscript"/>
          <w:lang w:val="fr-CA"/>
        </w:rPr>
        <w:t>e</w:t>
      </w:r>
      <w:r w:rsidRPr="00FC6522">
        <w:rPr>
          <w:sz w:val="20"/>
          <w:szCs w:val="20"/>
          <w:lang w:val="fr-CA"/>
        </w:rPr>
        <w:t xml:space="preserve"> Carey, est avocat.  Alors qu’il agissait pour un de ses clients sous le coup d’une injonction de type </w:t>
      </w:r>
      <w:r w:rsidRPr="00FC6522">
        <w:rPr>
          <w:i/>
          <w:sz w:val="20"/>
          <w:szCs w:val="20"/>
          <w:lang w:val="fr-CA"/>
        </w:rPr>
        <w:t>Mareva</w:t>
      </w:r>
      <w:r w:rsidRPr="00FC6522">
        <w:rPr>
          <w:sz w:val="20"/>
          <w:szCs w:val="20"/>
          <w:lang w:val="fr-CA"/>
        </w:rPr>
        <w:t xml:space="preserve"> obtenue par l’intimée, Mme Laiken, il a remis à son client des sommes d’argent qui se trouvaient dans son compte en fiducie.  Madame Laiken et le client de M</w:t>
      </w:r>
      <w:r w:rsidRPr="00FC6522">
        <w:rPr>
          <w:sz w:val="20"/>
          <w:szCs w:val="20"/>
          <w:vertAlign w:val="superscript"/>
          <w:lang w:val="fr-CA"/>
        </w:rPr>
        <w:t>e</w:t>
      </w:r>
      <w:r w:rsidRPr="00FC6522">
        <w:rPr>
          <w:sz w:val="20"/>
          <w:szCs w:val="20"/>
          <w:lang w:val="fr-CA"/>
        </w:rPr>
        <w:t xml:space="preserve"> Carey étaient parties à un long procès et Mme Laiken a finalement obtenu un jugement contre le client de M</w:t>
      </w:r>
      <w:r w:rsidRPr="00FC6522">
        <w:rPr>
          <w:sz w:val="20"/>
          <w:szCs w:val="20"/>
          <w:vertAlign w:val="superscript"/>
          <w:lang w:val="fr-CA"/>
        </w:rPr>
        <w:t>e</w:t>
      </w:r>
      <w:r w:rsidRPr="00FC6522">
        <w:rPr>
          <w:sz w:val="20"/>
          <w:szCs w:val="20"/>
          <w:lang w:val="fr-CA"/>
        </w:rPr>
        <w:t xml:space="preserve"> Carey au montant de 820 000 $.  Le client de M</w:t>
      </w:r>
      <w:r w:rsidRPr="00FC6522">
        <w:rPr>
          <w:sz w:val="20"/>
          <w:szCs w:val="20"/>
          <w:vertAlign w:val="superscript"/>
          <w:lang w:val="fr-CA"/>
        </w:rPr>
        <w:t>e</w:t>
      </w:r>
      <w:r w:rsidRPr="00FC6522">
        <w:rPr>
          <w:sz w:val="20"/>
          <w:szCs w:val="20"/>
          <w:lang w:val="fr-CA"/>
        </w:rPr>
        <w:t> Carey a fini par cesser ses activités et il a disparu.  Madame Laiken a présenté une motion en outrage contre M</w:t>
      </w:r>
      <w:r w:rsidRPr="00FC6522">
        <w:rPr>
          <w:sz w:val="20"/>
          <w:szCs w:val="20"/>
          <w:vertAlign w:val="superscript"/>
          <w:lang w:val="fr-CA"/>
        </w:rPr>
        <w:t>e</w:t>
      </w:r>
      <w:r w:rsidRPr="00FC6522">
        <w:rPr>
          <w:sz w:val="20"/>
          <w:szCs w:val="20"/>
          <w:lang w:val="fr-CA"/>
        </w:rPr>
        <w:t xml:space="preserve"> Carey, plaidant que celui-ci, en remettant l’argent à son client, avait violé l’injonction de type </w:t>
      </w:r>
      <w:r w:rsidRPr="00FC6522">
        <w:rPr>
          <w:i/>
          <w:sz w:val="20"/>
          <w:szCs w:val="20"/>
          <w:lang w:val="fr-CA"/>
        </w:rPr>
        <w:t>Mareva</w:t>
      </w:r>
      <w:r w:rsidRPr="00FC6522">
        <w:rPr>
          <w:sz w:val="20"/>
          <w:szCs w:val="20"/>
          <w:lang w:val="fr-CA"/>
        </w:rPr>
        <w:t xml:space="preserve"> qui, de par son libellé, s’appliquait aux sommes d’argent détenus en fiducie.  La juge saisie de la motion a conclu dans un premier temps que M</w:t>
      </w:r>
      <w:r w:rsidRPr="00FC6522">
        <w:rPr>
          <w:sz w:val="20"/>
          <w:szCs w:val="20"/>
          <w:vertAlign w:val="superscript"/>
          <w:lang w:val="fr-CA"/>
        </w:rPr>
        <w:t>e</w:t>
      </w:r>
      <w:r w:rsidRPr="00FC6522">
        <w:rPr>
          <w:sz w:val="20"/>
          <w:szCs w:val="20"/>
          <w:lang w:val="fr-CA"/>
        </w:rPr>
        <w:t xml:space="preserve"> Carey avait commis un outrage et a ajourné l’affaire en application des par. 60.11(5) et (8) des</w:t>
      </w:r>
      <w:r w:rsidRPr="00FC6522">
        <w:rPr>
          <w:i/>
          <w:sz w:val="20"/>
          <w:szCs w:val="20"/>
          <w:lang w:val="fr-CA"/>
        </w:rPr>
        <w:t xml:space="preserve"> Règles de procédure civile</w:t>
      </w:r>
      <w:r w:rsidRPr="00FC6522">
        <w:rPr>
          <w:sz w:val="20"/>
          <w:szCs w:val="20"/>
          <w:lang w:val="fr-CA"/>
        </w:rPr>
        <w:t>.  À la reprise de l’instance, la juge a permis à M</w:t>
      </w:r>
      <w:r w:rsidRPr="00FC6522">
        <w:rPr>
          <w:sz w:val="20"/>
          <w:szCs w:val="20"/>
          <w:vertAlign w:val="superscript"/>
          <w:lang w:val="fr-CA"/>
        </w:rPr>
        <w:t>e</w:t>
      </w:r>
      <w:r w:rsidRPr="00FC6522">
        <w:rPr>
          <w:sz w:val="20"/>
          <w:szCs w:val="20"/>
          <w:lang w:val="fr-CA"/>
        </w:rPr>
        <w:t xml:space="preserve"> Carey de rouvrir la motion en outrage et elle a conclu, en s’appuyant sur le témoignage de M</w:t>
      </w:r>
      <w:r w:rsidRPr="00FC6522">
        <w:rPr>
          <w:sz w:val="20"/>
          <w:szCs w:val="20"/>
          <w:vertAlign w:val="superscript"/>
          <w:lang w:val="fr-CA"/>
        </w:rPr>
        <w:t>e</w:t>
      </w:r>
      <w:r w:rsidRPr="00FC6522">
        <w:rPr>
          <w:sz w:val="20"/>
          <w:szCs w:val="20"/>
          <w:lang w:val="fr-CA"/>
        </w:rPr>
        <w:t xml:space="preserve"> Carey, qu’elle n’était pas convaincue hors de tout doute raisonnable que M</w:t>
      </w:r>
      <w:r w:rsidRPr="00FC6522">
        <w:rPr>
          <w:sz w:val="20"/>
          <w:szCs w:val="20"/>
          <w:vertAlign w:val="superscript"/>
          <w:lang w:val="fr-CA"/>
        </w:rPr>
        <w:t>e</w:t>
      </w:r>
      <w:r w:rsidRPr="00FC6522">
        <w:rPr>
          <w:sz w:val="20"/>
          <w:szCs w:val="20"/>
          <w:lang w:val="fr-CA"/>
        </w:rPr>
        <w:t xml:space="preserve"> Carey avait délibérément violé l’ordonnance de type </w:t>
      </w:r>
      <w:r w:rsidRPr="00FC6522">
        <w:rPr>
          <w:i/>
          <w:sz w:val="20"/>
          <w:szCs w:val="20"/>
          <w:lang w:val="fr-CA"/>
        </w:rPr>
        <w:t>Mareva</w:t>
      </w:r>
      <w:r w:rsidRPr="00FC6522">
        <w:rPr>
          <w:sz w:val="20"/>
          <w:szCs w:val="20"/>
          <w:lang w:val="fr-CA"/>
        </w:rPr>
        <w:t xml:space="preserve"> ou qu’il avait fait preuve d’aveuglement volontaire en l’interprétant.  Par conséquent, elle a annulé son ordonnance antérieure.  La Cour d’appel a accueilli l’appel et a rétabli l’ordonnance d’outrage pour deux motifs.  Premièrement, elle a conclu que M</w:t>
      </w:r>
      <w:r w:rsidRPr="00FC6522">
        <w:rPr>
          <w:sz w:val="20"/>
          <w:szCs w:val="20"/>
          <w:vertAlign w:val="superscript"/>
          <w:lang w:val="fr-CA"/>
        </w:rPr>
        <w:t>e</w:t>
      </w:r>
      <w:r w:rsidRPr="00FC6522">
        <w:rPr>
          <w:sz w:val="20"/>
          <w:szCs w:val="20"/>
          <w:lang w:val="fr-CA"/>
        </w:rPr>
        <w:t xml:space="preserve"> Carey n’aurait pas dû être autorisé à rouvrir le verdict d’outrage.  Deuxièmement, elle a conclu que M</w:t>
      </w:r>
      <w:r w:rsidRPr="00FC6522">
        <w:rPr>
          <w:sz w:val="20"/>
          <w:szCs w:val="20"/>
          <w:vertAlign w:val="superscript"/>
          <w:lang w:val="fr-CA"/>
        </w:rPr>
        <w:t>e</w:t>
      </w:r>
      <w:r w:rsidRPr="00FC6522">
        <w:rPr>
          <w:sz w:val="20"/>
          <w:szCs w:val="20"/>
          <w:lang w:val="fr-CA"/>
        </w:rPr>
        <w:t xml:space="preserve"> Carey avait eu connaissance de l’injonction de type </w:t>
      </w:r>
      <w:r w:rsidRPr="00FC6522">
        <w:rPr>
          <w:i/>
          <w:sz w:val="20"/>
          <w:szCs w:val="20"/>
          <w:lang w:val="fr-CA"/>
        </w:rPr>
        <w:t>Mareva</w:t>
      </w:r>
      <w:r w:rsidRPr="00FC6522">
        <w:rPr>
          <w:sz w:val="20"/>
          <w:szCs w:val="20"/>
          <w:lang w:val="fr-CA"/>
        </w:rPr>
        <w:t xml:space="preserve"> et qu’il l’avait violée, et que même s’il n’avait pas voulu désobéir à l’ordonnance ou n’avait pas sciemment choisi de le faire, l’intention de désobéir n’était pas un élément essentiel de l’outrage civil.</w:t>
      </w:r>
    </w:p>
    <w:p w:rsidR="00505CE6" w:rsidRPr="008B03FF" w:rsidRDefault="00505CE6" w:rsidP="00505CE6">
      <w:pPr>
        <w:widowControl w:val="0"/>
        <w:jc w:val="both"/>
        <w:rPr>
          <w:sz w:val="20"/>
          <w:szCs w:val="20"/>
          <w:lang w:val="fr-CA"/>
        </w:rPr>
      </w:pPr>
    </w:p>
    <w:p w:rsidR="00505CE6" w:rsidRPr="008B03FF" w:rsidRDefault="00505CE6" w:rsidP="00505CE6">
      <w:pPr>
        <w:widowControl w:val="0"/>
        <w:jc w:val="both"/>
        <w:rPr>
          <w:sz w:val="20"/>
          <w:szCs w:val="20"/>
          <w:lang w:val="fr-CA"/>
        </w:rPr>
      </w:pPr>
    </w:p>
    <w:p w:rsidR="00505CE6" w:rsidRPr="008B03FF" w:rsidRDefault="00505CE6" w:rsidP="00505CE6">
      <w:pPr>
        <w:widowControl w:val="0"/>
        <w:jc w:val="both"/>
        <w:rPr>
          <w:sz w:val="20"/>
          <w:szCs w:val="20"/>
          <w:lang w:val="fr-CA"/>
        </w:rPr>
      </w:pPr>
    </w:p>
    <w:p w:rsidR="00505CE6" w:rsidRPr="008B03FF" w:rsidRDefault="00505CE6" w:rsidP="00505CE6">
      <w:pPr>
        <w:widowControl w:val="0"/>
        <w:ind w:left="2880" w:hanging="2880"/>
        <w:jc w:val="both"/>
        <w:rPr>
          <w:sz w:val="20"/>
          <w:szCs w:val="20"/>
          <w:lang w:val="fr-CA"/>
        </w:rPr>
      </w:pPr>
      <w:r w:rsidRPr="008B03FF">
        <w:rPr>
          <w:sz w:val="20"/>
          <w:szCs w:val="20"/>
          <w:lang w:val="fr-CA"/>
        </w:rPr>
        <w:t>Origine :</w:t>
      </w:r>
      <w:r w:rsidRPr="008B03FF">
        <w:rPr>
          <w:sz w:val="20"/>
          <w:szCs w:val="20"/>
          <w:lang w:val="fr-CA"/>
        </w:rPr>
        <w:tab/>
        <w:t>Ontario</w:t>
      </w:r>
    </w:p>
    <w:p w:rsidR="00505CE6" w:rsidRPr="008B03FF" w:rsidRDefault="00505CE6" w:rsidP="00505CE6">
      <w:pPr>
        <w:widowControl w:val="0"/>
        <w:ind w:left="2880" w:hanging="2880"/>
        <w:jc w:val="both"/>
        <w:rPr>
          <w:sz w:val="20"/>
          <w:szCs w:val="20"/>
          <w:lang w:val="fr-CA"/>
        </w:rPr>
      </w:pPr>
    </w:p>
    <w:p w:rsidR="00505CE6" w:rsidRPr="008B03FF" w:rsidRDefault="00505CE6" w:rsidP="00505CE6">
      <w:pPr>
        <w:widowControl w:val="0"/>
        <w:ind w:left="2880" w:hanging="2880"/>
        <w:jc w:val="both"/>
        <w:rPr>
          <w:sz w:val="20"/>
          <w:szCs w:val="20"/>
          <w:lang w:val="fr-CA"/>
        </w:rPr>
      </w:pPr>
      <w:r w:rsidRPr="008B03FF">
        <w:rPr>
          <w:sz w:val="20"/>
          <w:szCs w:val="20"/>
          <w:lang w:val="fr-CA"/>
        </w:rPr>
        <w:t>N</w:t>
      </w:r>
      <w:r w:rsidRPr="008B03FF">
        <w:rPr>
          <w:sz w:val="20"/>
          <w:szCs w:val="20"/>
          <w:vertAlign w:val="superscript"/>
          <w:lang w:val="fr-CA"/>
        </w:rPr>
        <w:t>o</w:t>
      </w:r>
      <w:r w:rsidRPr="008B03FF">
        <w:rPr>
          <w:sz w:val="20"/>
          <w:szCs w:val="20"/>
          <w:lang w:val="fr-CA"/>
        </w:rPr>
        <w:t xml:space="preserve"> du greffe :</w:t>
      </w:r>
      <w:r w:rsidRPr="008B03FF">
        <w:rPr>
          <w:sz w:val="20"/>
          <w:szCs w:val="20"/>
          <w:lang w:val="fr-CA"/>
        </w:rPr>
        <w:tab/>
        <w:t>35597</w:t>
      </w:r>
    </w:p>
    <w:p w:rsidR="00505CE6" w:rsidRPr="008B03FF" w:rsidRDefault="00505CE6" w:rsidP="00505CE6">
      <w:pPr>
        <w:widowControl w:val="0"/>
        <w:ind w:left="2880" w:hanging="2880"/>
        <w:jc w:val="both"/>
        <w:rPr>
          <w:sz w:val="20"/>
          <w:szCs w:val="20"/>
          <w:lang w:val="fr-CA"/>
        </w:rPr>
      </w:pPr>
    </w:p>
    <w:p w:rsidR="00505CE6" w:rsidRPr="008B03FF" w:rsidRDefault="00505CE6" w:rsidP="00505CE6">
      <w:pPr>
        <w:widowControl w:val="0"/>
        <w:ind w:left="2880" w:hanging="2880"/>
        <w:jc w:val="both"/>
        <w:rPr>
          <w:sz w:val="20"/>
          <w:szCs w:val="20"/>
          <w:lang w:val="fr-CA"/>
        </w:rPr>
      </w:pPr>
      <w:r w:rsidRPr="008B03FF">
        <w:rPr>
          <w:sz w:val="20"/>
          <w:szCs w:val="20"/>
          <w:lang w:val="fr-CA"/>
        </w:rPr>
        <w:t>Arrêt de la Cour d’appel :</w:t>
      </w:r>
      <w:r w:rsidRPr="008B03FF">
        <w:rPr>
          <w:sz w:val="20"/>
          <w:szCs w:val="20"/>
          <w:lang w:val="fr-CA"/>
        </w:rPr>
        <w:tab/>
        <w:t>le 27 août 2013</w:t>
      </w:r>
    </w:p>
    <w:p w:rsidR="00505CE6" w:rsidRPr="008B03FF" w:rsidRDefault="00505CE6" w:rsidP="00505CE6">
      <w:pPr>
        <w:widowControl w:val="0"/>
        <w:ind w:left="2880" w:hanging="2880"/>
        <w:jc w:val="both"/>
        <w:rPr>
          <w:sz w:val="20"/>
          <w:szCs w:val="20"/>
          <w:lang w:val="fr-CA"/>
        </w:rPr>
      </w:pPr>
    </w:p>
    <w:p w:rsidR="00505CE6" w:rsidRPr="008B03FF" w:rsidRDefault="00505CE6" w:rsidP="00505CE6">
      <w:pPr>
        <w:widowControl w:val="0"/>
        <w:ind w:left="2880" w:hanging="2880"/>
        <w:jc w:val="both"/>
        <w:rPr>
          <w:sz w:val="20"/>
          <w:szCs w:val="20"/>
          <w:lang w:val="fr-CA"/>
        </w:rPr>
      </w:pPr>
      <w:r w:rsidRPr="008B03FF">
        <w:rPr>
          <w:sz w:val="20"/>
          <w:szCs w:val="20"/>
          <w:lang w:val="fr-CA"/>
        </w:rPr>
        <w:t>Avocats :</w:t>
      </w:r>
      <w:r w:rsidRPr="008B03FF">
        <w:rPr>
          <w:sz w:val="20"/>
          <w:szCs w:val="20"/>
          <w:lang w:val="fr-CA"/>
        </w:rPr>
        <w:tab/>
        <w:t>Patricia D.S. Jackson et Rachael Pauls pour l’appelant</w:t>
      </w:r>
    </w:p>
    <w:p w:rsidR="00505CE6" w:rsidRPr="008B03FF" w:rsidRDefault="00505CE6" w:rsidP="00505CE6">
      <w:pPr>
        <w:widowControl w:val="0"/>
        <w:ind w:left="2880" w:hanging="2880"/>
        <w:jc w:val="both"/>
        <w:rPr>
          <w:sz w:val="20"/>
          <w:szCs w:val="20"/>
          <w:lang w:val="fr-CA"/>
        </w:rPr>
      </w:pPr>
      <w:r w:rsidRPr="008B03FF">
        <w:rPr>
          <w:sz w:val="20"/>
          <w:szCs w:val="20"/>
          <w:lang w:val="fr-CA"/>
        </w:rPr>
        <w:tab/>
        <w:t>Kevin D. Toyne pour l’intimée</w:t>
      </w:r>
    </w:p>
    <w:p w:rsidR="001662A9" w:rsidRPr="00DD0B49" w:rsidRDefault="001662A9" w:rsidP="001662A9">
      <w:pPr>
        <w:tabs>
          <w:tab w:val="left" w:pos="-1440"/>
          <w:tab w:val="left" w:pos="-720"/>
        </w:tabs>
        <w:jc w:val="both"/>
        <w:rPr>
          <w:sz w:val="20"/>
          <w:szCs w:val="20"/>
          <w:lang w:val="fr-CA"/>
        </w:rPr>
      </w:pPr>
    </w:p>
    <w:p w:rsidR="001662A9" w:rsidRPr="00DD0B49" w:rsidRDefault="00690162" w:rsidP="001662A9">
      <w:pPr>
        <w:tabs>
          <w:tab w:val="left" w:pos="-1440"/>
          <w:tab w:val="left" w:pos="-720"/>
        </w:tabs>
        <w:jc w:val="both"/>
        <w:rPr>
          <w:sz w:val="20"/>
          <w:szCs w:val="20"/>
          <w:lang w:val="fr-CA"/>
        </w:rPr>
      </w:pPr>
      <w:r>
        <w:rPr>
          <w:sz w:val="20"/>
          <w:szCs w:val="20"/>
          <w:lang w:val="fr-CA"/>
        </w:rPr>
        <w:pict>
          <v:rect id="_x0000_i1117" style="width:2in;height:1pt" o:hrpct="0" o:hralign="center" o:hrstd="t" o:hrnoshade="t" o:hr="t" fillcolor="black [3213]" stroked="f"/>
        </w:pict>
      </w:r>
    </w:p>
    <w:p w:rsidR="001662A9" w:rsidRDefault="001662A9">
      <w:pPr>
        <w:rPr>
          <w:sz w:val="20"/>
          <w:szCs w:val="20"/>
          <w:lang w:val="fr-CA"/>
        </w:rPr>
      </w:pPr>
      <w:r>
        <w:rPr>
          <w:sz w:val="20"/>
          <w:szCs w:val="20"/>
          <w:lang w:val="fr-CA"/>
        </w:rPr>
        <w:br w:type="page"/>
      </w:r>
    </w:p>
    <w:p w:rsidR="00A23F0F" w:rsidRPr="0031009D" w:rsidRDefault="00D921D7" w:rsidP="00A23F0F">
      <w:pPr>
        <w:widowControl w:val="0"/>
        <w:ind w:left="720" w:hanging="720"/>
        <w:jc w:val="both"/>
        <w:rPr>
          <w:sz w:val="20"/>
          <w:szCs w:val="20"/>
        </w:rPr>
      </w:pPr>
      <w:r w:rsidRPr="0031009D">
        <w:rPr>
          <w:b/>
          <w:sz w:val="20"/>
          <w:szCs w:val="20"/>
        </w:rPr>
        <w:lastRenderedPageBreak/>
        <w:fldChar w:fldCharType="begin"/>
      </w:r>
      <w:r w:rsidR="00A23F0F" w:rsidRPr="0031009D">
        <w:rPr>
          <w:b/>
          <w:sz w:val="20"/>
          <w:szCs w:val="20"/>
        </w:rPr>
        <w:instrText xml:space="preserve"> SEQ CHAPTER \h \r 1</w:instrText>
      </w:r>
      <w:r w:rsidRPr="0031009D">
        <w:rPr>
          <w:b/>
          <w:sz w:val="20"/>
          <w:szCs w:val="20"/>
        </w:rPr>
        <w:fldChar w:fldCharType="end"/>
      </w:r>
      <w:r w:rsidR="00A23F0F" w:rsidRPr="0031009D">
        <w:rPr>
          <w:b/>
          <w:sz w:val="20"/>
          <w:szCs w:val="20"/>
        </w:rPr>
        <w:t>35957</w:t>
      </w:r>
      <w:r w:rsidR="00A23F0F" w:rsidRPr="0031009D">
        <w:rPr>
          <w:sz w:val="20"/>
          <w:szCs w:val="20"/>
        </w:rPr>
        <w:tab/>
      </w:r>
      <w:r w:rsidR="00A23F0F" w:rsidRPr="0031009D">
        <w:rPr>
          <w:b/>
          <w:i/>
          <w:sz w:val="20"/>
          <w:szCs w:val="20"/>
        </w:rPr>
        <w:t>Her Majesty the Queen v. Clarence Michael MacLeod</w:t>
      </w:r>
    </w:p>
    <w:p w:rsidR="00A23F0F" w:rsidRPr="0031009D" w:rsidRDefault="00A23F0F" w:rsidP="00A23F0F">
      <w:pPr>
        <w:widowControl w:val="0"/>
        <w:jc w:val="both"/>
        <w:rPr>
          <w:sz w:val="20"/>
          <w:szCs w:val="20"/>
        </w:rPr>
      </w:pPr>
    </w:p>
    <w:p w:rsidR="00E007F6" w:rsidRPr="00C74784" w:rsidRDefault="00E007F6" w:rsidP="00E007F6">
      <w:pPr>
        <w:widowControl w:val="0"/>
        <w:jc w:val="both"/>
        <w:rPr>
          <w:sz w:val="20"/>
          <w:szCs w:val="20"/>
        </w:rPr>
      </w:pPr>
      <w:r w:rsidRPr="00C74784">
        <w:rPr>
          <w:sz w:val="20"/>
          <w:szCs w:val="20"/>
        </w:rPr>
        <w:t>Criminal law - Murder - Charge to jury - Lesser verdict of manslaughter - Air of reality - Whether the trial judge erred by refusing to charge the jury on the lesser verdict of manslaughter - To what extent are defence counsel’s express wishes and the strategies adopted at trial to be considered when deciding to charge a jury on a defence or lesser alternative verdict, particularly where such an alternative would be completely inconsistent and incompatible with the position taken by the accused in answer to the charge?</w:t>
      </w:r>
    </w:p>
    <w:p w:rsidR="00E007F6" w:rsidRPr="00C74784" w:rsidRDefault="00E007F6" w:rsidP="00E007F6">
      <w:pPr>
        <w:widowControl w:val="0"/>
        <w:jc w:val="both"/>
        <w:rPr>
          <w:sz w:val="20"/>
          <w:szCs w:val="20"/>
        </w:rPr>
      </w:pPr>
    </w:p>
    <w:p w:rsidR="00E007F6" w:rsidRPr="00C74784" w:rsidRDefault="00E007F6" w:rsidP="00E007F6">
      <w:pPr>
        <w:widowControl w:val="0"/>
        <w:jc w:val="both"/>
        <w:rPr>
          <w:sz w:val="20"/>
          <w:szCs w:val="20"/>
        </w:rPr>
      </w:pPr>
      <w:r w:rsidRPr="00C74784">
        <w:rPr>
          <w:sz w:val="20"/>
          <w:szCs w:val="20"/>
        </w:rPr>
        <w:t>The respondent was convicted of second degree murder for the death of his girlfriend. She was found dead in her apartment by her son and a building employee. The respondent was found standing over the victim’s body, clenching a knife which he then used to stab himself in the abdomen. The Crown’s expert gave evidence to the effect that the manner of death was homicide and that the cause of death was strangulation. The respondent’s expert contended that the victim’s death was suspicious but was not consistent with death by strangulation. In her view, the manner of death was undetermined, and the cause of death was atherosclerotic coronary artery disease. On appeal, the respondent argued, among other things, that the trial judge erred by failing to instruct the jury that a verdict of manslaughter was available, notwithstanding that defence counsel at trial had urged the trial judge not to do so. A majority of the Court of Appeal allowed the appeal, quashed the conviction and ordered a new trial. In its view, manslaughter was a verdict that was plainly available and, accordingly, it should have been left with the jury. Saunders J.A., dissenting, would have dismissed the appeal. In his view, charging a jury — against defence counsel’s express wishes — with respect to a defence shown to be completely inconsistent and incompatible with the strategic position adopted by defence counsel at trial, seriously impacts upon an accused’s fair trial interests and right to make full answer and defence. In this case, Saunders J.A. found that the trial judge did not err in refusing to charge the jury on manslaughter, given that there was no evidential foundation to lend an air of reality to the possibility that the respondent had assaulted the victim and that during their struggle he had unintentionally caused her death.</w:t>
      </w:r>
    </w:p>
    <w:p w:rsidR="00A23F0F" w:rsidRPr="0031009D" w:rsidRDefault="00A23F0F" w:rsidP="00A23F0F">
      <w:pPr>
        <w:widowControl w:val="0"/>
        <w:jc w:val="both"/>
        <w:rPr>
          <w:sz w:val="20"/>
          <w:szCs w:val="20"/>
        </w:rPr>
      </w:pPr>
    </w:p>
    <w:p w:rsidR="00A23F0F" w:rsidRPr="0031009D" w:rsidRDefault="00A23F0F" w:rsidP="00A23F0F">
      <w:pPr>
        <w:widowControl w:val="0"/>
        <w:jc w:val="both"/>
        <w:rPr>
          <w:sz w:val="20"/>
          <w:szCs w:val="20"/>
        </w:rPr>
      </w:pPr>
    </w:p>
    <w:p w:rsidR="00A23F0F" w:rsidRPr="0031009D" w:rsidRDefault="00A23F0F" w:rsidP="00A23F0F">
      <w:pPr>
        <w:widowControl w:val="0"/>
        <w:ind w:left="2880" w:hanging="2880"/>
        <w:jc w:val="both"/>
        <w:rPr>
          <w:sz w:val="20"/>
          <w:szCs w:val="20"/>
        </w:rPr>
      </w:pPr>
      <w:r w:rsidRPr="0031009D">
        <w:rPr>
          <w:sz w:val="20"/>
          <w:szCs w:val="20"/>
        </w:rPr>
        <w:t>Origin of the case:</w:t>
      </w:r>
      <w:r w:rsidRPr="0031009D">
        <w:rPr>
          <w:sz w:val="20"/>
          <w:szCs w:val="20"/>
        </w:rPr>
        <w:tab/>
        <w:t>Nova Scotia</w:t>
      </w:r>
    </w:p>
    <w:p w:rsidR="00A23F0F" w:rsidRPr="0031009D" w:rsidRDefault="00A23F0F" w:rsidP="00A23F0F">
      <w:pPr>
        <w:widowControl w:val="0"/>
        <w:ind w:left="2880" w:hanging="2880"/>
        <w:jc w:val="both"/>
        <w:rPr>
          <w:sz w:val="20"/>
          <w:szCs w:val="20"/>
        </w:rPr>
      </w:pPr>
    </w:p>
    <w:p w:rsidR="00A23F0F" w:rsidRPr="0031009D" w:rsidRDefault="00A23F0F" w:rsidP="00A23F0F">
      <w:pPr>
        <w:widowControl w:val="0"/>
        <w:ind w:left="2880" w:hanging="2880"/>
        <w:jc w:val="both"/>
        <w:rPr>
          <w:sz w:val="20"/>
          <w:szCs w:val="20"/>
        </w:rPr>
      </w:pPr>
      <w:r w:rsidRPr="0031009D">
        <w:rPr>
          <w:sz w:val="20"/>
          <w:szCs w:val="20"/>
        </w:rPr>
        <w:t>File No.:</w:t>
      </w:r>
      <w:r w:rsidRPr="0031009D">
        <w:rPr>
          <w:sz w:val="20"/>
          <w:szCs w:val="20"/>
        </w:rPr>
        <w:tab/>
        <w:t>35957</w:t>
      </w:r>
    </w:p>
    <w:p w:rsidR="00A23F0F" w:rsidRPr="0031009D" w:rsidRDefault="00A23F0F" w:rsidP="00A23F0F">
      <w:pPr>
        <w:widowControl w:val="0"/>
        <w:ind w:left="2880" w:hanging="2880"/>
        <w:jc w:val="both"/>
        <w:rPr>
          <w:sz w:val="20"/>
          <w:szCs w:val="20"/>
        </w:rPr>
      </w:pPr>
    </w:p>
    <w:p w:rsidR="00A23F0F" w:rsidRPr="0031009D" w:rsidRDefault="00A23F0F" w:rsidP="00A23F0F">
      <w:pPr>
        <w:widowControl w:val="0"/>
        <w:ind w:left="2880" w:hanging="2880"/>
        <w:jc w:val="both"/>
        <w:rPr>
          <w:sz w:val="20"/>
          <w:szCs w:val="20"/>
        </w:rPr>
      </w:pPr>
      <w:r w:rsidRPr="0031009D">
        <w:rPr>
          <w:sz w:val="20"/>
          <w:szCs w:val="20"/>
        </w:rPr>
        <w:t>Judgment of the Court of Appeal:</w:t>
      </w:r>
      <w:r w:rsidRPr="0031009D">
        <w:rPr>
          <w:sz w:val="20"/>
          <w:szCs w:val="20"/>
        </w:rPr>
        <w:tab/>
        <w:t>June 13, 2014</w:t>
      </w:r>
    </w:p>
    <w:p w:rsidR="00A23F0F" w:rsidRPr="0031009D" w:rsidRDefault="00A23F0F" w:rsidP="00A23F0F">
      <w:pPr>
        <w:widowControl w:val="0"/>
        <w:ind w:left="2880" w:hanging="2880"/>
        <w:jc w:val="both"/>
        <w:rPr>
          <w:sz w:val="20"/>
          <w:szCs w:val="20"/>
        </w:rPr>
      </w:pPr>
    </w:p>
    <w:p w:rsidR="00A23F0F" w:rsidRPr="0031009D" w:rsidRDefault="00A23F0F" w:rsidP="00A23F0F">
      <w:pPr>
        <w:widowControl w:val="0"/>
        <w:ind w:left="2880" w:hanging="2880"/>
        <w:jc w:val="both"/>
        <w:rPr>
          <w:sz w:val="20"/>
          <w:szCs w:val="20"/>
        </w:rPr>
      </w:pPr>
      <w:r w:rsidRPr="0031009D">
        <w:rPr>
          <w:sz w:val="20"/>
          <w:szCs w:val="20"/>
        </w:rPr>
        <w:t>Counsel:</w:t>
      </w:r>
      <w:r w:rsidRPr="0031009D">
        <w:rPr>
          <w:sz w:val="20"/>
          <w:szCs w:val="20"/>
        </w:rPr>
        <w:tab/>
        <w:t>Mark Scott for the appellant</w:t>
      </w:r>
    </w:p>
    <w:p w:rsidR="00A23F0F" w:rsidRPr="0031009D" w:rsidRDefault="00A23F0F" w:rsidP="00A23F0F">
      <w:pPr>
        <w:widowControl w:val="0"/>
        <w:ind w:left="2880" w:hanging="2880"/>
        <w:jc w:val="both"/>
        <w:rPr>
          <w:sz w:val="20"/>
          <w:szCs w:val="20"/>
        </w:rPr>
      </w:pPr>
      <w:r w:rsidRPr="0031009D">
        <w:rPr>
          <w:sz w:val="20"/>
          <w:szCs w:val="20"/>
        </w:rPr>
        <w:tab/>
        <w:t>Roger Burrill for the respondent</w:t>
      </w:r>
    </w:p>
    <w:p w:rsidR="001662A9" w:rsidRPr="00572437" w:rsidRDefault="001662A9" w:rsidP="001662A9">
      <w:pPr>
        <w:tabs>
          <w:tab w:val="left" w:pos="-1440"/>
          <w:tab w:val="left" w:pos="-720"/>
        </w:tabs>
        <w:jc w:val="both"/>
        <w:rPr>
          <w:sz w:val="20"/>
          <w:szCs w:val="20"/>
        </w:rPr>
      </w:pPr>
    </w:p>
    <w:p w:rsidR="001662A9" w:rsidRPr="00DD0B49" w:rsidRDefault="00690162" w:rsidP="001662A9">
      <w:pPr>
        <w:tabs>
          <w:tab w:val="left" w:pos="-1440"/>
          <w:tab w:val="left" w:pos="-720"/>
        </w:tabs>
        <w:jc w:val="both"/>
        <w:rPr>
          <w:sz w:val="20"/>
          <w:szCs w:val="20"/>
          <w:lang w:val="fr-CA"/>
        </w:rPr>
      </w:pPr>
      <w:r>
        <w:rPr>
          <w:sz w:val="20"/>
          <w:szCs w:val="20"/>
          <w:lang w:val="fr-CA"/>
        </w:rPr>
        <w:pict>
          <v:rect id="_x0000_i1118" style="width:2in;height:1pt" o:hrpct="0" o:hralign="center" o:hrstd="t" o:hrnoshade="t" o:hr="t" fillcolor="black [3213]" stroked="f"/>
        </w:pict>
      </w:r>
    </w:p>
    <w:p w:rsidR="001662A9" w:rsidRDefault="001662A9">
      <w:pPr>
        <w:rPr>
          <w:sz w:val="20"/>
          <w:szCs w:val="20"/>
          <w:lang w:val="fr-CA"/>
        </w:rPr>
      </w:pPr>
      <w:r>
        <w:rPr>
          <w:sz w:val="20"/>
          <w:szCs w:val="20"/>
          <w:lang w:val="fr-CA"/>
        </w:rPr>
        <w:br w:type="page"/>
      </w:r>
    </w:p>
    <w:p w:rsidR="00572437" w:rsidRPr="00087B5D" w:rsidRDefault="00D921D7" w:rsidP="00572437">
      <w:pPr>
        <w:widowControl w:val="0"/>
        <w:ind w:left="720" w:hanging="720"/>
        <w:jc w:val="both"/>
        <w:rPr>
          <w:sz w:val="20"/>
          <w:szCs w:val="20"/>
          <w:lang w:val="fr-CA"/>
        </w:rPr>
      </w:pPr>
      <w:r w:rsidRPr="00087B5D">
        <w:rPr>
          <w:b/>
          <w:sz w:val="20"/>
          <w:szCs w:val="20"/>
        </w:rPr>
        <w:lastRenderedPageBreak/>
        <w:fldChar w:fldCharType="begin"/>
      </w:r>
      <w:r w:rsidR="00572437" w:rsidRPr="00087B5D">
        <w:rPr>
          <w:b/>
          <w:sz w:val="20"/>
          <w:szCs w:val="20"/>
          <w:lang w:val="fr-CA"/>
        </w:rPr>
        <w:instrText xml:space="preserve"> SEQ CHAPTER \h \r 1</w:instrText>
      </w:r>
      <w:r w:rsidRPr="00087B5D">
        <w:rPr>
          <w:b/>
          <w:sz w:val="20"/>
          <w:szCs w:val="20"/>
        </w:rPr>
        <w:fldChar w:fldCharType="end"/>
      </w:r>
      <w:r w:rsidR="00572437" w:rsidRPr="00087B5D">
        <w:rPr>
          <w:b/>
          <w:sz w:val="20"/>
          <w:szCs w:val="20"/>
          <w:lang w:val="fr-CA"/>
        </w:rPr>
        <w:t>35957</w:t>
      </w:r>
      <w:r w:rsidR="00572437" w:rsidRPr="00087B5D">
        <w:rPr>
          <w:sz w:val="20"/>
          <w:szCs w:val="20"/>
          <w:lang w:val="fr-CA"/>
        </w:rPr>
        <w:tab/>
      </w:r>
      <w:r w:rsidR="00572437" w:rsidRPr="00087B5D">
        <w:rPr>
          <w:b/>
          <w:i/>
          <w:sz w:val="20"/>
          <w:szCs w:val="20"/>
          <w:lang w:val="fr-CA"/>
        </w:rPr>
        <w:t>Sa Majesté la Reine c. Clarence Michael MacLeod</w:t>
      </w:r>
    </w:p>
    <w:p w:rsidR="00572437" w:rsidRPr="00087B5D" w:rsidRDefault="00572437" w:rsidP="00572437">
      <w:pPr>
        <w:widowControl w:val="0"/>
        <w:jc w:val="both"/>
        <w:rPr>
          <w:sz w:val="20"/>
          <w:szCs w:val="20"/>
          <w:lang w:val="fr-CA"/>
        </w:rPr>
      </w:pPr>
    </w:p>
    <w:p w:rsidR="00DC2C83" w:rsidRPr="009B3BC6" w:rsidRDefault="00DC2C83" w:rsidP="00DC2C83">
      <w:pPr>
        <w:widowControl w:val="0"/>
        <w:jc w:val="both"/>
        <w:rPr>
          <w:sz w:val="20"/>
          <w:szCs w:val="20"/>
          <w:lang w:val="fr-CA"/>
        </w:rPr>
      </w:pPr>
      <w:r w:rsidRPr="009B3BC6">
        <w:rPr>
          <w:sz w:val="20"/>
          <w:szCs w:val="20"/>
          <w:lang w:val="fr-CA"/>
        </w:rPr>
        <w:t xml:space="preserve">Droit criminel - Meurtre - Exposé au jury - Verdict pour l’infraction moindre d’homicide involontaire coupable - Vraisemblance - Le juge du procès a-t-il commis une erreur en refusant de donner au jury des directives quant à la possibilité d’un verdict pour l’infraction moindre d’homicide involontaire coupable? - Dans quelle mesure les souhaits exprès de l’avocat de la défense et les stratégies adoptées durant le procès doivent-ils être pris en compte lorsqu’il s’agit de décider d’instruire un jury relativement à un moyen de défense ou à la possibilité de rendre un verdict quant à une infraction moindre, notamment lorsqu’une telle possibilité serait totalement incohérente et incompatible avec la position qu’a prise l’accusé en réponse à l’exposé au jury? </w:t>
      </w:r>
    </w:p>
    <w:p w:rsidR="00DC2C83" w:rsidRPr="009B3BC6" w:rsidRDefault="00DC2C83" w:rsidP="00DC2C83">
      <w:pPr>
        <w:widowControl w:val="0"/>
        <w:jc w:val="both"/>
        <w:rPr>
          <w:sz w:val="20"/>
          <w:szCs w:val="20"/>
          <w:lang w:val="fr-CA"/>
        </w:rPr>
      </w:pPr>
    </w:p>
    <w:p w:rsidR="00DC2C83" w:rsidRPr="009B3BC6" w:rsidRDefault="00DC2C83" w:rsidP="00DC2C83">
      <w:pPr>
        <w:widowControl w:val="0"/>
        <w:jc w:val="both"/>
        <w:rPr>
          <w:sz w:val="20"/>
          <w:szCs w:val="20"/>
          <w:lang w:val="fr-CA"/>
        </w:rPr>
      </w:pPr>
      <w:r w:rsidRPr="009B3BC6">
        <w:rPr>
          <w:sz w:val="20"/>
          <w:szCs w:val="20"/>
          <w:lang w:val="fr-CA"/>
        </w:rPr>
        <w:t>L’intimé a été déclaré coupable de meurtre au second degré relativement au décès de sa petite amie. C’est son fils et une personne travaillant dans l’édifice qui l’ont trouvée morte dans son appartement. Au moment de la découverte, l’intimé était debout près du corps de la victime, serrant dans une main un couteau dont il s’est ensuite servi pour se poignarder à l’abdomen. Durant son témoignage, l’expert mandaté par le ministère public a affirmé que le décès était le fruit d’un homicide et qu’il avait été causé par strangulation. L’expert de l’intimé a soutenu que le décès de la victime était suspect, mais qu’il n’était pas compatible avec un décès par strangulation. Selon elle, il n’était pas possible de dire comment le décès était survenu et sa cause était une cardiapathie athéroscléreuse. En appel, l’intimé a fait valoir, entre autres, que le juge du procès avait commis une erreur en omettant d’instruire le jury quant à la possibilité d’un verdict d’homicide involontaire coupable, même si l’avocat de la défense avait insisté pour qu’il ne donne pas de directives en ce sens. Les juges majoritaires de la Cour d’appel ont accueilli l’appel, annulé la déclaration de culpabilité et ordonné la tenue d’un nouveau procès. À leur avis, il était manifestement possible de rendre un verdict d’homicide involontaire coupable et, en conséquence, il aurait dû être laissé à l’appréciation du jury. Le juge Saunders de la Cour d’appel, dissident, était plutôt d’avis de rejeter le pourvoi. À son avis, donner des directives au jury — contre les souhaits exprès de l’avocat de la défense — relativement à un moyen de défense dont il est prouvé qu’il est totalement incohérent et incompatible avec la position stratégique adoptée par l’avocat de la défense durant le procès aurait une incidence grave sur le droit de l’accusé à un procès équitable et sur son droit de présenter une défense pleine et entière. En l’espèce, le juge Saunders a conclu que le juge du procès n’avait pas commis d’erreur en refusant d’instruire le jury sur l’homicide involontaire coupable puisque la preuve ne fournissait aucun fondement pour conclure à la vraisemblance de la thèse voulant que l’intimé ait agressé la victime et que durant la bataille, il ait involontaire causé la mort de la victime.</w:t>
      </w:r>
    </w:p>
    <w:p w:rsidR="00572437" w:rsidRDefault="00572437" w:rsidP="00572437">
      <w:pPr>
        <w:widowControl w:val="0"/>
        <w:jc w:val="both"/>
        <w:rPr>
          <w:sz w:val="20"/>
          <w:szCs w:val="20"/>
          <w:lang w:val="fr-CA"/>
        </w:rPr>
      </w:pPr>
    </w:p>
    <w:p w:rsidR="00DC2C83" w:rsidRPr="00087B5D" w:rsidRDefault="00DC2C83" w:rsidP="00572437">
      <w:pPr>
        <w:widowControl w:val="0"/>
        <w:jc w:val="both"/>
        <w:rPr>
          <w:sz w:val="20"/>
          <w:szCs w:val="20"/>
          <w:lang w:val="fr-CA"/>
        </w:rPr>
      </w:pPr>
    </w:p>
    <w:p w:rsidR="00572437" w:rsidRPr="00087B5D" w:rsidRDefault="00572437" w:rsidP="00572437">
      <w:pPr>
        <w:widowControl w:val="0"/>
        <w:ind w:left="2880" w:hanging="2880"/>
        <w:jc w:val="both"/>
        <w:rPr>
          <w:sz w:val="20"/>
          <w:szCs w:val="20"/>
          <w:lang w:val="fr-CA"/>
        </w:rPr>
      </w:pPr>
      <w:r w:rsidRPr="00087B5D">
        <w:rPr>
          <w:sz w:val="20"/>
          <w:szCs w:val="20"/>
          <w:lang w:val="fr-CA"/>
        </w:rPr>
        <w:t>Origine de la cause :</w:t>
      </w:r>
      <w:r w:rsidRPr="00087B5D">
        <w:rPr>
          <w:sz w:val="20"/>
          <w:szCs w:val="20"/>
          <w:lang w:val="fr-CA"/>
        </w:rPr>
        <w:tab/>
        <w:t>Nouvelle-Écosse</w:t>
      </w:r>
    </w:p>
    <w:p w:rsidR="00572437" w:rsidRPr="00087B5D" w:rsidRDefault="00572437" w:rsidP="00572437">
      <w:pPr>
        <w:widowControl w:val="0"/>
        <w:ind w:left="2880" w:hanging="2880"/>
        <w:jc w:val="both"/>
        <w:rPr>
          <w:sz w:val="20"/>
          <w:szCs w:val="20"/>
          <w:lang w:val="fr-CA"/>
        </w:rPr>
      </w:pPr>
    </w:p>
    <w:p w:rsidR="00572437" w:rsidRPr="00087B5D" w:rsidRDefault="00572437" w:rsidP="00572437">
      <w:pPr>
        <w:widowControl w:val="0"/>
        <w:ind w:left="2880" w:hanging="2880"/>
        <w:jc w:val="both"/>
        <w:rPr>
          <w:sz w:val="20"/>
          <w:szCs w:val="20"/>
          <w:lang w:val="fr-CA"/>
        </w:rPr>
      </w:pPr>
      <w:r w:rsidRPr="00087B5D">
        <w:rPr>
          <w:sz w:val="20"/>
          <w:szCs w:val="20"/>
          <w:lang w:val="fr-CA"/>
        </w:rPr>
        <w:t>N</w:t>
      </w:r>
      <w:r w:rsidRPr="00087B5D">
        <w:rPr>
          <w:sz w:val="20"/>
          <w:szCs w:val="20"/>
          <w:vertAlign w:val="superscript"/>
          <w:lang w:val="fr-CA"/>
        </w:rPr>
        <w:t>o</w:t>
      </w:r>
      <w:r w:rsidRPr="00087B5D">
        <w:rPr>
          <w:sz w:val="20"/>
          <w:szCs w:val="20"/>
          <w:lang w:val="fr-CA"/>
        </w:rPr>
        <w:t xml:space="preserve"> du greffe :</w:t>
      </w:r>
      <w:r w:rsidRPr="00087B5D">
        <w:rPr>
          <w:sz w:val="20"/>
          <w:szCs w:val="20"/>
          <w:lang w:val="fr-CA"/>
        </w:rPr>
        <w:tab/>
        <w:t>35957</w:t>
      </w:r>
    </w:p>
    <w:p w:rsidR="00572437" w:rsidRPr="00087B5D" w:rsidRDefault="00572437" w:rsidP="00572437">
      <w:pPr>
        <w:widowControl w:val="0"/>
        <w:ind w:left="2880" w:hanging="2880"/>
        <w:jc w:val="both"/>
        <w:rPr>
          <w:sz w:val="20"/>
          <w:szCs w:val="20"/>
          <w:lang w:val="fr-CA"/>
        </w:rPr>
      </w:pPr>
    </w:p>
    <w:p w:rsidR="00572437" w:rsidRPr="00087B5D" w:rsidRDefault="00572437" w:rsidP="00572437">
      <w:pPr>
        <w:widowControl w:val="0"/>
        <w:ind w:left="2880" w:hanging="2880"/>
        <w:jc w:val="both"/>
        <w:rPr>
          <w:sz w:val="20"/>
          <w:szCs w:val="20"/>
          <w:lang w:val="fr-CA"/>
        </w:rPr>
      </w:pPr>
      <w:r w:rsidRPr="00087B5D">
        <w:rPr>
          <w:sz w:val="20"/>
          <w:szCs w:val="20"/>
          <w:lang w:val="fr-CA"/>
        </w:rPr>
        <w:t>Jugement de la Cour d’appel :</w:t>
      </w:r>
      <w:r w:rsidRPr="00087B5D">
        <w:rPr>
          <w:sz w:val="20"/>
          <w:szCs w:val="20"/>
          <w:lang w:val="fr-CA"/>
        </w:rPr>
        <w:tab/>
      </w:r>
      <w:r w:rsidR="00937FE9">
        <w:rPr>
          <w:sz w:val="20"/>
          <w:szCs w:val="20"/>
          <w:lang w:val="fr-CA"/>
        </w:rPr>
        <w:t xml:space="preserve">le </w:t>
      </w:r>
      <w:r w:rsidRPr="00087B5D">
        <w:rPr>
          <w:sz w:val="20"/>
          <w:szCs w:val="20"/>
          <w:lang w:val="fr-CA"/>
        </w:rPr>
        <w:t>13 juin 2014</w:t>
      </w:r>
    </w:p>
    <w:p w:rsidR="00572437" w:rsidRPr="00087B5D" w:rsidRDefault="00572437" w:rsidP="00572437">
      <w:pPr>
        <w:widowControl w:val="0"/>
        <w:ind w:left="2880" w:hanging="2880"/>
        <w:jc w:val="both"/>
        <w:rPr>
          <w:sz w:val="20"/>
          <w:szCs w:val="20"/>
          <w:lang w:val="fr-CA"/>
        </w:rPr>
      </w:pPr>
    </w:p>
    <w:p w:rsidR="00572437" w:rsidRPr="00087B5D" w:rsidRDefault="00572437" w:rsidP="00572437">
      <w:pPr>
        <w:widowControl w:val="0"/>
        <w:ind w:left="2880" w:hanging="2880"/>
        <w:jc w:val="both"/>
        <w:rPr>
          <w:sz w:val="20"/>
          <w:szCs w:val="20"/>
          <w:lang w:val="fr-CA"/>
        </w:rPr>
      </w:pPr>
      <w:r w:rsidRPr="00087B5D">
        <w:rPr>
          <w:sz w:val="20"/>
          <w:szCs w:val="20"/>
          <w:lang w:val="fr-CA"/>
        </w:rPr>
        <w:t>Avocats :</w:t>
      </w:r>
      <w:r w:rsidRPr="00087B5D">
        <w:rPr>
          <w:sz w:val="20"/>
          <w:szCs w:val="20"/>
          <w:lang w:val="fr-CA"/>
        </w:rPr>
        <w:tab/>
        <w:t>Mark Scott pour la demanderesse</w:t>
      </w:r>
    </w:p>
    <w:p w:rsidR="00572437" w:rsidRPr="00087B5D" w:rsidRDefault="00572437" w:rsidP="00572437">
      <w:pPr>
        <w:widowControl w:val="0"/>
        <w:ind w:left="2880" w:hanging="2880"/>
        <w:jc w:val="both"/>
        <w:rPr>
          <w:sz w:val="20"/>
          <w:szCs w:val="20"/>
          <w:lang w:val="fr-CA"/>
        </w:rPr>
      </w:pPr>
      <w:r w:rsidRPr="00087B5D">
        <w:rPr>
          <w:sz w:val="20"/>
          <w:szCs w:val="20"/>
          <w:lang w:val="fr-CA"/>
        </w:rPr>
        <w:tab/>
        <w:t>Roger Burrill pour l’intimé</w:t>
      </w:r>
    </w:p>
    <w:p w:rsidR="001662A9" w:rsidRPr="00DD0B49" w:rsidRDefault="001662A9" w:rsidP="001662A9">
      <w:pPr>
        <w:tabs>
          <w:tab w:val="left" w:pos="-1440"/>
          <w:tab w:val="left" w:pos="-720"/>
        </w:tabs>
        <w:jc w:val="both"/>
        <w:rPr>
          <w:sz w:val="20"/>
          <w:szCs w:val="20"/>
          <w:lang w:val="fr-CA"/>
        </w:rPr>
      </w:pPr>
    </w:p>
    <w:p w:rsidR="001662A9" w:rsidRPr="00DD0B49" w:rsidRDefault="00690162" w:rsidP="001662A9">
      <w:pPr>
        <w:tabs>
          <w:tab w:val="left" w:pos="-1440"/>
          <w:tab w:val="left" w:pos="-720"/>
        </w:tabs>
        <w:jc w:val="both"/>
        <w:rPr>
          <w:sz w:val="20"/>
          <w:szCs w:val="20"/>
          <w:lang w:val="fr-CA"/>
        </w:rPr>
      </w:pPr>
      <w:r>
        <w:rPr>
          <w:sz w:val="20"/>
          <w:szCs w:val="20"/>
          <w:lang w:val="fr-CA"/>
        </w:rPr>
        <w:pict>
          <v:rect id="_x0000_i1119" style="width:2in;height:1pt" o:hrpct="0" o:hralign="center" o:hrstd="t" o:hrnoshade="t" o:hr="t" fillcolor="black [3213]" stroked="f"/>
        </w:pict>
      </w:r>
    </w:p>
    <w:p w:rsidR="001662A9" w:rsidRDefault="001662A9">
      <w:pPr>
        <w:rPr>
          <w:sz w:val="20"/>
          <w:szCs w:val="20"/>
          <w:lang w:val="fr-CA"/>
        </w:rPr>
      </w:pPr>
      <w:r>
        <w:rPr>
          <w:sz w:val="20"/>
          <w:szCs w:val="20"/>
          <w:lang w:val="fr-CA"/>
        </w:rPr>
        <w:br w:type="page"/>
      </w:r>
    </w:p>
    <w:p w:rsidR="00251DE6" w:rsidRPr="0092369B" w:rsidRDefault="00D921D7" w:rsidP="00251DE6">
      <w:pPr>
        <w:widowControl w:val="0"/>
        <w:ind w:left="720" w:hanging="720"/>
        <w:jc w:val="both"/>
        <w:rPr>
          <w:sz w:val="20"/>
          <w:szCs w:val="20"/>
          <w:lang w:val="fr-CA"/>
        </w:rPr>
      </w:pPr>
      <w:r w:rsidRPr="0092369B">
        <w:rPr>
          <w:b/>
          <w:sz w:val="20"/>
          <w:szCs w:val="20"/>
        </w:rPr>
        <w:lastRenderedPageBreak/>
        <w:fldChar w:fldCharType="begin"/>
      </w:r>
      <w:r w:rsidR="00251DE6" w:rsidRPr="0092369B">
        <w:rPr>
          <w:b/>
          <w:sz w:val="20"/>
          <w:szCs w:val="20"/>
          <w:lang w:val="fr-CA"/>
        </w:rPr>
        <w:instrText xml:space="preserve"> SEQ CHAPTER \h \r 1</w:instrText>
      </w:r>
      <w:r w:rsidRPr="0092369B">
        <w:rPr>
          <w:b/>
          <w:sz w:val="20"/>
          <w:szCs w:val="20"/>
        </w:rPr>
        <w:fldChar w:fldCharType="end"/>
      </w:r>
      <w:r w:rsidR="00251DE6" w:rsidRPr="0092369B">
        <w:rPr>
          <w:b/>
          <w:sz w:val="20"/>
          <w:szCs w:val="20"/>
          <w:lang w:val="fr-CA"/>
        </w:rPr>
        <w:t>35682</w:t>
      </w:r>
      <w:r w:rsidR="00251DE6" w:rsidRPr="0092369B">
        <w:rPr>
          <w:sz w:val="20"/>
          <w:szCs w:val="20"/>
          <w:lang w:val="fr-CA"/>
        </w:rPr>
        <w:tab/>
      </w:r>
      <w:r w:rsidR="00251DE6" w:rsidRPr="0092369B">
        <w:rPr>
          <w:b/>
          <w:i/>
          <w:sz w:val="20"/>
          <w:szCs w:val="20"/>
          <w:lang w:val="fr-CA"/>
        </w:rPr>
        <w:t>Chevron Corporation et al. v. Daniel Carlos Lusitande Yaiguaje et al.</w:t>
      </w:r>
    </w:p>
    <w:p w:rsidR="00251DE6" w:rsidRPr="0092369B" w:rsidRDefault="00251DE6" w:rsidP="00251DE6">
      <w:pPr>
        <w:widowControl w:val="0"/>
        <w:jc w:val="both"/>
        <w:rPr>
          <w:sz w:val="20"/>
          <w:szCs w:val="20"/>
          <w:lang w:val="fr-CA"/>
        </w:rPr>
      </w:pPr>
    </w:p>
    <w:p w:rsidR="00251DE6" w:rsidRPr="0092369B" w:rsidRDefault="00251DE6" w:rsidP="00251DE6">
      <w:pPr>
        <w:widowControl w:val="0"/>
        <w:jc w:val="both"/>
        <w:rPr>
          <w:sz w:val="20"/>
          <w:szCs w:val="20"/>
        </w:rPr>
      </w:pPr>
      <w:r w:rsidRPr="0092369B">
        <w:rPr>
          <w:sz w:val="20"/>
          <w:szCs w:val="20"/>
        </w:rPr>
        <w:t>(</w:t>
      </w:r>
      <w:r w:rsidRPr="0092369B">
        <w:rPr>
          <w:smallCaps/>
          <w:sz w:val="20"/>
          <w:szCs w:val="20"/>
        </w:rPr>
        <w:t>Sealing Order</w:t>
      </w:r>
      <w:r w:rsidRPr="0092369B">
        <w:rPr>
          <w:sz w:val="20"/>
          <w:szCs w:val="20"/>
        </w:rPr>
        <w:t>)</w:t>
      </w:r>
    </w:p>
    <w:p w:rsidR="00251DE6" w:rsidRPr="0092369B" w:rsidRDefault="00251DE6" w:rsidP="00251DE6">
      <w:pPr>
        <w:widowControl w:val="0"/>
        <w:jc w:val="both"/>
        <w:rPr>
          <w:sz w:val="20"/>
          <w:szCs w:val="20"/>
        </w:rPr>
      </w:pPr>
    </w:p>
    <w:p w:rsidR="00251DE6" w:rsidRPr="0092369B" w:rsidRDefault="00251DE6" w:rsidP="00251DE6">
      <w:pPr>
        <w:widowControl w:val="0"/>
        <w:jc w:val="both"/>
        <w:rPr>
          <w:sz w:val="20"/>
          <w:szCs w:val="20"/>
        </w:rPr>
      </w:pPr>
      <w:r w:rsidRPr="0092369B">
        <w:rPr>
          <w:sz w:val="20"/>
          <w:szCs w:val="20"/>
        </w:rPr>
        <w:t xml:space="preserve">Private international law - Foreign judgments - Recognition - Enforcement - Proper test to determine whether a provincial superior court has jurisdiction to entertain an action for recognition and enforcement of a foreign judgment - Whether the real and substantial connection test is a universal test for the jurisdiction </w:t>
      </w:r>
      <w:r w:rsidRPr="0092369B">
        <w:rPr>
          <w:i/>
          <w:sz w:val="20"/>
          <w:szCs w:val="20"/>
        </w:rPr>
        <w:t>simpliciter</w:t>
      </w:r>
      <w:r w:rsidRPr="0092369B">
        <w:rPr>
          <w:sz w:val="20"/>
          <w:szCs w:val="20"/>
        </w:rPr>
        <w:t xml:space="preserve"> of the Canadian courts in any action and applies in a recognition and enforcement case - Whether constitutional imperatives preclude any interpretation of provincial legislation or service </w:t>
      </w:r>
      <w:r w:rsidRPr="0092369B">
        <w:rPr>
          <w:i/>
          <w:sz w:val="20"/>
          <w:szCs w:val="20"/>
        </w:rPr>
        <w:t>ex juris</w:t>
      </w:r>
      <w:r w:rsidRPr="0092369B">
        <w:rPr>
          <w:sz w:val="20"/>
          <w:szCs w:val="20"/>
        </w:rPr>
        <w:t xml:space="preserve"> rules as creating automatic or an irrebuttable presumption of jurisdiction over foreign parties - Whether the doctrine of comity dictates against the assertion of jurisdiction over foreign parties in an action when the adjudication of the issues will be academic, have no practical impact and serve no purpose - Whether a “good arguable case” standard applies to the determination of facts essential to the assertion of jurisdiction over a foreign party - Whether a real and substantial connection with the province is made out on these facts when the sole connection between it and any of the parties of the underlying case is the presence of an indirect Canadian subsidiary of a foreign defendant - Is the presence of assets a pre-requisite to the recognition and enforcement of a foreign judgment - What is the proper test to determine whether a provincial superior court has jurisdiction to recognize and enforce a foreign judgment against a non-party to the foreign judgment not domiciled in the province - Whether carrying on business in the province from an office in the province that bears no relation to the subject matter of the action and having an “economically significant relationship” with the judgment debtor are sufficient for there to be such jurisdiction - To what extent must a court faced with a jurisdictional challenge conduct a threshold examination of the merits of an allegation essential to jurisdiction - If and in what circumstances can a court that does not have jurisdiction to entertain a recognition and enforcement action against the judgment debtor, have jurisdiction for recognition and enforcement of the judgment against a party which was not a party to the original action - Whether, as a matter of jurisdiction </w:t>
      </w:r>
      <w:r w:rsidRPr="0092369B">
        <w:rPr>
          <w:i/>
          <w:sz w:val="20"/>
          <w:szCs w:val="20"/>
        </w:rPr>
        <w:t>simpliciter</w:t>
      </w:r>
      <w:r w:rsidRPr="0092369B">
        <w:rPr>
          <w:sz w:val="20"/>
          <w:szCs w:val="20"/>
        </w:rPr>
        <w:t xml:space="preserve"> over a domestic defendant present in Ontario, the Court must make a determination whether there is a real and substantial connection between the domestic defendant and the subject matter of the action - Whether, as a matter of jurisdiction </w:t>
      </w:r>
      <w:r w:rsidRPr="0092369B">
        <w:rPr>
          <w:i/>
          <w:sz w:val="20"/>
          <w:szCs w:val="20"/>
        </w:rPr>
        <w:t>simpliciter</w:t>
      </w:r>
      <w:r w:rsidRPr="0092369B">
        <w:rPr>
          <w:sz w:val="20"/>
          <w:szCs w:val="20"/>
        </w:rPr>
        <w:t>, the Court must determine if the assets of a 100 percent owned subsidiary are exigible to satisfy the final judgment against the parent.</w:t>
      </w:r>
    </w:p>
    <w:p w:rsidR="00251DE6" w:rsidRPr="0092369B" w:rsidRDefault="00251DE6" w:rsidP="00251DE6">
      <w:pPr>
        <w:widowControl w:val="0"/>
        <w:jc w:val="both"/>
        <w:rPr>
          <w:sz w:val="20"/>
          <w:szCs w:val="20"/>
        </w:rPr>
      </w:pPr>
    </w:p>
    <w:p w:rsidR="00251DE6" w:rsidRPr="0092369B" w:rsidRDefault="00251DE6" w:rsidP="00251DE6">
      <w:pPr>
        <w:widowControl w:val="0"/>
        <w:jc w:val="both"/>
        <w:rPr>
          <w:sz w:val="20"/>
          <w:szCs w:val="20"/>
        </w:rPr>
      </w:pPr>
      <w:r w:rsidRPr="0092369B">
        <w:rPr>
          <w:sz w:val="20"/>
          <w:szCs w:val="20"/>
        </w:rPr>
        <w:t xml:space="preserve">The respondent plaintiffs brought an action in Ecuador against Chevron Corporation for harm caused to their lands and interests by environmental pollution. They seek to have their final judgment of US$9.51 billion in damages recognized and enforced in Ontario against the appellants. The appellants have not attorned to the jurisdiction and brought motions for orders setting aside service </w:t>
      </w:r>
      <w:r w:rsidRPr="0092369B">
        <w:rPr>
          <w:i/>
          <w:sz w:val="20"/>
          <w:szCs w:val="20"/>
        </w:rPr>
        <w:t>ex juris</w:t>
      </w:r>
      <w:r w:rsidRPr="0092369B">
        <w:rPr>
          <w:sz w:val="20"/>
          <w:szCs w:val="20"/>
        </w:rPr>
        <w:t>, declaring that the court has no jurisdiction, and dismissing or permanently staying the action. The Ontario Superior Court of Justice dismissed the motions to set aside service but granted the motions for a stay of action on the basis that there was no reasonable prospect of recovery since Chevron Corporation held no assets in Ontario.</w:t>
      </w:r>
    </w:p>
    <w:p w:rsidR="00251DE6" w:rsidRPr="0092369B" w:rsidRDefault="00251DE6" w:rsidP="00251DE6">
      <w:pPr>
        <w:widowControl w:val="0"/>
        <w:jc w:val="both"/>
        <w:rPr>
          <w:sz w:val="20"/>
          <w:szCs w:val="20"/>
        </w:rPr>
      </w:pPr>
    </w:p>
    <w:p w:rsidR="00251DE6" w:rsidRPr="0092369B" w:rsidRDefault="00251DE6" w:rsidP="00251DE6">
      <w:pPr>
        <w:widowControl w:val="0"/>
        <w:jc w:val="both"/>
        <w:rPr>
          <w:sz w:val="20"/>
          <w:szCs w:val="20"/>
        </w:rPr>
      </w:pPr>
    </w:p>
    <w:p w:rsidR="00251DE6" w:rsidRPr="0092369B" w:rsidRDefault="00251DE6" w:rsidP="00251DE6">
      <w:pPr>
        <w:widowControl w:val="0"/>
        <w:ind w:left="2880" w:hanging="2880"/>
        <w:jc w:val="both"/>
        <w:rPr>
          <w:sz w:val="20"/>
          <w:szCs w:val="20"/>
        </w:rPr>
      </w:pPr>
      <w:r w:rsidRPr="0092369B">
        <w:rPr>
          <w:sz w:val="20"/>
          <w:szCs w:val="20"/>
        </w:rPr>
        <w:t>Origin of the case:</w:t>
      </w:r>
      <w:r w:rsidRPr="0092369B">
        <w:rPr>
          <w:sz w:val="20"/>
          <w:szCs w:val="20"/>
        </w:rPr>
        <w:tab/>
        <w:t>Ontario</w:t>
      </w:r>
    </w:p>
    <w:p w:rsidR="00251DE6" w:rsidRPr="0092369B" w:rsidRDefault="00251DE6" w:rsidP="00251DE6">
      <w:pPr>
        <w:widowControl w:val="0"/>
        <w:ind w:left="2880" w:hanging="2880"/>
        <w:jc w:val="both"/>
        <w:rPr>
          <w:sz w:val="20"/>
          <w:szCs w:val="20"/>
        </w:rPr>
      </w:pPr>
    </w:p>
    <w:p w:rsidR="00251DE6" w:rsidRPr="0092369B" w:rsidRDefault="00251DE6" w:rsidP="00251DE6">
      <w:pPr>
        <w:widowControl w:val="0"/>
        <w:ind w:left="2880" w:hanging="2880"/>
        <w:jc w:val="both"/>
        <w:rPr>
          <w:sz w:val="20"/>
          <w:szCs w:val="20"/>
        </w:rPr>
      </w:pPr>
      <w:r w:rsidRPr="0092369B">
        <w:rPr>
          <w:sz w:val="20"/>
          <w:szCs w:val="20"/>
        </w:rPr>
        <w:t>File No.:</w:t>
      </w:r>
      <w:r w:rsidRPr="0092369B">
        <w:rPr>
          <w:sz w:val="20"/>
          <w:szCs w:val="20"/>
        </w:rPr>
        <w:tab/>
        <w:t>35682</w:t>
      </w:r>
    </w:p>
    <w:p w:rsidR="00251DE6" w:rsidRPr="0092369B" w:rsidRDefault="00251DE6" w:rsidP="00251DE6">
      <w:pPr>
        <w:widowControl w:val="0"/>
        <w:ind w:left="2880" w:hanging="2880"/>
        <w:jc w:val="both"/>
        <w:rPr>
          <w:sz w:val="20"/>
          <w:szCs w:val="20"/>
        </w:rPr>
      </w:pPr>
    </w:p>
    <w:p w:rsidR="00251DE6" w:rsidRPr="0092369B" w:rsidRDefault="00251DE6" w:rsidP="00251DE6">
      <w:pPr>
        <w:widowControl w:val="0"/>
        <w:ind w:left="2880" w:hanging="2880"/>
        <w:jc w:val="both"/>
        <w:rPr>
          <w:sz w:val="20"/>
          <w:szCs w:val="20"/>
        </w:rPr>
      </w:pPr>
      <w:r w:rsidRPr="0092369B">
        <w:rPr>
          <w:sz w:val="20"/>
          <w:szCs w:val="20"/>
        </w:rPr>
        <w:t>Judgment of the Court of Appeal:</w:t>
      </w:r>
      <w:r w:rsidRPr="0092369B">
        <w:rPr>
          <w:sz w:val="20"/>
          <w:szCs w:val="20"/>
        </w:rPr>
        <w:tab/>
        <w:t>December 17, 2013</w:t>
      </w:r>
    </w:p>
    <w:p w:rsidR="00251DE6" w:rsidRPr="0092369B" w:rsidRDefault="00251DE6" w:rsidP="00251DE6">
      <w:pPr>
        <w:widowControl w:val="0"/>
        <w:ind w:left="2880" w:hanging="2880"/>
        <w:jc w:val="both"/>
        <w:rPr>
          <w:sz w:val="20"/>
          <w:szCs w:val="20"/>
        </w:rPr>
      </w:pPr>
    </w:p>
    <w:p w:rsidR="00251DE6" w:rsidRPr="0092369B" w:rsidRDefault="00251DE6" w:rsidP="00251DE6">
      <w:pPr>
        <w:widowControl w:val="0"/>
        <w:ind w:left="2880" w:hanging="2880"/>
        <w:jc w:val="both"/>
        <w:rPr>
          <w:sz w:val="20"/>
          <w:szCs w:val="20"/>
        </w:rPr>
      </w:pPr>
      <w:r w:rsidRPr="0092369B">
        <w:rPr>
          <w:sz w:val="20"/>
          <w:szCs w:val="20"/>
        </w:rPr>
        <w:t>Counsel:</w:t>
      </w:r>
      <w:r w:rsidRPr="0092369B">
        <w:rPr>
          <w:sz w:val="20"/>
          <w:szCs w:val="20"/>
        </w:rPr>
        <w:tab/>
        <w:t>Clarke Hunter, Anne Kirker and Jung Lee for the Appellant Chevron Corporation</w:t>
      </w:r>
    </w:p>
    <w:p w:rsidR="00251DE6" w:rsidRPr="0092369B" w:rsidRDefault="00251DE6" w:rsidP="00251DE6">
      <w:pPr>
        <w:widowControl w:val="0"/>
        <w:ind w:left="2880" w:hanging="2880"/>
        <w:jc w:val="both"/>
        <w:rPr>
          <w:sz w:val="20"/>
          <w:szCs w:val="20"/>
        </w:rPr>
      </w:pPr>
      <w:r w:rsidRPr="0092369B">
        <w:rPr>
          <w:sz w:val="20"/>
          <w:szCs w:val="20"/>
        </w:rPr>
        <w:tab/>
        <w:t>Benjamin Zarnett, Suzy Kauffman and Peter Kolla for the Appellant Chevron Canada Limited</w:t>
      </w:r>
    </w:p>
    <w:p w:rsidR="00251DE6" w:rsidRPr="0092369B" w:rsidRDefault="00251DE6" w:rsidP="00251DE6">
      <w:pPr>
        <w:widowControl w:val="0"/>
        <w:ind w:left="2880" w:hanging="2880"/>
        <w:jc w:val="both"/>
        <w:rPr>
          <w:sz w:val="20"/>
          <w:szCs w:val="20"/>
        </w:rPr>
      </w:pPr>
      <w:r w:rsidRPr="0092369B">
        <w:rPr>
          <w:sz w:val="20"/>
          <w:szCs w:val="20"/>
        </w:rPr>
        <w:tab/>
        <w:t>Alan Lenczner and Brendon Morrison for the Respondents</w:t>
      </w:r>
    </w:p>
    <w:p w:rsidR="001662A9" w:rsidRPr="00251DE6" w:rsidRDefault="001662A9" w:rsidP="001662A9">
      <w:pPr>
        <w:tabs>
          <w:tab w:val="left" w:pos="-1440"/>
          <w:tab w:val="left" w:pos="-720"/>
        </w:tabs>
        <w:jc w:val="both"/>
        <w:rPr>
          <w:sz w:val="20"/>
          <w:szCs w:val="20"/>
        </w:rPr>
      </w:pPr>
    </w:p>
    <w:p w:rsidR="001662A9" w:rsidRPr="00DD0B49" w:rsidRDefault="00690162" w:rsidP="001662A9">
      <w:pPr>
        <w:tabs>
          <w:tab w:val="left" w:pos="-1440"/>
          <w:tab w:val="left" w:pos="-720"/>
        </w:tabs>
        <w:jc w:val="both"/>
        <w:rPr>
          <w:sz w:val="20"/>
          <w:szCs w:val="20"/>
          <w:lang w:val="fr-CA"/>
        </w:rPr>
      </w:pPr>
      <w:r>
        <w:rPr>
          <w:sz w:val="20"/>
          <w:szCs w:val="20"/>
          <w:lang w:val="fr-CA"/>
        </w:rPr>
        <w:pict>
          <v:rect id="_x0000_i1120" style="width:2in;height:1pt" o:hrpct="0" o:hralign="center" o:hrstd="t" o:hrnoshade="t" o:hr="t" fillcolor="black [3213]" stroked="f"/>
        </w:pict>
      </w:r>
    </w:p>
    <w:p w:rsidR="001662A9" w:rsidRDefault="001662A9">
      <w:pPr>
        <w:rPr>
          <w:sz w:val="20"/>
          <w:szCs w:val="20"/>
          <w:lang w:val="fr-CA"/>
        </w:rPr>
      </w:pPr>
      <w:r>
        <w:rPr>
          <w:sz w:val="20"/>
          <w:szCs w:val="20"/>
          <w:lang w:val="fr-CA"/>
        </w:rPr>
        <w:br w:type="page"/>
      </w:r>
    </w:p>
    <w:p w:rsidR="00251DE6" w:rsidRPr="0092369B" w:rsidRDefault="00251DE6" w:rsidP="00251DE6">
      <w:pPr>
        <w:widowControl w:val="0"/>
        <w:ind w:left="720" w:hanging="720"/>
        <w:jc w:val="both"/>
        <w:rPr>
          <w:sz w:val="20"/>
          <w:szCs w:val="20"/>
          <w:lang w:val="fr-CA"/>
        </w:rPr>
      </w:pPr>
      <w:r w:rsidRPr="0092369B">
        <w:rPr>
          <w:b/>
          <w:sz w:val="20"/>
          <w:szCs w:val="20"/>
          <w:lang w:val="fr-CA"/>
        </w:rPr>
        <w:lastRenderedPageBreak/>
        <w:t>35682</w:t>
      </w:r>
      <w:r w:rsidR="00D921D7" w:rsidRPr="0092369B">
        <w:rPr>
          <w:sz w:val="20"/>
          <w:szCs w:val="20"/>
          <w:lang w:val="fr-CA"/>
        </w:rPr>
        <w:fldChar w:fldCharType="begin"/>
      </w:r>
      <w:r w:rsidRPr="0092369B">
        <w:rPr>
          <w:sz w:val="20"/>
          <w:szCs w:val="20"/>
          <w:lang w:val="fr-CA"/>
        </w:rPr>
        <w:instrText xml:space="preserve"> SEQ CHAPTER \h \r 1</w:instrText>
      </w:r>
      <w:r w:rsidR="00D921D7" w:rsidRPr="0092369B">
        <w:rPr>
          <w:sz w:val="20"/>
          <w:szCs w:val="20"/>
        </w:rPr>
        <w:fldChar w:fldCharType="end"/>
      </w:r>
      <w:r w:rsidRPr="0092369B">
        <w:rPr>
          <w:sz w:val="20"/>
          <w:szCs w:val="20"/>
          <w:lang w:val="fr-CA"/>
        </w:rPr>
        <w:tab/>
      </w:r>
      <w:r w:rsidRPr="0092369B">
        <w:rPr>
          <w:b/>
          <w:i/>
          <w:sz w:val="20"/>
          <w:szCs w:val="20"/>
          <w:lang w:val="fr-CA"/>
        </w:rPr>
        <w:t>Chevron Corporation et al. v. Daniel Carlos Lusitande Yaiguaje et al.</w:t>
      </w:r>
    </w:p>
    <w:p w:rsidR="00251DE6" w:rsidRPr="0092369B" w:rsidRDefault="00251DE6" w:rsidP="00251DE6">
      <w:pPr>
        <w:widowControl w:val="0"/>
        <w:jc w:val="both"/>
        <w:rPr>
          <w:sz w:val="20"/>
          <w:szCs w:val="20"/>
          <w:lang w:val="fr-CA"/>
        </w:rPr>
      </w:pPr>
    </w:p>
    <w:p w:rsidR="00251DE6" w:rsidRPr="0092369B" w:rsidRDefault="00251DE6" w:rsidP="00251DE6">
      <w:pPr>
        <w:widowControl w:val="0"/>
        <w:jc w:val="both"/>
        <w:rPr>
          <w:sz w:val="20"/>
          <w:szCs w:val="20"/>
          <w:lang w:val="fr-CA"/>
        </w:rPr>
      </w:pPr>
      <w:r w:rsidRPr="0092369B">
        <w:rPr>
          <w:sz w:val="20"/>
          <w:szCs w:val="20"/>
          <w:lang w:val="fr-CA"/>
        </w:rPr>
        <w:t>(</w:t>
      </w:r>
      <w:r w:rsidRPr="0092369B">
        <w:rPr>
          <w:smallCaps/>
          <w:sz w:val="20"/>
          <w:szCs w:val="20"/>
          <w:lang w:val="fr-CA"/>
        </w:rPr>
        <w:t>Ordonnance de mise sous scellés</w:t>
      </w:r>
      <w:r w:rsidRPr="0092369B">
        <w:rPr>
          <w:sz w:val="20"/>
          <w:szCs w:val="20"/>
          <w:lang w:val="fr-CA"/>
        </w:rPr>
        <w:t>)</w:t>
      </w:r>
    </w:p>
    <w:p w:rsidR="00251DE6" w:rsidRPr="0092369B" w:rsidRDefault="00251DE6" w:rsidP="00251DE6">
      <w:pPr>
        <w:widowControl w:val="0"/>
        <w:jc w:val="both"/>
        <w:rPr>
          <w:sz w:val="20"/>
          <w:szCs w:val="20"/>
          <w:lang w:val="fr-CA"/>
        </w:rPr>
      </w:pPr>
    </w:p>
    <w:p w:rsidR="0092369B" w:rsidRPr="0092369B" w:rsidRDefault="0092369B" w:rsidP="0092369B">
      <w:pPr>
        <w:widowControl w:val="0"/>
        <w:jc w:val="both"/>
        <w:rPr>
          <w:sz w:val="20"/>
          <w:szCs w:val="20"/>
          <w:lang w:val="fr-CA"/>
        </w:rPr>
      </w:pPr>
      <w:r w:rsidRPr="0092369B">
        <w:rPr>
          <w:sz w:val="20"/>
          <w:szCs w:val="20"/>
          <w:lang w:val="fr-CA"/>
        </w:rPr>
        <w:t>Droit international privé - Jugements étrangers - Reconnaissance - Exécution - Critère applicable pour déterminer si une cour supérieure provinciale peut connaître d’une action en reconnaissance et exécution du jugement d’un tribunal étranger - Le critère du lien réel et substantiel constitue</w:t>
      </w:r>
      <w:r w:rsidRPr="0092369B">
        <w:rPr>
          <w:sz w:val="20"/>
          <w:szCs w:val="20"/>
          <w:lang w:val="fr-CA"/>
        </w:rPr>
        <w:noBreakHyphen/>
        <w:t>t</w:t>
      </w:r>
      <w:r w:rsidRPr="0092369B">
        <w:rPr>
          <w:sz w:val="20"/>
          <w:szCs w:val="20"/>
          <w:lang w:val="fr-CA"/>
        </w:rPr>
        <w:noBreakHyphen/>
        <w:t>il un critère universel de simple reconnaissance de compétence des tribunaux canadiens dans toute action et s’applique</w:t>
      </w:r>
      <w:r w:rsidRPr="0092369B">
        <w:rPr>
          <w:sz w:val="20"/>
          <w:szCs w:val="20"/>
          <w:lang w:val="fr-CA"/>
        </w:rPr>
        <w:noBreakHyphen/>
        <w:t>t</w:t>
      </w:r>
      <w:r w:rsidRPr="0092369B">
        <w:rPr>
          <w:sz w:val="20"/>
          <w:szCs w:val="20"/>
          <w:lang w:val="fr-CA"/>
        </w:rPr>
        <w:noBreakHyphen/>
        <w:t>il dans une affaire portant sur la reconnaissance et l’exécution d’un jugement étranger? - Les impératifs constitutionnels font</w:t>
      </w:r>
      <w:r w:rsidRPr="0092369B">
        <w:rPr>
          <w:sz w:val="20"/>
          <w:szCs w:val="20"/>
          <w:lang w:val="fr-CA"/>
        </w:rPr>
        <w:noBreakHyphen/>
        <w:t xml:space="preserve">ils obstacle à une interprétation de la législation provinciale ou des règles de signification </w:t>
      </w:r>
      <w:r w:rsidRPr="0092369B">
        <w:rPr>
          <w:i/>
          <w:sz w:val="20"/>
          <w:szCs w:val="20"/>
          <w:lang w:val="fr-CA"/>
        </w:rPr>
        <w:t>ex juris</w:t>
      </w:r>
      <w:r w:rsidRPr="0092369B">
        <w:rPr>
          <w:sz w:val="20"/>
          <w:szCs w:val="20"/>
          <w:lang w:val="fr-CA"/>
        </w:rPr>
        <w:t xml:space="preserve"> selon laquelle il y a compétence d’office ou une présomption irréfutable de compétence à l’égard des parties étrangères? - La doctrine de la courtoisie empêche</w:t>
      </w:r>
      <w:r w:rsidRPr="0092369B">
        <w:rPr>
          <w:sz w:val="20"/>
          <w:szCs w:val="20"/>
          <w:lang w:val="fr-CA"/>
        </w:rPr>
        <w:noBreakHyphen/>
        <w:t>t</w:t>
      </w:r>
      <w:r w:rsidRPr="0092369B">
        <w:rPr>
          <w:sz w:val="20"/>
          <w:szCs w:val="20"/>
          <w:lang w:val="fr-CA"/>
        </w:rPr>
        <w:noBreakHyphen/>
        <w:t>elle le tribunal de se déclarer compétent à l’égard de parties étrangères dans le cadre d’une action où la décision revêtera un caractère théorique, sera dépourvue d’incidence concrète et ne servira aucune fin? - La norme de la « cause tout à fait défendable » s’applique</w:t>
      </w:r>
      <w:r w:rsidRPr="0092369B">
        <w:rPr>
          <w:sz w:val="20"/>
          <w:szCs w:val="20"/>
          <w:lang w:val="fr-CA"/>
        </w:rPr>
        <w:noBreakHyphen/>
        <w:t>t</w:t>
      </w:r>
      <w:r w:rsidRPr="0092369B">
        <w:rPr>
          <w:sz w:val="20"/>
          <w:szCs w:val="20"/>
          <w:lang w:val="fr-CA"/>
        </w:rPr>
        <w:noBreakHyphen/>
        <w:t>elle à la détermination de faits essentiels à la déclaration de compétence à l’égard d’une partie étrangère? - Un lien réel et substantiel avec la province est</w:t>
      </w:r>
      <w:r w:rsidRPr="0092369B">
        <w:rPr>
          <w:sz w:val="20"/>
          <w:szCs w:val="20"/>
          <w:lang w:val="fr-CA"/>
        </w:rPr>
        <w:noBreakHyphen/>
        <w:t>il établi à la lumière de ces faits si le seul lien entre cette dernière et l’une ou l’autre des parties à l’action intentée dans l’autre ressort est la présence au Canada d’une filiale indirecte d’un défendeur étranger? - La  reconnaissance et l’exécution d’un jugement étranger sont</w:t>
      </w:r>
      <w:r w:rsidRPr="0092369B">
        <w:rPr>
          <w:sz w:val="20"/>
          <w:szCs w:val="20"/>
          <w:lang w:val="fr-CA"/>
        </w:rPr>
        <w:noBreakHyphen/>
        <w:t>elles subordonnées à la présence d’actifs? - Quel est le critère applicable pour déterminer si une cour supérieure provinciale peut reconnaître et exécuter un jugement étranger contre une personne qui n’est pas partie au jugement étranger et qui n’est pas domiciliée dans la province? - Le fait d’avoir un bureau dans la province et d’y faire des affaires sans aucun rapport avec le sujet de l’action et le fait d’entretenir des « rapports économiques importants » avec le débiteur judiciaire suffisent</w:t>
      </w:r>
      <w:r w:rsidRPr="0092369B">
        <w:rPr>
          <w:sz w:val="20"/>
          <w:szCs w:val="20"/>
          <w:lang w:val="fr-CA"/>
        </w:rPr>
        <w:noBreakHyphen/>
        <w:t>ils pour qu’il y ait compétence? - Dans quelle mesure un tribunal saisi d’une contestation quant à la compétence doit</w:t>
      </w:r>
      <w:r w:rsidRPr="0092369B">
        <w:rPr>
          <w:sz w:val="20"/>
          <w:szCs w:val="20"/>
          <w:lang w:val="fr-CA"/>
        </w:rPr>
        <w:noBreakHyphen/>
        <w:t>il juger au fond une allégation essentielle pour déterminer la compétence afin de déterminer si elle atteint le seuil nécessaire? - Dans quelles circonstances, s’il y en a, un tribunal ne pouvant connaître d’une action en reconnaissance et exécution contre le débiteur judiciaire a</w:t>
      </w:r>
      <w:r w:rsidRPr="0092369B">
        <w:rPr>
          <w:sz w:val="20"/>
          <w:szCs w:val="20"/>
          <w:lang w:val="fr-CA"/>
        </w:rPr>
        <w:noBreakHyphen/>
        <w:t>t</w:t>
      </w:r>
      <w:r w:rsidRPr="0092369B">
        <w:rPr>
          <w:sz w:val="20"/>
          <w:szCs w:val="20"/>
          <w:lang w:val="fr-CA"/>
        </w:rPr>
        <w:noBreakHyphen/>
        <w:t>il compétence pour reconnaître et exécuter un jugement prononcé contre une partie qui n’était pas partie à l’action initiale? - La Cour doit</w:t>
      </w:r>
      <w:r w:rsidRPr="0092369B">
        <w:rPr>
          <w:sz w:val="20"/>
          <w:szCs w:val="20"/>
          <w:lang w:val="fr-CA"/>
        </w:rPr>
        <w:noBreakHyphen/>
        <w:t>elle, en vertu de sa compétence à l’égard d’un défendeur présent en Ontario, déterminer s’il existe un lien réel et substantiel entre le défendeur ontarien et le sujet de l’action? - La Cour doit</w:t>
      </w:r>
      <w:r w:rsidRPr="0092369B">
        <w:rPr>
          <w:sz w:val="20"/>
          <w:szCs w:val="20"/>
          <w:lang w:val="fr-CA"/>
        </w:rPr>
        <w:noBreakHyphen/>
        <w:t>elle, en vertu de sa compétence, déterminer si les actifs d’une filiale en propriété exclusive sont exigibles à l’égard du jugement final prononcé contre la société mère?</w:t>
      </w:r>
    </w:p>
    <w:p w:rsidR="0092369B" w:rsidRPr="0092369B" w:rsidRDefault="0092369B" w:rsidP="0092369B">
      <w:pPr>
        <w:widowControl w:val="0"/>
        <w:jc w:val="both"/>
        <w:rPr>
          <w:sz w:val="20"/>
          <w:szCs w:val="20"/>
          <w:lang w:val="fr-CA"/>
        </w:rPr>
      </w:pPr>
    </w:p>
    <w:p w:rsidR="0092369B" w:rsidRPr="0092369B" w:rsidRDefault="0092369B" w:rsidP="0092369B">
      <w:pPr>
        <w:widowControl w:val="0"/>
        <w:jc w:val="both"/>
        <w:rPr>
          <w:sz w:val="20"/>
          <w:szCs w:val="20"/>
          <w:lang w:val="fr-CA"/>
        </w:rPr>
      </w:pPr>
      <w:r w:rsidRPr="0092369B">
        <w:rPr>
          <w:sz w:val="20"/>
          <w:szCs w:val="20"/>
          <w:lang w:val="fr-CA"/>
        </w:rPr>
        <w:t>Les demandeurs</w:t>
      </w:r>
      <w:r w:rsidRPr="0092369B">
        <w:rPr>
          <w:sz w:val="20"/>
          <w:szCs w:val="20"/>
          <w:lang w:val="fr-CA"/>
        </w:rPr>
        <w:noBreakHyphen/>
        <w:t xml:space="preserve"> intimés ont intenté une action en Équateur contre Chevron Corporation pour préjudice causé à leurs terres et à leurs intérêts par la pollution environnementale.  Ils se pourvoient en reconnaissance et exécution contre les appelants, en Ontario, du jugement final qui leur accorde 9,51 milliards de dollars américains en dommages</w:t>
      </w:r>
      <w:r w:rsidRPr="0092369B">
        <w:rPr>
          <w:sz w:val="20"/>
          <w:szCs w:val="20"/>
          <w:lang w:val="fr-CA"/>
        </w:rPr>
        <w:noBreakHyphen/>
        <w:t xml:space="preserve">intérêts.  Les appelants n’ont pas acquiescé à la compétence et ont présenté des requêtes en vue d’obtenir une ordonnance qui annulerait la signification </w:t>
      </w:r>
      <w:r w:rsidRPr="0092369B">
        <w:rPr>
          <w:i/>
          <w:sz w:val="20"/>
          <w:szCs w:val="20"/>
          <w:lang w:val="fr-CA"/>
        </w:rPr>
        <w:t>ex juris</w:t>
      </w:r>
      <w:r w:rsidRPr="0092369B">
        <w:rPr>
          <w:sz w:val="20"/>
          <w:szCs w:val="20"/>
          <w:lang w:val="fr-CA"/>
        </w:rPr>
        <w:t>, une déclaration d’incompétence de la cour, et le rejet ou le sursis permanent de l’action.  La Cour supérieure de justice de l’Ontario a rejeté les requêtes visant à faire annuler la signification, mais a accueilli les requêtes en sursis de l’action au motif qu’il n’y avait aucune perspective raisonnable de  recouvrement puisque Chevron Corporation ne détenait aucun actif en Ontario..</w:t>
      </w:r>
    </w:p>
    <w:p w:rsidR="00251DE6" w:rsidRPr="0092369B" w:rsidRDefault="00251DE6" w:rsidP="00251DE6">
      <w:pPr>
        <w:rPr>
          <w:sz w:val="20"/>
          <w:szCs w:val="20"/>
          <w:lang w:val="fr-CA"/>
        </w:rPr>
      </w:pPr>
    </w:p>
    <w:p w:rsidR="00251DE6" w:rsidRPr="0092369B" w:rsidRDefault="00251DE6" w:rsidP="00251DE6">
      <w:pPr>
        <w:rPr>
          <w:sz w:val="20"/>
          <w:szCs w:val="20"/>
          <w:lang w:val="fr-CA"/>
        </w:rPr>
      </w:pPr>
    </w:p>
    <w:p w:rsidR="00251DE6" w:rsidRPr="0092369B" w:rsidRDefault="00251DE6" w:rsidP="00251DE6">
      <w:pPr>
        <w:widowControl w:val="0"/>
        <w:ind w:left="2880" w:hanging="2880"/>
        <w:jc w:val="both"/>
        <w:rPr>
          <w:sz w:val="20"/>
          <w:szCs w:val="20"/>
          <w:lang w:val="fr-CA"/>
        </w:rPr>
      </w:pPr>
      <w:r w:rsidRPr="0092369B">
        <w:rPr>
          <w:sz w:val="20"/>
          <w:szCs w:val="20"/>
          <w:lang w:val="fr-CA"/>
        </w:rPr>
        <w:t>Origine :</w:t>
      </w:r>
      <w:r w:rsidRPr="0092369B">
        <w:rPr>
          <w:sz w:val="20"/>
          <w:szCs w:val="20"/>
          <w:lang w:val="fr-CA"/>
        </w:rPr>
        <w:tab/>
        <w:t>Ontario</w:t>
      </w:r>
    </w:p>
    <w:p w:rsidR="00251DE6" w:rsidRPr="0092369B" w:rsidRDefault="00251DE6" w:rsidP="00251DE6">
      <w:pPr>
        <w:ind w:left="2880" w:hanging="2880"/>
        <w:rPr>
          <w:sz w:val="20"/>
          <w:szCs w:val="20"/>
          <w:lang w:val="fr-CA"/>
        </w:rPr>
      </w:pPr>
    </w:p>
    <w:p w:rsidR="00251DE6" w:rsidRPr="0092369B" w:rsidRDefault="00251DE6" w:rsidP="00251DE6">
      <w:pPr>
        <w:ind w:left="2880" w:hanging="2880"/>
        <w:rPr>
          <w:sz w:val="20"/>
          <w:szCs w:val="20"/>
          <w:lang w:val="fr-CA"/>
        </w:rPr>
      </w:pPr>
      <w:r w:rsidRPr="0092369B">
        <w:rPr>
          <w:sz w:val="20"/>
          <w:szCs w:val="20"/>
          <w:lang w:val="fr-CA"/>
        </w:rPr>
        <w:t>No du greffe :</w:t>
      </w:r>
      <w:r w:rsidRPr="0092369B">
        <w:rPr>
          <w:sz w:val="20"/>
          <w:szCs w:val="20"/>
          <w:lang w:val="fr-CA"/>
        </w:rPr>
        <w:tab/>
        <w:t>35682</w:t>
      </w:r>
    </w:p>
    <w:p w:rsidR="00251DE6" w:rsidRPr="0092369B" w:rsidRDefault="00251DE6" w:rsidP="00251DE6">
      <w:pPr>
        <w:ind w:left="2880" w:hanging="2880"/>
        <w:rPr>
          <w:sz w:val="20"/>
          <w:szCs w:val="20"/>
          <w:lang w:val="fr-CA"/>
        </w:rPr>
      </w:pPr>
    </w:p>
    <w:p w:rsidR="00251DE6" w:rsidRPr="0092369B" w:rsidRDefault="00251DE6" w:rsidP="00251DE6">
      <w:pPr>
        <w:ind w:left="2880" w:hanging="2880"/>
        <w:rPr>
          <w:sz w:val="20"/>
          <w:szCs w:val="20"/>
          <w:lang w:val="fr-CA"/>
        </w:rPr>
      </w:pPr>
      <w:r w:rsidRPr="0092369B">
        <w:rPr>
          <w:sz w:val="20"/>
          <w:szCs w:val="20"/>
          <w:lang w:val="fr-CA"/>
        </w:rPr>
        <w:t>Arrêt de la Cour d’appel :</w:t>
      </w:r>
      <w:r w:rsidRPr="0092369B">
        <w:rPr>
          <w:sz w:val="20"/>
          <w:szCs w:val="20"/>
          <w:lang w:val="fr-CA"/>
        </w:rPr>
        <w:tab/>
        <w:t>le 17 décembre 2013</w:t>
      </w:r>
    </w:p>
    <w:p w:rsidR="00251DE6" w:rsidRPr="0092369B" w:rsidRDefault="00251DE6" w:rsidP="00251DE6">
      <w:pPr>
        <w:ind w:left="2880" w:hanging="2880"/>
        <w:rPr>
          <w:sz w:val="20"/>
          <w:szCs w:val="20"/>
          <w:lang w:val="fr-CA"/>
        </w:rPr>
      </w:pPr>
    </w:p>
    <w:p w:rsidR="00251DE6" w:rsidRPr="0092369B" w:rsidRDefault="00251DE6" w:rsidP="00251DE6">
      <w:pPr>
        <w:widowControl w:val="0"/>
        <w:ind w:left="2880" w:hanging="2880"/>
        <w:jc w:val="both"/>
        <w:rPr>
          <w:sz w:val="20"/>
          <w:szCs w:val="20"/>
          <w:lang w:val="fr-CA"/>
        </w:rPr>
      </w:pPr>
      <w:r w:rsidRPr="0092369B">
        <w:rPr>
          <w:sz w:val="20"/>
          <w:szCs w:val="20"/>
          <w:lang w:val="fr-CA"/>
        </w:rPr>
        <w:t>Avocats :</w:t>
      </w:r>
      <w:r w:rsidRPr="0092369B">
        <w:rPr>
          <w:sz w:val="20"/>
          <w:szCs w:val="20"/>
          <w:lang w:val="fr-CA"/>
        </w:rPr>
        <w:tab/>
        <w:t>Clarke Hunter, Anne Kirker et Jung Lee pour l’appelante Chevron Corporation</w:t>
      </w:r>
    </w:p>
    <w:p w:rsidR="00251DE6" w:rsidRPr="0092369B" w:rsidRDefault="00251DE6" w:rsidP="00251DE6">
      <w:pPr>
        <w:widowControl w:val="0"/>
        <w:ind w:left="2880" w:hanging="2880"/>
        <w:jc w:val="both"/>
        <w:rPr>
          <w:sz w:val="20"/>
          <w:szCs w:val="20"/>
          <w:lang w:val="fr-CA"/>
        </w:rPr>
      </w:pPr>
      <w:r w:rsidRPr="0092369B">
        <w:rPr>
          <w:sz w:val="20"/>
          <w:szCs w:val="20"/>
          <w:lang w:val="fr-CA"/>
        </w:rPr>
        <w:tab/>
        <w:t>Benjamin Zarnett, Suzy Kauffman et Peter Kolla pour l’appelante Chevron Canada Limited</w:t>
      </w:r>
    </w:p>
    <w:p w:rsidR="00251DE6" w:rsidRPr="0092369B" w:rsidRDefault="00251DE6" w:rsidP="00251DE6">
      <w:pPr>
        <w:widowControl w:val="0"/>
        <w:ind w:left="2880" w:hanging="2880"/>
        <w:jc w:val="both"/>
        <w:rPr>
          <w:sz w:val="20"/>
          <w:szCs w:val="20"/>
          <w:lang w:val="fr-CA"/>
        </w:rPr>
      </w:pPr>
      <w:r w:rsidRPr="0092369B">
        <w:rPr>
          <w:sz w:val="20"/>
          <w:szCs w:val="20"/>
          <w:lang w:val="fr-CA"/>
        </w:rPr>
        <w:tab/>
        <w:t>Alan Lenczner et Brendon Morrison pour les intimés</w:t>
      </w:r>
    </w:p>
    <w:p w:rsidR="000B3C9A" w:rsidRPr="00DD0B49" w:rsidRDefault="000B3C9A" w:rsidP="000B3C9A">
      <w:pPr>
        <w:tabs>
          <w:tab w:val="left" w:pos="-1440"/>
          <w:tab w:val="left" w:pos="-720"/>
        </w:tabs>
        <w:jc w:val="both"/>
        <w:rPr>
          <w:sz w:val="20"/>
          <w:szCs w:val="20"/>
          <w:lang w:val="fr-CA"/>
        </w:rPr>
      </w:pPr>
    </w:p>
    <w:p w:rsidR="000B3C9A" w:rsidRPr="00DD0B49" w:rsidRDefault="00690162" w:rsidP="000B3C9A">
      <w:pPr>
        <w:tabs>
          <w:tab w:val="left" w:pos="-1440"/>
          <w:tab w:val="left" w:pos="-720"/>
        </w:tabs>
        <w:jc w:val="both"/>
        <w:rPr>
          <w:sz w:val="20"/>
          <w:szCs w:val="20"/>
          <w:lang w:val="fr-CA"/>
        </w:rPr>
      </w:pPr>
      <w:r>
        <w:rPr>
          <w:sz w:val="20"/>
          <w:szCs w:val="20"/>
          <w:lang w:val="fr-CA"/>
        </w:rPr>
        <w:pict>
          <v:rect id="_x0000_i1121" style="width:2in;height:1pt" o:hrpct="0" o:hralign="center" o:hrstd="t" o:hrnoshade="t" o:hr="t" fillcolor="black [3213]" stroked="f"/>
        </w:pict>
      </w: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110"/>
          <w:footerReference w:type="default" r:id="rId111"/>
          <w:headerReference w:type="first" r:id="rId112"/>
          <w:footerReference w:type="first" r:id="rId113"/>
          <w:pgSz w:w="12240" w:h="15840"/>
          <w:pgMar w:top="720" w:right="965" w:bottom="1080" w:left="1656" w:header="720" w:footer="965" w:gutter="0"/>
          <w:cols w:space="720"/>
          <w:titlePg/>
          <w:docGrid w:linePitch="326"/>
        </w:sectPr>
      </w:pPr>
    </w:p>
    <w:p w:rsidR="008112A9" w:rsidRPr="002E0C7E" w:rsidRDefault="00D921D7"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C80C4E">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80C4E">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C80C4E">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80C4E">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C80C4E">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80C4E">
            <w:pPr>
              <w:widowControl w:val="0"/>
              <w:jc w:val="center"/>
              <w:rPr>
                <w:rFonts w:ascii="Arial" w:hAnsi="Arial"/>
                <w:sz w:val="14"/>
              </w:rPr>
            </w:pPr>
            <w:r w:rsidRPr="002E0C7E">
              <w:rPr>
                <w:rFonts w:ascii="Arial" w:hAnsi="Arial"/>
                <w:b/>
                <w:sz w:val="14"/>
              </w:rPr>
              <w:t>DECEMBER - DÉCEMBRE</w:t>
            </w:r>
          </w:p>
        </w:tc>
      </w:tr>
      <w:tr w:rsidR="008112A9" w:rsidRPr="002E0C7E" w:rsidTr="00C80C4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S</w:t>
            </w:r>
          </w:p>
          <w:p w:rsidR="008112A9" w:rsidRPr="002E0C7E" w:rsidRDefault="008112A9" w:rsidP="00C80C4E">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M</w:t>
            </w:r>
          </w:p>
          <w:p w:rsidR="008112A9" w:rsidRPr="002E0C7E" w:rsidRDefault="008112A9" w:rsidP="00C80C4E">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T</w:t>
            </w:r>
          </w:p>
          <w:p w:rsidR="008112A9" w:rsidRPr="002E0C7E" w:rsidRDefault="008112A9" w:rsidP="00C80C4E">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W</w:t>
            </w:r>
          </w:p>
          <w:p w:rsidR="008112A9" w:rsidRPr="002E0C7E" w:rsidRDefault="008112A9" w:rsidP="00C80C4E">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T</w:t>
            </w:r>
          </w:p>
          <w:p w:rsidR="008112A9" w:rsidRPr="002E0C7E" w:rsidRDefault="008112A9" w:rsidP="00C80C4E">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F</w:t>
            </w:r>
          </w:p>
          <w:p w:rsidR="008112A9" w:rsidRPr="002E0C7E" w:rsidRDefault="008112A9" w:rsidP="00C80C4E">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S</w:t>
            </w:r>
          </w:p>
          <w:p w:rsidR="008112A9" w:rsidRPr="002E0C7E" w:rsidRDefault="008112A9" w:rsidP="00C80C4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S</w:t>
            </w:r>
          </w:p>
          <w:p w:rsidR="008112A9" w:rsidRPr="002E0C7E" w:rsidRDefault="008112A9" w:rsidP="00C80C4E">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M</w:t>
            </w:r>
          </w:p>
          <w:p w:rsidR="008112A9" w:rsidRPr="002E0C7E" w:rsidRDefault="008112A9" w:rsidP="00C80C4E">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T</w:t>
            </w:r>
          </w:p>
          <w:p w:rsidR="008112A9" w:rsidRPr="002E0C7E" w:rsidRDefault="008112A9" w:rsidP="00C80C4E">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W</w:t>
            </w:r>
          </w:p>
          <w:p w:rsidR="008112A9" w:rsidRPr="002E0C7E" w:rsidRDefault="008112A9" w:rsidP="00C80C4E">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T</w:t>
            </w:r>
          </w:p>
          <w:p w:rsidR="008112A9" w:rsidRPr="002E0C7E" w:rsidRDefault="008112A9" w:rsidP="00C80C4E">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F</w:t>
            </w:r>
          </w:p>
          <w:p w:rsidR="008112A9" w:rsidRPr="002E0C7E" w:rsidRDefault="008112A9" w:rsidP="00C80C4E">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S</w:t>
            </w:r>
          </w:p>
          <w:p w:rsidR="008112A9" w:rsidRPr="002E0C7E" w:rsidRDefault="008112A9" w:rsidP="00C80C4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S</w:t>
            </w:r>
          </w:p>
          <w:p w:rsidR="008112A9" w:rsidRPr="002E0C7E" w:rsidRDefault="008112A9" w:rsidP="00C80C4E">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M</w:t>
            </w:r>
          </w:p>
          <w:p w:rsidR="008112A9" w:rsidRPr="002E0C7E" w:rsidRDefault="008112A9" w:rsidP="00C80C4E">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T</w:t>
            </w:r>
          </w:p>
          <w:p w:rsidR="008112A9" w:rsidRPr="002E0C7E" w:rsidRDefault="008112A9" w:rsidP="00C80C4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W</w:t>
            </w:r>
          </w:p>
          <w:p w:rsidR="008112A9" w:rsidRPr="002E0C7E" w:rsidRDefault="008112A9" w:rsidP="00C80C4E">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T</w:t>
            </w:r>
          </w:p>
          <w:p w:rsidR="008112A9" w:rsidRPr="002E0C7E" w:rsidRDefault="008112A9" w:rsidP="00C80C4E">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F</w:t>
            </w:r>
          </w:p>
          <w:p w:rsidR="008112A9" w:rsidRPr="002E0C7E" w:rsidRDefault="008112A9" w:rsidP="00C80C4E">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S</w:t>
            </w:r>
          </w:p>
          <w:p w:rsidR="008112A9" w:rsidRPr="002E0C7E" w:rsidRDefault="008112A9" w:rsidP="00C80C4E">
            <w:pPr>
              <w:widowControl w:val="0"/>
              <w:jc w:val="center"/>
              <w:rPr>
                <w:rFonts w:ascii="Arial" w:hAnsi="Arial"/>
                <w:sz w:val="14"/>
              </w:rPr>
            </w:pPr>
            <w:r w:rsidRPr="002E0C7E">
              <w:rPr>
                <w:rFonts w:ascii="Arial" w:hAnsi="Arial"/>
                <w:sz w:val="14"/>
              </w:rPr>
              <w:t>S</w:t>
            </w:r>
          </w:p>
        </w:tc>
      </w:tr>
      <w:tr w:rsidR="008112A9" w:rsidRPr="002E0C7E" w:rsidTr="00C80C4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C80C4E">
            <w:pPr>
              <w:widowControl w:val="0"/>
              <w:jc w:val="center"/>
              <w:rPr>
                <w:rFonts w:ascii="Arial" w:hAnsi="Arial"/>
                <w:b/>
                <w:sz w:val="14"/>
              </w:rPr>
            </w:pPr>
            <w:r>
              <w:rPr>
                <w:rFonts w:ascii="Arial" w:hAnsi="Arial"/>
                <w:b/>
                <w:sz w:val="14"/>
              </w:rPr>
              <w:t>M</w:t>
            </w:r>
          </w:p>
          <w:p w:rsidR="008112A9" w:rsidRPr="002E0C7E" w:rsidRDefault="008112A9" w:rsidP="00C80C4E">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6</w:t>
            </w:r>
          </w:p>
        </w:tc>
      </w:tr>
      <w:tr w:rsidR="008112A9" w:rsidRPr="002E0C7E" w:rsidTr="00C80C4E">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C80C4E">
            <w:pPr>
              <w:widowControl w:val="0"/>
              <w:jc w:val="center"/>
              <w:rPr>
                <w:rFonts w:ascii="Arial" w:hAnsi="Arial"/>
                <w:b/>
                <w:sz w:val="14"/>
              </w:rPr>
            </w:pPr>
            <w:r>
              <w:rPr>
                <w:rFonts w:ascii="Arial" w:hAnsi="Arial"/>
                <w:b/>
                <w:sz w:val="14"/>
              </w:rPr>
              <w:t>M</w:t>
            </w:r>
          </w:p>
          <w:p w:rsidR="008112A9" w:rsidRPr="002E0C7E" w:rsidRDefault="008112A9" w:rsidP="00C80C4E">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C80C4E">
            <w:pPr>
              <w:widowControl w:val="0"/>
              <w:jc w:val="center"/>
              <w:rPr>
                <w:rFonts w:ascii="Arial" w:hAnsi="Arial"/>
                <w:b/>
                <w:sz w:val="14"/>
              </w:rPr>
            </w:pPr>
          </w:p>
          <w:p w:rsidR="008112A9" w:rsidRPr="002E0C7E" w:rsidRDefault="008112A9" w:rsidP="00C80C4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b/>
                <w:sz w:val="14"/>
              </w:rPr>
              <w:t>M</w:t>
            </w:r>
          </w:p>
          <w:p w:rsidR="008112A9" w:rsidRPr="002E0C7E" w:rsidRDefault="008112A9" w:rsidP="00C80C4E">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13</w:t>
            </w:r>
          </w:p>
        </w:tc>
      </w:tr>
      <w:tr w:rsidR="008112A9" w:rsidRPr="002E0C7E" w:rsidTr="00C80C4E">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C80C4E">
            <w:pPr>
              <w:widowControl w:val="0"/>
              <w:jc w:val="center"/>
              <w:rPr>
                <w:rFonts w:ascii="Arial" w:hAnsi="Arial"/>
                <w:b/>
                <w:sz w:val="14"/>
              </w:rPr>
            </w:pPr>
            <w:r>
              <w:rPr>
                <w:rFonts w:ascii="Arial" w:hAnsi="Arial"/>
                <w:b/>
                <w:sz w:val="14"/>
              </w:rPr>
              <w:t>H</w:t>
            </w: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C80C4E">
            <w:pPr>
              <w:widowControl w:val="0"/>
              <w:jc w:val="center"/>
              <w:rPr>
                <w:rFonts w:ascii="Arial" w:hAnsi="Arial"/>
                <w:b/>
                <w:sz w:val="14"/>
              </w:rPr>
            </w:pPr>
            <w:r w:rsidRPr="004F066E">
              <w:rPr>
                <w:rFonts w:ascii="Arial" w:hAnsi="Arial"/>
                <w:b/>
                <w:sz w:val="14"/>
              </w:rPr>
              <w:t>H</w:t>
            </w:r>
          </w:p>
          <w:p w:rsidR="008112A9" w:rsidRPr="002E0C7E" w:rsidRDefault="008112A9" w:rsidP="00C80C4E">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20</w:t>
            </w:r>
          </w:p>
        </w:tc>
      </w:tr>
      <w:tr w:rsidR="008112A9" w:rsidRPr="002E0C7E" w:rsidTr="00C80C4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C80C4E">
            <w:pPr>
              <w:widowControl w:val="0"/>
              <w:jc w:val="center"/>
              <w:rPr>
                <w:rFonts w:ascii="Arial" w:hAnsi="Arial"/>
                <w:b/>
                <w:sz w:val="14"/>
              </w:rPr>
            </w:pPr>
          </w:p>
          <w:p w:rsidR="008112A9" w:rsidRPr="002E0C7E" w:rsidRDefault="008112A9" w:rsidP="00C80C4E">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C80C4E">
            <w:pPr>
              <w:widowControl w:val="0"/>
              <w:jc w:val="center"/>
              <w:rPr>
                <w:rFonts w:ascii="Arial" w:hAnsi="Arial"/>
                <w:b/>
                <w:sz w:val="14"/>
              </w:rPr>
            </w:pPr>
            <w:r>
              <w:rPr>
                <w:rFonts w:ascii="Arial" w:hAnsi="Arial"/>
                <w:b/>
                <w:sz w:val="14"/>
              </w:rPr>
              <w:t>H</w:t>
            </w:r>
          </w:p>
          <w:p w:rsidR="008112A9" w:rsidRPr="002E0C7E" w:rsidRDefault="008112A9" w:rsidP="00C80C4E">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C80C4E">
            <w:pPr>
              <w:widowControl w:val="0"/>
              <w:jc w:val="center"/>
              <w:rPr>
                <w:rFonts w:ascii="Arial" w:hAnsi="Arial"/>
                <w:b/>
                <w:sz w:val="14"/>
              </w:rPr>
            </w:pPr>
            <w:r>
              <w:rPr>
                <w:rFonts w:ascii="Arial" w:hAnsi="Arial"/>
                <w:b/>
                <w:sz w:val="14"/>
              </w:rPr>
              <w:t>H</w:t>
            </w:r>
          </w:p>
          <w:p w:rsidR="008112A9" w:rsidRPr="002E0C7E" w:rsidRDefault="008112A9" w:rsidP="00C80C4E">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C80C4E">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C80C4E">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C80C4E">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C80C4E">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80C4E">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C80C4E">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80C4E">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C80C4E">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80C4E">
            <w:pPr>
              <w:widowControl w:val="0"/>
              <w:jc w:val="center"/>
              <w:rPr>
                <w:rFonts w:ascii="Arial" w:hAnsi="Arial"/>
                <w:sz w:val="14"/>
              </w:rPr>
            </w:pPr>
            <w:r w:rsidRPr="002E0C7E">
              <w:rPr>
                <w:rFonts w:ascii="Arial" w:hAnsi="Arial"/>
                <w:b/>
                <w:sz w:val="14"/>
              </w:rPr>
              <w:t>MARCH - MARS</w:t>
            </w:r>
          </w:p>
        </w:tc>
      </w:tr>
      <w:tr w:rsidR="008112A9" w:rsidRPr="002E0C7E" w:rsidTr="00C80C4E">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S</w:t>
            </w:r>
          </w:p>
          <w:p w:rsidR="008112A9" w:rsidRPr="002E0C7E" w:rsidRDefault="008112A9" w:rsidP="00C80C4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M</w:t>
            </w:r>
          </w:p>
          <w:p w:rsidR="008112A9" w:rsidRPr="002E0C7E" w:rsidRDefault="008112A9" w:rsidP="00C80C4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T</w:t>
            </w:r>
          </w:p>
          <w:p w:rsidR="008112A9" w:rsidRPr="002E0C7E" w:rsidRDefault="008112A9" w:rsidP="00C80C4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W</w:t>
            </w:r>
          </w:p>
          <w:p w:rsidR="008112A9" w:rsidRPr="002E0C7E" w:rsidRDefault="008112A9" w:rsidP="00C80C4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T</w:t>
            </w:r>
          </w:p>
          <w:p w:rsidR="008112A9" w:rsidRPr="002E0C7E" w:rsidRDefault="008112A9" w:rsidP="00C80C4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F</w:t>
            </w:r>
          </w:p>
          <w:p w:rsidR="008112A9" w:rsidRPr="002E0C7E" w:rsidRDefault="008112A9" w:rsidP="00C80C4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S</w:t>
            </w:r>
          </w:p>
          <w:p w:rsidR="008112A9" w:rsidRPr="002E0C7E" w:rsidRDefault="008112A9" w:rsidP="00C80C4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S</w:t>
            </w:r>
          </w:p>
          <w:p w:rsidR="008112A9" w:rsidRPr="002E0C7E" w:rsidRDefault="008112A9" w:rsidP="00C80C4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M</w:t>
            </w:r>
          </w:p>
          <w:p w:rsidR="008112A9" w:rsidRPr="002E0C7E" w:rsidRDefault="008112A9" w:rsidP="00C80C4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T</w:t>
            </w:r>
          </w:p>
          <w:p w:rsidR="008112A9" w:rsidRPr="002E0C7E" w:rsidRDefault="008112A9" w:rsidP="00C80C4E">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W</w:t>
            </w:r>
          </w:p>
          <w:p w:rsidR="008112A9" w:rsidRPr="002E0C7E" w:rsidRDefault="008112A9" w:rsidP="00C80C4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T</w:t>
            </w:r>
          </w:p>
          <w:p w:rsidR="008112A9" w:rsidRPr="002E0C7E" w:rsidRDefault="008112A9" w:rsidP="00C80C4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F</w:t>
            </w:r>
          </w:p>
          <w:p w:rsidR="008112A9" w:rsidRPr="002E0C7E" w:rsidRDefault="008112A9" w:rsidP="00C80C4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S</w:t>
            </w:r>
          </w:p>
          <w:p w:rsidR="008112A9" w:rsidRPr="002E0C7E" w:rsidRDefault="008112A9" w:rsidP="00C80C4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S</w:t>
            </w:r>
          </w:p>
          <w:p w:rsidR="008112A9" w:rsidRPr="002E0C7E" w:rsidRDefault="008112A9" w:rsidP="00C80C4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M</w:t>
            </w:r>
          </w:p>
          <w:p w:rsidR="008112A9" w:rsidRPr="002E0C7E" w:rsidRDefault="008112A9" w:rsidP="00C80C4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T</w:t>
            </w:r>
          </w:p>
          <w:p w:rsidR="008112A9" w:rsidRPr="002E0C7E" w:rsidRDefault="008112A9" w:rsidP="00C80C4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W</w:t>
            </w:r>
          </w:p>
          <w:p w:rsidR="008112A9" w:rsidRPr="002E0C7E" w:rsidRDefault="008112A9" w:rsidP="00C80C4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T</w:t>
            </w:r>
          </w:p>
          <w:p w:rsidR="008112A9" w:rsidRPr="002E0C7E" w:rsidRDefault="008112A9" w:rsidP="00C80C4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F</w:t>
            </w:r>
          </w:p>
          <w:p w:rsidR="008112A9" w:rsidRPr="002E0C7E" w:rsidRDefault="008112A9" w:rsidP="00C80C4E">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S</w:t>
            </w:r>
          </w:p>
          <w:p w:rsidR="008112A9" w:rsidRPr="002E0C7E" w:rsidRDefault="008112A9" w:rsidP="00C80C4E">
            <w:pPr>
              <w:widowControl w:val="0"/>
              <w:jc w:val="center"/>
              <w:rPr>
                <w:rFonts w:ascii="Arial" w:hAnsi="Arial"/>
                <w:sz w:val="14"/>
              </w:rPr>
            </w:pPr>
            <w:r w:rsidRPr="002E0C7E">
              <w:rPr>
                <w:rFonts w:ascii="Arial" w:hAnsi="Arial"/>
                <w:sz w:val="14"/>
              </w:rPr>
              <w:t>S</w:t>
            </w:r>
          </w:p>
        </w:tc>
      </w:tr>
      <w:tr w:rsidR="008112A9" w:rsidRPr="002E0C7E" w:rsidTr="00C80C4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C80C4E">
            <w:pPr>
              <w:widowControl w:val="0"/>
              <w:jc w:val="center"/>
              <w:rPr>
                <w:rFonts w:ascii="Arial" w:hAnsi="Arial"/>
                <w:b/>
                <w:sz w:val="14"/>
              </w:rPr>
            </w:pPr>
          </w:p>
          <w:p w:rsidR="008112A9" w:rsidRPr="002E0C7E" w:rsidRDefault="008112A9" w:rsidP="00C80C4E">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C80C4E">
            <w:pPr>
              <w:widowControl w:val="0"/>
              <w:jc w:val="center"/>
              <w:rPr>
                <w:rFonts w:ascii="Arial" w:hAnsi="Arial"/>
                <w:b/>
                <w:sz w:val="14"/>
              </w:rPr>
            </w:pPr>
          </w:p>
          <w:p w:rsidR="008112A9" w:rsidRPr="002E0C7E" w:rsidRDefault="008112A9" w:rsidP="00C80C4E">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C80C4E">
            <w:pPr>
              <w:widowControl w:val="0"/>
              <w:jc w:val="center"/>
              <w:rPr>
                <w:rFonts w:ascii="Arial" w:hAnsi="Arial"/>
                <w:b/>
                <w:sz w:val="14"/>
              </w:rPr>
            </w:pPr>
            <w:r w:rsidRPr="004F066E">
              <w:rPr>
                <w:rFonts w:ascii="Arial" w:hAnsi="Arial"/>
                <w:b/>
                <w:sz w:val="14"/>
              </w:rPr>
              <w:t>H</w:t>
            </w:r>
          </w:p>
          <w:p w:rsidR="008112A9" w:rsidRPr="002E0C7E" w:rsidRDefault="008112A9" w:rsidP="00C80C4E">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7</w:t>
            </w:r>
          </w:p>
        </w:tc>
      </w:tr>
      <w:tr w:rsidR="008112A9" w:rsidRPr="002E0C7E" w:rsidTr="00C80C4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C80C4E">
            <w:pPr>
              <w:widowControl w:val="0"/>
              <w:jc w:val="center"/>
              <w:rPr>
                <w:rFonts w:ascii="Arial" w:hAnsi="Arial"/>
                <w:b/>
                <w:sz w:val="14"/>
              </w:rPr>
            </w:pPr>
            <w:r>
              <w:rPr>
                <w:rFonts w:ascii="Arial" w:hAnsi="Arial"/>
                <w:b/>
                <w:sz w:val="14"/>
              </w:rPr>
              <w:t>M</w:t>
            </w:r>
          </w:p>
          <w:p w:rsidR="008112A9" w:rsidRPr="002E0C7E" w:rsidRDefault="008112A9" w:rsidP="00C80C4E">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14</w:t>
            </w:r>
          </w:p>
        </w:tc>
      </w:tr>
      <w:tr w:rsidR="008112A9" w:rsidRPr="002E0C7E" w:rsidTr="00C80C4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C80C4E">
            <w:pPr>
              <w:widowControl w:val="0"/>
              <w:jc w:val="center"/>
              <w:rPr>
                <w:rFonts w:ascii="Arial" w:hAnsi="Arial"/>
                <w:b/>
                <w:sz w:val="14"/>
              </w:rPr>
            </w:pPr>
            <w:r>
              <w:rPr>
                <w:rFonts w:ascii="Arial" w:hAnsi="Arial"/>
                <w:b/>
                <w:sz w:val="14"/>
              </w:rPr>
              <w:t>M</w:t>
            </w: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C80C4E">
            <w:pPr>
              <w:widowControl w:val="0"/>
              <w:jc w:val="center"/>
              <w:rPr>
                <w:rFonts w:ascii="Arial" w:hAnsi="Arial"/>
                <w:b/>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C80C4E">
            <w:pPr>
              <w:widowControl w:val="0"/>
              <w:jc w:val="center"/>
              <w:rPr>
                <w:rFonts w:ascii="Arial" w:hAnsi="Arial"/>
                <w:b/>
                <w:sz w:val="14"/>
              </w:rPr>
            </w:pPr>
            <w:r w:rsidRPr="009900C5">
              <w:rPr>
                <w:rFonts w:ascii="Arial" w:hAnsi="Arial"/>
                <w:b/>
                <w:sz w:val="14"/>
              </w:rPr>
              <w:t>M</w:t>
            </w: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C80C4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C80C4E">
            <w:pPr>
              <w:widowControl w:val="0"/>
              <w:jc w:val="center"/>
              <w:rPr>
                <w:rFonts w:ascii="Arial" w:hAnsi="Arial"/>
                <w:b/>
                <w:sz w:val="14"/>
              </w:rPr>
            </w:pPr>
          </w:p>
          <w:p w:rsidR="008112A9" w:rsidRPr="002E0C7E" w:rsidRDefault="008112A9" w:rsidP="00C80C4E">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C80C4E">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C80C4E">
            <w:pPr>
              <w:widowControl w:val="0"/>
              <w:jc w:val="center"/>
              <w:rPr>
                <w:rFonts w:ascii="Arial" w:hAnsi="Arial"/>
                <w:b/>
                <w:sz w:val="14"/>
              </w:rPr>
            </w:pPr>
          </w:p>
          <w:p w:rsidR="008112A9" w:rsidRPr="002E0C7E" w:rsidRDefault="008112A9" w:rsidP="00C80C4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C80C4E">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80C4E">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C80C4E">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80C4E">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C80C4E">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80C4E">
            <w:pPr>
              <w:widowControl w:val="0"/>
              <w:jc w:val="center"/>
              <w:rPr>
                <w:rFonts w:ascii="Arial" w:hAnsi="Arial"/>
                <w:sz w:val="14"/>
              </w:rPr>
            </w:pPr>
            <w:r w:rsidRPr="002E0C7E">
              <w:rPr>
                <w:rFonts w:ascii="Arial" w:hAnsi="Arial"/>
                <w:b/>
                <w:sz w:val="14"/>
              </w:rPr>
              <w:t>JUNE - JUIN</w:t>
            </w:r>
          </w:p>
        </w:tc>
      </w:tr>
      <w:tr w:rsidR="008112A9" w:rsidRPr="002E0C7E" w:rsidTr="00C80C4E">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S</w:t>
            </w:r>
          </w:p>
          <w:p w:rsidR="008112A9" w:rsidRPr="002E0C7E" w:rsidRDefault="008112A9" w:rsidP="00C80C4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M</w:t>
            </w:r>
          </w:p>
          <w:p w:rsidR="008112A9" w:rsidRPr="002E0C7E" w:rsidRDefault="008112A9" w:rsidP="00C80C4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T</w:t>
            </w:r>
          </w:p>
          <w:p w:rsidR="008112A9" w:rsidRPr="002E0C7E" w:rsidRDefault="008112A9" w:rsidP="00C80C4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W</w:t>
            </w:r>
          </w:p>
          <w:p w:rsidR="008112A9" w:rsidRPr="002E0C7E" w:rsidRDefault="008112A9" w:rsidP="00C80C4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T</w:t>
            </w:r>
          </w:p>
          <w:p w:rsidR="008112A9" w:rsidRPr="002E0C7E" w:rsidRDefault="008112A9" w:rsidP="00C80C4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F</w:t>
            </w:r>
          </w:p>
          <w:p w:rsidR="008112A9" w:rsidRPr="002E0C7E" w:rsidRDefault="008112A9" w:rsidP="00C80C4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S</w:t>
            </w:r>
          </w:p>
          <w:p w:rsidR="008112A9" w:rsidRPr="002E0C7E" w:rsidRDefault="008112A9" w:rsidP="00C80C4E">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S</w:t>
            </w:r>
          </w:p>
          <w:p w:rsidR="008112A9" w:rsidRPr="002E0C7E" w:rsidRDefault="008112A9" w:rsidP="00C80C4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M</w:t>
            </w:r>
          </w:p>
          <w:p w:rsidR="008112A9" w:rsidRPr="002E0C7E" w:rsidRDefault="008112A9" w:rsidP="00C80C4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T</w:t>
            </w:r>
          </w:p>
          <w:p w:rsidR="008112A9" w:rsidRPr="002E0C7E" w:rsidRDefault="008112A9" w:rsidP="00C80C4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W</w:t>
            </w:r>
          </w:p>
          <w:p w:rsidR="008112A9" w:rsidRPr="002E0C7E" w:rsidRDefault="008112A9" w:rsidP="00C80C4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T</w:t>
            </w:r>
          </w:p>
          <w:p w:rsidR="008112A9" w:rsidRPr="002E0C7E" w:rsidRDefault="008112A9" w:rsidP="00C80C4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F</w:t>
            </w:r>
          </w:p>
          <w:p w:rsidR="008112A9" w:rsidRPr="002E0C7E" w:rsidRDefault="008112A9" w:rsidP="00C80C4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S</w:t>
            </w:r>
          </w:p>
          <w:p w:rsidR="008112A9" w:rsidRPr="002E0C7E" w:rsidRDefault="008112A9" w:rsidP="00C80C4E">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S</w:t>
            </w:r>
          </w:p>
          <w:p w:rsidR="008112A9" w:rsidRPr="002E0C7E" w:rsidRDefault="008112A9" w:rsidP="00C80C4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M</w:t>
            </w:r>
          </w:p>
          <w:p w:rsidR="008112A9" w:rsidRPr="002E0C7E" w:rsidRDefault="008112A9" w:rsidP="00C80C4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T</w:t>
            </w:r>
          </w:p>
          <w:p w:rsidR="008112A9" w:rsidRPr="002E0C7E" w:rsidRDefault="008112A9" w:rsidP="00C80C4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W</w:t>
            </w:r>
          </w:p>
          <w:p w:rsidR="008112A9" w:rsidRPr="002E0C7E" w:rsidRDefault="008112A9" w:rsidP="00C80C4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T</w:t>
            </w:r>
          </w:p>
          <w:p w:rsidR="008112A9" w:rsidRPr="002E0C7E" w:rsidRDefault="008112A9" w:rsidP="00C80C4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sidRPr="002E0C7E">
              <w:rPr>
                <w:rFonts w:ascii="Arial" w:hAnsi="Arial"/>
                <w:sz w:val="14"/>
              </w:rPr>
              <w:t>F</w:t>
            </w:r>
          </w:p>
          <w:p w:rsidR="008112A9" w:rsidRPr="002E0C7E" w:rsidRDefault="008112A9" w:rsidP="00C80C4E">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r>
              <w:rPr>
                <w:rFonts w:ascii="Arial" w:hAnsi="Arial"/>
                <w:sz w:val="14"/>
              </w:rPr>
              <w:t>S</w:t>
            </w:r>
          </w:p>
          <w:p w:rsidR="008112A9" w:rsidRPr="002E0C7E" w:rsidRDefault="008112A9" w:rsidP="00C80C4E">
            <w:pPr>
              <w:widowControl w:val="0"/>
              <w:jc w:val="center"/>
              <w:rPr>
                <w:rFonts w:ascii="Arial" w:hAnsi="Arial"/>
                <w:sz w:val="14"/>
              </w:rPr>
            </w:pPr>
            <w:r>
              <w:rPr>
                <w:rFonts w:ascii="Arial" w:hAnsi="Arial"/>
                <w:sz w:val="14"/>
              </w:rPr>
              <w:t>S</w:t>
            </w:r>
          </w:p>
        </w:tc>
      </w:tr>
      <w:tr w:rsidR="008112A9" w:rsidRPr="002E0C7E" w:rsidTr="00C80C4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C80C4E">
            <w:pPr>
              <w:widowControl w:val="0"/>
              <w:jc w:val="center"/>
              <w:rPr>
                <w:rFonts w:ascii="Arial" w:hAnsi="Arial"/>
                <w:b/>
                <w:sz w:val="14"/>
              </w:rPr>
            </w:pPr>
            <w:r>
              <w:rPr>
                <w:rFonts w:ascii="Arial" w:hAnsi="Arial"/>
                <w:b/>
                <w:sz w:val="14"/>
              </w:rPr>
              <w:t>H</w:t>
            </w:r>
          </w:p>
          <w:p w:rsidR="008112A9" w:rsidRPr="002E0C7E" w:rsidRDefault="008112A9" w:rsidP="00C80C4E">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b/>
                <w:sz w:val="14"/>
              </w:rPr>
            </w:pPr>
          </w:p>
          <w:p w:rsidR="008112A9" w:rsidRPr="002E0C7E" w:rsidRDefault="008112A9" w:rsidP="00C80C4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6</w:t>
            </w:r>
          </w:p>
        </w:tc>
      </w:tr>
      <w:tr w:rsidR="008112A9" w:rsidRPr="002E0C7E" w:rsidTr="00C80C4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C80C4E">
            <w:pPr>
              <w:widowControl w:val="0"/>
              <w:jc w:val="center"/>
              <w:rPr>
                <w:rFonts w:ascii="Arial" w:hAnsi="Arial"/>
                <w:b/>
                <w:sz w:val="14"/>
              </w:rPr>
            </w:pPr>
            <w:r>
              <w:rPr>
                <w:rFonts w:ascii="Arial" w:hAnsi="Arial"/>
                <w:b/>
                <w:sz w:val="14"/>
              </w:rPr>
              <w:t>H</w:t>
            </w:r>
          </w:p>
          <w:p w:rsidR="008112A9" w:rsidRPr="002E0C7E" w:rsidRDefault="008112A9" w:rsidP="00C80C4E">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C80C4E">
            <w:pPr>
              <w:widowControl w:val="0"/>
              <w:jc w:val="center"/>
              <w:rPr>
                <w:rFonts w:ascii="Arial" w:hAnsi="Arial"/>
                <w:b/>
                <w:sz w:val="14"/>
              </w:rPr>
            </w:pPr>
            <w:r>
              <w:rPr>
                <w:rFonts w:ascii="Arial" w:hAnsi="Arial"/>
                <w:b/>
                <w:sz w:val="14"/>
              </w:rPr>
              <w:t>M</w:t>
            </w:r>
          </w:p>
          <w:p w:rsidR="008112A9" w:rsidRPr="002E0C7E" w:rsidRDefault="008112A9" w:rsidP="00C80C4E">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13</w:t>
            </w:r>
          </w:p>
        </w:tc>
      </w:tr>
      <w:tr w:rsidR="008112A9" w:rsidRPr="002E0C7E" w:rsidTr="00C80C4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C80C4E">
            <w:pPr>
              <w:widowControl w:val="0"/>
              <w:jc w:val="center"/>
              <w:rPr>
                <w:rFonts w:ascii="Arial" w:hAnsi="Arial"/>
                <w:b/>
                <w:sz w:val="14"/>
              </w:rPr>
            </w:pPr>
            <w:r>
              <w:rPr>
                <w:rFonts w:ascii="Arial" w:hAnsi="Arial"/>
                <w:b/>
                <w:sz w:val="14"/>
              </w:rPr>
              <w:t>M</w:t>
            </w: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C80C4E">
            <w:pPr>
              <w:widowControl w:val="0"/>
              <w:jc w:val="center"/>
              <w:rPr>
                <w:rFonts w:ascii="Arial" w:hAnsi="Arial"/>
                <w:b/>
                <w:sz w:val="14"/>
              </w:rPr>
            </w:pPr>
          </w:p>
          <w:p w:rsidR="008112A9" w:rsidRPr="002E0C7E" w:rsidRDefault="008112A9" w:rsidP="00C80C4E">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C80C4E">
            <w:pPr>
              <w:widowControl w:val="0"/>
              <w:jc w:val="center"/>
              <w:rPr>
                <w:rFonts w:ascii="Arial" w:hAnsi="Arial"/>
                <w:b/>
                <w:sz w:val="14"/>
              </w:rPr>
            </w:pPr>
            <w:r w:rsidRPr="002453E3">
              <w:rPr>
                <w:rFonts w:ascii="Arial" w:hAnsi="Arial"/>
                <w:b/>
                <w:sz w:val="14"/>
              </w:rPr>
              <w:t>M</w:t>
            </w: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20</w:t>
            </w:r>
          </w:p>
        </w:tc>
      </w:tr>
      <w:tr w:rsidR="008112A9" w:rsidRPr="002E0C7E" w:rsidTr="00C80C4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C80C4E">
            <w:pPr>
              <w:widowControl w:val="0"/>
              <w:jc w:val="center"/>
              <w:rPr>
                <w:rFonts w:ascii="Arial" w:hAnsi="Arial"/>
                <w:b/>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C80C4E">
            <w:pPr>
              <w:widowControl w:val="0"/>
              <w:jc w:val="center"/>
              <w:rPr>
                <w:rFonts w:ascii="Arial" w:hAnsi="Arial"/>
                <w:b/>
                <w:sz w:val="14"/>
              </w:rPr>
            </w:pPr>
            <w:r>
              <w:rPr>
                <w:rFonts w:ascii="Arial" w:hAnsi="Arial"/>
                <w:b/>
                <w:sz w:val="14"/>
              </w:rPr>
              <w:t>H</w:t>
            </w:r>
          </w:p>
          <w:p w:rsidR="008112A9" w:rsidRPr="002E0C7E" w:rsidRDefault="008112A9" w:rsidP="00C80C4E">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C80C4E">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C80C4E">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C80C4E">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80C4E">
            <w:pPr>
              <w:widowControl w:val="0"/>
              <w:jc w:val="center"/>
              <w:rPr>
                <w:rFonts w:ascii="Arial" w:hAnsi="Arial"/>
                <w:sz w:val="14"/>
              </w:rPr>
            </w:pPr>
          </w:p>
          <w:p w:rsidR="008112A9" w:rsidRPr="002E0C7E" w:rsidRDefault="008112A9" w:rsidP="00C80C4E">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C80C4E">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C80C4E">
            <w:pPr>
              <w:widowControl w:val="0"/>
              <w:rPr>
                <w:rFonts w:ascii="Arial" w:hAnsi="Arial"/>
                <w:sz w:val="16"/>
              </w:rPr>
            </w:pPr>
            <w:r w:rsidRPr="002E0C7E">
              <w:rPr>
                <w:rFonts w:ascii="Arial" w:hAnsi="Arial"/>
                <w:sz w:val="16"/>
              </w:rPr>
              <w:t>Sittings of the court:</w:t>
            </w:r>
          </w:p>
          <w:p w:rsidR="008112A9" w:rsidRPr="002E0C7E" w:rsidRDefault="008112A9" w:rsidP="00C80C4E">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C80C4E">
            <w:pPr>
              <w:widowControl w:val="0"/>
              <w:rPr>
                <w:rFonts w:ascii="Arial" w:hAnsi="Arial"/>
                <w:sz w:val="16"/>
              </w:rPr>
            </w:pPr>
          </w:p>
          <w:p w:rsidR="008112A9" w:rsidRPr="002E0C7E" w:rsidRDefault="008112A9" w:rsidP="00C80C4E">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C80C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C80C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C80C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C80C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C80C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C80C4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C80C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C80C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C80C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C80C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C80C4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C80C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C80C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C80C4E">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C80C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114"/>
      <w:footerReference w:type="default" r:id="rId115"/>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C83" w:rsidRDefault="00DC2C83" w:rsidP="00A87207">
      <w:r>
        <w:separator/>
      </w:r>
    </w:p>
  </w:endnote>
  <w:endnote w:type="continuationSeparator" w:id="0">
    <w:p w:rsidR="00DC2C83" w:rsidRDefault="00DC2C8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DC2C8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690162">
    <w:pPr>
      <w:pStyle w:val="Footer"/>
      <w:rPr>
        <w:lang w:val="fr-CA"/>
      </w:rPr>
    </w:pPr>
    <w:r>
      <w:rPr>
        <w:lang w:val="fr-CA"/>
      </w:rPr>
      <w:pict>
        <v:rect id="_x0000_i1077" style="width:480.95pt;height:1pt" o:hralign="center" o:hrstd="t" o:hrnoshade="t" o:hr="t" fillcolor="black [3213]" stroked="f"/>
      </w:pict>
    </w:r>
  </w:p>
  <w:p w:rsidR="00DC2C83" w:rsidRDefault="00DC2C83" w:rsidP="00245129">
    <w:pPr>
      <w:tabs>
        <w:tab w:val="center" w:pos="4680"/>
      </w:tabs>
    </w:pPr>
    <w:r>
      <w:tab/>
    </w:r>
    <w:r w:rsidRPr="0009648D">
      <w:t xml:space="preserve">- </w:t>
    </w:r>
    <w:r w:rsidR="00690162">
      <w:fldChar w:fldCharType="begin"/>
    </w:r>
    <w:r w:rsidR="00690162">
      <w:instrText xml:space="preserve"> PAGE   \* MERGEFORMAT </w:instrText>
    </w:r>
    <w:r w:rsidR="00690162">
      <w:fldChar w:fldCharType="separate"/>
    </w:r>
    <w:r w:rsidR="00690162">
      <w:rPr>
        <w:noProof/>
      </w:rPr>
      <w:t>1808</w:t>
    </w:r>
    <w:r w:rsidR="00690162">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DC2C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2C83" w:rsidRDefault="00DC2C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2C83" w:rsidRDefault="00DC2C83">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690162" w:rsidP="00755F22">
    <w:pPr>
      <w:tabs>
        <w:tab w:val="left" w:pos="-1440"/>
        <w:tab w:val="left" w:pos="-720"/>
      </w:tabs>
    </w:pPr>
    <w:r>
      <w:pict>
        <v:rect id="_x0000_i1084" style="width:480.95pt;height:1pt" o:hralign="center" o:hrstd="t" o:hrnoshade="t" o:hr="t" fillcolor="black [3213]" stroked="f"/>
      </w:pict>
    </w:r>
  </w:p>
  <w:p w:rsidR="00DC2C83" w:rsidRDefault="00DC2C83" w:rsidP="00EB2B90">
    <w:pPr>
      <w:tabs>
        <w:tab w:val="center" w:pos="4680"/>
      </w:tabs>
    </w:pPr>
    <w:r>
      <w:tab/>
      <w:t xml:space="preserve">- </w:t>
    </w:r>
    <w:r w:rsidR="00690162">
      <w:fldChar w:fldCharType="begin"/>
    </w:r>
    <w:r w:rsidR="00690162">
      <w:instrText xml:space="preserve"> PAGE   \* MERGEFORMAT </w:instrText>
    </w:r>
    <w:r w:rsidR="00690162">
      <w:fldChar w:fldCharType="separate"/>
    </w:r>
    <w:r w:rsidR="00690162">
      <w:rPr>
        <w:noProof/>
      </w:rPr>
      <w:t>1847</w:t>
    </w:r>
    <w:r w:rsidR="00690162">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690162" w:rsidP="00EB2B90">
    <w:pPr>
      <w:tabs>
        <w:tab w:val="center" w:pos="4680"/>
      </w:tabs>
    </w:pPr>
    <w:r>
      <w:pict>
        <v:rect id="_x0000_i1085" style="width:480.95pt;height:1pt" o:hralign="center" o:hrstd="t" o:hrnoshade="t" o:hr="t" fillcolor="black [3213]" stroked="f"/>
      </w:pict>
    </w:r>
  </w:p>
  <w:p w:rsidR="00DC2C83" w:rsidRPr="0031432F" w:rsidRDefault="00DC2C83" w:rsidP="00EB2B90">
    <w:pPr>
      <w:tabs>
        <w:tab w:val="center" w:pos="4680"/>
      </w:tabs>
    </w:pPr>
    <w:r>
      <w:tab/>
      <w:t xml:space="preserve">- </w:t>
    </w:r>
    <w:r w:rsidR="00690162">
      <w:fldChar w:fldCharType="begin"/>
    </w:r>
    <w:r w:rsidR="00690162">
      <w:instrText xml:space="preserve"> PAGE   \* MERGEFORMAT </w:instrText>
    </w:r>
    <w:r w:rsidR="00690162">
      <w:fldChar w:fldCharType="separate"/>
    </w:r>
    <w:r w:rsidR="00690162">
      <w:rPr>
        <w:noProof/>
      </w:rPr>
      <w:t>1840</w:t>
    </w:r>
    <w:r w:rsidR="00690162">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DC2C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2C83" w:rsidRDefault="00DC2C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2C83" w:rsidRDefault="00DC2C83">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690162" w:rsidP="00732DB7">
    <w:r>
      <w:pict>
        <v:rect id="_x0000_i1089" style="width:480.95pt;height:1pt" o:hralign="center" o:hrstd="t" o:hrnoshade="t" o:hr="t" fillcolor="black" stroked="f"/>
      </w:pict>
    </w:r>
  </w:p>
  <w:p w:rsidR="00DC2C83" w:rsidRDefault="00DC2C83">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690162">
    <w:pPr>
      <w:pStyle w:val="Footer"/>
    </w:pPr>
    <w:r>
      <w:pict>
        <v:rect id="_x0000_i1090" style="width:480.95pt;height:1pt" o:hralign="center" o:hrstd="t" o:hrnoshade="t" o:hr="t" fillcolor="black" stroked="f"/>
      </w:pict>
    </w:r>
  </w:p>
  <w:p w:rsidR="00DC2C83" w:rsidRPr="00283C52" w:rsidRDefault="00DC2C83">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DC2C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2C83" w:rsidRDefault="00DC2C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2C83" w:rsidRDefault="00DC2C83">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690162" w:rsidP="00732DB7">
    <w:r>
      <w:pict>
        <v:rect id="_x0000_i1092" style="width:480.95pt;height:1pt" o:hralign="center" o:hrstd="t" o:hrnoshade="t" o:hr="t" fillcolor="black" stroked="f"/>
      </w:pict>
    </w:r>
  </w:p>
  <w:p w:rsidR="00DC2C83" w:rsidRDefault="00DC2C83">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690162">
    <w:pPr>
      <w:pStyle w:val="Footer"/>
    </w:pPr>
    <w:r>
      <w:pict>
        <v:rect id="_x0000_i1093" style="width:480.95pt;height:1pt" o:hralign="center" o:hrstd="t" o:hrnoshade="t" o:hr="t" fillcolor="black [3213]" stroked="f"/>
      </w:pict>
    </w:r>
  </w:p>
  <w:p w:rsidR="00DC2C83" w:rsidRPr="003C2C0F" w:rsidRDefault="00DC2C83" w:rsidP="00697C62">
    <w:pPr>
      <w:tabs>
        <w:tab w:val="center" w:pos="4680"/>
      </w:tabs>
    </w:pPr>
    <w:r>
      <w:tab/>
      <w:t xml:space="preserve">- </w:t>
    </w:r>
    <w:r w:rsidR="00690162">
      <w:fldChar w:fldCharType="begin"/>
    </w:r>
    <w:r w:rsidR="00690162">
      <w:instrText xml:space="preserve"> PAGE   \* MERGEFORMAT </w:instrText>
    </w:r>
    <w:r w:rsidR="00690162">
      <w:fldChar w:fldCharType="separate"/>
    </w:r>
    <w:r w:rsidR="00690162">
      <w:rPr>
        <w:noProof/>
      </w:rPr>
      <w:t>1851</w:t>
    </w:r>
    <w:r w:rsidR="00690162">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DC2C83">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DC2C8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DC2C83" w:rsidRDefault="00DC2C8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DC2C83" w:rsidRDefault="00DC2C83">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690162" w:rsidP="0022323B">
    <w:r>
      <w:pict>
        <v:rect id="_x0000_i1096" style="width:480.95pt;height:1pt" o:hralign="center" o:hrstd="t" o:hrnoshade="t" o:hr="t" fillcolor="black [3213]" stroked="f"/>
      </w:pict>
    </w:r>
  </w:p>
  <w:p w:rsidR="00DC2C83" w:rsidRDefault="00DC2C83">
    <w:pPr>
      <w:tabs>
        <w:tab w:val="center" w:pos="4740"/>
      </w:tabs>
      <w:spacing w:line="0" w:lineRule="atLeast"/>
    </w:pPr>
    <w:r>
      <w:tab/>
      <w:t xml:space="preserve">- </w:t>
    </w:r>
    <w:r w:rsidR="00690162">
      <w:fldChar w:fldCharType="begin"/>
    </w:r>
    <w:r w:rsidR="00690162">
      <w:instrText xml:space="preserve"> PAGE   \* MERGEFORMAT </w:instrText>
    </w:r>
    <w:r w:rsidR="00690162">
      <w:fldChar w:fldCharType="separate"/>
    </w:r>
    <w:r>
      <w:rPr>
        <w:noProof/>
      </w:rPr>
      <w:t>1842</w:t>
    </w:r>
    <w:r w:rsidR="00690162">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690162" w:rsidP="0022323B">
    <w:r>
      <w:pict>
        <v:rect id="_x0000_i1097" style="width:480.95pt;height:1pt" o:hralign="center" o:hrstd="t" o:hrnoshade="t" o:hr="t" fillcolor="black [3213]" stroked="f"/>
      </w:pict>
    </w:r>
  </w:p>
  <w:p w:rsidR="00DC2C83" w:rsidRDefault="00DC2C83" w:rsidP="0022323B">
    <w:pPr>
      <w:tabs>
        <w:tab w:val="center" w:pos="4740"/>
      </w:tabs>
      <w:spacing w:line="0" w:lineRule="atLeast"/>
    </w:pPr>
    <w:r>
      <w:tab/>
      <w:t xml:space="preserve">- </w:t>
    </w:r>
    <w:r w:rsidR="00690162">
      <w:fldChar w:fldCharType="begin"/>
    </w:r>
    <w:r w:rsidR="00690162">
      <w:instrText xml:space="preserve"> PAGE   \* MERGEFORMAT </w:instrText>
    </w:r>
    <w:r w:rsidR="00690162">
      <w:fldChar w:fldCharType="separate"/>
    </w:r>
    <w:r w:rsidR="00690162">
      <w:rPr>
        <w:noProof/>
      </w:rPr>
      <w:t>1852</w:t>
    </w:r>
    <w:r w:rsidR="00690162">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690162" w:rsidP="0022323B">
    <w:r>
      <w:pict>
        <v:rect id="_x0000_i1122" style="width:480.95pt;height:1pt" o:hralign="center" o:hrstd="t" o:hrnoshade="t" o:hr="t" fillcolor="black [3213]" stroked="f"/>
      </w:pict>
    </w:r>
  </w:p>
  <w:p w:rsidR="00DC2C83" w:rsidRDefault="00DC2C83">
    <w:pPr>
      <w:tabs>
        <w:tab w:val="center" w:pos="4740"/>
      </w:tabs>
      <w:spacing w:line="0" w:lineRule="atLeast"/>
    </w:pPr>
    <w:r>
      <w:tab/>
      <w:t xml:space="preserve">- </w:t>
    </w:r>
    <w:r w:rsidR="00690162">
      <w:fldChar w:fldCharType="begin"/>
    </w:r>
    <w:r w:rsidR="00690162">
      <w:instrText xml:space="preserve"> PAGE   \* MERGEFORMAT </w:instrText>
    </w:r>
    <w:r w:rsidR="00690162">
      <w:fldChar w:fldCharType="separate"/>
    </w:r>
    <w:r w:rsidR="00690162">
      <w:rPr>
        <w:noProof/>
      </w:rPr>
      <w:t>1876</w:t>
    </w:r>
    <w:r w:rsidR="00690162">
      <w:rPr>
        <w:noProof/>
      </w:rPr>
      <w:fldChar w:fldCharType="end"/>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690162" w:rsidP="0022323B">
    <w:r>
      <w:pict>
        <v:rect id="_x0000_i1123" style="width:480.95pt;height:1pt" o:hralign="center" o:hrstd="t" o:hrnoshade="t" o:hr="t" fillcolor="black [3213]" stroked="f"/>
      </w:pict>
    </w:r>
  </w:p>
  <w:p w:rsidR="00DC2C83" w:rsidRDefault="00DC2C83" w:rsidP="0022323B">
    <w:pPr>
      <w:tabs>
        <w:tab w:val="center" w:pos="4740"/>
      </w:tabs>
      <w:spacing w:line="0" w:lineRule="atLeast"/>
    </w:pPr>
    <w:r>
      <w:tab/>
      <w:t xml:space="preserve">- </w:t>
    </w:r>
    <w:r w:rsidR="00690162">
      <w:fldChar w:fldCharType="begin"/>
    </w:r>
    <w:r w:rsidR="00690162">
      <w:instrText xml:space="preserve"> PAGE   \* MERGEFORMAT </w:instrText>
    </w:r>
    <w:r w:rsidR="00690162">
      <w:fldChar w:fldCharType="separate"/>
    </w:r>
    <w:r w:rsidR="00690162">
      <w:rPr>
        <w:noProof/>
      </w:rPr>
      <w:t>1853</w:t>
    </w:r>
    <w:r w:rsidR="00690162">
      <w:rPr>
        <w:noProof/>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Pr="00924065" w:rsidRDefault="00DC2C83"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DC2C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690162" w:rsidP="00A87207">
    <w:pPr>
      <w:pStyle w:val="Footer"/>
    </w:pPr>
    <w:r>
      <w:pict>
        <v:rect id="_x0000_i1039" style="width:480.95pt;height:1pt" o:hralign="center" o:hrstd="t" o:hrnoshade="t" o:hr="t" fillcolor="black [3213]" stroked="f"/>
      </w:pict>
    </w:r>
  </w:p>
  <w:p w:rsidR="00DC2C83" w:rsidRPr="00B7374B" w:rsidRDefault="00DC2C83" w:rsidP="00B7374B">
    <w:pPr>
      <w:tabs>
        <w:tab w:val="center" w:pos="4680"/>
      </w:tabs>
      <w:rPr>
        <w:szCs w:val="24"/>
      </w:rPr>
    </w:pPr>
    <w:r w:rsidRPr="00954D22">
      <w:rPr>
        <w:szCs w:val="24"/>
      </w:rPr>
      <w:tab/>
      <w:t xml:space="preserve">- </w:t>
    </w:r>
    <w:r w:rsidR="00D921D7" w:rsidRPr="00954D22">
      <w:rPr>
        <w:szCs w:val="24"/>
      </w:rPr>
      <w:fldChar w:fldCharType="begin"/>
    </w:r>
    <w:r w:rsidRPr="00954D22">
      <w:rPr>
        <w:szCs w:val="24"/>
      </w:rPr>
      <w:instrText xml:space="preserve"> PAGE   \* MERGEFORMAT </w:instrText>
    </w:r>
    <w:r w:rsidR="00D921D7" w:rsidRPr="00954D22">
      <w:rPr>
        <w:szCs w:val="24"/>
      </w:rPr>
      <w:fldChar w:fldCharType="separate"/>
    </w:r>
    <w:r w:rsidR="00690162">
      <w:rPr>
        <w:noProof/>
        <w:szCs w:val="24"/>
      </w:rPr>
      <w:t>1806</w:t>
    </w:r>
    <w:r w:rsidR="00D921D7"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690162" w:rsidP="00755F22">
    <w:pPr>
      <w:tabs>
        <w:tab w:val="left" w:pos="-1440"/>
        <w:tab w:val="left" w:pos="-720"/>
      </w:tabs>
    </w:pPr>
    <w:r>
      <w:pict>
        <v:rect id="_x0000_i1040" style="width:480.95pt;height:1pt" o:hralign="center" o:hrstd="t" o:hrnoshade="t" o:hr="t" fillcolor="black [3213]" stroked="f"/>
      </w:pict>
    </w:r>
  </w:p>
  <w:p w:rsidR="00DC2C83" w:rsidRPr="00954D22" w:rsidRDefault="00DC2C83" w:rsidP="00B7374B">
    <w:pPr>
      <w:tabs>
        <w:tab w:val="center" w:pos="4680"/>
      </w:tabs>
      <w:rPr>
        <w:szCs w:val="24"/>
      </w:rPr>
    </w:pPr>
    <w:r w:rsidRPr="00954D22">
      <w:rPr>
        <w:szCs w:val="24"/>
      </w:rPr>
      <w:tab/>
      <w:t xml:space="preserve">- </w:t>
    </w:r>
    <w:r w:rsidR="00D921D7">
      <w:rPr>
        <w:szCs w:val="24"/>
      </w:rPr>
      <w:fldChar w:fldCharType="begin"/>
    </w:r>
    <w:r>
      <w:rPr>
        <w:szCs w:val="24"/>
      </w:rPr>
      <w:instrText xml:space="preserve"> PAGE   \* MERGEFORMAT </w:instrText>
    </w:r>
    <w:r w:rsidR="00D921D7">
      <w:rPr>
        <w:szCs w:val="24"/>
      </w:rPr>
      <w:fldChar w:fldCharType="separate"/>
    </w:r>
    <w:r w:rsidR="00690162">
      <w:rPr>
        <w:noProof/>
        <w:szCs w:val="24"/>
      </w:rPr>
      <w:t>1805</w:t>
    </w:r>
    <w:r w:rsidR="00D921D7">
      <w:rPr>
        <w:szCs w:val="24"/>
      </w:rPr>
      <w:fldChar w:fldCharType="end"/>
    </w:r>
    <w:r w:rsidRPr="00954D22">
      <w:rPr>
        <w:szCs w:val="24"/>
      </w:rPr>
      <w:t xml:space="preserve"> -</w:t>
    </w:r>
  </w:p>
  <w:p w:rsidR="00DC2C83" w:rsidRDefault="00DC2C8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690162" w:rsidP="00A87207">
    <w:pPr>
      <w:pStyle w:val="Footer"/>
    </w:pPr>
    <w:r>
      <w:pict>
        <v:rect id="_x0000_i1042" style="width:480.95pt;height:1pt" o:hralign="center" o:hrstd="t" o:hrnoshade="t" o:hr="t" fillcolor="black [3213]" stroked="f"/>
      </w:pict>
    </w:r>
  </w:p>
  <w:p w:rsidR="00DC2C83" w:rsidRPr="00B7374B" w:rsidRDefault="00DC2C83" w:rsidP="00B7374B">
    <w:pPr>
      <w:tabs>
        <w:tab w:val="center" w:pos="4680"/>
      </w:tabs>
      <w:rPr>
        <w:szCs w:val="24"/>
      </w:rPr>
    </w:pPr>
    <w:r w:rsidRPr="00954D22">
      <w:rPr>
        <w:szCs w:val="24"/>
      </w:rPr>
      <w:tab/>
      <w:t xml:space="preserve">- </w:t>
    </w:r>
    <w:r w:rsidR="00D921D7" w:rsidRPr="00954D22">
      <w:rPr>
        <w:szCs w:val="24"/>
      </w:rPr>
      <w:fldChar w:fldCharType="begin"/>
    </w:r>
    <w:r w:rsidRPr="00954D22">
      <w:rPr>
        <w:szCs w:val="24"/>
      </w:rPr>
      <w:instrText xml:space="preserve"> PAGE   \* MERGEFORMAT </w:instrText>
    </w:r>
    <w:r w:rsidR="00D921D7" w:rsidRPr="00954D22">
      <w:rPr>
        <w:szCs w:val="24"/>
      </w:rPr>
      <w:fldChar w:fldCharType="separate"/>
    </w:r>
    <w:r>
      <w:rPr>
        <w:noProof/>
        <w:szCs w:val="24"/>
      </w:rPr>
      <w:t>1808</w:t>
    </w:r>
    <w:r w:rsidR="00D921D7"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69016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DC2C83" w:rsidRPr="00954D22" w:rsidRDefault="00DC2C83" w:rsidP="00B7374B">
    <w:pPr>
      <w:tabs>
        <w:tab w:val="center" w:pos="4680"/>
      </w:tabs>
      <w:rPr>
        <w:szCs w:val="24"/>
      </w:rPr>
    </w:pPr>
    <w:r w:rsidRPr="00954D22">
      <w:rPr>
        <w:szCs w:val="24"/>
      </w:rPr>
      <w:tab/>
      <w:t xml:space="preserve">- </w:t>
    </w:r>
    <w:r w:rsidR="00D921D7" w:rsidRPr="00954D22">
      <w:rPr>
        <w:szCs w:val="24"/>
      </w:rPr>
      <w:fldChar w:fldCharType="begin"/>
    </w:r>
    <w:r w:rsidRPr="00954D22">
      <w:rPr>
        <w:szCs w:val="24"/>
      </w:rPr>
      <w:instrText xml:space="preserve"> PAGE   \* MERGEFORMAT </w:instrText>
    </w:r>
    <w:r w:rsidR="00D921D7" w:rsidRPr="00954D22">
      <w:rPr>
        <w:szCs w:val="24"/>
      </w:rPr>
      <w:fldChar w:fldCharType="separate"/>
    </w:r>
    <w:r w:rsidR="00690162">
      <w:rPr>
        <w:noProof/>
        <w:szCs w:val="24"/>
      </w:rPr>
      <w:t>1807</w:t>
    </w:r>
    <w:r w:rsidR="00D921D7"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DC2C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C2C83" w:rsidRDefault="00DC2C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2C83" w:rsidRDefault="00DC2C83">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6901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6" style="width:480.95pt;height:1pt" o:hralign="center" o:hrstd="t" o:hrnoshade="t" o:hr="t" fillcolor="black [3213]" stroked="f"/>
      </w:pict>
    </w:r>
  </w:p>
  <w:p w:rsidR="00DC2C83" w:rsidRPr="0009648D" w:rsidRDefault="00DC2C83" w:rsidP="00ED7E83">
    <w:pPr>
      <w:tabs>
        <w:tab w:val="center" w:pos="4680"/>
      </w:tabs>
    </w:pPr>
    <w:r>
      <w:tab/>
    </w:r>
    <w:r w:rsidRPr="0009648D">
      <w:t xml:space="preserve">- </w:t>
    </w:r>
    <w:r w:rsidR="00690162">
      <w:fldChar w:fldCharType="begin"/>
    </w:r>
    <w:r w:rsidR="00690162">
      <w:instrText xml:space="preserve"> PAGE   \* MERGEFORMAT </w:instrText>
    </w:r>
    <w:r w:rsidR="00690162">
      <w:fldChar w:fldCharType="separate"/>
    </w:r>
    <w:r w:rsidR="00690162">
      <w:rPr>
        <w:noProof/>
      </w:rPr>
      <w:t>1839</w:t>
    </w:r>
    <w:r w:rsidR="00690162">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C83" w:rsidRDefault="00DC2C83" w:rsidP="00A87207">
      <w:r>
        <w:separator/>
      </w:r>
    </w:p>
  </w:footnote>
  <w:footnote w:type="continuationSeparator" w:id="0">
    <w:p w:rsidR="00DC2C83" w:rsidRDefault="00DC2C8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DC2C8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DC2C8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C2C83">
      <w:tc>
        <w:tcPr>
          <w:tcW w:w="4230" w:type="dxa"/>
          <w:tcMar>
            <w:left w:w="0" w:type="dxa"/>
            <w:right w:w="0" w:type="dxa"/>
          </w:tcMar>
        </w:tcPr>
        <w:p w:rsidR="00DC2C83" w:rsidRDefault="00DC2C8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C2C83" w:rsidRDefault="00DC2C8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C2C83" w:rsidRDefault="00DC2C8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C2C83">
      <w:trPr>
        <w:gridAfter w:val="2"/>
        <w:wAfter w:w="5250" w:type="dxa"/>
      </w:trPr>
      <w:tc>
        <w:tcPr>
          <w:tcW w:w="4230" w:type="dxa"/>
          <w:tcMar>
            <w:left w:w="0" w:type="dxa"/>
            <w:right w:w="0" w:type="dxa"/>
          </w:tcMar>
        </w:tcPr>
        <w:p w:rsidR="00DC2C83" w:rsidRDefault="00DC2C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C2C83" w:rsidRDefault="00DC2C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C2C83" w:rsidRPr="00755F22" w:rsidTr="00245129">
      <w:tc>
        <w:tcPr>
          <w:tcW w:w="4230" w:type="dxa"/>
          <w:tcMar>
            <w:left w:w="0" w:type="dxa"/>
            <w:right w:w="0" w:type="dxa"/>
          </w:tcMar>
        </w:tcPr>
        <w:p w:rsidR="00DC2C83" w:rsidRPr="00755F22" w:rsidRDefault="00DC2C83" w:rsidP="00831CA9">
          <w:pPr>
            <w:keepNext/>
            <w:keepLines/>
            <w:rPr>
              <w:sz w:val="20"/>
              <w:szCs w:val="20"/>
            </w:rPr>
          </w:pPr>
          <w:r w:rsidRPr="00755F22">
            <w:rPr>
              <w:sz w:val="20"/>
              <w:szCs w:val="20"/>
            </w:rPr>
            <w:t>MOTIONS</w:t>
          </w:r>
        </w:p>
      </w:tc>
      <w:tc>
        <w:tcPr>
          <w:tcW w:w="1170" w:type="dxa"/>
          <w:tcMar>
            <w:left w:w="0" w:type="dxa"/>
            <w:right w:w="0" w:type="dxa"/>
          </w:tcMar>
        </w:tcPr>
        <w:p w:rsidR="00DC2C83" w:rsidRPr="00755F22" w:rsidRDefault="00DC2C83" w:rsidP="00831CA9">
          <w:pPr>
            <w:keepLines/>
            <w:jc w:val="center"/>
            <w:rPr>
              <w:sz w:val="20"/>
              <w:szCs w:val="20"/>
            </w:rPr>
          </w:pPr>
        </w:p>
        <w:p w:rsidR="00DC2C83" w:rsidRPr="00755F22" w:rsidRDefault="00DC2C83" w:rsidP="00831CA9">
          <w:pPr>
            <w:keepLines/>
            <w:tabs>
              <w:tab w:val="left" w:pos="-1440"/>
              <w:tab w:val="left" w:pos="-720"/>
            </w:tabs>
            <w:jc w:val="center"/>
            <w:rPr>
              <w:sz w:val="20"/>
              <w:szCs w:val="20"/>
            </w:rPr>
          </w:pPr>
        </w:p>
      </w:tc>
      <w:tc>
        <w:tcPr>
          <w:tcW w:w="4080" w:type="dxa"/>
          <w:tcMar>
            <w:left w:w="0" w:type="dxa"/>
            <w:right w:w="0" w:type="dxa"/>
          </w:tcMar>
        </w:tcPr>
        <w:p w:rsidR="00DC2C83" w:rsidRPr="00BA6468" w:rsidRDefault="00DC2C83" w:rsidP="00BA6468">
          <w:pPr>
            <w:keepLines/>
            <w:rPr>
              <w:sz w:val="20"/>
              <w:szCs w:val="20"/>
              <w:lang w:val="fr-CA"/>
            </w:rPr>
          </w:pPr>
          <w:r w:rsidRPr="00BA6468">
            <w:rPr>
              <w:sz w:val="20"/>
              <w:szCs w:val="20"/>
              <w:lang w:val="fr-CA"/>
            </w:rPr>
            <w:t>REQUÊTES</w:t>
          </w:r>
        </w:p>
      </w:tc>
    </w:tr>
  </w:tbl>
  <w:p w:rsidR="00DC2C83" w:rsidRDefault="00DC2C83"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DC2C8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2C83" w:rsidRPr="00AD7991">
      <w:tc>
        <w:tcPr>
          <w:tcW w:w="4200" w:type="dxa"/>
          <w:tcMar>
            <w:left w:w="0" w:type="dxa"/>
            <w:right w:w="0" w:type="dxa"/>
          </w:tcMar>
        </w:tcPr>
        <w:p w:rsidR="00DC2C83" w:rsidRDefault="00DC2C8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DC2C83" w:rsidRDefault="00DC2C8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C2C83" w:rsidRPr="00283C52" w:rsidRDefault="00DC2C8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DC2C83" w:rsidRPr="00283C52" w:rsidRDefault="00DC2C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C2C83" w:rsidRPr="00283C52" w:rsidRDefault="00DC2C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2C83" w:rsidRPr="00AD7991" w:rsidTr="00245129">
      <w:tc>
        <w:tcPr>
          <w:tcW w:w="4200" w:type="dxa"/>
          <w:tcMar>
            <w:left w:w="0" w:type="dxa"/>
            <w:right w:w="0" w:type="dxa"/>
          </w:tcMar>
        </w:tcPr>
        <w:p w:rsidR="00DC2C83" w:rsidRPr="00732DB7" w:rsidRDefault="00DC2C83"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DC2C83" w:rsidRPr="00732DB7" w:rsidRDefault="00DC2C83" w:rsidP="00732DB7">
          <w:pPr>
            <w:keepNext/>
            <w:keepLines/>
            <w:tabs>
              <w:tab w:val="left" w:pos="-1440"/>
              <w:tab w:val="left" w:pos="-720"/>
            </w:tabs>
            <w:jc w:val="center"/>
            <w:rPr>
              <w:sz w:val="20"/>
              <w:szCs w:val="20"/>
            </w:rPr>
          </w:pPr>
        </w:p>
        <w:p w:rsidR="00DC2C83" w:rsidRPr="00732DB7" w:rsidRDefault="00DC2C83" w:rsidP="00732DB7">
          <w:pPr>
            <w:keepNext/>
            <w:keepLines/>
            <w:tabs>
              <w:tab w:val="left" w:pos="-1440"/>
              <w:tab w:val="left" w:pos="-720"/>
            </w:tabs>
            <w:jc w:val="center"/>
            <w:rPr>
              <w:sz w:val="20"/>
              <w:szCs w:val="20"/>
            </w:rPr>
          </w:pPr>
        </w:p>
        <w:p w:rsidR="00DC2C83" w:rsidRPr="00732DB7" w:rsidRDefault="00DC2C83" w:rsidP="00732DB7">
          <w:pPr>
            <w:keepNext/>
            <w:keepLines/>
            <w:tabs>
              <w:tab w:val="left" w:pos="-1440"/>
              <w:tab w:val="left" w:pos="-720"/>
            </w:tabs>
            <w:jc w:val="center"/>
            <w:rPr>
              <w:sz w:val="20"/>
              <w:szCs w:val="20"/>
            </w:rPr>
          </w:pPr>
        </w:p>
      </w:tc>
      <w:tc>
        <w:tcPr>
          <w:tcW w:w="4080" w:type="dxa"/>
          <w:tcMar>
            <w:left w:w="0" w:type="dxa"/>
            <w:right w:w="0" w:type="dxa"/>
          </w:tcMar>
        </w:tcPr>
        <w:p w:rsidR="00DC2C83" w:rsidRPr="00732DB7" w:rsidRDefault="00DC2C83"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DC2C83" w:rsidRPr="00283C52" w:rsidRDefault="00DC2C83"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DC2C8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2C83" w:rsidRPr="00AD7991">
      <w:tc>
        <w:tcPr>
          <w:tcW w:w="4200" w:type="dxa"/>
          <w:tcMar>
            <w:left w:w="0" w:type="dxa"/>
            <w:right w:w="0" w:type="dxa"/>
          </w:tcMar>
        </w:tcPr>
        <w:p w:rsidR="00DC2C83" w:rsidRDefault="00DC2C8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DC2C83" w:rsidRDefault="00DC2C8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DC2C83" w:rsidRDefault="00DC2C8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DC2C83" w:rsidRPr="003C2C0F" w:rsidRDefault="00DC2C8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DC2C83" w:rsidRPr="003C2C0F" w:rsidRDefault="00DC2C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DC2C83" w:rsidRPr="003C2C0F" w:rsidRDefault="00DC2C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2C83" w:rsidRPr="00AD7991" w:rsidTr="00245129">
      <w:tc>
        <w:tcPr>
          <w:tcW w:w="4200" w:type="dxa"/>
          <w:tcMar>
            <w:left w:w="0" w:type="dxa"/>
            <w:right w:w="0" w:type="dxa"/>
          </w:tcMar>
        </w:tcPr>
        <w:p w:rsidR="00DC2C83" w:rsidRPr="00FF6EEC" w:rsidRDefault="00DC2C83" w:rsidP="00FF6EEC">
          <w:pPr>
            <w:rPr>
              <w:sz w:val="20"/>
              <w:szCs w:val="20"/>
            </w:rPr>
          </w:pPr>
          <w:r w:rsidRPr="00FF6EEC">
            <w:rPr>
              <w:sz w:val="20"/>
              <w:szCs w:val="20"/>
            </w:rPr>
            <w:t>PRONOUNCEMENTS OF APPEALS RESERVED</w:t>
          </w:r>
        </w:p>
      </w:tc>
      <w:tc>
        <w:tcPr>
          <w:tcW w:w="1200" w:type="dxa"/>
          <w:tcMar>
            <w:left w:w="0" w:type="dxa"/>
            <w:right w:w="0" w:type="dxa"/>
          </w:tcMar>
        </w:tcPr>
        <w:p w:rsidR="00DC2C83" w:rsidRPr="00FF6EEC" w:rsidRDefault="00DC2C83" w:rsidP="00FF6EEC">
          <w:pPr>
            <w:jc w:val="center"/>
            <w:rPr>
              <w:sz w:val="20"/>
              <w:szCs w:val="20"/>
            </w:rPr>
          </w:pPr>
        </w:p>
        <w:p w:rsidR="00DC2C83" w:rsidRPr="00FF6EEC" w:rsidRDefault="00DC2C83" w:rsidP="00FF6EEC">
          <w:pPr>
            <w:jc w:val="center"/>
            <w:rPr>
              <w:sz w:val="20"/>
              <w:szCs w:val="20"/>
            </w:rPr>
          </w:pPr>
        </w:p>
        <w:p w:rsidR="00DC2C83" w:rsidRPr="00FF6EEC" w:rsidRDefault="00DC2C83" w:rsidP="00FF6EEC">
          <w:pPr>
            <w:jc w:val="center"/>
            <w:rPr>
              <w:sz w:val="20"/>
              <w:szCs w:val="20"/>
            </w:rPr>
          </w:pPr>
        </w:p>
      </w:tc>
      <w:tc>
        <w:tcPr>
          <w:tcW w:w="4080" w:type="dxa"/>
          <w:tcMar>
            <w:left w:w="0" w:type="dxa"/>
            <w:right w:w="0" w:type="dxa"/>
          </w:tcMar>
        </w:tcPr>
        <w:p w:rsidR="00DC2C83" w:rsidRPr="00FF6EEC" w:rsidRDefault="00DC2C83" w:rsidP="00FF6EEC">
          <w:pPr>
            <w:rPr>
              <w:sz w:val="20"/>
              <w:szCs w:val="20"/>
              <w:lang w:val="fr-CA"/>
            </w:rPr>
          </w:pPr>
          <w:r w:rsidRPr="00FF6EEC">
            <w:rPr>
              <w:sz w:val="20"/>
              <w:szCs w:val="20"/>
              <w:lang w:val="fr-CA"/>
            </w:rPr>
            <w:t>JUGEMENTS RENDUS SUR LES APPELS EN DÉLIBÉRÉ</w:t>
          </w:r>
        </w:p>
      </w:tc>
    </w:tr>
  </w:tbl>
  <w:p w:rsidR="00DC2C83" w:rsidRPr="003C2C0F" w:rsidRDefault="00DC2C83"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DC2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DC2C8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2C83">
      <w:tc>
        <w:tcPr>
          <w:tcW w:w="4200" w:type="dxa"/>
          <w:tcMar>
            <w:left w:w="0" w:type="dxa"/>
            <w:right w:w="0" w:type="dxa"/>
          </w:tcMar>
        </w:tcPr>
        <w:p w:rsidR="00DC2C83" w:rsidRDefault="00DC2C8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DC2C83" w:rsidRDefault="00DC2C8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DC2C83" w:rsidRDefault="00DC2C8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DC2C83" w:rsidRDefault="00DC2C83">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DC2C83" w:rsidRDefault="00DC2C8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DC2C83" w:rsidRDefault="00DC2C8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2C83" w:rsidRPr="00C50A5C" w:rsidTr="00245129">
      <w:tc>
        <w:tcPr>
          <w:tcW w:w="4200" w:type="dxa"/>
          <w:tcMar>
            <w:left w:w="0" w:type="dxa"/>
            <w:right w:w="0" w:type="dxa"/>
          </w:tcMar>
        </w:tcPr>
        <w:p w:rsidR="00DC2C83" w:rsidRPr="00C50A5C" w:rsidRDefault="00DC2C83"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DC2C83" w:rsidRPr="00C50A5C" w:rsidRDefault="00DC2C83"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DC2C83" w:rsidRPr="00C50A5C" w:rsidRDefault="00DC2C83"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DC2C83" w:rsidRPr="00C50A5C" w:rsidRDefault="00DC2C83"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DC2C83" w:rsidRDefault="00DC2C83"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DC2C8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2C83" w:rsidRPr="005F263E" w:rsidTr="00245129">
      <w:tc>
        <w:tcPr>
          <w:tcW w:w="4200" w:type="dxa"/>
          <w:tcMar>
            <w:left w:w="0" w:type="dxa"/>
            <w:right w:w="0" w:type="dxa"/>
          </w:tcMar>
        </w:tcPr>
        <w:p w:rsidR="00DC2C83" w:rsidRPr="005F263E" w:rsidRDefault="00DC2C83"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DC2C83" w:rsidRPr="005F263E" w:rsidRDefault="00DC2C83" w:rsidP="00245129">
          <w:pPr>
            <w:keepNext/>
            <w:keepLines/>
            <w:tabs>
              <w:tab w:val="left" w:pos="-1440"/>
              <w:tab w:val="left" w:pos="-720"/>
            </w:tabs>
            <w:jc w:val="center"/>
            <w:rPr>
              <w:sz w:val="20"/>
              <w:szCs w:val="20"/>
            </w:rPr>
          </w:pPr>
        </w:p>
        <w:p w:rsidR="00DC2C83" w:rsidRPr="005F263E" w:rsidRDefault="00DC2C83" w:rsidP="00245129">
          <w:pPr>
            <w:keepNext/>
            <w:keepLines/>
            <w:tabs>
              <w:tab w:val="left" w:pos="-1440"/>
              <w:tab w:val="left" w:pos="-720"/>
            </w:tabs>
            <w:jc w:val="center"/>
            <w:rPr>
              <w:sz w:val="20"/>
              <w:szCs w:val="20"/>
            </w:rPr>
          </w:pPr>
        </w:p>
      </w:tc>
      <w:tc>
        <w:tcPr>
          <w:tcW w:w="4080" w:type="dxa"/>
          <w:tcMar>
            <w:left w:w="0" w:type="dxa"/>
            <w:right w:w="0" w:type="dxa"/>
          </w:tcMar>
        </w:tcPr>
        <w:p w:rsidR="00DC2C83" w:rsidRPr="005F263E" w:rsidRDefault="00DC2C83" w:rsidP="00245129">
          <w:pPr>
            <w:keepLines/>
            <w:tabs>
              <w:tab w:val="left" w:pos="-1440"/>
              <w:tab w:val="left" w:pos="-720"/>
            </w:tabs>
            <w:rPr>
              <w:sz w:val="20"/>
              <w:szCs w:val="20"/>
            </w:rPr>
          </w:pPr>
          <w:r w:rsidRPr="005F263E">
            <w:rPr>
              <w:sz w:val="20"/>
              <w:szCs w:val="20"/>
            </w:rPr>
            <w:t>RÉSUMÉS DES AFFAIRES</w:t>
          </w:r>
        </w:p>
      </w:tc>
    </w:tr>
  </w:tbl>
  <w:p w:rsidR="00DC2C83" w:rsidRDefault="00DC2C83" w:rsidP="005F263E"/>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DC2C83">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DC2C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DC2C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DC2C83" w:rsidRPr="0044776A" w:rsidTr="00245129">
      <w:tc>
        <w:tcPr>
          <w:tcW w:w="4290" w:type="dxa"/>
          <w:tcMar>
            <w:left w:w="0" w:type="dxa"/>
            <w:right w:w="0" w:type="dxa"/>
          </w:tcMar>
        </w:tcPr>
        <w:p w:rsidR="00DC2C83" w:rsidRPr="0044776A" w:rsidRDefault="00DC2C83"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C2C83" w:rsidRPr="0044776A" w:rsidRDefault="00DC2C83" w:rsidP="002E2327">
          <w:pPr>
            <w:keepNext/>
            <w:keepLines/>
            <w:tabs>
              <w:tab w:val="left" w:pos="-1440"/>
              <w:tab w:val="left" w:pos="-720"/>
            </w:tabs>
            <w:jc w:val="center"/>
            <w:rPr>
              <w:sz w:val="20"/>
              <w:szCs w:val="20"/>
            </w:rPr>
          </w:pPr>
        </w:p>
        <w:p w:rsidR="00DC2C83" w:rsidRPr="0044776A" w:rsidRDefault="00DC2C83" w:rsidP="002E2327">
          <w:pPr>
            <w:keepNext/>
            <w:keepLines/>
            <w:tabs>
              <w:tab w:val="left" w:pos="-1440"/>
              <w:tab w:val="left" w:pos="-720"/>
            </w:tabs>
            <w:jc w:val="center"/>
            <w:rPr>
              <w:sz w:val="20"/>
              <w:szCs w:val="20"/>
            </w:rPr>
          </w:pPr>
        </w:p>
        <w:p w:rsidR="00DC2C83" w:rsidRPr="0044776A" w:rsidRDefault="00DC2C83" w:rsidP="002E2327">
          <w:pPr>
            <w:keepNext/>
            <w:keepLines/>
            <w:tabs>
              <w:tab w:val="left" w:pos="-1440"/>
              <w:tab w:val="left" w:pos="-720"/>
            </w:tabs>
            <w:jc w:val="center"/>
            <w:rPr>
              <w:sz w:val="20"/>
              <w:szCs w:val="20"/>
            </w:rPr>
          </w:pPr>
        </w:p>
      </w:tc>
      <w:tc>
        <w:tcPr>
          <w:tcW w:w="4320" w:type="dxa"/>
          <w:tcMar>
            <w:left w:w="0" w:type="dxa"/>
            <w:right w:w="0" w:type="dxa"/>
          </w:tcMar>
        </w:tcPr>
        <w:p w:rsidR="00DC2C83" w:rsidRPr="0044776A" w:rsidRDefault="00DC2C83" w:rsidP="002E2327">
          <w:pPr>
            <w:keepLines/>
            <w:rPr>
              <w:sz w:val="20"/>
              <w:szCs w:val="20"/>
              <w:lang w:val="fr-CA"/>
            </w:rPr>
          </w:pPr>
          <w:r w:rsidRPr="0044776A">
            <w:rPr>
              <w:sz w:val="20"/>
              <w:szCs w:val="20"/>
              <w:lang w:val="fr-CA"/>
            </w:rPr>
            <w:t>DEMANDES D'AUTORISATION D'APPEL DÉPOSÉES</w:t>
          </w:r>
        </w:p>
      </w:tc>
    </w:tr>
  </w:tbl>
  <w:p w:rsidR="00DC2C83" w:rsidRDefault="00DC2C8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DC2C8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2C83" w:rsidRPr="00AD7991" w:rsidTr="00245129">
      <w:tc>
        <w:tcPr>
          <w:tcW w:w="4200" w:type="dxa"/>
          <w:tcMar>
            <w:left w:w="0" w:type="dxa"/>
            <w:right w:w="0" w:type="dxa"/>
          </w:tcMar>
        </w:tcPr>
        <w:p w:rsidR="00DC2C83" w:rsidRPr="0044776A" w:rsidRDefault="00DC2C83" w:rsidP="0044776A">
          <w:pPr>
            <w:keepNext/>
            <w:keepLines/>
            <w:widowControl w:val="0"/>
            <w:rPr>
              <w:sz w:val="20"/>
              <w:szCs w:val="20"/>
            </w:rPr>
          </w:pPr>
          <w:r>
            <w:rPr>
              <w:sz w:val="20"/>
              <w:szCs w:val="20"/>
            </w:rPr>
            <w:t>APPLICATIONS FOR LEAVE</w:t>
          </w:r>
        </w:p>
        <w:p w:rsidR="00DC2C83" w:rsidRPr="0044776A" w:rsidRDefault="00DC2C8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C2C83" w:rsidRPr="0044776A" w:rsidRDefault="00DC2C83" w:rsidP="0044776A">
          <w:pPr>
            <w:keepNext/>
            <w:keepLines/>
            <w:widowControl w:val="0"/>
            <w:jc w:val="center"/>
            <w:rPr>
              <w:sz w:val="20"/>
              <w:szCs w:val="20"/>
            </w:rPr>
          </w:pPr>
        </w:p>
        <w:p w:rsidR="00DC2C83" w:rsidRPr="0044776A" w:rsidRDefault="00DC2C83" w:rsidP="0044776A">
          <w:pPr>
            <w:keepNext/>
            <w:keepLines/>
            <w:widowControl w:val="0"/>
            <w:jc w:val="center"/>
            <w:rPr>
              <w:sz w:val="20"/>
              <w:szCs w:val="20"/>
            </w:rPr>
          </w:pPr>
        </w:p>
        <w:p w:rsidR="00DC2C83" w:rsidRPr="0044776A" w:rsidRDefault="00DC2C83" w:rsidP="0044776A">
          <w:pPr>
            <w:keepNext/>
            <w:keepLines/>
            <w:widowControl w:val="0"/>
            <w:jc w:val="center"/>
            <w:rPr>
              <w:sz w:val="20"/>
              <w:szCs w:val="20"/>
            </w:rPr>
          </w:pPr>
        </w:p>
      </w:tc>
      <w:tc>
        <w:tcPr>
          <w:tcW w:w="4080" w:type="dxa"/>
          <w:tcMar>
            <w:left w:w="0" w:type="dxa"/>
            <w:right w:w="0" w:type="dxa"/>
          </w:tcMar>
        </w:tcPr>
        <w:p w:rsidR="00DC2C83" w:rsidRPr="0044776A" w:rsidRDefault="00DC2C83" w:rsidP="0044776A">
          <w:pPr>
            <w:keepLines/>
            <w:widowControl w:val="0"/>
            <w:rPr>
              <w:sz w:val="20"/>
              <w:szCs w:val="20"/>
              <w:lang w:val="fr-CA"/>
            </w:rPr>
          </w:pPr>
          <w:r w:rsidRPr="0044776A">
            <w:rPr>
              <w:sz w:val="20"/>
              <w:szCs w:val="20"/>
              <w:lang w:val="fr-CA"/>
            </w:rPr>
            <w:t>DEMANDES SOUMISES À LA COUR DEPUIS LA DERNIÈRE PARUTION</w:t>
          </w:r>
        </w:p>
        <w:p w:rsidR="00DC2C83" w:rsidRPr="0044776A" w:rsidRDefault="00DC2C83" w:rsidP="0044776A">
          <w:pPr>
            <w:widowControl w:val="0"/>
            <w:rPr>
              <w:sz w:val="20"/>
              <w:szCs w:val="20"/>
              <w:lang w:val="fr-CA"/>
            </w:rPr>
          </w:pPr>
        </w:p>
      </w:tc>
    </w:tr>
  </w:tbl>
  <w:p w:rsidR="00DC2C83" w:rsidRPr="002E2327" w:rsidRDefault="00DC2C83">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83" w:rsidRDefault="00DC2C8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2C83" w:rsidRPr="00AD7991">
      <w:tc>
        <w:tcPr>
          <w:tcW w:w="4200" w:type="dxa"/>
          <w:tcMar>
            <w:left w:w="0" w:type="dxa"/>
            <w:right w:w="0" w:type="dxa"/>
          </w:tcMar>
        </w:tcPr>
        <w:p w:rsidR="00DC2C83" w:rsidRDefault="00DC2C8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C2C83" w:rsidRDefault="00DC2C8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C2C83" w:rsidRDefault="00DC2C8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C2C83" w:rsidRPr="00FF6BA5" w:rsidRDefault="00DC2C8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C2C83" w:rsidRPr="00FF6BA5" w:rsidRDefault="00DC2C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C2C83" w:rsidRPr="00FF6BA5" w:rsidRDefault="00DC2C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C2C83" w:rsidRPr="00FF6BA5" w:rsidRDefault="00DC2C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2C83" w:rsidRPr="00AD7991" w:rsidTr="00245129">
      <w:tc>
        <w:tcPr>
          <w:tcW w:w="4200" w:type="dxa"/>
          <w:tcMar>
            <w:left w:w="0" w:type="dxa"/>
            <w:right w:w="0" w:type="dxa"/>
          </w:tcMar>
        </w:tcPr>
        <w:p w:rsidR="00DC2C83" w:rsidRPr="00755F22" w:rsidRDefault="00DC2C8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DC2C83" w:rsidRPr="00755F22" w:rsidRDefault="00DC2C8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DC2C83" w:rsidRPr="00755F22" w:rsidRDefault="00DC2C8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C2C83" w:rsidRPr="00755F22" w:rsidRDefault="00DC2C8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C2C83" w:rsidRPr="00755F22" w:rsidRDefault="00DC2C8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C2C83" w:rsidRPr="00755F22" w:rsidRDefault="00DC2C8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DC2C83" w:rsidRPr="00FF6BA5" w:rsidRDefault="00DC2C83"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219"/>
    <w:multiLevelType w:val="hybridMultilevel"/>
    <w:tmpl w:val="176E5CB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15:restartNumberingAfterBreak="0">
    <w:nsid w:val="086A054D"/>
    <w:multiLevelType w:val="hybridMultilevel"/>
    <w:tmpl w:val="6E7AC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E6402"/>
    <w:multiLevelType w:val="hybridMultilevel"/>
    <w:tmpl w:val="176E5CB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307239E5"/>
    <w:multiLevelType w:val="hybridMultilevel"/>
    <w:tmpl w:val="69D47FE0"/>
    <w:lvl w:ilvl="0" w:tplc="3656EF50">
      <w:start w:val="1"/>
      <w:numFmt w:val="decimal"/>
      <w:lvlText w:val="%1."/>
      <w:lvlJc w:val="left"/>
      <w:pPr>
        <w:ind w:left="106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A8F35E7"/>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46BB3EDD"/>
    <w:multiLevelType w:val="hybridMultilevel"/>
    <w:tmpl w:val="622825EE"/>
    <w:lvl w:ilvl="0" w:tplc="3656EF50">
      <w:start w:val="1"/>
      <w:numFmt w:val="decimal"/>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7" w15:restartNumberingAfterBreak="0">
    <w:nsid w:val="50965D8A"/>
    <w:multiLevelType w:val="hybridMultilevel"/>
    <w:tmpl w:val="6E7AC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C80011F"/>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8"/>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2"/>
  </w:num>
  <w:num w:numId="10">
    <w:abstractNumId w:val="6"/>
  </w:num>
  <w:num w:numId="11">
    <w:abstractNumId w:val="3"/>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drawingGridHorizontalSpacing w:val="120"/>
  <w:displayHorizontalDrawingGridEvery w:val="2"/>
  <w:characterSpacingControl w:val="doNotCompress"/>
  <w:hdrShapeDefaults>
    <o:shapedefaults v:ext="edit" spidmax="68625"/>
  </w:hdrShapeDefaults>
  <w:footnotePr>
    <w:footnote w:id="-1"/>
    <w:footnote w:id="0"/>
  </w:footnotePr>
  <w:endnotePr>
    <w:endnote w:id="-1"/>
    <w:endnote w:id="0"/>
  </w:endnotePr>
  <w:compat>
    <w:compatSetting w:name="compatibilityMode" w:uri="http://schemas.microsoft.com/office/word" w:val="12"/>
  </w:compat>
  <w:rsids>
    <w:rsidRoot w:val="00A66355"/>
    <w:rsid w:val="000043C2"/>
    <w:rsid w:val="000279CB"/>
    <w:rsid w:val="0003223B"/>
    <w:rsid w:val="000327B2"/>
    <w:rsid w:val="0004528B"/>
    <w:rsid w:val="000721E5"/>
    <w:rsid w:val="00091FA6"/>
    <w:rsid w:val="00094F1A"/>
    <w:rsid w:val="00096BD9"/>
    <w:rsid w:val="000B11FB"/>
    <w:rsid w:val="000B3C9A"/>
    <w:rsid w:val="000B40A2"/>
    <w:rsid w:val="000B4624"/>
    <w:rsid w:val="000C0ACD"/>
    <w:rsid w:val="000C0D2A"/>
    <w:rsid w:val="000C5CE8"/>
    <w:rsid w:val="000E2959"/>
    <w:rsid w:val="000F0B60"/>
    <w:rsid w:val="00102926"/>
    <w:rsid w:val="0010587F"/>
    <w:rsid w:val="00111C6B"/>
    <w:rsid w:val="0012102B"/>
    <w:rsid w:val="0013369E"/>
    <w:rsid w:val="00135DF1"/>
    <w:rsid w:val="001411FF"/>
    <w:rsid w:val="00164E6D"/>
    <w:rsid w:val="001662A9"/>
    <w:rsid w:val="00183454"/>
    <w:rsid w:val="001B157C"/>
    <w:rsid w:val="001B4006"/>
    <w:rsid w:val="001B5C23"/>
    <w:rsid w:val="001D0D5F"/>
    <w:rsid w:val="001D6B8C"/>
    <w:rsid w:val="001F1F83"/>
    <w:rsid w:val="001F40DF"/>
    <w:rsid w:val="001F4EF2"/>
    <w:rsid w:val="001F6B2D"/>
    <w:rsid w:val="002021A9"/>
    <w:rsid w:val="00210434"/>
    <w:rsid w:val="002139A7"/>
    <w:rsid w:val="00215F7C"/>
    <w:rsid w:val="0022323B"/>
    <w:rsid w:val="00232D10"/>
    <w:rsid w:val="002410B8"/>
    <w:rsid w:val="00242AEE"/>
    <w:rsid w:val="00245129"/>
    <w:rsid w:val="00245879"/>
    <w:rsid w:val="00251DE6"/>
    <w:rsid w:val="00267FD5"/>
    <w:rsid w:val="00274D34"/>
    <w:rsid w:val="00275692"/>
    <w:rsid w:val="00283ED8"/>
    <w:rsid w:val="002868D0"/>
    <w:rsid w:val="0029137F"/>
    <w:rsid w:val="002A008C"/>
    <w:rsid w:val="002A1C6A"/>
    <w:rsid w:val="002A27D1"/>
    <w:rsid w:val="002A4AFA"/>
    <w:rsid w:val="002B3732"/>
    <w:rsid w:val="002B516C"/>
    <w:rsid w:val="002D72EB"/>
    <w:rsid w:val="002E2327"/>
    <w:rsid w:val="002E3583"/>
    <w:rsid w:val="002E5576"/>
    <w:rsid w:val="003022E2"/>
    <w:rsid w:val="00316E66"/>
    <w:rsid w:val="00331B52"/>
    <w:rsid w:val="003359D3"/>
    <w:rsid w:val="00355967"/>
    <w:rsid w:val="003571F7"/>
    <w:rsid w:val="00382C47"/>
    <w:rsid w:val="00384384"/>
    <w:rsid w:val="003866AE"/>
    <w:rsid w:val="003B3977"/>
    <w:rsid w:val="003B3ED7"/>
    <w:rsid w:val="003E1D4C"/>
    <w:rsid w:val="004137A0"/>
    <w:rsid w:val="00422D9A"/>
    <w:rsid w:val="004275A1"/>
    <w:rsid w:val="00432989"/>
    <w:rsid w:val="00440E24"/>
    <w:rsid w:val="0044776A"/>
    <w:rsid w:val="00460AFC"/>
    <w:rsid w:val="0047471F"/>
    <w:rsid w:val="00495EFA"/>
    <w:rsid w:val="004B195E"/>
    <w:rsid w:val="004B1C37"/>
    <w:rsid w:val="004B66B4"/>
    <w:rsid w:val="004B7F60"/>
    <w:rsid w:val="004C1AAC"/>
    <w:rsid w:val="004E1E0A"/>
    <w:rsid w:val="004F090E"/>
    <w:rsid w:val="004F6467"/>
    <w:rsid w:val="00501F3C"/>
    <w:rsid w:val="005026CD"/>
    <w:rsid w:val="00505CE6"/>
    <w:rsid w:val="0052229C"/>
    <w:rsid w:val="00527CC7"/>
    <w:rsid w:val="00571CA4"/>
    <w:rsid w:val="00572437"/>
    <w:rsid w:val="00582136"/>
    <w:rsid w:val="005C6840"/>
    <w:rsid w:val="005F1ED8"/>
    <w:rsid w:val="005F263E"/>
    <w:rsid w:val="005F58EE"/>
    <w:rsid w:val="005F5A7B"/>
    <w:rsid w:val="005F5D47"/>
    <w:rsid w:val="00600252"/>
    <w:rsid w:val="00612A40"/>
    <w:rsid w:val="00614D8D"/>
    <w:rsid w:val="00626536"/>
    <w:rsid w:val="0062714A"/>
    <w:rsid w:val="00650BC1"/>
    <w:rsid w:val="00663A96"/>
    <w:rsid w:val="00675479"/>
    <w:rsid w:val="00680709"/>
    <w:rsid w:val="00690162"/>
    <w:rsid w:val="00696BF9"/>
    <w:rsid w:val="00697C62"/>
    <w:rsid w:val="006A329B"/>
    <w:rsid w:val="006A47CE"/>
    <w:rsid w:val="006A4A3F"/>
    <w:rsid w:val="006A7EB8"/>
    <w:rsid w:val="006B1FB0"/>
    <w:rsid w:val="006B6926"/>
    <w:rsid w:val="006C3F47"/>
    <w:rsid w:val="006C5F7A"/>
    <w:rsid w:val="006E06AF"/>
    <w:rsid w:val="006E2D62"/>
    <w:rsid w:val="006F350F"/>
    <w:rsid w:val="00732DB7"/>
    <w:rsid w:val="0074238B"/>
    <w:rsid w:val="00745EF7"/>
    <w:rsid w:val="00752469"/>
    <w:rsid w:val="00755F22"/>
    <w:rsid w:val="00766E4A"/>
    <w:rsid w:val="007719B3"/>
    <w:rsid w:val="00773A98"/>
    <w:rsid w:val="007820CE"/>
    <w:rsid w:val="00782AE4"/>
    <w:rsid w:val="0079724F"/>
    <w:rsid w:val="007A3EAE"/>
    <w:rsid w:val="007C04FC"/>
    <w:rsid w:val="007C47C2"/>
    <w:rsid w:val="007D3E0F"/>
    <w:rsid w:val="007E4282"/>
    <w:rsid w:val="007F387B"/>
    <w:rsid w:val="00802863"/>
    <w:rsid w:val="008112A9"/>
    <w:rsid w:val="00815B3C"/>
    <w:rsid w:val="00815CC5"/>
    <w:rsid w:val="0081610A"/>
    <w:rsid w:val="0082783A"/>
    <w:rsid w:val="00831CA9"/>
    <w:rsid w:val="00850E1F"/>
    <w:rsid w:val="0085476B"/>
    <w:rsid w:val="0086340B"/>
    <w:rsid w:val="0088737B"/>
    <w:rsid w:val="00890281"/>
    <w:rsid w:val="00890FEB"/>
    <w:rsid w:val="00895E7E"/>
    <w:rsid w:val="008A5C1A"/>
    <w:rsid w:val="008B243F"/>
    <w:rsid w:val="008D292F"/>
    <w:rsid w:val="008D5F3B"/>
    <w:rsid w:val="008E03DC"/>
    <w:rsid w:val="00902E51"/>
    <w:rsid w:val="009118BA"/>
    <w:rsid w:val="00915D6A"/>
    <w:rsid w:val="0092369B"/>
    <w:rsid w:val="00924065"/>
    <w:rsid w:val="00930D68"/>
    <w:rsid w:val="00932DB4"/>
    <w:rsid w:val="00937FE9"/>
    <w:rsid w:val="00941A4B"/>
    <w:rsid w:val="00946242"/>
    <w:rsid w:val="0095096B"/>
    <w:rsid w:val="00970CD3"/>
    <w:rsid w:val="009723FA"/>
    <w:rsid w:val="00984546"/>
    <w:rsid w:val="00996510"/>
    <w:rsid w:val="009C2492"/>
    <w:rsid w:val="009D1F15"/>
    <w:rsid w:val="009D555E"/>
    <w:rsid w:val="009F3024"/>
    <w:rsid w:val="009F39BA"/>
    <w:rsid w:val="00A00D06"/>
    <w:rsid w:val="00A0355E"/>
    <w:rsid w:val="00A14A3D"/>
    <w:rsid w:val="00A23F0F"/>
    <w:rsid w:val="00A36688"/>
    <w:rsid w:val="00A375D1"/>
    <w:rsid w:val="00A51D10"/>
    <w:rsid w:val="00A52A83"/>
    <w:rsid w:val="00A6552C"/>
    <w:rsid w:val="00A66355"/>
    <w:rsid w:val="00A87207"/>
    <w:rsid w:val="00A935AA"/>
    <w:rsid w:val="00A956D3"/>
    <w:rsid w:val="00AB2201"/>
    <w:rsid w:val="00AD1D34"/>
    <w:rsid w:val="00AD3259"/>
    <w:rsid w:val="00AD7991"/>
    <w:rsid w:val="00AE1B6B"/>
    <w:rsid w:val="00AE49EA"/>
    <w:rsid w:val="00AF1715"/>
    <w:rsid w:val="00AF3904"/>
    <w:rsid w:val="00B010C0"/>
    <w:rsid w:val="00B034CF"/>
    <w:rsid w:val="00B4740D"/>
    <w:rsid w:val="00B57EC8"/>
    <w:rsid w:val="00B61629"/>
    <w:rsid w:val="00B70C19"/>
    <w:rsid w:val="00B7374B"/>
    <w:rsid w:val="00B90DC0"/>
    <w:rsid w:val="00BA116A"/>
    <w:rsid w:val="00BA5582"/>
    <w:rsid w:val="00BA6468"/>
    <w:rsid w:val="00BB1D44"/>
    <w:rsid w:val="00BB3A55"/>
    <w:rsid w:val="00BB7FA0"/>
    <w:rsid w:val="00BD06DA"/>
    <w:rsid w:val="00BD4217"/>
    <w:rsid w:val="00BD425D"/>
    <w:rsid w:val="00BD4770"/>
    <w:rsid w:val="00BD4A76"/>
    <w:rsid w:val="00BE316E"/>
    <w:rsid w:val="00BE64AE"/>
    <w:rsid w:val="00BF25F3"/>
    <w:rsid w:val="00BF4F5C"/>
    <w:rsid w:val="00BF71E4"/>
    <w:rsid w:val="00C1697B"/>
    <w:rsid w:val="00C21644"/>
    <w:rsid w:val="00C21CB5"/>
    <w:rsid w:val="00C46376"/>
    <w:rsid w:val="00C50A5C"/>
    <w:rsid w:val="00C50FDF"/>
    <w:rsid w:val="00C63381"/>
    <w:rsid w:val="00C73D06"/>
    <w:rsid w:val="00C73E1B"/>
    <w:rsid w:val="00C759B4"/>
    <w:rsid w:val="00C77713"/>
    <w:rsid w:val="00C80C4E"/>
    <w:rsid w:val="00C85BB7"/>
    <w:rsid w:val="00CA2DEA"/>
    <w:rsid w:val="00CB3520"/>
    <w:rsid w:val="00CB43D5"/>
    <w:rsid w:val="00CC4D84"/>
    <w:rsid w:val="00CE198A"/>
    <w:rsid w:val="00CF08C8"/>
    <w:rsid w:val="00CF582C"/>
    <w:rsid w:val="00D004FC"/>
    <w:rsid w:val="00D51E7E"/>
    <w:rsid w:val="00D54B70"/>
    <w:rsid w:val="00D64901"/>
    <w:rsid w:val="00D76BDF"/>
    <w:rsid w:val="00D862C1"/>
    <w:rsid w:val="00D9208B"/>
    <w:rsid w:val="00D921D7"/>
    <w:rsid w:val="00D93B50"/>
    <w:rsid w:val="00D94028"/>
    <w:rsid w:val="00D94670"/>
    <w:rsid w:val="00DA46F6"/>
    <w:rsid w:val="00DC2C83"/>
    <w:rsid w:val="00DC58EB"/>
    <w:rsid w:val="00DD0B49"/>
    <w:rsid w:val="00DE0502"/>
    <w:rsid w:val="00DE349D"/>
    <w:rsid w:val="00E007F6"/>
    <w:rsid w:val="00E06DFA"/>
    <w:rsid w:val="00E17788"/>
    <w:rsid w:val="00E20A0A"/>
    <w:rsid w:val="00E240C2"/>
    <w:rsid w:val="00E3391B"/>
    <w:rsid w:val="00E356C7"/>
    <w:rsid w:val="00E41A5A"/>
    <w:rsid w:val="00E45FE4"/>
    <w:rsid w:val="00E613E4"/>
    <w:rsid w:val="00E64FA7"/>
    <w:rsid w:val="00E770CB"/>
    <w:rsid w:val="00E903A1"/>
    <w:rsid w:val="00E940EB"/>
    <w:rsid w:val="00E9703F"/>
    <w:rsid w:val="00EB2B90"/>
    <w:rsid w:val="00EB4935"/>
    <w:rsid w:val="00ED7E83"/>
    <w:rsid w:val="00EE091F"/>
    <w:rsid w:val="00EF4B63"/>
    <w:rsid w:val="00F0068D"/>
    <w:rsid w:val="00F0576D"/>
    <w:rsid w:val="00F14E6D"/>
    <w:rsid w:val="00F15EA8"/>
    <w:rsid w:val="00F16C8D"/>
    <w:rsid w:val="00F26C61"/>
    <w:rsid w:val="00F33CCE"/>
    <w:rsid w:val="00F40249"/>
    <w:rsid w:val="00F40916"/>
    <w:rsid w:val="00F526C8"/>
    <w:rsid w:val="00F60F69"/>
    <w:rsid w:val="00F761A3"/>
    <w:rsid w:val="00F768C4"/>
    <w:rsid w:val="00F9272D"/>
    <w:rsid w:val="00F9518C"/>
    <w:rsid w:val="00FA316E"/>
    <w:rsid w:val="00FA59EF"/>
    <w:rsid w:val="00FB19A2"/>
    <w:rsid w:val="00FB2CB4"/>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8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Versus">
    <w:name w:val="SCC.Lsoc.Versus"/>
    <w:basedOn w:val="Normal"/>
    <w:next w:val="Normal"/>
    <w:link w:val="SCCLsocVersusChar"/>
    <w:rsid w:val="00094F1A"/>
    <w:pPr>
      <w:jc w:val="center"/>
    </w:pPr>
    <w:rPr>
      <w:rFonts w:eastAsia="Calibri" w:cs="Times New Roman"/>
      <w:b/>
      <w:szCs w:val="24"/>
    </w:rPr>
  </w:style>
  <w:style w:type="character" w:customStyle="1" w:styleId="SCCLsocVersusChar">
    <w:name w:val="SCC.Lsoc.Versus Char"/>
    <w:basedOn w:val="DefaultParagraphFont"/>
    <w:link w:val="SCCLsocVersus"/>
    <w:rsid w:val="00094F1A"/>
    <w:rPr>
      <w:rFonts w:eastAsia="Calibri" w:cs="Times New Roman"/>
      <w:b/>
      <w:szCs w:val="24"/>
      <w:lang w:val="en-CA"/>
    </w:rPr>
  </w:style>
  <w:style w:type="table" w:customStyle="1" w:styleId="TableGrid2">
    <w:name w:val="Table Grid2"/>
    <w:basedOn w:val="TableNormal"/>
    <w:next w:val="TableGrid"/>
    <w:uiPriority w:val="59"/>
    <w:rsid w:val="00495EFA"/>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6B1FB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6B1FB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on/onca/doc/2014/2014onca111/2014onca111.html" TargetMode="External"/><Relationship Id="rId117" Type="http://schemas.openxmlformats.org/officeDocument/2006/relationships/theme" Target="theme/theme1.xml"/><Relationship Id="rId21" Type="http://schemas.openxmlformats.org/officeDocument/2006/relationships/footer" Target="footer6.xml"/><Relationship Id="rId42" Type="http://schemas.openxmlformats.org/officeDocument/2006/relationships/hyperlink" Target="http://canlii.ca/t/g0bbz" TargetMode="External"/><Relationship Id="rId47" Type="http://schemas.openxmlformats.org/officeDocument/2006/relationships/hyperlink" Target="http://canlii.ca/t/g2kc8" TargetMode="External"/><Relationship Id="rId63" Type="http://schemas.openxmlformats.org/officeDocument/2006/relationships/hyperlink" Target="http://www.canlii.org/en/ca/fct/doc/2013/2013fc363/2013fc363.html" TargetMode="External"/><Relationship Id="rId68" Type="http://schemas.openxmlformats.org/officeDocument/2006/relationships/hyperlink" Target="http://www.canlii.org/fr/qc/qcca/doc/2014/2014qcca1123/2014qcca1123.html" TargetMode="External"/><Relationship Id="rId84" Type="http://schemas.openxmlformats.org/officeDocument/2006/relationships/header" Target="header12.xml"/><Relationship Id="rId89" Type="http://schemas.openxmlformats.org/officeDocument/2006/relationships/hyperlink" Target="http://www.scc-csc.ca/case-dossier/info/sum-som-eng.aspx?cas=35623" TargetMode="External"/><Relationship Id="rId112" Type="http://schemas.openxmlformats.org/officeDocument/2006/relationships/header" Target="header24.xml"/><Relationship Id="rId16" Type="http://schemas.openxmlformats.org/officeDocument/2006/relationships/header" Target="header4.xml"/><Relationship Id="rId107" Type="http://schemas.openxmlformats.org/officeDocument/2006/relationships/footer" Target="footer21.xml"/><Relationship Id="rId11" Type="http://schemas.openxmlformats.org/officeDocument/2006/relationships/header" Target="header2.xml"/><Relationship Id="rId24" Type="http://schemas.openxmlformats.org/officeDocument/2006/relationships/hyperlink" Target="https://www.lexisnexis.com/ca/legal/search/runRemoteLink.do?A=0.4363708365040051&amp;bct=A&amp;service=citation&amp;risb=21_T20085339671&amp;langcountry=CA&amp;linkInfo=F%23CA%23ONCA%23sel1%252012%25year%252012%25decisiondate%252012%25onum%25508%25" TargetMode="External"/><Relationship Id="rId32" Type="http://schemas.openxmlformats.org/officeDocument/2006/relationships/hyperlink" Target="http://www.canlii.org/en/ca/fct/doc/2013/2013fc6/2013fc6.html" TargetMode="External"/><Relationship Id="rId37" Type="http://schemas.openxmlformats.org/officeDocument/2006/relationships/hyperlink" Target="http://canlii.ca/t/g6pfv" TargetMode="External"/><Relationship Id="rId40" Type="http://schemas.openxmlformats.org/officeDocument/2006/relationships/hyperlink" Target="http://www.canlii.org/en/on/onca/doc/2013/2013onca761/2013onca761.html" TargetMode="External"/><Relationship Id="rId45" Type="http://schemas.openxmlformats.org/officeDocument/2006/relationships/hyperlink" Target="http://canlii.ca/t/g6t6d" TargetMode="External"/><Relationship Id="rId53" Type="http://schemas.openxmlformats.org/officeDocument/2006/relationships/hyperlink" Target="http://www.canlii.org/fr/qc/qcca/doc/2014/2014qcca1026/2014qcca1026.html?searchUrlHash=AAAAAQBgQW5uaWUgTWFyY2hldGVycmUgYy4gQ2Fyb2xlIFJvbGxpbiwgTHVjIExhYnJvc3NlIGV0IEbDqWTDqXJhdGlvbiBDb21wYWduaWUgZCdhc3N1cmFuY2UgZHUgQ2FuYWRhAAAAAAE" TargetMode="External"/><Relationship Id="rId58" Type="http://schemas.openxmlformats.org/officeDocument/2006/relationships/hyperlink" Target="http://canlii.ca/t/g6r5h" TargetMode="External"/><Relationship Id="rId66" Type="http://schemas.openxmlformats.org/officeDocument/2006/relationships/hyperlink" Target="http://canlii.ca/t/g71c3" TargetMode="External"/><Relationship Id="rId74" Type="http://schemas.openxmlformats.org/officeDocument/2006/relationships/hyperlink" Target="http://www.canlii.org/en/mb/mbca/doc/2014/2014mbca57/2014mbca57.html" TargetMode="External"/><Relationship Id="rId79" Type="http://schemas.openxmlformats.org/officeDocument/2006/relationships/footer" Target="footer8.xml"/><Relationship Id="rId87" Type="http://schemas.openxmlformats.org/officeDocument/2006/relationships/header" Target="header13.xml"/><Relationship Id="rId102" Type="http://schemas.openxmlformats.org/officeDocument/2006/relationships/header" Target="header19.xml"/><Relationship Id="rId110" Type="http://schemas.openxmlformats.org/officeDocument/2006/relationships/header" Target="header23.xml"/><Relationship Id="rId115" Type="http://schemas.openxmlformats.org/officeDocument/2006/relationships/footer" Target="footer25.xml"/><Relationship Id="rId5" Type="http://schemas.openxmlformats.org/officeDocument/2006/relationships/footnotes" Target="footnotes.xml"/><Relationship Id="rId61" Type="http://schemas.openxmlformats.org/officeDocument/2006/relationships/hyperlink" Target="http://www.canlii.org/en/ca/fct/doc/2013/2013fc363/2013fc363.html" TargetMode="External"/><Relationship Id="rId82" Type="http://schemas.openxmlformats.org/officeDocument/2006/relationships/footer" Target="footer10.xml"/><Relationship Id="rId90" Type="http://schemas.openxmlformats.org/officeDocument/2006/relationships/hyperlink" Target="http://www.scc-csc.ca/case-dossier/info/sum-som-eng.aspx?cas=35664" TargetMode="External"/><Relationship Id="rId95" Type="http://schemas.openxmlformats.org/officeDocument/2006/relationships/footer" Target="footer15.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www.lexisnexis.com/ca/legal/search/runRemoteLink.do?A=0.4363708365040051&amp;bct=A&amp;service=citation&amp;risb=21_T20085339671&amp;langcountry=CA&amp;linkInfo=F%23CA%23ONCA%23sel1%252012%25year%252012%25decisiondate%252012%25onum%25508%25" TargetMode="External"/><Relationship Id="rId30" Type="http://schemas.openxmlformats.org/officeDocument/2006/relationships/hyperlink" Target="http://www.canlii.org/en/ca/fct/doc/2013/2013fc6/2013fc6.html" TargetMode="External"/><Relationship Id="rId35" Type="http://schemas.openxmlformats.org/officeDocument/2006/relationships/hyperlink" Target="http://www.canlii.org/en/on/onsc/doc/2013/2013onsc5016/2013onsc5016.html" TargetMode="External"/><Relationship Id="rId43" Type="http://schemas.openxmlformats.org/officeDocument/2006/relationships/hyperlink" Target="http://canlii.ca/t/g6t6d" TargetMode="External"/><Relationship Id="rId48" Type="http://schemas.openxmlformats.org/officeDocument/2006/relationships/hyperlink" Target="http://canlii.ca/t/fqbxj" TargetMode="External"/><Relationship Id="rId56" Type="http://schemas.openxmlformats.org/officeDocument/2006/relationships/hyperlink" Target="http://canlii.ca/t/g6r5h" TargetMode="External"/><Relationship Id="rId64" Type="http://schemas.openxmlformats.org/officeDocument/2006/relationships/hyperlink" Target="http://www.canlii.org/en/ca/fca/doc/2014/2014fca130/2014fca130.html?searchUrlHash=AAAAAQArR3JhZW1lIE1hbGNvbG0gdi4gVGhlIE1pbmlzdGVyIG9mIEZpc2hlcmllcwAAAAAB" TargetMode="External"/><Relationship Id="rId69" Type="http://schemas.openxmlformats.org/officeDocument/2006/relationships/hyperlink" Target="http://www.canlii.org/en/on/onsc/doc/2012/2012onsc2300/2012onsc2300.html?searchUrlHash=AAAAAQAOMjAxMiBPTlNDIDIzMDAAAAAAAQ" TargetMode="External"/><Relationship Id="rId77" Type="http://schemas.openxmlformats.org/officeDocument/2006/relationships/header" Target="header8.xml"/><Relationship Id="rId100" Type="http://schemas.openxmlformats.org/officeDocument/2006/relationships/footer" Target="footer17.xml"/><Relationship Id="rId105" Type="http://schemas.openxmlformats.org/officeDocument/2006/relationships/header" Target="header21.xml"/><Relationship Id="rId113" Type="http://schemas.openxmlformats.org/officeDocument/2006/relationships/footer" Target="footer24.xml"/><Relationship Id="rId8" Type="http://schemas.openxmlformats.org/officeDocument/2006/relationships/hyperlink" Target="http://www.scc-csc.ca" TargetMode="External"/><Relationship Id="rId51" Type="http://schemas.openxmlformats.org/officeDocument/2006/relationships/hyperlink" Target="http://www.canlii.org/fr/qc/qcca/doc/2014/2014qcca1026/2014qcca1026.html?searchUrlHash=AAAAAQBgQW5uaWUgTWFyY2hldGVycmUgYy4gQ2Fyb2xlIFJvbGxpbiwgTHVjIExhYnJvc3NlIGV0IEbDqWTDqXJhdGlvbiBDb21wYWduaWUgZCdhc3N1cmFuY2UgZHUgQ2FuYWRhAAAAAAE" TargetMode="External"/><Relationship Id="rId72" Type="http://schemas.openxmlformats.org/officeDocument/2006/relationships/hyperlink" Target="http://www.canlii.org/en/on/onca/doc/2014/2014onca439/2014onca439.html?searchUrlHash=AAAAAQANMjAxNCBPTkNBIDQzOQAAAAAB" TargetMode="External"/><Relationship Id="rId80" Type="http://schemas.openxmlformats.org/officeDocument/2006/relationships/footer" Target="footer9.xml"/><Relationship Id="rId85" Type="http://schemas.openxmlformats.org/officeDocument/2006/relationships/footer" Target="footer11.xml"/><Relationship Id="rId93" Type="http://schemas.openxmlformats.org/officeDocument/2006/relationships/header" Target="header15.xml"/><Relationship Id="rId98" Type="http://schemas.openxmlformats.org/officeDocument/2006/relationships/header" Target="header17.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on/onsc/doc/2013/2013onsc4299/2013onsc4299.html" TargetMode="External"/><Relationship Id="rId33" Type="http://schemas.openxmlformats.org/officeDocument/2006/relationships/hyperlink" Target="http://www.canlii.org/en/ca/fca/doc/2014/2014fca101/2014fca101.html" TargetMode="External"/><Relationship Id="rId38" Type="http://schemas.openxmlformats.org/officeDocument/2006/relationships/hyperlink" Target="http://canlii.ca/t/ftpmj" TargetMode="External"/><Relationship Id="rId46" Type="http://schemas.openxmlformats.org/officeDocument/2006/relationships/hyperlink" Target="http://canlii.ca/t/fqbxj" TargetMode="External"/><Relationship Id="rId59" Type="http://schemas.openxmlformats.org/officeDocument/2006/relationships/hyperlink" Target="http://www.canlii.org/en/on/onca/doc/2014/2014onca451/2014onca451.html" TargetMode="External"/><Relationship Id="rId67" Type="http://schemas.openxmlformats.org/officeDocument/2006/relationships/hyperlink" Target="http://www.canlii.org/fr/qc/qcca/doc/2014/2014qcca1123/2014qcca1123.html" TargetMode="External"/><Relationship Id="rId103" Type="http://schemas.openxmlformats.org/officeDocument/2006/relationships/footer" Target="footer19.xml"/><Relationship Id="rId108" Type="http://schemas.openxmlformats.org/officeDocument/2006/relationships/header" Target="header22.xml"/><Relationship Id="rId116"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yperlink" Target="http://www.canlii.org/en/on/onca/doc/2013/2013onca761/2013onca761.html" TargetMode="External"/><Relationship Id="rId54" Type="http://schemas.openxmlformats.org/officeDocument/2006/relationships/hyperlink" Target="http://www.canlii.org/en/on/laws/stat/rso-1990-c-t23/latest/rso-1990-c-t23.html" TargetMode="External"/><Relationship Id="rId62" Type="http://schemas.openxmlformats.org/officeDocument/2006/relationships/hyperlink" Target="http://www.canlii.org/en/ca/fca/doc/2014/2014fca130/2014fca130.html?searchUrlHash=AAAAAQArR3JhZW1lIE1hbGNvbG0gdi4gVGhlIE1pbmlzdGVyIG9mIEZpc2hlcmllcwAAAAAB" TargetMode="External"/><Relationship Id="rId70" Type="http://schemas.openxmlformats.org/officeDocument/2006/relationships/hyperlink" Target="http://www.canlii.org/en/on/onca/doc/2014/2014onca439/2014onca439.html?searchUrlHash=AAAAAQANMjAxNCBPTkNBIDQzOQAAAAAB" TargetMode="External"/><Relationship Id="rId75" Type="http://schemas.openxmlformats.org/officeDocument/2006/relationships/hyperlink" Target="http://www.canlii.org/en/mb/mbqb/doc/2013/2013mbqb168/2013mbqb168.html" TargetMode="External"/><Relationship Id="rId83" Type="http://schemas.openxmlformats.org/officeDocument/2006/relationships/header" Target="header11.xml"/><Relationship Id="rId88" Type="http://schemas.openxmlformats.org/officeDocument/2006/relationships/footer" Target="footer13.xml"/><Relationship Id="rId91" Type="http://schemas.openxmlformats.org/officeDocument/2006/relationships/hyperlink" Target="http://www.scc-csc.ca/case-dossier/info/sum-som-eng.aspx?cas=35804" TargetMode="External"/><Relationship Id="rId96" Type="http://schemas.openxmlformats.org/officeDocument/2006/relationships/header" Target="header16.xml"/><Relationship Id="rId11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en/on/onsc/doc/2013/2013onsc4299/2013onsc4299.html" TargetMode="External"/><Relationship Id="rId36" Type="http://schemas.openxmlformats.org/officeDocument/2006/relationships/hyperlink" Target="http://canlii.ca/t/ftpmj" TargetMode="External"/><Relationship Id="rId49" Type="http://schemas.openxmlformats.org/officeDocument/2006/relationships/hyperlink" Target="http://canlii.ca/t/g2kc8" TargetMode="External"/><Relationship Id="rId57" Type="http://schemas.openxmlformats.org/officeDocument/2006/relationships/hyperlink" Target="http://www.canlii.org/en/on/laws/stat/rso-1990-c-t23/latest/rso-1990-c-t23.html" TargetMode="External"/><Relationship Id="rId106" Type="http://schemas.openxmlformats.org/officeDocument/2006/relationships/footer" Target="footer20.xml"/><Relationship Id="rId114" Type="http://schemas.openxmlformats.org/officeDocument/2006/relationships/header" Target="header25.xml"/><Relationship Id="rId10" Type="http://schemas.openxmlformats.org/officeDocument/2006/relationships/header" Target="header1.xml"/><Relationship Id="rId31" Type="http://schemas.openxmlformats.org/officeDocument/2006/relationships/hyperlink" Target="http://www.canlii.org/en/ca/fca/doc/2014/2014fca101/2014fca101.html" TargetMode="External"/><Relationship Id="rId44" Type="http://schemas.openxmlformats.org/officeDocument/2006/relationships/hyperlink" Target="http://canlii.ca/t/g0bbz" TargetMode="External"/><Relationship Id="rId52" Type="http://schemas.openxmlformats.org/officeDocument/2006/relationships/hyperlink" Target="http://www.canlii.org/fr/qc/qccs/doc/2012/2012qccs4284/2012qccs4284.html" TargetMode="External"/><Relationship Id="rId60" Type="http://schemas.openxmlformats.org/officeDocument/2006/relationships/hyperlink" Target="http://www.canlii.org/en/on/onca/doc/2014/2014onca451/2014onca451.html" TargetMode="External"/><Relationship Id="rId65" Type="http://schemas.openxmlformats.org/officeDocument/2006/relationships/hyperlink" Target="http://canlii.ca/t/g71c3" TargetMode="External"/><Relationship Id="rId73" Type="http://schemas.openxmlformats.org/officeDocument/2006/relationships/hyperlink" Target="http://www.canlii.org/en/mb/mbqb/doc/2013/2013mbqb168/2013mbqb168.html" TargetMode="External"/><Relationship Id="rId78" Type="http://schemas.openxmlformats.org/officeDocument/2006/relationships/header" Target="header9.xml"/><Relationship Id="rId81" Type="http://schemas.openxmlformats.org/officeDocument/2006/relationships/header" Target="header10.xml"/><Relationship Id="rId86" Type="http://schemas.openxmlformats.org/officeDocument/2006/relationships/footer" Target="footer12.xml"/><Relationship Id="rId94" Type="http://schemas.openxmlformats.org/officeDocument/2006/relationships/footer" Target="footer14.xml"/><Relationship Id="rId99" Type="http://schemas.openxmlformats.org/officeDocument/2006/relationships/header" Target="header18.xml"/><Relationship Id="rId101"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canlii.ca/t/g6pfv" TargetMode="External"/><Relationship Id="rId109" Type="http://schemas.openxmlformats.org/officeDocument/2006/relationships/footer" Target="footer22.xml"/><Relationship Id="rId34" Type="http://schemas.openxmlformats.org/officeDocument/2006/relationships/hyperlink" Target="http://www.canlii.org/en/on/onsc/doc/2013/2013onsc5016/2013onsc5016.html" TargetMode="External"/><Relationship Id="rId50" Type="http://schemas.openxmlformats.org/officeDocument/2006/relationships/hyperlink" Target="http://www.canlii.org/fr/qc/qccs/doc/2012/2012qccs4284/2012qccs4284.html" TargetMode="External"/><Relationship Id="rId55" Type="http://schemas.openxmlformats.org/officeDocument/2006/relationships/hyperlink" Target="http://www.canlii.org/en/on/laws/stat/rso-1990-c-t23/latest/rso-1990-c-t23.html" TargetMode="External"/><Relationship Id="rId76" Type="http://schemas.openxmlformats.org/officeDocument/2006/relationships/hyperlink" Target="http://www.canlii.org/en/mb/mbca/doc/2014/2014mbca57/2014mbca57.html" TargetMode="External"/><Relationship Id="rId97" Type="http://schemas.openxmlformats.org/officeDocument/2006/relationships/footer" Target="footer16.xml"/><Relationship Id="rId104" Type="http://schemas.openxmlformats.org/officeDocument/2006/relationships/header" Target="header20.xml"/><Relationship Id="rId7" Type="http://schemas.openxmlformats.org/officeDocument/2006/relationships/image" Target="media/image1.wmf"/><Relationship Id="rId71" Type="http://schemas.openxmlformats.org/officeDocument/2006/relationships/hyperlink" Target="http://www.canlii.org/en/on/onsc/doc/2012/2012onsc2300/2012onsc2300.html?searchUrlHash=AAAAAQAOMjAxMiBPTlNDIDIzMDAAAAAAAQ" TargetMode="External"/><Relationship Id="rId92" Type="http://schemas.openxmlformats.org/officeDocument/2006/relationships/header" Target="header14.xml"/><Relationship Id="rId2" Type="http://schemas.openxmlformats.org/officeDocument/2006/relationships/styles" Target="styles.xml"/><Relationship Id="rId29" Type="http://schemas.openxmlformats.org/officeDocument/2006/relationships/hyperlink" Target="http://www.canlii.org/en/on/onca/doc/2014/2014onca111/2014onca1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28033</Words>
  <Characters>159790</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2014-11-19T14:35:00Z</dcterms:created>
  <dcterms:modified xsi:type="dcterms:W3CDTF">2015-11-30T15:09:00Z</dcterms:modified>
</cp:coreProperties>
</file>