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bookmarkStart w:id="0" w:name="_GoBack"/>
      <w:bookmarkEnd w:id="0"/>
      <w:r w:rsidRPr="002E2327">
        <w:rPr>
          <w:noProof/>
          <w:lang w:val="en-US"/>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E42AAB"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E42AAB"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E42AAB"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E42AAB"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E42AAB" w:rsidTr="002E5576">
        <w:tc>
          <w:tcPr>
            <w:tcW w:w="4518" w:type="dxa"/>
          </w:tcPr>
          <w:p w:rsidR="00BF25F3" w:rsidRPr="002E2327" w:rsidRDefault="006F7944"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6F7944"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E42AAB"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E42AAB"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Pr="00155CF3">
                <w:rPr>
                  <w:rStyle w:val="Hyperlink"/>
                  <w:rFonts w:ascii="Arial" w:hAnsi="Arial" w:cs="Arial"/>
                  <w:i/>
                  <w:sz w:val="20"/>
                  <w:szCs w:val="20"/>
                </w:rPr>
                <w:t>www.scc-csc.gc.ca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Pr="00155CF3">
                <w:rPr>
                  <w:rStyle w:val="Hyperlink"/>
                  <w:rFonts w:ascii="Arial" w:hAnsi="Arial" w:cs="Arial"/>
                  <w:i/>
                  <w:sz w:val="20"/>
                  <w:szCs w:val="20"/>
                  <w:lang w:val="fr-CA"/>
                </w:rPr>
                <w:t>www.scc-csc.gc.ca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C73D06" w:rsidP="00F0068D">
      <w:pPr>
        <w:pBdr>
          <w:bottom w:val="single" w:sz="6" w:space="1" w:color="auto"/>
        </w:pBdr>
        <w:tabs>
          <w:tab w:val="center" w:pos="4680"/>
          <w:tab w:val="right" w:pos="9360"/>
        </w:tabs>
        <w:rPr>
          <w:lang w:val="fr-CA"/>
        </w:rPr>
      </w:pPr>
      <w:r>
        <w:rPr>
          <w:lang w:val="fr-CA"/>
        </w:rPr>
        <w:t>January</w:t>
      </w:r>
      <w:r w:rsidR="00440E24" w:rsidRPr="00675479">
        <w:rPr>
          <w:lang w:val="fr-CA"/>
        </w:rPr>
        <w:t xml:space="preserve"> </w:t>
      </w:r>
      <w:r w:rsidR="00C102AE">
        <w:rPr>
          <w:lang w:val="fr-CA"/>
        </w:rPr>
        <w:t>30</w:t>
      </w:r>
      <w:r w:rsidR="00440E24" w:rsidRPr="00675479">
        <w:rPr>
          <w:lang w:val="fr-CA"/>
        </w:rPr>
        <w:t>, 201</w:t>
      </w:r>
      <w:r w:rsidR="00020DC3">
        <w:rPr>
          <w:lang w:val="fr-CA"/>
        </w:rPr>
        <w:t>5</w:t>
      </w:r>
      <w:r w:rsidR="00F0068D" w:rsidRPr="00675479">
        <w:rPr>
          <w:lang w:val="fr-CA"/>
        </w:rPr>
        <w:tab/>
        <w:t>1</w:t>
      </w:r>
      <w:r w:rsidR="00C102AE">
        <w:rPr>
          <w:lang w:val="fr-CA"/>
        </w:rPr>
        <w:t>50</w:t>
      </w:r>
      <w:r w:rsidR="00F0068D" w:rsidRPr="00675479">
        <w:rPr>
          <w:lang w:val="fr-CA"/>
        </w:rPr>
        <w:t xml:space="preserve"> - </w:t>
      </w:r>
      <w:r w:rsidR="00B91DD6">
        <w:rPr>
          <w:lang w:val="fr-CA"/>
        </w:rPr>
        <w:t>251</w:t>
      </w:r>
      <w:r w:rsidR="00440E24" w:rsidRPr="00675479">
        <w:rPr>
          <w:lang w:val="fr-CA"/>
        </w:rPr>
        <w:tab/>
      </w:r>
      <w:r w:rsidR="00440E24" w:rsidRPr="002E2327">
        <w:rPr>
          <w:lang w:val="fr-CA"/>
        </w:rPr>
        <w:t>Le</w:t>
      </w:r>
      <w:r>
        <w:rPr>
          <w:lang w:val="fr-CA"/>
        </w:rPr>
        <w:t xml:space="preserve"> </w:t>
      </w:r>
      <w:r w:rsidR="00C102AE">
        <w:rPr>
          <w:lang w:val="fr-CA"/>
        </w:rPr>
        <w:t>30</w:t>
      </w:r>
      <w:r>
        <w:rPr>
          <w:lang w:val="fr-CA"/>
        </w:rPr>
        <w:t xml:space="preserve"> j</w:t>
      </w:r>
      <w:r w:rsidR="00440E24" w:rsidRPr="002E2327">
        <w:rPr>
          <w:lang w:val="fr-CA"/>
        </w:rPr>
        <w:t>a</w:t>
      </w:r>
      <w:r>
        <w:rPr>
          <w:lang w:val="fr-CA"/>
        </w:rPr>
        <w:t>n</w:t>
      </w:r>
      <w:r w:rsidR="00440E24" w:rsidRPr="002E2327">
        <w:rPr>
          <w:lang w:val="fr-CA"/>
        </w:rPr>
        <w:t>vi</w:t>
      </w:r>
      <w:r>
        <w:rPr>
          <w:lang w:val="fr-CA"/>
        </w:rPr>
        <w:t>er</w:t>
      </w:r>
      <w:r w:rsidR="00440E24" w:rsidRPr="002E2327">
        <w:rPr>
          <w:lang w:val="fr-CA"/>
        </w:rPr>
        <w:t xml:space="preserve"> 201</w:t>
      </w:r>
      <w:r w:rsidR="00020DC3">
        <w:rPr>
          <w:lang w:val="fr-CA"/>
        </w:rPr>
        <w:t>5</w:t>
      </w:r>
    </w:p>
    <w:p w:rsidR="00440E24" w:rsidRPr="00675479" w:rsidRDefault="00440E24" w:rsidP="00440E24">
      <w:pPr>
        <w:pBdr>
          <w:bottom w:val="single" w:sz="6" w:space="1" w:color="auto"/>
        </w:pBdr>
        <w:tabs>
          <w:tab w:val="right" w:pos="9360"/>
        </w:tabs>
        <w:rPr>
          <w:lang w:val="fr-CA"/>
        </w:rPr>
      </w:pPr>
    </w:p>
    <w:p w:rsidR="00440E24" w:rsidRPr="00C102AE" w:rsidRDefault="00440E24" w:rsidP="00440E24">
      <w:pPr>
        <w:pBdr>
          <w:bottom w:val="single" w:sz="6" w:space="1" w:color="auto"/>
        </w:pBdr>
        <w:tabs>
          <w:tab w:val="right" w:pos="9360"/>
        </w:tabs>
        <w:rPr>
          <w:sz w:val="18"/>
          <w:szCs w:val="18"/>
          <w:lang w:val="fr-CA"/>
        </w:rPr>
      </w:pPr>
      <w:r w:rsidRPr="00C102AE">
        <w:rPr>
          <w:sz w:val="18"/>
          <w:szCs w:val="18"/>
          <w:lang w:val="fr-CA"/>
        </w:rPr>
        <w:lastRenderedPageBreak/>
        <w:t>© Supreme Court of Canada (201</w:t>
      </w:r>
      <w:r w:rsidR="00020DC3" w:rsidRPr="00C102AE">
        <w:rPr>
          <w:sz w:val="18"/>
          <w:szCs w:val="18"/>
          <w:lang w:val="fr-CA"/>
        </w:rPr>
        <w:t>5</w:t>
      </w:r>
      <w:r w:rsidRPr="00C102AE">
        <w:rPr>
          <w:sz w:val="18"/>
          <w:szCs w:val="18"/>
          <w:lang w:val="fr-CA"/>
        </w:rPr>
        <w:t>)</w:t>
      </w:r>
      <w:r w:rsidRPr="00C102AE">
        <w:rPr>
          <w:sz w:val="18"/>
          <w:szCs w:val="18"/>
          <w:lang w:val="fr-CA"/>
        </w:rPr>
        <w:tab/>
        <w:t>© Cour suprême du Canada (201</w:t>
      </w:r>
      <w:r w:rsidR="00020DC3" w:rsidRPr="00C102AE">
        <w:rPr>
          <w:sz w:val="18"/>
          <w:szCs w:val="18"/>
          <w:lang w:val="fr-CA"/>
        </w:rPr>
        <w:t>5</w:t>
      </w:r>
      <w:r w:rsidRPr="00C102AE">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Agenda </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Summaries of the cases</w:t>
            </w:r>
          </w:p>
          <w:p w:rsidR="00A87207" w:rsidRPr="002E2327" w:rsidRDefault="00A87207" w:rsidP="006A15AC">
            <w:pPr>
              <w:tabs>
                <w:tab w:val="right" w:pos="9360"/>
              </w:tabs>
              <w:rPr>
                <w:rFonts w:cs="Times New Roman"/>
                <w:sz w:val="20"/>
                <w:szCs w:val="20"/>
              </w:rPr>
            </w:pPr>
          </w:p>
        </w:tc>
        <w:tc>
          <w:tcPr>
            <w:tcW w:w="1980" w:type="dxa"/>
          </w:tcPr>
          <w:p w:rsidR="0095096B" w:rsidRPr="002E2327" w:rsidRDefault="004B64DA" w:rsidP="0095096B">
            <w:pPr>
              <w:jc w:val="center"/>
              <w:rPr>
                <w:rFonts w:cs="Times New Roman"/>
                <w:sz w:val="20"/>
                <w:szCs w:val="20"/>
              </w:rPr>
            </w:pPr>
            <w:r>
              <w:rPr>
                <w:rFonts w:cs="Times New Roman"/>
                <w:sz w:val="20"/>
                <w:szCs w:val="20"/>
              </w:rPr>
              <w:t xml:space="preserve">150 </w:t>
            </w:r>
            <w:r w:rsidR="006F7944" w:rsidRPr="002E2327">
              <w:rPr>
                <w:rFonts w:cs="Times New Roman"/>
                <w:sz w:val="20"/>
                <w:szCs w:val="20"/>
              </w:rPr>
              <w:fldChar w:fldCharType="begin"/>
            </w:r>
            <w:r w:rsidR="0095096B" w:rsidRPr="002E2327">
              <w:rPr>
                <w:rFonts w:cs="Times New Roman"/>
                <w:sz w:val="20"/>
                <w:szCs w:val="20"/>
              </w:rPr>
              <w:instrText xml:space="preserve"> SEQ CHAPTER \h \r 1</w:instrText>
            </w:r>
            <w:r w:rsidR="006F7944" w:rsidRPr="002E2327">
              <w:rPr>
                <w:rFonts w:cs="Times New Roman"/>
                <w:sz w:val="20"/>
                <w:szCs w:val="20"/>
              </w:rPr>
              <w:fldChar w:fldCharType="end"/>
            </w:r>
            <w:r w:rsidR="0095096B" w:rsidRPr="002E2327">
              <w:rPr>
                <w:rFonts w:cs="Times New Roman"/>
                <w:sz w:val="20"/>
                <w:szCs w:val="20"/>
              </w:rPr>
              <w:t>-</w:t>
            </w:r>
            <w:r w:rsidR="00C64462">
              <w:rPr>
                <w:rFonts w:cs="Times New Roman"/>
                <w:sz w:val="20"/>
                <w:szCs w:val="20"/>
              </w:rPr>
              <w:t xml:space="preserve"> 151</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C64462" w:rsidP="0095096B">
            <w:pPr>
              <w:jc w:val="center"/>
              <w:rPr>
                <w:rFonts w:cs="Times New Roman"/>
                <w:sz w:val="20"/>
                <w:szCs w:val="20"/>
              </w:rPr>
            </w:pPr>
            <w:r>
              <w:rPr>
                <w:rFonts w:cs="Times New Roman"/>
                <w:sz w:val="20"/>
                <w:szCs w:val="20"/>
              </w:rPr>
              <w:t>152</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C64462" w:rsidP="0095096B">
            <w:pPr>
              <w:jc w:val="center"/>
              <w:rPr>
                <w:rFonts w:cs="Times New Roman"/>
                <w:sz w:val="20"/>
                <w:szCs w:val="20"/>
              </w:rPr>
            </w:pPr>
            <w:r>
              <w:rPr>
                <w:rFonts w:cs="Times New Roman"/>
                <w:sz w:val="20"/>
                <w:szCs w:val="20"/>
              </w:rPr>
              <w:t xml:space="preserve">153 </w:t>
            </w:r>
            <w:r w:rsidR="0095096B" w:rsidRPr="002E2327">
              <w:rPr>
                <w:rFonts w:cs="Times New Roman"/>
                <w:sz w:val="20"/>
                <w:szCs w:val="20"/>
              </w:rPr>
              <w:t>-</w:t>
            </w:r>
            <w:r w:rsidR="002C385E">
              <w:rPr>
                <w:rFonts w:cs="Times New Roman"/>
                <w:sz w:val="20"/>
                <w:szCs w:val="20"/>
              </w:rPr>
              <w:t xml:space="preserve"> 20</w:t>
            </w:r>
            <w:r w:rsidR="00FE1072">
              <w:rPr>
                <w:rFonts w:cs="Times New Roman"/>
                <w:sz w:val="20"/>
                <w:szCs w:val="20"/>
              </w:rPr>
              <w:t>1</w:t>
            </w:r>
          </w:p>
          <w:p w:rsidR="0095096B" w:rsidRDefault="0095096B" w:rsidP="0095096B">
            <w:pPr>
              <w:jc w:val="center"/>
              <w:rPr>
                <w:rFonts w:cs="Times New Roman"/>
                <w:sz w:val="20"/>
                <w:szCs w:val="20"/>
              </w:rPr>
            </w:pPr>
          </w:p>
          <w:p w:rsidR="00FE1072" w:rsidRPr="002E2327" w:rsidRDefault="00FE1072" w:rsidP="0095096B">
            <w:pPr>
              <w:jc w:val="center"/>
              <w:rPr>
                <w:rFonts w:cs="Times New Roman"/>
                <w:sz w:val="20"/>
                <w:szCs w:val="20"/>
              </w:rPr>
            </w:pPr>
          </w:p>
          <w:p w:rsidR="0095096B" w:rsidRPr="002E2327" w:rsidRDefault="00FE1072" w:rsidP="0095096B">
            <w:pPr>
              <w:jc w:val="center"/>
              <w:rPr>
                <w:rFonts w:cs="Times New Roman"/>
                <w:sz w:val="20"/>
                <w:szCs w:val="20"/>
              </w:rPr>
            </w:pPr>
            <w:r>
              <w:rPr>
                <w:rFonts w:cs="Times New Roman"/>
                <w:sz w:val="20"/>
                <w:szCs w:val="20"/>
              </w:rPr>
              <w:t xml:space="preserve">202 </w:t>
            </w:r>
            <w:r w:rsidR="0095096B" w:rsidRPr="002E2327">
              <w:rPr>
                <w:rFonts w:cs="Times New Roman"/>
                <w:sz w:val="20"/>
                <w:szCs w:val="20"/>
              </w:rPr>
              <w:t>-</w:t>
            </w:r>
            <w:r w:rsidR="00747ED9">
              <w:rPr>
                <w:rFonts w:cs="Times New Roman"/>
                <w:sz w:val="20"/>
                <w:szCs w:val="20"/>
              </w:rPr>
              <w:t xml:space="preserve"> 208</w:t>
            </w:r>
          </w:p>
          <w:p w:rsidR="0095096B" w:rsidRPr="002E2327" w:rsidRDefault="0095096B" w:rsidP="0095096B">
            <w:pPr>
              <w:jc w:val="center"/>
              <w:rPr>
                <w:rFonts w:cs="Times New Roman"/>
                <w:sz w:val="20"/>
                <w:szCs w:val="20"/>
              </w:rPr>
            </w:pPr>
          </w:p>
          <w:p w:rsidR="0095096B" w:rsidRPr="002E2327" w:rsidRDefault="00747ED9" w:rsidP="0095096B">
            <w:pPr>
              <w:jc w:val="center"/>
              <w:rPr>
                <w:rFonts w:cs="Times New Roman"/>
                <w:sz w:val="20"/>
                <w:szCs w:val="20"/>
              </w:rPr>
            </w:pPr>
            <w:r>
              <w:rPr>
                <w:rFonts w:cs="Times New Roman"/>
                <w:sz w:val="20"/>
                <w:szCs w:val="20"/>
              </w:rPr>
              <w:t>209</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747ED9" w:rsidP="0095096B">
            <w:pPr>
              <w:jc w:val="center"/>
              <w:rPr>
                <w:rFonts w:cs="Times New Roman"/>
                <w:sz w:val="20"/>
                <w:szCs w:val="20"/>
              </w:rPr>
            </w:pPr>
            <w:r>
              <w:rPr>
                <w:rFonts w:cs="Times New Roman"/>
                <w:sz w:val="20"/>
                <w:szCs w:val="20"/>
              </w:rPr>
              <w:t xml:space="preserve">210 </w:t>
            </w:r>
            <w:r w:rsidR="0095096B" w:rsidRPr="002E2327">
              <w:rPr>
                <w:rFonts w:cs="Times New Roman"/>
                <w:sz w:val="20"/>
                <w:szCs w:val="20"/>
              </w:rPr>
              <w:t>-</w:t>
            </w:r>
            <w:r>
              <w:rPr>
                <w:rFonts w:cs="Times New Roman"/>
                <w:sz w:val="20"/>
                <w:szCs w:val="20"/>
              </w:rPr>
              <w:t xml:space="preserve"> 211</w:t>
            </w:r>
          </w:p>
          <w:p w:rsidR="0095096B" w:rsidRDefault="0095096B" w:rsidP="0095096B">
            <w:pPr>
              <w:jc w:val="center"/>
              <w:rPr>
                <w:rFonts w:cs="Times New Roman"/>
                <w:sz w:val="20"/>
                <w:szCs w:val="20"/>
              </w:rPr>
            </w:pPr>
          </w:p>
          <w:p w:rsidR="00747ED9" w:rsidRPr="002E2327" w:rsidRDefault="00747ED9" w:rsidP="0095096B">
            <w:pPr>
              <w:jc w:val="center"/>
              <w:rPr>
                <w:rFonts w:cs="Times New Roman"/>
                <w:sz w:val="20"/>
                <w:szCs w:val="20"/>
              </w:rPr>
            </w:pPr>
          </w:p>
          <w:p w:rsidR="0095096B" w:rsidRPr="002E2327" w:rsidRDefault="00747ED9" w:rsidP="0095096B">
            <w:pPr>
              <w:jc w:val="center"/>
              <w:rPr>
                <w:rFonts w:cs="Times New Roman"/>
                <w:sz w:val="20"/>
                <w:szCs w:val="20"/>
              </w:rPr>
            </w:pPr>
            <w:r>
              <w:rPr>
                <w:rFonts w:cs="Times New Roman"/>
                <w:sz w:val="20"/>
                <w:szCs w:val="20"/>
              </w:rPr>
              <w:t>212</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6A15AC" w:rsidP="0095096B">
            <w:pPr>
              <w:jc w:val="center"/>
              <w:rPr>
                <w:rFonts w:cs="Times New Roman"/>
                <w:sz w:val="20"/>
                <w:szCs w:val="20"/>
              </w:rPr>
            </w:pPr>
            <w:r>
              <w:rPr>
                <w:rFonts w:cs="Times New Roman"/>
                <w:sz w:val="20"/>
                <w:szCs w:val="20"/>
              </w:rPr>
              <w:t xml:space="preserve">213 </w:t>
            </w:r>
            <w:r w:rsidR="0095096B" w:rsidRPr="002E2327">
              <w:rPr>
                <w:rFonts w:cs="Times New Roman"/>
                <w:sz w:val="20"/>
                <w:szCs w:val="20"/>
              </w:rPr>
              <w:t>-</w:t>
            </w:r>
            <w:r w:rsidR="00B91DD6">
              <w:rPr>
                <w:rFonts w:cs="Times New Roman"/>
                <w:sz w:val="20"/>
                <w:szCs w:val="20"/>
              </w:rPr>
              <w:t xml:space="preserve"> 225</w:t>
            </w:r>
          </w:p>
          <w:p w:rsidR="0095096B" w:rsidRPr="002E2327" w:rsidRDefault="0095096B" w:rsidP="0095096B">
            <w:pPr>
              <w:jc w:val="center"/>
              <w:rPr>
                <w:rFonts w:cs="Times New Roman"/>
                <w:sz w:val="20"/>
                <w:szCs w:val="20"/>
              </w:rPr>
            </w:pPr>
          </w:p>
          <w:p w:rsidR="0095096B" w:rsidRPr="002E2327" w:rsidRDefault="00B91DD6" w:rsidP="0095096B">
            <w:pPr>
              <w:jc w:val="center"/>
              <w:rPr>
                <w:rFonts w:cs="Times New Roman"/>
                <w:sz w:val="20"/>
                <w:szCs w:val="20"/>
              </w:rPr>
            </w:pPr>
            <w:r>
              <w:rPr>
                <w:rFonts w:cs="Times New Roman"/>
                <w:sz w:val="20"/>
                <w:szCs w:val="20"/>
              </w:rPr>
              <w:t xml:space="preserve">226 </w:t>
            </w:r>
            <w:r w:rsidR="0095096B" w:rsidRPr="002E2327">
              <w:rPr>
                <w:rFonts w:cs="Times New Roman"/>
                <w:sz w:val="20"/>
                <w:szCs w:val="20"/>
              </w:rPr>
              <w:t>-</w:t>
            </w:r>
            <w:r>
              <w:rPr>
                <w:rFonts w:cs="Times New Roman"/>
                <w:sz w:val="20"/>
                <w:szCs w:val="20"/>
              </w:rPr>
              <w:t xml:space="preserve"> 227</w:t>
            </w:r>
          </w:p>
          <w:p w:rsidR="0095096B" w:rsidRPr="002E2327" w:rsidRDefault="0095096B" w:rsidP="0095096B">
            <w:pPr>
              <w:jc w:val="center"/>
              <w:rPr>
                <w:rFonts w:cs="Times New Roman"/>
                <w:sz w:val="20"/>
                <w:szCs w:val="20"/>
              </w:rPr>
            </w:pPr>
          </w:p>
          <w:p w:rsidR="0095096B" w:rsidRPr="002E2327" w:rsidRDefault="00B91DD6" w:rsidP="0095096B">
            <w:pPr>
              <w:jc w:val="center"/>
              <w:rPr>
                <w:rFonts w:cs="Times New Roman"/>
                <w:sz w:val="20"/>
                <w:szCs w:val="20"/>
              </w:rPr>
            </w:pPr>
            <w:r>
              <w:rPr>
                <w:rFonts w:cs="Times New Roman"/>
                <w:sz w:val="20"/>
                <w:szCs w:val="20"/>
              </w:rPr>
              <w:t xml:space="preserve">228 </w:t>
            </w:r>
            <w:r w:rsidR="0095096B" w:rsidRPr="002E2327">
              <w:rPr>
                <w:rFonts w:cs="Times New Roman"/>
                <w:sz w:val="20"/>
                <w:szCs w:val="20"/>
              </w:rPr>
              <w:t>-</w:t>
            </w:r>
            <w:r>
              <w:rPr>
                <w:rFonts w:cs="Times New Roman"/>
                <w:sz w:val="20"/>
                <w:szCs w:val="20"/>
              </w:rPr>
              <w:t xml:space="preserve"> 251</w:t>
            </w:r>
          </w:p>
          <w:p w:rsidR="00A87207" w:rsidRPr="002E2327" w:rsidRDefault="00A87207" w:rsidP="00772D27">
            <w:pPr>
              <w:jc w:val="center"/>
              <w:rPr>
                <w:rFonts w:cs="Times New Roman"/>
                <w:sz w:val="20"/>
                <w:szCs w:val="20"/>
              </w:rPr>
            </w:pPr>
          </w:p>
        </w:tc>
        <w:tc>
          <w:tcPr>
            <w:tcW w:w="3888" w:type="dxa"/>
          </w:tcPr>
          <w:p w:rsidR="0095096B" w:rsidRPr="002E2327" w:rsidRDefault="006F7944"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w:t>
            </w:r>
            <w:r w:rsidR="004137A0">
              <w:rPr>
                <w:rFonts w:cs="Times New Roman"/>
                <w:sz w:val="20"/>
                <w:szCs w:val="20"/>
                <w:lang w:val="fr-CA"/>
              </w:rPr>
              <w:t>’</w:t>
            </w:r>
            <w:r w:rsidRPr="002E2327">
              <w:rPr>
                <w:rFonts w:cs="Times New Roman"/>
                <w:sz w:val="20"/>
                <w:szCs w:val="20"/>
                <w:lang w:val="fr-CA"/>
              </w:rPr>
              <w:t xml:space="preserve">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Calendrier </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Résumés des affaires</w:t>
            </w:r>
          </w:p>
          <w:p w:rsidR="00A87207" w:rsidRPr="002E2327" w:rsidRDefault="00A87207" w:rsidP="006A15AC">
            <w:pPr>
              <w:tabs>
                <w:tab w:val="right" w:pos="9360"/>
              </w:tabs>
              <w:rPr>
                <w:rFonts w:cs="Times New Roman"/>
                <w:sz w:val="20"/>
                <w:szCs w:val="20"/>
                <w:lang w:val="fr-CA"/>
              </w:rPr>
            </w:pPr>
          </w:p>
        </w:tc>
      </w:tr>
    </w:tbl>
    <w:p w:rsidR="0095096B" w:rsidRDefault="0095096B" w:rsidP="0095096B">
      <w:pPr>
        <w:tabs>
          <w:tab w:val="right" w:pos="9360"/>
        </w:tabs>
        <w:rPr>
          <w:sz w:val="20"/>
          <w:szCs w:val="20"/>
        </w:rPr>
      </w:pPr>
    </w:p>
    <w:p w:rsidR="00772D27" w:rsidRDefault="00772D27" w:rsidP="0095096B">
      <w:pPr>
        <w:tabs>
          <w:tab w:val="right" w:pos="9360"/>
        </w:tabs>
        <w:rPr>
          <w:sz w:val="20"/>
          <w:szCs w:val="20"/>
        </w:rPr>
      </w:pPr>
    </w:p>
    <w:p w:rsidR="00772D27" w:rsidRDefault="00772D27" w:rsidP="0095096B">
      <w:pPr>
        <w:tabs>
          <w:tab w:val="right" w:pos="9360"/>
        </w:tabs>
        <w:rPr>
          <w:sz w:val="20"/>
          <w:szCs w:val="20"/>
        </w:rPr>
      </w:pPr>
    </w:p>
    <w:p w:rsidR="00772D27" w:rsidRDefault="00772D27" w:rsidP="0095096B">
      <w:pPr>
        <w:tabs>
          <w:tab w:val="right" w:pos="9360"/>
        </w:tabs>
        <w:rPr>
          <w:sz w:val="20"/>
          <w:szCs w:val="20"/>
        </w:rPr>
      </w:pPr>
    </w:p>
    <w:p w:rsidR="00772D27" w:rsidRPr="00772D27" w:rsidRDefault="00772D27" w:rsidP="0095096B">
      <w:pPr>
        <w:tabs>
          <w:tab w:val="right" w:pos="9360"/>
        </w:tabs>
        <w:rPr>
          <w:sz w:val="20"/>
          <w:szCs w:val="20"/>
        </w:rPr>
      </w:pPr>
    </w:p>
    <w:tbl>
      <w:tblPr>
        <w:tblStyle w:val="TableGrid"/>
        <w:tblW w:w="0" w:type="auto"/>
        <w:tblLook w:val="04A0" w:firstRow="1" w:lastRow="0" w:firstColumn="1" w:lastColumn="0" w:noHBand="0" w:noVBand="1"/>
      </w:tblPr>
      <w:tblGrid>
        <w:gridCol w:w="9576"/>
      </w:tblGrid>
      <w:tr w:rsidR="0079724F" w:rsidRPr="00E42AAB"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C21644" w:rsidTr="003B3977">
        <w:tc>
          <w:tcPr>
            <w:tcW w:w="4320" w:type="dxa"/>
            <w:shd w:val="clear" w:color="auto" w:fill="auto"/>
          </w:tcPr>
          <w:p w:rsidR="00C21644" w:rsidRPr="00A935AA" w:rsidRDefault="00F67BC8" w:rsidP="005F1ED8">
            <w:pPr>
              <w:rPr>
                <w:b/>
                <w:sz w:val="20"/>
                <w:szCs w:val="20"/>
              </w:rPr>
            </w:pPr>
            <w:r>
              <w:rPr>
                <w:b/>
                <w:sz w:val="20"/>
                <w:szCs w:val="20"/>
              </w:rPr>
              <w:t>A</w:t>
            </w:r>
            <w:r w:rsidR="00C21644">
              <w:rPr>
                <w:b/>
                <w:sz w:val="20"/>
                <w:szCs w:val="20"/>
              </w:rPr>
              <w:t>n</w:t>
            </w:r>
            <w:r>
              <w:rPr>
                <w:b/>
                <w:sz w:val="20"/>
                <w:szCs w:val="20"/>
              </w:rPr>
              <w:t>thony C</w:t>
            </w:r>
            <w:r w:rsidR="00C21644">
              <w:rPr>
                <w:b/>
                <w:sz w:val="20"/>
                <w:szCs w:val="20"/>
              </w:rPr>
              <w:t>o</w:t>
            </w:r>
            <w:r>
              <w:rPr>
                <w:b/>
                <w:sz w:val="20"/>
                <w:szCs w:val="20"/>
              </w:rPr>
              <w:t>o</w:t>
            </w:r>
            <w:r w:rsidR="00C21644">
              <w:rPr>
                <w:b/>
                <w:sz w:val="20"/>
                <w:szCs w:val="20"/>
              </w:rPr>
              <w:t>te</w:t>
            </w:r>
          </w:p>
          <w:p w:rsidR="00C21644" w:rsidRPr="00A935AA" w:rsidRDefault="00C21644" w:rsidP="005F1ED8">
            <w:pPr>
              <w:tabs>
                <w:tab w:val="left" w:pos="-1440"/>
                <w:tab w:val="left" w:pos="-720"/>
              </w:tabs>
              <w:rPr>
                <w:sz w:val="20"/>
                <w:szCs w:val="20"/>
              </w:rPr>
            </w:pPr>
            <w:r w:rsidRPr="00A935AA">
              <w:rPr>
                <w:sz w:val="20"/>
                <w:szCs w:val="20"/>
              </w:rPr>
              <w:tab/>
            </w:r>
            <w:r w:rsidR="00F67BC8">
              <w:rPr>
                <w:sz w:val="20"/>
                <w:szCs w:val="20"/>
              </w:rPr>
              <w:t>Anthony Coo</w:t>
            </w:r>
            <w:r>
              <w:rPr>
                <w:sz w:val="20"/>
                <w:szCs w:val="20"/>
              </w:rPr>
              <w:t xml:space="preserve">te </w:t>
            </w:r>
          </w:p>
          <w:p w:rsidR="00C21644" w:rsidRPr="00096B8E" w:rsidRDefault="00C21644" w:rsidP="005F1ED8">
            <w:pPr>
              <w:tabs>
                <w:tab w:val="left" w:pos="-1440"/>
                <w:tab w:val="left" w:pos="-720"/>
              </w:tabs>
              <w:rPr>
                <w:sz w:val="20"/>
                <w:szCs w:val="20"/>
              </w:rPr>
            </w:pPr>
          </w:p>
          <w:p w:rsidR="00C21644" w:rsidRPr="00096B8E" w:rsidRDefault="00C21644" w:rsidP="005F1ED8">
            <w:pPr>
              <w:tabs>
                <w:tab w:val="left" w:pos="-1440"/>
                <w:tab w:val="left" w:pos="-720"/>
              </w:tabs>
              <w:rPr>
                <w:sz w:val="20"/>
                <w:szCs w:val="20"/>
              </w:rPr>
            </w:pPr>
            <w:r w:rsidRPr="00096B8E">
              <w:rPr>
                <w:sz w:val="20"/>
                <w:szCs w:val="20"/>
              </w:rPr>
              <w:tab/>
              <w:t>v. (36</w:t>
            </w:r>
            <w:r w:rsidR="00F67BC8" w:rsidRPr="00096B8E">
              <w:rPr>
                <w:sz w:val="20"/>
                <w:szCs w:val="20"/>
              </w:rPr>
              <w:t>21</w:t>
            </w:r>
            <w:r w:rsidRPr="00096B8E">
              <w:rPr>
                <w:sz w:val="20"/>
                <w:szCs w:val="20"/>
              </w:rPr>
              <w:t>8)</w:t>
            </w:r>
          </w:p>
          <w:p w:rsidR="00C21644" w:rsidRPr="00096B8E" w:rsidRDefault="00C21644" w:rsidP="005F1ED8">
            <w:pPr>
              <w:tabs>
                <w:tab w:val="left" w:pos="-1440"/>
                <w:tab w:val="left" w:pos="-720"/>
              </w:tabs>
              <w:rPr>
                <w:sz w:val="20"/>
                <w:szCs w:val="20"/>
              </w:rPr>
            </w:pPr>
          </w:p>
          <w:p w:rsidR="00C21644" w:rsidRPr="00096B8E" w:rsidRDefault="00F67BC8" w:rsidP="005F1ED8">
            <w:pPr>
              <w:tabs>
                <w:tab w:val="left" w:pos="-1440"/>
                <w:tab w:val="left" w:pos="-720"/>
              </w:tabs>
              <w:rPr>
                <w:b/>
                <w:sz w:val="20"/>
                <w:szCs w:val="20"/>
              </w:rPr>
            </w:pPr>
            <w:r w:rsidRPr="00F67BC8">
              <w:rPr>
                <w:b/>
                <w:sz w:val="20"/>
                <w:szCs w:val="20"/>
              </w:rPr>
              <w:t>L</w:t>
            </w:r>
            <w:r w:rsidR="00C21644" w:rsidRPr="00F67BC8">
              <w:rPr>
                <w:b/>
                <w:sz w:val="20"/>
                <w:szCs w:val="20"/>
              </w:rPr>
              <w:t>a</w:t>
            </w:r>
            <w:r w:rsidRPr="00F67BC8">
              <w:rPr>
                <w:b/>
                <w:sz w:val="20"/>
                <w:szCs w:val="20"/>
              </w:rPr>
              <w:t>wyers’ Pr</w:t>
            </w:r>
            <w:r w:rsidR="00C21644" w:rsidRPr="00F67BC8">
              <w:rPr>
                <w:b/>
                <w:sz w:val="20"/>
                <w:szCs w:val="20"/>
              </w:rPr>
              <w:t>o</w:t>
            </w:r>
            <w:r w:rsidRPr="00F67BC8">
              <w:rPr>
                <w:b/>
                <w:sz w:val="20"/>
                <w:szCs w:val="20"/>
              </w:rPr>
              <w:t>fessional Indem</w:t>
            </w:r>
            <w:r w:rsidR="00C21644" w:rsidRPr="00F67BC8">
              <w:rPr>
                <w:b/>
                <w:sz w:val="20"/>
                <w:szCs w:val="20"/>
              </w:rPr>
              <w:t>n</w:t>
            </w:r>
            <w:r w:rsidRPr="00F67BC8">
              <w:rPr>
                <w:b/>
                <w:sz w:val="20"/>
                <w:szCs w:val="20"/>
              </w:rPr>
              <w:t>ity Company (LAWPRO)</w:t>
            </w:r>
            <w:r w:rsidR="00C21644" w:rsidRPr="00F67BC8">
              <w:rPr>
                <w:b/>
                <w:sz w:val="20"/>
                <w:szCs w:val="20"/>
              </w:rPr>
              <w:t xml:space="preserve"> et al.</w:t>
            </w:r>
            <w:r w:rsidR="00C21644" w:rsidRPr="00F67BC8">
              <w:rPr>
                <w:sz w:val="20"/>
                <w:szCs w:val="20"/>
              </w:rPr>
              <w:t xml:space="preserve"> </w:t>
            </w:r>
            <w:r w:rsidR="00C21644" w:rsidRPr="00096B8E">
              <w:rPr>
                <w:b/>
                <w:sz w:val="20"/>
                <w:szCs w:val="20"/>
              </w:rPr>
              <w:t>(</w:t>
            </w:r>
            <w:r w:rsidRPr="00096B8E">
              <w:rPr>
                <w:b/>
                <w:sz w:val="20"/>
                <w:szCs w:val="20"/>
              </w:rPr>
              <w:t>F.C</w:t>
            </w:r>
            <w:r w:rsidR="00C21644" w:rsidRPr="00096B8E">
              <w:rPr>
                <w:b/>
                <w:sz w:val="20"/>
                <w:szCs w:val="20"/>
              </w:rPr>
              <w:t>.)</w:t>
            </w:r>
          </w:p>
          <w:p w:rsidR="00C21644" w:rsidRPr="00F67BC8" w:rsidRDefault="00C21644" w:rsidP="005F1ED8">
            <w:pPr>
              <w:tabs>
                <w:tab w:val="left" w:pos="-1440"/>
                <w:tab w:val="left" w:pos="-720"/>
              </w:tabs>
              <w:rPr>
                <w:sz w:val="20"/>
                <w:szCs w:val="20"/>
              </w:rPr>
            </w:pPr>
            <w:r w:rsidRPr="00096B8E">
              <w:rPr>
                <w:sz w:val="20"/>
                <w:szCs w:val="20"/>
              </w:rPr>
              <w:tab/>
            </w:r>
            <w:r w:rsidR="00F67BC8" w:rsidRPr="00F67BC8">
              <w:rPr>
                <w:sz w:val="20"/>
                <w:szCs w:val="20"/>
              </w:rPr>
              <w:t>F</w:t>
            </w:r>
            <w:r w:rsidRPr="00F67BC8">
              <w:rPr>
                <w:sz w:val="20"/>
                <w:szCs w:val="20"/>
              </w:rPr>
              <w:t>a</w:t>
            </w:r>
            <w:r w:rsidR="00F67BC8" w:rsidRPr="00F67BC8">
              <w:rPr>
                <w:sz w:val="20"/>
                <w:szCs w:val="20"/>
              </w:rPr>
              <w:t>ren H. Bogach</w:t>
            </w:r>
            <w:r w:rsidR="00F67BC8">
              <w:rPr>
                <w:sz w:val="20"/>
                <w:szCs w:val="20"/>
              </w:rPr>
              <w:t xml:space="preserve"> </w:t>
            </w:r>
          </w:p>
          <w:p w:rsidR="00C21644" w:rsidRPr="00F67BC8" w:rsidRDefault="00C21644" w:rsidP="005F1ED8">
            <w:pPr>
              <w:tabs>
                <w:tab w:val="left" w:pos="-1440"/>
                <w:tab w:val="left" w:pos="-720"/>
              </w:tabs>
              <w:rPr>
                <w:sz w:val="20"/>
                <w:szCs w:val="20"/>
              </w:rPr>
            </w:pPr>
            <w:r w:rsidRPr="00F67BC8">
              <w:rPr>
                <w:sz w:val="20"/>
                <w:szCs w:val="20"/>
              </w:rPr>
              <w:tab/>
            </w:r>
            <w:r w:rsidR="00F67BC8">
              <w:rPr>
                <w:sz w:val="20"/>
                <w:szCs w:val="20"/>
              </w:rPr>
              <w:t>WeirF</w:t>
            </w:r>
            <w:r w:rsidRPr="00F67BC8">
              <w:rPr>
                <w:sz w:val="20"/>
                <w:szCs w:val="20"/>
              </w:rPr>
              <w:t>o</w:t>
            </w:r>
            <w:r w:rsidR="00F67BC8" w:rsidRPr="00F67BC8">
              <w:rPr>
                <w:sz w:val="20"/>
                <w:szCs w:val="20"/>
              </w:rPr>
              <w:t>uld</w:t>
            </w:r>
            <w:r w:rsidRPr="00F67BC8">
              <w:rPr>
                <w:sz w:val="20"/>
                <w:szCs w:val="20"/>
              </w:rPr>
              <w:t>s LLP</w:t>
            </w:r>
          </w:p>
          <w:p w:rsidR="00C21644" w:rsidRPr="00F67BC8" w:rsidRDefault="00C21644" w:rsidP="005F1ED8">
            <w:pPr>
              <w:tabs>
                <w:tab w:val="left" w:pos="-1440"/>
                <w:tab w:val="left" w:pos="-720"/>
              </w:tabs>
              <w:rPr>
                <w:sz w:val="20"/>
                <w:szCs w:val="20"/>
              </w:rPr>
            </w:pPr>
          </w:p>
          <w:p w:rsidR="00C21644" w:rsidRPr="00F67BC8" w:rsidRDefault="00C21644" w:rsidP="00F67BC8">
            <w:pPr>
              <w:rPr>
                <w:sz w:val="20"/>
                <w:szCs w:val="20"/>
              </w:rPr>
            </w:pPr>
            <w:r w:rsidRPr="00F67BC8">
              <w:rPr>
                <w:sz w:val="20"/>
                <w:szCs w:val="20"/>
              </w:rPr>
              <w:t>FILING DATE: 0</w:t>
            </w:r>
            <w:r w:rsidR="00F67BC8" w:rsidRPr="00F67BC8">
              <w:rPr>
                <w:sz w:val="20"/>
                <w:szCs w:val="20"/>
              </w:rPr>
              <w:t>6</w:t>
            </w:r>
            <w:r w:rsidRPr="00F67BC8">
              <w:rPr>
                <w:sz w:val="20"/>
                <w:szCs w:val="20"/>
              </w:rPr>
              <w:t>.1</w:t>
            </w:r>
            <w:r w:rsidR="00F67BC8" w:rsidRPr="00F67BC8">
              <w:rPr>
                <w:sz w:val="20"/>
                <w:szCs w:val="20"/>
              </w:rPr>
              <w:t>1</w:t>
            </w:r>
            <w:r w:rsidRPr="00F67BC8">
              <w:rPr>
                <w:sz w:val="20"/>
                <w:szCs w:val="20"/>
              </w:rPr>
              <w:t>.201</w:t>
            </w:r>
            <w:r w:rsidR="00F67BC8" w:rsidRPr="00F67BC8">
              <w:rPr>
                <w:sz w:val="20"/>
                <w:szCs w:val="20"/>
              </w:rPr>
              <w:t>4</w:t>
            </w:r>
            <w:r w:rsidR="00E42AAB">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F67BC8" w:rsidRDefault="00C21644" w:rsidP="00242AEE">
            <w:pPr>
              <w:jc w:val="center"/>
              <w:rPr>
                <w:sz w:val="20"/>
                <w:szCs w:val="20"/>
              </w:rPr>
            </w:pPr>
          </w:p>
          <w:p w:rsidR="00C21644" w:rsidRPr="00F67BC8" w:rsidRDefault="00C21644" w:rsidP="00242AEE">
            <w:pPr>
              <w:jc w:val="center"/>
              <w:rPr>
                <w:sz w:val="20"/>
                <w:szCs w:val="20"/>
              </w:rPr>
            </w:pPr>
          </w:p>
          <w:p w:rsidR="00C21644" w:rsidRPr="00F67BC8" w:rsidRDefault="00C21644" w:rsidP="00242AEE">
            <w:pPr>
              <w:jc w:val="center"/>
              <w:rPr>
                <w:sz w:val="20"/>
                <w:szCs w:val="20"/>
              </w:rPr>
            </w:pPr>
          </w:p>
          <w:p w:rsidR="00C21644" w:rsidRPr="00F67BC8" w:rsidRDefault="00C21644" w:rsidP="00242AEE">
            <w:pPr>
              <w:jc w:val="center"/>
              <w:rPr>
                <w:sz w:val="20"/>
                <w:szCs w:val="20"/>
              </w:rPr>
            </w:pPr>
          </w:p>
          <w:p w:rsidR="00C21644" w:rsidRPr="00F67BC8" w:rsidRDefault="00C21644" w:rsidP="00242AEE">
            <w:pPr>
              <w:jc w:val="center"/>
              <w:rPr>
                <w:sz w:val="20"/>
                <w:szCs w:val="20"/>
              </w:rPr>
            </w:pPr>
          </w:p>
          <w:p w:rsidR="00C21644" w:rsidRPr="00F67BC8" w:rsidRDefault="00C21644" w:rsidP="00242AEE">
            <w:pPr>
              <w:jc w:val="center"/>
              <w:rPr>
                <w:sz w:val="20"/>
                <w:szCs w:val="20"/>
              </w:rPr>
            </w:pPr>
          </w:p>
          <w:p w:rsidR="00C21644" w:rsidRPr="00F67BC8" w:rsidRDefault="00C21644" w:rsidP="00242AEE">
            <w:pPr>
              <w:jc w:val="center"/>
              <w:rPr>
                <w:sz w:val="20"/>
                <w:szCs w:val="20"/>
              </w:rPr>
            </w:pPr>
          </w:p>
          <w:p w:rsidR="00C21644" w:rsidRPr="00F67BC8" w:rsidRDefault="00C21644" w:rsidP="00242AEE">
            <w:pPr>
              <w:jc w:val="center"/>
              <w:rPr>
                <w:sz w:val="20"/>
                <w:szCs w:val="20"/>
              </w:rPr>
            </w:pPr>
          </w:p>
          <w:p w:rsidR="00C21644" w:rsidRPr="00F67BC8" w:rsidRDefault="00C21644" w:rsidP="00242AEE">
            <w:pPr>
              <w:jc w:val="center"/>
              <w:rPr>
                <w:sz w:val="20"/>
                <w:szCs w:val="20"/>
              </w:rPr>
            </w:pPr>
          </w:p>
          <w:p w:rsidR="00C21644" w:rsidRPr="00F67BC8" w:rsidRDefault="00C21644" w:rsidP="00242AEE">
            <w:pPr>
              <w:jc w:val="center"/>
              <w:rPr>
                <w:sz w:val="20"/>
                <w:szCs w:val="20"/>
              </w:rPr>
            </w:pPr>
          </w:p>
          <w:p w:rsidR="00C21644" w:rsidRPr="00F67BC8" w:rsidRDefault="00C21644" w:rsidP="00242AEE">
            <w:pPr>
              <w:jc w:val="center"/>
              <w:rPr>
                <w:sz w:val="20"/>
                <w:szCs w:val="20"/>
              </w:rPr>
            </w:pPr>
          </w:p>
          <w:p w:rsidR="00C21644" w:rsidRPr="00F67BC8" w:rsidRDefault="00C21644" w:rsidP="00242AEE">
            <w:pPr>
              <w:jc w:val="center"/>
              <w:rPr>
                <w:sz w:val="20"/>
                <w:szCs w:val="20"/>
              </w:rPr>
            </w:pPr>
          </w:p>
          <w:p w:rsidR="00C21644" w:rsidRPr="00F67BC8" w:rsidRDefault="00C21644" w:rsidP="00242AEE">
            <w:pPr>
              <w:jc w:val="center"/>
              <w:rPr>
                <w:sz w:val="20"/>
                <w:szCs w:val="20"/>
              </w:rPr>
            </w:pPr>
          </w:p>
        </w:tc>
        <w:tc>
          <w:tcPr>
            <w:tcW w:w="4320" w:type="dxa"/>
            <w:shd w:val="clear" w:color="auto" w:fill="auto"/>
          </w:tcPr>
          <w:p w:rsidR="00F67BC8" w:rsidRPr="00A935AA" w:rsidRDefault="00F67BC8" w:rsidP="00F67BC8">
            <w:pPr>
              <w:rPr>
                <w:b/>
                <w:sz w:val="20"/>
                <w:szCs w:val="20"/>
              </w:rPr>
            </w:pPr>
            <w:r>
              <w:rPr>
                <w:b/>
                <w:sz w:val="20"/>
                <w:szCs w:val="20"/>
              </w:rPr>
              <w:t>Anthony Coote</w:t>
            </w:r>
          </w:p>
          <w:p w:rsidR="00C21644" w:rsidRPr="00F67BC8" w:rsidRDefault="00F67BC8" w:rsidP="00F67BC8">
            <w:pPr>
              <w:keepNext/>
              <w:keepLines/>
              <w:tabs>
                <w:tab w:val="left" w:pos="-1440"/>
                <w:tab w:val="left" w:pos="-720"/>
              </w:tabs>
              <w:rPr>
                <w:sz w:val="20"/>
                <w:szCs w:val="20"/>
              </w:rPr>
            </w:pPr>
            <w:r w:rsidRPr="00A935AA">
              <w:rPr>
                <w:sz w:val="20"/>
                <w:szCs w:val="20"/>
              </w:rPr>
              <w:tab/>
            </w:r>
            <w:r>
              <w:rPr>
                <w:sz w:val="20"/>
                <w:szCs w:val="20"/>
              </w:rPr>
              <w:t>Anthony Coote</w:t>
            </w:r>
          </w:p>
          <w:p w:rsidR="00C21644" w:rsidRPr="00F67BC8" w:rsidRDefault="00C21644" w:rsidP="005F1ED8">
            <w:pPr>
              <w:keepNext/>
              <w:keepLines/>
              <w:tabs>
                <w:tab w:val="left" w:pos="-1440"/>
                <w:tab w:val="left" w:pos="-720"/>
              </w:tabs>
              <w:rPr>
                <w:sz w:val="20"/>
                <w:szCs w:val="20"/>
              </w:rPr>
            </w:pPr>
          </w:p>
          <w:p w:rsidR="00C21644" w:rsidRPr="00F67BC8" w:rsidRDefault="00C21644" w:rsidP="005F1ED8">
            <w:pPr>
              <w:keepNext/>
              <w:keepLines/>
              <w:tabs>
                <w:tab w:val="left" w:pos="-1440"/>
                <w:tab w:val="left" w:pos="-720"/>
              </w:tabs>
              <w:rPr>
                <w:sz w:val="20"/>
                <w:szCs w:val="20"/>
              </w:rPr>
            </w:pPr>
            <w:r w:rsidRPr="00F67BC8">
              <w:rPr>
                <w:sz w:val="20"/>
                <w:szCs w:val="20"/>
              </w:rPr>
              <w:tab/>
            </w:r>
            <w:r w:rsidR="00F67BC8" w:rsidRPr="00F67BC8">
              <w:rPr>
                <w:sz w:val="20"/>
                <w:szCs w:val="20"/>
              </w:rPr>
              <w:t>v</w:t>
            </w:r>
            <w:r w:rsidRPr="00F67BC8">
              <w:rPr>
                <w:sz w:val="20"/>
                <w:szCs w:val="20"/>
              </w:rPr>
              <w:t>. (36</w:t>
            </w:r>
            <w:r w:rsidR="00F67BC8" w:rsidRPr="00F67BC8">
              <w:rPr>
                <w:sz w:val="20"/>
                <w:szCs w:val="20"/>
              </w:rPr>
              <w:t>226</w:t>
            </w:r>
            <w:r w:rsidRPr="00F67BC8">
              <w:rPr>
                <w:sz w:val="20"/>
                <w:szCs w:val="20"/>
              </w:rPr>
              <w:t>)</w:t>
            </w:r>
          </w:p>
          <w:p w:rsidR="00C21644" w:rsidRPr="00F67BC8" w:rsidRDefault="00C21644" w:rsidP="005F1ED8">
            <w:pPr>
              <w:keepNext/>
              <w:keepLines/>
              <w:tabs>
                <w:tab w:val="left" w:pos="-1440"/>
                <w:tab w:val="left" w:pos="-720"/>
              </w:tabs>
              <w:rPr>
                <w:sz w:val="20"/>
                <w:szCs w:val="20"/>
              </w:rPr>
            </w:pPr>
          </w:p>
          <w:p w:rsidR="00F67BC8" w:rsidRPr="00F67BC8" w:rsidRDefault="00F67BC8" w:rsidP="00F67BC8">
            <w:pPr>
              <w:tabs>
                <w:tab w:val="left" w:pos="-1440"/>
                <w:tab w:val="left" w:pos="-720"/>
              </w:tabs>
              <w:rPr>
                <w:b/>
                <w:sz w:val="20"/>
                <w:szCs w:val="20"/>
              </w:rPr>
            </w:pPr>
            <w:r w:rsidRPr="00F67BC8">
              <w:rPr>
                <w:b/>
                <w:sz w:val="20"/>
                <w:szCs w:val="20"/>
              </w:rPr>
              <w:t>Lawyers’ Professional Indemnity Company (LAWPRO) et al.</w:t>
            </w:r>
            <w:r w:rsidRPr="00F67BC8">
              <w:rPr>
                <w:sz w:val="20"/>
                <w:szCs w:val="20"/>
              </w:rPr>
              <w:t xml:space="preserve"> </w:t>
            </w:r>
            <w:r w:rsidRPr="00F67BC8">
              <w:rPr>
                <w:b/>
                <w:sz w:val="20"/>
                <w:szCs w:val="20"/>
              </w:rPr>
              <w:t>(F.C.)</w:t>
            </w:r>
          </w:p>
          <w:p w:rsidR="00F67BC8" w:rsidRPr="00F67BC8" w:rsidRDefault="00C21644" w:rsidP="00F67BC8">
            <w:pPr>
              <w:tabs>
                <w:tab w:val="left" w:pos="-1440"/>
                <w:tab w:val="left" w:pos="-720"/>
              </w:tabs>
              <w:rPr>
                <w:sz w:val="20"/>
                <w:szCs w:val="20"/>
              </w:rPr>
            </w:pPr>
            <w:r w:rsidRPr="00F67BC8">
              <w:rPr>
                <w:sz w:val="20"/>
                <w:szCs w:val="20"/>
              </w:rPr>
              <w:tab/>
            </w:r>
            <w:r w:rsidR="00F67BC8" w:rsidRPr="00F67BC8">
              <w:rPr>
                <w:sz w:val="20"/>
                <w:szCs w:val="20"/>
              </w:rPr>
              <w:t>Faren H. Bogach</w:t>
            </w:r>
            <w:r w:rsidR="00F67BC8">
              <w:rPr>
                <w:sz w:val="20"/>
                <w:szCs w:val="20"/>
              </w:rPr>
              <w:t xml:space="preserve"> </w:t>
            </w:r>
          </w:p>
          <w:p w:rsidR="00F67BC8" w:rsidRPr="00F67BC8" w:rsidRDefault="00F67BC8" w:rsidP="00F67BC8">
            <w:pPr>
              <w:tabs>
                <w:tab w:val="left" w:pos="-1440"/>
                <w:tab w:val="left" w:pos="-720"/>
              </w:tabs>
              <w:rPr>
                <w:sz w:val="20"/>
                <w:szCs w:val="20"/>
              </w:rPr>
            </w:pPr>
            <w:r w:rsidRPr="00F67BC8">
              <w:rPr>
                <w:sz w:val="20"/>
                <w:szCs w:val="20"/>
              </w:rPr>
              <w:tab/>
            </w:r>
            <w:r>
              <w:rPr>
                <w:sz w:val="20"/>
                <w:szCs w:val="20"/>
              </w:rPr>
              <w:t>WeirF</w:t>
            </w:r>
            <w:r w:rsidRPr="00F67BC8">
              <w:rPr>
                <w:sz w:val="20"/>
                <w:szCs w:val="20"/>
              </w:rPr>
              <w:t>oulds LLP</w:t>
            </w:r>
          </w:p>
          <w:p w:rsidR="00C21644" w:rsidRPr="00F67BC8" w:rsidRDefault="00C21644" w:rsidP="005F1ED8">
            <w:pPr>
              <w:keepNext/>
              <w:keepLines/>
              <w:tabs>
                <w:tab w:val="left" w:pos="-1440"/>
                <w:tab w:val="left" w:pos="-720"/>
              </w:tabs>
              <w:rPr>
                <w:sz w:val="20"/>
                <w:szCs w:val="20"/>
              </w:rPr>
            </w:pPr>
          </w:p>
          <w:p w:rsidR="00C21644" w:rsidRPr="00806A5B" w:rsidRDefault="00F67BC8" w:rsidP="00F67BC8">
            <w:pPr>
              <w:rPr>
                <w:sz w:val="20"/>
                <w:szCs w:val="20"/>
                <w:lang w:val="fr-CA"/>
              </w:rPr>
            </w:pPr>
            <w:r w:rsidRPr="00F67BC8">
              <w:rPr>
                <w:sz w:val="20"/>
                <w:szCs w:val="20"/>
              </w:rPr>
              <w:t>FILING DATE</w:t>
            </w:r>
            <w:r w:rsidR="00C21644" w:rsidRPr="00806A5B">
              <w:rPr>
                <w:sz w:val="20"/>
                <w:szCs w:val="20"/>
                <w:lang w:val="fr-CA"/>
              </w:rPr>
              <w:t xml:space="preserve">: </w:t>
            </w:r>
            <w:r>
              <w:rPr>
                <w:sz w:val="20"/>
                <w:szCs w:val="20"/>
                <w:lang w:val="fr-CA"/>
              </w:rPr>
              <w:t>22</w:t>
            </w:r>
            <w:r w:rsidR="00C21644" w:rsidRPr="00806A5B">
              <w:rPr>
                <w:sz w:val="20"/>
                <w:szCs w:val="20"/>
                <w:lang w:val="fr-CA"/>
              </w:rPr>
              <w:t>.1</w:t>
            </w:r>
            <w:r>
              <w:rPr>
                <w:sz w:val="20"/>
                <w:szCs w:val="20"/>
                <w:lang w:val="fr-CA"/>
              </w:rPr>
              <w:t>2</w:t>
            </w:r>
            <w:r w:rsidR="00C21644" w:rsidRPr="00806A5B">
              <w:rPr>
                <w:sz w:val="20"/>
                <w:szCs w:val="20"/>
                <w:lang w:val="fr-CA"/>
              </w:rPr>
              <w:t>.2014</w:t>
            </w:r>
            <w:r w:rsidR="00E42AAB">
              <w:rPr>
                <w:sz w:val="20"/>
                <w:szCs w:val="20"/>
                <w:lang w:val="fr-CA"/>
              </w:rPr>
              <w:pict>
                <v:rect id="_x0000_i1026" style="width:108pt;height:1pt" o:hrpct="0" o:hralign="center" o:hrstd="t" o:hrnoshade="t" o:hr="t" fillcolor="black [3213]" stroked="f"/>
              </w:pict>
            </w:r>
          </w:p>
        </w:tc>
      </w:tr>
      <w:tr w:rsidR="00F67BC8" w:rsidRPr="00A935AA" w:rsidTr="003B3977">
        <w:tc>
          <w:tcPr>
            <w:tcW w:w="4320" w:type="dxa"/>
            <w:shd w:val="clear" w:color="auto" w:fill="auto"/>
          </w:tcPr>
          <w:p w:rsidR="00F67BC8" w:rsidRPr="00A935AA" w:rsidRDefault="00F67BC8" w:rsidP="00F67BC8">
            <w:pPr>
              <w:rPr>
                <w:b/>
                <w:sz w:val="20"/>
                <w:szCs w:val="20"/>
              </w:rPr>
            </w:pPr>
            <w:r>
              <w:rPr>
                <w:b/>
                <w:sz w:val="20"/>
                <w:szCs w:val="20"/>
              </w:rPr>
              <w:t>Anthony Coote</w:t>
            </w:r>
          </w:p>
          <w:p w:rsidR="00F67BC8" w:rsidRPr="00A935AA" w:rsidRDefault="00F67BC8" w:rsidP="00F67BC8">
            <w:pPr>
              <w:tabs>
                <w:tab w:val="left" w:pos="-1440"/>
                <w:tab w:val="left" w:pos="-720"/>
              </w:tabs>
              <w:rPr>
                <w:sz w:val="20"/>
                <w:szCs w:val="20"/>
              </w:rPr>
            </w:pPr>
            <w:r w:rsidRPr="00A935AA">
              <w:rPr>
                <w:sz w:val="20"/>
                <w:szCs w:val="20"/>
              </w:rPr>
              <w:tab/>
            </w:r>
            <w:r>
              <w:rPr>
                <w:sz w:val="20"/>
                <w:szCs w:val="20"/>
              </w:rPr>
              <w:t xml:space="preserve">Anthony Coote </w:t>
            </w:r>
          </w:p>
          <w:p w:rsidR="00F67BC8" w:rsidRPr="00F67BC8" w:rsidRDefault="00F67BC8" w:rsidP="00F67BC8">
            <w:pPr>
              <w:tabs>
                <w:tab w:val="left" w:pos="-1440"/>
                <w:tab w:val="left" w:pos="-720"/>
              </w:tabs>
              <w:rPr>
                <w:sz w:val="20"/>
                <w:szCs w:val="20"/>
              </w:rPr>
            </w:pPr>
          </w:p>
          <w:p w:rsidR="00F67BC8" w:rsidRPr="00F67BC8" w:rsidRDefault="00F67BC8" w:rsidP="00F67BC8">
            <w:pPr>
              <w:tabs>
                <w:tab w:val="left" w:pos="-1440"/>
                <w:tab w:val="left" w:pos="-720"/>
              </w:tabs>
              <w:rPr>
                <w:sz w:val="20"/>
                <w:szCs w:val="20"/>
              </w:rPr>
            </w:pPr>
            <w:r w:rsidRPr="00F67BC8">
              <w:rPr>
                <w:sz w:val="20"/>
                <w:szCs w:val="20"/>
              </w:rPr>
              <w:tab/>
              <w:t>v. (362</w:t>
            </w:r>
            <w:r>
              <w:rPr>
                <w:sz w:val="20"/>
                <w:szCs w:val="20"/>
              </w:rPr>
              <w:t>43</w:t>
            </w:r>
            <w:r w:rsidRPr="00F67BC8">
              <w:rPr>
                <w:sz w:val="20"/>
                <w:szCs w:val="20"/>
              </w:rPr>
              <w:t>)</w:t>
            </w:r>
          </w:p>
          <w:p w:rsidR="00F67BC8" w:rsidRPr="00F67BC8" w:rsidRDefault="00F67BC8" w:rsidP="00F67BC8">
            <w:pPr>
              <w:tabs>
                <w:tab w:val="left" w:pos="-1440"/>
                <w:tab w:val="left" w:pos="-720"/>
              </w:tabs>
              <w:rPr>
                <w:sz w:val="20"/>
                <w:szCs w:val="20"/>
              </w:rPr>
            </w:pPr>
          </w:p>
          <w:p w:rsidR="00F67BC8" w:rsidRPr="00F67BC8" w:rsidRDefault="00F67BC8" w:rsidP="00F67BC8">
            <w:pPr>
              <w:tabs>
                <w:tab w:val="left" w:pos="-1440"/>
                <w:tab w:val="left" w:pos="-720"/>
              </w:tabs>
              <w:rPr>
                <w:b/>
                <w:sz w:val="20"/>
                <w:szCs w:val="20"/>
              </w:rPr>
            </w:pPr>
            <w:r w:rsidRPr="00F67BC8">
              <w:rPr>
                <w:b/>
                <w:sz w:val="20"/>
                <w:szCs w:val="20"/>
                <w:lang w:val="fr-CA"/>
              </w:rPr>
              <w:t>J. Norris Ormston et al.</w:t>
            </w:r>
            <w:r w:rsidRPr="00F67BC8">
              <w:rPr>
                <w:sz w:val="20"/>
                <w:szCs w:val="20"/>
                <w:lang w:val="fr-CA"/>
              </w:rPr>
              <w:t xml:space="preserve"> </w:t>
            </w:r>
            <w:r w:rsidRPr="00F67BC8">
              <w:rPr>
                <w:b/>
                <w:sz w:val="20"/>
                <w:szCs w:val="20"/>
              </w:rPr>
              <w:t>(F.C.)</w:t>
            </w:r>
          </w:p>
          <w:p w:rsidR="00F67BC8" w:rsidRPr="00F67BC8" w:rsidRDefault="00F67BC8" w:rsidP="00F67BC8">
            <w:pPr>
              <w:tabs>
                <w:tab w:val="left" w:pos="-1440"/>
                <w:tab w:val="left" w:pos="-720"/>
              </w:tabs>
              <w:rPr>
                <w:sz w:val="20"/>
                <w:szCs w:val="20"/>
              </w:rPr>
            </w:pPr>
            <w:r w:rsidRPr="00F67BC8">
              <w:rPr>
                <w:sz w:val="20"/>
                <w:szCs w:val="20"/>
              </w:rPr>
              <w:tab/>
              <w:t>Faren H. Bogach</w:t>
            </w:r>
            <w:r>
              <w:rPr>
                <w:sz w:val="20"/>
                <w:szCs w:val="20"/>
              </w:rPr>
              <w:t xml:space="preserve"> </w:t>
            </w:r>
          </w:p>
          <w:p w:rsidR="00F67BC8" w:rsidRPr="00F67BC8" w:rsidRDefault="00F67BC8" w:rsidP="00F67BC8">
            <w:pPr>
              <w:tabs>
                <w:tab w:val="left" w:pos="-1440"/>
                <w:tab w:val="left" w:pos="-720"/>
              </w:tabs>
              <w:rPr>
                <w:sz w:val="20"/>
                <w:szCs w:val="20"/>
              </w:rPr>
            </w:pPr>
            <w:r w:rsidRPr="00F67BC8">
              <w:rPr>
                <w:sz w:val="20"/>
                <w:szCs w:val="20"/>
              </w:rPr>
              <w:tab/>
            </w:r>
            <w:r>
              <w:rPr>
                <w:sz w:val="20"/>
                <w:szCs w:val="20"/>
              </w:rPr>
              <w:t>WeirF</w:t>
            </w:r>
            <w:r w:rsidRPr="00F67BC8">
              <w:rPr>
                <w:sz w:val="20"/>
                <w:szCs w:val="20"/>
              </w:rPr>
              <w:t>oulds LLP</w:t>
            </w:r>
          </w:p>
          <w:p w:rsidR="00F67BC8" w:rsidRPr="00F67BC8" w:rsidRDefault="00F67BC8" w:rsidP="00F67BC8">
            <w:pPr>
              <w:keepNext/>
              <w:keepLines/>
              <w:tabs>
                <w:tab w:val="left" w:pos="-1440"/>
                <w:tab w:val="left" w:pos="-720"/>
              </w:tabs>
              <w:rPr>
                <w:sz w:val="20"/>
                <w:szCs w:val="20"/>
              </w:rPr>
            </w:pPr>
          </w:p>
          <w:p w:rsidR="00F67BC8" w:rsidRPr="00F67BC8" w:rsidRDefault="00F67BC8" w:rsidP="00F67BC8">
            <w:pPr>
              <w:rPr>
                <w:sz w:val="20"/>
                <w:szCs w:val="20"/>
              </w:rPr>
            </w:pPr>
            <w:r w:rsidRPr="00F67BC8">
              <w:rPr>
                <w:sz w:val="20"/>
                <w:szCs w:val="20"/>
              </w:rPr>
              <w:t>FILING DATE: 29.12.2014</w:t>
            </w:r>
            <w:r w:rsidR="00E42AAB">
              <w:rPr>
                <w:sz w:val="20"/>
                <w:szCs w:val="20"/>
                <w:lang w:val="fr-CA"/>
              </w:rPr>
              <w:pict>
                <v:rect id="_x0000_i1027" style="width:108pt;height:1pt" o:hrpct="0" o:hralign="center" o:hrstd="t" o:hrnoshade="t" o:hr="t" fillcolor="black [3213]" stroked="f"/>
              </w:pict>
            </w:r>
          </w:p>
        </w:tc>
        <w:tc>
          <w:tcPr>
            <w:tcW w:w="1181" w:type="dxa"/>
            <w:shd w:val="clear" w:color="auto" w:fill="auto"/>
          </w:tcPr>
          <w:p w:rsidR="00F67BC8" w:rsidRPr="00A935AA" w:rsidRDefault="00F67BC8" w:rsidP="00242AEE">
            <w:pPr>
              <w:jc w:val="center"/>
              <w:rPr>
                <w:sz w:val="20"/>
                <w:szCs w:val="20"/>
              </w:rPr>
            </w:pPr>
          </w:p>
          <w:p w:rsidR="00F67BC8" w:rsidRPr="00A935AA" w:rsidRDefault="00F67BC8" w:rsidP="00242AEE">
            <w:pPr>
              <w:jc w:val="center"/>
              <w:rPr>
                <w:sz w:val="20"/>
                <w:szCs w:val="20"/>
              </w:rPr>
            </w:pPr>
          </w:p>
          <w:p w:rsidR="00F67BC8" w:rsidRPr="00A935AA" w:rsidRDefault="00F67BC8" w:rsidP="00242AEE">
            <w:pPr>
              <w:jc w:val="center"/>
              <w:rPr>
                <w:sz w:val="20"/>
                <w:szCs w:val="20"/>
              </w:rPr>
            </w:pPr>
          </w:p>
          <w:p w:rsidR="00F67BC8" w:rsidRPr="00A935AA" w:rsidRDefault="00F67BC8" w:rsidP="00242AEE">
            <w:pPr>
              <w:jc w:val="center"/>
              <w:rPr>
                <w:sz w:val="20"/>
                <w:szCs w:val="20"/>
              </w:rPr>
            </w:pPr>
          </w:p>
          <w:p w:rsidR="00F67BC8" w:rsidRPr="00A935AA" w:rsidRDefault="00F67BC8" w:rsidP="00242AEE">
            <w:pPr>
              <w:jc w:val="center"/>
              <w:rPr>
                <w:sz w:val="20"/>
                <w:szCs w:val="20"/>
              </w:rPr>
            </w:pPr>
          </w:p>
          <w:p w:rsidR="00F67BC8" w:rsidRPr="00A935AA" w:rsidRDefault="00F67BC8" w:rsidP="00242AEE">
            <w:pPr>
              <w:jc w:val="center"/>
              <w:rPr>
                <w:sz w:val="20"/>
                <w:szCs w:val="20"/>
              </w:rPr>
            </w:pPr>
          </w:p>
          <w:p w:rsidR="00F67BC8" w:rsidRPr="00A935AA" w:rsidRDefault="00F67BC8" w:rsidP="00242AEE">
            <w:pPr>
              <w:jc w:val="center"/>
              <w:rPr>
                <w:sz w:val="20"/>
                <w:szCs w:val="20"/>
              </w:rPr>
            </w:pPr>
          </w:p>
          <w:p w:rsidR="00F67BC8" w:rsidRPr="00A935AA" w:rsidRDefault="00F67BC8" w:rsidP="00242AEE">
            <w:pPr>
              <w:jc w:val="center"/>
              <w:rPr>
                <w:sz w:val="20"/>
                <w:szCs w:val="20"/>
              </w:rPr>
            </w:pPr>
          </w:p>
          <w:p w:rsidR="00F67BC8" w:rsidRPr="00A935AA" w:rsidRDefault="00F67BC8" w:rsidP="00242AEE">
            <w:pPr>
              <w:jc w:val="center"/>
              <w:rPr>
                <w:sz w:val="20"/>
                <w:szCs w:val="20"/>
              </w:rPr>
            </w:pPr>
          </w:p>
          <w:p w:rsidR="00F67BC8" w:rsidRPr="00A935AA" w:rsidRDefault="00F67BC8" w:rsidP="00242AEE">
            <w:pPr>
              <w:jc w:val="center"/>
              <w:rPr>
                <w:sz w:val="20"/>
                <w:szCs w:val="20"/>
              </w:rPr>
            </w:pPr>
          </w:p>
          <w:p w:rsidR="00F67BC8" w:rsidRPr="00A935AA" w:rsidRDefault="00F67BC8" w:rsidP="00242AEE">
            <w:pPr>
              <w:jc w:val="center"/>
              <w:rPr>
                <w:sz w:val="20"/>
                <w:szCs w:val="20"/>
              </w:rPr>
            </w:pPr>
          </w:p>
          <w:p w:rsidR="00F67BC8" w:rsidRPr="00A935AA" w:rsidRDefault="00F67BC8" w:rsidP="00242AEE">
            <w:pPr>
              <w:jc w:val="center"/>
              <w:rPr>
                <w:sz w:val="20"/>
                <w:szCs w:val="20"/>
              </w:rPr>
            </w:pPr>
          </w:p>
        </w:tc>
        <w:tc>
          <w:tcPr>
            <w:tcW w:w="4320" w:type="dxa"/>
            <w:shd w:val="clear" w:color="auto" w:fill="auto"/>
          </w:tcPr>
          <w:p w:rsidR="00F67BC8" w:rsidRPr="003D3CEA" w:rsidRDefault="00F67BC8" w:rsidP="003B3977">
            <w:pPr>
              <w:keepNext/>
              <w:keepLines/>
              <w:tabs>
                <w:tab w:val="left" w:pos="-1440"/>
                <w:tab w:val="left" w:pos="-720"/>
              </w:tabs>
              <w:rPr>
                <w:b/>
                <w:sz w:val="20"/>
                <w:szCs w:val="20"/>
              </w:rPr>
            </w:pPr>
            <w:r>
              <w:rPr>
                <w:b/>
                <w:sz w:val="20"/>
                <w:szCs w:val="20"/>
              </w:rPr>
              <w:t>R.M.</w:t>
            </w:r>
          </w:p>
          <w:p w:rsidR="00F67BC8" w:rsidRPr="003D3CEA" w:rsidRDefault="00F67BC8" w:rsidP="003B3977">
            <w:pPr>
              <w:keepNext/>
              <w:keepLines/>
              <w:tabs>
                <w:tab w:val="left" w:pos="-1440"/>
                <w:tab w:val="left" w:pos="-720"/>
              </w:tabs>
              <w:rPr>
                <w:sz w:val="20"/>
                <w:szCs w:val="20"/>
              </w:rPr>
            </w:pPr>
            <w:r w:rsidRPr="003D3CEA">
              <w:rPr>
                <w:sz w:val="20"/>
                <w:szCs w:val="20"/>
              </w:rPr>
              <w:tab/>
            </w:r>
            <w:r>
              <w:rPr>
                <w:sz w:val="20"/>
                <w:szCs w:val="20"/>
              </w:rPr>
              <w:t>Frank Addario</w:t>
            </w:r>
          </w:p>
          <w:p w:rsidR="00F67BC8" w:rsidRPr="00A935AA" w:rsidRDefault="00F67BC8" w:rsidP="003B3977">
            <w:pPr>
              <w:keepNext/>
              <w:keepLines/>
              <w:tabs>
                <w:tab w:val="left" w:pos="-1440"/>
                <w:tab w:val="left" w:pos="-720"/>
              </w:tabs>
              <w:rPr>
                <w:sz w:val="20"/>
                <w:szCs w:val="20"/>
              </w:rPr>
            </w:pPr>
            <w:r w:rsidRPr="003D3CEA">
              <w:rPr>
                <w:sz w:val="20"/>
                <w:szCs w:val="20"/>
              </w:rPr>
              <w:tab/>
            </w:r>
            <w:r>
              <w:rPr>
                <w:sz w:val="20"/>
                <w:szCs w:val="20"/>
              </w:rPr>
              <w:t>Addario Law Group</w:t>
            </w:r>
          </w:p>
          <w:p w:rsidR="00F67BC8" w:rsidRPr="00A935AA" w:rsidRDefault="00F67BC8" w:rsidP="003B3977">
            <w:pPr>
              <w:keepNext/>
              <w:keepLines/>
              <w:tabs>
                <w:tab w:val="left" w:pos="-1440"/>
                <w:tab w:val="left" w:pos="-720"/>
              </w:tabs>
              <w:rPr>
                <w:sz w:val="20"/>
                <w:szCs w:val="20"/>
              </w:rPr>
            </w:pPr>
          </w:p>
          <w:p w:rsidR="00F67BC8" w:rsidRPr="00A935AA" w:rsidRDefault="00F67BC8" w:rsidP="003B3977">
            <w:pPr>
              <w:keepNext/>
              <w:keepLines/>
              <w:tabs>
                <w:tab w:val="left" w:pos="-1440"/>
                <w:tab w:val="left" w:pos="-720"/>
              </w:tabs>
              <w:rPr>
                <w:sz w:val="20"/>
                <w:szCs w:val="20"/>
              </w:rPr>
            </w:pPr>
            <w:r w:rsidRPr="00A935AA">
              <w:rPr>
                <w:sz w:val="20"/>
                <w:szCs w:val="20"/>
              </w:rPr>
              <w:tab/>
              <w:t>v. (3</w:t>
            </w:r>
            <w:r>
              <w:rPr>
                <w:sz w:val="20"/>
                <w:szCs w:val="20"/>
              </w:rPr>
              <w:t>6170</w:t>
            </w:r>
            <w:r w:rsidRPr="00A935AA">
              <w:rPr>
                <w:sz w:val="20"/>
                <w:szCs w:val="20"/>
              </w:rPr>
              <w:t>)</w:t>
            </w:r>
          </w:p>
          <w:p w:rsidR="00F67BC8" w:rsidRPr="00A935AA" w:rsidRDefault="00F67BC8" w:rsidP="003B3977">
            <w:pPr>
              <w:keepNext/>
              <w:keepLines/>
              <w:tabs>
                <w:tab w:val="left" w:pos="-1440"/>
                <w:tab w:val="left" w:pos="-720"/>
              </w:tabs>
              <w:rPr>
                <w:sz w:val="20"/>
                <w:szCs w:val="20"/>
              </w:rPr>
            </w:pPr>
          </w:p>
          <w:p w:rsidR="00F67BC8" w:rsidRPr="00A935AA" w:rsidRDefault="00F67BC8" w:rsidP="003B3977">
            <w:pPr>
              <w:keepNext/>
              <w:keepLines/>
              <w:tabs>
                <w:tab w:val="left" w:pos="-1440"/>
                <w:tab w:val="left" w:pos="-720"/>
              </w:tabs>
              <w:rPr>
                <w:b/>
                <w:sz w:val="20"/>
                <w:szCs w:val="20"/>
              </w:rPr>
            </w:pPr>
            <w:r>
              <w:rPr>
                <w:b/>
                <w:sz w:val="20"/>
                <w:szCs w:val="20"/>
              </w:rPr>
              <w:t xml:space="preserve">Her Majesty the Queen </w:t>
            </w:r>
            <w:r w:rsidRPr="00A935AA">
              <w:rPr>
                <w:b/>
                <w:sz w:val="20"/>
                <w:szCs w:val="20"/>
              </w:rPr>
              <w:t>(</w:t>
            </w:r>
            <w:r>
              <w:rPr>
                <w:b/>
                <w:sz w:val="20"/>
                <w:szCs w:val="20"/>
              </w:rPr>
              <w:t>Ont</w:t>
            </w:r>
            <w:r w:rsidRPr="00A935AA">
              <w:rPr>
                <w:b/>
                <w:sz w:val="20"/>
                <w:szCs w:val="20"/>
              </w:rPr>
              <w:t>.)</w:t>
            </w:r>
          </w:p>
          <w:p w:rsidR="00F67BC8" w:rsidRPr="00A935AA" w:rsidRDefault="00F67BC8" w:rsidP="003B3977">
            <w:pPr>
              <w:keepNext/>
              <w:keepLines/>
              <w:tabs>
                <w:tab w:val="left" w:pos="-1440"/>
                <w:tab w:val="left" w:pos="-720"/>
              </w:tabs>
              <w:rPr>
                <w:sz w:val="20"/>
                <w:szCs w:val="20"/>
              </w:rPr>
            </w:pPr>
            <w:r w:rsidRPr="00A935AA">
              <w:rPr>
                <w:sz w:val="20"/>
                <w:szCs w:val="20"/>
              </w:rPr>
              <w:tab/>
            </w:r>
            <w:r>
              <w:rPr>
                <w:sz w:val="20"/>
                <w:szCs w:val="20"/>
              </w:rPr>
              <w:t>Robert E. Houston, Q.C.</w:t>
            </w:r>
          </w:p>
          <w:p w:rsidR="00F67BC8" w:rsidRPr="00A935AA" w:rsidRDefault="00F67BC8" w:rsidP="003B3977">
            <w:pPr>
              <w:keepNext/>
              <w:keepLines/>
              <w:tabs>
                <w:tab w:val="left" w:pos="-1440"/>
                <w:tab w:val="left" w:pos="-720"/>
              </w:tabs>
              <w:rPr>
                <w:sz w:val="20"/>
                <w:szCs w:val="20"/>
              </w:rPr>
            </w:pPr>
            <w:r w:rsidRPr="00A935AA">
              <w:rPr>
                <w:sz w:val="20"/>
                <w:szCs w:val="20"/>
              </w:rPr>
              <w:tab/>
            </w:r>
            <w:r>
              <w:rPr>
                <w:sz w:val="20"/>
                <w:szCs w:val="20"/>
              </w:rPr>
              <w:t xml:space="preserve">Burke-Robertson </w:t>
            </w:r>
          </w:p>
          <w:p w:rsidR="00F67BC8" w:rsidRPr="00A935AA" w:rsidRDefault="00F67BC8" w:rsidP="003B3977">
            <w:pPr>
              <w:keepNext/>
              <w:keepLines/>
              <w:tabs>
                <w:tab w:val="left" w:pos="-1440"/>
                <w:tab w:val="left" w:pos="-720"/>
              </w:tabs>
              <w:rPr>
                <w:sz w:val="20"/>
                <w:szCs w:val="20"/>
              </w:rPr>
            </w:pPr>
          </w:p>
          <w:p w:rsidR="00F67BC8" w:rsidRPr="00A935AA" w:rsidRDefault="00F67BC8" w:rsidP="00DF33BF">
            <w:pPr>
              <w:rPr>
                <w:sz w:val="20"/>
                <w:szCs w:val="20"/>
              </w:rPr>
            </w:pPr>
            <w:r w:rsidRPr="00A935AA">
              <w:rPr>
                <w:sz w:val="20"/>
                <w:szCs w:val="20"/>
              </w:rPr>
              <w:t xml:space="preserve">FILING DATE: </w:t>
            </w:r>
            <w:r>
              <w:rPr>
                <w:sz w:val="20"/>
                <w:szCs w:val="20"/>
              </w:rPr>
              <w:t>17</w:t>
            </w:r>
            <w:r w:rsidRPr="00A935AA">
              <w:rPr>
                <w:sz w:val="20"/>
                <w:szCs w:val="20"/>
              </w:rPr>
              <w:t>.</w:t>
            </w:r>
            <w:r w:rsidR="00DF33BF">
              <w:rPr>
                <w:sz w:val="20"/>
                <w:szCs w:val="20"/>
              </w:rPr>
              <w:t>1</w:t>
            </w:r>
            <w:r>
              <w:rPr>
                <w:sz w:val="20"/>
                <w:szCs w:val="20"/>
              </w:rPr>
              <w:t>2</w:t>
            </w:r>
            <w:r w:rsidRPr="00A935AA">
              <w:rPr>
                <w:sz w:val="20"/>
                <w:szCs w:val="20"/>
              </w:rPr>
              <w:t>.201</w:t>
            </w:r>
            <w:r>
              <w:rPr>
                <w:sz w:val="20"/>
                <w:szCs w:val="20"/>
              </w:rPr>
              <w:t>4</w:t>
            </w:r>
            <w:r w:rsidR="00E42AAB">
              <w:rPr>
                <w:sz w:val="20"/>
                <w:szCs w:val="20"/>
                <w:lang w:val="fr-CA"/>
              </w:rPr>
              <w:pict>
                <v:rect id="_x0000_i1028" style="width:108pt;height:1pt" o:hrpct="0" o:hralign="center" o:hrstd="t" o:hrnoshade="t" o:hr="t" fillcolor="black [3213]" stroked="f"/>
              </w:pict>
            </w:r>
          </w:p>
        </w:tc>
      </w:tr>
      <w:tr w:rsidR="00C21644" w:rsidRPr="00A935AA" w:rsidTr="003B3977">
        <w:tc>
          <w:tcPr>
            <w:tcW w:w="4320" w:type="dxa"/>
            <w:shd w:val="clear" w:color="auto" w:fill="auto"/>
          </w:tcPr>
          <w:p w:rsidR="00C21644" w:rsidRPr="00F67BC8" w:rsidRDefault="00F67BC8" w:rsidP="005F1ED8">
            <w:pPr>
              <w:rPr>
                <w:b/>
                <w:sz w:val="20"/>
                <w:szCs w:val="20"/>
                <w:lang w:val="fr-CA"/>
              </w:rPr>
            </w:pPr>
            <w:r>
              <w:rPr>
                <w:b/>
                <w:sz w:val="20"/>
                <w:szCs w:val="20"/>
                <w:lang w:val="fr-CA"/>
              </w:rPr>
              <w:t>Procureur général du Canada</w:t>
            </w:r>
          </w:p>
          <w:p w:rsidR="00C21644" w:rsidRPr="00F67BC8" w:rsidRDefault="00C21644" w:rsidP="005F1ED8">
            <w:pPr>
              <w:tabs>
                <w:tab w:val="left" w:pos="-1440"/>
                <w:tab w:val="left" w:pos="-720"/>
              </w:tabs>
              <w:rPr>
                <w:sz w:val="20"/>
                <w:szCs w:val="20"/>
                <w:lang w:val="fr-CA"/>
              </w:rPr>
            </w:pPr>
            <w:r w:rsidRPr="00F67BC8">
              <w:rPr>
                <w:sz w:val="20"/>
                <w:szCs w:val="20"/>
                <w:lang w:val="fr-CA"/>
              </w:rPr>
              <w:tab/>
            </w:r>
            <w:r w:rsidR="00F67BC8">
              <w:rPr>
                <w:sz w:val="20"/>
                <w:szCs w:val="20"/>
                <w:lang w:val="fr-CA"/>
              </w:rPr>
              <w:t>Richard Corbeil</w:t>
            </w:r>
          </w:p>
          <w:p w:rsidR="00C21644" w:rsidRPr="00F67BC8" w:rsidRDefault="00C21644" w:rsidP="005F1ED8">
            <w:pPr>
              <w:tabs>
                <w:tab w:val="left" w:pos="-1440"/>
                <w:tab w:val="left" w:pos="-720"/>
              </w:tabs>
              <w:rPr>
                <w:sz w:val="20"/>
                <w:szCs w:val="20"/>
                <w:lang w:val="fr-CA"/>
              </w:rPr>
            </w:pPr>
            <w:r w:rsidRPr="00F67BC8">
              <w:rPr>
                <w:sz w:val="20"/>
                <w:szCs w:val="20"/>
                <w:lang w:val="fr-CA"/>
              </w:rPr>
              <w:tab/>
            </w:r>
            <w:r w:rsidR="00F67BC8">
              <w:rPr>
                <w:sz w:val="20"/>
                <w:szCs w:val="20"/>
                <w:lang w:val="fr-CA"/>
              </w:rPr>
              <w:t>P</w:t>
            </w:r>
            <w:r w:rsidR="00A22DFB">
              <w:rPr>
                <w:sz w:val="20"/>
                <w:szCs w:val="20"/>
                <w:lang w:val="fr-CA"/>
              </w:rPr>
              <w:t>.G.</w:t>
            </w:r>
            <w:r w:rsidR="00F67BC8">
              <w:rPr>
                <w:sz w:val="20"/>
                <w:szCs w:val="20"/>
                <w:lang w:val="fr-CA"/>
              </w:rPr>
              <w:t xml:space="preserve"> du Canada</w:t>
            </w:r>
          </w:p>
          <w:p w:rsidR="00C21644" w:rsidRPr="00F67BC8" w:rsidRDefault="00C21644" w:rsidP="005F1ED8">
            <w:pPr>
              <w:tabs>
                <w:tab w:val="left" w:pos="-1440"/>
                <w:tab w:val="left" w:pos="-720"/>
              </w:tabs>
              <w:rPr>
                <w:sz w:val="20"/>
                <w:szCs w:val="20"/>
                <w:lang w:val="fr-CA"/>
              </w:rPr>
            </w:pPr>
          </w:p>
          <w:p w:rsidR="00C21644" w:rsidRPr="00F67BC8" w:rsidRDefault="00C21644" w:rsidP="005F1ED8">
            <w:pPr>
              <w:tabs>
                <w:tab w:val="left" w:pos="-1440"/>
                <w:tab w:val="left" w:pos="-720"/>
              </w:tabs>
              <w:rPr>
                <w:sz w:val="20"/>
                <w:szCs w:val="20"/>
                <w:lang w:val="fr-CA"/>
              </w:rPr>
            </w:pPr>
            <w:r w:rsidRPr="00F67BC8">
              <w:rPr>
                <w:sz w:val="20"/>
                <w:szCs w:val="20"/>
                <w:lang w:val="fr-CA"/>
              </w:rPr>
              <w:tab/>
            </w:r>
            <w:r w:rsidR="00F67BC8" w:rsidRPr="00F67BC8">
              <w:rPr>
                <w:sz w:val="20"/>
                <w:szCs w:val="20"/>
                <w:lang w:val="fr-CA"/>
              </w:rPr>
              <w:t>c</w:t>
            </w:r>
            <w:r w:rsidRPr="00F67BC8">
              <w:rPr>
                <w:sz w:val="20"/>
                <w:szCs w:val="20"/>
                <w:lang w:val="fr-CA"/>
              </w:rPr>
              <w:t>. (3</w:t>
            </w:r>
            <w:r w:rsidR="00F67BC8">
              <w:rPr>
                <w:sz w:val="20"/>
                <w:szCs w:val="20"/>
                <w:lang w:val="fr-CA"/>
              </w:rPr>
              <w:t>6220</w:t>
            </w:r>
            <w:r w:rsidRPr="00F67BC8">
              <w:rPr>
                <w:sz w:val="20"/>
                <w:szCs w:val="20"/>
                <w:lang w:val="fr-CA"/>
              </w:rPr>
              <w:t>)</w:t>
            </w:r>
          </w:p>
          <w:p w:rsidR="00C21644" w:rsidRPr="00F67BC8" w:rsidRDefault="00C21644" w:rsidP="005F1ED8">
            <w:pPr>
              <w:tabs>
                <w:tab w:val="left" w:pos="-1440"/>
                <w:tab w:val="left" w:pos="-720"/>
              </w:tabs>
              <w:rPr>
                <w:sz w:val="20"/>
                <w:szCs w:val="20"/>
                <w:lang w:val="fr-CA"/>
              </w:rPr>
            </w:pPr>
          </w:p>
          <w:p w:rsidR="00C21644" w:rsidRPr="00F67BC8" w:rsidRDefault="00F67BC8" w:rsidP="005F1ED8">
            <w:pPr>
              <w:tabs>
                <w:tab w:val="left" w:pos="-1440"/>
                <w:tab w:val="left" w:pos="-720"/>
              </w:tabs>
              <w:rPr>
                <w:b/>
                <w:sz w:val="20"/>
                <w:szCs w:val="20"/>
                <w:lang w:val="fr-CA"/>
              </w:rPr>
            </w:pPr>
            <w:r>
              <w:rPr>
                <w:b/>
                <w:sz w:val="20"/>
                <w:szCs w:val="20"/>
                <w:lang w:val="fr-CA"/>
              </w:rPr>
              <w:t xml:space="preserve">Jean-Marc Poulin de Courval, ès qualités de syndic à la faillite de Sylvain Girard </w:t>
            </w:r>
            <w:r w:rsidR="00C21644" w:rsidRPr="00F67BC8">
              <w:rPr>
                <w:b/>
                <w:sz w:val="20"/>
                <w:szCs w:val="20"/>
                <w:lang w:val="fr-CA"/>
              </w:rPr>
              <w:t>(</w:t>
            </w:r>
            <w:r>
              <w:rPr>
                <w:b/>
                <w:sz w:val="20"/>
                <w:szCs w:val="20"/>
                <w:lang w:val="fr-CA"/>
              </w:rPr>
              <w:t>Qc</w:t>
            </w:r>
            <w:r w:rsidR="00C21644" w:rsidRPr="00F67BC8">
              <w:rPr>
                <w:b/>
                <w:sz w:val="20"/>
                <w:szCs w:val="20"/>
                <w:lang w:val="fr-CA"/>
              </w:rPr>
              <w:t>)</w:t>
            </w:r>
          </w:p>
          <w:p w:rsidR="00C21644" w:rsidRPr="00F67BC8" w:rsidRDefault="00C21644" w:rsidP="005F1ED8">
            <w:pPr>
              <w:tabs>
                <w:tab w:val="left" w:pos="-1440"/>
                <w:tab w:val="left" w:pos="-720"/>
              </w:tabs>
              <w:rPr>
                <w:sz w:val="20"/>
                <w:szCs w:val="20"/>
                <w:lang w:val="fr-CA"/>
              </w:rPr>
            </w:pPr>
            <w:r w:rsidRPr="00F67BC8">
              <w:rPr>
                <w:sz w:val="20"/>
                <w:szCs w:val="20"/>
                <w:lang w:val="fr-CA"/>
              </w:rPr>
              <w:tab/>
            </w:r>
            <w:r w:rsidR="00F67BC8">
              <w:rPr>
                <w:sz w:val="20"/>
                <w:szCs w:val="20"/>
                <w:lang w:val="fr-CA"/>
              </w:rPr>
              <w:t>Jean-Philippe Gervais</w:t>
            </w:r>
          </w:p>
          <w:p w:rsidR="00C21644" w:rsidRPr="00F67BC8" w:rsidRDefault="00C21644" w:rsidP="005F1ED8">
            <w:pPr>
              <w:tabs>
                <w:tab w:val="left" w:pos="-1440"/>
                <w:tab w:val="left" w:pos="-720"/>
              </w:tabs>
              <w:rPr>
                <w:sz w:val="20"/>
                <w:szCs w:val="20"/>
                <w:lang w:val="fr-CA"/>
              </w:rPr>
            </w:pPr>
            <w:r w:rsidRPr="00F67BC8">
              <w:rPr>
                <w:sz w:val="20"/>
                <w:szCs w:val="20"/>
                <w:lang w:val="fr-CA"/>
              </w:rPr>
              <w:tab/>
            </w:r>
            <w:r w:rsidR="00F67BC8">
              <w:rPr>
                <w:sz w:val="20"/>
                <w:szCs w:val="20"/>
                <w:lang w:val="fr-CA"/>
              </w:rPr>
              <w:t>Gervais &amp; Gervais</w:t>
            </w:r>
          </w:p>
          <w:p w:rsidR="00C21644" w:rsidRPr="00F67BC8" w:rsidRDefault="00C21644" w:rsidP="005F1ED8">
            <w:pPr>
              <w:tabs>
                <w:tab w:val="left" w:pos="-1440"/>
                <w:tab w:val="left" w:pos="-720"/>
              </w:tabs>
              <w:rPr>
                <w:sz w:val="20"/>
                <w:szCs w:val="20"/>
                <w:lang w:val="fr-CA"/>
              </w:rPr>
            </w:pPr>
          </w:p>
          <w:p w:rsidR="00C21644" w:rsidRPr="00F67BC8" w:rsidRDefault="00F67BC8" w:rsidP="00F67BC8">
            <w:pPr>
              <w:rPr>
                <w:sz w:val="20"/>
                <w:szCs w:val="20"/>
                <w:lang w:val="fr-CA"/>
              </w:rPr>
            </w:pPr>
            <w:r w:rsidRPr="00806A5B">
              <w:rPr>
                <w:sz w:val="20"/>
                <w:szCs w:val="20"/>
                <w:lang w:val="fr-CA"/>
              </w:rPr>
              <w:t>DATE DE PRODUCTION</w:t>
            </w:r>
            <w:r>
              <w:rPr>
                <w:sz w:val="20"/>
                <w:szCs w:val="20"/>
                <w:lang w:val="fr-CA"/>
              </w:rPr>
              <w:t xml:space="preserve"> </w:t>
            </w:r>
            <w:r w:rsidR="00C21644" w:rsidRPr="00F67BC8">
              <w:rPr>
                <w:sz w:val="20"/>
                <w:szCs w:val="20"/>
                <w:lang w:val="fr-CA"/>
              </w:rPr>
              <w:t>: 2</w:t>
            </w:r>
            <w:r w:rsidRPr="00F67BC8">
              <w:rPr>
                <w:sz w:val="20"/>
                <w:szCs w:val="20"/>
                <w:lang w:val="fr-CA"/>
              </w:rPr>
              <w:t>2</w:t>
            </w:r>
            <w:r w:rsidR="00C21644" w:rsidRPr="00F67BC8">
              <w:rPr>
                <w:sz w:val="20"/>
                <w:szCs w:val="20"/>
                <w:lang w:val="fr-CA"/>
              </w:rPr>
              <w:t>.</w:t>
            </w:r>
            <w:r w:rsidRPr="00F67BC8">
              <w:rPr>
                <w:sz w:val="20"/>
                <w:szCs w:val="20"/>
                <w:lang w:val="fr-CA"/>
              </w:rPr>
              <w:t>1</w:t>
            </w:r>
            <w:r w:rsidR="00C21644" w:rsidRPr="00F67BC8">
              <w:rPr>
                <w:sz w:val="20"/>
                <w:szCs w:val="20"/>
                <w:lang w:val="fr-CA"/>
              </w:rPr>
              <w:t>2.2014</w:t>
            </w:r>
            <w:r w:rsidR="00E42AAB">
              <w:rPr>
                <w:sz w:val="20"/>
                <w:szCs w:val="20"/>
                <w:lang w:val="fr-CA"/>
              </w:rPr>
              <w:pict>
                <v:rect id="_x0000_i1029" style="width:108pt;height:1pt" o:hrpct="0" o:hralign="center" o:hrstd="t" o:hrnoshade="t" o:hr="t" fillcolor="black [3213]" stroked="f"/>
              </w:pict>
            </w:r>
          </w:p>
        </w:tc>
        <w:tc>
          <w:tcPr>
            <w:tcW w:w="1181" w:type="dxa"/>
            <w:shd w:val="clear" w:color="auto" w:fill="auto"/>
          </w:tcPr>
          <w:p w:rsidR="00C21644" w:rsidRPr="00F67BC8" w:rsidRDefault="00C21644" w:rsidP="00242AEE">
            <w:pPr>
              <w:jc w:val="center"/>
              <w:rPr>
                <w:sz w:val="20"/>
                <w:szCs w:val="20"/>
                <w:lang w:val="fr-CA"/>
              </w:rPr>
            </w:pPr>
          </w:p>
          <w:p w:rsidR="00C21644" w:rsidRPr="00F67BC8" w:rsidRDefault="00C21644" w:rsidP="00242AEE">
            <w:pPr>
              <w:jc w:val="center"/>
              <w:rPr>
                <w:sz w:val="20"/>
                <w:szCs w:val="20"/>
                <w:lang w:val="fr-CA"/>
              </w:rPr>
            </w:pPr>
          </w:p>
          <w:p w:rsidR="00C21644" w:rsidRPr="00F67BC8" w:rsidRDefault="00C21644" w:rsidP="00242AEE">
            <w:pPr>
              <w:jc w:val="center"/>
              <w:rPr>
                <w:sz w:val="20"/>
                <w:szCs w:val="20"/>
                <w:lang w:val="fr-CA"/>
              </w:rPr>
            </w:pPr>
          </w:p>
          <w:p w:rsidR="00C21644" w:rsidRPr="00F67BC8" w:rsidRDefault="00C21644" w:rsidP="00242AEE">
            <w:pPr>
              <w:jc w:val="center"/>
              <w:rPr>
                <w:sz w:val="20"/>
                <w:szCs w:val="20"/>
                <w:lang w:val="fr-CA"/>
              </w:rPr>
            </w:pPr>
          </w:p>
          <w:p w:rsidR="00C21644" w:rsidRPr="00F67BC8" w:rsidRDefault="00C21644" w:rsidP="00242AEE">
            <w:pPr>
              <w:jc w:val="center"/>
              <w:rPr>
                <w:sz w:val="20"/>
                <w:szCs w:val="20"/>
                <w:lang w:val="fr-CA"/>
              </w:rPr>
            </w:pPr>
          </w:p>
          <w:p w:rsidR="00C21644" w:rsidRPr="00F67BC8" w:rsidRDefault="00C21644" w:rsidP="00242AEE">
            <w:pPr>
              <w:jc w:val="center"/>
              <w:rPr>
                <w:sz w:val="20"/>
                <w:szCs w:val="20"/>
                <w:lang w:val="fr-CA"/>
              </w:rPr>
            </w:pPr>
          </w:p>
          <w:p w:rsidR="00C21644" w:rsidRPr="00F67BC8" w:rsidRDefault="00C21644" w:rsidP="00242AEE">
            <w:pPr>
              <w:jc w:val="center"/>
              <w:rPr>
                <w:sz w:val="20"/>
                <w:szCs w:val="20"/>
                <w:lang w:val="fr-CA"/>
              </w:rPr>
            </w:pPr>
          </w:p>
          <w:p w:rsidR="00C21644" w:rsidRPr="00F67BC8" w:rsidRDefault="00C21644" w:rsidP="00242AEE">
            <w:pPr>
              <w:jc w:val="center"/>
              <w:rPr>
                <w:sz w:val="20"/>
                <w:szCs w:val="20"/>
                <w:lang w:val="fr-CA"/>
              </w:rPr>
            </w:pPr>
          </w:p>
          <w:p w:rsidR="00C21644" w:rsidRPr="00F67BC8" w:rsidRDefault="00C21644" w:rsidP="00242AEE">
            <w:pPr>
              <w:jc w:val="center"/>
              <w:rPr>
                <w:sz w:val="20"/>
                <w:szCs w:val="20"/>
                <w:lang w:val="fr-CA"/>
              </w:rPr>
            </w:pPr>
          </w:p>
          <w:p w:rsidR="00C21644" w:rsidRPr="00F67BC8" w:rsidRDefault="00C21644" w:rsidP="00242AEE">
            <w:pPr>
              <w:jc w:val="center"/>
              <w:rPr>
                <w:sz w:val="20"/>
                <w:szCs w:val="20"/>
                <w:lang w:val="fr-CA"/>
              </w:rPr>
            </w:pPr>
          </w:p>
          <w:p w:rsidR="00C21644" w:rsidRDefault="00C21644" w:rsidP="00242AEE">
            <w:pPr>
              <w:jc w:val="center"/>
              <w:rPr>
                <w:sz w:val="20"/>
                <w:szCs w:val="20"/>
                <w:lang w:val="fr-CA"/>
              </w:rPr>
            </w:pPr>
          </w:p>
          <w:p w:rsidR="00BC198E" w:rsidRPr="00F67BC8" w:rsidRDefault="00BC198E" w:rsidP="00242AEE">
            <w:pPr>
              <w:jc w:val="center"/>
              <w:rPr>
                <w:sz w:val="20"/>
                <w:szCs w:val="20"/>
                <w:lang w:val="fr-CA"/>
              </w:rPr>
            </w:pPr>
          </w:p>
          <w:p w:rsidR="00C21644" w:rsidRPr="00F67BC8" w:rsidRDefault="00C21644" w:rsidP="00242AEE">
            <w:pPr>
              <w:jc w:val="center"/>
              <w:rPr>
                <w:sz w:val="20"/>
                <w:szCs w:val="20"/>
                <w:lang w:val="fr-CA"/>
              </w:rPr>
            </w:pPr>
          </w:p>
          <w:p w:rsidR="00C21644" w:rsidRPr="00F67BC8" w:rsidRDefault="00C21644" w:rsidP="00242AEE">
            <w:pPr>
              <w:jc w:val="center"/>
              <w:rPr>
                <w:sz w:val="20"/>
                <w:szCs w:val="20"/>
                <w:lang w:val="fr-CA"/>
              </w:rPr>
            </w:pPr>
          </w:p>
        </w:tc>
        <w:tc>
          <w:tcPr>
            <w:tcW w:w="4320" w:type="dxa"/>
            <w:shd w:val="clear" w:color="auto" w:fill="auto"/>
          </w:tcPr>
          <w:p w:rsidR="00C21644" w:rsidRDefault="00C21644" w:rsidP="005F1ED8">
            <w:pPr>
              <w:rPr>
                <w:b/>
                <w:sz w:val="20"/>
                <w:szCs w:val="20"/>
                <w:lang w:val="fr-CA"/>
              </w:rPr>
            </w:pPr>
          </w:p>
          <w:p w:rsidR="00F67BC8" w:rsidRPr="00BC198E" w:rsidRDefault="00BC198E" w:rsidP="005F1ED8">
            <w:pPr>
              <w:rPr>
                <w:b/>
                <w:sz w:val="20"/>
                <w:szCs w:val="20"/>
              </w:rPr>
            </w:pPr>
            <w:r>
              <w:rPr>
                <w:b/>
                <w:sz w:val="20"/>
                <w:szCs w:val="20"/>
              </w:rPr>
              <w:t>Her Majesty the Queen</w:t>
            </w:r>
          </w:p>
          <w:p w:rsidR="00C21644" w:rsidRPr="00BC198E" w:rsidRDefault="00C21644" w:rsidP="005F1ED8">
            <w:pPr>
              <w:tabs>
                <w:tab w:val="left" w:pos="-1440"/>
                <w:tab w:val="left" w:pos="-720"/>
              </w:tabs>
              <w:rPr>
                <w:sz w:val="20"/>
                <w:szCs w:val="20"/>
              </w:rPr>
            </w:pPr>
            <w:r w:rsidRPr="00BC198E">
              <w:rPr>
                <w:sz w:val="20"/>
                <w:szCs w:val="20"/>
              </w:rPr>
              <w:tab/>
            </w:r>
            <w:r w:rsidR="00BC198E" w:rsidRPr="00BC198E">
              <w:rPr>
                <w:sz w:val="20"/>
                <w:szCs w:val="20"/>
              </w:rPr>
              <w:t xml:space="preserve">Andrew S. </w:t>
            </w:r>
            <w:r w:rsidR="00BC198E">
              <w:rPr>
                <w:sz w:val="20"/>
                <w:szCs w:val="20"/>
              </w:rPr>
              <w:t>Davis</w:t>
            </w:r>
          </w:p>
          <w:p w:rsidR="00C21644" w:rsidRPr="00BC198E" w:rsidRDefault="00C21644" w:rsidP="005F1ED8">
            <w:pPr>
              <w:tabs>
                <w:tab w:val="left" w:pos="-1440"/>
                <w:tab w:val="left" w:pos="-720"/>
              </w:tabs>
              <w:rPr>
                <w:sz w:val="20"/>
                <w:szCs w:val="20"/>
              </w:rPr>
            </w:pPr>
            <w:r w:rsidRPr="00BC198E">
              <w:rPr>
                <w:sz w:val="20"/>
                <w:szCs w:val="20"/>
              </w:rPr>
              <w:tab/>
            </w:r>
            <w:r w:rsidR="00BC198E">
              <w:rPr>
                <w:sz w:val="20"/>
                <w:szCs w:val="20"/>
              </w:rPr>
              <w:t>A.G. for Saskatchewan</w:t>
            </w:r>
          </w:p>
          <w:p w:rsidR="00C21644" w:rsidRPr="00BC198E" w:rsidRDefault="00C21644" w:rsidP="005F1ED8">
            <w:pPr>
              <w:tabs>
                <w:tab w:val="left" w:pos="-1440"/>
                <w:tab w:val="left" w:pos="-720"/>
              </w:tabs>
              <w:rPr>
                <w:sz w:val="20"/>
                <w:szCs w:val="20"/>
              </w:rPr>
            </w:pPr>
          </w:p>
          <w:p w:rsidR="00C21644" w:rsidRPr="00A935AA" w:rsidRDefault="00C21644" w:rsidP="005F1ED8">
            <w:pPr>
              <w:tabs>
                <w:tab w:val="left" w:pos="-1440"/>
                <w:tab w:val="left" w:pos="-720"/>
              </w:tabs>
              <w:rPr>
                <w:sz w:val="20"/>
                <w:szCs w:val="20"/>
              </w:rPr>
            </w:pPr>
            <w:r w:rsidRPr="00BC198E">
              <w:rPr>
                <w:sz w:val="20"/>
                <w:szCs w:val="20"/>
              </w:rPr>
              <w:tab/>
            </w:r>
            <w:r w:rsidRPr="00A935AA">
              <w:rPr>
                <w:sz w:val="20"/>
                <w:szCs w:val="20"/>
              </w:rPr>
              <w:t>v. (3</w:t>
            </w:r>
            <w:r w:rsidR="00BC198E">
              <w:rPr>
                <w:sz w:val="20"/>
                <w:szCs w:val="20"/>
              </w:rPr>
              <w:t>6216</w:t>
            </w:r>
            <w:r w:rsidRPr="00A935AA">
              <w:rPr>
                <w:sz w:val="20"/>
                <w:szCs w:val="20"/>
              </w:rPr>
              <w:t>)</w:t>
            </w:r>
          </w:p>
          <w:p w:rsidR="00C21644" w:rsidRPr="00A935AA" w:rsidRDefault="00C21644" w:rsidP="005F1ED8">
            <w:pPr>
              <w:tabs>
                <w:tab w:val="left" w:pos="-1440"/>
                <w:tab w:val="left" w:pos="-720"/>
              </w:tabs>
              <w:rPr>
                <w:sz w:val="20"/>
                <w:szCs w:val="20"/>
              </w:rPr>
            </w:pPr>
          </w:p>
          <w:p w:rsidR="00C21644" w:rsidRPr="00A935AA" w:rsidRDefault="00BC198E" w:rsidP="005F1ED8">
            <w:pPr>
              <w:tabs>
                <w:tab w:val="left" w:pos="-1440"/>
                <w:tab w:val="left" w:pos="-720"/>
              </w:tabs>
              <w:rPr>
                <w:b/>
                <w:sz w:val="20"/>
                <w:szCs w:val="20"/>
              </w:rPr>
            </w:pPr>
            <w:r>
              <w:rPr>
                <w:b/>
                <w:sz w:val="20"/>
                <w:szCs w:val="20"/>
              </w:rPr>
              <w:t xml:space="preserve">Timothy Louie </w:t>
            </w:r>
            <w:r w:rsidR="00C21644" w:rsidRPr="00A935AA">
              <w:rPr>
                <w:b/>
                <w:sz w:val="20"/>
                <w:szCs w:val="20"/>
              </w:rPr>
              <w:t>(</w:t>
            </w:r>
            <w:r>
              <w:rPr>
                <w:b/>
                <w:sz w:val="20"/>
                <w:szCs w:val="20"/>
              </w:rPr>
              <w:t>Sask</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BC198E">
              <w:rPr>
                <w:sz w:val="20"/>
                <w:szCs w:val="20"/>
              </w:rPr>
              <w:t>Bob P. Hrycan</w:t>
            </w:r>
          </w:p>
          <w:p w:rsidR="00C21644" w:rsidRPr="00A935AA" w:rsidRDefault="00C21644" w:rsidP="005F1ED8">
            <w:pPr>
              <w:tabs>
                <w:tab w:val="left" w:pos="-1440"/>
                <w:tab w:val="left" w:pos="-720"/>
              </w:tabs>
              <w:rPr>
                <w:sz w:val="20"/>
                <w:szCs w:val="20"/>
              </w:rPr>
            </w:pPr>
            <w:r w:rsidRPr="00A935AA">
              <w:rPr>
                <w:sz w:val="20"/>
                <w:szCs w:val="20"/>
              </w:rPr>
              <w:tab/>
            </w:r>
            <w:r w:rsidR="00BC198E">
              <w:rPr>
                <w:sz w:val="20"/>
                <w:szCs w:val="20"/>
              </w:rPr>
              <w:t>Hrycan Law Firm</w:t>
            </w:r>
          </w:p>
          <w:p w:rsidR="00C21644" w:rsidRPr="00A935AA" w:rsidRDefault="00C21644" w:rsidP="005F1ED8">
            <w:pPr>
              <w:tabs>
                <w:tab w:val="left" w:pos="-1440"/>
                <w:tab w:val="left" w:pos="-720"/>
              </w:tabs>
              <w:rPr>
                <w:sz w:val="20"/>
                <w:szCs w:val="20"/>
              </w:rPr>
            </w:pPr>
          </w:p>
          <w:p w:rsidR="00C21644" w:rsidRPr="00A935AA" w:rsidRDefault="00C21644" w:rsidP="00BC198E">
            <w:pPr>
              <w:rPr>
                <w:sz w:val="20"/>
                <w:szCs w:val="20"/>
              </w:rPr>
            </w:pPr>
            <w:r w:rsidRPr="00A935AA">
              <w:rPr>
                <w:sz w:val="20"/>
                <w:szCs w:val="20"/>
              </w:rPr>
              <w:t xml:space="preserve">FILING DATE: </w:t>
            </w:r>
            <w:r w:rsidR="00BC198E">
              <w:rPr>
                <w:sz w:val="20"/>
                <w:szCs w:val="20"/>
              </w:rPr>
              <w:t>1</w:t>
            </w:r>
            <w:r>
              <w:rPr>
                <w:sz w:val="20"/>
                <w:szCs w:val="20"/>
              </w:rPr>
              <w:t>8</w:t>
            </w:r>
            <w:r w:rsidRPr="00A935AA">
              <w:rPr>
                <w:sz w:val="20"/>
                <w:szCs w:val="20"/>
              </w:rPr>
              <w:t>.</w:t>
            </w:r>
            <w:r w:rsidR="00BC198E">
              <w:rPr>
                <w:sz w:val="20"/>
                <w:szCs w:val="20"/>
              </w:rPr>
              <w:t>1</w:t>
            </w:r>
            <w:r>
              <w:rPr>
                <w:sz w:val="20"/>
                <w:szCs w:val="20"/>
              </w:rPr>
              <w:t>2</w:t>
            </w:r>
            <w:r w:rsidRPr="00A935AA">
              <w:rPr>
                <w:sz w:val="20"/>
                <w:szCs w:val="20"/>
              </w:rPr>
              <w:t>.201</w:t>
            </w:r>
            <w:r>
              <w:rPr>
                <w:sz w:val="20"/>
                <w:szCs w:val="20"/>
              </w:rPr>
              <w:t>4</w:t>
            </w:r>
            <w:r w:rsidR="00E42AAB">
              <w:rPr>
                <w:sz w:val="20"/>
                <w:szCs w:val="20"/>
                <w:lang w:val="fr-CA"/>
              </w:rPr>
              <w:pict>
                <v:rect id="_x0000_i1030" style="width:108pt;height:1pt" o:hrpct="0" o:hralign="center" o:hrstd="t" o:hrnoshade="t" o:hr="t" fillcolor="black [3213]" stroked="f"/>
              </w:pict>
            </w:r>
          </w:p>
        </w:tc>
      </w:tr>
      <w:tr w:rsidR="0025502E" w:rsidRPr="00BC198E" w:rsidTr="003B3977">
        <w:trPr>
          <w:cantSplit/>
        </w:trPr>
        <w:tc>
          <w:tcPr>
            <w:tcW w:w="4320" w:type="dxa"/>
            <w:shd w:val="clear" w:color="auto" w:fill="auto"/>
          </w:tcPr>
          <w:p w:rsidR="0025502E" w:rsidRPr="00A935AA" w:rsidRDefault="0025502E" w:rsidP="005F1ED8">
            <w:pPr>
              <w:rPr>
                <w:b/>
                <w:sz w:val="20"/>
                <w:szCs w:val="20"/>
              </w:rPr>
            </w:pPr>
            <w:r>
              <w:rPr>
                <w:b/>
                <w:sz w:val="20"/>
                <w:szCs w:val="20"/>
              </w:rPr>
              <w:t>Minister of Justice et al.</w:t>
            </w:r>
          </w:p>
          <w:p w:rsidR="0025502E" w:rsidRPr="00A935AA" w:rsidRDefault="0025502E" w:rsidP="005F1ED8">
            <w:pPr>
              <w:tabs>
                <w:tab w:val="left" w:pos="-1440"/>
                <w:tab w:val="left" w:pos="-720"/>
              </w:tabs>
              <w:rPr>
                <w:sz w:val="20"/>
                <w:szCs w:val="20"/>
              </w:rPr>
            </w:pPr>
            <w:r w:rsidRPr="00A935AA">
              <w:rPr>
                <w:sz w:val="20"/>
                <w:szCs w:val="20"/>
              </w:rPr>
              <w:tab/>
            </w:r>
            <w:r>
              <w:rPr>
                <w:sz w:val="20"/>
                <w:szCs w:val="20"/>
              </w:rPr>
              <w:t>Roderick Wiltshire</w:t>
            </w:r>
          </w:p>
          <w:p w:rsidR="0025502E" w:rsidRPr="00A935AA" w:rsidRDefault="0025502E" w:rsidP="005F1ED8">
            <w:pPr>
              <w:tabs>
                <w:tab w:val="left" w:pos="-1440"/>
                <w:tab w:val="left" w:pos="-720"/>
              </w:tabs>
              <w:rPr>
                <w:sz w:val="20"/>
                <w:szCs w:val="20"/>
              </w:rPr>
            </w:pPr>
            <w:r w:rsidRPr="00A935AA">
              <w:rPr>
                <w:sz w:val="20"/>
                <w:szCs w:val="20"/>
              </w:rPr>
              <w:tab/>
            </w:r>
            <w:r>
              <w:rPr>
                <w:sz w:val="20"/>
                <w:szCs w:val="20"/>
              </w:rPr>
              <w:t>A.G. of Alberta</w:t>
            </w:r>
          </w:p>
          <w:p w:rsidR="0025502E" w:rsidRPr="00A935AA" w:rsidRDefault="0025502E" w:rsidP="005F1ED8">
            <w:pPr>
              <w:tabs>
                <w:tab w:val="left" w:pos="-1440"/>
                <w:tab w:val="left" w:pos="-720"/>
              </w:tabs>
              <w:rPr>
                <w:sz w:val="20"/>
                <w:szCs w:val="20"/>
              </w:rPr>
            </w:pPr>
          </w:p>
          <w:p w:rsidR="0025502E" w:rsidRPr="00A935AA" w:rsidRDefault="0025502E" w:rsidP="005F1ED8">
            <w:pPr>
              <w:tabs>
                <w:tab w:val="left" w:pos="-1440"/>
                <w:tab w:val="left" w:pos="-720"/>
              </w:tabs>
              <w:rPr>
                <w:sz w:val="20"/>
                <w:szCs w:val="20"/>
              </w:rPr>
            </w:pPr>
            <w:r w:rsidRPr="00A935AA">
              <w:rPr>
                <w:sz w:val="20"/>
                <w:szCs w:val="20"/>
              </w:rPr>
              <w:tab/>
              <w:t>v. (3</w:t>
            </w:r>
            <w:r>
              <w:rPr>
                <w:sz w:val="20"/>
                <w:szCs w:val="20"/>
              </w:rPr>
              <w:t>6234</w:t>
            </w:r>
            <w:r w:rsidRPr="00A935AA">
              <w:rPr>
                <w:sz w:val="20"/>
                <w:szCs w:val="20"/>
              </w:rPr>
              <w:t>)</w:t>
            </w:r>
          </w:p>
          <w:p w:rsidR="0025502E" w:rsidRPr="00A935AA" w:rsidRDefault="0025502E" w:rsidP="005F1ED8">
            <w:pPr>
              <w:tabs>
                <w:tab w:val="left" w:pos="-1440"/>
                <w:tab w:val="left" w:pos="-720"/>
              </w:tabs>
              <w:rPr>
                <w:sz w:val="20"/>
                <w:szCs w:val="20"/>
              </w:rPr>
            </w:pPr>
          </w:p>
          <w:p w:rsidR="0025502E" w:rsidRPr="00A935AA" w:rsidRDefault="0025502E" w:rsidP="005F1ED8">
            <w:pPr>
              <w:tabs>
                <w:tab w:val="left" w:pos="-1440"/>
                <w:tab w:val="left" w:pos="-720"/>
              </w:tabs>
              <w:rPr>
                <w:b/>
                <w:sz w:val="20"/>
                <w:szCs w:val="20"/>
              </w:rPr>
            </w:pPr>
            <w:r>
              <w:rPr>
                <w:b/>
                <w:sz w:val="20"/>
                <w:szCs w:val="20"/>
              </w:rPr>
              <w:t xml:space="preserve">Alberta Union of Provincial Employees et al. </w:t>
            </w:r>
            <w:r w:rsidRPr="00A935AA">
              <w:rPr>
                <w:b/>
                <w:sz w:val="20"/>
                <w:szCs w:val="20"/>
              </w:rPr>
              <w:t>(</w:t>
            </w:r>
            <w:r>
              <w:rPr>
                <w:b/>
                <w:sz w:val="20"/>
                <w:szCs w:val="20"/>
              </w:rPr>
              <w:t>Alta</w:t>
            </w:r>
            <w:r w:rsidRPr="00A935AA">
              <w:rPr>
                <w:b/>
                <w:sz w:val="20"/>
                <w:szCs w:val="20"/>
              </w:rPr>
              <w:t>.)</w:t>
            </w:r>
          </w:p>
          <w:p w:rsidR="0025502E" w:rsidRPr="00A935AA" w:rsidRDefault="0025502E" w:rsidP="005F1ED8">
            <w:pPr>
              <w:tabs>
                <w:tab w:val="left" w:pos="-1440"/>
                <w:tab w:val="left" w:pos="-720"/>
              </w:tabs>
              <w:rPr>
                <w:sz w:val="20"/>
                <w:szCs w:val="20"/>
              </w:rPr>
            </w:pPr>
            <w:r w:rsidRPr="00A935AA">
              <w:rPr>
                <w:sz w:val="20"/>
                <w:szCs w:val="20"/>
              </w:rPr>
              <w:tab/>
            </w:r>
            <w:r>
              <w:rPr>
                <w:sz w:val="20"/>
                <w:szCs w:val="20"/>
              </w:rPr>
              <w:t>William A. Johnson, Q.C.</w:t>
            </w:r>
          </w:p>
          <w:p w:rsidR="0025502E" w:rsidRPr="00A935AA" w:rsidRDefault="0025502E" w:rsidP="005F1ED8">
            <w:pPr>
              <w:tabs>
                <w:tab w:val="left" w:pos="-1440"/>
                <w:tab w:val="left" w:pos="-720"/>
              </w:tabs>
              <w:rPr>
                <w:sz w:val="20"/>
                <w:szCs w:val="20"/>
              </w:rPr>
            </w:pPr>
            <w:r w:rsidRPr="00A935AA">
              <w:rPr>
                <w:sz w:val="20"/>
                <w:szCs w:val="20"/>
              </w:rPr>
              <w:tab/>
            </w:r>
            <w:r>
              <w:rPr>
                <w:sz w:val="20"/>
                <w:szCs w:val="20"/>
              </w:rPr>
              <w:t>McGown, Johnson</w:t>
            </w:r>
          </w:p>
          <w:p w:rsidR="0025502E" w:rsidRPr="00A935AA" w:rsidRDefault="0025502E" w:rsidP="005F1ED8">
            <w:pPr>
              <w:tabs>
                <w:tab w:val="left" w:pos="-1440"/>
                <w:tab w:val="left" w:pos="-720"/>
              </w:tabs>
              <w:rPr>
                <w:sz w:val="20"/>
                <w:szCs w:val="20"/>
              </w:rPr>
            </w:pPr>
          </w:p>
          <w:p w:rsidR="0025502E" w:rsidRPr="00A935AA" w:rsidRDefault="0025502E" w:rsidP="00BC198E">
            <w:pPr>
              <w:rPr>
                <w:sz w:val="20"/>
                <w:szCs w:val="20"/>
              </w:rPr>
            </w:pPr>
            <w:r w:rsidRPr="00A935AA">
              <w:rPr>
                <w:sz w:val="20"/>
                <w:szCs w:val="20"/>
              </w:rPr>
              <w:t>FILING DATE: 2</w:t>
            </w:r>
            <w:r>
              <w:rPr>
                <w:sz w:val="20"/>
                <w:szCs w:val="20"/>
              </w:rPr>
              <w:t>2</w:t>
            </w:r>
            <w:r w:rsidRPr="00A935AA">
              <w:rPr>
                <w:sz w:val="20"/>
                <w:szCs w:val="20"/>
              </w:rPr>
              <w:t>.</w:t>
            </w:r>
            <w:r>
              <w:rPr>
                <w:sz w:val="20"/>
                <w:szCs w:val="20"/>
              </w:rPr>
              <w:t>12</w:t>
            </w:r>
            <w:r w:rsidRPr="00A935AA">
              <w:rPr>
                <w:sz w:val="20"/>
                <w:szCs w:val="20"/>
              </w:rPr>
              <w:t>.201</w:t>
            </w:r>
            <w:r>
              <w:rPr>
                <w:sz w:val="20"/>
                <w:szCs w:val="20"/>
              </w:rPr>
              <w:t>4</w:t>
            </w:r>
            <w:r w:rsidR="00E42AAB">
              <w:rPr>
                <w:sz w:val="20"/>
                <w:szCs w:val="20"/>
                <w:lang w:val="fr-CA"/>
              </w:rPr>
              <w:pict>
                <v:rect id="_x0000_i1031" style="width:108pt;height:1pt" o:hrpct="0" o:hralign="center" o:hrstd="t" o:hrnoshade="t" o:hr="t" fillcolor="black [3213]" stroked="f"/>
              </w:pict>
            </w:r>
          </w:p>
        </w:tc>
        <w:tc>
          <w:tcPr>
            <w:tcW w:w="1181" w:type="dxa"/>
            <w:shd w:val="clear" w:color="auto" w:fill="auto"/>
          </w:tcPr>
          <w:p w:rsidR="0025502E" w:rsidRPr="00A935AA" w:rsidRDefault="0025502E" w:rsidP="00242AEE">
            <w:pPr>
              <w:jc w:val="center"/>
              <w:rPr>
                <w:sz w:val="20"/>
                <w:szCs w:val="20"/>
              </w:rPr>
            </w:pPr>
          </w:p>
          <w:p w:rsidR="0025502E" w:rsidRPr="00A935AA" w:rsidRDefault="0025502E" w:rsidP="00242AEE">
            <w:pPr>
              <w:jc w:val="center"/>
              <w:rPr>
                <w:sz w:val="20"/>
                <w:szCs w:val="20"/>
              </w:rPr>
            </w:pPr>
          </w:p>
          <w:p w:rsidR="0025502E" w:rsidRPr="00A935AA" w:rsidRDefault="0025502E" w:rsidP="00242AEE">
            <w:pPr>
              <w:jc w:val="center"/>
              <w:rPr>
                <w:sz w:val="20"/>
                <w:szCs w:val="20"/>
              </w:rPr>
            </w:pPr>
          </w:p>
          <w:p w:rsidR="0025502E" w:rsidRPr="00A935AA" w:rsidRDefault="0025502E" w:rsidP="00242AEE">
            <w:pPr>
              <w:jc w:val="center"/>
              <w:rPr>
                <w:sz w:val="20"/>
                <w:szCs w:val="20"/>
              </w:rPr>
            </w:pPr>
          </w:p>
          <w:p w:rsidR="0025502E" w:rsidRPr="00A935AA" w:rsidRDefault="0025502E" w:rsidP="00242AEE">
            <w:pPr>
              <w:jc w:val="center"/>
              <w:rPr>
                <w:sz w:val="20"/>
                <w:szCs w:val="20"/>
              </w:rPr>
            </w:pPr>
          </w:p>
          <w:p w:rsidR="0025502E" w:rsidRPr="00A935AA" w:rsidRDefault="0025502E" w:rsidP="00242AEE">
            <w:pPr>
              <w:jc w:val="center"/>
              <w:rPr>
                <w:sz w:val="20"/>
                <w:szCs w:val="20"/>
              </w:rPr>
            </w:pPr>
          </w:p>
          <w:p w:rsidR="0025502E" w:rsidRPr="00A935AA" w:rsidRDefault="0025502E" w:rsidP="00242AEE">
            <w:pPr>
              <w:jc w:val="center"/>
              <w:rPr>
                <w:sz w:val="20"/>
                <w:szCs w:val="20"/>
              </w:rPr>
            </w:pPr>
          </w:p>
          <w:p w:rsidR="0025502E" w:rsidRPr="00A935AA" w:rsidRDefault="0025502E" w:rsidP="00242AEE">
            <w:pPr>
              <w:jc w:val="center"/>
              <w:rPr>
                <w:sz w:val="20"/>
                <w:szCs w:val="20"/>
              </w:rPr>
            </w:pPr>
          </w:p>
          <w:p w:rsidR="0025502E" w:rsidRDefault="0025502E" w:rsidP="00242AEE">
            <w:pPr>
              <w:jc w:val="center"/>
              <w:rPr>
                <w:sz w:val="20"/>
                <w:szCs w:val="20"/>
              </w:rPr>
            </w:pPr>
          </w:p>
          <w:p w:rsidR="0025502E" w:rsidRPr="00A935AA" w:rsidRDefault="0025502E" w:rsidP="00242AEE">
            <w:pPr>
              <w:jc w:val="center"/>
              <w:rPr>
                <w:sz w:val="20"/>
                <w:szCs w:val="20"/>
              </w:rPr>
            </w:pPr>
          </w:p>
          <w:p w:rsidR="0025502E" w:rsidRPr="00A935AA" w:rsidRDefault="0025502E" w:rsidP="00242AEE">
            <w:pPr>
              <w:jc w:val="center"/>
              <w:rPr>
                <w:sz w:val="20"/>
                <w:szCs w:val="20"/>
              </w:rPr>
            </w:pPr>
          </w:p>
          <w:p w:rsidR="0025502E" w:rsidRPr="00A935AA" w:rsidRDefault="0025502E" w:rsidP="00242AEE">
            <w:pPr>
              <w:jc w:val="center"/>
              <w:rPr>
                <w:sz w:val="20"/>
                <w:szCs w:val="20"/>
              </w:rPr>
            </w:pPr>
          </w:p>
          <w:p w:rsidR="0025502E" w:rsidRPr="00A935AA" w:rsidRDefault="0025502E" w:rsidP="00242AEE">
            <w:pPr>
              <w:jc w:val="center"/>
              <w:rPr>
                <w:sz w:val="20"/>
                <w:szCs w:val="20"/>
              </w:rPr>
            </w:pPr>
          </w:p>
          <w:p w:rsidR="0025502E" w:rsidRPr="00A935AA" w:rsidRDefault="0025502E" w:rsidP="00242AEE">
            <w:pPr>
              <w:jc w:val="center"/>
              <w:rPr>
                <w:sz w:val="20"/>
                <w:szCs w:val="20"/>
              </w:rPr>
            </w:pPr>
          </w:p>
        </w:tc>
        <w:tc>
          <w:tcPr>
            <w:tcW w:w="4320" w:type="dxa"/>
            <w:shd w:val="clear" w:color="auto" w:fill="auto"/>
          </w:tcPr>
          <w:p w:rsidR="0025502E" w:rsidRPr="00A935AA" w:rsidRDefault="0025502E" w:rsidP="00B353D9">
            <w:pPr>
              <w:rPr>
                <w:b/>
                <w:sz w:val="20"/>
                <w:szCs w:val="20"/>
              </w:rPr>
            </w:pPr>
            <w:r>
              <w:rPr>
                <w:b/>
                <w:sz w:val="20"/>
                <w:szCs w:val="20"/>
              </w:rPr>
              <w:t>Derek Riesberry</w:t>
            </w:r>
          </w:p>
          <w:p w:rsidR="0025502E" w:rsidRPr="00A935AA" w:rsidRDefault="0025502E" w:rsidP="00B353D9">
            <w:pPr>
              <w:tabs>
                <w:tab w:val="left" w:pos="-1440"/>
                <w:tab w:val="left" w:pos="-720"/>
              </w:tabs>
              <w:rPr>
                <w:sz w:val="20"/>
                <w:szCs w:val="20"/>
              </w:rPr>
            </w:pPr>
            <w:r w:rsidRPr="00A935AA">
              <w:rPr>
                <w:sz w:val="20"/>
                <w:szCs w:val="20"/>
              </w:rPr>
              <w:tab/>
            </w:r>
            <w:r>
              <w:rPr>
                <w:sz w:val="20"/>
                <w:szCs w:val="20"/>
              </w:rPr>
              <w:t>Gregory Lafontaine</w:t>
            </w:r>
          </w:p>
          <w:p w:rsidR="0025502E" w:rsidRPr="00A935AA" w:rsidRDefault="0025502E" w:rsidP="00B353D9">
            <w:pPr>
              <w:tabs>
                <w:tab w:val="left" w:pos="-1440"/>
                <w:tab w:val="left" w:pos="-720"/>
              </w:tabs>
              <w:rPr>
                <w:sz w:val="20"/>
                <w:szCs w:val="20"/>
              </w:rPr>
            </w:pPr>
            <w:r w:rsidRPr="00A935AA">
              <w:rPr>
                <w:sz w:val="20"/>
                <w:szCs w:val="20"/>
              </w:rPr>
              <w:tab/>
            </w:r>
            <w:r>
              <w:rPr>
                <w:sz w:val="20"/>
                <w:szCs w:val="20"/>
              </w:rPr>
              <w:t>Lafontaine &amp; Associates</w:t>
            </w:r>
          </w:p>
          <w:p w:rsidR="0025502E" w:rsidRPr="00A935AA" w:rsidRDefault="0025502E" w:rsidP="00B353D9">
            <w:pPr>
              <w:tabs>
                <w:tab w:val="left" w:pos="-1440"/>
                <w:tab w:val="left" w:pos="-720"/>
              </w:tabs>
              <w:rPr>
                <w:sz w:val="20"/>
                <w:szCs w:val="20"/>
              </w:rPr>
            </w:pPr>
          </w:p>
          <w:p w:rsidR="0025502E" w:rsidRPr="00A935AA" w:rsidRDefault="0025502E" w:rsidP="00B353D9">
            <w:pPr>
              <w:tabs>
                <w:tab w:val="left" w:pos="-1440"/>
                <w:tab w:val="left" w:pos="-720"/>
              </w:tabs>
              <w:rPr>
                <w:sz w:val="20"/>
                <w:szCs w:val="20"/>
              </w:rPr>
            </w:pPr>
            <w:r w:rsidRPr="00A935AA">
              <w:rPr>
                <w:sz w:val="20"/>
                <w:szCs w:val="20"/>
              </w:rPr>
              <w:tab/>
              <w:t>v. (3</w:t>
            </w:r>
            <w:r>
              <w:rPr>
                <w:sz w:val="20"/>
                <w:szCs w:val="20"/>
              </w:rPr>
              <w:t>6179</w:t>
            </w:r>
            <w:r w:rsidRPr="00A935AA">
              <w:rPr>
                <w:sz w:val="20"/>
                <w:szCs w:val="20"/>
              </w:rPr>
              <w:t>)</w:t>
            </w:r>
          </w:p>
          <w:p w:rsidR="0025502E" w:rsidRPr="00A935AA" w:rsidRDefault="0025502E" w:rsidP="00B353D9">
            <w:pPr>
              <w:tabs>
                <w:tab w:val="left" w:pos="-1440"/>
                <w:tab w:val="left" w:pos="-720"/>
              </w:tabs>
              <w:rPr>
                <w:sz w:val="20"/>
                <w:szCs w:val="20"/>
              </w:rPr>
            </w:pPr>
          </w:p>
          <w:p w:rsidR="0025502E" w:rsidRPr="00A935AA" w:rsidRDefault="0025502E" w:rsidP="00B353D9">
            <w:pPr>
              <w:tabs>
                <w:tab w:val="left" w:pos="-1440"/>
                <w:tab w:val="left" w:pos="-720"/>
              </w:tabs>
              <w:rPr>
                <w:b/>
                <w:sz w:val="20"/>
                <w:szCs w:val="20"/>
              </w:rPr>
            </w:pPr>
            <w:r>
              <w:rPr>
                <w:b/>
                <w:sz w:val="20"/>
                <w:szCs w:val="20"/>
              </w:rPr>
              <w:t xml:space="preserve">Her Majesty the Queen </w:t>
            </w:r>
            <w:r w:rsidRPr="00A935AA">
              <w:rPr>
                <w:b/>
                <w:sz w:val="20"/>
                <w:szCs w:val="20"/>
              </w:rPr>
              <w:t>(</w:t>
            </w:r>
            <w:r>
              <w:rPr>
                <w:b/>
                <w:sz w:val="20"/>
                <w:szCs w:val="20"/>
              </w:rPr>
              <w:t>Ont</w:t>
            </w:r>
            <w:r w:rsidRPr="00A935AA">
              <w:rPr>
                <w:b/>
                <w:sz w:val="20"/>
                <w:szCs w:val="20"/>
              </w:rPr>
              <w:t>.)</w:t>
            </w:r>
          </w:p>
          <w:p w:rsidR="0025502E" w:rsidRPr="00A935AA" w:rsidRDefault="0025502E" w:rsidP="00B353D9">
            <w:pPr>
              <w:tabs>
                <w:tab w:val="left" w:pos="-1440"/>
                <w:tab w:val="left" w:pos="-720"/>
              </w:tabs>
              <w:rPr>
                <w:sz w:val="20"/>
                <w:szCs w:val="20"/>
              </w:rPr>
            </w:pPr>
            <w:r w:rsidRPr="00A935AA">
              <w:rPr>
                <w:sz w:val="20"/>
                <w:szCs w:val="20"/>
              </w:rPr>
              <w:tab/>
            </w:r>
            <w:r>
              <w:rPr>
                <w:sz w:val="20"/>
                <w:szCs w:val="20"/>
              </w:rPr>
              <w:t>Matthew Asma</w:t>
            </w:r>
          </w:p>
          <w:p w:rsidR="0025502E" w:rsidRPr="00A935AA" w:rsidRDefault="0025502E" w:rsidP="00B353D9">
            <w:pPr>
              <w:tabs>
                <w:tab w:val="left" w:pos="-1440"/>
                <w:tab w:val="left" w:pos="-720"/>
              </w:tabs>
              <w:rPr>
                <w:sz w:val="20"/>
                <w:szCs w:val="20"/>
              </w:rPr>
            </w:pPr>
            <w:r w:rsidRPr="00A935AA">
              <w:rPr>
                <w:sz w:val="20"/>
                <w:szCs w:val="20"/>
              </w:rPr>
              <w:tab/>
            </w:r>
            <w:r>
              <w:rPr>
                <w:sz w:val="20"/>
                <w:szCs w:val="20"/>
              </w:rPr>
              <w:t>A.G. of Ontario</w:t>
            </w:r>
          </w:p>
          <w:p w:rsidR="0025502E" w:rsidRPr="00A935AA" w:rsidRDefault="0025502E" w:rsidP="00B353D9">
            <w:pPr>
              <w:tabs>
                <w:tab w:val="left" w:pos="-1440"/>
                <w:tab w:val="left" w:pos="-720"/>
              </w:tabs>
              <w:rPr>
                <w:sz w:val="20"/>
                <w:szCs w:val="20"/>
              </w:rPr>
            </w:pPr>
          </w:p>
          <w:p w:rsidR="0025502E" w:rsidRPr="00A935AA" w:rsidRDefault="0025502E" w:rsidP="00B353D9">
            <w:pPr>
              <w:rPr>
                <w:sz w:val="20"/>
                <w:szCs w:val="20"/>
              </w:rPr>
            </w:pPr>
            <w:r w:rsidRPr="00A935AA">
              <w:rPr>
                <w:sz w:val="20"/>
                <w:szCs w:val="20"/>
              </w:rPr>
              <w:t>FILING DATE: 2</w:t>
            </w:r>
            <w:r>
              <w:rPr>
                <w:sz w:val="20"/>
                <w:szCs w:val="20"/>
              </w:rPr>
              <w:t>9</w:t>
            </w:r>
            <w:r w:rsidRPr="00A935AA">
              <w:rPr>
                <w:sz w:val="20"/>
                <w:szCs w:val="20"/>
              </w:rPr>
              <w:t>.</w:t>
            </w:r>
            <w:r>
              <w:rPr>
                <w:sz w:val="20"/>
                <w:szCs w:val="20"/>
              </w:rPr>
              <w:t>12</w:t>
            </w:r>
            <w:r w:rsidRPr="00A935AA">
              <w:rPr>
                <w:sz w:val="20"/>
                <w:szCs w:val="20"/>
              </w:rPr>
              <w:t>.201</w:t>
            </w:r>
            <w:r>
              <w:rPr>
                <w:sz w:val="20"/>
                <w:szCs w:val="20"/>
              </w:rPr>
              <w:t>4</w:t>
            </w:r>
            <w:r w:rsidR="00E42AAB">
              <w:rPr>
                <w:sz w:val="20"/>
                <w:szCs w:val="20"/>
                <w:lang w:val="fr-CA"/>
              </w:rPr>
              <w:pict>
                <v:rect id="_x0000_i1032" style="width:108pt;height:1pt" o:hrpct="0" o:hralign="center" o:hrstd="t" o:hrnoshade="t" o:hr="t" fillcolor="black [3213]" stroked="f"/>
              </w:pict>
            </w:r>
          </w:p>
        </w:tc>
      </w:tr>
      <w:tr w:rsidR="0025502E" w:rsidRPr="00E42AAB" w:rsidTr="003B3977">
        <w:trPr>
          <w:cantSplit/>
        </w:trPr>
        <w:tc>
          <w:tcPr>
            <w:tcW w:w="4320" w:type="dxa"/>
            <w:shd w:val="clear" w:color="auto" w:fill="auto"/>
          </w:tcPr>
          <w:p w:rsidR="0025502E" w:rsidRPr="00096B8E" w:rsidRDefault="0025502E" w:rsidP="005F1ED8">
            <w:pPr>
              <w:rPr>
                <w:b/>
                <w:sz w:val="20"/>
                <w:szCs w:val="20"/>
              </w:rPr>
            </w:pPr>
            <w:r w:rsidRPr="00096B8E">
              <w:rPr>
                <w:b/>
                <w:sz w:val="20"/>
                <w:szCs w:val="20"/>
              </w:rPr>
              <w:lastRenderedPageBreak/>
              <w:t>Mona Lisa Nowak</w:t>
            </w:r>
          </w:p>
          <w:p w:rsidR="0025502E" w:rsidRPr="00BC198E" w:rsidRDefault="0025502E" w:rsidP="005F1ED8">
            <w:pPr>
              <w:tabs>
                <w:tab w:val="left" w:pos="-1440"/>
                <w:tab w:val="left" w:pos="-720"/>
              </w:tabs>
              <w:rPr>
                <w:sz w:val="20"/>
                <w:szCs w:val="20"/>
              </w:rPr>
            </w:pPr>
            <w:r w:rsidRPr="00096B8E">
              <w:rPr>
                <w:sz w:val="20"/>
                <w:szCs w:val="20"/>
              </w:rPr>
              <w:tab/>
            </w:r>
            <w:r w:rsidRPr="00BC198E">
              <w:rPr>
                <w:sz w:val="20"/>
                <w:szCs w:val="20"/>
              </w:rPr>
              <w:t>Eli C. Walker</w:t>
            </w:r>
          </w:p>
          <w:p w:rsidR="0025502E" w:rsidRPr="00BC198E" w:rsidRDefault="0025502E" w:rsidP="005F1ED8">
            <w:pPr>
              <w:tabs>
                <w:tab w:val="left" w:pos="-1440"/>
                <w:tab w:val="left" w:pos="-720"/>
              </w:tabs>
              <w:rPr>
                <w:sz w:val="20"/>
                <w:szCs w:val="20"/>
              </w:rPr>
            </w:pPr>
            <w:r w:rsidRPr="00BC198E">
              <w:rPr>
                <w:sz w:val="20"/>
                <w:szCs w:val="20"/>
              </w:rPr>
              <w:tab/>
              <w:t>Aaron Gordon Daykin Nordlinger LLP</w:t>
            </w:r>
          </w:p>
          <w:p w:rsidR="0025502E" w:rsidRPr="00BC198E" w:rsidRDefault="0025502E" w:rsidP="005F1ED8">
            <w:pPr>
              <w:tabs>
                <w:tab w:val="left" w:pos="-1440"/>
                <w:tab w:val="left" w:pos="-720"/>
              </w:tabs>
              <w:rPr>
                <w:sz w:val="20"/>
                <w:szCs w:val="20"/>
              </w:rPr>
            </w:pPr>
          </w:p>
          <w:p w:rsidR="0025502E" w:rsidRPr="00BC198E" w:rsidRDefault="0025502E" w:rsidP="005F1ED8">
            <w:pPr>
              <w:tabs>
                <w:tab w:val="left" w:pos="-1440"/>
                <w:tab w:val="left" w:pos="-720"/>
              </w:tabs>
              <w:rPr>
                <w:sz w:val="20"/>
                <w:szCs w:val="20"/>
              </w:rPr>
            </w:pPr>
            <w:r w:rsidRPr="00BC198E">
              <w:rPr>
                <w:sz w:val="20"/>
                <w:szCs w:val="20"/>
              </w:rPr>
              <w:tab/>
              <w:t>v. (36229)</w:t>
            </w:r>
          </w:p>
          <w:p w:rsidR="0025502E" w:rsidRPr="00BC198E" w:rsidRDefault="0025502E" w:rsidP="005F1ED8">
            <w:pPr>
              <w:tabs>
                <w:tab w:val="left" w:pos="-1440"/>
                <w:tab w:val="left" w:pos="-720"/>
              </w:tabs>
              <w:rPr>
                <w:sz w:val="20"/>
                <w:szCs w:val="20"/>
              </w:rPr>
            </w:pPr>
          </w:p>
          <w:p w:rsidR="0025502E" w:rsidRPr="00BC198E" w:rsidRDefault="0025502E" w:rsidP="005F1ED8">
            <w:pPr>
              <w:tabs>
                <w:tab w:val="left" w:pos="-1440"/>
                <w:tab w:val="left" w:pos="-720"/>
              </w:tabs>
              <w:rPr>
                <w:b/>
                <w:sz w:val="20"/>
                <w:szCs w:val="20"/>
              </w:rPr>
            </w:pPr>
            <w:r w:rsidRPr="00BC198E">
              <w:rPr>
                <w:b/>
                <w:sz w:val="20"/>
                <w:szCs w:val="20"/>
              </w:rPr>
              <w:t>Michael Charles John Nowak (B.C.)</w:t>
            </w:r>
          </w:p>
          <w:p w:rsidR="0025502E" w:rsidRPr="00BC198E" w:rsidRDefault="0025502E" w:rsidP="005F1ED8">
            <w:pPr>
              <w:tabs>
                <w:tab w:val="left" w:pos="-1440"/>
                <w:tab w:val="left" w:pos="-720"/>
              </w:tabs>
              <w:rPr>
                <w:sz w:val="20"/>
                <w:szCs w:val="20"/>
              </w:rPr>
            </w:pPr>
            <w:r w:rsidRPr="00BC198E">
              <w:rPr>
                <w:sz w:val="20"/>
                <w:szCs w:val="20"/>
              </w:rPr>
              <w:tab/>
            </w:r>
            <w:r>
              <w:rPr>
                <w:sz w:val="20"/>
                <w:szCs w:val="20"/>
              </w:rPr>
              <w:t>Shawna L. Specht</w:t>
            </w:r>
          </w:p>
          <w:p w:rsidR="0025502E" w:rsidRPr="00BC198E" w:rsidRDefault="0025502E" w:rsidP="005F1ED8">
            <w:pPr>
              <w:tabs>
                <w:tab w:val="left" w:pos="-1440"/>
                <w:tab w:val="left" w:pos="-720"/>
              </w:tabs>
              <w:rPr>
                <w:sz w:val="20"/>
                <w:szCs w:val="20"/>
              </w:rPr>
            </w:pPr>
          </w:p>
          <w:p w:rsidR="0025502E" w:rsidRPr="00096B8E" w:rsidRDefault="0025502E" w:rsidP="00BC198E">
            <w:pPr>
              <w:rPr>
                <w:sz w:val="20"/>
                <w:szCs w:val="20"/>
              </w:rPr>
            </w:pPr>
            <w:r w:rsidRPr="00096B8E">
              <w:rPr>
                <w:sz w:val="20"/>
                <w:szCs w:val="20"/>
              </w:rPr>
              <w:t>FILING DATE: 23.12.2014</w:t>
            </w:r>
            <w:r w:rsidR="00E42AAB">
              <w:rPr>
                <w:sz w:val="20"/>
                <w:szCs w:val="20"/>
                <w:lang w:val="fr-CA"/>
              </w:rPr>
              <w:pict>
                <v:rect id="_x0000_i1033" style="width:108pt;height:1pt" o:hrpct="0" o:hralign="center" o:hrstd="t" o:hrnoshade="t" o:hr="t" fillcolor="black [3213]" stroked="f"/>
              </w:pict>
            </w:r>
          </w:p>
        </w:tc>
        <w:tc>
          <w:tcPr>
            <w:tcW w:w="1181" w:type="dxa"/>
            <w:shd w:val="clear" w:color="auto" w:fill="auto"/>
          </w:tcPr>
          <w:p w:rsidR="0025502E" w:rsidRPr="00096B8E" w:rsidRDefault="0025502E" w:rsidP="00242AEE">
            <w:pPr>
              <w:jc w:val="center"/>
              <w:rPr>
                <w:sz w:val="20"/>
                <w:szCs w:val="20"/>
              </w:rPr>
            </w:pPr>
          </w:p>
          <w:p w:rsidR="0025502E" w:rsidRPr="00096B8E" w:rsidRDefault="0025502E" w:rsidP="00242AEE">
            <w:pPr>
              <w:jc w:val="center"/>
              <w:rPr>
                <w:sz w:val="20"/>
                <w:szCs w:val="20"/>
              </w:rPr>
            </w:pPr>
          </w:p>
          <w:p w:rsidR="0025502E" w:rsidRPr="00096B8E" w:rsidRDefault="0025502E" w:rsidP="00242AEE">
            <w:pPr>
              <w:jc w:val="center"/>
              <w:rPr>
                <w:sz w:val="20"/>
                <w:szCs w:val="20"/>
              </w:rPr>
            </w:pPr>
          </w:p>
          <w:p w:rsidR="0025502E" w:rsidRPr="00096B8E" w:rsidRDefault="0025502E" w:rsidP="00242AEE">
            <w:pPr>
              <w:jc w:val="center"/>
              <w:rPr>
                <w:sz w:val="20"/>
                <w:szCs w:val="20"/>
              </w:rPr>
            </w:pPr>
          </w:p>
          <w:p w:rsidR="0025502E" w:rsidRPr="00096B8E" w:rsidRDefault="0025502E" w:rsidP="00242AEE">
            <w:pPr>
              <w:jc w:val="center"/>
              <w:rPr>
                <w:sz w:val="20"/>
                <w:szCs w:val="20"/>
              </w:rPr>
            </w:pPr>
          </w:p>
          <w:p w:rsidR="0025502E" w:rsidRPr="00096B8E" w:rsidRDefault="0025502E" w:rsidP="00242AEE">
            <w:pPr>
              <w:jc w:val="center"/>
              <w:rPr>
                <w:sz w:val="20"/>
                <w:szCs w:val="20"/>
              </w:rPr>
            </w:pPr>
          </w:p>
          <w:p w:rsidR="0025502E" w:rsidRPr="00096B8E" w:rsidRDefault="0025502E" w:rsidP="00242AEE">
            <w:pPr>
              <w:jc w:val="center"/>
              <w:rPr>
                <w:sz w:val="20"/>
                <w:szCs w:val="20"/>
              </w:rPr>
            </w:pPr>
          </w:p>
          <w:p w:rsidR="0025502E" w:rsidRPr="00096B8E" w:rsidRDefault="0025502E" w:rsidP="00242AEE">
            <w:pPr>
              <w:jc w:val="center"/>
              <w:rPr>
                <w:sz w:val="20"/>
                <w:szCs w:val="20"/>
              </w:rPr>
            </w:pPr>
          </w:p>
          <w:p w:rsidR="0025502E" w:rsidRPr="00096B8E" w:rsidRDefault="0025502E" w:rsidP="00242AEE">
            <w:pPr>
              <w:jc w:val="center"/>
              <w:rPr>
                <w:sz w:val="20"/>
                <w:szCs w:val="20"/>
              </w:rPr>
            </w:pPr>
          </w:p>
          <w:p w:rsidR="0025502E" w:rsidRPr="00096B8E" w:rsidRDefault="0025502E" w:rsidP="00242AEE">
            <w:pPr>
              <w:jc w:val="center"/>
              <w:rPr>
                <w:sz w:val="20"/>
                <w:szCs w:val="20"/>
              </w:rPr>
            </w:pPr>
          </w:p>
          <w:p w:rsidR="0025502E" w:rsidRPr="00096B8E" w:rsidRDefault="0025502E" w:rsidP="00242AEE">
            <w:pPr>
              <w:jc w:val="center"/>
              <w:rPr>
                <w:sz w:val="20"/>
                <w:szCs w:val="20"/>
              </w:rPr>
            </w:pPr>
          </w:p>
          <w:p w:rsidR="0025502E" w:rsidRPr="00096B8E" w:rsidRDefault="0025502E" w:rsidP="00242AEE">
            <w:pPr>
              <w:jc w:val="center"/>
              <w:rPr>
                <w:sz w:val="20"/>
                <w:szCs w:val="20"/>
              </w:rPr>
            </w:pPr>
          </w:p>
        </w:tc>
        <w:tc>
          <w:tcPr>
            <w:tcW w:w="4320" w:type="dxa"/>
            <w:shd w:val="clear" w:color="auto" w:fill="auto"/>
          </w:tcPr>
          <w:p w:rsidR="0025502E" w:rsidRPr="00BC198E" w:rsidRDefault="0025502E" w:rsidP="00B353D9">
            <w:pPr>
              <w:rPr>
                <w:b/>
                <w:sz w:val="20"/>
                <w:szCs w:val="20"/>
                <w:lang w:val="fr-CA"/>
              </w:rPr>
            </w:pPr>
            <w:r>
              <w:rPr>
                <w:b/>
                <w:sz w:val="20"/>
                <w:szCs w:val="20"/>
                <w:lang w:val="fr-CA"/>
              </w:rPr>
              <w:t>La Presse, ltée</w:t>
            </w:r>
          </w:p>
          <w:p w:rsidR="0025502E" w:rsidRPr="00BC198E" w:rsidRDefault="0025502E" w:rsidP="00B353D9">
            <w:pPr>
              <w:tabs>
                <w:tab w:val="left" w:pos="-1440"/>
                <w:tab w:val="left" w:pos="-720"/>
              </w:tabs>
              <w:rPr>
                <w:sz w:val="20"/>
                <w:szCs w:val="20"/>
                <w:lang w:val="fr-CA"/>
              </w:rPr>
            </w:pPr>
            <w:r w:rsidRPr="00BC198E">
              <w:rPr>
                <w:sz w:val="20"/>
                <w:szCs w:val="20"/>
                <w:lang w:val="fr-CA"/>
              </w:rPr>
              <w:tab/>
            </w:r>
            <w:r>
              <w:rPr>
                <w:sz w:val="20"/>
                <w:szCs w:val="20"/>
                <w:lang w:val="fr-CA"/>
              </w:rPr>
              <w:t>Christian Leblanc</w:t>
            </w:r>
          </w:p>
          <w:p w:rsidR="0025502E" w:rsidRPr="00BC198E" w:rsidRDefault="0025502E" w:rsidP="00B353D9">
            <w:pPr>
              <w:tabs>
                <w:tab w:val="left" w:pos="-1440"/>
                <w:tab w:val="left" w:pos="-720"/>
              </w:tabs>
              <w:rPr>
                <w:sz w:val="20"/>
                <w:szCs w:val="20"/>
                <w:lang w:val="fr-CA"/>
              </w:rPr>
            </w:pPr>
            <w:r w:rsidRPr="00BC198E">
              <w:rPr>
                <w:sz w:val="20"/>
                <w:szCs w:val="20"/>
                <w:lang w:val="fr-CA"/>
              </w:rPr>
              <w:tab/>
            </w:r>
            <w:r>
              <w:rPr>
                <w:sz w:val="20"/>
                <w:szCs w:val="20"/>
                <w:lang w:val="fr-CA"/>
              </w:rPr>
              <w:t>Fasken Martineau DuMoulin LLP</w:t>
            </w:r>
          </w:p>
          <w:p w:rsidR="0025502E" w:rsidRPr="00BC198E" w:rsidRDefault="0025502E" w:rsidP="00B353D9">
            <w:pPr>
              <w:tabs>
                <w:tab w:val="left" w:pos="-1440"/>
                <w:tab w:val="left" w:pos="-720"/>
              </w:tabs>
              <w:rPr>
                <w:sz w:val="20"/>
                <w:szCs w:val="20"/>
                <w:lang w:val="fr-CA"/>
              </w:rPr>
            </w:pPr>
          </w:p>
          <w:p w:rsidR="0025502E" w:rsidRPr="00CF2A22" w:rsidRDefault="0025502E" w:rsidP="00B353D9">
            <w:pPr>
              <w:tabs>
                <w:tab w:val="left" w:pos="-1440"/>
                <w:tab w:val="left" w:pos="-720"/>
              </w:tabs>
              <w:rPr>
                <w:sz w:val="20"/>
                <w:szCs w:val="20"/>
                <w:lang w:val="fr-CA"/>
              </w:rPr>
            </w:pPr>
            <w:r w:rsidRPr="00BC198E">
              <w:rPr>
                <w:sz w:val="20"/>
                <w:szCs w:val="20"/>
                <w:lang w:val="fr-CA"/>
              </w:rPr>
              <w:tab/>
            </w:r>
            <w:r>
              <w:rPr>
                <w:sz w:val="20"/>
                <w:szCs w:val="20"/>
                <w:lang w:val="fr-CA"/>
              </w:rPr>
              <w:t>c</w:t>
            </w:r>
            <w:r w:rsidRPr="00CF2A22">
              <w:rPr>
                <w:sz w:val="20"/>
                <w:szCs w:val="20"/>
                <w:lang w:val="fr-CA"/>
              </w:rPr>
              <w:t>. (3</w:t>
            </w:r>
            <w:r>
              <w:rPr>
                <w:sz w:val="20"/>
                <w:szCs w:val="20"/>
                <w:lang w:val="fr-CA"/>
              </w:rPr>
              <w:t>6233</w:t>
            </w:r>
            <w:r w:rsidRPr="00CF2A22">
              <w:rPr>
                <w:sz w:val="20"/>
                <w:szCs w:val="20"/>
                <w:lang w:val="fr-CA"/>
              </w:rPr>
              <w:t>)</w:t>
            </w:r>
          </w:p>
          <w:p w:rsidR="0025502E" w:rsidRPr="00CF2A22" w:rsidRDefault="0025502E" w:rsidP="00B353D9">
            <w:pPr>
              <w:tabs>
                <w:tab w:val="left" w:pos="-1440"/>
                <w:tab w:val="left" w:pos="-720"/>
              </w:tabs>
              <w:rPr>
                <w:sz w:val="20"/>
                <w:szCs w:val="20"/>
                <w:lang w:val="fr-CA"/>
              </w:rPr>
            </w:pPr>
          </w:p>
          <w:p w:rsidR="0025502E" w:rsidRPr="00CF2A22" w:rsidRDefault="0025502E" w:rsidP="00B353D9">
            <w:pPr>
              <w:tabs>
                <w:tab w:val="left" w:pos="-1440"/>
                <w:tab w:val="left" w:pos="-720"/>
              </w:tabs>
              <w:rPr>
                <w:b/>
                <w:sz w:val="20"/>
                <w:szCs w:val="20"/>
                <w:lang w:val="fr-CA"/>
              </w:rPr>
            </w:pPr>
            <w:r>
              <w:rPr>
                <w:b/>
                <w:sz w:val="20"/>
                <w:szCs w:val="20"/>
                <w:lang w:val="fr-CA"/>
              </w:rPr>
              <w:t xml:space="preserve">Guy Drouin et autres </w:t>
            </w:r>
            <w:r w:rsidRPr="00CF2A22">
              <w:rPr>
                <w:b/>
                <w:sz w:val="20"/>
                <w:szCs w:val="20"/>
                <w:lang w:val="fr-CA"/>
              </w:rPr>
              <w:t>(</w:t>
            </w:r>
            <w:r>
              <w:rPr>
                <w:b/>
                <w:sz w:val="20"/>
                <w:szCs w:val="20"/>
                <w:lang w:val="fr-CA"/>
              </w:rPr>
              <w:t>Qc</w:t>
            </w:r>
            <w:r w:rsidRPr="00CF2A22">
              <w:rPr>
                <w:b/>
                <w:sz w:val="20"/>
                <w:szCs w:val="20"/>
                <w:lang w:val="fr-CA"/>
              </w:rPr>
              <w:t>)</w:t>
            </w:r>
          </w:p>
          <w:p w:rsidR="0025502E" w:rsidRPr="00CF2A22" w:rsidRDefault="0025502E" w:rsidP="00B353D9">
            <w:pPr>
              <w:tabs>
                <w:tab w:val="left" w:pos="-1440"/>
                <w:tab w:val="left" w:pos="-720"/>
              </w:tabs>
              <w:rPr>
                <w:sz w:val="20"/>
                <w:szCs w:val="20"/>
                <w:lang w:val="fr-CA"/>
              </w:rPr>
            </w:pPr>
            <w:r w:rsidRPr="00CF2A22">
              <w:rPr>
                <w:sz w:val="20"/>
                <w:szCs w:val="20"/>
                <w:lang w:val="fr-CA"/>
              </w:rPr>
              <w:tab/>
            </w:r>
            <w:r>
              <w:rPr>
                <w:sz w:val="20"/>
                <w:szCs w:val="20"/>
                <w:lang w:val="fr-CA"/>
              </w:rPr>
              <w:t>Rita Magloé</w:t>
            </w:r>
          </w:p>
          <w:p w:rsidR="0025502E" w:rsidRPr="00CF2A22" w:rsidRDefault="0025502E" w:rsidP="00B353D9">
            <w:pPr>
              <w:tabs>
                <w:tab w:val="left" w:pos="-1440"/>
                <w:tab w:val="left" w:pos="-720"/>
              </w:tabs>
              <w:rPr>
                <w:sz w:val="20"/>
                <w:szCs w:val="20"/>
                <w:lang w:val="fr-CA"/>
              </w:rPr>
            </w:pPr>
          </w:p>
          <w:p w:rsidR="0025502E" w:rsidRPr="00CF2A22" w:rsidRDefault="0025502E" w:rsidP="00B353D9">
            <w:pPr>
              <w:rPr>
                <w:sz w:val="20"/>
                <w:szCs w:val="20"/>
                <w:lang w:val="fr-CA"/>
              </w:rPr>
            </w:pPr>
            <w:r w:rsidRPr="00806A5B">
              <w:rPr>
                <w:sz w:val="20"/>
                <w:szCs w:val="20"/>
                <w:lang w:val="fr-CA"/>
              </w:rPr>
              <w:t>DATE DE PRODUCTION</w:t>
            </w:r>
            <w:r>
              <w:rPr>
                <w:sz w:val="20"/>
                <w:szCs w:val="20"/>
                <w:lang w:val="fr-CA"/>
              </w:rPr>
              <w:t xml:space="preserve"> : 29</w:t>
            </w:r>
            <w:r w:rsidRPr="00806A5B">
              <w:rPr>
                <w:sz w:val="20"/>
                <w:szCs w:val="20"/>
                <w:lang w:val="fr-CA"/>
              </w:rPr>
              <w:t>.1</w:t>
            </w:r>
            <w:r>
              <w:rPr>
                <w:sz w:val="20"/>
                <w:szCs w:val="20"/>
                <w:lang w:val="fr-CA"/>
              </w:rPr>
              <w:t>2</w:t>
            </w:r>
            <w:r w:rsidRPr="00806A5B">
              <w:rPr>
                <w:sz w:val="20"/>
                <w:szCs w:val="20"/>
                <w:lang w:val="fr-CA"/>
              </w:rPr>
              <w:t>.2014</w:t>
            </w:r>
            <w:r w:rsidR="00E42AAB">
              <w:rPr>
                <w:sz w:val="20"/>
                <w:szCs w:val="20"/>
                <w:lang w:val="fr-CA"/>
              </w:rPr>
              <w:pict>
                <v:rect id="_x0000_i1034" style="width:108pt;height:1pt" o:hrpct="0" o:hralign="center" o:hrstd="t" o:hrnoshade="t" o:hr="t" fillcolor="black [3213]" stroked="f"/>
              </w:pict>
            </w:r>
          </w:p>
        </w:tc>
      </w:tr>
      <w:tr w:rsidR="0025502E" w:rsidRPr="0025502E" w:rsidTr="003B3977">
        <w:trPr>
          <w:cantSplit/>
        </w:trPr>
        <w:tc>
          <w:tcPr>
            <w:tcW w:w="4320" w:type="dxa"/>
            <w:shd w:val="clear" w:color="auto" w:fill="auto"/>
          </w:tcPr>
          <w:p w:rsidR="0025502E" w:rsidRPr="00CF2A22" w:rsidRDefault="0025502E" w:rsidP="005F1ED8">
            <w:pPr>
              <w:rPr>
                <w:b/>
                <w:sz w:val="20"/>
                <w:szCs w:val="20"/>
              </w:rPr>
            </w:pPr>
            <w:r w:rsidRPr="00CF2A22">
              <w:rPr>
                <w:b/>
                <w:sz w:val="20"/>
                <w:szCs w:val="20"/>
              </w:rPr>
              <w:t>Shawn Curtis Keepness</w:t>
            </w:r>
          </w:p>
          <w:p w:rsidR="0025502E" w:rsidRPr="00CF2A22" w:rsidRDefault="0025502E" w:rsidP="005F1ED8">
            <w:pPr>
              <w:tabs>
                <w:tab w:val="left" w:pos="-1440"/>
                <w:tab w:val="left" w:pos="-720"/>
              </w:tabs>
              <w:rPr>
                <w:sz w:val="20"/>
                <w:szCs w:val="20"/>
              </w:rPr>
            </w:pPr>
            <w:r w:rsidRPr="00CF2A22">
              <w:rPr>
                <w:sz w:val="20"/>
                <w:szCs w:val="20"/>
              </w:rPr>
              <w:tab/>
            </w:r>
            <w:r>
              <w:rPr>
                <w:sz w:val="20"/>
                <w:szCs w:val="20"/>
              </w:rPr>
              <w:t>James A.T. Struthers, Q.C.</w:t>
            </w:r>
          </w:p>
          <w:p w:rsidR="0025502E" w:rsidRPr="00CF2A22" w:rsidRDefault="0025502E" w:rsidP="005F1ED8">
            <w:pPr>
              <w:tabs>
                <w:tab w:val="left" w:pos="-1440"/>
                <w:tab w:val="left" w:pos="-720"/>
              </w:tabs>
              <w:rPr>
                <w:sz w:val="20"/>
                <w:szCs w:val="20"/>
              </w:rPr>
            </w:pPr>
            <w:r w:rsidRPr="00CF2A22">
              <w:rPr>
                <w:sz w:val="20"/>
                <w:szCs w:val="20"/>
              </w:rPr>
              <w:tab/>
            </w:r>
            <w:r>
              <w:rPr>
                <w:sz w:val="20"/>
                <w:szCs w:val="20"/>
              </w:rPr>
              <w:t>Legal Aid Saskatchewan</w:t>
            </w:r>
          </w:p>
          <w:p w:rsidR="0025502E" w:rsidRPr="00CF2A22" w:rsidRDefault="0025502E" w:rsidP="005F1ED8">
            <w:pPr>
              <w:tabs>
                <w:tab w:val="left" w:pos="-1440"/>
                <w:tab w:val="left" w:pos="-720"/>
              </w:tabs>
              <w:rPr>
                <w:sz w:val="20"/>
                <w:szCs w:val="20"/>
              </w:rPr>
            </w:pPr>
          </w:p>
          <w:p w:rsidR="0025502E" w:rsidRPr="00CF2A22" w:rsidRDefault="0025502E" w:rsidP="005F1ED8">
            <w:pPr>
              <w:tabs>
                <w:tab w:val="left" w:pos="-1440"/>
                <w:tab w:val="left" w:pos="-720"/>
              </w:tabs>
              <w:rPr>
                <w:sz w:val="20"/>
                <w:szCs w:val="20"/>
              </w:rPr>
            </w:pPr>
            <w:r w:rsidRPr="00CF2A22">
              <w:rPr>
                <w:sz w:val="20"/>
                <w:szCs w:val="20"/>
              </w:rPr>
              <w:tab/>
              <w:t>v. (3</w:t>
            </w:r>
            <w:r>
              <w:rPr>
                <w:sz w:val="20"/>
                <w:szCs w:val="20"/>
              </w:rPr>
              <w:t>6192</w:t>
            </w:r>
            <w:r w:rsidRPr="00CF2A22">
              <w:rPr>
                <w:sz w:val="20"/>
                <w:szCs w:val="20"/>
              </w:rPr>
              <w:t>)</w:t>
            </w:r>
          </w:p>
          <w:p w:rsidR="0025502E" w:rsidRPr="00CF2A22" w:rsidRDefault="0025502E" w:rsidP="005F1ED8">
            <w:pPr>
              <w:tabs>
                <w:tab w:val="left" w:pos="-1440"/>
                <w:tab w:val="left" w:pos="-720"/>
              </w:tabs>
              <w:rPr>
                <w:sz w:val="20"/>
                <w:szCs w:val="20"/>
              </w:rPr>
            </w:pPr>
          </w:p>
          <w:p w:rsidR="0025502E" w:rsidRPr="00CF2A22" w:rsidRDefault="0025502E" w:rsidP="005F1ED8">
            <w:pPr>
              <w:tabs>
                <w:tab w:val="left" w:pos="-1440"/>
                <w:tab w:val="left" w:pos="-720"/>
              </w:tabs>
              <w:rPr>
                <w:b/>
                <w:sz w:val="20"/>
                <w:szCs w:val="20"/>
              </w:rPr>
            </w:pPr>
            <w:r>
              <w:rPr>
                <w:b/>
                <w:sz w:val="20"/>
                <w:szCs w:val="20"/>
              </w:rPr>
              <w:t xml:space="preserve">Her Majesty the Queen </w:t>
            </w:r>
            <w:r w:rsidRPr="00CF2A22">
              <w:rPr>
                <w:b/>
                <w:sz w:val="20"/>
                <w:szCs w:val="20"/>
              </w:rPr>
              <w:t>(Sask.)</w:t>
            </w:r>
          </w:p>
          <w:p w:rsidR="0025502E" w:rsidRPr="00CF2A22" w:rsidRDefault="0025502E" w:rsidP="005F1ED8">
            <w:pPr>
              <w:tabs>
                <w:tab w:val="left" w:pos="-1440"/>
                <w:tab w:val="left" w:pos="-720"/>
              </w:tabs>
              <w:rPr>
                <w:sz w:val="20"/>
                <w:szCs w:val="20"/>
              </w:rPr>
            </w:pPr>
            <w:r w:rsidRPr="00CF2A22">
              <w:rPr>
                <w:sz w:val="20"/>
                <w:szCs w:val="20"/>
              </w:rPr>
              <w:tab/>
            </w:r>
            <w:r>
              <w:rPr>
                <w:sz w:val="20"/>
                <w:szCs w:val="20"/>
              </w:rPr>
              <w:t>W. Dean Sinclair</w:t>
            </w:r>
          </w:p>
          <w:p w:rsidR="0025502E" w:rsidRPr="00CF2A22" w:rsidRDefault="0025502E" w:rsidP="005F1ED8">
            <w:pPr>
              <w:tabs>
                <w:tab w:val="left" w:pos="-1440"/>
                <w:tab w:val="left" w:pos="-720"/>
              </w:tabs>
              <w:rPr>
                <w:sz w:val="20"/>
                <w:szCs w:val="20"/>
              </w:rPr>
            </w:pPr>
            <w:r w:rsidRPr="00CF2A22">
              <w:rPr>
                <w:sz w:val="20"/>
                <w:szCs w:val="20"/>
              </w:rPr>
              <w:tab/>
            </w:r>
            <w:r>
              <w:rPr>
                <w:sz w:val="20"/>
                <w:szCs w:val="20"/>
              </w:rPr>
              <w:t>A.G. of Saskatchewan</w:t>
            </w:r>
          </w:p>
          <w:p w:rsidR="0025502E" w:rsidRPr="00CF2A22" w:rsidRDefault="0025502E" w:rsidP="005F1ED8">
            <w:pPr>
              <w:tabs>
                <w:tab w:val="left" w:pos="-1440"/>
                <w:tab w:val="left" w:pos="-720"/>
              </w:tabs>
              <w:rPr>
                <w:sz w:val="20"/>
                <w:szCs w:val="20"/>
              </w:rPr>
            </w:pPr>
          </w:p>
          <w:p w:rsidR="0025502E" w:rsidRPr="00BC198E" w:rsidRDefault="0025502E" w:rsidP="00CF2A22">
            <w:pPr>
              <w:rPr>
                <w:sz w:val="20"/>
                <w:szCs w:val="20"/>
                <w:lang w:val="fr-CA"/>
              </w:rPr>
            </w:pPr>
            <w:r w:rsidRPr="00A935AA">
              <w:rPr>
                <w:sz w:val="20"/>
                <w:szCs w:val="20"/>
              </w:rPr>
              <w:t>FILING DATE</w:t>
            </w:r>
            <w:r w:rsidRPr="00806A5B">
              <w:rPr>
                <w:sz w:val="20"/>
                <w:szCs w:val="20"/>
                <w:lang w:val="fr-CA"/>
              </w:rPr>
              <w:t xml:space="preserve">: </w:t>
            </w:r>
            <w:r>
              <w:rPr>
                <w:sz w:val="20"/>
                <w:szCs w:val="20"/>
                <w:lang w:val="fr-CA"/>
              </w:rPr>
              <w:t>30</w:t>
            </w:r>
            <w:r w:rsidRPr="00806A5B">
              <w:rPr>
                <w:sz w:val="20"/>
                <w:szCs w:val="20"/>
                <w:lang w:val="fr-CA"/>
              </w:rPr>
              <w:t>.1</w:t>
            </w:r>
            <w:r>
              <w:rPr>
                <w:sz w:val="20"/>
                <w:szCs w:val="20"/>
                <w:lang w:val="fr-CA"/>
              </w:rPr>
              <w:t>2</w:t>
            </w:r>
            <w:r w:rsidRPr="00806A5B">
              <w:rPr>
                <w:sz w:val="20"/>
                <w:szCs w:val="20"/>
                <w:lang w:val="fr-CA"/>
              </w:rPr>
              <w:t>.2014</w:t>
            </w:r>
            <w:r w:rsidR="00E42AAB">
              <w:rPr>
                <w:sz w:val="20"/>
                <w:szCs w:val="20"/>
                <w:lang w:val="fr-CA"/>
              </w:rPr>
              <w:pict>
                <v:rect id="_x0000_i1035" style="width:108pt;height:1pt" o:hrpct="0" o:hralign="center" o:hrstd="t" o:hrnoshade="t" o:hr="t" fillcolor="black [3213]" stroked="f"/>
              </w:pict>
            </w:r>
          </w:p>
        </w:tc>
        <w:tc>
          <w:tcPr>
            <w:tcW w:w="1181" w:type="dxa"/>
            <w:shd w:val="clear" w:color="auto" w:fill="auto"/>
          </w:tcPr>
          <w:p w:rsidR="0025502E" w:rsidRPr="00BC198E" w:rsidRDefault="0025502E" w:rsidP="00242AEE">
            <w:pPr>
              <w:jc w:val="center"/>
              <w:rPr>
                <w:sz w:val="20"/>
                <w:szCs w:val="20"/>
                <w:lang w:val="fr-CA"/>
              </w:rPr>
            </w:pPr>
          </w:p>
          <w:p w:rsidR="0025502E" w:rsidRPr="00BC198E" w:rsidRDefault="0025502E" w:rsidP="00242AEE">
            <w:pPr>
              <w:jc w:val="center"/>
              <w:rPr>
                <w:sz w:val="20"/>
                <w:szCs w:val="20"/>
                <w:lang w:val="fr-CA"/>
              </w:rPr>
            </w:pPr>
          </w:p>
          <w:p w:rsidR="0025502E" w:rsidRPr="00BC198E" w:rsidRDefault="0025502E" w:rsidP="00242AEE">
            <w:pPr>
              <w:jc w:val="center"/>
              <w:rPr>
                <w:sz w:val="20"/>
                <w:szCs w:val="20"/>
                <w:lang w:val="fr-CA"/>
              </w:rPr>
            </w:pPr>
          </w:p>
          <w:p w:rsidR="0025502E" w:rsidRPr="00BC198E" w:rsidRDefault="0025502E" w:rsidP="00242AEE">
            <w:pPr>
              <w:jc w:val="center"/>
              <w:rPr>
                <w:sz w:val="20"/>
                <w:szCs w:val="20"/>
                <w:lang w:val="fr-CA"/>
              </w:rPr>
            </w:pPr>
          </w:p>
          <w:p w:rsidR="0025502E" w:rsidRPr="00BC198E" w:rsidRDefault="0025502E" w:rsidP="00242AEE">
            <w:pPr>
              <w:jc w:val="center"/>
              <w:rPr>
                <w:sz w:val="20"/>
                <w:szCs w:val="20"/>
                <w:lang w:val="fr-CA"/>
              </w:rPr>
            </w:pPr>
          </w:p>
          <w:p w:rsidR="0025502E" w:rsidRPr="00BC198E" w:rsidRDefault="0025502E" w:rsidP="00242AEE">
            <w:pPr>
              <w:jc w:val="center"/>
              <w:rPr>
                <w:sz w:val="20"/>
                <w:szCs w:val="20"/>
                <w:lang w:val="fr-CA"/>
              </w:rPr>
            </w:pPr>
          </w:p>
          <w:p w:rsidR="0025502E" w:rsidRPr="00BC198E" w:rsidRDefault="0025502E" w:rsidP="00242AEE">
            <w:pPr>
              <w:jc w:val="center"/>
              <w:rPr>
                <w:sz w:val="20"/>
                <w:szCs w:val="20"/>
                <w:lang w:val="fr-CA"/>
              </w:rPr>
            </w:pPr>
          </w:p>
          <w:p w:rsidR="0025502E" w:rsidRPr="00BC198E" w:rsidRDefault="0025502E" w:rsidP="00242AEE">
            <w:pPr>
              <w:jc w:val="center"/>
              <w:rPr>
                <w:sz w:val="20"/>
                <w:szCs w:val="20"/>
                <w:lang w:val="fr-CA"/>
              </w:rPr>
            </w:pPr>
          </w:p>
          <w:p w:rsidR="0025502E" w:rsidRPr="00BC198E" w:rsidRDefault="0025502E" w:rsidP="00242AEE">
            <w:pPr>
              <w:jc w:val="center"/>
              <w:rPr>
                <w:sz w:val="20"/>
                <w:szCs w:val="20"/>
                <w:lang w:val="fr-CA"/>
              </w:rPr>
            </w:pPr>
          </w:p>
          <w:p w:rsidR="0025502E" w:rsidRPr="00BC198E" w:rsidRDefault="0025502E" w:rsidP="00242AEE">
            <w:pPr>
              <w:jc w:val="center"/>
              <w:rPr>
                <w:sz w:val="20"/>
                <w:szCs w:val="20"/>
                <w:lang w:val="fr-CA"/>
              </w:rPr>
            </w:pPr>
          </w:p>
          <w:p w:rsidR="0025502E" w:rsidRPr="00BC198E" w:rsidRDefault="0025502E" w:rsidP="00242AEE">
            <w:pPr>
              <w:jc w:val="center"/>
              <w:rPr>
                <w:sz w:val="20"/>
                <w:szCs w:val="20"/>
                <w:lang w:val="fr-CA"/>
              </w:rPr>
            </w:pPr>
          </w:p>
          <w:p w:rsidR="0025502E" w:rsidRPr="00BC198E" w:rsidRDefault="0025502E" w:rsidP="00242AEE">
            <w:pPr>
              <w:jc w:val="center"/>
              <w:rPr>
                <w:sz w:val="20"/>
                <w:szCs w:val="20"/>
                <w:lang w:val="fr-CA"/>
              </w:rPr>
            </w:pPr>
          </w:p>
        </w:tc>
        <w:tc>
          <w:tcPr>
            <w:tcW w:w="4320" w:type="dxa"/>
            <w:shd w:val="clear" w:color="auto" w:fill="auto"/>
          </w:tcPr>
          <w:p w:rsidR="0025502E" w:rsidRPr="00806A5B" w:rsidRDefault="0025502E" w:rsidP="00B353D9">
            <w:pPr>
              <w:keepNext/>
              <w:keepLines/>
              <w:tabs>
                <w:tab w:val="left" w:pos="-1440"/>
                <w:tab w:val="left" w:pos="-720"/>
              </w:tabs>
              <w:rPr>
                <w:b/>
                <w:sz w:val="20"/>
                <w:szCs w:val="20"/>
                <w:lang w:val="fr-CA"/>
              </w:rPr>
            </w:pPr>
            <w:r>
              <w:rPr>
                <w:b/>
                <w:sz w:val="20"/>
                <w:szCs w:val="20"/>
                <w:lang w:val="fr-CA"/>
              </w:rPr>
              <w:t>Michelle Landry et a</w:t>
            </w:r>
            <w:r w:rsidRPr="00806A5B">
              <w:rPr>
                <w:b/>
                <w:sz w:val="20"/>
                <w:szCs w:val="20"/>
                <w:lang w:val="fr-CA"/>
              </w:rPr>
              <w:t>ut</w:t>
            </w:r>
            <w:r>
              <w:rPr>
                <w:b/>
                <w:sz w:val="20"/>
                <w:szCs w:val="20"/>
                <w:lang w:val="fr-CA"/>
              </w:rPr>
              <w:t>r</w:t>
            </w:r>
            <w:r w:rsidRPr="00806A5B">
              <w:rPr>
                <w:b/>
                <w:sz w:val="20"/>
                <w:szCs w:val="20"/>
                <w:lang w:val="fr-CA"/>
              </w:rPr>
              <w:t>e</w:t>
            </w:r>
          </w:p>
          <w:p w:rsidR="0025502E" w:rsidRPr="00806A5B" w:rsidRDefault="0025502E" w:rsidP="00B353D9">
            <w:pPr>
              <w:keepNext/>
              <w:keepLines/>
              <w:tabs>
                <w:tab w:val="left" w:pos="-1440"/>
                <w:tab w:val="left" w:pos="-720"/>
              </w:tabs>
              <w:rPr>
                <w:sz w:val="20"/>
                <w:szCs w:val="20"/>
                <w:lang w:val="fr-CA"/>
              </w:rPr>
            </w:pPr>
            <w:r w:rsidRPr="00806A5B">
              <w:rPr>
                <w:sz w:val="20"/>
                <w:szCs w:val="20"/>
                <w:lang w:val="fr-CA"/>
              </w:rPr>
              <w:tab/>
            </w:r>
            <w:r>
              <w:rPr>
                <w:sz w:val="20"/>
                <w:szCs w:val="20"/>
                <w:lang w:val="fr-CA"/>
              </w:rPr>
              <w:t>Michelle Landry</w:t>
            </w:r>
          </w:p>
          <w:p w:rsidR="0025502E" w:rsidRPr="00806A5B" w:rsidRDefault="0025502E" w:rsidP="00B353D9">
            <w:pPr>
              <w:keepNext/>
              <w:keepLines/>
              <w:tabs>
                <w:tab w:val="left" w:pos="-1440"/>
                <w:tab w:val="left" w:pos="-720"/>
              </w:tabs>
              <w:rPr>
                <w:sz w:val="20"/>
                <w:szCs w:val="20"/>
                <w:lang w:val="fr-CA"/>
              </w:rPr>
            </w:pPr>
          </w:p>
          <w:p w:rsidR="0025502E" w:rsidRPr="00806A5B" w:rsidRDefault="0025502E" w:rsidP="00B353D9">
            <w:pPr>
              <w:keepNext/>
              <w:keepLines/>
              <w:tabs>
                <w:tab w:val="left" w:pos="-1440"/>
                <w:tab w:val="left" w:pos="-720"/>
              </w:tabs>
              <w:rPr>
                <w:sz w:val="20"/>
                <w:szCs w:val="20"/>
                <w:lang w:val="fr-CA"/>
              </w:rPr>
            </w:pPr>
            <w:r w:rsidRPr="00806A5B">
              <w:rPr>
                <w:sz w:val="20"/>
                <w:szCs w:val="20"/>
                <w:lang w:val="fr-CA"/>
              </w:rPr>
              <w:tab/>
              <w:t>c. (36</w:t>
            </w:r>
            <w:r>
              <w:rPr>
                <w:sz w:val="20"/>
                <w:szCs w:val="20"/>
                <w:lang w:val="fr-CA"/>
              </w:rPr>
              <w:t>2</w:t>
            </w:r>
            <w:r w:rsidRPr="00806A5B">
              <w:rPr>
                <w:sz w:val="20"/>
                <w:szCs w:val="20"/>
                <w:lang w:val="fr-CA"/>
              </w:rPr>
              <w:t>5</w:t>
            </w:r>
            <w:r>
              <w:rPr>
                <w:sz w:val="20"/>
                <w:szCs w:val="20"/>
                <w:lang w:val="fr-CA"/>
              </w:rPr>
              <w:t>1</w:t>
            </w:r>
            <w:r w:rsidRPr="00806A5B">
              <w:rPr>
                <w:sz w:val="20"/>
                <w:szCs w:val="20"/>
                <w:lang w:val="fr-CA"/>
              </w:rPr>
              <w:t>)</w:t>
            </w:r>
          </w:p>
          <w:p w:rsidR="0025502E" w:rsidRPr="00806A5B" w:rsidRDefault="0025502E" w:rsidP="00B353D9">
            <w:pPr>
              <w:keepNext/>
              <w:keepLines/>
              <w:tabs>
                <w:tab w:val="left" w:pos="-1440"/>
                <w:tab w:val="left" w:pos="-720"/>
              </w:tabs>
              <w:rPr>
                <w:sz w:val="20"/>
                <w:szCs w:val="20"/>
                <w:lang w:val="fr-CA"/>
              </w:rPr>
            </w:pPr>
          </w:p>
          <w:p w:rsidR="0025502E" w:rsidRPr="00806A5B" w:rsidRDefault="0025502E" w:rsidP="00B353D9">
            <w:pPr>
              <w:keepNext/>
              <w:keepLines/>
              <w:tabs>
                <w:tab w:val="left" w:pos="-1440"/>
                <w:tab w:val="left" w:pos="-720"/>
              </w:tabs>
              <w:rPr>
                <w:b/>
                <w:sz w:val="20"/>
                <w:szCs w:val="20"/>
                <w:lang w:val="fr-CA"/>
              </w:rPr>
            </w:pPr>
            <w:r>
              <w:rPr>
                <w:b/>
                <w:sz w:val="20"/>
                <w:szCs w:val="20"/>
                <w:lang w:val="fr-CA"/>
              </w:rPr>
              <w:t>Procureur général du C</w:t>
            </w:r>
            <w:r w:rsidRPr="00806A5B">
              <w:rPr>
                <w:b/>
                <w:sz w:val="20"/>
                <w:szCs w:val="20"/>
                <w:lang w:val="fr-CA"/>
              </w:rPr>
              <w:t>an</w:t>
            </w:r>
            <w:r>
              <w:rPr>
                <w:b/>
                <w:sz w:val="20"/>
                <w:szCs w:val="20"/>
                <w:lang w:val="fr-CA"/>
              </w:rPr>
              <w:t>ada</w:t>
            </w:r>
            <w:r w:rsidRPr="00806A5B">
              <w:rPr>
                <w:b/>
                <w:sz w:val="20"/>
                <w:szCs w:val="20"/>
                <w:lang w:val="fr-CA"/>
              </w:rPr>
              <w:t xml:space="preserve"> (</w:t>
            </w:r>
            <w:r>
              <w:rPr>
                <w:b/>
                <w:sz w:val="20"/>
                <w:szCs w:val="20"/>
                <w:lang w:val="fr-CA"/>
              </w:rPr>
              <w:t>C.F.</w:t>
            </w:r>
            <w:r w:rsidRPr="00806A5B">
              <w:rPr>
                <w:b/>
                <w:sz w:val="20"/>
                <w:szCs w:val="20"/>
                <w:lang w:val="fr-CA"/>
              </w:rPr>
              <w:t>)</w:t>
            </w:r>
          </w:p>
          <w:p w:rsidR="0025502E" w:rsidRPr="00806A5B" w:rsidRDefault="0025502E" w:rsidP="00B353D9">
            <w:pPr>
              <w:keepNext/>
              <w:keepLines/>
              <w:tabs>
                <w:tab w:val="left" w:pos="-1440"/>
                <w:tab w:val="left" w:pos="-720"/>
              </w:tabs>
              <w:rPr>
                <w:sz w:val="20"/>
                <w:szCs w:val="20"/>
                <w:lang w:val="fr-CA"/>
              </w:rPr>
            </w:pPr>
            <w:r w:rsidRPr="00806A5B">
              <w:rPr>
                <w:sz w:val="20"/>
                <w:szCs w:val="20"/>
                <w:lang w:val="fr-CA"/>
              </w:rPr>
              <w:tab/>
            </w:r>
            <w:r>
              <w:rPr>
                <w:sz w:val="20"/>
                <w:szCs w:val="20"/>
                <w:lang w:val="fr-CA"/>
              </w:rPr>
              <w:t>Julien Matte</w:t>
            </w:r>
          </w:p>
          <w:p w:rsidR="0025502E" w:rsidRPr="00806A5B" w:rsidRDefault="0025502E" w:rsidP="00B353D9">
            <w:pPr>
              <w:keepNext/>
              <w:keepLines/>
              <w:tabs>
                <w:tab w:val="left" w:pos="-1440"/>
                <w:tab w:val="left" w:pos="-720"/>
              </w:tabs>
              <w:rPr>
                <w:sz w:val="20"/>
                <w:szCs w:val="20"/>
                <w:lang w:val="fr-CA"/>
              </w:rPr>
            </w:pPr>
            <w:r w:rsidRPr="00806A5B">
              <w:rPr>
                <w:sz w:val="20"/>
                <w:szCs w:val="20"/>
                <w:lang w:val="fr-CA"/>
              </w:rPr>
              <w:tab/>
            </w:r>
            <w:r>
              <w:rPr>
                <w:sz w:val="20"/>
                <w:szCs w:val="20"/>
                <w:lang w:val="fr-CA"/>
              </w:rPr>
              <w:t>P.G. du Canada</w:t>
            </w:r>
          </w:p>
          <w:p w:rsidR="0025502E" w:rsidRPr="00806A5B" w:rsidRDefault="0025502E" w:rsidP="00B353D9">
            <w:pPr>
              <w:keepNext/>
              <w:keepLines/>
              <w:tabs>
                <w:tab w:val="left" w:pos="-1440"/>
                <w:tab w:val="left" w:pos="-720"/>
              </w:tabs>
              <w:rPr>
                <w:sz w:val="20"/>
                <w:szCs w:val="20"/>
                <w:lang w:val="fr-CA"/>
              </w:rPr>
            </w:pPr>
          </w:p>
          <w:p w:rsidR="0025502E" w:rsidRPr="00806A5B" w:rsidRDefault="0025502E" w:rsidP="00B353D9">
            <w:pPr>
              <w:rPr>
                <w:sz w:val="20"/>
                <w:szCs w:val="20"/>
                <w:lang w:val="fr-CA"/>
              </w:rPr>
            </w:pPr>
            <w:r w:rsidRPr="00806A5B">
              <w:rPr>
                <w:sz w:val="20"/>
                <w:szCs w:val="20"/>
                <w:lang w:val="fr-CA"/>
              </w:rPr>
              <w:t>DATE DE PRODUCTION</w:t>
            </w:r>
            <w:r>
              <w:rPr>
                <w:sz w:val="20"/>
                <w:szCs w:val="20"/>
                <w:lang w:val="fr-CA"/>
              </w:rPr>
              <w:t xml:space="preserve"> </w:t>
            </w:r>
            <w:r w:rsidRPr="00806A5B">
              <w:rPr>
                <w:sz w:val="20"/>
                <w:szCs w:val="20"/>
                <w:lang w:val="fr-CA"/>
              </w:rPr>
              <w:t xml:space="preserve">: </w:t>
            </w:r>
            <w:r>
              <w:rPr>
                <w:sz w:val="20"/>
                <w:szCs w:val="20"/>
                <w:lang w:val="fr-CA"/>
              </w:rPr>
              <w:t>3</w:t>
            </w:r>
            <w:r w:rsidRPr="00806A5B">
              <w:rPr>
                <w:sz w:val="20"/>
                <w:szCs w:val="20"/>
                <w:lang w:val="fr-CA"/>
              </w:rPr>
              <w:t>1.1</w:t>
            </w:r>
            <w:r>
              <w:rPr>
                <w:sz w:val="20"/>
                <w:szCs w:val="20"/>
                <w:lang w:val="fr-CA"/>
              </w:rPr>
              <w:t>2</w:t>
            </w:r>
            <w:r w:rsidRPr="00806A5B">
              <w:rPr>
                <w:sz w:val="20"/>
                <w:szCs w:val="20"/>
                <w:lang w:val="fr-CA"/>
              </w:rPr>
              <w:t>.2014</w:t>
            </w:r>
            <w:r w:rsidR="00E42AAB">
              <w:rPr>
                <w:sz w:val="20"/>
                <w:szCs w:val="20"/>
                <w:lang w:val="fr-CA"/>
              </w:rPr>
              <w:pict>
                <v:rect id="_x0000_i1036" style="width:108pt;height:1pt" o:hrpct="0" o:hralign="center" o:hrstd="t" o:hrnoshade="t" o:hr="t" fillcolor="black [3213]" stroked="f"/>
              </w:pict>
            </w:r>
          </w:p>
        </w:tc>
      </w:tr>
      <w:tr w:rsidR="0025502E" w:rsidRPr="00A935AA" w:rsidTr="003B3977">
        <w:trPr>
          <w:cantSplit/>
        </w:trPr>
        <w:tc>
          <w:tcPr>
            <w:tcW w:w="4320" w:type="dxa"/>
            <w:shd w:val="clear" w:color="auto" w:fill="auto"/>
          </w:tcPr>
          <w:p w:rsidR="0025502E" w:rsidRDefault="0025502E" w:rsidP="00F67BC8">
            <w:pPr>
              <w:rPr>
                <w:b/>
                <w:sz w:val="20"/>
                <w:szCs w:val="20"/>
                <w:lang w:val="fr-CA"/>
              </w:rPr>
            </w:pPr>
          </w:p>
          <w:p w:rsidR="0025502E" w:rsidRPr="00CF2A22" w:rsidRDefault="0025502E" w:rsidP="00F67BC8">
            <w:pPr>
              <w:rPr>
                <w:b/>
                <w:sz w:val="20"/>
                <w:szCs w:val="20"/>
                <w:lang w:val="fr-CA"/>
              </w:rPr>
            </w:pPr>
            <w:r>
              <w:rPr>
                <w:b/>
                <w:sz w:val="20"/>
                <w:szCs w:val="20"/>
                <w:lang w:val="fr-CA"/>
              </w:rPr>
              <w:t>Érik Charest</w:t>
            </w:r>
          </w:p>
          <w:p w:rsidR="0025502E" w:rsidRPr="00096B8E" w:rsidRDefault="0025502E" w:rsidP="00F67BC8">
            <w:pPr>
              <w:tabs>
                <w:tab w:val="left" w:pos="-1440"/>
                <w:tab w:val="left" w:pos="-720"/>
              </w:tabs>
              <w:rPr>
                <w:sz w:val="20"/>
                <w:szCs w:val="20"/>
                <w:lang w:val="fr-CA"/>
              </w:rPr>
            </w:pPr>
            <w:r w:rsidRPr="00CF2A22">
              <w:rPr>
                <w:sz w:val="20"/>
                <w:szCs w:val="20"/>
                <w:lang w:val="fr-CA"/>
              </w:rPr>
              <w:tab/>
            </w:r>
            <w:r w:rsidRPr="00096B8E">
              <w:rPr>
                <w:sz w:val="20"/>
                <w:szCs w:val="20"/>
                <w:lang w:val="fr-CA"/>
              </w:rPr>
              <w:t>David Bourgoin</w:t>
            </w:r>
          </w:p>
          <w:p w:rsidR="0025502E" w:rsidRPr="00096B8E" w:rsidRDefault="0025502E" w:rsidP="00F67BC8">
            <w:pPr>
              <w:tabs>
                <w:tab w:val="left" w:pos="-1440"/>
                <w:tab w:val="left" w:pos="-720"/>
              </w:tabs>
              <w:rPr>
                <w:sz w:val="20"/>
                <w:szCs w:val="20"/>
                <w:lang w:val="fr-CA"/>
              </w:rPr>
            </w:pPr>
            <w:r w:rsidRPr="00096B8E">
              <w:rPr>
                <w:sz w:val="20"/>
                <w:szCs w:val="20"/>
                <w:lang w:val="fr-CA"/>
              </w:rPr>
              <w:tab/>
              <w:t>BGA Avocats s.e.n.c.r.l.</w:t>
            </w:r>
          </w:p>
          <w:p w:rsidR="0025502E" w:rsidRPr="00096B8E" w:rsidRDefault="0025502E" w:rsidP="00F67BC8">
            <w:pPr>
              <w:tabs>
                <w:tab w:val="left" w:pos="-1440"/>
                <w:tab w:val="left" w:pos="-720"/>
              </w:tabs>
              <w:rPr>
                <w:sz w:val="20"/>
                <w:szCs w:val="20"/>
                <w:lang w:val="fr-CA"/>
              </w:rPr>
            </w:pPr>
          </w:p>
          <w:p w:rsidR="0025502E" w:rsidRPr="00CF2A22" w:rsidRDefault="0025502E" w:rsidP="00F67BC8">
            <w:pPr>
              <w:tabs>
                <w:tab w:val="left" w:pos="-1440"/>
                <w:tab w:val="left" w:pos="-720"/>
              </w:tabs>
              <w:rPr>
                <w:sz w:val="20"/>
                <w:szCs w:val="20"/>
                <w:lang w:val="fr-CA"/>
              </w:rPr>
            </w:pPr>
            <w:r w:rsidRPr="00096B8E">
              <w:rPr>
                <w:sz w:val="20"/>
                <w:szCs w:val="20"/>
                <w:lang w:val="fr-CA"/>
              </w:rPr>
              <w:tab/>
            </w:r>
            <w:r>
              <w:rPr>
                <w:sz w:val="20"/>
                <w:szCs w:val="20"/>
                <w:lang w:val="fr-CA"/>
              </w:rPr>
              <w:t>c</w:t>
            </w:r>
            <w:r w:rsidRPr="00CF2A22">
              <w:rPr>
                <w:sz w:val="20"/>
                <w:szCs w:val="20"/>
                <w:lang w:val="fr-CA"/>
              </w:rPr>
              <w:t>. (3</w:t>
            </w:r>
            <w:r>
              <w:rPr>
                <w:sz w:val="20"/>
                <w:szCs w:val="20"/>
                <w:lang w:val="fr-CA"/>
              </w:rPr>
              <w:t>6237</w:t>
            </w:r>
            <w:r w:rsidRPr="00CF2A22">
              <w:rPr>
                <w:sz w:val="20"/>
                <w:szCs w:val="20"/>
                <w:lang w:val="fr-CA"/>
              </w:rPr>
              <w:t>)</w:t>
            </w:r>
          </w:p>
          <w:p w:rsidR="0025502E" w:rsidRPr="00CF2A22" w:rsidRDefault="0025502E" w:rsidP="00F67BC8">
            <w:pPr>
              <w:tabs>
                <w:tab w:val="left" w:pos="-1440"/>
                <w:tab w:val="left" w:pos="-720"/>
              </w:tabs>
              <w:rPr>
                <w:sz w:val="20"/>
                <w:szCs w:val="20"/>
                <w:lang w:val="fr-CA"/>
              </w:rPr>
            </w:pPr>
          </w:p>
          <w:p w:rsidR="0025502E" w:rsidRPr="00CF2A22" w:rsidRDefault="0025502E" w:rsidP="00F67BC8">
            <w:pPr>
              <w:tabs>
                <w:tab w:val="left" w:pos="-1440"/>
                <w:tab w:val="left" w:pos="-720"/>
              </w:tabs>
              <w:rPr>
                <w:b/>
                <w:sz w:val="20"/>
                <w:szCs w:val="20"/>
                <w:lang w:val="fr-CA"/>
              </w:rPr>
            </w:pPr>
            <w:r w:rsidRPr="00CF2A22">
              <w:rPr>
                <w:b/>
                <w:sz w:val="20"/>
                <w:szCs w:val="20"/>
                <w:lang w:val="fr-CA"/>
              </w:rPr>
              <w:t>Dessau inc.</w:t>
            </w:r>
            <w:r>
              <w:rPr>
                <w:b/>
                <w:sz w:val="20"/>
                <w:szCs w:val="20"/>
                <w:lang w:val="fr-CA"/>
              </w:rPr>
              <w:t xml:space="preserve"> et autres </w:t>
            </w:r>
            <w:r w:rsidRPr="00CF2A22">
              <w:rPr>
                <w:b/>
                <w:sz w:val="20"/>
                <w:szCs w:val="20"/>
                <w:lang w:val="fr-CA"/>
              </w:rPr>
              <w:t>(</w:t>
            </w:r>
            <w:r>
              <w:rPr>
                <w:b/>
                <w:sz w:val="20"/>
                <w:szCs w:val="20"/>
                <w:lang w:val="fr-CA"/>
              </w:rPr>
              <w:t>Qc</w:t>
            </w:r>
            <w:r w:rsidRPr="00CF2A22">
              <w:rPr>
                <w:b/>
                <w:sz w:val="20"/>
                <w:szCs w:val="20"/>
                <w:lang w:val="fr-CA"/>
              </w:rPr>
              <w:t>)</w:t>
            </w:r>
          </w:p>
          <w:p w:rsidR="0025502E" w:rsidRPr="00CF2A22" w:rsidRDefault="0025502E" w:rsidP="00F67BC8">
            <w:pPr>
              <w:tabs>
                <w:tab w:val="left" w:pos="-1440"/>
                <w:tab w:val="left" w:pos="-720"/>
              </w:tabs>
              <w:rPr>
                <w:sz w:val="20"/>
                <w:szCs w:val="20"/>
                <w:lang w:val="fr-CA"/>
              </w:rPr>
            </w:pPr>
            <w:r w:rsidRPr="00CF2A22">
              <w:rPr>
                <w:sz w:val="20"/>
                <w:szCs w:val="20"/>
                <w:lang w:val="fr-CA"/>
              </w:rPr>
              <w:tab/>
            </w:r>
            <w:r>
              <w:rPr>
                <w:sz w:val="20"/>
                <w:szCs w:val="20"/>
                <w:lang w:val="fr-CA"/>
              </w:rPr>
              <w:t>Sébastien Richemont</w:t>
            </w:r>
          </w:p>
          <w:p w:rsidR="0025502E" w:rsidRPr="00CF2A22" w:rsidRDefault="0025502E" w:rsidP="00F67BC8">
            <w:pPr>
              <w:tabs>
                <w:tab w:val="left" w:pos="-1440"/>
                <w:tab w:val="left" w:pos="-720"/>
              </w:tabs>
              <w:rPr>
                <w:sz w:val="20"/>
                <w:szCs w:val="20"/>
                <w:lang w:val="fr-CA"/>
              </w:rPr>
            </w:pPr>
            <w:r w:rsidRPr="00CF2A22">
              <w:rPr>
                <w:sz w:val="20"/>
                <w:szCs w:val="20"/>
                <w:lang w:val="fr-CA"/>
              </w:rPr>
              <w:tab/>
            </w:r>
            <w:r>
              <w:rPr>
                <w:sz w:val="20"/>
                <w:szCs w:val="20"/>
                <w:lang w:val="fr-CA"/>
              </w:rPr>
              <w:t>Woods s.e.n.c.r.l.</w:t>
            </w:r>
          </w:p>
          <w:p w:rsidR="0025502E" w:rsidRPr="00CF2A22" w:rsidRDefault="0025502E" w:rsidP="00F67BC8">
            <w:pPr>
              <w:tabs>
                <w:tab w:val="left" w:pos="-1440"/>
                <w:tab w:val="left" w:pos="-720"/>
              </w:tabs>
              <w:rPr>
                <w:sz w:val="20"/>
                <w:szCs w:val="20"/>
                <w:lang w:val="fr-CA"/>
              </w:rPr>
            </w:pPr>
          </w:p>
          <w:p w:rsidR="0025502E" w:rsidRPr="00CF2A22" w:rsidRDefault="0025502E" w:rsidP="00CF2A22">
            <w:pPr>
              <w:rPr>
                <w:sz w:val="20"/>
                <w:szCs w:val="20"/>
                <w:lang w:val="fr-CA"/>
              </w:rPr>
            </w:pPr>
            <w:r w:rsidRPr="00CF2A22">
              <w:rPr>
                <w:sz w:val="20"/>
                <w:szCs w:val="20"/>
                <w:lang w:val="fr-CA"/>
              </w:rPr>
              <w:t>DATE</w:t>
            </w:r>
            <w:r>
              <w:rPr>
                <w:sz w:val="20"/>
                <w:szCs w:val="20"/>
                <w:lang w:val="fr-CA"/>
              </w:rPr>
              <w:t xml:space="preserve"> DE PRODUCTION </w:t>
            </w:r>
            <w:r w:rsidRPr="00CF2A22">
              <w:rPr>
                <w:sz w:val="20"/>
                <w:szCs w:val="20"/>
                <w:lang w:val="fr-CA"/>
              </w:rPr>
              <w:t xml:space="preserve">: </w:t>
            </w:r>
            <w:r>
              <w:rPr>
                <w:sz w:val="20"/>
                <w:szCs w:val="20"/>
                <w:lang w:val="fr-CA"/>
              </w:rPr>
              <w:t>31</w:t>
            </w:r>
            <w:r w:rsidRPr="00CF2A22">
              <w:rPr>
                <w:sz w:val="20"/>
                <w:szCs w:val="20"/>
                <w:lang w:val="fr-CA"/>
              </w:rPr>
              <w:t>.</w:t>
            </w:r>
            <w:r>
              <w:rPr>
                <w:sz w:val="20"/>
                <w:szCs w:val="20"/>
                <w:lang w:val="fr-CA"/>
              </w:rPr>
              <w:t>1</w:t>
            </w:r>
            <w:r w:rsidRPr="00CF2A22">
              <w:rPr>
                <w:sz w:val="20"/>
                <w:szCs w:val="20"/>
                <w:lang w:val="fr-CA"/>
              </w:rPr>
              <w:t>2.2014</w:t>
            </w:r>
            <w:r w:rsidR="00E42AAB">
              <w:rPr>
                <w:sz w:val="20"/>
                <w:szCs w:val="20"/>
                <w:lang w:val="fr-CA"/>
              </w:rPr>
              <w:pict>
                <v:rect id="_x0000_i1037" style="width:108pt;height:1pt" o:hrpct="0" o:hralign="center" o:hrstd="t" o:hrnoshade="t" o:hr="t" fillcolor="black [3213]" stroked="f"/>
              </w:pict>
            </w:r>
          </w:p>
        </w:tc>
        <w:tc>
          <w:tcPr>
            <w:tcW w:w="1181" w:type="dxa"/>
            <w:shd w:val="clear" w:color="auto" w:fill="auto"/>
          </w:tcPr>
          <w:p w:rsidR="0025502E" w:rsidRPr="00CF2A22" w:rsidRDefault="0025502E" w:rsidP="00242AEE">
            <w:pPr>
              <w:jc w:val="center"/>
              <w:rPr>
                <w:sz w:val="20"/>
                <w:szCs w:val="20"/>
                <w:lang w:val="fr-CA"/>
              </w:rPr>
            </w:pPr>
          </w:p>
          <w:p w:rsidR="0025502E" w:rsidRPr="00CF2A22" w:rsidRDefault="0025502E" w:rsidP="00242AEE">
            <w:pPr>
              <w:jc w:val="center"/>
              <w:rPr>
                <w:sz w:val="20"/>
                <w:szCs w:val="20"/>
                <w:lang w:val="fr-CA"/>
              </w:rPr>
            </w:pPr>
          </w:p>
          <w:p w:rsidR="0025502E" w:rsidRPr="00CF2A22" w:rsidRDefault="0025502E" w:rsidP="00242AEE">
            <w:pPr>
              <w:jc w:val="center"/>
              <w:rPr>
                <w:sz w:val="20"/>
                <w:szCs w:val="20"/>
                <w:lang w:val="fr-CA"/>
              </w:rPr>
            </w:pPr>
          </w:p>
          <w:p w:rsidR="0025502E" w:rsidRPr="00CF2A22" w:rsidRDefault="0025502E" w:rsidP="00242AEE">
            <w:pPr>
              <w:jc w:val="center"/>
              <w:rPr>
                <w:sz w:val="20"/>
                <w:szCs w:val="20"/>
                <w:lang w:val="fr-CA"/>
              </w:rPr>
            </w:pPr>
          </w:p>
          <w:p w:rsidR="0025502E" w:rsidRPr="00CF2A22" w:rsidRDefault="0025502E" w:rsidP="00242AEE">
            <w:pPr>
              <w:jc w:val="center"/>
              <w:rPr>
                <w:sz w:val="20"/>
                <w:szCs w:val="20"/>
                <w:lang w:val="fr-CA"/>
              </w:rPr>
            </w:pPr>
          </w:p>
          <w:p w:rsidR="0025502E" w:rsidRPr="00CF2A22" w:rsidRDefault="0025502E" w:rsidP="00242AEE">
            <w:pPr>
              <w:jc w:val="center"/>
              <w:rPr>
                <w:sz w:val="20"/>
                <w:szCs w:val="20"/>
                <w:lang w:val="fr-CA"/>
              </w:rPr>
            </w:pPr>
          </w:p>
          <w:p w:rsidR="0025502E" w:rsidRPr="00CF2A22" w:rsidRDefault="0025502E" w:rsidP="00242AEE">
            <w:pPr>
              <w:jc w:val="center"/>
              <w:rPr>
                <w:sz w:val="20"/>
                <w:szCs w:val="20"/>
                <w:lang w:val="fr-CA"/>
              </w:rPr>
            </w:pPr>
          </w:p>
          <w:p w:rsidR="0025502E" w:rsidRPr="00CF2A22" w:rsidRDefault="0025502E" w:rsidP="00242AEE">
            <w:pPr>
              <w:jc w:val="center"/>
              <w:rPr>
                <w:sz w:val="20"/>
                <w:szCs w:val="20"/>
                <w:lang w:val="fr-CA"/>
              </w:rPr>
            </w:pPr>
          </w:p>
          <w:p w:rsidR="0025502E" w:rsidRPr="00CF2A22" w:rsidRDefault="0025502E" w:rsidP="00242AEE">
            <w:pPr>
              <w:jc w:val="center"/>
              <w:rPr>
                <w:sz w:val="20"/>
                <w:szCs w:val="20"/>
                <w:lang w:val="fr-CA"/>
              </w:rPr>
            </w:pPr>
          </w:p>
          <w:p w:rsidR="0025502E" w:rsidRPr="00CF2A22" w:rsidRDefault="0025502E" w:rsidP="00242AEE">
            <w:pPr>
              <w:jc w:val="center"/>
              <w:rPr>
                <w:sz w:val="20"/>
                <w:szCs w:val="20"/>
                <w:lang w:val="fr-CA"/>
              </w:rPr>
            </w:pPr>
          </w:p>
          <w:p w:rsidR="0025502E" w:rsidRDefault="0025502E" w:rsidP="00242AEE">
            <w:pPr>
              <w:jc w:val="center"/>
              <w:rPr>
                <w:sz w:val="20"/>
                <w:szCs w:val="20"/>
                <w:lang w:val="fr-CA"/>
              </w:rPr>
            </w:pPr>
          </w:p>
          <w:p w:rsidR="0025502E" w:rsidRDefault="0025502E" w:rsidP="00242AEE">
            <w:pPr>
              <w:jc w:val="center"/>
              <w:rPr>
                <w:sz w:val="20"/>
                <w:szCs w:val="20"/>
                <w:lang w:val="fr-CA"/>
              </w:rPr>
            </w:pPr>
          </w:p>
          <w:p w:rsidR="0025502E" w:rsidRPr="00CF2A22" w:rsidRDefault="0025502E" w:rsidP="00242AEE">
            <w:pPr>
              <w:jc w:val="center"/>
              <w:rPr>
                <w:sz w:val="20"/>
                <w:szCs w:val="20"/>
                <w:lang w:val="fr-CA"/>
              </w:rPr>
            </w:pPr>
          </w:p>
          <w:p w:rsidR="0025502E" w:rsidRPr="00CF2A22" w:rsidRDefault="0025502E" w:rsidP="00242AEE">
            <w:pPr>
              <w:jc w:val="center"/>
              <w:rPr>
                <w:sz w:val="20"/>
                <w:szCs w:val="20"/>
                <w:lang w:val="fr-CA"/>
              </w:rPr>
            </w:pPr>
          </w:p>
        </w:tc>
        <w:tc>
          <w:tcPr>
            <w:tcW w:w="4320" w:type="dxa"/>
            <w:shd w:val="clear" w:color="auto" w:fill="auto"/>
          </w:tcPr>
          <w:p w:rsidR="0025502E" w:rsidRPr="00A935AA" w:rsidRDefault="0025502E" w:rsidP="00B353D9">
            <w:pPr>
              <w:rPr>
                <w:b/>
                <w:sz w:val="20"/>
                <w:szCs w:val="20"/>
              </w:rPr>
            </w:pPr>
            <w:r>
              <w:rPr>
                <w:b/>
                <w:sz w:val="20"/>
                <w:szCs w:val="20"/>
              </w:rPr>
              <w:t>Behzad Najafi</w:t>
            </w:r>
          </w:p>
          <w:p w:rsidR="0025502E" w:rsidRPr="00A935AA" w:rsidRDefault="0025502E" w:rsidP="00B353D9">
            <w:pPr>
              <w:tabs>
                <w:tab w:val="left" w:pos="-1440"/>
                <w:tab w:val="left" w:pos="-720"/>
              </w:tabs>
              <w:rPr>
                <w:sz w:val="20"/>
                <w:szCs w:val="20"/>
              </w:rPr>
            </w:pPr>
            <w:r w:rsidRPr="00A935AA">
              <w:rPr>
                <w:sz w:val="20"/>
                <w:szCs w:val="20"/>
              </w:rPr>
              <w:tab/>
            </w:r>
            <w:r>
              <w:rPr>
                <w:sz w:val="20"/>
                <w:szCs w:val="20"/>
              </w:rPr>
              <w:t>Lorne Waldman</w:t>
            </w:r>
          </w:p>
          <w:p w:rsidR="0025502E" w:rsidRPr="00A935AA" w:rsidRDefault="0025502E" w:rsidP="00B353D9">
            <w:pPr>
              <w:tabs>
                <w:tab w:val="left" w:pos="-1440"/>
                <w:tab w:val="left" w:pos="-720"/>
              </w:tabs>
              <w:rPr>
                <w:sz w:val="20"/>
                <w:szCs w:val="20"/>
              </w:rPr>
            </w:pPr>
            <w:r w:rsidRPr="00A935AA">
              <w:rPr>
                <w:sz w:val="20"/>
                <w:szCs w:val="20"/>
              </w:rPr>
              <w:tab/>
            </w:r>
            <w:r>
              <w:rPr>
                <w:sz w:val="20"/>
                <w:szCs w:val="20"/>
              </w:rPr>
              <w:t>Waldman &amp; Associates</w:t>
            </w:r>
          </w:p>
          <w:p w:rsidR="0025502E" w:rsidRPr="00A935AA" w:rsidRDefault="0025502E" w:rsidP="00B353D9">
            <w:pPr>
              <w:tabs>
                <w:tab w:val="left" w:pos="-1440"/>
                <w:tab w:val="left" w:pos="-720"/>
              </w:tabs>
              <w:rPr>
                <w:sz w:val="20"/>
                <w:szCs w:val="20"/>
              </w:rPr>
            </w:pPr>
          </w:p>
          <w:p w:rsidR="0025502E" w:rsidRPr="00A935AA" w:rsidRDefault="0025502E" w:rsidP="00B353D9">
            <w:pPr>
              <w:tabs>
                <w:tab w:val="left" w:pos="-1440"/>
                <w:tab w:val="left" w:pos="-720"/>
              </w:tabs>
              <w:rPr>
                <w:sz w:val="20"/>
                <w:szCs w:val="20"/>
              </w:rPr>
            </w:pPr>
            <w:r w:rsidRPr="00A935AA">
              <w:rPr>
                <w:sz w:val="20"/>
                <w:szCs w:val="20"/>
              </w:rPr>
              <w:tab/>
              <w:t>v. (3</w:t>
            </w:r>
            <w:r>
              <w:rPr>
                <w:sz w:val="20"/>
                <w:szCs w:val="20"/>
              </w:rPr>
              <w:t>6241</w:t>
            </w:r>
            <w:r w:rsidRPr="00A935AA">
              <w:rPr>
                <w:sz w:val="20"/>
                <w:szCs w:val="20"/>
              </w:rPr>
              <w:t>)</w:t>
            </w:r>
          </w:p>
          <w:p w:rsidR="0025502E" w:rsidRPr="00A935AA" w:rsidRDefault="0025502E" w:rsidP="00B353D9">
            <w:pPr>
              <w:tabs>
                <w:tab w:val="left" w:pos="-1440"/>
                <w:tab w:val="left" w:pos="-720"/>
              </w:tabs>
              <w:rPr>
                <w:sz w:val="20"/>
                <w:szCs w:val="20"/>
              </w:rPr>
            </w:pPr>
          </w:p>
          <w:p w:rsidR="0025502E" w:rsidRPr="00A935AA" w:rsidRDefault="0025502E" w:rsidP="00B353D9">
            <w:pPr>
              <w:tabs>
                <w:tab w:val="left" w:pos="-1440"/>
                <w:tab w:val="left" w:pos="-720"/>
              </w:tabs>
              <w:rPr>
                <w:b/>
                <w:sz w:val="20"/>
                <w:szCs w:val="20"/>
              </w:rPr>
            </w:pPr>
            <w:r>
              <w:rPr>
                <w:b/>
                <w:sz w:val="20"/>
                <w:szCs w:val="20"/>
              </w:rPr>
              <w:t xml:space="preserve">Minister of Public Safety and Emergency Preparedness </w:t>
            </w:r>
            <w:r w:rsidRPr="00A935AA">
              <w:rPr>
                <w:b/>
                <w:sz w:val="20"/>
                <w:szCs w:val="20"/>
              </w:rPr>
              <w:t>(</w:t>
            </w:r>
            <w:r>
              <w:rPr>
                <w:b/>
                <w:sz w:val="20"/>
                <w:szCs w:val="20"/>
              </w:rPr>
              <w:t>F.C</w:t>
            </w:r>
            <w:r w:rsidRPr="00A935AA">
              <w:rPr>
                <w:b/>
                <w:sz w:val="20"/>
                <w:szCs w:val="20"/>
              </w:rPr>
              <w:t>.)</w:t>
            </w:r>
          </w:p>
          <w:p w:rsidR="0025502E" w:rsidRPr="00A935AA" w:rsidRDefault="0025502E" w:rsidP="00B353D9">
            <w:pPr>
              <w:tabs>
                <w:tab w:val="left" w:pos="-1440"/>
                <w:tab w:val="left" w:pos="-720"/>
              </w:tabs>
              <w:rPr>
                <w:sz w:val="20"/>
                <w:szCs w:val="20"/>
              </w:rPr>
            </w:pPr>
            <w:r w:rsidRPr="00A935AA">
              <w:rPr>
                <w:sz w:val="20"/>
                <w:szCs w:val="20"/>
              </w:rPr>
              <w:tab/>
            </w:r>
            <w:r>
              <w:rPr>
                <w:sz w:val="20"/>
                <w:szCs w:val="20"/>
              </w:rPr>
              <w:t>David B. Cranton</w:t>
            </w:r>
          </w:p>
          <w:p w:rsidR="0025502E" w:rsidRPr="00A935AA" w:rsidRDefault="0025502E" w:rsidP="00B353D9">
            <w:pPr>
              <w:tabs>
                <w:tab w:val="left" w:pos="-1440"/>
                <w:tab w:val="left" w:pos="-720"/>
              </w:tabs>
              <w:rPr>
                <w:sz w:val="20"/>
                <w:szCs w:val="20"/>
              </w:rPr>
            </w:pPr>
            <w:r w:rsidRPr="00A935AA">
              <w:rPr>
                <w:sz w:val="20"/>
                <w:szCs w:val="20"/>
              </w:rPr>
              <w:tab/>
            </w:r>
            <w:r>
              <w:rPr>
                <w:sz w:val="20"/>
                <w:szCs w:val="20"/>
              </w:rPr>
              <w:t>A.G. of Canada</w:t>
            </w:r>
          </w:p>
          <w:p w:rsidR="0025502E" w:rsidRPr="00A935AA" w:rsidRDefault="0025502E" w:rsidP="00B353D9">
            <w:pPr>
              <w:tabs>
                <w:tab w:val="left" w:pos="-1440"/>
                <w:tab w:val="left" w:pos="-720"/>
              </w:tabs>
              <w:rPr>
                <w:sz w:val="20"/>
                <w:szCs w:val="20"/>
              </w:rPr>
            </w:pPr>
          </w:p>
          <w:p w:rsidR="0025502E" w:rsidRPr="00A935AA" w:rsidRDefault="0025502E" w:rsidP="00B353D9">
            <w:pPr>
              <w:rPr>
                <w:sz w:val="20"/>
                <w:szCs w:val="20"/>
              </w:rPr>
            </w:pPr>
            <w:r w:rsidRPr="00A935AA">
              <w:rPr>
                <w:sz w:val="20"/>
                <w:szCs w:val="20"/>
              </w:rPr>
              <w:t xml:space="preserve">FILING DATE: </w:t>
            </w:r>
            <w:r>
              <w:rPr>
                <w:sz w:val="20"/>
                <w:szCs w:val="20"/>
              </w:rPr>
              <w:t>05</w:t>
            </w:r>
            <w:r w:rsidRPr="00A935AA">
              <w:rPr>
                <w:sz w:val="20"/>
                <w:szCs w:val="20"/>
              </w:rPr>
              <w:t>.0</w:t>
            </w:r>
            <w:r>
              <w:rPr>
                <w:sz w:val="20"/>
                <w:szCs w:val="20"/>
              </w:rPr>
              <w:t>1</w:t>
            </w:r>
            <w:r w:rsidRPr="00A935AA">
              <w:rPr>
                <w:sz w:val="20"/>
                <w:szCs w:val="20"/>
              </w:rPr>
              <w:t>.201</w:t>
            </w:r>
            <w:r>
              <w:rPr>
                <w:sz w:val="20"/>
                <w:szCs w:val="20"/>
              </w:rPr>
              <w:t>5</w:t>
            </w:r>
            <w:r w:rsidR="00E42AAB">
              <w:rPr>
                <w:sz w:val="20"/>
                <w:szCs w:val="20"/>
                <w:lang w:val="fr-CA"/>
              </w:rPr>
              <w:pict>
                <v:rect id="_x0000_i1038" style="width:108pt;height:1pt" o:hrpct="0" o:hralign="center" o:hrstd="t" o:hrnoshade="t" o:hr="t" fillcolor="black [3213]" stroked="f"/>
              </w:pict>
            </w:r>
          </w:p>
        </w:tc>
      </w:tr>
      <w:tr w:rsidR="0025502E" w:rsidRPr="00A935AA" w:rsidTr="003B3977">
        <w:trPr>
          <w:cantSplit/>
        </w:trPr>
        <w:tc>
          <w:tcPr>
            <w:tcW w:w="4320" w:type="dxa"/>
            <w:shd w:val="clear" w:color="auto" w:fill="auto"/>
          </w:tcPr>
          <w:p w:rsidR="0025502E" w:rsidRPr="00A935AA" w:rsidRDefault="0025502E" w:rsidP="00F67BC8">
            <w:pPr>
              <w:rPr>
                <w:b/>
                <w:sz w:val="20"/>
                <w:szCs w:val="20"/>
              </w:rPr>
            </w:pPr>
            <w:r>
              <w:rPr>
                <w:b/>
                <w:sz w:val="20"/>
                <w:szCs w:val="20"/>
              </w:rPr>
              <w:t>Gail Morgan et al.</w:t>
            </w:r>
          </w:p>
          <w:p w:rsidR="0025502E" w:rsidRPr="00A935AA" w:rsidRDefault="0025502E" w:rsidP="00F67BC8">
            <w:pPr>
              <w:tabs>
                <w:tab w:val="left" w:pos="-1440"/>
                <w:tab w:val="left" w:pos="-720"/>
              </w:tabs>
              <w:rPr>
                <w:sz w:val="20"/>
                <w:szCs w:val="20"/>
              </w:rPr>
            </w:pPr>
            <w:r w:rsidRPr="00A935AA">
              <w:rPr>
                <w:sz w:val="20"/>
                <w:szCs w:val="20"/>
              </w:rPr>
              <w:tab/>
            </w:r>
            <w:r>
              <w:rPr>
                <w:sz w:val="20"/>
                <w:szCs w:val="20"/>
              </w:rPr>
              <w:t>Nathan J. Whitling</w:t>
            </w:r>
          </w:p>
          <w:p w:rsidR="0025502E" w:rsidRPr="00A935AA" w:rsidRDefault="0025502E" w:rsidP="00F67BC8">
            <w:pPr>
              <w:tabs>
                <w:tab w:val="left" w:pos="-1440"/>
                <w:tab w:val="left" w:pos="-720"/>
              </w:tabs>
              <w:rPr>
                <w:sz w:val="20"/>
                <w:szCs w:val="20"/>
              </w:rPr>
            </w:pPr>
            <w:r w:rsidRPr="00A935AA">
              <w:rPr>
                <w:sz w:val="20"/>
                <w:szCs w:val="20"/>
              </w:rPr>
              <w:tab/>
            </w:r>
            <w:r>
              <w:rPr>
                <w:sz w:val="20"/>
                <w:szCs w:val="20"/>
              </w:rPr>
              <w:t xml:space="preserve">Beresh Aloneissi O’Neill Hurley O’Keefe </w:t>
            </w:r>
            <w:r>
              <w:rPr>
                <w:sz w:val="20"/>
                <w:szCs w:val="20"/>
              </w:rPr>
              <w:tab/>
              <w:t>Millsap</w:t>
            </w:r>
          </w:p>
          <w:p w:rsidR="0025502E" w:rsidRPr="00A935AA" w:rsidRDefault="0025502E" w:rsidP="00F67BC8">
            <w:pPr>
              <w:tabs>
                <w:tab w:val="left" w:pos="-1440"/>
                <w:tab w:val="left" w:pos="-720"/>
              </w:tabs>
              <w:rPr>
                <w:sz w:val="20"/>
                <w:szCs w:val="20"/>
              </w:rPr>
            </w:pPr>
          </w:p>
          <w:p w:rsidR="0025502E" w:rsidRPr="00A935AA" w:rsidRDefault="0025502E" w:rsidP="00F67BC8">
            <w:pPr>
              <w:tabs>
                <w:tab w:val="left" w:pos="-1440"/>
                <w:tab w:val="left" w:pos="-720"/>
              </w:tabs>
              <w:rPr>
                <w:sz w:val="20"/>
                <w:szCs w:val="20"/>
              </w:rPr>
            </w:pPr>
            <w:r w:rsidRPr="00A935AA">
              <w:rPr>
                <w:sz w:val="20"/>
                <w:szCs w:val="20"/>
              </w:rPr>
              <w:tab/>
              <w:t>v. (3</w:t>
            </w:r>
            <w:r>
              <w:rPr>
                <w:sz w:val="20"/>
                <w:szCs w:val="20"/>
              </w:rPr>
              <w:t>6242</w:t>
            </w:r>
            <w:r w:rsidRPr="00A935AA">
              <w:rPr>
                <w:sz w:val="20"/>
                <w:szCs w:val="20"/>
              </w:rPr>
              <w:t>)</w:t>
            </w:r>
          </w:p>
          <w:p w:rsidR="0025502E" w:rsidRPr="00A935AA" w:rsidRDefault="0025502E" w:rsidP="00F67BC8">
            <w:pPr>
              <w:tabs>
                <w:tab w:val="left" w:pos="-1440"/>
                <w:tab w:val="left" w:pos="-720"/>
              </w:tabs>
              <w:rPr>
                <w:sz w:val="20"/>
                <w:szCs w:val="20"/>
              </w:rPr>
            </w:pPr>
          </w:p>
          <w:p w:rsidR="0025502E" w:rsidRPr="00A935AA" w:rsidRDefault="0025502E" w:rsidP="00F67BC8">
            <w:pPr>
              <w:tabs>
                <w:tab w:val="left" w:pos="-1440"/>
                <w:tab w:val="left" w:pos="-720"/>
              </w:tabs>
              <w:rPr>
                <w:b/>
                <w:sz w:val="20"/>
                <w:szCs w:val="20"/>
              </w:rPr>
            </w:pPr>
            <w:r>
              <w:rPr>
                <w:b/>
                <w:sz w:val="20"/>
                <w:szCs w:val="20"/>
              </w:rPr>
              <w:t xml:space="preserve">Paragon Capital Corporation Ltd. </w:t>
            </w:r>
            <w:r w:rsidRPr="00A935AA">
              <w:rPr>
                <w:b/>
                <w:sz w:val="20"/>
                <w:szCs w:val="20"/>
              </w:rPr>
              <w:t>(</w:t>
            </w:r>
            <w:r>
              <w:rPr>
                <w:b/>
                <w:sz w:val="20"/>
                <w:szCs w:val="20"/>
              </w:rPr>
              <w:t>Alta</w:t>
            </w:r>
            <w:r w:rsidRPr="00A935AA">
              <w:rPr>
                <w:b/>
                <w:sz w:val="20"/>
                <w:szCs w:val="20"/>
              </w:rPr>
              <w:t>.)</w:t>
            </w:r>
          </w:p>
          <w:p w:rsidR="0025502E" w:rsidRPr="00A935AA" w:rsidRDefault="0025502E" w:rsidP="00F67BC8">
            <w:pPr>
              <w:tabs>
                <w:tab w:val="left" w:pos="-1440"/>
                <w:tab w:val="left" w:pos="-720"/>
              </w:tabs>
              <w:rPr>
                <w:sz w:val="20"/>
                <w:szCs w:val="20"/>
              </w:rPr>
            </w:pPr>
            <w:r w:rsidRPr="00A935AA">
              <w:rPr>
                <w:sz w:val="20"/>
                <w:szCs w:val="20"/>
              </w:rPr>
              <w:tab/>
            </w:r>
            <w:r>
              <w:rPr>
                <w:sz w:val="20"/>
                <w:szCs w:val="20"/>
              </w:rPr>
              <w:t>Andrew K. Maciag, Q.C.</w:t>
            </w:r>
          </w:p>
          <w:p w:rsidR="0025502E" w:rsidRPr="00A935AA" w:rsidRDefault="0025502E" w:rsidP="00F67BC8">
            <w:pPr>
              <w:tabs>
                <w:tab w:val="left" w:pos="-1440"/>
                <w:tab w:val="left" w:pos="-720"/>
              </w:tabs>
              <w:rPr>
                <w:sz w:val="20"/>
                <w:szCs w:val="20"/>
              </w:rPr>
            </w:pPr>
            <w:r w:rsidRPr="00A935AA">
              <w:rPr>
                <w:sz w:val="20"/>
                <w:szCs w:val="20"/>
              </w:rPr>
              <w:tab/>
            </w:r>
            <w:r>
              <w:rPr>
                <w:sz w:val="20"/>
                <w:szCs w:val="20"/>
              </w:rPr>
              <w:t>Borden Ladner Gervais LLP</w:t>
            </w:r>
          </w:p>
          <w:p w:rsidR="0025502E" w:rsidRPr="00A935AA" w:rsidRDefault="0025502E" w:rsidP="00F67BC8">
            <w:pPr>
              <w:tabs>
                <w:tab w:val="left" w:pos="-1440"/>
                <w:tab w:val="left" w:pos="-720"/>
              </w:tabs>
              <w:rPr>
                <w:sz w:val="20"/>
                <w:szCs w:val="20"/>
              </w:rPr>
            </w:pPr>
          </w:p>
          <w:p w:rsidR="0025502E" w:rsidRPr="00A935AA" w:rsidRDefault="0025502E" w:rsidP="00D611E2">
            <w:pPr>
              <w:rPr>
                <w:sz w:val="20"/>
                <w:szCs w:val="20"/>
              </w:rPr>
            </w:pPr>
            <w:r w:rsidRPr="00A935AA">
              <w:rPr>
                <w:sz w:val="20"/>
                <w:szCs w:val="20"/>
              </w:rPr>
              <w:t>FILING DATE:</w:t>
            </w:r>
            <w:r>
              <w:rPr>
                <w:sz w:val="20"/>
                <w:szCs w:val="20"/>
              </w:rPr>
              <w:t xml:space="preserve"> 05</w:t>
            </w:r>
            <w:r w:rsidRPr="00A935AA">
              <w:rPr>
                <w:sz w:val="20"/>
                <w:szCs w:val="20"/>
              </w:rPr>
              <w:t>.</w:t>
            </w:r>
            <w:r>
              <w:rPr>
                <w:sz w:val="20"/>
                <w:szCs w:val="20"/>
              </w:rPr>
              <w:t>01</w:t>
            </w:r>
            <w:r w:rsidRPr="00A935AA">
              <w:rPr>
                <w:sz w:val="20"/>
                <w:szCs w:val="20"/>
              </w:rPr>
              <w:t>.201</w:t>
            </w:r>
            <w:r>
              <w:rPr>
                <w:sz w:val="20"/>
                <w:szCs w:val="20"/>
              </w:rPr>
              <w:t>5</w:t>
            </w:r>
            <w:r w:rsidR="00E42AAB">
              <w:rPr>
                <w:sz w:val="20"/>
                <w:szCs w:val="20"/>
                <w:lang w:val="fr-CA"/>
              </w:rPr>
              <w:pict>
                <v:rect id="_x0000_i1039" style="width:108pt;height:1pt" o:hrpct="0" o:hralign="center" o:hrstd="t" o:hrnoshade="t" o:hr="t" fillcolor="black [3213]" stroked="f"/>
              </w:pict>
            </w:r>
          </w:p>
        </w:tc>
        <w:tc>
          <w:tcPr>
            <w:tcW w:w="1181" w:type="dxa"/>
            <w:shd w:val="clear" w:color="auto" w:fill="auto"/>
          </w:tcPr>
          <w:p w:rsidR="0025502E" w:rsidRDefault="0025502E" w:rsidP="00242AEE">
            <w:pPr>
              <w:jc w:val="center"/>
              <w:rPr>
                <w:sz w:val="20"/>
                <w:szCs w:val="20"/>
              </w:rPr>
            </w:pPr>
          </w:p>
          <w:p w:rsidR="0025502E" w:rsidRDefault="0025502E" w:rsidP="00242AEE">
            <w:pPr>
              <w:jc w:val="center"/>
              <w:rPr>
                <w:sz w:val="20"/>
                <w:szCs w:val="20"/>
              </w:rPr>
            </w:pPr>
          </w:p>
          <w:p w:rsidR="0025502E" w:rsidRDefault="0025502E" w:rsidP="00242AEE">
            <w:pPr>
              <w:jc w:val="center"/>
              <w:rPr>
                <w:sz w:val="20"/>
                <w:szCs w:val="20"/>
              </w:rPr>
            </w:pPr>
          </w:p>
          <w:p w:rsidR="0025502E" w:rsidRDefault="0025502E" w:rsidP="00242AEE">
            <w:pPr>
              <w:jc w:val="center"/>
              <w:rPr>
                <w:sz w:val="20"/>
                <w:szCs w:val="20"/>
              </w:rPr>
            </w:pPr>
          </w:p>
          <w:p w:rsidR="0025502E" w:rsidRDefault="0025502E" w:rsidP="00242AEE">
            <w:pPr>
              <w:jc w:val="center"/>
              <w:rPr>
                <w:sz w:val="20"/>
                <w:szCs w:val="20"/>
              </w:rPr>
            </w:pPr>
          </w:p>
          <w:p w:rsidR="0025502E" w:rsidRDefault="0025502E" w:rsidP="00242AEE">
            <w:pPr>
              <w:jc w:val="center"/>
              <w:rPr>
                <w:sz w:val="20"/>
                <w:szCs w:val="20"/>
              </w:rPr>
            </w:pPr>
          </w:p>
          <w:p w:rsidR="0025502E" w:rsidRDefault="0025502E" w:rsidP="00242AEE">
            <w:pPr>
              <w:jc w:val="center"/>
              <w:rPr>
                <w:sz w:val="20"/>
                <w:szCs w:val="20"/>
              </w:rPr>
            </w:pPr>
          </w:p>
          <w:p w:rsidR="0025502E" w:rsidRDefault="0025502E" w:rsidP="00242AEE">
            <w:pPr>
              <w:jc w:val="center"/>
              <w:rPr>
                <w:sz w:val="20"/>
                <w:szCs w:val="20"/>
              </w:rPr>
            </w:pPr>
          </w:p>
          <w:p w:rsidR="0025502E" w:rsidRDefault="0025502E" w:rsidP="00242AEE">
            <w:pPr>
              <w:jc w:val="center"/>
              <w:rPr>
                <w:sz w:val="20"/>
                <w:szCs w:val="20"/>
              </w:rPr>
            </w:pPr>
          </w:p>
          <w:p w:rsidR="0025502E" w:rsidRDefault="0025502E" w:rsidP="00242AEE">
            <w:pPr>
              <w:jc w:val="center"/>
              <w:rPr>
                <w:sz w:val="20"/>
                <w:szCs w:val="20"/>
              </w:rPr>
            </w:pPr>
          </w:p>
          <w:p w:rsidR="0025502E" w:rsidRDefault="0025502E" w:rsidP="00242AEE">
            <w:pPr>
              <w:jc w:val="center"/>
              <w:rPr>
                <w:sz w:val="20"/>
                <w:szCs w:val="20"/>
              </w:rPr>
            </w:pPr>
          </w:p>
          <w:p w:rsidR="0025502E" w:rsidRDefault="0025502E" w:rsidP="00242AEE">
            <w:pPr>
              <w:jc w:val="center"/>
              <w:rPr>
                <w:sz w:val="20"/>
                <w:szCs w:val="20"/>
              </w:rPr>
            </w:pPr>
          </w:p>
          <w:p w:rsidR="0025502E" w:rsidRPr="00A935AA" w:rsidRDefault="0025502E" w:rsidP="00242AEE">
            <w:pPr>
              <w:jc w:val="center"/>
              <w:rPr>
                <w:sz w:val="20"/>
                <w:szCs w:val="20"/>
              </w:rPr>
            </w:pPr>
          </w:p>
        </w:tc>
        <w:tc>
          <w:tcPr>
            <w:tcW w:w="4320" w:type="dxa"/>
            <w:shd w:val="clear" w:color="auto" w:fill="auto"/>
          </w:tcPr>
          <w:p w:rsidR="0025502E" w:rsidRPr="00A935AA" w:rsidRDefault="0025502E" w:rsidP="00D611E2">
            <w:pPr>
              <w:rPr>
                <w:sz w:val="20"/>
                <w:szCs w:val="20"/>
              </w:rPr>
            </w:pPr>
          </w:p>
        </w:tc>
      </w:tr>
    </w:tbl>
    <w:p w:rsidR="006C3F47" w:rsidRDefault="006C3F47" w:rsidP="0095096B">
      <w:pPr>
        <w:tabs>
          <w:tab w:val="right" w:pos="9360"/>
        </w:tabs>
        <w:rPr>
          <w:sz w:val="20"/>
          <w:szCs w:val="20"/>
        </w:rPr>
      </w:pPr>
    </w:p>
    <w:p w:rsidR="00D94028" w:rsidRDefault="00D94028"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C102AE">
          <w:headerReference w:type="default" r:id="rId16"/>
          <w:footerReference w:type="default" r:id="rId17"/>
          <w:headerReference w:type="first" r:id="rId18"/>
          <w:footerReference w:type="first" r:id="rId19"/>
          <w:pgSz w:w="12240" w:h="15840"/>
          <w:pgMar w:top="720" w:right="965" w:bottom="1080" w:left="1656" w:header="706" w:footer="706" w:gutter="0"/>
          <w:pgNumType w:start="150"/>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E42AAB"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CB3520" w:rsidP="00CB3520">
      <w:pPr>
        <w:widowControl w:val="0"/>
        <w:rPr>
          <w:b/>
          <w:sz w:val="20"/>
          <w:szCs w:val="20"/>
        </w:rPr>
      </w:pPr>
      <w:r>
        <w:rPr>
          <w:b/>
          <w:sz w:val="20"/>
          <w:szCs w:val="20"/>
        </w:rPr>
        <w:t>JANUARY 2</w:t>
      </w:r>
      <w:r w:rsidR="00D65D8C">
        <w:rPr>
          <w:b/>
          <w:sz w:val="20"/>
          <w:szCs w:val="20"/>
        </w:rPr>
        <w:t>6</w:t>
      </w:r>
      <w:r w:rsidRPr="00C50A5C">
        <w:rPr>
          <w:b/>
          <w:sz w:val="20"/>
          <w:szCs w:val="20"/>
        </w:rPr>
        <w:t>, 201</w:t>
      </w:r>
      <w:r w:rsidR="00020DC3">
        <w:rPr>
          <w:b/>
          <w:sz w:val="20"/>
          <w:szCs w:val="20"/>
        </w:rPr>
        <w:t>5</w:t>
      </w:r>
      <w:r w:rsidRPr="00C50A5C">
        <w:rPr>
          <w:b/>
          <w:sz w:val="20"/>
          <w:szCs w:val="20"/>
        </w:rPr>
        <w:t xml:space="preserve"> / LE </w:t>
      </w:r>
      <w:r>
        <w:rPr>
          <w:b/>
          <w:sz w:val="20"/>
          <w:szCs w:val="20"/>
        </w:rPr>
        <w:t>2</w:t>
      </w:r>
      <w:r w:rsidR="00D65D8C">
        <w:rPr>
          <w:b/>
          <w:sz w:val="20"/>
          <w:szCs w:val="20"/>
        </w:rPr>
        <w:t>6</w:t>
      </w:r>
      <w:r>
        <w:rPr>
          <w:b/>
          <w:sz w:val="20"/>
          <w:szCs w:val="20"/>
        </w:rPr>
        <w:t xml:space="preserve"> JANVIER</w:t>
      </w:r>
      <w:r w:rsidRPr="00C50A5C">
        <w:rPr>
          <w:b/>
          <w:sz w:val="20"/>
          <w:szCs w:val="20"/>
        </w:rPr>
        <w:t xml:space="preserve"> 201</w:t>
      </w:r>
      <w:r w:rsidR="00020DC3">
        <w:rPr>
          <w:b/>
          <w:sz w:val="20"/>
          <w:szCs w:val="20"/>
        </w:rPr>
        <w:t>5</w:t>
      </w:r>
    </w:p>
    <w:p w:rsidR="00CB3520" w:rsidRPr="00C50A5C" w:rsidRDefault="00CB3520" w:rsidP="00CB3520">
      <w:pPr>
        <w:widowControl w:val="0"/>
        <w:rPr>
          <w:b/>
          <w:sz w:val="20"/>
          <w:szCs w:val="20"/>
        </w:rPr>
      </w:pPr>
    </w:p>
    <w:p w:rsidR="00CB3520" w:rsidRPr="00C50A5C" w:rsidRDefault="00CB3520" w:rsidP="00CB3520">
      <w:pPr>
        <w:widowControl w:val="0"/>
        <w:jc w:val="center"/>
        <w:rPr>
          <w:b/>
          <w:sz w:val="20"/>
          <w:szCs w:val="20"/>
        </w:rPr>
      </w:pPr>
      <w:r w:rsidRPr="00C50A5C">
        <w:rPr>
          <w:b/>
          <w:sz w:val="20"/>
          <w:szCs w:val="20"/>
        </w:rPr>
        <w:t xml:space="preserve">CORAM:  Chief Justice McLachlin and </w:t>
      </w:r>
      <w:r w:rsidR="00FA3373">
        <w:rPr>
          <w:b/>
          <w:sz w:val="20"/>
          <w:szCs w:val="20"/>
        </w:rPr>
        <w:t>Wagner</w:t>
      </w:r>
      <w:r w:rsidRPr="00C50A5C">
        <w:rPr>
          <w:b/>
          <w:sz w:val="20"/>
          <w:szCs w:val="20"/>
        </w:rPr>
        <w:t xml:space="preserve"> and </w:t>
      </w:r>
      <w:r w:rsidR="00FA3373">
        <w:rPr>
          <w:b/>
          <w:sz w:val="20"/>
          <w:szCs w:val="20"/>
        </w:rPr>
        <w:t xml:space="preserve">Gascon </w:t>
      </w:r>
      <w:r w:rsidRPr="00C50A5C">
        <w:rPr>
          <w:b/>
          <w:sz w:val="20"/>
          <w:szCs w:val="20"/>
        </w:rPr>
        <w:t>JJ.</w:t>
      </w:r>
    </w:p>
    <w:p w:rsidR="00CB3520" w:rsidRPr="00C50A5C" w:rsidRDefault="00CB3520" w:rsidP="00CB3520">
      <w:pPr>
        <w:widowControl w:val="0"/>
        <w:jc w:val="center"/>
        <w:rPr>
          <w:sz w:val="20"/>
          <w:szCs w:val="20"/>
          <w:lang w:val="fr-CA"/>
        </w:rPr>
      </w:pPr>
      <w:r w:rsidRPr="00C50A5C">
        <w:rPr>
          <w:b/>
          <w:sz w:val="20"/>
          <w:szCs w:val="20"/>
          <w:lang w:val="fr-CA"/>
        </w:rPr>
        <w:t xml:space="preserve">La juge en chef McLachlin et les juges </w:t>
      </w:r>
      <w:r w:rsidR="00FA3373">
        <w:rPr>
          <w:b/>
          <w:sz w:val="20"/>
          <w:szCs w:val="20"/>
          <w:lang w:val="fr-CA"/>
        </w:rPr>
        <w:t>Wagner</w:t>
      </w:r>
      <w:r w:rsidRPr="00C50A5C">
        <w:rPr>
          <w:b/>
          <w:sz w:val="20"/>
          <w:szCs w:val="20"/>
          <w:lang w:val="fr-CA"/>
        </w:rPr>
        <w:t xml:space="preserve"> et </w:t>
      </w:r>
      <w:r w:rsidR="00FA3373">
        <w:rPr>
          <w:b/>
          <w:sz w:val="20"/>
          <w:szCs w:val="20"/>
          <w:lang w:val="fr-CA"/>
        </w:rPr>
        <w:t>Gascon</w:t>
      </w:r>
    </w:p>
    <w:p w:rsidR="00CB3520" w:rsidRPr="00C50A5C" w:rsidRDefault="00CB3520" w:rsidP="00CB3520">
      <w:pPr>
        <w:widowControl w:val="0"/>
        <w:rPr>
          <w:sz w:val="20"/>
          <w:szCs w:val="20"/>
          <w:lang w:val="fr-CA"/>
        </w:rPr>
      </w:pPr>
    </w:p>
    <w:p w:rsidR="00CB3520" w:rsidRPr="00C50A5C" w:rsidRDefault="00096B8E" w:rsidP="00CB3520">
      <w:pPr>
        <w:pStyle w:val="ListParagraph"/>
        <w:widowControl w:val="0"/>
        <w:numPr>
          <w:ilvl w:val="0"/>
          <w:numId w:val="1"/>
        </w:numPr>
        <w:ind w:hanging="720"/>
        <w:jc w:val="both"/>
        <w:rPr>
          <w:sz w:val="20"/>
          <w:szCs w:val="20"/>
        </w:rPr>
      </w:pPr>
      <w:r w:rsidRPr="00096B8E">
        <w:rPr>
          <w:i/>
          <w:sz w:val="20"/>
          <w:szCs w:val="20"/>
        </w:rPr>
        <w:t>Sean Michael Heickert v. Her Majesty the Queen</w:t>
      </w:r>
      <w:r w:rsidRPr="00096B8E">
        <w:rPr>
          <w:sz w:val="20"/>
          <w:szCs w:val="20"/>
        </w:rPr>
        <w:t xml:space="preserve"> (Man.) (Crim.) (By Leave)</w:t>
      </w:r>
      <w:r w:rsidRPr="00C50A5C">
        <w:rPr>
          <w:sz w:val="20"/>
          <w:szCs w:val="20"/>
        </w:rPr>
        <w:t xml:space="preserve"> </w:t>
      </w:r>
      <w:r w:rsidR="00CB3520" w:rsidRPr="00C50A5C">
        <w:rPr>
          <w:sz w:val="20"/>
          <w:szCs w:val="20"/>
        </w:rPr>
        <w:t>(3</w:t>
      </w:r>
      <w:r w:rsidR="00CB3520">
        <w:rPr>
          <w:sz w:val="20"/>
          <w:szCs w:val="20"/>
        </w:rPr>
        <w:t>6</w:t>
      </w:r>
      <w:r>
        <w:rPr>
          <w:sz w:val="20"/>
          <w:szCs w:val="20"/>
        </w:rPr>
        <w:t>149</w:t>
      </w:r>
      <w:r w:rsidR="00CB3520" w:rsidRPr="00C50A5C">
        <w:rPr>
          <w:sz w:val="20"/>
          <w:szCs w:val="20"/>
        </w:rPr>
        <w:t>)</w:t>
      </w:r>
    </w:p>
    <w:p w:rsidR="00CB3520" w:rsidRPr="00C50A5C" w:rsidRDefault="00CB3520" w:rsidP="00CB3520">
      <w:pPr>
        <w:widowControl w:val="0"/>
        <w:jc w:val="both"/>
        <w:rPr>
          <w:sz w:val="20"/>
          <w:szCs w:val="20"/>
        </w:rPr>
      </w:pPr>
    </w:p>
    <w:p w:rsidR="00CB3520" w:rsidRPr="00096B8E" w:rsidRDefault="00096B8E" w:rsidP="00CB3520">
      <w:pPr>
        <w:pStyle w:val="ListParagraph"/>
        <w:widowControl w:val="0"/>
        <w:numPr>
          <w:ilvl w:val="0"/>
          <w:numId w:val="1"/>
        </w:numPr>
        <w:ind w:hanging="720"/>
        <w:jc w:val="both"/>
        <w:rPr>
          <w:sz w:val="20"/>
          <w:szCs w:val="20"/>
          <w:lang w:val="fr-CA"/>
        </w:rPr>
      </w:pPr>
      <w:r w:rsidRPr="00096B8E">
        <w:rPr>
          <w:i/>
          <w:sz w:val="20"/>
          <w:szCs w:val="20"/>
          <w:lang w:val="fr-CA"/>
        </w:rPr>
        <w:t>IEC Holden Inc. c. Commission des normes du travail</w:t>
      </w:r>
      <w:r w:rsidRPr="00096B8E">
        <w:rPr>
          <w:sz w:val="20"/>
          <w:szCs w:val="20"/>
          <w:lang w:val="fr-CA"/>
        </w:rPr>
        <w:t xml:space="preserve"> (Qc) (Civile) (Autorisation)</w:t>
      </w:r>
      <w:r>
        <w:rPr>
          <w:sz w:val="20"/>
          <w:szCs w:val="20"/>
          <w:lang w:val="fr-CA"/>
        </w:rPr>
        <w:t xml:space="preserve"> </w:t>
      </w:r>
      <w:r w:rsidR="00CB3520" w:rsidRPr="00096B8E">
        <w:rPr>
          <w:sz w:val="20"/>
          <w:szCs w:val="20"/>
          <w:lang w:val="fr-CA"/>
        </w:rPr>
        <w:t>(36</w:t>
      </w:r>
      <w:r w:rsidRPr="00096B8E">
        <w:rPr>
          <w:sz w:val="20"/>
          <w:szCs w:val="20"/>
          <w:lang w:val="fr-CA"/>
        </w:rPr>
        <w:t>135</w:t>
      </w:r>
      <w:r w:rsidR="00CB3520" w:rsidRPr="00096B8E">
        <w:rPr>
          <w:sz w:val="20"/>
          <w:szCs w:val="20"/>
          <w:lang w:val="fr-CA"/>
        </w:rPr>
        <w:t>)</w:t>
      </w:r>
    </w:p>
    <w:p w:rsidR="00CB3520" w:rsidRPr="00096B8E" w:rsidRDefault="00CB3520" w:rsidP="00CB3520">
      <w:pPr>
        <w:widowControl w:val="0"/>
        <w:jc w:val="both"/>
        <w:rPr>
          <w:sz w:val="20"/>
          <w:szCs w:val="20"/>
          <w:lang w:val="fr-CA"/>
        </w:rPr>
      </w:pPr>
    </w:p>
    <w:p w:rsidR="00CB3520" w:rsidRPr="00096B8E" w:rsidRDefault="00096B8E" w:rsidP="00CB3520">
      <w:pPr>
        <w:pStyle w:val="ListParagraph"/>
        <w:widowControl w:val="0"/>
        <w:numPr>
          <w:ilvl w:val="0"/>
          <w:numId w:val="1"/>
        </w:numPr>
        <w:ind w:hanging="720"/>
        <w:jc w:val="both"/>
        <w:rPr>
          <w:sz w:val="20"/>
          <w:szCs w:val="20"/>
          <w:lang w:val="fr-CA"/>
        </w:rPr>
      </w:pPr>
      <w:r w:rsidRPr="00096B8E">
        <w:rPr>
          <w:i/>
          <w:sz w:val="20"/>
          <w:szCs w:val="20"/>
          <w:lang w:val="fr-CA"/>
        </w:rPr>
        <w:t>Lyse Duchesne c. Procureur général du Québec</w:t>
      </w:r>
      <w:r w:rsidRPr="00096B8E">
        <w:rPr>
          <w:sz w:val="20"/>
          <w:szCs w:val="20"/>
          <w:lang w:val="fr-CA"/>
        </w:rPr>
        <w:t xml:space="preserve"> (Qc) (Civile) (Autorisation) </w:t>
      </w:r>
      <w:r w:rsidR="00CB3520" w:rsidRPr="00096B8E">
        <w:rPr>
          <w:sz w:val="20"/>
          <w:szCs w:val="20"/>
          <w:lang w:val="fr-CA"/>
        </w:rPr>
        <w:t>(3</w:t>
      </w:r>
      <w:r w:rsidRPr="00096B8E">
        <w:rPr>
          <w:sz w:val="20"/>
          <w:szCs w:val="20"/>
          <w:lang w:val="fr-CA"/>
        </w:rPr>
        <w:t>6</w:t>
      </w:r>
      <w:r w:rsidR="00CB3520" w:rsidRPr="00096B8E">
        <w:rPr>
          <w:sz w:val="20"/>
          <w:szCs w:val="20"/>
          <w:lang w:val="fr-CA"/>
        </w:rPr>
        <w:t>0</w:t>
      </w:r>
      <w:r w:rsidRPr="00096B8E">
        <w:rPr>
          <w:sz w:val="20"/>
          <w:szCs w:val="20"/>
          <w:lang w:val="fr-CA"/>
        </w:rPr>
        <w:t>16</w:t>
      </w:r>
      <w:r w:rsidR="00CB3520" w:rsidRPr="00096B8E">
        <w:rPr>
          <w:sz w:val="20"/>
          <w:szCs w:val="20"/>
          <w:lang w:val="fr-CA"/>
        </w:rPr>
        <w:t>)</w:t>
      </w:r>
    </w:p>
    <w:p w:rsidR="00CB3520" w:rsidRPr="00096B8E" w:rsidRDefault="00CB3520" w:rsidP="00CB3520">
      <w:pPr>
        <w:widowControl w:val="0"/>
        <w:rPr>
          <w:sz w:val="20"/>
          <w:szCs w:val="20"/>
          <w:lang w:val="fr-CA"/>
        </w:rPr>
      </w:pPr>
    </w:p>
    <w:p w:rsidR="00CB3520" w:rsidRPr="00C50A5C" w:rsidRDefault="00096B8E" w:rsidP="00CB3520">
      <w:pPr>
        <w:pStyle w:val="ListParagraph"/>
        <w:widowControl w:val="0"/>
        <w:numPr>
          <w:ilvl w:val="0"/>
          <w:numId w:val="1"/>
        </w:numPr>
        <w:ind w:hanging="720"/>
        <w:jc w:val="both"/>
        <w:rPr>
          <w:sz w:val="20"/>
          <w:szCs w:val="20"/>
        </w:rPr>
      </w:pPr>
      <w:r w:rsidRPr="00096B8E">
        <w:rPr>
          <w:i/>
          <w:sz w:val="20"/>
          <w:szCs w:val="20"/>
        </w:rPr>
        <w:t>Krayzel Corporation et al. v. Equitable Trust Company</w:t>
      </w:r>
      <w:r w:rsidRPr="00096B8E">
        <w:rPr>
          <w:sz w:val="20"/>
          <w:szCs w:val="20"/>
        </w:rPr>
        <w:t xml:space="preserve"> (Alta.) (Civil) (By Leave)</w:t>
      </w:r>
      <w:r w:rsidRPr="00C50A5C">
        <w:rPr>
          <w:sz w:val="20"/>
          <w:szCs w:val="20"/>
        </w:rPr>
        <w:t xml:space="preserve"> </w:t>
      </w:r>
      <w:r w:rsidR="00CB3520" w:rsidRPr="00C50A5C">
        <w:rPr>
          <w:sz w:val="20"/>
          <w:szCs w:val="20"/>
        </w:rPr>
        <w:t>(3</w:t>
      </w:r>
      <w:r w:rsidR="00CB3520">
        <w:rPr>
          <w:sz w:val="20"/>
          <w:szCs w:val="20"/>
        </w:rPr>
        <w:t>61</w:t>
      </w:r>
      <w:r>
        <w:rPr>
          <w:sz w:val="20"/>
          <w:szCs w:val="20"/>
        </w:rPr>
        <w:t>23</w:t>
      </w:r>
      <w:r w:rsidR="00CB3520" w:rsidRPr="00C50A5C">
        <w:rPr>
          <w:sz w:val="20"/>
          <w:szCs w:val="20"/>
        </w:rPr>
        <w:t>)</w:t>
      </w:r>
    </w:p>
    <w:p w:rsidR="00CB3520" w:rsidRDefault="00CB3520" w:rsidP="00CB3520">
      <w:pPr>
        <w:widowControl w:val="0"/>
        <w:jc w:val="both"/>
        <w:rPr>
          <w:sz w:val="20"/>
          <w:szCs w:val="20"/>
        </w:rPr>
      </w:pPr>
    </w:p>
    <w:p w:rsidR="00CB3520" w:rsidRPr="00096B8E" w:rsidRDefault="00096B8E" w:rsidP="00CB3520">
      <w:pPr>
        <w:pStyle w:val="ListParagraph"/>
        <w:widowControl w:val="0"/>
        <w:numPr>
          <w:ilvl w:val="0"/>
          <w:numId w:val="1"/>
        </w:numPr>
        <w:ind w:hanging="720"/>
        <w:jc w:val="both"/>
        <w:rPr>
          <w:sz w:val="20"/>
          <w:szCs w:val="20"/>
          <w:lang w:val="fr-CA"/>
        </w:rPr>
      </w:pPr>
      <w:r w:rsidRPr="00096B8E">
        <w:rPr>
          <w:i/>
          <w:sz w:val="20"/>
          <w:szCs w:val="20"/>
          <w:lang w:val="fr-CA"/>
        </w:rPr>
        <w:t>Gilbert Liu c. Comité de discipline du centre de santé et de services sociaux Haut-Richelieu-Rouville et a</w:t>
      </w:r>
      <w:r w:rsidR="00946327">
        <w:rPr>
          <w:i/>
          <w:sz w:val="20"/>
          <w:szCs w:val="20"/>
          <w:lang w:val="fr-CA"/>
        </w:rPr>
        <w:t>utres</w:t>
      </w:r>
      <w:r w:rsidRPr="00096B8E">
        <w:rPr>
          <w:sz w:val="20"/>
          <w:szCs w:val="20"/>
          <w:lang w:val="fr-CA"/>
        </w:rPr>
        <w:t xml:space="preserve"> (Qc) (Civile) (Autorisation) </w:t>
      </w:r>
      <w:r w:rsidR="00CB3520" w:rsidRPr="00096B8E">
        <w:rPr>
          <w:sz w:val="20"/>
          <w:szCs w:val="20"/>
          <w:lang w:val="fr-CA"/>
        </w:rPr>
        <w:t>(361</w:t>
      </w:r>
      <w:r w:rsidRPr="00096B8E">
        <w:rPr>
          <w:sz w:val="20"/>
          <w:szCs w:val="20"/>
          <w:lang w:val="fr-CA"/>
        </w:rPr>
        <w:t>51</w:t>
      </w:r>
      <w:r w:rsidR="00CB3520" w:rsidRPr="00096B8E">
        <w:rPr>
          <w:sz w:val="20"/>
          <w:szCs w:val="20"/>
          <w:lang w:val="fr-CA"/>
        </w:rPr>
        <w:t>)</w:t>
      </w:r>
    </w:p>
    <w:p w:rsidR="00CB3520" w:rsidRPr="00096B8E" w:rsidRDefault="00CB3520" w:rsidP="00CB3520">
      <w:pPr>
        <w:widowControl w:val="0"/>
        <w:rPr>
          <w:sz w:val="20"/>
          <w:szCs w:val="20"/>
          <w:lang w:val="fr-CA"/>
        </w:rPr>
      </w:pPr>
    </w:p>
    <w:p w:rsidR="00CB3520" w:rsidRPr="00096B8E" w:rsidRDefault="00CB3520" w:rsidP="00CB3520">
      <w:pPr>
        <w:widowControl w:val="0"/>
        <w:rPr>
          <w:sz w:val="20"/>
          <w:szCs w:val="20"/>
          <w:lang w:val="fr-CA"/>
        </w:rPr>
      </w:pPr>
    </w:p>
    <w:p w:rsidR="00CB3520" w:rsidRPr="00A22DFB" w:rsidRDefault="00CB3520" w:rsidP="00CB3520">
      <w:pPr>
        <w:widowControl w:val="0"/>
        <w:jc w:val="center"/>
        <w:rPr>
          <w:b/>
          <w:sz w:val="20"/>
          <w:szCs w:val="20"/>
          <w:lang w:val="fr-CA"/>
        </w:rPr>
      </w:pPr>
      <w:r w:rsidRPr="00A22DFB">
        <w:rPr>
          <w:b/>
          <w:sz w:val="20"/>
          <w:szCs w:val="20"/>
          <w:lang w:val="fr-CA"/>
        </w:rPr>
        <w:t xml:space="preserve">CORAM: </w:t>
      </w:r>
      <w:r w:rsidR="00FA3373" w:rsidRPr="00A22DFB">
        <w:rPr>
          <w:b/>
          <w:sz w:val="20"/>
          <w:szCs w:val="20"/>
          <w:lang w:val="fr-CA"/>
        </w:rPr>
        <w:t>Abella</w:t>
      </w:r>
      <w:r w:rsidRPr="00A22DFB">
        <w:rPr>
          <w:b/>
          <w:sz w:val="20"/>
          <w:szCs w:val="20"/>
          <w:lang w:val="fr-CA"/>
        </w:rPr>
        <w:t xml:space="preserve">, Karakatsanis and </w:t>
      </w:r>
      <w:r w:rsidR="00FA3373" w:rsidRPr="00A22DFB">
        <w:rPr>
          <w:b/>
          <w:sz w:val="20"/>
          <w:szCs w:val="20"/>
          <w:lang w:val="fr-CA"/>
        </w:rPr>
        <w:t>Côté</w:t>
      </w:r>
      <w:r w:rsidRPr="00A22DFB">
        <w:rPr>
          <w:b/>
          <w:sz w:val="20"/>
          <w:szCs w:val="20"/>
          <w:lang w:val="fr-CA"/>
        </w:rPr>
        <w:t xml:space="preserve"> JJ.</w:t>
      </w:r>
    </w:p>
    <w:p w:rsidR="00CB3520" w:rsidRPr="00C50A5C" w:rsidRDefault="00CB3520" w:rsidP="00CB3520">
      <w:pPr>
        <w:widowControl w:val="0"/>
        <w:jc w:val="center"/>
        <w:rPr>
          <w:b/>
          <w:sz w:val="20"/>
          <w:szCs w:val="20"/>
          <w:lang w:val="fr-CA"/>
        </w:rPr>
      </w:pPr>
      <w:r w:rsidRPr="00C50A5C">
        <w:rPr>
          <w:b/>
          <w:sz w:val="20"/>
          <w:szCs w:val="20"/>
          <w:lang w:val="fr-CA"/>
        </w:rPr>
        <w:t xml:space="preserve">Les juges </w:t>
      </w:r>
      <w:r w:rsidR="00FA3373">
        <w:rPr>
          <w:b/>
          <w:sz w:val="20"/>
          <w:szCs w:val="20"/>
          <w:lang w:val="fr-CA"/>
        </w:rPr>
        <w:t>Abella</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sidR="00FA3373">
        <w:rPr>
          <w:b/>
          <w:sz w:val="20"/>
          <w:szCs w:val="20"/>
          <w:lang w:val="fr-CA"/>
        </w:rPr>
        <w:t>Côté</w:t>
      </w:r>
    </w:p>
    <w:p w:rsidR="00CB3520" w:rsidRPr="00C16CB3" w:rsidRDefault="00CB3520" w:rsidP="00CB3520">
      <w:pPr>
        <w:widowControl w:val="0"/>
        <w:jc w:val="both"/>
        <w:rPr>
          <w:sz w:val="20"/>
          <w:szCs w:val="20"/>
          <w:lang w:val="fr-CA"/>
        </w:rPr>
      </w:pPr>
    </w:p>
    <w:p w:rsidR="00CB3520" w:rsidRPr="00096B8E" w:rsidRDefault="00096B8E" w:rsidP="00CB3520">
      <w:pPr>
        <w:pStyle w:val="ListParagraph"/>
        <w:widowControl w:val="0"/>
        <w:numPr>
          <w:ilvl w:val="0"/>
          <w:numId w:val="1"/>
        </w:numPr>
        <w:ind w:hanging="720"/>
        <w:jc w:val="both"/>
        <w:rPr>
          <w:sz w:val="20"/>
          <w:szCs w:val="20"/>
        </w:rPr>
      </w:pPr>
      <w:r w:rsidRPr="00096B8E">
        <w:rPr>
          <w:i/>
          <w:sz w:val="20"/>
          <w:szCs w:val="20"/>
        </w:rPr>
        <w:t>Jonathan Hagedorn v. Her Majesty the Queen</w:t>
      </w:r>
      <w:r w:rsidRPr="00096B8E">
        <w:rPr>
          <w:sz w:val="20"/>
          <w:szCs w:val="20"/>
        </w:rPr>
        <w:t xml:space="preserve"> (Ont.) (Crim.) (By Leave) </w:t>
      </w:r>
      <w:r w:rsidR="00CB3520" w:rsidRPr="00096B8E">
        <w:rPr>
          <w:sz w:val="20"/>
          <w:szCs w:val="20"/>
        </w:rPr>
        <w:t>(36</w:t>
      </w:r>
      <w:r w:rsidRPr="00096B8E">
        <w:rPr>
          <w:sz w:val="20"/>
          <w:szCs w:val="20"/>
        </w:rPr>
        <w:t>118</w:t>
      </w:r>
      <w:r w:rsidR="00CB3520" w:rsidRPr="00096B8E">
        <w:rPr>
          <w:sz w:val="20"/>
          <w:szCs w:val="20"/>
        </w:rPr>
        <w:t>)</w:t>
      </w:r>
    </w:p>
    <w:p w:rsidR="00CB3520" w:rsidRPr="00096B8E" w:rsidRDefault="00CB3520" w:rsidP="00CB3520">
      <w:pPr>
        <w:widowControl w:val="0"/>
        <w:jc w:val="both"/>
        <w:rPr>
          <w:sz w:val="20"/>
          <w:szCs w:val="20"/>
        </w:rPr>
      </w:pPr>
    </w:p>
    <w:p w:rsidR="00CB3520" w:rsidRPr="009C5D38" w:rsidRDefault="00096B8E" w:rsidP="00CB3520">
      <w:pPr>
        <w:pStyle w:val="ListParagraph"/>
        <w:widowControl w:val="0"/>
        <w:numPr>
          <w:ilvl w:val="0"/>
          <w:numId w:val="1"/>
        </w:numPr>
        <w:ind w:hanging="720"/>
        <w:jc w:val="both"/>
        <w:rPr>
          <w:sz w:val="20"/>
          <w:szCs w:val="20"/>
        </w:rPr>
      </w:pPr>
      <w:r w:rsidRPr="00096B8E">
        <w:rPr>
          <w:i/>
          <w:sz w:val="20"/>
          <w:szCs w:val="20"/>
        </w:rPr>
        <w:t>Aaron Gregory Marriott v. Her Majesty the Queen</w:t>
      </w:r>
      <w:r w:rsidRPr="00096B8E">
        <w:rPr>
          <w:sz w:val="20"/>
          <w:szCs w:val="20"/>
        </w:rPr>
        <w:t xml:space="preserve"> (N.S.) (Crim.) (By Leave)</w:t>
      </w:r>
      <w:r w:rsidRPr="009C5D38">
        <w:rPr>
          <w:sz w:val="20"/>
          <w:szCs w:val="20"/>
        </w:rPr>
        <w:t xml:space="preserve"> </w:t>
      </w:r>
      <w:r w:rsidR="00CB3520" w:rsidRPr="009C5D38">
        <w:rPr>
          <w:sz w:val="20"/>
          <w:szCs w:val="20"/>
        </w:rPr>
        <w:t>(36</w:t>
      </w:r>
      <w:r>
        <w:rPr>
          <w:sz w:val="20"/>
          <w:szCs w:val="20"/>
        </w:rPr>
        <w:t>150</w:t>
      </w:r>
      <w:r w:rsidR="00CB3520" w:rsidRPr="009C5D38">
        <w:rPr>
          <w:sz w:val="20"/>
          <w:szCs w:val="20"/>
        </w:rPr>
        <w:t>)</w:t>
      </w:r>
    </w:p>
    <w:p w:rsidR="00CB3520" w:rsidRPr="009C5D38" w:rsidRDefault="00CB3520" w:rsidP="00CB3520">
      <w:pPr>
        <w:widowControl w:val="0"/>
        <w:jc w:val="both"/>
        <w:rPr>
          <w:sz w:val="20"/>
          <w:szCs w:val="20"/>
        </w:rPr>
      </w:pPr>
    </w:p>
    <w:p w:rsidR="00CB3520" w:rsidRPr="00096B8E" w:rsidRDefault="00096B8E" w:rsidP="00CB3520">
      <w:pPr>
        <w:pStyle w:val="ListParagraph"/>
        <w:widowControl w:val="0"/>
        <w:numPr>
          <w:ilvl w:val="0"/>
          <w:numId w:val="1"/>
        </w:numPr>
        <w:ind w:hanging="720"/>
        <w:jc w:val="both"/>
        <w:rPr>
          <w:sz w:val="20"/>
          <w:szCs w:val="20"/>
        </w:rPr>
      </w:pPr>
      <w:r w:rsidRPr="00096B8E">
        <w:rPr>
          <w:i/>
          <w:sz w:val="20"/>
          <w:szCs w:val="20"/>
        </w:rPr>
        <w:t>Andrew Clifford Maracle (a.k.a. Sir Andrew C. Miracle and Andrew Clifford Miracle) v. R. Donald Maracle, Chief of the Mohawks of the Bay of Quinte on behalf of the Tyendinaga Mohawk Council and all members of the Mohawks of the Bay of Quinte</w:t>
      </w:r>
      <w:r w:rsidRPr="00096B8E">
        <w:rPr>
          <w:sz w:val="20"/>
          <w:szCs w:val="20"/>
        </w:rPr>
        <w:t xml:space="preserve"> (Ont.) (Civil) (By Leave </w:t>
      </w:r>
      <w:r w:rsidR="00CB3520" w:rsidRPr="00096B8E">
        <w:rPr>
          <w:sz w:val="20"/>
          <w:szCs w:val="20"/>
        </w:rPr>
        <w:t>(36</w:t>
      </w:r>
      <w:r w:rsidRPr="00096B8E">
        <w:rPr>
          <w:sz w:val="20"/>
          <w:szCs w:val="20"/>
        </w:rPr>
        <w:t>0</w:t>
      </w:r>
      <w:r w:rsidR="00CB3520" w:rsidRPr="00096B8E">
        <w:rPr>
          <w:sz w:val="20"/>
          <w:szCs w:val="20"/>
        </w:rPr>
        <w:t>9</w:t>
      </w:r>
      <w:r w:rsidRPr="00096B8E">
        <w:rPr>
          <w:sz w:val="20"/>
          <w:szCs w:val="20"/>
        </w:rPr>
        <w:t>6</w:t>
      </w:r>
      <w:r w:rsidR="00CB3520" w:rsidRPr="00096B8E">
        <w:rPr>
          <w:sz w:val="20"/>
          <w:szCs w:val="20"/>
        </w:rPr>
        <w:t>)</w:t>
      </w:r>
    </w:p>
    <w:p w:rsidR="00CB3520" w:rsidRPr="00096B8E" w:rsidRDefault="00CB3520" w:rsidP="00CB3520">
      <w:pPr>
        <w:widowControl w:val="0"/>
        <w:rPr>
          <w:sz w:val="20"/>
          <w:szCs w:val="20"/>
        </w:rPr>
      </w:pPr>
    </w:p>
    <w:p w:rsidR="00CB3520" w:rsidRPr="00096B8E" w:rsidRDefault="00096B8E" w:rsidP="00CB3520">
      <w:pPr>
        <w:pStyle w:val="ListParagraph"/>
        <w:widowControl w:val="0"/>
        <w:numPr>
          <w:ilvl w:val="0"/>
          <w:numId w:val="1"/>
        </w:numPr>
        <w:ind w:hanging="720"/>
        <w:jc w:val="both"/>
        <w:rPr>
          <w:sz w:val="20"/>
          <w:szCs w:val="20"/>
        </w:rPr>
      </w:pPr>
      <w:r w:rsidRPr="00096B8E">
        <w:rPr>
          <w:i/>
          <w:sz w:val="20"/>
          <w:szCs w:val="20"/>
        </w:rPr>
        <w:t>Ganna Begman v. Vladek Mejery</w:t>
      </w:r>
      <w:r w:rsidRPr="00096B8E">
        <w:rPr>
          <w:sz w:val="20"/>
          <w:szCs w:val="20"/>
        </w:rPr>
        <w:t xml:space="preserve"> (Ont.) (Civil) (By Leave) </w:t>
      </w:r>
      <w:r w:rsidR="00CB3520" w:rsidRPr="00096B8E">
        <w:rPr>
          <w:sz w:val="20"/>
          <w:szCs w:val="20"/>
        </w:rPr>
        <w:t>(360</w:t>
      </w:r>
      <w:r w:rsidRPr="00096B8E">
        <w:rPr>
          <w:sz w:val="20"/>
          <w:szCs w:val="20"/>
        </w:rPr>
        <w:t>14</w:t>
      </w:r>
      <w:r w:rsidR="00CB3520" w:rsidRPr="00096B8E">
        <w:rPr>
          <w:sz w:val="20"/>
          <w:szCs w:val="20"/>
        </w:rPr>
        <w:t>)</w:t>
      </w:r>
    </w:p>
    <w:p w:rsidR="00CB3520" w:rsidRPr="00096B8E" w:rsidRDefault="00CB3520" w:rsidP="00CB3520">
      <w:pPr>
        <w:widowControl w:val="0"/>
        <w:jc w:val="both"/>
        <w:rPr>
          <w:sz w:val="20"/>
          <w:szCs w:val="20"/>
        </w:rPr>
      </w:pPr>
    </w:p>
    <w:p w:rsidR="00CB3520" w:rsidRPr="00115C9E" w:rsidRDefault="00096B8E" w:rsidP="00CB3520">
      <w:pPr>
        <w:pStyle w:val="ListParagraph"/>
        <w:widowControl w:val="0"/>
        <w:numPr>
          <w:ilvl w:val="0"/>
          <w:numId w:val="1"/>
        </w:numPr>
        <w:ind w:hanging="720"/>
        <w:jc w:val="both"/>
        <w:rPr>
          <w:sz w:val="20"/>
          <w:szCs w:val="20"/>
        </w:rPr>
      </w:pPr>
      <w:r w:rsidRPr="00096B8E">
        <w:rPr>
          <w:i/>
          <w:sz w:val="20"/>
          <w:szCs w:val="20"/>
        </w:rPr>
        <w:t>Michael McAteer et al. v. Attorney General of Canada</w:t>
      </w:r>
      <w:r w:rsidRPr="00096B8E">
        <w:rPr>
          <w:sz w:val="20"/>
          <w:szCs w:val="20"/>
        </w:rPr>
        <w:t xml:space="preserve"> (Ont.) (Civil) (By Leave)</w:t>
      </w:r>
      <w:r w:rsidRPr="00115C9E">
        <w:rPr>
          <w:sz w:val="20"/>
          <w:szCs w:val="20"/>
        </w:rPr>
        <w:t xml:space="preserve"> </w:t>
      </w:r>
      <w:r w:rsidR="00CB3520" w:rsidRPr="00115C9E">
        <w:rPr>
          <w:sz w:val="20"/>
          <w:szCs w:val="20"/>
        </w:rPr>
        <w:t>(3</w:t>
      </w:r>
      <w:r>
        <w:rPr>
          <w:sz w:val="20"/>
          <w:szCs w:val="20"/>
        </w:rPr>
        <w:t>6</w:t>
      </w:r>
      <w:r w:rsidR="00CB3520">
        <w:rPr>
          <w:sz w:val="20"/>
          <w:szCs w:val="20"/>
        </w:rPr>
        <w:t>1</w:t>
      </w:r>
      <w:r>
        <w:rPr>
          <w:sz w:val="20"/>
          <w:szCs w:val="20"/>
        </w:rPr>
        <w:t>20</w:t>
      </w:r>
      <w:r w:rsidR="00CB3520" w:rsidRPr="00115C9E">
        <w:rPr>
          <w:sz w:val="20"/>
          <w:szCs w:val="20"/>
        </w:rPr>
        <w:t>)</w:t>
      </w:r>
    </w:p>
    <w:p w:rsidR="00CB3520" w:rsidRDefault="00CB3520" w:rsidP="00CB3520">
      <w:pPr>
        <w:widowControl w:val="0"/>
        <w:jc w:val="both"/>
        <w:rPr>
          <w:sz w:val="20"/>
          <w:szCs w:val="20"/>
        </w:rPr>
      </w:pPr>
    </w:p>
    <w:p w:rsidR="00CB3520" w:rsidRDefault="00CB3520" w:rsidP="00CB3520">
      <w:pPr>
        <w:widowControl w:val="0"/>
        <w:jc w:val="both"/>
        <w:rPr>
          <w:sz w:val="20"/>
          <w:szCs w:val="20"/>
        </w:rPr>
      </w:pPr>
    </w:p>
    <w:p w:rsidR="00CB3520" w:rsidRPr="00C50A5C" w:rsidRDefault="00CB3520" w:rsidP="00CB3520">
      <w:pPr>
        <w:widowControl w:val="0"/>
        <w:jc w:val="center"/>
        <w:rPr>
          <w:b/>
          <w:sz w:val="20"/>
          <w:szCs w:val="20"/>
        </w:rPr>
      </w:pPr>
      <w:r w:rsidRPr="00C50A5C">
        <w:rPr>
          <w:b/>
          <w:sz w:val="20"/>
          <w:szCs w:val="20"/>
        </w:rPr>
        <w:t xml:space="preserve">CORAM: </w:t>
      </w:r>
      <w:r w:rsidR="00FA3373">
        <w:rPr>
          <w:b/>
          <w:sz w:val="20"/>
          <w:szCs w:val="20"/>
        </w:rPr>
        <w:t>Rothstein</w:t>
      </w:r>
      <w:r>
        <w:rPr>
          <w:b/>
          <w:sz w:val="20"/>
          <w:szCs w:val="20"/>
        </w:rPr>
        <w:t>,</w:t>
      </w:r>
      <w:r w:rsidRPr="00C50A5C">
        <w:rPr>
          <w:b/>
          <w:sz w:val="20"/>
          <w:szCs w:val="20"/>
        </w:rPr>
        <w:t xml:space="preserve"> </w:t>
      </w:r>
      <w:r w:rsidR="00FA3373">
        <w:rPr>
          <w:b/>
          <w:sz w:val="20"/>
          <w:szCs w:val="20"/>
        </w:rPr>
        <w:t xml:space="preserve">Cromwell </w:t>
      </w:r>
      <w:r w:rsidRPr="00C50A5C">
        <w:rPr>
          <w:b/>
          <w:sz w:val="20"/>
          <w:szCs w:val="20"/>
        </w:rPr>
        <w:t xml:space="preserve">and </w:t>
      </w:r>
      <w:r>
        <w:rPr>
          <w:b/>
          <w:sz w:val="20"/>
          <w:szCs w:val="20"/>
        </w:rPr>
        <w:t>Moldaver</w:t>
      </w:r>
      <w:r w:rsidRPr="00C50A5C">
        <w:rPr>
          <w:b/>
          <w:sz w:val="20"/>
          <w:szCs w:val="20"/>
        </w:rPr>
        <w:t xml:space="preserve"> JJ.</w:t>
      </w:r>
    </w:p>
    <w:p w:rsidR="00CB3520" w:rsidRPr="00C50A5C" w:rsidRDefault="00CB3520" w:rsidP="00CB3520">
      <w:pPr>
        <w:widowControl w:val="0"/>
        <w:jc w:val="center"/>
        <w:rPr>
          <w:b/>
          <w:sz w:val="20"/>
          <w:szCs w:val="20"/>
          <w:lang w:val="fr-CA"/>
        </w:rPr>
      </w:pPr>
      <w:r w:rsidRPr="00C50A5C">
        <w:rPr>
          <w:b/>
          <w:sz w:val="20"/>
          <w:szCs w:val="20"/>
          <w:lang w:val="fr-CA"/>
        </w:rPr>
        <w:t xml:space="preserve">Les juges </w:t>
      </w:r>
      <w:r w:rsidR="00FA3373">
        <w:rPr>
          <w:b/>
          <w:sz w:val="20"/>
          <w:szCs w:val="20"/>
          <w:lang w:val="fr-CA"/>
        </w:rPr>
        <w:t>Rothstein</w:t>
      </w:r>
      <w:r w:rsidRPr="00C50A5C">
        <w:rPr>
          <w:b/>
          <w:sz w:val="20"/>
          <w:szCs w:val="20"/>
          <w:lang w:val="fr-CA"/>
        </w:rPr>
        <w:t xml:space="preserve">, </w:t>
      </w:r>
      <w:r w:rsidR="00FA3373">
        <w:rPr>
          <w:b/>
          <w:sz w:val="20"/>
          <w:szCs w:val="20"/>
          <w:lang w:val="fr-CA"/>
        </w:rPr>
        <w:t xml:space="preserve">Cromwell </w:t>
      </w:r>
      <w:r w:rsidRPr="00C50A5C">
        <w:rPr>
          <w:b/>
          <w:sz w:val="20"/>
          <w:szCs w:val="20"/>
          <w:lang w:val="fr-CA"/>
        </w:rPr>
        <w:t xml:space="preserve">et </w:t>
      </w:r>
      <w:r>
        <w:rPr>
          <w:b/>
          <w:sz w:val="20"/>
          <w:szCs w:val="20"/>
          <w:lang w:val="fr-CA"/>
        </w:rPr>
        <w:t>Moldaver</w:t>
      </w:r>
    </w:p>
    <w:p w:rsidR="00CB3520" w:rsidRPr="00A8251C" w:rsidRDefault="00CB3520" w:rsidP="00CB3520">
      <w:pPr>
        <w:widowControl w:val="0"/>
        <w:jc w:val="both"/>
        <w:rPr>
          <w:sz w:val="20"/>
          <w:szCs w:val="20"/>
          <w:lang w:val="fr-CA"/>
        </w:rPr>
      </w:pPr>
    </w:p>
    <w:p w:rsidR="00CB3520" w:rsidRPr="00115C9E" w:rsidRDefault="00096B8E" w:rsidP="00CB3520">
      <w:pPr>
        <w:pStyle w:val="ListParagraph"/>
        <w:widowControl w:val="0"/>
        <w:numPr>
          <w:ilvl w:val="0"/>
          <w:numId w:val="1"/>
        </w:numPr>
        <w:ind w:hanging="720"/>
        <w:jc w:val="both"/>
        <w:rPr>
          <w:sz w:val="20"/>
          <w:szCs w:val="20"/>
        </w:rPr>
      </w:pPr>
      <w:r w:rsidRPr="00096B8E">
        <w:rPr>
          <w:i/>
          <w:sz w:val="20"/>
          <w:szCs w:val="20"/>
        </w:rPr>
        <w:t>Robert Roy v. Her Majesty the Queen</w:t>
      </w:r>
      <w:r w:rsidRPr="00096B8E">
        <w:rPr>
          <w:sz w:val="20"/>
          <w:szCs w:val="20"/>
        </w:rPr>
        <w:t xml:space="preserve"> (F.C.) (Crim.) (By Leave)</w:t>
      </w:r>
      <w:r w:rsidRPr="00115C9E">
        <w:rPr>
          <w:sz w:val="20"/>
          <w:szCs w:val="20"/>
        </w:rPr>
        <w:t xml:space="preserve"> </w:t>
      </w:r>
      <w:r w:rsidR="00CB3520" w:rsidRPr="00115C9E">
        <w:rPr>
          <w:sz w:val="20"/>
          <w:szCs w:val="20"/>
        </w:rPr>
        <w:t>(3</w:t>
      </w:r>
      <w:r w:rsidR="00CB3520">
        <w:rPr>
          <w:sz w:val="20"/>
          <w:szCs w:val="20"/>
        </w:rPr>
        <w:t>6</w:t>
      </w:r>
      <w:r>
        <w:rPr>
          <w:sz w:val="20"/>
          <w:szCs w:val="20"/>
        </w:rPr>
        <w:t>146</w:t>
      </w:r>
      <w:r w:rsidR="00CB3520" w:rsidRPr="00115C9E">
        <w:rPr>
          <w:sz w:val="20"/>
          <w:szCs w:val="20"/>
        </w:rPr>
        <w:t>)</w:t>
      </w:r>
    </w:p>
    <w:p w:rsidR="00CB3520" w:rsidRPr="00115C9E" w:rsidRDefault="00CB3520" w:rsidP="00CB3520">
      <w:pPr>
        <w:widowControl w:val="0"/>
        <w:jc w:val="both"/>
        <w:rPr>
          <w:sz w:val="20"/>
          <w:szCs w:val="20"/>
        </w:rPr>
      </w:pPr>
    </w:p>
    <w:p w:rsidR="00CB3520" w:rsidRDefault="00096B8E" w:rsidP="00CB3520">
      <w:pPr>
        <w:pStyle w:val="ListParagraph"/>
        <w:widowControl w:val="0"/>
        <w:numPr>
          <w:ilvl w:val="0"/>
          <w:numId w:val="1"/>
        </w:numPr>
        <w:ind w:hanging="720"/>
        <w:jc w:val="both"/>
        <w:rPr>
          <w:sz w:val="20"/>
          <w:szCs w:val="20"/>
        </w:rPr>
      </w:pPr>
      <w:r w:rsidRPr="00096B8E">
        <w:rPr>
          <w:i/>
          <w:sz w:val="20"/>
          <w:szCs w:val="20"/>
        </w:rPr>
        <w:t>Stephen Patrick Burrows v. Her Majesty the Queen</w:t>
      </w:r>
      <w:r w:rsidRPr="00096B8E">
        <w:rPr>
          <w:sz w:val="20"/>
          <w:szCs w:val="20"/>
        </w:rPr>
        <w:t xml:space="preserve"> (F.C.) (Crim.) (By Leave)</w:t>
      </w:r>
      <w:r w:rsidRPr="00C50A5C">
        <w:rPr>
          <w:sz w:val="20"/>
          <w:szCs w:val="20"/>
        </w:rPr>
        <w:t xml:space="preserve"> </w:t>
      </w:r>
      <w:r w:rsidR="00CB3520" w:rsidRPr="00C50A5C">
        <w:rPr>
          <w:sz w:val="20"/>
          <w:szCs w:val="20"/>
        </w:rPr>
        <w:t>(3</w:t>
      </w:r>
      <w:r w:rsidR="00CB3520">
        <w:rPr>
          <w:sz w:val="20"/>
          <w:szCs w:val="20"/>
        </w:rPr>
        <w:t>6</w:t>
      </w:r>
      <w:r>
        <w:rPr>
          <w:sz w:val="20"/>
          <w:szCs w:val="20"/>
        </w:rPr>
        <w:t>147</w:t>
      </w:r>
      <w:r w:rsidR="00CB3520" w:rsidRPr="00C50A5C">
        <w:rPr>
          <w:sz w:val="20"/>
          <w:szCs w:val="20"/>
        </w:rPr>
        <w:t>)</w:t>
      </w:r>
    </w:p>
    <w:p w:rsidR="00CB3520" w:rsidRPr="009C5D38" w:rsidRDefault="00CB3520" w:rsidP="00CB3520">
      <w:pPr>
        <w:widowControl w:val="0"/>
        <w:rPr>
          <w:i/>
          <w:sz w:val="20"/>
          <w:szCs w:val="20"/>
        </w:rPr>
      </w:pPr>
    </w:p>
    <w:p w:rsidR="00CB3520" w:rsidRPr="009C5D38" w:rsidRDefault="00096B8E" w:rsidP="00CB3520">
      <w:pPr>
        <w:pStyle w:val="ListParagraph"/>
        <w:widowControl w:val="0"/>
        <w:numPr>
          <w:ilvl w:val="0"/>
          <w:numId w:val="1"/>
        </w:numPr>
        <w:ind w:hanging="720"/>
        <w:jc w:val="both"/>
        <w:rPr>
          <w:sz w:val="20"/>
          <w:szCs w:val="20"/>
        </w:rPr>
      </w:pPr>
      <w:r w:rsidRPr="00096B8E">
        <w:rPr>
          <w:i/>
          <w:sz w:val="20"/>
          <w:szCs w:val="20"/>
        </w:rPr>
        <w:t>Terrance Parker v. Her Majesty the Queen</w:t>
      </w:r>
      <w:r w:rsidRPr="00096B8E">
        <w:rPr>
          <w:sz w:val="20"/>
          <w:szCs w:val="20"/>
        </w:rPr>
        <w:t xml:space="preserve"> (F.C.) (Crim.) (By Leave)</w:t>
      </w:r>
      <w:r w:rsidRPr="009C5D38">
        <w:rPr>
          <w:sz w:val="20"/>
          <w:szCs w:val="20"/>
        </w:rPr>
        <w:t xml:space="preserve"> </w:t>
      </w:r>
      <w:r w:rsidR="00CB3520" w:rsidRPr="009C5D38">
        <w:rPr>
          <w:sz w:val="20"/>
          <w:szCs w:val="20"/>
        </w:rPr>
        <w:t>(3</w:t>
      </w:r>
      <w:r>
        <w:rPr>
          <w:sz w:val="20"/>
          <w:szCs w:val="20"/>
        </w:rPr>
        <w:t>61</w:t>
      </w:r>
      <w:r w:rsidR="00CB3520" w:rsidRPr="009C5D38">
        <w:rPr>
          <w:sz w:val="20"/>
          <w:szCs w:val="20"/>
        </w:rPr>
        <w:t>56)</w:t>
      </w:r>
    </w:p>
    <w:p w:rsidR="00CB3520" w:rsidRPr="009C5D38" w:rsidRDefault="00CB3520" w:rsidP="00CB3520">
      <w:pPr>
        <w:widowControl w:val="0"/>
        <w:jc w:val="both"/>
        <w:rPr>
          <w:sz w:val="20"/>
          <w:szCs w:val="20"/>
        </w:rPr>
      </w:pPr>
    </w:p>
    <w:p w:rsidR="00CB3520" w:rsidRPr="00096B8E" w:rsidRDefault="00096B8E" w:rsidP="00CB3520">
      <w:pPr>
        <w:pStyle w:val="ListParagraph"/>
        <w:widowControl w:val="0"/>
        <w:numPr>
          <w:ilvl w:val="0"/>
          <w:numId w:val="1"/>
        </w:numPr>
        <w:ind w:hanging="720"/>
        <w:jc w:val="both"/>
        <w:rPr>
          <w:sz w:val="20"/>
          <w:szCs w:val="20"/>
        </w:rPr>
      </w:pPr>
      <w:r w:rsidRPr="00096B8E">
        <w:rPr>
          <w:i/>
          <w:sz w:val="20"/>
          <w:szCs w:val="20"/>
        </w:rPr>
        <w:t>Raymond Turmel v. Her Majesty the Queen</w:t>
      </w:r>
      <w:r w:rsidRPr="00096B8E">
        <w:rPr>
          <w:sz w:val="20"/>
          <w:szCs w:val="20"/>
        </w:rPr>
        <w:t xml:space="preserve"> (F.C.) (Crim.) (By Leave) </w:t>
      </w:r>
      <w:r w:rsidR="00CB3520" w:rsidRPr="00096B8E">
        <w:rPr>
          <w:sz w:val="20"/>
          <w:szCs w:val="20"/>
        </w:rPr>
        <w:t>(3</w:t>
      </w:r>
      <w:r w:rsidRPr="00096B8E">
        <w:rPr>
          <w:sz w:val="20"/>
          <w:szCs w:val="20"/>
        </w:rPr>
        <w:t>61</w:t>
      </w:r>
      <w:r w:rsidR="00CB3520" w:rsidRPr="00096B8E">
        <w:rPr>
          <w:sz w:val="20"/>
          <w:szCs w:val="20"/>
        </w:rPr>
        <w:t>5</w:t>
      </w:r>
      <w:r w:rsidRPr="00096B8E">
        <w:rPr>
          <w:sz w:val="20"/>
          <w:szCs w:val="20"/>
        </w:rPr>
        <w:t>9</w:t>
      </w:r>
      <w:r w:rsidR="00CB3520" w:rsidRPr="00096B8E">
        <w:rPr>
          <w:sz w:val="20"/>
          <w:szCs w:val="20"/>
        </w:rPr>
        <w:t>)</w:t>
      </w:r>
    </w:p>
    <w:p w:rsidR="00CB3520" w:rsidRPr="00096B8E" w:rsidRDefault="00CB3520" w:rsidP="00CB3520">
      <w:pPr>
        <w:widowControl w:val="0"/>
        <w:jc w:val="both"/>
        <w:rPr>
          <w:sz w:val="20"/>
          <w:szCs w:val="20"/>
        </w:rPr>
      </w:pPr>
    </w:p>
    <w:p w:rsidR="00CB3520" w:rsidRPr="009C5D38" w:rsidRDefault="00096B8E" w:rsidP="00CB3520">
      <w:pPr>
        <w:pStyle w:val="ListParagraph"/>
        <w:widowControl w:val="0"/>
        <w:numPr>
          <w:ilvl w:val="0"/>
          <w:numId w:val="1"/>
        </w:numPr>
        <w:ind w:hanging="720"/>
        <w:jc w:val="both"/>
        <w:rPr>
          <w:sz w:val="20"/>
          <w:szCs w:val="20"/>
        </w:rPr>
      </w:pPr>
      <w:r w:rsidRPr="00121F24">
        <w:rPr>
          <w:i/>
          <w:sz w:val="20"/>
          <w:szCs w:val="20"/>
        </w:rPr>
        <w:t>Grant R. Wilson v. Canada Revenue Agency</w:t>
      </w:r>
      <w:r w:rsidRPr="00096B8E">
        <w:rPr>
          <w:sz w:val="20"/>
          <w:szCs w:val="20"/>
        </w:rPr>
        <w:t xml:space="preserve"> (F</w:t>
      </w:r>
      <w:r>
        <w:rPr>
          <w:sz w:val="20"/>
          <w:szCs w:val="20"/>
        </w:rPr>
        <w:t>.</w:t>
      </w:r>
      <w:r w:rsidRPr="00096B8E">
        <w:rPr>
          <w:sz w:val="20"/>
          <w:szCs w:val="20"/>
        </w:rPr>
        <w:t>C</w:t>
      </w:r>
      <w:r>
        <w:rPr>
          <w:sz w:val="20"/>
          <w:szCs w:val="20"/>
        </w:rPr>
        <w:t>.</w:t>
      </w:r>
      <w:r w:rsidRPr="00096B8E">
        <w:rPr>
          <w:sz w:val="20"/>
          <w:szCs w:val="20"/>
        </w:rPr>
        <w:t>) (Civil) (By Leave)</w:t>
      </w:r>
      <w:r w:rsidRPr="009C5D38">
        <w:rPr>
          <w:sz w:val="20"/>
          <w:szCs w:val="20"/>
        </w:rPr>
        <w:t xml:space="preserve"> </w:t>
      </w:r>
      <w:r w:rsidR="00CB3520" w:rsidRPr="009C5D38">
        <w:rPr>
          <w:sz w:val="20"/>
          <w:szCs w:val="20"/>
        </w:rPr>
        <w:t>(3</w:t>
      </w:r>
      <w:r>
        <w:rPr>
          <w:sz w:val="20"/>
          <w:szCs w:val="20"/>
        </w:rPr>
        <w:t>6139</w:t>
      </w:r>
      <w:r w:rsidR="00CB3520" w:rsidRPr="009C5D38">
        <w:rPr>
          <w:sz w:val="20"/>
          <w:szCs w:val="20"/>
        </w:rPr>
        <w:t>)</w:t>
      </w:r>
    </w:p>
    <w:p w:rsidR="002E2327" w:rsidRPr="00CB3520" w:rsidRDefault="002E2327" w:rsidP="002E2327">
      <w:pPr>
        <w:widowControl w:val="0"/>
        <w:rPr>
          <w:sz w:val="20"/>
          <w:szCs w:val="20"/>
        </w:rPr>
      </w:pPr>
    </w:p>
    <w:p w:rsidR="002E2327" w:rsidRDefault="00E42AAB" w:rsidP="002E2327">
      <w:pPr>
        <w:widowControl w:val="0"/>
        <w:rPr>
          <w:sz w:val="20"/>
          <w:szCs w:val="20"/>
        </w:rPr>
      </w:pPr>
      <w:r>
        <w:rPr>
          <w:sz w:val="20"/>
          <w:szCs w:val="20"/>
        </w:rPr>
        <w:pict>
          <v:rect id="_x0000_i1042" style="width:2in;height:1pt" o:hrpct="0" o:hralign="center" o:hrstd="t" o:hrnoshade="t" o:hr="t" fillcolor="black [3213]" stroked="f"/>
        </w:pict>
      </w:r>
    </w:p>
    <w:p w:rsidR="00D94028" w:rsidRDefault="00D94028" w:rsidP="002E2327">
      <w:pPr>
        <w:widowControl w:val="0"/>
        <w:rPr>
          <w:sz w:val="20"/>
          <w:szCs w:val="20"/>
        </w:rPr>
      </w:pPr>
    </w:p>
    <w:p w:rsidR="00096B8E" w:rsidRPr="00096B8E" w:rsidRDefault="00096B8E" w:rsidP="00096B8E">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E42AAB"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681F61" w:rsidP="000E2959">
      <w:pPr>
        <w:rPr>
          <w:b/>
          <w:sz w:val="20"/>
          <w:szCs w:val="20"/>
        </w:rPr>
      </w:pPr>
      <w:r>
        <w:rPr>
          <w:b/>
          <w:sz w:val="20"/>
          <w:szCs w:val="20"/>
        </w:rPr>
        <w:t>J</w:t>
      </w:r>
      <w:r w:rsidR="000E2959" w:rsidRPr="00C50A5C">
        <w:rPr>
          <w:b/>
          <w:sz w:val="20"/>
          <w:szCs w:val="20"/>
        </w:rPr>
        <w:t>A</w:t>
      </w:r>
      <w:r>
        <w:rPr>
          <w:b/>
          <w:sz w:val="20"/>
          <w:szCs w:val="20"/>
        </w:rPr>
        <w:t>NUAR</w:t>
      </w:r>
      <w:r w:rsidR="000E2959">
        <w:rPr>
          <w:b/>
          <w:sz w:val="20"/>
          <w:szCs w:val="20"/>
        </w:rPr>
        <w:t>Y</w:t>
      </w:r>
      <w:r w:rsidR="000E2959" w:rsidRPr="00C50A5C">
        <w:rPr>
          <w:b/>
          <w:sz w:val="20"/>
          <w:szCs w:val="20"/>
        </w:rPr>
        <w:t xml:space="preserve"> 2</w:t>
      </w:r>
      <w:r w:rsidR="00124C37">
        <w:rPr>
          <w:b/>
          <w:sz w:val="20"/>
          <w:szCs w:val="20"/>
        </w:rPr>
        <w:t>9</w:t>
      </w:r>
      <w:r w:rsidR="000E2959" w:rsidRPr="00C50A5C">
        <w:rPr>
          <w:b/>
          <w:sz w:val="20"/>
          <w:szCs w:val="20"/>
        </w:rPr>
        <w:t>, 201</w:t>
      </w:r>
      <w:r>
        <w:rPr>
          <w:b/>
          <w:sz w:val="20"/>
          <w:szCs w:val="20"/>
        </w:rPr>
        <w:t>5</w:t>
      </w:r>
      <w:r w:rsidR="000E2959" w:rsidRPr="00C50A5C">
        <w:rPr>
          <w:b/>
          <w:sz w:val="20"/>
          <w:szCs w:val="20"/>
        </w:rPr>
        <w:t xml:space="preserve"> / LE 2</w:t>
      </w:r>
      <w:r w:rsidR="00124C37">
        <w:rPr>
          <w:b/>
          <w:sz w:val="20"/>
          <w:szCs w:val="20"/>
        </w:rPr>
        <w:t>9</w:t>
      </w:r>
      <w:r w:rsidR="000E2959" w:rsidRPr="00C50A5C">
        <w:rPr>
          <w:b/>
          <w:sz w:val="20"/>
          <w:szCs w:val="20"/>
        </w:rPr>
        <w:t xml:space="preserve"> </w:t>
      </w:r>
      <w:r>
        <w:rPr>
          <w:b/>
          <w:sz w:val="20"/>
          <w:szCs w:val="20"/>
        </w:rPr>
        <w:t>J</w:t>
      </w:r>
      <w:r w:rsidR="000E2959" w:rsidRPr="00C50A5C">
        <w:rPr>
          <w:b/>
          <w:sz w:val="20"/>
          <w:szCs w:val="20"/>
        </w:rPr>
        <w:t>A</w:t>
      </w:r>
      <w:r>
        <w:rPr>
          <w:b/>
          <w:sz w:val="20"/>
          <w:szCs w:val="20"/>
        </w:rPr>
        <w:t>NV</w:t>
      </w:r>
      <w:r w:rsidR="000E2959" w:rsidRPr="00C50A5C">
        <w:rPr>
          <w:b/>
          <w:sz w:val="20"/>
          <w:szCs w:val="20"/>
        </w:rPr>
        <w:t>I</w:t>
      </w:r>
      <w:r>
        <w:rPr>
          <w:b/>
          <w:sz w:val="20"/>
          <w:szCs w:val="20"/>
        </w:rPr>
        <w:t>ER</w:t>
      </w:r>
      <w:r w:rsidR="000E2959" w:rsidRPr="00C50A5C">
        <w:rPr>
          <w:b/>
          <w:sz w:val="20"/>
          <w:szCs w:val="20"/>
        </w:rPr>
        <w:t xml:space="preserve"> 201</w:t>
      </w:r>
      <w:r>
        <w:rPr>
          <w:b/>
          <w:sz w:val="20"/>
          <w:szCs w:val="20"/>
        </w:rPr>
        <w:t>5</w:t>
      </w:r>
    </w:p>
    <w:p w:rsidR="000E2959" w:rsidRDefault="000E2959" w:rsidP="000E2959">
      <w:pPr>
        <w:rPr>
          <w:sz w:val="20"/>
          <w:szCs w:val="20"/>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AD4380" w:rsidRPr="00AD4380" w:rsidTr="00C64462">
        <w:trPr>
          <w:cantSplit/>
        </w:trPr>
        <w:tc>
          <w:tcPr>
            <w:tcW w:w="1458" w:type="dxa"/>
          </w:tcPr>
          <w:p w:rsidR="00AD4380" w:rsidRPr="00AD4380" w:rsidRDefault="00AD4380" w:rsidP="00AD4380">
            <w:pPr>
              <w:rPr>
                <w:sz w:val="20"/>
              </w:rPr>
            </w:pPr>
            <w:r w:rsidRPr="00AD4380">
              <w:rPr>
                <w:b/>
                <w:sz w:val="20"/>
                <w:lang w:val="fr-CA"/>
              </w:rPr>
              <w:t>35102</w:t>
            </w:r>
          </w:p>
          <w:p w:rsidR="00AD4380" w:rsidRPr="00AD4380" w:rsidRDefault="00AD4380" w:rsidP="00AD4380">
            <w:pPr>
              <w:rPr>
                <w:b/>
                <w:sz w:val="20"/>
                <w:lang w:val="fr-CA"/>
              </w:rPr>
            </w:pPr>
          </w:p>
        </w:tc>
        <w:tc>
          <w:tcPr>
            <w:tcW w:w="8118" w:type="dxa"/>
          </w:tcPr>
          <w:p w:rsidR="00AD4380" w:rsidRPr="00AD4380" w:rsidRDefault="00AD4380" w:rsidP="00AD4380">
            <w:pPr>
              <w:rPr>
                <w:sz w:val="20"/>
                <w:lang w:val="fr-CA"/>
              </w:rPr>
            </w:pPr>
            <w:r w:rsidRPr="00AD4380">
              <w:rPr>
                <w:b/>
                <w:sz w:val="20"/>
                <w:u w:val="single"/>
                <w:lang w:val="fr-CA"/>
              </w:rPr>
              <w:t>Gandhi Jean Pierre c. Alliance de la fonction publique du Canada</w:t>
            </w:r>
            <w:r w:rsidRPr="00AD4380">
              <w:rPr>
                <w:sz w:val="20"/>
                <w:lang w:val="fr-CA"/>
              </w:rPr>
              <w:t xml:space="preserve"> (C.F.) (Civile) (Autorisation)</w:t>
            </w:r>
          </w:p>
          <w:p w:rsidR="00AD4380" w:rsidRPr="00AD4380" w:rsidRDefault="00AD4380" w:rsidP="00AD4380">
            <w:pPr>
              <w:rPr>
                <w:sz w:val="20"/>
                <w:lang w:val="fr-CA"/>
              </w:rPr>
            </w:pPr>
          </w:p>
        </w:tc>
      </w:tr>
      <w:tr w:rsidR="00AD4380" w:rsidRPr="00E42AAB" w:rsidTr="00C64462">
        <w:trPr>
          <w:cantSplit/>
        </w:trPr>
        <w:tc>
          <w:tcPr>
            <w:tcW w:w="1458" w:type="dxa"/>
          </w:tcPr>
          <w:p w:rsidR="00AD4380" w:rsidRPr="00AD4380" w:rsidRDefault="00AD4380" w:rsidP="00AD4380">
            <w:pPr>
              <w:rPr>
                <w:sz w:val="20"/>
                <w:lang w:val="fr-CA"/>
              </w:rPr>
            </w:pPr>
            <w:r w:rsidRPr="00AD4380">
              <w:rPr>
                <w:sz w:val="20"/>
                <w:lang w:val="fr-CA"/>
              </w:rPr>
              <w:t>Coram :</w:t>
            </w:r>
          </w:p>
        </w:tc>
        <w:tc>
          <w:tcPr>
            <w:tcW w:w="8118" w:type="dxa"/>
          </w:tcPr>
          <w:p w:rsidR="00AD4380" w:rsidRPr="00AD4380" w:rsidRDefault="00AD4380" w:rsidP="00AD4380">
            <w:pPr>
              <w:rPr>
                <w:sz w:val="20"/>
                <w:lang w:val="fr-CA"/>
              </w:rPr>
            </w:pPr>
            <w:r w:rsidRPr="00AD4380">
              <w:rPr>
                <w:sz w:val="20"/>
                <w:u w:val="single"/>
                <w:lang w:val="fr-CA"/>
              </w:rPr>
              <w:t>Les juges Abella, Karakatsanis et Wagner</w:t>
            </w:r>
          </w:p>
          <w:p w:rsidR="00AD4380" w:rsidRPr="00AD4380" w:rsidRDefault="00AD4380" w:rsidP="00AD4380">
            <w:pPr>
              <w:rPr>
                <w:sz w:val="20"/>
                <w:u w:val="single"/>
                <w:lang w:val="fr-CA"/>
              </w:rPr>
            </w:pPr>
          </w:p>
        </w:tc>
      </w:tr>
      <w:tr w:rsidR="00AD4380" w:rsidRPr="00AD4380" w:rsidTr="00C64462">
        <w:trPr>
          <w:cantSplit/>
        </w:trPr>
        <w:tc>
          <w:tcPr>
            <w:tcW w:w="9576" w:type="dxa"/>
            <w:gridSpan w:val="2"/>
          </w:tcPr>
          <w:p w:rsidR="00AD4380" w:rsidRPr="00AD4380" w:rsidRDefault="00AD4380" w:rsidP="00AD4380">
            <w:pPr>
              <w:ind w:firstLine="720"/>
              <w:jc w:val="both"/>
              <w:rPr>
                <w:sz w:val="20"/>
                <w:lang w:val="fr-CA"/>
              </w:rPr>
            </w:pPr>
            <w:r w:rsidRPr="00AD4380">
              <w:rPr>
                <w:sz w:val="20"/>
                <w:lang w:val="fr-CA"/>
              </w:rPr>
              <w:t>La requête en prorogation du délai de signification et de dépôt de la demande d’autorisation d’appel de l’arrêt de la Cour d’appel fédérale, numéro A-91-12, 2013 CAF 223, daté du 24 septembre 2013, est rejetée avec dépens.</w:t>
            </w:r>
          </w:p>
          <w:p w:rsidR="00AD4380" w:rsidRPr="00AD4380" w:rsidRDefault="00AD4380" w:rsidP="00AD4380">
            <w:pPr>
              <w:ind w:firstLine="720"/>
              <w:jc w:val="both"/>
              <w:rPr>
                <w:sz w:val="20"/>
                <w:lang w:val="fr-CA"/>
              </w:rPr>
            </w:pPr>
          </w:p>
          <w:p w:rsidR="00AD4380" w:rsidRPr="00AD4380" w:rsidRDefault="00AD4380" w:rsidP="00AD4380">
            <w:pPr>
              <w:ind w:firstLine="720"/>
              <w:jc w:val="both"/>
              <w:rPr>
                <w:sz w:val="20"/>
              </w:rPr>
            </w:pPr>
            <w:r w:rsidRPr="00AD4380">
              <w:rPr>
                <w:sz w:val="20"/>
              </w:rPr>
              <w:t xml:space="preserve">The motion for an extension of time to serve and file the application for leave to appeal from the judgment of the Federal Court of Appeal, Number A-91-12, 2013 FCA 223, dated September 24, 2013, is dismissed with costs. </w:t>
            </w:r>
          </w:p>
        </w:tc>
      </w:tr>
    </w:tbl>
    <w:p w:rsidR="00124C37" w:rsidRDefault="00124C37" w:rsidP="000E2959">
      <w:pPr>
        <w:rPr>
          <w:sz w:val="20"/>
          <w:szCs w:val="20"/>
        </w:rPr>
      </w:pPr>
    </w:p>
    <w:p w:rsidR="00124C37" w:rsidRPr="001B157C" w:rsidRDefault="00124C37" w:rsidP="00124C37">
      <w:pPr>
        <w:rPr>
          <w:sz w:val="20"/>
          <w:szCs w:val="20"/>
          <w:u w:val="single"/>
        </w:rPr>
      </w:pPr>
      <w:r w:rsidRPr="001B157C">
        <w:rPr>
          <w:sz w:val="20"/>
          <w:szCs w:val="20"/>
          <w:u w:val="single"/>
        </w:rPr>
        <w:t>CASE SUMMARY</w:t>
      </w:r>
    </w:p>
    <w:p w:rsidR="00124C37" w:rsidRDefault="00124C37" w:rsidP="00124C3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C5EAA" w:rsidRPr="000F1B6E" w:rsidTr="00BC5EAA">
        <w:tc>
          <w:tcPr>
            <w:tcW w:w="5000" w:type="pct"/>
            <w:gridSpan w:val="3"/>
          </w:tcPr>
          <w:p w:rsidR="00BC5EAA" w:rsidRPr="000F1B6E" w:rsidRDefault="00BC5EAA" w:rsidP="00BC5EAA">
            <w:pPr>
              <w:jc w:val="both"/>
              <w:rPr>
                <w:rFonts w:eastAsia="Calibri"/>
                <w:sz w:val="20"/>
              </w:rPr>
            </w:pPr>
            <w:r w:rsidRPr="000F1B6E">
              <w:rPr>
                <w:rFonts w:eastAsia="Calibri"/>
                <w:sz w:val="20"/>
              </w:rPr>
              <w:t>Civil procedure – Application for judicial review of Public Service Labour Relations Board decision – Federal Court of Appeal dismissing motion for production by Board of transcript of testimony and Board member’s notes – Application to reconsider dismissed – Whether Federal Court of Appeal erred in refusing to allow application to reconsider – Whether applicant entitled to obtain copy of transcript and notes.</w:t>
            </w:r>
          </w:p>
        </w:tc>
      </w:tr>
      <w:tr w:rsidR="00BC5EAA" w:rsidRPr="000F1B6E" w:rsidTr="00BC5EAA">
        <w:tc>
          <w:tcPr>
            <w:tcW w:w="5000" w:type="pct"/>
            <w:gridSpan w:val="3"/>
          </w:tcPr>
          <w:p w:rsidR="00BC5EAA" w:rsidRPr="000F1B6E" w:rsidRDefault="00BC5EAA" w:rsidP="00BC5EAA">
            <w:pPr>
              <w:jc w:val="both"/>
              <w:rPr>
                <w:rFonts w:eastAsia="Calibri"/>
                <w:sz w:val="20"/>
              </w:rPr>
            </w:pPr>
          </w:p>
        </w:tc>
      </w:tr>
      <w:tr w:rsidR="00BC5EAA" w:rsidRPr="000F1B6E" w:rsidTr="00BC5EAA">
        <w:tc>
          <w:tcPr>
            <w:tcW w:w="5000" w:type="pct"/>
            <w:gridSpan w:val="3"/>
          </w:tcPr>
          <w:p w:rsidR="00BC5EAA" w:rsidRPr="000F1B6E" w:rsidRDefault="00BC5EAA" w:rsidP="00BC5EAA">
            <w:pPr>
              <w:jc w:val="both"/>
              <w:rPr>
                <w:rFonts w:eastAsia="Calibri"/>
                <w:sz w:val="20"/>
              </w:rPr>
            </w:pPr>
            <w:r w:rsidRPr="000F1B6E">
              <w:rPr>
                <w:rFonts w:eastAsia="Calibri"/>
                <w:sz w:val="20"/>
              </w:rPr>
              <w:t>The applicant, Gandhi Jean Pierre, was a public service employee who filed a complaint against Mr. Arcand, the regional representative of the respondent union, the Public Service Alliance of Canada (“the Alliance”), alleging a breach of the duty of fair representation in connection with a grievance.  The complaint was dismissed by the Public Service Labour Relations Board (“PSLRB”).</w:t>
            </w:r>
          </w:p>
          <w:p w:rsidR="00BC5EAA" w:rsidRPr="000F1B6E" w:rsidRDefault="00BC5EAA" w:rsidP="00BC5EAA">
            <w:pPr>
              <w:jc w:val="both"/>
              <w:rPr>
                <w:rFonts w:eastAsia="Calibri"/>
                <w:sz w:val="20"/>
              </w:rPr>
            </w:pPr>
          </w:p>
          <w:p w:rsidR="00BC5EAA" w:rsidRPr="000F1B6E" w:rsidRDefault="00BC5EAA" w:rsidP="00BC5EAA">
            <w:pPr>
              <w:jc w:val="both"/>
              <w:rPr>
                <w:rFonts w:eastAsia="Calibri"/>
                <w:sz w:val="20"/>
              </w:rPr>
            </w:pPr>
            <w:r w:rsidRPr="000F1B6E">
              <w:rPr>
                <w:rFonts w:eastAsia="Calibri"/>
                <w:sz w:val="20"/>
              </w:rPr>
              <w:t xml:space="preserve">The applicant applied to the Federal Court of Appeal for judicial review of that decision.  He then filed a motion seeking the production by the PSLRB of the transcript of the testimony and the Board member’s notes. </w:t>
            </w:r>
          </w:p>
          <w:p w:rsidR="00BC5EAA" w:rsidRPr="000F1B6E" w:rsidRDefault="00BC5EAA" w:rsidP="00BC5EAA">
            <w:pPr>
              <w:jc w:val="both"/>
              <w:rPr>
                <w:rFonts w:eastAsia="Calibri"/>
                <w:sz w:val="20"/>
              </w:rPr>
            </w:pPr>
          </w:p>
          <w:p w:rsidR="00BC5EAA" w:rsidRPr="000F1B6E" w:rsidRDefault="00BC5EAA" w:rsidP="00BC5EAA">
            <w:pPr>
              <w:jc w:val="both"/>
              <w:rPr>
                <w:rFonts w:eastAsia="Calibri"/>
                <w:sz w:val="20"/>
              </w:rPr>
            </w:pPr>
            <w:r w:rsidRPr="000F1B6E">
              <w:rPr>
                <w:rFonts w:eastAsia="Calibri"/>
                <w:sz w:val="20"/>
              </w:rPr>
              <w:t xml:space="preserve">Noël J.A. of the Federal Court of Appeal dismissed the motion, finding that the absence of a transcript made the motion to obtain it moot.  He dismissed the application for the production of the Board member’s notes on the basis of the principles set out in </w:t>
            </w:r>
            <w:r w:rsidRPr="000F1B6E">
              <w:rPr>
                <w:rFonts w:eastAsia="Calibri"/>
                <w:i/>
                <w:sz w:val="20"/>
              </w:rPr>
              <w:t>Canada (Privacy Commissioner) v. Canada (Labour Relations Board)</w:t>
            </w:r>
            <w:r w:rsidRPr="000F1B6E">
              <w:rPr>
                <w:rFonts w:eastAsia="Calibri"/>
                <w:sz w:val="20"/>
              </w:rPr>
              <w:t xml:space="preserve">, [2000] F.C.J. No. 617 (QL).  The applicant then applied unsuccessfully to have that decision reconsidered under Rule 397 of the </w:t>
            </w:r>
            <w:r w:rsidRPr="000F1B6E">
              <w:rPr>
                <w:rFonts w:eastAsia="Calibri"/>
                <w:i/>
                <w:sz w:val="20"/>
              </w:rPr>
              <w:t>Federal Courts Rules</w:t>
            </w:r>
            <w:r w:rsidRPr="000F1B6E">
              <w:rPr>
                <w:rFonts w:eastAsia="Calibri"/>
                <w:sz w:val="20"/>
              </w:rPr>
              <w:t xml:space="preserve">. </w:t>
            </w:r>
          </w:p>
          <w:p w:rsidR="00BC5EAA" w:rsidRPr="000F1B6E" w:rsidRDefault="00BC5EAA" w:rsidP="00BC5EAA">
            <w:pPr>
              <w:jc w:val="both"/>
              <w:rPr>
                <w:rFonts w:eastAsia="Calibri"/>
                <w:sz w:val="20"/>
              </w:rPr>
            </w:pPr>
          </w:p>
        </w:tc>
      </w:tr>
      <w:tr w:rsidR="00BC5EAA" w:rsidRPr="000F1B6E" w:rsidTr="00BC5EAA">
        <w:tc>
          <w:tcPr>
            <w:tcW w:w="2427" w:type="pct"/>
          </w:tcPr>
          <w:p w:rsidR="00BC5EAA" w:rsidRPr="000F1B6E" w:rsidRDefault="00BC5EAA" w:rsidP="00BC5EAA">
            <w:pPr>
              <w:jc w:val="both"/>
              <w:rPr>
                <w:rFonts w:eastAsia="Calibri"/>
                <w:sz w:val="20"/>
              </w:rPr>
            </w:pPr>
            <w:r w:rsidRPr="000F1B6E">
              <w:rPr>
                <w:rFonts w:eastAsia="Calibri"/>
                <w:sz w:val="20"/>
              </w:rPr>
              <w:t>May 28, 2012</w:t>
            </w:r>
          </w:p>
          <w:p w:rsidR="00BC5EAA" w:rsidRPr="000F1B6E" w:rsidRDefault="00BC5EAA" w:rsidP="00BC5EAA">
            <w:pPr>
              <w:jc w:val="both"/>
              <w:rPr>
                <w:rFonts w:eastAsia="Calibri"/>
                <w:sz w:val="20"/>
              </w:rPr>
            </w:pPr>
            <w:r w:rsidRPr="000F1B6E">
              <w:rPr>
                <w:rFonts w:eastAsia="Calibri"/>
                <w:sz w:val="20"/>
              </w:rPr>
              <w:t>Federal Court of Appeal</w:t>
            </w:r>
          </w:p>
          <w:p w:rsidR="00BC5EAA" w:rsidRPr="000F1B6E" w:rsidRDefault="00BC5EAA" w:rsidP="00BC5EAA">
            <w:pPr>
              <w:jc w:val="both"/>
              <w:rPr>
                <w:rFonts w:eastAsia="Calibri"/>
                <w:sz w:val="20"/>
              </w:rPr>
            </w:pPr>
            <w:r w:rsidRPr="000F1B6E">
              <w:rPr>
                <w:rFonts w:eastAsia="Calibri"/>
                <w:sz w:val="20"/>
              </w:rPr>
              <w:t>Noël J.A.</w:t>
            </w:r>
          </w:p>
          <w:p w:rsidR="00BC5EAA" w:rsidRPr="000F1B6E" w:rsidRDefault="00BC5EAA" w:rsidP="00BC5EAA">
            <w:pPr>
              <w:jc w:val="both"/>
              <w:rPr>
                <w:rFonts w:eastAsia="Calibri"/>
                <w:sz w:val="20"/>
              </w:rPr>
            </w:pPr>
            <w:r w:rsidRPr="000F1B6E">
              <w:rPr>
                <w:rFonts w:eastAsia="Calibri"/>
                <w:sz w:val="20"/>
              </w:rPr>
              <w:t>A-91-12</w:t>
            </w:r>
          </w:p>
          <w:p w:rsidR="00BC5EAA" w:rsidRPr="000F1B6E" w:rsidRDefault="00BC5EAA" w:rsidP="00BC5EAA">
            <w:pPr>
              <w:jc w:val="both"/>
              <w:rPr>
                <w:rFonts w:eastAsia="Calibri"/>
                <w:sz w:val="20"/>
              </w:rPr>
            </w:pPr>
          </w:p>
        </w:tc>
        <w:tc>
          <w:tcPr>
            <w:tcW w:w="243" w:type="pct"/>
          </w:tcPr>
          <w:p w:rsidR="00BC5EAA" w:rsidRPr="000F1B6E" w:rsidRDefault="00BC5EAA" w:rsidP="00BC5EAA">
            <w:pPr>
              <w:jc w:val="both"/>
              <w:rPr>
                <w:rFonts w:eastAsia="Calibri"/>
                <w:sz w:val="20"/>
              </w:rPr>
            </w:pPr>
          </w:p>
        </w:tc>
        <w:tc>
          <w:tcPr>
            <w:tcW w:w="2330" w:type="pct"/>
          </w:tcPr>
          <w:p w:rsidR="00BC5EAA" w:rsidRPr="000F1B6E" w:rsidRDefault="00BC5EAA" w:rsidP="00BC5EAA">
            <w:pPr>
              <w:jc w:val="both"/>
              <w:rPr>
                <w:rFonts w:eastAsia="Calibri"/>
                <w:sz w:val="20"/>
              </w:rPr>
            </w:pPr>
            <w:r w:rsidRPr="000F1B6E">
              <w:rPr>
                <w:rFonts w:eastAsia="Calibri"/>
                <w:sz w:val="20"/>
              </w:rPr>
              <w:t>Motion for production of transcripts of testimony and notes of Public Service Labour Relations Board dismissed</w:t>
            </w:r>
          </w:p>
          <w:p w:rsidR="00BC5EAA" w:rsidRPr="000F1B6E" w:rsidRDefault="00BC5EAA" w:rsidP="00BC5EAA">
            <w:pPr>
              <w:jc w:val="both"/>
              <w:rPr>
                <w:rFonts w:eastAsia="Calibri"/>
                <w:sz w:val="20"/>
              </w:rPr>
            </w:pPr>
          </w:p>
        </w:tc>
      </w:tr>
      <w:tr w:rsidR="00BC5EAA" w:rsidRPr="000F1B6E" w:rsidTr="00BC5EAA">
        <w:tc>
          <w:tcPr>
            <w:tcW w:w="2427" w:type="pct"/>
          </w:tcPr>
          <w:p w:rsidR="00BC5EAA" w:rsidRPr="000F1B6E" w:rsidRDefault="00BC5EAA" w:rsidP="00BC5EAA">
            <w:pPr>
              <w:jc w:val="both"/>
              <w:rPr>
                <w:rFonts w:eastAsia="Calibri"/>
                <w:sz w:val="20"/>
              </w:rPr>
            </w:pPr>
            <w:r w:rsidRPr="000F1B6E">
              <w:rPr>
                <w:rFonts w:eastAsia="Calibri"/>
                <w:sz w:val="20"/>
              </w:rPr>
              <w:t>August 20, 2012</w:t>
            </w:r>
          </w:p>
          <w:p w:rsidR="00BC5EAA" w:rsidRPr="000F1B6E" w:rsidRDefault="00BC5EAA" w:rsidP="00BC5EAA">
            <w:pPr>
              <w:jc w:val="both"/>
              <w:rPr>
                <w:rFonts w:eastAsia="Calibri"/>
                <w:sz w:val="20"/>
              </w:rPr>
            </w:pPr>
            <w:r w:rsidRPr="000F1B6E">
              <w:rPr>
                <w:rFonts w:eastAsia="Calibri"/>
                <w:sz w:val="20"/>
              </w:rPr>
              <w:t>Federal Court of Appeal</w:t>
            </w:r>
          </w:p>
          <w:p w:rsidR="00BC5EAA" w:rsidRPr="000F1B6E" w:rsidRDefault="00BC5EAA" w:rsidP="00BC5EAA">
            <w:pPr>
              <w:jc w:val="both"/>
              <w:rPr>
                <w:rFonts w:eastAsia="Calibri"/>
                <w:sz w:val="20"/>
              </w:rPr>
            </w:pPr>
            <w:r w:rsidRPr="000F1B6E">
              <w:rPr>
                <w:rFonts w:eastAsia="Calibri"/>
                <w:sz w:val="20"/>
              </w:rPr>
              <w:t>Noël J.A.</w:t>
            </w:r>
          </w:p>
          <w:p w:rsidR="00BC5EAA" w:rsidRPr="000F1B6E" w:rsidRDefault="00BC5EAA" w:rsidP="00BC5EAA">
            <w:pPr>
              <w:jc w:val="both"/>
              <w:rPr>
                <w:rFonts w:eastAsia="Calibri"/>
                <w:sz w:val="20"/>
              </w:rPr>
            </w:pPr>
            <w:r w:rsidRPr="000F1B6E">
              <w:rPr>
                <w:rFonts w:eastAsia="Calibri"/>
                <w:sz w:val="20"/>
              </w:rPr>
              <w:t>A-91-12</w:t>
            </w:r>
          </w:p>
          <w:p w:rsidR="00BC5EAA" w:rsidRPr="000F1B6E" w:rsidRDefault="00BC5EAA" w:rsidP="00BC5EAA">
            <w:pPr>
              <w:jc w:val="both"/>
              <w:rPr>
                <w:rFonts w:eastAsia="Calibri"/>
                <w:sz w:val="20"/>
              </w:rPr>
            </w:pPr>
          </w:p>
        </w:tc>
        <w:tc>
          <w:tcPr>
            <w:tcW w:w="243" w:type="pct"/>
          </w:tcPr>
          <w:p w:rsidR="00BC5EAA" w:rsidRPr="000F1B6E" w:rsidRDefault="00BC5EAA" w:rsidP="00BC5EAA">
            <w:pPr>
              <w:jc w:val="both"/>
              <w:rPr>
                <w:rFonts w:eastAsia="Calibri"/>
                <w:sz w:val="20"/>
              </w:rPr>
            </w:pPr>
          </w:p>
        </w:tc>
        <w:tc>
          <w:tcPr>
            <w:tcW w:w="2330" w:type="pct"/>
          </w:tcPr>
          <w:p w:rsidR="00BC5EAA" w:rsidRPr="000F1B6E" w:rsidRDefault="00BC5EAA" w:rsidP="00BC5EAA">
            <w:pPr>
              <w:jc w:val="both"/>
              <w:rPr>
                <w:rFonts w:eastAsia="Calibri"/>
                <w:sz w:val="20"/>
              </w:rPr>
            </w:pPr>
            <w:r w:rsidRPr="000F1B6E">
              <w:rPr>
                <w:rFonts w:eastAsia="Calibri"/>
                <w:sz w:val="20"/>
              </w:rPr>
              <w:t>Application to reconsider dismissed</w:t>
            </w:r>
          </w:p>
        </w:tc>
      </w:tr>
      <w:tr w:rsidR="00BC5EAA" w:rsidRPr="000F1B6E" w:rsidTr="00BC5EAA">
        <w:tc>
          <w:tcPr>
            <w:tcW w:w="2427" w:type="pct"/>
          </w:tcPr>
          <w:p w:rsidR="00BC5EAA" w:rsidRPr="000F1B6E" w:rsidRDefault="00BC5EAA" w:rsidP="00BC5EAA">
            <w:pPr>
              <w:jc w:val="both"/>
              <w:rPr>
                <w:rFonts w:eastAsia="Calibri"/>
                <w:sz w:val="20"/>
              </w:rPr>
            </w:pPr>
            <w:r w:rsidRPr="000F1B6E">
              <w:rPr>
                <w:rFonts w:eastAsia="Calibri"/>
                <w:sz w:val="20"/>
              </w:rPr>
              <w:t>October 19, 2012</w:t>
            </w:r>
          </w:p>
          <w:p w:rsidR="00BC5EAA" w:rsidRPr="000F1B6E" w:rsidRDefault="00BC5EAA" w:rsidP="00BC5EAA">
            <w:pPr>
              <w:jc w:val="both"/>
              <w:rPr>
                <w:rFonts w:eastAsia="Calibri"/>
                <w:sz w:val="20"/>
              </w:rPr>
            </w:pPr>
            <w:r w:rsidRPr="000F1B6E">
              <w:rPr>
                <w:rFonts w:eastAsia="Calibri"/>
                <w:sz w:val="20"/>
              </w:rPr>
              <w:t>Supreme Court of Canada</w:t>
            </w:r>
          </w:p>
        </w:tc>
        <w:tc>
          <w:tcPr>
            <w:tcW w:w="243" w:type="pct"/>
          </w:tcPr>
          <w:p w:rsidR="00BC5EAA" w:rsidRPr="000F1B6E" w:rsidRDefault="00BC5EAA" w:rsidP="00BC5EAA">
            <w:pPr>
              <w:jc w:val="both"/>
              <w:rPr>
                <w:rFonts w:eastAsia="Calibri"/>
                <w:sz w:val="20"/>
              </w:rPr>
            </w:pPr>
          </w:p>
        </w:tc>
        <w:tc>
          <w:tcPr>
            <w:tcW w:w="2330" w:type="pct"/>
          </w:tcPr>
          <w:p w:rsidR="00BC5EAA" w:rsidRPr="000F1B6E" w:rsidRDefault="00BC5EAA" w:rsidP="00BC5EAA">
            <w:pPr>
              <w:jc w:val="both"/>
              <w:rPr>
                <w:rFonts w:eastAsia="Calibri"/>
                <w:sz w:val="20"/>
              </w:rPr>
            </w:pPr>
            <w:r w:rsidRPr="000F1B6E">
              <w:rPr>
                <w:rFonts w:eastAsia="Calibri"/>
                <w:sz w:val="20"/>
              </w:rPr>
              <w:t>Application for leave to appeal filed</w:t>
            </w:r>
          </w:p>
          <w:p w:rsidR="00BC5EAA" w:rsidRPr="000F1B6E" w:rsidRDefault="00BC5EAA" w:rsidP="00BC5EAA">
            <w:pPr>
              <w:jc w:val="both"/>
              <w:rPr>
                <w:rFonts w:eastAsia="Calibri"/>
                <w:sz w:val="20"/>
              </w:rPr>
            </w:pPr>
          </w:p>
        </w:tc>
      </w:tr>
    </w:tbl>
    <w:p w:rsidR="00124C37" w:rsidRPr="00BC5EAA" w:rsidRDefault="00124C37" w:rsidP="00124C37">
      <w:pPr>
        <w:rPr>
          <w:sz w:val="20"/>
          <w:szCs w:val="20"/>
        </w:rPr>
      </w:pPr>
    </w:p>
    <w:p w:rsidR="00124C37" w:rsidRPr="00C50A5C" w:rsidRDefault="00E42AAB" w:rsidP="00124C37">
      <w:pPr>
        <w:rPr>
          <w:sz w:val="20"/>
          <w:szCs w:val="20"/>
        </w:rPr>
      </w:pPr>
      <w:r>
        <w:rPr>
          <w:sz w:val="20"/>
          <w:szCs w:val="20"/>
          <w:lang w:val="fr-CA"/>
        </w:rPr>
        <w:pict>
          <v:rect id="_x0000_i1045" style="width:2in;height:1pt" o:hrpct="0" o:hralign="center" o:hrstd="t" o:hrnoshade="t" o:hr="t" fillcolor="black [3213]" stroked="f"/>
        </w:pict>
      </w:r>
    </w:p>
    <w:p w:rsidR="00124C37" w:rsidRDefault="00124C37" w:rsidP="00124C37">
      <w:pPr>
        <w:rPr>
          <w:sz w:val="20"/>
          <w:szCs w:val="20"/>
        </w:rPr>
      </w:pPr>
    </w:p>
    <w:p w:rsidR="00124C37" w:rsidRPr="001B157C" w:rsidRDefault="00124C37" w:rsidP="00124C37">
      <w:pPr>
        <w:rPr>
          <w:sz w:val="20"/>
          <w:szCs w:val="20"/>
          <w:u w:val="single"/>
          <w:lang w:val="fr-CA"/>
        </w:rPr>
      </w:pPr>
      <w:r w:rsidRPr="001B157C">
        <w:rPr>
          <w:sz w:val="20"/>
          <w:szCs w:val="20"/>
          <w:u w:val="single"/>
          <w:lang w:val="fr-CA"/>
        </w:rPr>
        <w:lastRenderedPageBreak/>
        <w:t>RÉSUMÉ DE L’AFFAIRE</w:t>
      </w:r>
    </w:p>
    <w:p w:rsidR="00124C37" w:rsidRDefault="00124C37" w:rsidP="00124C3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C5EAA" w:rsidRPr="00E42AAB" w:rsidTr="00BC5EAA">
        <w:tc>
          <w:tcPr>
            <w:tcW w:w="5000" w:type="pct"/>
            <w:gridSpan w:val="3"/>
          </w:tcPr>
          <w:p w:rsidR="00BC5EAA" w:rsidRPr="000F1B6E" w:rsidRDefault="00BC5EAA" w:rsidP="00BC5EAA">
            <w:pPr>
              <w:jc w:val="both"/>
              <w:rPr>
                <w:rFonts w:eastAsia="Calibri"/>
                <w:sz w:val="20"/>
                <w:lang w:val="fr-CA"/>
              </w:rPr>
            </w:pPr>
            <w:r w:rsidRPr="000F1B6E">
              <w:rPr>
                <w:rFonts w:eastAsia="Calibri"/>
                <w:sz w:val="20"/>
                <w:lang w:val="fr-CA"/>
              </w:rPr>
              <w:t>Procédure civile – Demande de contrôle judiciaire à l’encontre d’une décision de la Commission des relations de travail dans la fonction publique – Requête visant la production, par la Commission, de la transcription des témoignages et la production des notes du commissaire rejetée par la Cour d’appel fédérale – Demande de réexamen rejetée – Est</w:t>
            </w:r>
            <w:r w:rsidRPr="000F1B6E">
              <w:rPr>
                <w:rFonts w:eastAsia="Calibri"/>
                <w:sz w:val="20"/>
                <w:lang w:val="fr-CA"/>
              </w:rPr>
              <w:noBreakHyphen/>
              <w:t>ce à tort que la Cour d’appel fédérale a refusé d’accorder la demande de réexamen? – Le demandeur avait</w:t>
            </w:r>
            <w:r w:rsidRPr="000F1B6E">
              <w:rPr>
                <w:rFonts w:eastAsia="Calibri"/>
                <w:sz w:val="20"/>
                <w:lang w:val="fr-CA"/>
              </w:rPr>
              <w:noBreakHyphen/>
              <w:t>il le droit d’obtenir une copie de la transcription et des notes?</w:t>
            </w:r>
          </w:p>
        </w:tc>
      </w:tr>
      <w:tr w:rsidR="00BC5EAA" w:rsidRPr="00E42AAB" w:rsidTr="00BC5EAA">
        <w:tc>
          <w:tcPr>
            <w:tcW w:w="5000" w:type="pct"/>
            <w:gridSpan w:val="3"/>
          </w:tcPr>
          <w:p w:rsidR="00BC5EAA" w:rsidRPr="000F1B6E" w:rsidRDefault="00BC5EAA" w:rsidP="00BC5EAA">
            <w:pPr>
              <w:jc w:val="both"/>
              <w:rPr>
                <w:rFonts w:eastAsia="Calibri"/>
                <w:sz w:val="20"/>
                <w:lang w:val="fr-CA"/>
              </w:rPr>
            </w:pPr>
          </w:p>
        </w:tc>
      </w:tr>
      <w:tr w:rsidR="00BC5EAA" w:rsidRPr="00E42AAB" w:rsidTr="00BC5EAA">
        <w:tc>
          <w:tcPr>
            <w:tcW w:w="5000" w:type="pct"/>
            <w:gridSpan w:val="3"/>
          </w:tcPr>
          <w:p w:rsidR="00BC5EAA" w:rsidRPr="000F1B6E" w:rsidRDefault="00BC5EAA" w:rsidP="00BC5EAA">
            <w:pPr>
              <w:jc w:val="both"/>
              <w:rPr>
                <w:rFonts w:eastAsia="Calibri"/>
                <w:sz w:val="20"/>
                <w:lang w:val="fr-CA"/>
              </w:rPr>
            </w:pPr>
            <w:r w:rsidRPr="000F1B6E">
              <w:rPr>
                <w:rFonts w:eastAsia="Calibri"/>
                <w:sz w:val="20"/>
                <w:lang w:val="fr-CA"/>
              </w:rPr>
              <w:t>Le demandeur, M. Gandhi Jean Pierre, est un employé de la fonction publique qui a déposé une plainte contre M. Arcand, représentant régional du syndicat intimé, l’Alliance de la Fonction publique du Canada (« l’Alliance »), alléguant que celui</w:t>
            </w:r>
            <w:r w:rsidRPr="000F1B6E">
              <w:rPr>
                <w:rFonts w:eastAsia="Calibri"/>
                <w:sz w:val="20"/>
                <w:lang w:val="fr-CA"/>
              </w:rPr>
              <w:noBreakHyphen/>
              <w:t>ci avait manqué à son obligation de représentation équitable dans le cadre d’un grief. La plainte a été rejetée par la Commission des relations de travail dans la fonction publique (« CRTFP »).</w:t>
            </w:r>
          </w:p>
          <w:p w:rsidR="00BC5EAA" w:rsidRPr="000F1B6E" w:rsidRDefault="00BC5EAA" w:rsidP="00BC5EAA">
            <w:pPr>
              <w:jc w:val="both"/>
              <w:rPr>
                <w:rFonts w:eastAsia="Calibri"/>
                <w:sz w:val="20"/>
                <w:lang w:val="fr-CA"/>
              </w:rPr>
            </w:pPr>
          </w:p>
          <w:p w:rsidR="00BC5EAA" w:rsidRPr="000F1B6E" w:rsidRDefault="00BC5EAA" w:rsidP="00BC5EAA">
            <w:pPr>
              <w:jc w:val="both"/>
              <w:rPr>
                <w:rFonts w:eastAsia="Calibri"/>
                <w:sz w:val="20"/>
                <w:lang w:val="fr-CA"/>
              </w:rPr>
            </w:pPr>
            <w:r w:rsidRPr="000F1B6E">
              <w:rPr>
                <w:rFonts w:eastAsia="Calibri"/>
                <w:sz w:val="20"/>
                <w:lang w:val="fr-CA"/>
              </w:rPr>
              <w:t xml:space="preserve">À l’encontre de cette décision, le demandeur a déposé une demande de contrôle judiciaire devant la Cour d’appel fédérale. Puis il a produit une requête visant la production, par la CRTFP, de la transcription des témoignages et la production des notes du commissaire. </w:t>
            </w:r>
          </w:p>
          <w:p w:rsidR="00BC5EAA" w:rsidRPr="000F1B6E" w:rsidRDefault="00BC5EAA" w:rsidP="00BC5EAA">
            <w:pPr>
              <w:jc w:val="both"/>
              <w:rPr>
                <w:rFonts w:eastAsia="Calibri"/>
                <w:sz w:val="20"/>
                <w:lang w:val="fr-CA"/>
              </w:rPr>
            </w:pPr>
          </w:p>
          <w:p w:rsidR="00BC5EAA" w:rsidRPr="000F1B6E" w:rsidRDefault="00BC5EAA" w:rsidP="00BC5EAA">
            <w:pPr>
              <w:jc w:val="both"/>
              <w:rPr>
                <w:rFonts w:eastAsia="Calibri"/>
                <w:sz w:val="20"/>
                <w:lang w:val="fr-CA"/>
              </w:rPr>
            </w:pPr>
            <w:r w:rsidRPr="000F1B6E">
              <w:rPr>
                <w:rFonts w:eastAsia="Calibri"/>
                <w:sz w:val="20"/>
                <w:lang w:val="fr-CA"/>
              </w:rPr>
              <w:t xml:space="preserve">Le juge Noël de la Cour d’appel fédérale a rejeté la requête.  Il a conclu qu’en l’absence de transcription, la requête visant à l’obtenir était sans objet.  Quant à la demande de production des notes du commissaire, il l’a rejetée sur la foi des principes énoncés dans l’arrêt </w:t>
            </w:r>
            <w:r w:rsidRPr="000F1B6E">
              <w:rPr>
                <w:rFonts w:eastAsia="Calibri"/>
                <w:i/>
                <w:sz w:val="20"/>
                <w:lang w:val="fr-CA"/>
              </w:rPr>
              <w:t>Canada (Commissaire à la protection de la vie privée) c. Canada (Conseil canadien des relations de travail)</w:t>
            </w:r>
            <w:r w:rsidRPr="000F1B6E">
              <w:rPr>
                <w:rFonts w:eastAsia="Calibri"/>
                <w:sz w:val="20"/>
                <w:lang w:val="fr-CA"/>
              </w:rPr>
              <w:t>, [2000] A.C.F. n</w:t>
            </w:r>
            <w:r w:rsidRPr="000F1B6E">
              <w:rPr>
                <w:rFonts w:eastAsia="Calibri"/>
                <w:sz w:val="20"/>
                <w:vertAlign w:val="superscript"/>
                <w:lang w:val="fr-CA"/>
              </w:rPr>
              <w:t>o</w:t>
            </w:r>
            <w:r w:rsidRPr="000F1B6E">
              <w:rPr>
                <w:rFonts w:eastAsia="Calibri"/>
                <w:sz w:val="20"/>
                <w:lang w:val="fr-CA"/>
              </w:rPr>
              <w:t xml:space="preserve"> 617 (QL).  Le demandeur a alors demandé le réexamen de cette décision en vertu de la règle 397 des </w:t>
            </w:r>
            <w:r w:rsidRPr="000F1B6E">
              <w:rPr>
                <w:rFonts w:eastAsia="Calibri"/>
                <w:i/>
                <w:sz w:val="20"/>
                <w:lang w:val="fr-CA"/>
              </w:rPr>
              <w:t>Règles des cours fédérales</w:t>
            </w:r>
            <w:r w:rsidRPr="000F1B6E">
              <w:rPr>
                <w:rFonts w:eastAsia="Calibri"/>
                <w:sz w:val="20"/>
                <w:lang w:val="fr-CA"/>
              </w:rPr>
              <w:t xml:space="preserve">, mais en vain. </w:t>
            </w:r>
          </w:p>
          <w:p w:rsidR="00BC5EAA" w:rsidRPr="000F1B6E" w:rsidRDefault="00BC5EAA" w:rsidP="00BC5EAA">
            <w:pPr>
              <w:jc w:val="both"/>
              <w:rPr>
                <w:rFonts w:eastAsia="Calibri"/>
                <w:sz w:val="20"/>
                <w:lang w:val="fr-CA"/>
              </w:rPr>
            </w:pPr>
          </w:p>
        </w:tc>
      </w:tr>
      <w:tr w:rsidR="00BC5EAA" w:rsidRPr="00E42AAB" w:rsidTr="00BC5EAA">
        <w:tc>
          <w:tcPr>
            <w:tcW w:w="2427" w:type="pct"/>
          </w:tcPr>
          <w:p w:rsidR="00BC5EAA" w:rsidRPr="000F1B6E" w:rsidRDefault="00BC5EAA" w:rsidP="00BC5EAA">
            <w:pPr>
              <w:jc w:val="both"/>
              <w:rPr>
                <w:rFonts w:eastAsia="Calibri"/>
                <w:sz w:val="20"/>
                <w:lang w:val="fr-CA"/>
              </w:rPr>
            </w:pPr>
            <w:r w:rsidRPr="000F1B6E">
              <w:rPr>
                <w:rFonts w:eastAsia="Calibri"/>
                <w:sz w:val="20"/>
                <w:lang w:val="fr-CA"/>
              </w:rPr>
              <w:t>Le 28 mai 2012</w:t>
            </w:r>
          </w:p>
          <w:p w:rsidR="00BC5EAA" w:rsidRPr="000F1B6E" w:rsidRDefault="00BC5EAA" w:rsidP="00BC5EAA">
            <w:pPr>
              <w:jc w:val="both"/>
              <w:rPr>
                <w:rFonts w:eastAsia="Calibri"/>
                <w:sz w:val="20"/>
                <w:lang w:val="fr-CA"/>
              </w:rPr>
            </w:pPr>
            <w:r w:rsidRPr="000F1B6E">
              <w:rPr>
                <w:rFonts w:eastAsia="Calibri"/>
                <w:sz w:val="20"/>
                <w:lang w:val="fr-CA"/>
              </w:rPr>
              <w:t>Cour d’appel fédérale</w:t>
            </w:r>
          </w:p>
          <w:p w:rsidR="00BC5EAA" w:rsidRPr="000F1B6E" w:rsidRDefault="00BC5EAA" w:rsidP="00BC5EAA">
            <w:pPr>
              <w:jc w:val="both"/>
              <w:rPr>
                <w:rFonts w:eastAsia="Calibri"/>
                <w:sz w:val="20"/>
                <w:lang w:val="fr-CA"/>
              </w:rPr>
            </w:pPr>
            <w:r w:rsidRPr="000F1B6E">
              <w:rPr>
                <w:rFonts w:eastAsia="Calibri"/>
                <w:sz w:val="20"/>
                <w:lang w:val="fr-CA"/>
              </w:rPr>
              <w:t xml:space="preserve">Le juge Noël </w:t>
            </w:r>
          </w:p>
          <w:p w:rsidR="00BC5EAA" w:rsidRPr="000F1B6E" w:rsidRDefault="00BC5EAA" w:rsidP="00BC5EAA">
            <w:pPr>
              <w:jc w:val="both"/>
              <w:rPr>
                <w:rFonts w:eastAsia="Calibri"/>
                <w:sz w:val="20"/>
                <w:lang w:val="fr-CA"/>
              </w:rPr>
            </w:pPr>
            <w:r w:rsidRPr="000F1B6E">
              <w:rPr>
                <w:rFonts w:eastAsia="Calibri"/>
                <w:sz w:val="20"/>
                <w:lang w:val="fr-CA"/>
              </w:rPr>
              <w:t>A</w:t>
            </w:r>
            <w:r w:rsidRPr="000F1B6E">
              <w:rPr>
                <w:rFonts w:eastAsia="Calibri"/>
                <w:sz w:val="20"/>
                <w:lang w:val="fr-CA"/>
              </w:rPr>
              <w:noBreakHyphen/>
              <w:t>91</w:t>
            </w:r>
            <w:r w:rsidRPr="000F1B6E">
              <w:rPr>
                <w:rFonts w:eastAsia="Calibri"/>
                <w:sz w:val="20"/>
                <w:lang w:val="fr-CA"/>
              </w:rPr>
              <w:noBreakHyphen/>
              <w:t>12</w:t>
            </w:r>
          </w:p>
          <w:p w:rsidR="00BC5EAA" w:rsidRPr="000F1B6E" w:rsidRDefault="00BC5EAA" w:rsidP="00BC5EAA">
            <w:pPr>
              <w:jc w:val="both"/>
              <w:rPr>
                <w:rFonts w:eastAsia="Calibri"/>
                <w:sz w:val="20"/>
              </w:rPr>
            </w:pPr>
          </w:p>
        </w:tc>
        <w:tc>
          <w:tcPr>
            <w:tcW w:w="243" w:type="pct"/>
          </w:tcPr>
          <w:p w:rsidR="00BC5EAA" w:rsidRPr="000F1B6E" w:rsidRDefault="00BC5EAA" w:rsidP="00BC5EAA">
            <w:pPr>
              <w:jc w:val="both"/>
              <w:rPr>
                <w:rFonts w:eastAsia="Calibri"/>
                <w:sz w:val="20"/>
              </w:rPr>
            </w:pPr>
          </w:p>
        </w:tc>
        <w:tc>
          <w:tcPr>
            <w:tcW w:w="2330" w:type="pct"/>
          </w:tcPr>
          <w:p w:rsidR="00BC5EAA" w:rsidRPr="000F1B6E" w:rsidRDefault="00BC5EAA" w:rsidP="00BC5EAA">
            <w:pPr>
              <w:jc w:val="both"/>
              <w:rPr>
                <w:rFonts w:eastAsia="Calibri"/>
                <w:sz w:val="20"/>
                <w:lang w:val="fr-CA"/>
              </w:rPr>
            </w:pPr>
            <w:r w:rsidRPr="000F1B6E">
              <w:rPr>
                <w:rFonts w:eastAsia="Calibri"/>
                <w:sz w:val="20"/>
                <w:lang w:val="fr-CA"/>
              </w:rPr>
              <w:t>Requête en production des transcriptions des témoignages et des notes de la Commission des relations de travail dans la fonction publique rejetée</w:t>
            </w:r>
          </w:p>
          <w:p w:rsidR="00BC5EAA" w:rsidRPr="000F1B6E" w:rsidRDefault="00BC5EAA" w:rsidP="00BC5EAA">
            <w:pPr>
              <w:jc w:val="both"/>
              <w:rPr>
                <w:rFonts w:eastAsia="Calibri"/>
                <w:sz w:val="20"/>
                <w:lang w:val="fr-CA"/>
              </w:rPr>
            </w:pPr>
          </w:p>
        </w:tc>
      </w:tr>
      <w:tr w:rsidR="00BC5EAA" w:rsidRPr="000F1B6E" w:rsidTr="00BC5EAA">
        <w:tc>
          <w:tcPr>
            <w:tcW w:w="2427" w:type="pct"/>
          </w:tcPr>
          <w:p w:rsidR="00BC5EAA" w:rsidRPr="000F1B6E" w:rsidRDefault="00BC5EAA" w:rsidP="00BC5EAA">
            <w:pPr>
              <w:jc w:val="both"/>
              <w:rPr>
                <w:rFonts w:eastAsia="Calibri"/>
                <w:sz w:val="20"/>
                <w:lang w:val="fr-CA"/>
              </w:rPr>
            </w:pPr>
            <w:r w:rsidRPr="000F1B6E">
              <w:rPr>
                <w:rFonts w:eastAsia="Calibri"/>
                <w:sz w:val="20"/>
                <w:lang w:val="fr-CA"/>
              </w:rPr>
              <w:t>Le 20 août 2012</w:t>
            </w:r>
          </w:p>
          <w:p w:rsidR="00BC5EAA" w:rsidRPr="000F1B6E" w:rsidRDefault="00BC5EAA" w:rsidP="00BC5EAA">
            <w:pPr>
              <w:jc w:val="both"/>
              <w:rPr>
                <w:rFonts w:eastAsia="Calibri"/>
                <w:sz w:val="20"/>
                <w:lang w:val="fr-CA"/>
              </w:rPr>
            </w:pPr>
            <w:r w:rsidRPr="000F1B6E">
              <w:rPr>
                <w:rFonts w:eastAsia="Calibri"/>
                <w:sz w:val="20"/>
                <w:lang w:val="fr-CA"/>
              </w:rPr>
              <w:t>Cour d’appel fédérale</w:t>
            </w:r>
          </w:p>
          <w:p w:rsidR="00BC5EAA" w:rsidRPr="000F1B6E" w:rsidRDefault="00BC5EAA" w:rsidP="00BC5EAA">
            <w:pPr>
              <w:jc w:val="both"/>
              <w:rPr>
                <w:rFonts w:eastAsia="Calibri"/>
                <w:sz w:val="20"/>
                <w:lang w:val="fr-CA"/>
              </w:rPr>
            </w:pPr>
            <w:r w:rsidRPr="000F1B6E">
              <w:rPr>
                <w:rFonts w:eastAsia="Calibri"/>
                <w:sz w:val="20"/>
                <w:lang w:val="fr-CA"/>
              </w:rPr>
              <w:t>Le juge Noël</w:t>
            </w:r>
          </w:p>
          <w:p w:rsidR="00BC5EAA" w:rsidRPr="000F1B6E" w:rsidRDefault="00BC5EAA" w:rsidP="00BC5EAA">
            <w:pPr>
              <w:jc w:val="both"/>
              <w:rPr>
                <w:rFonts w:eastAsia="Calibri"/>
                <w:sz w:val="20"/>
                <w:lang w:val="fr-CA"/>
              </w:rPr>
            </w:pPr>
            <w:r w:rsidRPr="000F1B6E">
              <w:rPr>
                <w:rFonts w:eastAsia="Calibri"/>
                <w:sz w:val="20"/>
                <w:lang w:val="fr-CA"/>
              </w:rPr>
              <w:t>A</w:t>
            </w:r>
            <w:r w:rsidRPr="000F1B6E">
              <w:rPr>
                <w:rFonts w:eastAsia="Calibri"/>
                <w:sz w:val="20"/>
                <w:lang w:val="fr-CA"/>
              </w:rPr>
              <w:noBreakHyphen/>
              <w:t>91</w:t>
            </w:r>
            <w:r w:rsidRPr="000F1B6E">
              <w:rPr>
                <w:rFonts w:eastAsia="Calibri"/>
                <w:sz w:val="20"/>
                <w:lang w:val="fr-CA"/>
              </w:rPr>
              <w:noBreakHyphen/>
              <w:t>12</w:t>
            </w:r>
          </w:p>
          <w:p w:rsidR="00BC5EAA" w:rsidRPr="000F1B6E" w:rsidRDefault="00BC5EAA" w:rsidP="00BC5EAA">
            <w:pPr>
              <w:jc w:val="both"/>
              <w:rPr>
                <w:rFonts w:eastAsia="Calibri"/>
                <w:sz w:val="20"/>
              </w:rPr>
            </w:pPr>
          </w:p>
        </w:tc>
        <w:tc>
          <w:tcPr>
            <w:tcW w:w="243" w:type="pct"/>
          </w:tcPr>
          <w:p w:rsidR="00BC5EAA" w:rsidRPr="000F1B6E" w:rsidRDefault="00BC5EAA" w:rsidP="00BC5EAA">
            <w:pPr>
              <w:jc w:val="both"/>
              <w:rPr>
                <w:rFonts w:eastAsia="Calibri"/>
                <w:sz w:val="20"/>
              </w:rPr>
            </w:pPr>
          </w:p>
        </w:tc>
        <w:tc>
          <w:tcPr>
            <w:tcW w:w="2330" w:type="pct"/>
          </w:tcPr>
          <w:p w:rsidR="00BC5EAA" w:rsidRPr="000F1B6E" w:rsidRDefault="00BC5EAA" w:rsidP="00BC5EAA">
            <w:pPr>
              <w:jc w:val="both"/>
              <w:rPr>
                <w:rFonts w:eastAsia="Calibri"/>
                <w:sz w:val="20"/>
                <w:lang w:val="fr-CA"/>
              </w:rPr>
            </w:pPr>
            <w:r w:rsidRPr="000F1B6E">
              <w:rPr>
                <w:rFonts w:eastAsia="Calibri"/>
                <w:sz w:val="20"/>
                <w:lang w:val="fr-CA"/>
              </w:rPr>
              <w:t>Demande de réexamen rejetée</w:t>
            </w:r>
          </w:p>
          <w:p w:rsidR="00BC5EAA" w:rsidRPr="000F1B6E" w:rsidRDefault="00BC5EAA" w:rsidP="00BC5EAA">
            <w:pPr>
              <w:jc w:val="both"/>
              <w:rPr>
                <w:rFonts w:eastAsia="Calibri"/>
                <w:sz w:val="20"/>
                <w:lang w:val="fr-CA"/>
              </w:rPr>
            </w:pPr>
          </w:p>
        </w:tc>
      </w:tr>
      <w:tr w:rsidR="00BC5EAA" w:rsidRPr="000F1B6E" w:rsidTr="00BC5EAA">
        <w:tc>
          <w:tcPr>
            <w:tcW w:w="2427" w:type="pct"/>
          </w:tcPr>
          <w:p w:rsidR="00BC5EAA" w:rsidRPr="000F1B6E" w:rsidRDefault="00BC5EAA" w:rsidP="00BC5EAA">
            <w:pPr>
              <w:jc w:val="both"/>
              <w:rPr>
                <w:rFonts w:eastAsia="Calibri"/>
                <w:sz w:val="20"/>
                <w:lang w:val="fr-CA"/>
              </w:rPr>
            </w:pPr>
            <w:r w:rsidRPr="000F1B6E">
              <w:rPr>
                <w:rFonts w:eastAsia="Calibri"/>
                <w:sz w:val="20"/>
                <w:lang w:val="fr-CA"/>
              </w:rPr>
              <w:t>Le 19 octobre 2012</w:t>
            </w:r>
          </w:p>
          <w:p w:rsidR="00BC5EAA" w:rsidRPr="000F1B6E" w:rsidRDefault="00BC5EAA" w:rsidP="00BC5EAA">
            <w:pPr>
              <w:jc w:val="both"/>
              <w:rPr>
                <w:rFonts w:eastAsia="Calibri"/>
                <w:sz w:val="20"/>
                <w:lang w:val="fr-CA"/>
              </w:rPr>
            </w:pPr>
            <w:r w:rsidRPr="000F1B6E">
              <w:rPr>
                <w:rFonts w:eastAsia="Calibri"/>
                <w:sz w:val="20"/>
                <w:lang w:val="fr-CA"/>
              </w:rPr>
              <w:t>Cour suprême du Canada</w:t>
            </w:r>
          </w:p>
        </w:tc>
        <w:tc>
          <w:tcPr>
            <w:tcW w:w="243" w:type="pct"/>
          </w:tcPr>
          <w:p w:rsidR="00BC5EAA" w:rsidRPr="000F1B6E" w:rsidRDefault="00BC5EAA" w:rsidP="00BC5EAA">
            <w:pPr>
              <w:jc w:val="both"/>
              <w:rPr>
                <w:rFonts w:eastAsia="Calibri"/>
                <w:sz w:val="20"/>
                <w:lang w:val="fr-CA"/>
              </w:rPr>
            </w:pPr>
          </w:p>
        </w:tc>
        <w:tc>
          <w:tcPr>
            <w:tcW w:w="2330" w:type="pct"/>
          </w:tcPr>
          <w:p w:rsidR="00BC5EAA" w:rsidRPr="000F1B6E" w:rsidRDefault="00BC5EAA" w:rsidP="00BC5EAA">
            <w:pPr>
              <w:jc w:val="both"/>
              <w:rPr>
                <w:rFonts w:eastAsia="Calibri"/>
                <w:sz w:val="20"/>
                <w:lang w:val="fr-CA"/>
              </w:rPr>
            </w:pPr>
            <w:r w:rsidRPr="000F1B6E">
              <w:rPr>
                <w:rFonts w:eastAsia="Calibri"/>
                <w:sz w:val="20"/>
                <w:lang w:val="fr-CA"/>
              </w:rPr>
              <w:t>Demande d'autorisation d'appel déposée</w:t>
            </w:r>
          </w:p>
          <w:p w:rsidR="00BC5EAA" w:rsidRPr="000F1B6E" w:rsidRDefault="00BC5EAA" w:rsidP="00BC5EAA">
            <w:pPr>
              <w:jc w:val="both"/>
              <w:rPr>
                <w:rFonts w:eastAsia="Calibri"/>
                <w:sz w:val="20"/>
                <w:lang w:val="fr-CA"/>
              </w:rPr>
            </w:pPr>
          </w:p>
        </w:tc>
      </w:tr>
    </w:tbl>
    <w:p w:rsidR="00124C37" w:rsidRDefault="00124C37" w:rsidP="00124C37">
      <w:pPr>
        <w:rPr>
          <w:sz w:val="20"/>
          <w:szCs w:val="20"/>
        </w:rPr>
      </w:pPr>
    </w:p>
    <w:p w:rsidR="00124C37" w:rsidRDefault="00E42AAB" w:rsidP="00124C37">
      <w:pPr>
        <w:rPr>
          <w:sz w:val="20"/>
          <w:szCs w:val="20"/>
        </w:rPr>
      </w:pPr>
      <w:r>
        <w:rPr>
          <w:sz w:val="20"/>
          <w:szCs w:val="20"/>
          <w:lang w:val="fr-CA"/>
        </w:rPr>
        <w:pict>
          <v:rect id="_x0000_i1046" style="width:2in;height:1pt" o:hrpct="0" o:hralign="center" o:hrstd="t" o:hrnoshade="t" o:hr="t" fillcolor="black [3213]" stroked="f"/>
        </w:pict>
      </w:r>
    </w:p>
    <w:p w:rsidR="00124C37" w:rsidRDefault="00124C37" w:rsidP="00124C37">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AD4380" w:rsidRPr="00E7075A" w:rsidTr="00BC5EAA">
        <w:tc>
          <w:tcPr>
            <w:tcW w:w="1458" w:type="dxa"/>
          </w:tcPr>
          <w:p w:rsidR="00AD4380" w:rsidRPr="00E7075A" w:rsidRDefault="00AD4380" w:rsidP="00C64462">
            <w:pPr>
              <w:rPr>
                <w:sz w:val="20"/>
                <w:szCs w:val="20"/>
              </w:rPr>
            </w:pPr>
            <w:r w:rsidRPr="00E7075A">
              <w:rPr>
                <w:rStyle w:val="SCCFileNumberChar"/>
                <w:sz w:val="20"/>
                <w:szCs w:val="20"/>
              </w:rPr>
              <w:t>35569</w:t>
            </w:r>
          </w:p>
          <w:p w:rsidR="00AD4380" w:rsidRPr="00E7075A" w:rsidRDefault="00AD4380" w:rsidP="00C64462">
            <w:pPr>
              <w:rPr>
                <w:b/>
                <w:sz w:val="20"/>
                <w:szCs w:val="20"/>
                <w:lang w:val="fr-CA"/>
              </w:rPr>
            </w:pPr>
          </w:p>
        </w:tc>
        <w:tc>
          <w:tcPr>
            <w:tcW w:w="8118" w:type="dxa"/>
          </w:tcPr>
          <w:p w:rsidR="00AD4380" w:rsidRPr="00E7075A" w:rsidRDefault="00AD4380" w:rsidP="00C64462">
            <w:pPr>
              <w:jc w:val="both"/>
              <w:rPr>
                <w:sz w:val="20"/>
                <w:szCs w:val="20"/>
              </w:rPr>
            </w:pPr>
            <w:r w:rsidRPr="00AD4380">
              <w:rPr>
                <w:rStyle w:val="SCCLsocChar"/>
                <w:sz w:val="20"/>
                <w:szCs w:val="20"/>
                <w:lang w:val="en-CA"/>
              </w:rPr>
              <w:t>Federal Government Dockyard Trades and Labour Council (Esquimalt, B.C.)</w:t>
            </w:r>
            <w:r w:rsidR="00E81F04">
              <w:rPr>
                <w:rStyle w:val="SCCLsocChar"/>
                <w:sz w:val="20"/>
                <w:szCs w:val="20"/>
                <w:lang w:val="en-CA"/>
              </w:rPr>
              <w:t xml:space="preserve"> and</w:t>
            </w:r>
            <w:r w:rsidRPr="00AD4380">
              <w:rPr>
                <w:rStyle w:val="SCCLsocChar"/>
                <w:sz w:val="20"/>
                <w:szCs w:val="20"/>
                <w:lang w:val="en-CA"/>
              </w:rPr>
              <w:t xml:space="preserve"> Des Rogers v. Her Majesty the Queen in Right of Canada as Represented by the Attorney General of Canada</w:t>
            </w:r>
            <w:r w:rsidR="00E81F04">
              <w:rPr>
                <w:rStyle w:val="SCCLsocChar"/>
                <w:sz w:val="20"/>
                <w:szCs w:val="20"/>
                <w:lang w:val="en-CA"/>
              </w:rPr>
              <w:t xml:space="preserve"> and</w:t>
            </w:r>
            <w:r w:rsidRPr="00AD4380">
              <w:rPr>
                <w:rStyle w:val="SCCLsocChar"/>
                <w:sz w:val="20"/>
                <w:szCs w:val="20"/>
                <w:lang w:val="en-CA"/>
              </w:rPr>
              <w:t xml:space="preserve"> Attorney General of British Columbia</w:t>
            </w:r>
            <w:r w:rsidRPr="00E7075A">
              <w:rPr>
                <w:sz w:val="20"/>
                <w:szCs w:val="20"/>
              </w:rPr>
              <w:t xml:space="preserve"> (B.C.) (Civil) (By Leave)</w:t>
            </w:r>
          </w:p>
          <w:p w:rsidR="00AD4380" w:rsidRPr="00E7075A" w:rsidRDefault="00AD4380" w:rsidP="00C64462">
            <w:pPr>
              <w:jc w:val="both"/>
              <w:rPr>
                <w:sz w:val="20"/>
                <w:szCs w:val="20"/>
              </w:rPr>
            </w:pPr>
          </w:p>
        </w:tc>
      </w:tr>
      <w:tr w:rsidR="00AD4380" w:rsidRPr="00E7075A" w:rsidTr="00BC5EAA">
        <w:tc>
          <w:tcPr>
            <w:tcW w:w="1458" w:type="dxa"/>
          </w:tcPr>
          <w:p w:rsidR="00AD4380" w:rsidRPr="00E7075A" w:rsidRDefault="00AD4380" w:rsidP="00C64462">
            <w:pPr>
              <w:rPr>
                <w:sz w:val="20"/>
                <w:szCs w:val="20"/>
              </w:rPr>
            </w:pPr>
            <w:r w:rsidRPr="00E7075A">
              <w:rPr>
                <w:sz w:val="20"/>
                <w:szCs w:val="20"/>
              </w:rPr>
              <w:t>Coram :</w:t>
            </w:r>
          </w:p>
        </w:tc>
        <w:tc>
          <w:tcPr>
            <w:tcW w:w="8118" w:type="dxa"/>
          </w:tcPr>
          <w:p w:rsidR="00AD4380" w:rsidRPr="00E7075A" w:rsidRDefault="00AD4380" w:rsidP="00C64462">
            <w:pPr>
              <w:rPr>
                <w:sz w:val="20"/>
                <w:szCs w:val="20"/>
              </w:rPr>
            </w:pPr>
            <w:r w:rsidRPr="00AD4380">
              <w:rPr>
                <w:rStyle w:val="SCCCoramChar"/>
                <w:sz w:val="20"/>
                <w:szCs w:val="20"/>
                <w:lang w:val="en-CA"/>
              </w:rPr>
              <w:t>LeBel, Karakatsanis and Wagner JJ.</w:t>
            </w:r>
          </w:p>
          <w:p w:rsidR="00AD4380" w:rsidRPr="00E7075A" w:rsidRDefault="00AD4380" w:rsidP="00C64462">
            <w:pPr>
              <w:rPr>
                <w:sz w:val="20"/>
                <w:szCs w:val="20"/>
                <w:u w:val="single"/>
              </w:rPr>
            </w:pPr>
          </w:p>
        </w:tc>
      </w:tr>
      <w:tr w:rsidR="00AD4380" w:rsidRPr="00E42AAB" w:rsidTr="00BC5EAA">
        <w:tc>
          <w:tcPr>
            <w:tcW w:w="9576" w:type="dxa"/>
            <w:gridSpan w:val="2"/>
          </w:tcPr>
          <w:p w:rsidR="00AD4380" w:rsidRPr="00E7075A" w:rsidRDefault="00AD4380" w:rsidP="00C64462">
            <w:pPr>
              <w:pStyle w:val="SCCShortJudgment"/>
              <w:rPr>
                <w:szCs w:val="20"/>
              </w:rPr>
            </w:pPr>
            <w:r w:rsidRPr="00E7075A">
              <w:rPr>
                <w:szCs w:val="20"/>
              </w:rPr>
              <w:t xml:space="preserve">Pursuant to subsection 43(1.1) of the </w:t>
            </w:r>
            <w:r w:rsidRPr="00F6497E">
              <w:rPr>
                <w:i/>
                <w:szCs w:val="20"/>
              </w:rPr>
              <w:t>Supreme Court Act</w:t>
            </w:r>
            <w:r w:rsidRPr="00E7075A">
              <w:rPr>
                <w:szCs w:val="20"/>
              </w:rPr>
              <w:t xml:space="preserve">, the case forming the basis of the application for leave to appeal from the judgment of the Court of Appeal for British Columbia (Vancouver), Number CA039379, 2013 BCCA 371, dated August 19, 2013, is remanded to the Court of Appeal of British Columbia for disposition in accordance with </w:t>
            </w:r>
            <w:r w:rsidRPr="00F6497E">
              <w:rPr>
                <w:i/>
                <w:szCs w:val="20"/>
              </w:rPr>
              <w:t>Meredith v. Canada (Attorney General)</w:t>
            </w:r>
            <w:r w:rsidRPr="00E7075A">
              <w:rPr>
                <w:szCs w:val="20"/>
              </w:rPr>
              <w:t xml:space="preserve">, 2015 SCC 2 and </w:t>
            </w:r>
            <w:r w:rsidRPr="00F6497E">
              <w:rPr>
                <w:i/>
                <w:szCs w:val="20"/>
              </w:rPr>
              <w:t>Mounted Police Association of Ontario v. Canada (Attorney General)</w:t>
            </w:r>
            <w:r w:rsidRPr="00E7075A">
              <w:rPr>
                <w:szCs w:val="20"/>
              </w:rPr>
              <w:t>, 2015 SCC 1.</w:t>
            </w:r>
          </w:p>
          <w:p w:rsidR="00AD4380" w:rsidRPr="00E7075A" w:rsidRDefault="00AD4380" w:rsidP="00C64462">
            <w:pPr>
              <w:pStyle w:val="SCCShortJudgment"/>
              <w:ind w:firstLine="0"/>
              <w:rPr>
                <w:szCs w:val="20"/>
              </w:rPr>
            </w:pPr>
          </w:p>
          <w:p w:rsidR="00AD4380" w:rsidRPr="00E7075A" w:rsidRDefault="00AD4380" w:rsidP="00C64462">
            <w:pPr>
              <w:pStyle w:val="SCCShortJudgment"/>
              <w:rPr>
                <w:szCs w:val="20"/>
                <w:lang w:val="fr-CA"/>
              </w:rPr>
            </w:pPr>
            <w:r w:rsidRPr="00E7075A">
              <w:rPr>
                <w:szCs w:val="20"/>
                <w:lang w:val="fr-CA"/>
              </w:rPr>
              <w:lastRenderedPageBreak/>
              <w:t xml:space="preserve">Conformément au paragraphe 43(1.1) de la </w:t>
            </w:r>
            <w:r w:rsidRPr="00860AA5">
              <w:rPr>
                <w:i/>
                <w:szCs w:val="20"/>
                <w:lang w:val="fr-CA"/>
              </w:rPr>
              <w:t>Loi sur la Cour suprême</w:t>
            </w:r>
            <w:r w:rsidRPr="00E7075A">
              <w:rPr>
                <w:szCs w:val="20"/>
                <w:lang w:val="fr-CA"/>
              </w:rPr>
              <w:t xml:space="preserve">, l’affaire à l’origine de la demande d’autorisation d’appel de l’arrêt de la Cour d’appel de la Colombie-Britannique (Vancouver), numéro CA039379, 2013 BCCA 371, daté du 19 août 2013 est renvoyée à la Cour d’appel de la Colombie-Britannique pour qu’elle statue en conformité avec les arrêts </w:t>
            </w:r>
            <w:r w:rsidRPr="00860AA5">
              <w:rPr>
                <w:i/>
                <w:szCs w:val="20"/>
                <w:lang w:val="fr-CA"/>
              </w:rPr>
              <w:t>Meredith c. Canada (Procureur général)</w:t>
            </w:r>
            <w:r w:rsidRPr="00E7075A">
              <w:rPr>
                <w:szCs w:val="20"/>
                <w:lang w:val="fr-CA"/>
              </w:rPr>
              <w:t xml:space="preserve">, 2015 CSC 2 et </w:t>
            </w:r>
            <w:r w:rsidRPr="00860AA5">
              <w:rPr>
                <w:i/>
                <w:szCs w:val="20"/>
                <w:lang w:val="fr-CA"/>
              </w:rPr>
              <w:t>Association de la police montée de l’Ontario c. Canada (Procureur général)</w:t>
            </w:r>
            <w:r w:rsidRPr="00E7075A">
              <w:rPr>
                <w:szCs w:val="20"/>
                <w:lang w:val="fr-CA"/>
              </w:rPr>
              <w:t>, 2015 CSC 1.</w:t>
            </w:r>
          </w:p>
        </w:tc>
      </w:tr>
    </w:tbl>
    <w:p w:rsidR="00124C37" w:rsidRPr="00AD4380" w:rsidRDefault="00124C37" w:rsidP="00124C37">
      <w:pPr>
        <w:rPr>
          <w:sz w:val="20"/>
          <w:szCs w:val="20"/>
          <w:lang w:val="fr-CA"/>
        </w:rPr>
      </w:pPr>
    </w:p>
    <w:p w:rsidR="00124C37" w:rsidRPr="001B157C" w:rsidRDefault="00124C37" w:rsidP="00124C37">
      <w:pPr>
        <w:rPr>
          <w:sz w:val="20"/>
          <w:szCs w:val="20"/>
          <w:u w:val="single"/>
        </w:rPr>
      </w:pPr>
      <w:r w:rsidRPr="001B157C">
        <w:rPr>
          <w:sz w:val="20"/>
          <w:szCs w:val="20"/>
          <w:u w:val="single"/>
        </w:rPr>
        <w:t>CASE SUMMARY</w:t>
      </w:r>
    </w:p>
    <w:p w:rsidR="00124C37" w:rsidRDefault="00124C37" w:rsidP="00124C3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70C8C" w:rsidRPr="000F1B6E" w:rsidTr="00661E92">
        <w:tc>
          <w:tcPr>
            <w:tcW w:w="5000" w:type="pct"/>
            <w:gridSpan w:val="3"/>
          </w:tcPr>
          <w:p w:rsidR="00B70C8C" w:rsidRPr="000F1B6E" w:rsidRDefault="00B70C8C" w:rsidP="00661E92">
            <w:pPr>
              <w:jc w:val="both"/>
              <w:rPr>
                <w:rFonts w:eastAsia="Calibri"/>
                <w:smallCaps/>
                <w:sz w:val="20"/>
              </w:rPr>
            </w:pPr>
            <w:r w:rsidRPr="000F1B6E">
              <w:rPr>
                <w:rFonts w:eastAsia="Calibri"/>
                <w:i/>
                <w:sz w:val="20"/>
              </w:rPr>
              <w:t xml:space="preserve">Canadian Charter of Rights and Freedoms </w:t>
            </w:r>
            <w:r w:rsidRPr="000F1B6E">
              <w:rPr>
                <w:rFonts w:eastAsia="Calibri"/>
                <w:sz w:val="20"/>
              </w:rPr>
              <w:t xml:space="preserve">— Freedom of association — Arbitration Board awarding members of applicant union a series of wage increases for 2006 to 2009 — Parliament subsequently passing </w:t>
            </w:r>
            <w:r w:rsidRPr="000F1B6E">
              <w:rPr>
                <w:rFonts w:eastAsia="Calibri"/>
                <w:i/>
                <w:sz w:val="20"/>
              </w:rPr>
              <w:t>Expenditure Restraint Act</w:t>
            </w:r>
            <w:r w:rsidRPr="000F1B6E">
              <w:rPr>
                <w:rFonts w:eastAsia="Calibri"/>
                <w:sz w:val="20"/>
              </w:rPr>
              <w:t xml:space="preserve"> which nullified wage increase awarded for 2006-2007 fiscal year — Applicants initiating action challenging constitutionality of Act —   Whether Court of Appeal erred in law in finding that impugned provisions of Act not contrary to s. 2(d) of </w:t>
            </w:r>
            <w:r w:rsidRPr="000F1B6E">
              <w:rPr>
                <w:rFonts w:eastAsia="Calibri"/>
                <w:i/>
                <w:sz w:val="20"/>
              </w:rPr>
              <w:t>Charter</w:t>
            </w:r>
            <w:r w:rsidRPr="000F1B6E">
              <w:rPr>
                <w:rFonts w:eastAsia="Calibri"/>
                <w:sz w:val="20"/>
              </w:rPr>
              <w:t xml:space="preserve"> — </w:t>
            </w:r>
            <w:r w:rsidRPr="000F1B6E">
              <w:rPr>
                <w:rFonts w:eastAsia="Calibri"/>
                <w:i/>
                <w:sz w:val="20"/>
              </w:rPr>
              <w:t>Expenditure Restraint Act</w:t>
            </w:r>
            <w:r w:rsidRPr="000F1B6E">
              <w:rPr>
                <w:rFonts w:eastAsia="Calibri"/>
                <w:sz w:val="20"/>
              </w:rPr>
              <w:t>, S.C. 2009, c. 2, s. 16.</w:t>
            </w:r>
          </w:p>
        </w:tc>
      </w:tr>
      <w:tr w:rsidR="00B70C8C" w:rsidRPr="000F1B6E" w:rsidTr="00661E92">
        <w:tc>
          <w:tcPr>
            <w:tcW w:w="5000" w:type="pct"/>
            <w:gridSpan w:val="3"/>
          </w:tcPr>
          <w:p w:rsidR="00B70C8C" w:rsidRPr="000F1B6E" w:rsidRDefault="00B70C8C" w:rsidP="00661E92">
            <w:pPr>
              <w:jc w:val="both"/>
              <w:rPr>
                <w:rFonts w:eastAsia="Calibri"/>
                <w:sz w:val="20"/>
              </w:rPr>
            </w:pPr>
          </w:p>
        </w:tc>
      </w:tr>
      <w:tr w:rsidR="00B70C8C" w:rsidRPr="000F1B6E" w:rsidTr="00661E92">
        <w:tc>
          <w:tcPr>
            <w:tcW w:w="5000" w:type="pct"/>
            <w:gridSpan w:val="3"/>
          </w:tcPr>
          <w:p w:rsidR="00B70C8C" w:rsidRPr="000F1B6E" w:rsidRDefault="00B70C8C" w:rsidP="00661E92">
            <w:pPr>
              <w:tabs>
                <w:tab w:val="left" w:pos="-1200"/>
                <w:tab w:val="left" w:pos="-720"/>
                <w:tab w:val="left" w:pos="720"/>
              </w:tabs>
              <w:jc w:val="both"/>
              <w:rPr>
                <w:rFonts w:eastAsia="Calibri"/>
                <w:bCs/>
                <w:sz w:val="20"/>
                <w:lang w:val="en-GB"/>
              </w:rPr>
            </w:pPr>
            <w:r w:rsidRPr="000F1B6E">
              <w:rPr>
                <w:rFonts w:eastAsia="Calibri"/>
                <w:bCs/>
                <w:sz w:val="20"/>
                <w:lang w:val="en-GB"/>
              </w:rPr>
              <w:t>In response to the global financial crisis that occurred in the fall of 2008 and winter of 2008</w:t>
            </w:r>
            <w:r w:rsidRPr="000F1B6E">
              <w:rPr>
                <w:rFonts w:eastAsia="Calibri"/>
                <w:bCs/>
                <w:sz w:val="20"/>
                <w:lang w:val="en-GB"/>
              </w:rPr>
              <w:noBreakHyphen/>
              <w:t xml:space="preserve">2009, the Government of Canada enacted wage restraint legislation.  The </w:t>
            </w:r>
            <w:r w:rsidRPr="000F1B6E">
              <w:rPr>
                <w:rFonts w:eastAsia="Calibri"/>
                <w:bCs/>
                <w:i/>
                <w:sz w:val="20"/>
                <w:lang w:val="en-GB"/>
              </w:rPr>
              <w:t xml:space="preserve">Expenditure Restraint Act </w:t>
            </w:r>
            <w:r w:rsidRPr="000F1B6E">
              <w:rPr>
                <w:rFonts w:eastAsia="Calibri"/>
                <w:bCs/>
                <w:sz w:val="20"/>
                <w:lang w:val="en-GB"/>
              </w:rPr>
              <w:t xml:space="preserve">had the effect of nullifying much of a 5.2% wage increase for the 2006-2007 fiscal year that had previously been awarded through binding arbitration to federal employees working in naval dockyards on the west coast.  The applicant, the Federal Government Dockyard Trades and Labour Council (“the Council”), is the bargaining agent for those employees. </w:t>
            </w:r>
          </w:p>
          <w:p w:rsidR="00B70C8C" w:rsidRPr="000F1B6E" w:rsidRDefault="00B70C8C" w:rsidP="00661E92">
            <w:pPr>
              <w:tabs>
                <w:tab w:val="left" w:pos="-1200"/>
                <w:tab w:val="left" w:pos="-720"/>
                <w:tab w:val="left" w:pos="720"/>
              </w:tabs>
              <w:jc w:val="both"/>
              <w:rPr>
                <w:rFonts w:eastAsia="Calibri"/>
                <w:bCs/>
                <w:sz w:val="20"/>
                <w:lang w:val="en-GB"/>
              </w:rPr>
            </w:pPr>
          </w:p>
          <w:p w:rsidR="00B70C8C" w:rsidRPr="000F1B6E" w:rsidRDefault="00B70C8C" w:rsidP="00661E92">
            <w:pPr>
              <w:tabs>
                <w:tab w:val="left" w:pos="-1200"/>
                <w:tab w:val="left" w:pos="-720"/>
                <w:tab w:val="left" w:pos="720"/>
              </w:tabs>
              <w:jc w:val="both"/>
              <w:rPr>
                <w:rFonts w:eastAsia="Calibri"/>
                <w:bCs/>
                <w:sz w:val="20"/>
                <w:lang w:val="en-GB"/>
              </w:rPr>
            </w:pPr>
            <w:r w:rsidRPr="000F1B6E">
              <w:rPr>
                <w:rFonts w:eastAsia="Calibri"/>
                <w:bCs/>
                <w:sz w:val="20"/>
                <w:lang w:val="en-GB"/>
              </w:rPr>
              <w:t xml:space="preserve">The Council commenced an action seeking a declaration that the Act is unconstitutional because it breached the freedom of association guaranteed by s. 2(d) of the </w:t>
            </w:r>
            <w:r w:rsidRPr="000F1B6E">
              <w:rPr>
                <w:rFonts w:eastAsia="Calibri"/>
                <w:bCs/>
                <w:i/>
                <w:sz w:val="20"/>
                <w:lang w:val="en-GB"/>
              </w:rPr>
              <w:t>Charter</w:t>
            </w:r>
            <w:r w:rsidRPr="000F1B6E">
              <w:rPr>
                <w:rFonts w:eastAsia="Calibri"/>
                <w:bCs/>
                <w:sz w:val="20"/>
                <w:lang w:val="en-GB"/>
              </w:rPr>
              <w:t>.</w:t>
            </w:r>
          </w:p>
          <w:p w:rsidR="00B70C8C" w:rsidRPr="000F1B6E" w:rsidRDefault="00B70C8C" w:rsidP="00661E92">
            <w:pPr>
              <w:jc w:val="both"/>
              <w:rPr>
                <w:rFonts w:eastAsia="Calibri"/>
                <w:sz w:val="20"/>
              </w:rPr>
            </w:pPr>
          </w:p>
        </w:tc>
      </w:tr>
      <w:tr w:rsidR="00B70C8C" w:rsidRPr="000F1B6E" w:rsidTr="00661E92">
        <w:tc>
          <w:tcPr>
            <w:tcW w:w="2427" w:type="pct"/>
          </w:tcPr>
          <w:p w:rsidR="00B70C8C" w:rsidRPr="000F1B6E" w:rsidRDefault="00B70C8C" w:rsidP="00661E92">
            <w:pPr>
              <w:jc w:val="both"/>
              <w:rPr>
                <w:rFonts w:eastAsia="Calibri"/>
                <w:sz w:val="20"/>
              </w:rPr>
            </w:pPr>
            <w:r w:rsidRPr="000F1B6E">
              <w:rPr>
                <w:rFonts w:eastAsia="Calibri"/>
                <w:sz w:val="20"/>
              </w:rPr>
              <w:t>September 8, 2011</w:t>
            </w:r>
          </w:p>
          <w:p w:rsidR="00B70C8C" w:rsidRPr="000F1B6E" w:rsidRDefault="00B70C8C" w:rsidP="00661E92">
            <w:pPr>
              <w:jc w:val="both"/>
              <w:rPr>
                <w:rFonts w:eastAsia="Calibri"/>
                <w:sz w:val="20"/>
              </w:rPr>
            </w:pPr>
            <w:r w:rsidRPr="000F1B6E">
              <w:rPr>
                <w:rFonts w:eastAsia="Calibri"/>
                <w:sz w:val="20"/>
              </w:rPr>
              <w:t>Supreme Court of British Columbia</w:t>
            </w:r>
          </w:p>
          <w:p w:rsidR="00B70C8C" w:rsidRPr="000F1B6E" w:rsidRDefault="00B70C8C" w:rsidP="00661E92">
            <w:pPr>
              <w:jc w:val="both"/>
              <w:rPr>
                <w:rFonts w:eastAsia="Calibri"/>
                <w:sz w:val="20"/>
              </w:rPr>
            </w:pPr>
            <w:r w:rsidRPr="000F1B6E">
              <w:rPr>
                <w:rFonts w:eastAsia="Calibri"/>
                <w:sz w:val="20"/>
              </w:rPr>
              <w:t>(Harris J.)</w:t>
            </w:r>
          </w:p>
          <w:p w:rsidR="00B70C8C" w:rsidRPr="000F1B6E" w:rsidRDefault="00E42AAB" w:rsidP="00661E92">
            <w:pPr>
              <w:jc w:val="both"/>
              <w:rPr>
                <w:rFonts w:eastAsia="Calibri"/>
                <w:sz w:val="20"/>
              </w:rPr>
            </w:pPr>
            <w:hyperlink r:id="rId24" w:history="1">
              <w:r w:rsidR="00B70C8C" w:rsidRPr="000F1B6E">
                <w:rPr>
                  <w:rFonts w:eastAsia="Calibri"/>
                  <w:color w:val="0000FF"/>
                  <w:sz w:val="20"/>
                  <w:u w:val="single"/>
                </w:rPr>
                <w:t>2011 BCSC 1210</w:t>
              </w:r>
            </w:hyperlink>
          </w:p>
          <w:p w:rsidR="00B70C8C" w:rsidRPr="000F1B6E" w:rsidRDefault="00B70C8C" w:rsidP="00661E92">
            <w:pPr>
              <w:jc w:val="both"/>
              <w:rPr>
                <w:rFonts w:eastAsia="Calibri"/>
                <w:sz w:val="20"/>
              </w:rPr>
            </w:pPr>
          </w:p>
        </w:tc>
        <w:tc>
          <w:tcPr>
            <w:tcW w:w="243" w:type="pct"/>
          </w:tcPr>
          <w:p w:rsidR="00B70C8C" w:rsidRPr="000F1B6E" w:rsidRDefault="00B70C8C" w:rsidP="00661E92">
            <w:pPr>
              <w:jc w:val="both"/>
              <w:rPr>
                <w:rFonts w:eastAsia="Calibri"/>
                <w:sz w:val="20"/>
              </w:rPr>
            </w:pPr>
          </w:p>
        </w:tc>
        <w:tc>
          <w:tcPr>
            <w:tcW w:w="2330" w:type="pct"/>
          </w:tcPr>
          <w:p w:rsidR="00B70C8C" w:rsidRPr="000F1B6E" w:rsidRDefault="00B70C8C" w:rsidP="00661E92">
            <w:pPr>
              <w:jc w:val="both"/>
              <w:rPr>
                <w:rFonts w:eastAsia="Calibri"/>
                <w:sz w:val="20"/>
              </w:rPr>
            </w:pPr>
            <w:r w:rsidRPr="000F1B6E">
              <w:rPr>
                <w:rFonts w:eastAsia="Calibri"/>
                <w:sz w:val="20"/>
              </w:rPr>
              <w:t xml:space="preserve">Action challenging constitutional validity of the </w:t>
            </w:r>
            <w:r w:rsidRPr="000F1B6E">
              <w:rPr>
                <w:rFonts w:eastAsia="Calibri"/>
                <w:i/>
                <w:sz w:val="20"/>
              </w:rPr>
              <w:t>Expenditure Restraint Act</w:t>
            </w:r>
            <w:r w:rsidRPr="000F1B6E">
              <w:rPr>
                <w:rFonts w:eastAsia="Calibri"/>
                <w:sz w:val="20"/>
              </w:rPr>
              <w:t>, dismissed</w:t>
            </w:r>
          </w:p>
          <w:p w:rsidR="00B70C8C" w:rsidRPr="000F1B6E" w:rsidRDefault="00B70C8C" w:rsidP="00661E92">
            <w:pPr>
              <w:jc w:val="both"/>
              <w:rPr>
                <w:rFonts w:eastAsia="Calibri"/>
                <w:sz w:val="20"/>
              </w:rPr>
            </w:pPr>
          </w:p>
        </w:tc>
      </w:tr>
      <w:tr w:rsidR="00B70C8C" w:rsidRPr="000F1B6E" w:rsidTr="00661E92">
        <w:tc>
          <w:tcPr>
            <w:tcW w:w="2427" w:type="pct"/>
          </w:tcPr>
          <w:p w:rsidR="00B70C8C" w:rsidRPr="000F1B6E" w:rsidRDefault="00B70C8C" w:rsidP="00661E92">
            <w:pPr>
              <w:jc w:val="both"/>
              <w:rPr>
                <w:rFonts w:eastAsia="Calibri"/>
                <w:sz w:val="20"/>
              </w:rPr>
            </w:pPr>
            <w:r w:rsidRPr="000F1B6E">
              <w:rPr>
                <w:rFonts w:eastAsia="Calibri"/>
                <w:sz w:val="20"/>
              </w:rPr>
              <w:t>August 19, 2013</w:t>
            </w:r>
          </w:p>
          <w:p w:rsidR="00B70C8C" w:rsidRPr="000F1B6E" w:rsidRDefault="00B70C8C" w:rsidP="00661E92">
            <w:pPr>
              <w:jc w:val="both"/>
              <w:rPr>
                <w:rFonts w:eastAsia="Calibri"/>
                <w:sz w:val="20"/>
              </w:rPr>
            </w:pPr>
            <w:r w:rsidRPr="000F1B6E">
              <w:rPr>
                <w:rFonts w:eastAsia="Calibri"/>
                <w:sz w:val="20"/>
              </w:rPr>
              <w:t xml:space="preserve">Court of Appeal for British Columbia </w:t>
            </w:r>
          </w:p>
          <w:p w:rsidR="00B70C8C" w:rsidRPr="000F1B6E" w:rsidRDefault="00B70C8C" w:rsidP="00661E92">
            <w:pPr>
              <w:jc w:val="both"/>
              <w:rPr>
                <w:rFonts w:eastAsia="Calibri"/>
                <w:sz w:val="20"/>
              </w:rPr>
            </w:pPr>
            <w:r w:rsidRPr="000F1B6E">
              <w:rPr>
                <w:rFonts w:eastAsia="Calibri"/>
                <w:sz w:val="20"/>
              </w:rPr>
              <w:t>(Victoria)</w:t>
            </w:r>
          </w:p>
          <w:p w:rsidR="00B70C8C" w:rsidRPr="000F1B6E" w:rsidRDefault="00B70C8C" w:rsidP="00661E92">
            <w:pPr>
              <w:jc w:val="both"/>
              <w:rPr>
                <w:rFonts w:eastAsia="Calibri"/>
                <w:sz w:val="20"/>
              </w:rPr>
            </w:pPr>
            <w:r w:rsidRPr="000F1B6E">
              <w:rPr>
                <w:rFonts w:eastAsia="Calibri"/>
                <w:sz w:val="20"/>
              </w:rPr>
              <w:t>(Saunders, Kirkpatrick and Garson JJ.A.)</w:t>
            </w:r>
          </w:p>
          <w:p w:rsidR="00B70C8C" w:rsidRPr="000F1B6E" w:rsidRDefault="00E42AAB" w:rsidP="00661E92">
            <w:pPr>
              <w:jc w:val="both"/>
              <w:rPr>
                <w:rFonts w:eastAsia="Calibri"/>
                <w:sz w:val="20"/>
              </w:rPr>
            </w:pPr>
            <w:hyperlink r:id="rId25" w:history="1">
              <w:r w:rsidR="00B70C8C" w:rsidRPr="000F1B6E">
                <w:rPr>
                  <w:rFonts w:eastAsia="Calibri"/>
                  <w:color w:val="0000FF"/>
                  <w:sz w:val="20"/>
                  <w:u w:val="single"/>
                </w:rPr>
                <w:t>2013 BCCA 371</w:t>
              </w:r>
            </w:hyperlink>
          </w:p>
          <w:p w:rsidR="00B70C8C" w:rsidRPr="000F1B6E" w:rsidRDefault="00B70C8C" w:rsidP="00661E92">
            <w:pPr>
              <w:jc w:val="both"/>
              <w:rPr>
                <w:rFonts w:eastAsia="Calibri"/>
                <w:sz w:val="20"/>
              </w:rPr>
            </w:pPr>
          </w:p>
        </w:tc>
        <w:tc>
          <w:tcPr>
            <w:tcW w:w="243" w:type="pct"/>
          </w:tcPr>
          <w:p w:rsidR="00B70C8C" w:rsidRPr="000F1B6E" w:rsidRDefault="00B70C8C" w:rsidP="00661E92">
            <w:pPr>
              <w:jc w:val="both"/>
              <w:rPr>
                <w:rFonts w:eastAsia="Calibri"/>
                <w:sz w:val="20"/>
              </w:rPr>
            </w:pPr>
          </w:p>
        </w:tc>
        <w:tc>
          <w:tcPr>
            <w:tcW w:w="2330" w:type="pct"/>
          </w:tcPr>
          <w:p w:rsidR="00B70C8C" w:rsidRPr="000F1B6E" w:rsidRDefault="00B70C8C" w:rsidP="00661E92">
            <w:pPr>
              <w:jc w:val="both"/>
              <w:rPr>
                <w:rFonts w:eastAsia="Calibri"/>
                <w:sz w:val="20"/>
              </w:rPr>
            </w:pPr>
            <w:r w:rsidRPr="000F1B6E">
              <w:rPr>
                <w:rFonts w:eastAsia="Calibri"/>
                <w:sz w:val="20"/>
              </w:rPr>
              <w:t>Appeal dismissed</w:t>
            </w:r>
          </w:p>
          <w:p w:rsidR="00B70C8C" w:rsidRPr="000F1B6E" w:rsidRDefault="00B70C8C" w:rsidP="00661E92">
            <w:pPr>
              <w:jc w:val="both"/>
              <w:rPr>
                <w:rFonts w:eastAsia="Calibri"/>
                <w:sz w:val="20"/>
              </w:rPr>
            </w:pPr>
          </w:p>
        </w:tc>
      </w:tr>
      <w:tr w:rsidR="00B70C8C" w:rsidRPr="000F1B6E" w:rsidTr="00661E92">
        <w:tc>
          <w:tcPr>
            <w:tcW w:w="2427" w:type="pct"/>
          </w:tcPr>
          <w:p w:rsidR="00B70C8C" w:rsidRPr="000F1B6E" w:rsidRDefault="00B70C8C" w:rsidP="00661E92">
            <w:pPr>
              <w:jc w:val="both"/>
              <w:rPr>
                <w:rFonts w:eastAsia="Calibri"/>
                <w:sz w:val="20"/>
              </w:rPr>
            </w:pPr>
            <w:r w:rsidRPr="000F1B6E">
              <w:rPr>
                <w:rFonts w:eastAsia="Calibri"/>
                <w:sz w:val="20"/>
              </w:rPr>
              <w:t>October 3, 2013</w:t>
            </w:r>
          </w:p>
          <w:p w:rsidR="00B70C8C" w:rsidRPr="000F1B6E" w:rsidRDefault="00B70C8C" w:rsidP="00661E92">
            <w:pPr>
              <w:jc w:val="both"/>
              <w:rPr>
                <w:rFonts w:eastAsia="Calibri"/>
                <w:sz w:val="20"/>
              </w:rPr>
            </w:pPr>
            <w:r w:rsidRPr="000F1B6E">
              <w:rPr>
                <w:rFonts w:eastAsia="Calibri"/>
                <w:sz w:val="20"/>
              </w:rPr>
              <w:t>Supreme Court of Canada</w:t>
            </w:r>
          </w:p>
          <w:p w:rsidR="00B70C8C" w:rsidRPr="000F1B6E" w:rsidRDefault="00B70C8C" w:rsidP="00661E92">
            <w:pPr>
              <w:jc w:val="both"/>
              <w:rPr>
                <w:rFonts w:eastAsia="Calibri"/>
                <w:sz w:val="20"/>
              </w:rPr>
            </w:pPr>
          </w:p>
        </w:tc>
        <w:tc>
          <w:tcPr>
            <w:tcW w:w="243" w:type="pct"/>
          </w:tcPr>
          <w:p w:rsidR="00B70C8C" w:rsidRPr="000F1B6E" w:rsidRDefault="00B70C8C" w:rsidP="00661E92">
            <w:pPr>
              <w:jc w:val="both"/>
              <w:rPr>
                <w:rFonts w:eastAsia="Calibri"/>
                <w:sz w:val="20"/>
              </w:rPr>
            </w:pPr>
          </w:p>
        </w:tc>
        <w:tc>
          <w:tcPr>
            <w:tcW w:w="2330" w:type="pct"/>
          </w:tcPr>
          <w:p w:rsidR="00B70C8C" w:rsidRPr="000F1B6E" w:rsidRDefault="00B70C8C" w:rsidP="00661E92">
            <w:pPr>
              <w:jc w:val="both"/>
              <w:rPr>
                <w:rFonts w:eastAsia="Calibri"/>
                <w:sz w:val="20"/>
              </w:rPr>
            </w:pPr>
            <w:r w:rsidRPr="000F1B6E">
              <w:rPr>
                <w:rFonts w:eastAsia="Calibri"/>
                <w:sz w:val="20"/>
              </w:rPr>
              <w:t>Motion to abridge time and application for leave to appeal, filed</w:t>
            </w:r>
          </w:p>
        </w:tc>
      </w:tr>
      <w:tr w:rsidR="00B70C8C" w:rsidRPr="000F1B6E" w:rsidTr="00661E92">
        <w:tc>
          <w:tcPr>
            <w:tcW w:w="2427" w:type="pct"/>
          </w:tcPr>
          <w:p w:rsidR="00B70C8C" w:rsidRPr="000F1B6E" w:rsidRDefault="00B70C8C" w:rsidP="00661E92">
            <w:pPr>
              <w:jc w:val="both"/>
              <w:rPr>
                <w:rFonts w:eastAsia="Calibri"/>
                <w:sz w:val="20"/>
              </w:rPr>
            </w:pPr>
            <w:r w:rsidRPr="000F1B6E">
              <w:rPr>
                <w:rFonts w:eastAsia="Calibri"/>
                <w:sz w:val="20"/>
              </w:rPr>
              <w:t>October 15, 2013</w:t>
            </w:r>
          </w:p>
          <w:p w:rsidR="00B70C8C" w:rsidRPr="000F1B6E" w:rsidRDefault="00B70C8C" w:rsidP="00661E92">
            <w:pPr>
              <w:jc w:val="both"/>
              <w:rPr>
                <w:rFonts w:eastAsia="Calibri"/>
                <w:sz w:val="20"/>
              </w:rPr>
            </w:pPr>
            <w:r w:rsidRPr="000F1B6E">
              <w:rPr>
                <w:rFonts w:eastAsia="Calibri"/>
                <w:sz w:val="20"/>
              </w:rPr>
              <w:t>Supreme Court of Canada</w:t>
            </w:r>
          </w:p>
          <w:p w:rsidR="00B70C8C" w:rsidRPr="000F1B6E" w:rsidRDefault="00B70C8C" w:rsidP="00661E92">
            <w:pPr>
              <w:jc w:val="both"/>
              <w:rPr>
                <w:rFonts w:eastAsia="Calibri"/>
                <w:sz w:val="20"/>
              </w:rPr>
            </w:pPr>
            <w:r w:rsidRPr="000F1B6E">
              <w:rPr>
                <w:rFonts w:eastAsia="Calibri"/>
                <w:sz w:val="20"/>
              </w:rPr>
              <w:t>(Karakatsanis J.)</w:t>
            </w:r>
          </w:p>
        </w:tc>
        <w:tc>
          <w:tcPr>
            <w:tcW w:w="243" w:type="pct"/>
          </w:tcPr>
          <w:p w:rsidR="00B70C8C" w:rsidRPr="000F1B6E" w:rsidRDefault="00B70C8C" w:rsidP="00661E92">
            <w:pPr>
              <w:jc w:val="both"/>
              <w:rPr>
                <w:rFonts w:eastAsia="Calibri"/>
                <w:sz w:val="20"/>
              </w:rPr>
            </w:pPr>
          </w:p>
        </w:tc>
        <w:tc>
          <w:tcPr>
            <w:tcW w:w="2330" w:type="pct"/>
          </w:tcPr>
          <w:p w:rsidR="00B70C8C" w:rsidRPr="000F1B6E" w:rsidRDefault="00B70C8C" w:rsidP="00661E92">
            <w:pPr>
              <w:jc w:val="both"/>
              <w:rPr>
                <w:rFonts w:eastAsia="Calibri"/>
                <w:sz w:val="20"/>
              </w:rPr>
            </w:pPr>
            <w:r w:rsidRPr="000F1B6E">
              <w:rPr>
                <w:rFonts w:eastAsia="Calibri"/>
                <w:sz w:val="20"/>
              </w:rPr>
              <w:t>Motion to abridge time, dismissed</w:t>
            </w:r>
          </w:p>
        </w:tc>
      </w:tr>
    </w:tbl>
    <w:p w:rsidR="00124C37" w:rsidRPr="00B70C8C" w:rsidRDefault="00124C37" w:rsidP="00124C37">
      <w:pPr>
        <w:rPr>
          <w:sz w:val="20"/>
          <w:szCs w:val="20"/>
        </w:rPr>
      </w:pPr>
    </w:p>
    <w:p w:rsidR="00124C37" w:rsidRPr="00C50A5C" w:rsidRDefault="00E42AAB" w:rsidP="00124C37">
      <w:pPr>
        <w:rPr>
          <w:sz w:val="20"/>
          <w:szCs w:val="20"/>
        </w:rPr>
      </w:pPr>
      <w:r>
        <w:rPr>
          <w:sz w:val="20"/>
          <w:szCs w:val="20"/>
          <w:lang w:val="fr-CA"/>
        </w:rPr>
        <w:pict>
          <v:rect id="_x0000_i1047" style="width:2in;height:1pt" o:hrpct="0" o:hralign="center" o:hrstd="t" o:hrnoshade="t" o:hr="t" fillcolor="black [3213]" stroked="f"/>
        </w:pict>
      </w:r>
    </w:p>
    <w:p w:rsidR="00124C37" w:rsidRDefault="00124C37" w:rsidP="00124C37">
      <w:pPr>
        <w:rPr>
          <w:sz w:val="20"/>
          <w:szCs w:val="20"/>
        </w:rPr>
      </w:pPr>
    </w:p>
    <w:p w:rsidR="00124C37" w:rsidRPr="001B157C" w:rsidRDefault="00124C37" w:rsidP="00124C37">
      <w:pPr>
        <w:rPr>
          <w:sz w:val="20"/>
          <w:szCs w:val="20"/>
          <w:u w:val="single"/>
          <w:lang w:val="fr-CA"/>
        </w:rPr>
      </w:pPr>
      <w:r w:rsidRPr="001B157C">
        <w:rPr>
          <w:sz w:val="20"/>
          <w:szCs w:val="20"/>
          <w:u w:val="single"/>
          <w:lang w:val="fr-CA"/>
        </w:rPr>
        <w:t>RÉSUMÉ DE L’AFFAIRE</w:t>
      </w:r>
    </w:p>
    <w:p w:rsidR="00124C37" w:rsidRDefault="00124C37" w:rsidP="00124C3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70C8C" w:rsidRPr="00E42AAB" w:rsidTr="00661E92">
        <w:tc>
          <w:tcPr>
            <w:tcW w:w="5000" w:type="pct"/>
            <w:gridSpan w:val="3"/>
          </w:tcPr>
          <w:p w:rsidR="00B70C8C" w:rsidRPr="000F1B6E" w:rsidRDefault="00B70C8C" w:rsidP="00661E92">
            <w:pPr>
              <w:jc w:val="both"/>
              <w:rPr>
                <w:rFonts w:eastAsia="Calibri"/>
                <w:smallCaps/>
                <w:sz w:val="20"/>
                <w:lang w:val="fr-CA"/>
              </w:rPr>
            </w:pPr>
            <w:r w:rsidRPr="000F1B6E">
              <w:rPr>
                <w:rFonts w:eastAsia="Calibri"/>
                <w:i/>
                <w:sz w:val="20"/>
                <w:lang w:val="fr-CA"/>
              </w:rPr>
              <w:lastRenderedPageBreak/>
              <w:t xml:space="preserve">Charte canadienne des droits et libertés </w:t>
            </w:r>
            <w:r w:rsidRPr="000F1B6E">
              <w:rPr>
                <w:rFonts w:eastAsia="Calibri"/>
                <w:sz w:val="20"/>
                <w:lang w:val="fr-CA"/>
              </w:rPr>
              <w:t>— Liberté d'association — La commission d'arbitrage a accordé aux membres du syndicat demandeur une série d'augmentations de salaires pour les années 2006 à 2009 — Le Parlement a adopté par la suite la</w:t>
            </w:r>
            <w:r w:rsidRPr="000F1B6E">
              <w:rPr>
                <w:rFonts w:eastAsia="Calibri"/>
                <w:i/>
                <w:sz w:val="20"/>
                <w:lang w:val="fr-CA"/>
              </w:rPr>
              <w:t xml:space="preserve"> Loi sur le contrôle des dépenses </w:t>
            </w:r>
            <w:r w:rsidRPr="000F1B6E">
              <w:rPr>
                <w:rFonts w:eastAsia="Calibri"/>
                <w:sz w:val="20"/>
                <w:lang w:val="fr-CA"/>
              </w:rPr>
              <w:t>qui a eu pour effet d'annuler l'augmentation des salaires accordée pour l'exercice 2006-2007 — Les demandeurs ont intenté une action contestant la constitutionnalité de la loi — La Cour d'appel a-t-elle commis une erreur de droit en concluant que les dispositions contestées de la loi n'étaient pas contraires à l'al. 2</w:t>
            </w:r>
            <w:r w:rsidRPr="000F1B6E">
              <w:rPr>
                <w:rFonts w:eastAsia="Calibri"/>
                <w:i/>
                <w:sz w:val="20"/>
                <w:lang w:val="fr-CA"/>
              </w:rPr>
              <w:t>d)</w:t>
            </w:r>
            <w:r w:rsidRPr="000F1B6E">
              <w:rPr>
                <w:rFonts w:eastAsia="Calibri"/>
                <w:sz w:val="20"/>
                <w:lang w:val="fr-CA"/>
              </w:rPr>
              <w:t xml:space="preserve"> de la </w:t>
            </w:r>
            <w:r w:rsidRPr="000F1B6E">
              <w:rPr>
                <w:rFonts w:eastAsia="Calibri"/>
                <w:i/>
                <w:sz w:val="20"/>
                <w:lang w:val="fr-CA"/>
              </w:rPr>
              <w:t>Charte</w:t>
            </w:r>
            <w:r w:rsidRPr="000F1B6E">
              <w:rPr>
                <w:rFonts w:eastAsia="Calibri"/>
                <w:sz w:val="20"/>
                <w:lang w:val="fr-CA"/>
              </w:rPr>
              <w:t xml:space="preserve">? — </w:t>
            </w:r>
            <w:r w:rsidRPr="000F1B6E">
              <w:rPr>
                <w:rFonts w:eastAsia="Calibri"/>
                <w:i/>
                <w:sz w:val="20"/>
                <w:lang w:val="fr-CA"/>
              </w:rPr>
              <w:t>Loi sur le contrôle des dépenses</w:t>
            </w:r>
            <w:r w:rsidRPr="000F1B6E">
              <w:rPr>
                <w:rFonts w:eastAsia="Calibri"/>
                <w:sz w:val="20"/>
                <w:lang w:val="fr-CA"/>
              </w:rPr>
              <w:t>, L.C. 2009, ch. 2, art. 16.</w:t>
            </w:r>
          </w:p>
        </w:tc>
      </w:tr>
      <w:tr w:rsidR="00B70C8C" w:rsidRPr="00E42AAB" w:rsidTr="00661E92">
        <w:tc>
          <w:tcPr>
            <w:tcW w:w="5000" w:type="pct"/>
            <w:gridSpan w:val="3"/>
          </w:tcPr>
          <w:p w:rsidR="00B70C8C" w:rsidRPr="000F1B6E" w:rsidRDefault="00B70C8C" w:rsidP="00661E92">
            <w:pPr>
              <w:jc w:val="both"/>
              <w:rPr>
                <w:rFonts w:eastAsia="Calibri"/>
                <w:sz w:val="20"/>
                <w:lang w:val="fr-CA"/>
              </w:rPr>
            </w:pPr>
          </w:p>
        </w:tc>
      </w:tr>
      <w:tr w:rsidR="00B70C8C" w:rsidRPr="000F1B6E" w:rsidTr="00661E92">
        <w:tc>
          <w:tcPr>
            <w:tcW w:w="5000" w:type="pct"/>
            <w:gridSpan w:val="3"/>
          </w:tcPr>
          <w:p w:rsidR="00B70C8C" w:rsidRPr="000F1B6E" w:rsidRDefault="00B70C8C" w:rsidP="00661E92">
            <w:pPr>
              <w:tabs>
                <w:tab w:val="left" w:pos="-1200"/>
                <w:tab w:val="left" w:pos="-720"/>
                <w:tab w:val="left" w:pos="720"/>
              </w:tabs>
              <w:jc w:val="both"/>
              <w:rPr>
                <w:rFonts w:eastAsia="Calibri"/>
                <w:bCs/>
                <w:sz w:val="20"/>
                <w:lang w:val="fr-CA"/>
              </w:rPr>
            </w:pPr>
            <w:r w:rsidRPr="000F1B6E">
              <w:rPr>
                <w:rFonts w:eastAsia="Calibri"/>
                <w:bCs/>
                <w:sz w:val="20"/>
                <w:lang w:val="fr-CA"/>
              </w:rPr>
              <w:t>En réponse à la crise financière mondiale qui s'est produite à l'automne 2008 et à l'hiver 2008</w:t>
            </w:r>
            <w:r w:rsidRPr="000F1B6E">
              <w:rPr>
                <w:rFonts w:eastAsia="Calibri"/>
                <w:bCs/>
                <w:sz w:val="20"/>
                <w:lang w:val="fr-CA"/>
              </w:rPr>
              <w:noBreakHyphen/>
              <w:t xml:space="preserve">2009, le gouvernement a édicté une loi sur le contrôle des salaires.  La </w:t>
            </w:r>
            <w:r w:rsidRPr="000F1B6E">
              <w:rPr>
                <w:rFonts w:eastAsia="Calibri"/>
                <w:bCs/>
                <w:i/>
                <w:sz w:val="20"/>
                <w:lang w:val="fr-CA"/>
              </w:rPr>
              <w:t>Loi sur le contrôle des dépenses</w:t>
            </w:r>
            <w:r w:rsidRPr="000F1B6E">
              <w:rPr>
                <w:rFonts w:eastAsia="Calibri"/>
                <w:bCs/>
                <w:sz w:val="20"/>
                <w:lang w:val="fr-CA"/>
              </w:rPr>
              <w:t xml:space="preserve"> a eu pour effet d’annuler une bonne partie de l'augmentation des salaires de 5,2 % pour l'exercice 2006-2007 qui avait été accordée précédemment par arbitrage obligatoire aux employés fédéraux qui travaillaient dans les chantiers maritimes de la côte ouest.  Le demandeur, le Conseil des métiers et du travail des chantiers maritimes du gouvernement fédéral (« le Conseil »), est l'agent négociateur de ces employés. </w:t>
            </w:r>
          </w:p>
          <w:p w:rsidR="00B70C8C" w:rsidRPr="000F1B6E" w:rsidRDefault="00B70C8C" w:rsidP="00661E92">
            <w:pPr>
              <w:tabs>
                <w:tab w:val="left" w:pos="-1200"/>
                <w:tab w:val="left" w:pos="-720"/>
                <w:tab w:val="left" w:pos="720"/>
              </w:tabs>
              <w:jc w:val="both"/>
              <w:rPr>
                <w:rFonts w:eastAsia="Calibri"/>
                <w:bCs/>
                <w:sz w:val="20"/>
                <w:lang w:val="fr-CA"/>
              </w:rPr>
            </w:pPr>
          </w:p>
          <w:p w:rsidR="00B70C8C" w:rsidRPr="000F1B6E" w:rsidRDefault="00B70C8C" w:rsidP="00661E92">
            <w:pPr>
              <w:tabs>
                <w:tab w:val="left" w:pos="-1200"/>
                <w:tab w:val="left" w:pos="-720"/>
                <w:tab w:val="left" w:pos="720"/>
              </w:tabs>
              <w:jc w:val="both"/>
              <w:rPr>
                <w:rFonts w:eastAsia="Calibri"/>
                <w:bCs/>
                <w:sz w:val="20"/>
                <w:lang w:val="fr-CA"/>
              </w:rPr>
            </w:pPr>
            <w:r w:rsidRPr="000F1B6E">
              <w:rPr>
                <w:rFonts w:eastAsia="Calibri"/>
                <w:bCs/>
                <w:sz w:val="20"/>
                <w:lang w:val="fr-CA"/>
              </w:rPr>
              <w:t>Le Conseil a intenté une action pour obtenir un jugement déclarant que la Loi était inconstitutionnelle parce qu'elle portait atteinte à la liberté d'association garantie par l'al. 2</w:t>
            </w:r>
            <w:r w:rsidRPr="000F1B6E">
              <w:rPr>
                <w:rFonts w:eastAsia="Calibri"/>
                <w:bCs/>
                <w:i/>
                <w:sz w:val="20"/>
                <w:lang w:val="fr-CA"/>
              </w:rPr>
              <w:t>d)</w:t>
            </w:r>
            <w:r w:rsidRPr="000F1B6E">
              <w:rPr>
                <w:rFonts w:eastAsia="Calibri"/>
                <w:bCs/>
                <w:sz w:val="20"/>
                <w:lang w:val="fr-CA"/>
              </w:rPr>
              <w:t xml:space="preserve"> de la </w:t>
            </w:r>
            <w:r w:rsidRPr="000F1B6E">
              <w:rPr>
                <w:rFonts w:eastAsia="Calibri"/>
                <w:bCs/>
                <w:i/>
                <w:sz w:val="20"/>
                <w:lang w:val="fr-CA"/>
              </w:rPr>
              <w:t>Charte</w:t>
            </w:r>
            <w:r w:rsidRPr="000F1B6E">
              <w:rPr>
                <w:rFonts w:eastAsia="Calibri"/>
                <w:bCs/>
                <w:sz w:val="20"/>
                <w:lang w:val="fr-CA"/>
              </w:rPr>
              <w:t>.</w:t>
            </w:r>
          </w:p>
          <w:p w:rsidR="00B70C8C" w:rsidRPr="000F1B6E" w:rsidRDefault="00B70C8C" w:rsidP="00661E92">
            <w:pPr>
              <w:jc w:val="both"/>
              <w:rPr>
                <w:rFonts w:eastAsia="Calibri"/>
                <w:sz w:val="20"/>
                <w:lang w:val="fr-CA"/>
              </w:rPr>
            </w:pPr>
          </w:p>
        </w:tc>
      </w:tr>
      <w:tr w:rsidR="00B70C8C" w:rsidRPr="00E42AAB" w:rsidTr="00661E92">
        <w:tc>
          <w:tcPr>
            <w:tcW w:w="2427" w:type="pct"/>
          </w:tcPr>
          <w:p w:rsidR="00B70C8C" w:rsidRPr="000F1B6E" w:rsidRDefault="00B70C8C" w:rsidP="00661E92">
            <w:pPr>
              <w:jc w:val="both"/>
              <w:rPr>
                <w:rFonts w:eastAsia="Calibri"/>
                <w:sz w:val="20"/>
                <w:lang w:val="fr-CA"/>
              </w:rPr>
            </w:pPr>
            <w:r w:rsidRPr="000F1B6E">
              <w:rPr>
                <w:rFonts w:eastAsia="Calibri"/>
                <w:sz w:val="20"/>
                <w:lang w:val="fr-CA"/>
              </w:rPr>
              <w:t>8 septembre 2011</w:t>
            </w:r>
          </w:p>
          <w:p w:rsidR="00B70C8C" w:rsidRPr="000F1B6E" w:rsidRDefault="00B70C8C" w:rsidP="00661E92">
            <w:pPr>
              <w:jc w:val="both"/>
              <w:rPr>
                <w:rFonts w:eastAsia="Calibri"/>
                <w:sz w:val="20"/>
                <w:lang w:val="fr-CA"/>
              </w:rPr>
            </w:pPr>
            <w:r w:rsidRPr="000F1B6E">
              <w:rPr>
                <w:rFonts w:eastAsia="Calibri"/>
                <w:sz w:val="20"/>
                <w:lang w:val="fr-CA"/>
              </w:rPr>
              <w:t>Cour suprême de la Colombie-Britannique</w:t>
            </w:r>
          </w:p>
          <w:p w:rsidR="00B70C8C" w:rsidRPr="000F1B6E" w:rsidRDefault="00B70C8C" w:rsidP="00661E92">
            <w:pPr>
              <w:jc w:val="both"/>
              <w:rPr>
                <w:rFonts w:eastAsia="Calibri"/>
                <w:sz w:val="20"/>
                <w:lang w:val="fr-CA"/>
              </w:rPr>
            </w:pPr>
            <w:r w:rsidRPr="000F1B6E">
              <w:rPr>
                <w:rFonts w:eastAsia="Calibri"/>
                <w:sz w:val="20"/>
                <w:lang w:val="fr-CA"/>
              </w:rPr>
              <w:t>(Juge Harris)</w:t>
            </w:r>
          </w:p>
          <w:p w:rsidR="00B70C8C" w:rsidRPr="000F1B6E" w:rsidRDefault="00E42AAB" w:rsidP="00661E92">
            <w:pPr>
              <w:jc w:val="both"/>
              <w:rPr>
                <w:rFonts w:eastAsia="Calibri"/>
                <w:sz w:val="20"/>
                <w:lang w:val="fr-CA"/>
              </w:rPr>
            </w:pPr>
            <w:hyperlink r:id="rId26" w:history="1">
              <w:r w:rsidR="00B70C8C" w:rsidRPr="000F1B6E">
                <w:rPr>
                  <w:rFonts w:eastAsia="Calibri"/>
                  <w:color w:val="0000FF"/>
                  <w:sz w:val="20"/>
                  <w:u w:val="single"/>
                  <w:lang w:val="fr-CA"/>
                </w:rPr>
                <w:t>2011 BCSC 1210</w:t>
              </w:r>
            </w:hyperlink>
          </w:p>
          <w:p w:rsidR="00B70C8C" w:rsidRPr="000F1B6E" w:rsidRDefault="00B70C8C" w:rsidP="00661E92">
            <w:pPr>
              <w:jc w:val="both"/>
              <w:rPr>
                <w:rFonts w:eastAsia="Calibri"/>
                <w:sz w:val="20"/>
                <w:lang w:val="fr-CA"/>
              </w:rPr>
            </w:pPr>
          </w:p>
        </w:tc>
        <w:tc>
          <w:tcPr>
            <w:tcW w:w="243" w:type="pct"/>
          </w:tcPr>
          <w:p w:rsidR="00B70C8C" w:rsidRPr="000F1B6E" w:rsidRDefault="00B70C8C" w:rsidP="00661E92">
            <w:pPr>
              <w:jc w:val="both"/>
              <w:rPr>
                <w:rFonts w:eastAsia="Calibri"/>
                <w:sz w:val="20"/>
                <w:lang w:val="fr-CA"/>
              </w:rPr>
            </w:pPr>
          </w:p>
        </w:tc>
        <w:tc>
          <w:tcPr>
            <w:tcW w:w="2330" w:type="pct"/>
          </w:tcPr>
          <w:p w:rsidR="00B70C8C" w:rsidRPr="000F1B6E" w:rsidRDefault="00B70C8C" w:rsidP="00661E92">
            <w:pPr>
              <w:jc w:val="both"/>
              <w:rPr>
                <w:rFonts w:eastAsia="Calibri"/>
                <w:sz w:val="20"/>
                <w:lang w:val="fr-CA"/>
              </w:rPr>
            </w:pPr>
            <w:r w:rsidRPr="000F1B6E">
              <w:rPr>
                <w:rFonts w:eastAsia="Calibri"/>
                <w:sz w:val="20"/>
                <w:lang w:val="fr-CA"/>
              </w:rPr>
              <w:t>Action contestant la validité constitutionnelle de la</w:t>
            </w:r>
            <w:r w:rsidRPr="000F1B6E">
              <w:rPr>
                <w:rFonts w:eastAsia="Calibri"/>
                <w:i/>
                <w:sz w:val="20"/>
                <w:lang w:val="fr-CA"/>
              </w:rPr>
              <w:t xml:space="preserve"> Loi sur le contrôle des dépenses</w:t>
            </w:r>
            <w:r w:rsidRPr="000F1B6E">
              <w:rPr>
                <w:rFonts w:eastAsia="Calibri"/>
                <w:sz w:val="20"/>
                <w:lang w:val="fr-CA"/>
              </w:rPr>
              <w:t>, rejetée</w:t>
            </w:r>
          </w:p>
          <w:p w:rsidR="00B70C8C" w:rsidRPr="000F1B6E" w:rsidRDefault="00B70C8C" w:rsidP="00661E92">
            <w:pPr>
              <w:jc w:val="both"/>
              <w:rPr>
                <w:rFonts w:eastAsia="Calibri"/>
                <w:sz w:val="20"/>
                <w:lang w:val="fr-CA"/>
              </w:rPr>
            </w:pPr>
          </w:p>
        </w:tc>
      </w:tr>
      <w:tr w:rsidR="00B70C8C" w:rsidRPr="000F1B6E" w:rsidTr="00661E92">
        <w:tc>
          <w:tcPr>
            <w:tcW w:w="2427" w:type="pct"/>
          </w:tcPr>
          <w:p w:rsidR="00B70C8C" w:rsidRPr="000F1B6E" w:rsidRDefault="00B70C8C" w:rsidP="00661E92">
            <w:pPr>
              <w:jc w:val="both"/>
              <w:rPr>
                <w:rFonts w:eastAsia="Calibri"/>
                <w:sz w:val="20"/>
                <w:lang w:val="fr-CA"/>
              </w:rPr>
            </w:pPr>
            <w:r w:rsidRPr="000F1B6E">
              <w:rPr>
                <w:rFonts w:eastAsia="Calibri"/>
                <w:sz w:val="20"/>
                <w:lang w:val="fr-CA"/>
              </w:rPr>
              <w:t>19 août 2013</w:t>
            </w:r>
          </w:p>
          <w:p w:rsidR="00B70C8C" w:rsidRPr="000F1B6E" w:rsidRDefault="00B70C8C" w:rsidP="00661E92">
            <w:pPr>
              <w:jc w:val="both"/>
              <w:rPr>
                <w:rFonts w:eastAsia="Calibri"/>
                <w:sz w:val="20"/>
                <w:lang w:val="fr-CA"/>
              </w:rPr>
            </w:pPr>
            <w:r w:rsidRPr="000F1B6E">
              <w:rPr>
                <w:rFonts w:eastAsia="Calibri"/>
                <w:sz w:val="20"/>
                <w:lang w:val="fr-CA"/>
              </w:rPr>
              <w:t>Cour d'appel de la Colombie-Britannique</w:t>
            </w:r>
          </w:p>
          <w:p w:rsidR="00B70C8C" w:rsidRPr="000F1B6E" w:rsidRDefault="00B70C8C" w:rsidP="00661E92">
            <w:pPr>
              <w:jc w:val="both"/>
              <w:rPr>
                <w:rFonts w:eastAsia="Calibri"/>
                <w:sz w:val="20"/>
                <w:lang w:val="fr-CA"/>
              </w:rPr>
            </w:pPr>
            <w:r w:rsidRPr="000F1B6E">
              <w:rPr>
                <w:rFonts w:eastAsia="Calibri"/>
                <w:sz w:val="20"/>
                <w:lang w:val="fr-CA"/>
              </w:rPr>
              <w:t>(Victoria)</w:t>
            </w:r>
          </w:p>
          <w:p w:rsidR="00B70C8C" w:rsidRPr="000F1B6E" w:rsidRDefault="00B70C8C" w:rsidP="00661E92">
            <w:pPr>
              <w:jc w:val="both"/>
              <w:rPr>
                <w:rFonts w:eastAsia="Calibri"/>
                <w:sz w:val="20"/>
                <w:lang w:val="fr-CA"/>
              </w:rPr>
            </w:pPr>
            <w:r w:rsidRPr="000F1B6E">
              <w:rPr>
                <w:rFonts w:eastAsia="Calibri"/>
                <w:sz w:val="20"/>
                <w:lang w:val="fr-CA"/>
              </w:rPr>
              <w:t>(Juges Saunders, Kirkpatrick et Garson)</w:t>
            </w:r>
          </w:p>
          <w:p w:rsidR="00B70C8C" w:rsidRPr="000F1B6E" w:rsidRDefault="00E42AAB" w:rsidP="00661E92">
            <w:pPr>
              <w:jc w:val="both"/>
              <w:rPr>
                <w:rFonts w:eastAsia="Calibri"/>
                <w:sz w:val="20"/>
                <w:lang w:val="fr-CA"/>
              </w:rPr>
            </w:pPr>
            <w:hyperlink r:id="rId27" w:history="1">
              <w:r w:rsidR="00B70C8C" w:rsidRPr="000F1B6E">
                <w:rPr>
                  <w:rFonts w:eastAsia="Calibri"/>
                  <w:color w:val="0000FF"/>
                  <w:sz w:val="20"/>
                  <w:u w:val="single"/>
                  <w:lang w:val="fr-CA"/>
                </w:rPr>
                <w:t>2013 BCCA 371</w:t>
              </w:r>
            </w:hyperlink>
          </w:p>
          <w:p w:rsidR="00B70C8C" w:rsidRPr="000F1B6E" w:rsidRDefault="00B70C8C" w:rsidP="00661E92">
            <w:pPr>
              <w:jc w:val="both"/>
              <w:rPr>
                <w:rFonts w:eastAsia="Calibri"/>
                <w:sz w:val="20"/>
                <w:lang w:val="fr-CA"/>
              </w:rPr>
            </w:pPr>
          </w:p>
        </w:tc>
        <w:tc>
          <w:tcPr>
            <w:tcW w:w="243" w:type="pct"/>
          </w:tcPr>
          <w:p w:rsidR="00B70C8C" w:rsidRPr="000F1B6E" w:rsidRDefault="00B70C8C" w:rsidP="00661E92">
            <w:pPr>
              <w:jc w:val="both"/>
              <w:rPr>
                <w:rFonts w:eastAsia="Calibri"/>
                <w:sz w:val="20"/>
                <w:lang w:val="fr-CA"/>
              </w:rPr>
            </w:pPr>
          </w:p>
        </w:tc>
        <w:tc>
          <w:tcPr>
            <w:tcW w:w="2330" w:type="pct"/>
          </w:tcPr>
          <w:p w:rsidR="00B70C8C" w:rsidRPr="000F1B6E" w:rsidRDefault="00B70C8C" w:rsidP="00661E92">
            <w:pPr>
              <w:jc w:val="both"/>
              <w:rPr>
                <w:rFonts w:eastAsia="Calibri"/>
                <w:sz w:val="20"/>
                <w:lang w:val="fr-CA"/>
              </w:rPr>
            </w:pPr>
            <w:r w:rsidRPr="000F1B6E">
              <w:rPr>
                <w:rFonts w:eastAsia="Calibri"/>
                <w:sz w:val="20"/>
                <w:lang w:val="fr-CA"/>
              </w:rPr>
              <w:t>Appel rejeté</w:t>
            </w:r>
          </w:p>
          <w:p w:rsidR="00B70C8C" w:rsidRPr="000F1B6E" w:rsidRDefault="00B70C8C" w:rsidP="00661E92">
            <w:pPr>
              <w:jc w:val="both"/>
              <w:rPr>
                <w:rFonts w:eastAsia="Calibri"/>
                <w:sz w:val="20"/>
                <w:lang w:val="fr-CA"/>
              </w:rPr>
            </w:pPr>
          </w:p>
        </w:tc>
      </w:tr>
      <w:tr w:rsidR="00B70C8C" w:rsidRPr="00E42AAB" w:rsidTr="00661E92">
        <w:tc>
          <w:tcPr>
            <w:tcW w:w="2427" w:type="pct"/>
          </w:tcPr>
          <w:p w:rsidR="00B70C8C" w:rsidRPr="000F1B6E" w:rsidRDefault="00B70C8C" w:rsidP="00661E92">
            <w:pPr>
              <w:jc w:val="both"/>
              <w:rPr>
                <w:rFonts w:eastAsia="Calibri"/>
                <w:sz w:val="20"/>
                <w:lang w:val="fr-CA"/>
              </w:rPr>
            </w:pPr>
            <w:r w:rsidRPr="000F1B6E">
              <w:rPr>
                <w:rFonts w:eastAsia="Calibri"/>
                <w:sz w:val="20"/>
                <w:lang w:val="fr-CA"/>
              </w:rPr>
              <w:t>3 octobre 2013</w:t>
            </w:r>
          </w:p>
          <w:p w:rsidR="00B70C8C" w:rsidRPr="000F1B6E" w:rsidRDefault="00B70C8C" w:rsidP="00661E92">
            <w:pPr>
              <w:jc w:val="both"/>
              <w:rPr>
                <w:rFonts w:eastAsia="Calibri"/>
                <w:sz w:val="20"/>
                <w:lang w:val="fr-CA"/>
              </w:rPr>
            </w:pPr>
            <w:r w:rsidRPr="000F1B6E">
              <w:rPr>
                <w:rFonts w:eastAsia="Calibri"/>
                <w:sz w:val="20"/>
                <w:lang w:val="fr-CA"/>
              </w:rPr>
              <w:t>Cour suprême du Canada</w:t>
            </w:r>
          </w:p>
          <w:p w:rsidR="00B70C8C" w:rsidRPr="000F1B6E" w:rsidRDefault="00B70C8C" w:rsidP="00661E92">
            <w:pPr>
              <w:jc w:val="both"/>
              <w:rPr>
                <w:rFonts w:eastAsia="Calibri"/>
                <w:sz w:val="20"/>
                <w:lang w:val="fr-CA"/>
              </w:rPr>
            </w:pPr>
          </w:p>
        </w:tc>
        <w:tc>
          <w:tcPr>
            <w:tcW w:w="243" w:type="pct"/>
          </w:tcPr>
          <w:p w:rsidR="00B70C8C" w:rsidRPr="000F1B6E" w:rsidRDefault="00B70C8C" w:rsidP="00661E92">
            <w:pPr>
              <w:jc w:val="both"/>
              <w:rPr>
                <w:rFonts w:eastAsia="Calibri"/>
                <w:sz w:val="20"/>
                <w:lang w:val="fr-CA"/>
              </w:rPr>
            </w:pPr>
          </w:p>
        </w:tc>
        <w:tc>
          <w:tcPr>
            <w:tcW w:w="2330" w:type="pct"/>
          </w:tcPr>
          <w:p w:rsidR="00B70C8C" w:rsidRPr="000F1B6E" w:rsidRDefault="00B70C8C" w:rsidP="00661E92">
            <w:pPr>
              <w:jc w:val="both"/>
              <w:rPr>
                <w:rFonts w:eastAsia="Calibri"/>
                <w:sz w:val="20"/>
                <w:lang w:val="fr-CA"/>
              </w:rPr>
            </w:pPr>
            <w:r w:rsidRPr="000F1B6E">
              <w:rPr>
                <w:rFonts w:eastAsia="Calibri"/>
                <w:sz w:val="20"/>
                <w:lang w:val="fr-CA"/>
              </w:rPr>
              <w:t>Requête en abrègement de délai et demande d'autorisation d'appel, déposées</w:t>
            </w:r>
          </w:p>
        </w:tc>
      </w:tr>
      <w:tr w:rsidR="00B70C8C" w:rsidRPr="00E42AAB" w:rsidTr="00661E92">
        <w:tc>
          <w:tcPr>
            <w:tcW w:w="2427" w:type="pct"/>
          </w:tcPr>
          <w:p w:rsidR="00B70C8C" w:rsidRPr="000F1B6E" w:rsidRDefault="00B70C8C" w:rsidP="00661E92">
            <w:pPr>
              <w:jc w:val="both"/>
              <w:rPr>
                <w:rFonts w:eastAsia="Calibri"/>
                <w:sz w:val="20"/>
                <w:lang w:val="fr-CA"/>
              </w:rPr>
            </w:pPr>
            <w:r w:rsidRPr="000F1B6E">
              <w:rPr>
                <w:rFonts w:eastAsia="Calibri"/>
                <w:sz w:val="20"/>
                <w:lang w:val="fr-CA"/>
              </w:rPr>
              <w:t>15 octobre 2013</w:t>
            </w:r>
          </w:p>
          <w:p w:rsidR="00B70C8C" w:rsidRPr="000F1B6E" w:rsidRDefault="00B70C8C" w:rsidP="00661E92">
            <w:pPr>
              <w:jc w:val="both"/>
              <w:rPr>
                <w:rFonts w:eastAsia="Calibri"/>
                <w:sz w:val="20"/>
                <w:lang w:val="fr-CA"/>
              </w:rPr>
            </w:pPr>
            <w:r w:rsidRPr="000F1B6E">
              <w:rPr>
                <w:rFonts w:eastAsia="Calibri"/>
                <w:sz w:val="20"/>
                <w:lang w:val="fr-CA"/>
              </w:rPr>
              <w:t>Cour suprême du Canada</w:t>
            </w:r>
          </w:p>
          <w:p w:rsidR="00B70C8C" w:rsidRPr="000F1B6E" w:rsidRDefault="00B70C8C" w:rsidP="00661E92">
            <w:pPr>
              <w:jc w:val="both"/>
              <w:rPr>
                <w:rFonts w:eastAsia="Calibri"/>
                <w:sz w:val="20"/>
                <w:lang w:val="fr-CA"/>
              </w:rPr>
            </w:pPr>
            <w:r w:rsidRPr="000F1B6E">
              <w:rPr>
                <w:rFonts w:eastAsia="Calibri"/>
                <w:sz w:val="20"/>
                <w:lang w:val="fr-CA"/>
              </w:rPr>
              <w:t>(Juge Karakatsanis)</w:t>
            </w:r>
          </w:p>
        </w:tc>
        <w:tc>
          <w:tcPr>
            <w:tcW w:w="243" w:type="pct"/>
          </w:tcPr>
          <w:p w:rsidR="00B70C8C" w:rsidRPr="000F1B6E" w:rsidRDefault="00B70C8C" w:rsidP="00661E92">
            <w:pPr>
              <w:jc w:val="both"/>
              <w:rPr>
                <w:rFonts w:eastAsia="Calibri"/>
                <w:sz w:val="20"/>
                <w:lang w:val="fr-CA"/>
              </w:rPr>
            </w:pPr>
          </w:p>
        </w:tc>
        <w:tc>
          <w:tcPr>
            <w:tcW w:w="2330" w:type="pct"/>
          </w:tcPr>
          <w:p w:rsidR="00B70C8C" w:rsidRPr="000F1B6E" w:rsidRDefault="00B70C8C" w:rsidP="00661E92">
            <w:pPr>
              <w:jc w:val="both"/>
              <w:rPr>
                <w:rFonts w:eastAsia="Calibri"/>
                <w:sz w:val="20"/>
                <w:lang w:val="fr-CA"/>
              </w:rPr>
            </w:pPr>
            <w:r w:rsidRPr="000F1B6E">
              <w:rPr>
                <w:rFonts w:eastAsia="Calibri"/>
                <w:sz w:val="20"/>
                <w:lang w:val="fr-CA"/>
              </w:rPr>
              <w:t>Requête en abrègement de délai, rejetée</w:t>
            </w:r>
          </w:p>
        </w:tc>
      </w:tr>
    </w:tbl>
    <w:p w:rsidR="00124C37" w:rsidRPr="00B70C8C" w:rsidRDefault="00124C37" w:rsidP="00124C37">
      <w:pPr>
        <w:rPr>
          <w:sz w:val="20"/>
          <w:szCs w:val="20"/>
          <w:lang w:val="fr-CA"/>
        </w:rPr>
      </w:pPr>
    </w:p>
    <w:p w:rsidR="00124C37" w:rsidRDefault="00E42AAB" w:rsidP="00124C37">
      <w:pPr>
        <w:rPr>
          <w:sz w:val="20"/>
          <w:szCs w:val="20"/>
        </w:rPr>
      </w:pPr>
      <w:r>
        <w:rPr>
          <w:sz w:val="20"/>
          <w:szCs w:val="20"/>
          <w:lang w:val="fr-CA"/>
        </w:rPr>
        <w:pict>
          <v:rect id="_x0000_i1048" style="width:2in;height:1pt" o:hrpct="0" o:hralign="center" o:hrstd="t" o:hrnoshade="t" o:hr="t" fillcolor="black [3213]" stroked="f"/>
        </w:pict>
      </w:r>
    </w:p>
    <w:p w:rsidR="00124C37" w:rsidRDefault="00124C37" w:rsidP="00124C37">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AD4380" w:rsidRPr="00E7075A" w:rsidTr="00C64462">
        <w:trPr>
          <w:cantSplit/>
        </w:trPr>
        <w:tc>
          <w:tcPr>
            <w:tcW w:w="1458" w:type="dxa"/>
          </w:tcPr>
          <w:p w:rsidR="00AD4380" w:rsidRPr="00E7075A" w:rsidRDefault="00AD4380" w:rsidP="00C64462">
            <w:pPr>
              <w:rPr>
                <w:sz w:val="20"/>
                <w:szCs w:val="20"/>
              </w:rPr>
            </w:pPr>
            <w:r w:rsidRPr="00E7075A">
              <w:rPr>
                <w:rStyle w:val="SCCFileNumberChar"/>
                <w:sz w:val="20"/>
                <w:szCs w:val="20"/>
              </w:rPr>
              <w:t>35775</w:t>
            </w:r>
          </w:p>
          <w:p w:rsidR="00AD4380" w:rsidRPr="00E7075A" w:rsidRDefault="00AD4380" w:rsidP="00C64462">
            <w:pPr>
              <w:rPr>
                <w:b/>
                <w:sz w:val="20"/>
                <w:szCs w:val="20"/>
                <w:lang w:val="fr-CA"/>
              </w:rPr>
            </w:pPr>
          </w:p>
        </w:tc>
        <w:tc>
          <w:tcPr>
            <w:tcW w:w="8118" w:type="dxa"/>
          </w:tcPr>
          <w:p w:rsidR="00AD4380" w:rsidRPr="00E7075A" w:rsidRDefault="00AD4380" w:rsidP="00C64462">
            <w:pPr>
              <w:rPr>
                <w:sz w:val="20"/>
                <w:szCs w:val="20"/>
              </w:rPr>
            </w:pPr>
            <w:r w:rsidRPr="00AD4380">
              <w:rPr>
                <w:rStyle w:val="SCCLsocChar"/>
                <w:sz w:val="20"/>
                <w:szCs w:val="20"/>
                <w:lang w:val="en-CA"/>
              </w:rPr>
              <w:t>Darryl James Wilcox v. Her Majesty the Queen</w:t>
            </w:r>
            <w:r w:rsidRPr="00E7075A">
              <w:rPr>
                <w:sz w:val="20"/>
                <w:szCs w:val="20"/>
              </w:rPr>
              <w:t xml:space="preserve"> (B.C.) (Criminal) (By Leave)</w:t>
            </w:r>
          </w:p>
          <w:p w:rsidR="00AD4380" w:rsidRPr="00E7075A" w:rsidRDefault="00AD4380" w:rsidP="00C64462">
            <w:pPr>
              <w:rPr>
                <w:sz w:val="20"/>
                <w:szCs w:val="20"/>
              </w:rPr>
            </w:pPr>
          </w:p>
        </w:tc>
      </w:tr>
      <w:tr w:rsidR="00AD4380" w:rsidRPr="00E7075A" w:rsidTr="00C64462">
        <w:trPr>
          <w:cantSplit/>
        </w:trPr>
        <w:tc>
          <w:tcPr>
            <w:tcW w:w="1458" w:type="dxa"/>
          </w:tcPr>
          <w:p w:rsidR="00AD4380" w:rsidRPr="00E7075A" w:rsidRDefault="00AD4380" w:rsidP="00C64462">
            <w:pPr>
              <w:rPr>
                <w:sz w:val="20"/>
                <w:szCs w:val="20"/>
              </w:rPr>
            </w:pPr>
            <w:r w:rsidRPr="00E7075A">
              <w:rPr>
                <w:sz w:val="20"/>
                <w:szCs w:val="20"/>
              </w:rPr>
              <w:t>Coram :</w:t>
            </w:r>
          </w:p>
        </w:tc>
        <w:tc>
          <w:tcPr>
            <w:tcW w:w="8118" w:type="dxa"/>
          </w:tcPr>
          <w:p w:rsidR="00AD4380" w:rsidRPr="00E7075A" w:rsidRDefault="00AD4380" w:rsidP="00C64462">
            <w:pPr>
              <w:rPr>
                <w:sz w:val="20"/>
                <w:szCs w:val="20"/>
              </w:rPr>
            </w:pPr>
            <w:r w:rsidRPr="00AD4380">
              <w:rPr>
                <w:rStyle w:val="SCCCoramChar"/>
                <w:sz w:val="20"/>
                <w:szCs w:val="20"/>
                <w:lang w:val="en-CA"/>
              </w:rPr>
              <w:t>Abella, Karakatsanis and Wagner JJ.</w:t>
            </w:r>
          </w:p>
          <w:p w:rsidR="00AD4380" w:rsidRPr="00E7075A" w:rsidRDefault="00AD4380" w:rsidP="00C64462">
            <w:pPr>
              <w:rPr>
                <w:sz w:val="20"/>
                <w:szCs w:val="20"/>
                <w:u w:val="single"/>
              </w:rPr>
            </w:pPr>
          </w:p>
        </w:tc>
      </w:tr>
      <w:tr w:rsidR="00AD4380" w:rsidRPr="0025502E" w:rsidTr="00C64462">
        <w:trPr>
          <w:cantSplit/>
        </w:trPr>
        <w:tc>
          <w:tcPr>
            <w:tcW w:w="9576" w:type="dxa"/>
            <w:gridSpan w:val="2"/>
          </w:tcPr>
          <w:p w:rsidR="00AD4380" w:rsidRPr="00E7075A" w:rsidRDefault="00AD4380" w:rsidP="00C64462">
            <w:pPr>
              <w:pStyle w:val="SCCShortJudgment"/>
              <w:rPr>
                <w:szCs w:val="20"/>
              </w:rPr>
            </w:pPr>
            <w:r w:rsidRPr="00E7075A">
              <w:rPr>
                <w:szCs w:val="20"/>
              </w:rPr>
              <w:lastRenderedPageBreak/>
              <w:t>The motion for an extension of time to serve and file the application for leave to appeal is granted. The application for leave to appeal from the judgment of the Court of Appeal for British Columbia (Vancouver), Number CA040207, 2014 BCCA 65, dated February 18, 2014, is dismissed without costs.</w:t>
            </w:r>
          </w:p>
          <w:p w:rsidR="00AD4380" w:rsidRPr="00E7075A" w:rsidRDefault="00AD4380" w:rsidP="00C64462">
            <w:pPr>
              <w:pStyle w:val="SCCShortJudgment"/>
              <w:ind w:firstLine="0"/>
              <w:rPr>
                <w:szCs w:val="20"/>
              </w:rPr>
            </w:pPr>
          </w:p>
          <w:p w:rsidR="00AD4380" w:rsidRPr="00E7075A" w:rsidRDefault="00AD4380" w:rsidP="00C64462">
            <w:pPr>
              <w:pStyle w:val="SCCShortJudgment"/>
              <w:rPr>
                <w:szCs w:val="20"/>
                <w:lang w:val="fr-CA"/>
              </w:rPr>
            </w:pPr>
            <w:r w:rsidRPr="00E7075A">
              <w:rPr>
                <w:szCs w:val="20"/>
                <w:lang w:val="fr-CA"/>
              </w:rPr>
              <w:t>La requête en prorogation du délai de signification et de dépôt de la demande d’autorisation d’appel est accueillie. La demande d’autorisation d’appel de l’arrêt de la Cour d’appel de la Colombie-Britannique (Vancouver), numéro CA040207, 2014 BCCA 65, daté du 18 février 2014, est rejetée sans dépens.</w:t>
            </w:r>
          </w:p>
        </w:tc>
      </w:tr>
    </w:tbl>
    <w:p w:rsidR="00124C37" w:rsidRPr="00AD4380" w:rsidRDefault="00124C37" w:rsidP="000E2959">
      <w:pPr>
        <w:rPr>
          <w:sz w:val="20"/>
          <w:szCs w:val="20"/>
          <w:lang w:val="fr-CA"/>
        </w:rPr>
      </w:pPr>
    </w:p>
    <w:p w:rsidR="00124C37" w:rsidRPr="001B157C" w:rsidRDefault="00124C37" w:rsidP="00124C37">
      <w:pPr>
        <w:rPr>
          <w:sz w:val="20"/>
          <w:szCs w:val="20"/>
          <w:u w:val="single"/>
        </w:rPr>
      </w:pPr>
      <w:r w:rsidRPr="001B157C">
        <w:rPr>
          <w:sz w:val="20"/>
          <w:szCs w:val="20"/>
          <w:u w:val="single"/>
        </w:rPr>
        <w:t>CASE SUMMARY</w:t>
      </w:r>
    </w:p>
    <w:p w:rsidR="00124C37" w:rsidRDefault="00124C37" w:rsidP="00124C3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61E92" w:rsidRPr="000F1B6E" w:rsidTr="00661E92">
        <w:tc>
          <w:tcPr>
            <w:tcW w:w="5000" w:type="pct"/>
            <w:gridSpan w:val="3"/>
          </w:tcPr>
          <w:p w:rsidR="00661E92" w:rsidRPr="000F1B6E" w:rsidRDefault="00661E92" w:rsidP="00661E92">
            <w:pPr>
              <w:jc w:val="both"/>
              <w:rPr>
                <w:rFonts w:eastAsia="Calibri"/>
                <w:sz w:val="20"/>
              </w:rPr>
            </w:pPr>
            <w:r w:rsidRPr="000F1B6E">
              <w:rPr>
                <w:rFonts w:eastAsia="Calibri"/>
                <w:sz w:val="20"/>
              </w:rPr>
              <w:t xml:space="preserve">Criminal law </w:t>
            </w:r>
            <w:r w:rsidRPr="000F1B6E">
              <w:rPr>
                <w:rFonts w:eastAsia="Calibri"/>
                <w:smallCaps/>
                <w:sz w:val="20"/>
              </w:rPr>
              <w:t xml:space="preserve">— </w:t>
            </w:r>
            <w:r w:rsidRPr="000F1B6E">
              <w:rPr>
                <w:rFonts w:eastAsia="Calibri"/>
                <w:sz w:val="20"/>
              </w:rPr>
              <w:t xml:space="preserve">Evidence </w:t>
            </w:r>
            <w:r w:rsidRPr="000F1B6E">
              <w:rPr>
                <w:rFonts w:eastAsia="Calibri"/>
                <w:smallCaps/>
                <w:sz w:val="20"/>
              </w:rPr>
              <w:t xml:space="preserve">— </w:t>
            </w:r>
            <w:r w:rsidRPr="000F1B6E">
              <w:rPr>
                <w:rFonts w:eastAsia="Calibri"/>
                <w:sz w:val="20"/>
              </w:rPr>
              <w:t xml:space="preserve">Admissibility </w:t>
            </w:r>
            <w:r w:rsidRPr="000F1B6E">
              <w:rPr>
                <w:rFonts w:eastAsia="Calibri"/>
                <w:smallCaps/>
                <w:sz w:val="20"/>
              </w:rPr>
              <w:t xml:space="preserve">— </w:t>
            </w:r>
            <w:r w:rsidRPr="000F1B6E">
              <w:rPr>
                <w:rFonts w:eastAsia="Calibri"/>
                <w:sz w:val="20"/>
              </w:rPr>
              <w:t xml:space="preserve">Whether the Court of Appeal had a duty to raise the obvious issue of whether the trial judge erred by failing to apply the </w:t>
            </w:r>
            <w:r w:rsidRPr="000F1B6E">
              <w:rPr>
                <w:rFonts w:eastAsia="Calibri"/>
                <w:i/>
                <w:sz w:val="20"/>
              </w:rPr>
              <w:t>R. v. W.(D.)</w:t>
            </w:r>
            <w:r w:rsidRPr="000F1B6E">
              <w:rPr>
                <w:rFonts w:eastAsia="Calibri"/>
                <w:sz w:val="20"/>
              </w:rPr>
              <w:t xml:space="preserve">, [1991] 1 S.C.R. 742 framework and impermissibly pitting the evidence of the defence against the evidence of the Crown as a credibility contest </w:t>
            </w:r>
            <w:r w:rsidRPr="000F1B6E">
              <w:rPr>
                <w:rFonts w:eastAsia="Calibri"/>
                <w:smallCaps/>
                <w:sz w:val="20"/>
              </w:rPr>
              <w:t xml:space="preserve">— </w:t>
            </w:r>
            <w:r w:rsidRPr="000F1B6E">
              <w:rPr>
                <w:rFonts w:eastAsia="Calibri"/>
                <w:sz w:val="20"/>
              </w:rPr>
              <w:t xml:space="preserve">Whether the Court of Appeal erred by failing to find that the trial judge shifted the burden of proof, especially since this Court released the decision of </w:t>
            </w:r>
            <w:r w:rsidRPr="000F1B6E">
              <w:rPr>
                <w:rFonts w:eastAsia="Calibri"/>
                <w:i/>
                <w:sz w:val="20"/>
              </w:rPr>
              <w:t>R. v. Sekhon</w:t>
            </w:r>
            <w:r w:rsidRPr="000F1B6E">
              <w:rPr>
                <w:rFonts w:eastAsia="Calibri"/>
                <w:sz w:val="20"/>
              </w:rPr>
              <w:t>, 2014 SCC 15, two days after the Court of Appeal dismissed the applicant’s appeal.</w:t>
            </w:r>
          </w:p>
        </w:tc>
      </w:tr>
      <w:tr w:rsidR="00661E92" w:rsidRPr="000F1B6E" w:rsidTr="00661E92">
        <w:tc>
          <w:tcPr>
            <w:tcW w:w="5000" w:type="pct"/>
            <w:gridSpan w:val="3"/>
          </w:tcPr>
          <w:p w:rsidR="00661E92" w:rsidRPr="000F1B6E" w:rsidRDefault="00661E92" w:rsidP="00661E92">
            <w:pPr>
              <w:jc w:val="both"/>
              <w:rPr>
                <w:rFonts w:eastAsia="Calibri"/>
                <w:sz w:val="20"/>
              </w:rPr>
            </w:pPr>
          </w:p>
        </w:tc>
      </w:tr>
      <w:tr w:rsidR="00661E92" w:rsidRPr="000F1B6E" w:rsidTr="00661E92">
        <w:tc>
          <w:tcPr>
            <w:tcW w:w="5000" w:type="pct"/>
            <w:gridSpan w:val="3"/>
          </w:tcPr>
          <w:p w:rsidR="00661E92" w:rsidRPr="000F1B6E" w:rsidRDefault="00661E92" w:rsidP="00661E92">
            <w:pPr>
              <w:jc w:val="both"/>
              <w:rPr>
                <w:rFonts w:eastAsia="Calibri"/>
                <w:sz w:val="20"/>
              </w:rPr>
            </w:pPr>
            <w:r w:rsidRPr="000F1B6E">
              <w:rPr>
                <w:rFonts w:eastAsia="Calibri"/>
                <w:sz w:val="20"/>
              </w:rPr>
              <w:t>One kilogram of cocaine was in the applicant’s vehicle and the remaining 17 kilograms were in the nearby vehicle of another person.  The trial judge found that the applicant had just delivered the 17 kilograms to the other person.  The applicant was convicted of possession of cocaine for the purpose of trafficking.  The conviction appeal was dismissed.  The application to reopen the conviction appeal was refused.</w:t>
            </w:r>
          </w:p>
          <w:p w:rsidR="00661E92" w:rsidRPr="000F1B6E" w:rsidRDefault="00661E92" w:rsidP="00661E92">
            <w:pPr>
              <w:jc w:val="both"/>
              <w:rPr>
                <w:rFonts w:eastAsia="Calibri"/>
                <w:sz w:val="20"/>
              </w:rPr>
            </w:pPr>
          </w:p>
        </w:tc>
      </w:tr>
      <w:tr w:rsidR="00661E92" w:rsidRPr="000F1B6E" w:rsidTr="00661E92">
        <w:tc>
          <w:tcPr>
            <w:tcW w:w="2427" w:type="pct"/>
          </w:tcPr>
          <w:p w:rsidR="00661E92" w:rsidRPr="000F1B6E" w:rsidRDefault="00661E92" w:rsidP="00661E92">
            <w:pPr>
              <w:jc w:val="both"/>
              <w:rPr>
                <w:rFonts w:eastAsia="Calibri"/>
                <w:sz w:val="20"/>
              </w:rPr>
            </w:pPr>
            <w:r w:rsidRPr="000F1B6E">
              <w:rPr>
                <w:rFonts w:eastAsia="Calibri"/>
                <w:sz w:val="20"/>
              </w:rPr>
              <w:t>June 14, 2012</w:t>
            </w:r>
          </w:p>
          <w:p w:rsidR="00661E92" w:rsidRPr="000F1B6E" w:rsidRDefault="00661E92" w:rsidP="00661E92">
            <w:pPr>
              <w:jc w:val="both"/>
              <w:rPr>
                <w:rFonts w:eastAsia="Calibri"/>
                <w:sz w:val="20"/>
              </w:rPr>
            </w:pPr>
            <w:r w:rsidRPr="000F1B6E">
              <w:rPr>
                <w:rFonts w:eastAsia="Calibri"/>
                <w:sz w:val="20"/>
              </w:rPr>
              <w:t>Supreme Court of British Columbia</w:t>
            </w:r>
          </w:p>
          <w:p w:rsidR="00661E92" w:rsidRPr="000F1B6E" w:rsidRDefault="00661E92" w:rsidP="00661E92">
            <w:pPr>
              <w:jc w:val="both"/>
              <w:rPr>
                <w:rFonts w:eastAsia="Calibri"/>
                <w:sz w:val="20"/>
              </w:rPr>
            </w:pPr>
            <w:r w:rsidRPr="000F1B6E">
              <w:rPr>
                <w:rFonts w:eastAsia="Calibri"/>
                <w:sz w:val="20"/>
              </w:rPr>
              <w:t>(McEwan J.)</w:t>
            </w:r>
          </w:p>
          <w:p w:rsidR="00661E92" w:rsidRPr="000F1B6E" w:rsidRDefault="00661E92" w:rsidP="00661E92">
            <w:pPr>
              <w:jc w:val="both"/>
              <w:rPr>
                <w:rFonts w:eastAsia="Calibri"/>
                <w:sz w:val="20"/>
              </w:rPr>
            </w:pPr>
            <w:r w:rsidRPr="000F1B6E">
              <w:rPr>
                <w:rFonts w:eastAsia="Calibri"/>
                <w:sz w:val="20"/>
              </w:rPr>
              <w:t>2012 BCSC 884</w:t>
            </w:r>
          </w:p>
          <w:p w:rsidR="00661E92" w:rsidRPr="000F1B6E" w:rsidRDefault="00E42AAB" w:rsidP="00661E92">
            <w:pPr>
              <w:jc w:val="both"/>
              <w:rPr>
                <w:rFonts w:eastAsia="Calibri"/>
                <w:sz w:val="20"/>
              </w:rPr>
            </w:pPr>
            <w:hyperlink r:id="rId28" w:history="1">
              <w:r w:rsidR="00661E92" w:rsidRPr="000F1B6E">
                <w:rPr>
                  <w:rFonts w:eastAsia="Calibri"/>
                  <w:sz w:val="20"/>
                </w:rPr>
                <w:t>http://canlii.ca/t/ftsss</w:t>
              </w:r>
            </w:hyperlink>
          </w:p>
          <w:p w:rsidR="00661E92" w:rsidRPr="000F1B6E" w:rsidRDefault="00661E92" w:rsidP="00661E92">
            <w:pPr>
              <w:jc w:val="both"/>
              <w:rPr>
                <w:rFonts w:eastAsia="Calibri"/>
                <w:sz w:val="20"/>
              </w:rPr>
            </w:pPr>
          </w:p>
        </w:tc>
        <w:tc>
          <w:tcPr>
            <w:tcW w:w="243" w:type="pct"/>
          </w:tcPr>
          <w:p w:rsidR="00661E92" w:rsidRPr="000F1B6E" w:rsidRDefault="00661E92" w:rsidP="00661E92">
            <w:pPr>
              <w:jc w:val="both"/>
              <w:rPr>
                <w:rFonts w:eastAsia="Calibri"/>
                <w:sz w:val="20"/>
              </w:rPr>
            </w:pPr>
          </w:p>
        </w:tc>
        <w:tc>
          <w:tcPr>
            <w:tcW w:w="2330" w:type="pct"/>
          </w:tcPr>
          <w:p w:rsidR="00661E92" w:rsidRPr="000F1B6E" w:rsidRDefault="00661E92" w:rsidP="00661E92">
            <w:pPr>
              <w:jc w:val="both"/>
              <w:rPr>
                <w:rFonts w:eastAsia="Calibri"/>
                <w:sz w:val="20"/>
              </w:rPr>
            </w:pPr>
            <w:r w:rsidRPr="000F1B6E">
              <w:rPr>
                <w:rFonts w:eastAsia="Calibri"/>
                <w:sz w:val="20"/>
              </w:rPr>
              <w:t>Conviction:  possession of cocaine for the purpose of trafficking</w:t>
            </w:r>
          </w:p>
          <w:p w:rsidR="00661E92" w:rsidRPr="000F1B6E" w:rsidRDefault="00661E92" w:rsidP="00661E92">
            <w:pPr>
              <w:jc w:val="both"/>
              <w:rPr>
                <w:rFonts w:eastAsia="Calibri"/>
                <w:sz w:val="20"/>
              </w:rPr>
            </w:pPr>
          </w:p>
        </w:tc>
      </w:tr>
      <w:tr w:rsidR="00661E92" w:rsidRPr="000F1B6E" w:rsidTr="00661E92">
        <w:tc>
          <w:tcPr>
            <w:tcW w:w="2427" w:type="pct"/>
          </w:tcPr>
          <w:p w:rsidR="00661E92" w:rsidRPr="000F1B6E" w:rsidRDefault="00661E92" w:rsidP="00661E92">
            <w:pPr>
              <w:jc w:val="both"/>
              <w:rPr>
                <w:rFonts w:eastAsia="Calibri"/>
                <w:sz w:val="20"/>
              </w:rPr>
            </w:pPr>
            <w:r w:rsidRPr="000F1B6E">
              <w:rPr>
                <w:rFonts w:eastAsia="Calibri"/>
                <w:sz w:val="20"/>
              </w:rPr>
              <w:t>February 18, 2014</w:t>
            </w:r>
          </w:p>
          <w:p w:rsidR="00661E92" w:rsidRPr="000F1B6E" w:rsidRDefault="00661E92" w:rsidP="00661E92">
            <w:pPr>
              <w:jc w:val="both"/>
              <w:rPr>
                <w:rFonts w:eastAsia="Calibri"/>
                <w:sz w:val="20"/>
              </w:rPr>
            </w:pPr>
            <w:r w:rsidRPr="000F1B6E">
              <w:rPr>
                <w:rFonts w:eastAsia="Calibri"/>
                <w:sz w:val="20"/>
              </w:rPr>
              <w:t xml:space="preserve">Court of Appeal for British Columbia </w:t>
            </w:r>
          </w:p>
          <w:p w:rsidR="00661E92" w:rsidRPr="000F1B6E" w:rsidRDefault="00661E92" w:rsidP="00661E92">
            <w:pPr>
              <w:jc w:val="both"/>
              <w:rPr>
                <w:rFonts w:eastAsia="Calibri"/>
                <w:sz w:val="20"/>
              </w:rPr>
            </w:pPr>
            <w:r w:rsidRPr="000F1B6E">
              <w:rPr>
                <w:rFonts w:eastAsia="Calibri"/>
                <w:sz w:val="20"/>
              </w:rPr>
              <w:t>(Vancouver)</w:t>
            </w:r>
          </w:p>
          <w:p w:rsidR="00661E92" w:rsidRPr="000F1B6E" w:rsidRDefault="00661E92" w:rsidP="00661E92">
            <w:pPr>
              <w:jc w:val="both"/>
              <w:rPr>
                <w:rFonts w:eastAsia="Calibri"/>
                <w:sz w:val="20"/>
              </w:rPr>
            </w:pPr>
            <w:r w:rsidRPr="000F1B6E">
              <w:rPr>
                <w:rFonts w:eastAsia="Calibri"/>
                <w:sz w:val="20"/>
              </w:rPr>
              <w:t>(Kirkpatrick, Frankel, Goepel JJ.A.)</w:t>
            </w:r>
          </w:p>
          <w:p w:rsidR="00661E92" w:rsidRPr="000F1B6E" w:rsidRDefault="00661E92" w:rsidP="00661E92">
            <w:pPr>
              <w:jc w:val="both"/>
              <w:rPr>
                <w:rFonts w:eastAsia="Calibri"/>
                <w:sz w:val="20"/>
              </w:rPr>
            </w:pPr>
            <w:r w:rsidRPr="000F1B6E">
              <w:rPr>
                <w:rFonts w:eastAsia="Calibri"/>
                <w:sz w:val="20"/>
              </w:rPr>
              <w:t>2014 BCCA 65; CA040207</w:t>
            </w:r>
          </w:p>
          <w:p w:rsidR="00661E92" w:rsidRPr="000F1B6E" w:rsidRDefault="00E42AAB" w:rsidP="00661E92">
            <w:pPr>
              <w:jc w:val="both"/>
              <w:rPr>
                <w:rFonts w:eastAsia="Calibri"/>
                <w:sz w:val="20"/>
              </w:rPr>
            </w:pPr>
            <w:hyperlink r:id="rId29" w:history="1">
              <w:r w:rsidR="00661E92" w:rsidRPr="000F1B6E">
                <w:rPr>
                  <w:color w:val="0000FF"/>
                  <w:sz w:val="20"/>
                  <w:u w:val="single"/>
                </w:rPr>
                <w:t>http://canlii.ca/t/g34rf</w:t>
              </w:r>
            </w:hyperlink>
          </w:p>
          <w:p w:rsidR="00661E92" w:rsidRPr="000F1B6E" w:rsidRDefault="00661E92" w:rsidP="00661E92">
            <w:pPr>
              <w:jc w:val="both"/>
              <w:rPr>
                <w:rFonts w:eastAsia="Calibri"/>
                <w:sz w:val="20"/>
              </w:rPr>
            </w:pPr>
          </w:p>
        </w:tc>
        <w:tc>
          <w:tcPr>
            <w:tcW w:w="243" w:type="pct"/>
          </w:tcPr>
          <w:p w:rsidR="00661E92" w:rsidRPr="000F1B6E" w:rsidRDefault="00661E92" w:rsidP="00661E92">
            <w:pPr>
              <w:jc w:val="both"/>
              <w:rPr>
                <w:rFonts w:eastAsia="Calibri"/>
                <w:sz w:val="20"/>
              </w:rPr>
            </w:pPr>
          </w:p>
        </w:tc>
        <w:tc>
          <w:tcPr>
            <w:tcW w:w="2330" w:type="pct"/>
          </w:tcPr>
          <w:p w:rsidR="00661E92" w:rsidRPr="000F1B6E" w:rsidRDefault="00661E92" w:rsidP="00661E92">
            <w:pPr>
              <w:jc w:val="both"/>
              <w:rPr>
                <w:rFonts w:eastAsia="Calibri"/>
                <w:sz w:val="20"/>
              </w:rPr>
            </w:pPr>
            <w:r w:rsidRPr="000F1B6E">
              <w:rPr>
                <w:rFonts w:eastAsia="Calibri"/>
                <w:sz w:val="20"/>
              </w:rPr>
              <w:t>Applicant’s appeal dismissed</w:t>
            </w:r>
          </w:p>
          <w:p w:rsidR="00661E92" w:rsidRPr="000F1B6E" w:rsidRDefault="00661E92" w:rsidP="00661E92">
            <w:pPr>
              <w:jc w:val="both"/>
              <w:rPr>
                <w:rFonts w:eastAsia="Calibri"/>
                <w:sz w:val="20"/>
              </w:rPr>
            </w:pPr>
          </w:p>
        </w:tc>
      </w:tr>
      <w:tr w:rsidR="00661E92" w:rsidRPr="000F1B6E" w:rsidTr="00661E92">
        <w:tc>
          <w:tcPr>
            <w:tcW w:w="2427" w:type="pct"/>
          </w:tcPr>
          <w:p w:rsidR="00661E92" w:rsidRPr="000F1B6E" w:rsidRDefault="00661E92" w:rsidP="00661E92">
            <w:pPr>
              <w:jc w:val="both"/>
              <w:rPr>
                <w:rFonts w:eastAsia="Calibri"/>
                <w:sz w:val="20"/>
              </w:rPr>
            </w:pPr>
            <w:r w:rsidRPr="000F1B6E">
              <w:rPr>
                <w:rFonts w:eastAsia="Calibri"/>
                <w:sz w:val="20"/>
              </w:rPr>
              <w:t>September 17, 2014</w:t>
            </w:r>
          </w:p>
          <w:p w:rsidR="00661E92" w:rsidRPr="000F1B6E" w:rsidRDefault="00661E92" w:rsidP="00661E92">
            <w:pPr>
              <w:jc w:val="both"/>
              <w:rPr>
                <w:rFonts w:eastAsia="Calibri"/>
                <w:sz w:val="20"/>
              </w:rPr>
            </w:pPr>
            <w:r w:rsidRPr="000F1B6E">
              <w:rPr>
                <w:rFonts w:eastAsia="Calibri"/>
                <w:sz w:val="20"/>
              </w:rPr>
              <w:t xml:space="preserve">Court of Appeal for British Columbia </w:t>
            </w:r>
          </w:p>
          <w:p w:rsidR="00661E92" w:rsidRPr="000F1B6E" w:rsidRDefault="00661E92" w:rsidP="00661E92">
            <w:pPr>
              <w:jc w:val="both"/>
              <w:rPr>
                <w:rFonts w:eastAsia="Calibri"/>
                <w:sz w:val="20"/>
              </w:rPr>
            </w:pPr>
            <w:r w:rsidRPr="000F1B6E">
              <w:rPr>
                <w:rFonts w:eastAsia="Calibri"/>
                <w:sz w:val="20"/>
              </w:rPr>
              <w:t>(Vancouver)</w:t>
            </w:r>
          </w:p>
          <w:p w:rsidR="00661E92" w:rsidRPr="000F1B6E" w:rsidRDefault="00661E92" w:rsidP="00661E92">
            <w:pPr>
              <w:jc w:val="both"/>
              <w:rPr>
                <w:rFonts w:eastAsia="Calibri"/>
                <w:sz w:val="20"/>
              </w:rPr>
            </w:pPr>
            <w:r w:rsidRPr="000F1B6E">
              <w:rPr>
                <w:rFonts w:eastAsia="Calibri"/>
                <w:sz w:val="20"/>
              </w:rPr>
              <w:t>(Kirkpatrick, Frankel, Goepel JJ.A.)</w:t>
            </w:r>
          </w:p>
          <w:p w:rsidR="00661E92" w:rsidRPr="000F1B6E" w:rsidRDefault="00661E92" w:rsidP="00661E92">
            <w:pPr>
              <w:jc w:val="both"/>
              <w:rPr>
                <w:rFonts w:eastAsia="Calibri"/>
                <w:sz w:val="20"/>
              </w:rPr>
            </w:pPr>
            <w:r w:rsidRPr="000F1B6E">
              <w:rPr>
                <w:rFonts w:eastAsia="Calibri"/>
                <w:sz w:val="20"/>
              </w:rPr>
              <w:t>2014 BCCA 357</w:t>
            </w:r>
          </w:p>
          <w:p w:rsidR="00661E92" w:rsidRPr="000F1B6E" w:rsidRDefault="00E42AAB" w:rsidP="00661E92">
            <w:pPr>
              <w:jc w:val="both"/>
              <w:rPr>
                <w:rFonts w:eastAsia="Calibri"/>
                <w:sz w:val="20"/>
              </w:rPr>
            </w:pPr>
            <w:hyperlink r:id="rId30" w:history="1">
              <w:r w:rsidR="00661E92" w:rsidRPr="000F1B6E">
                <w:rPr>
                  <w:color w:val="0000FF"/>
                  <w:sz w:val="20"/>
                  <w:u w:val="single"/>
                </w:rPr>
                <w:t>http://canlii.ca/t/g90tv</w:t>
              </w:r>
            </w:hyperlink>
          </w:p>
          <w:p w:rsidR="00661E92" w:rsidRPr="000F1B6E" w:rsidRDefault="00661E92" w:rsidP="00661E92">
            <w:pPr>
              <w:jc w:val="both"/>
              <w:rPr>
                <w:rFonts w:eastAsia="Calibri"/>
                <w:sz w:val="20"/>
              </w:rPr>
            </w:pPr>
          </w:p>
        </w:tc>
        <w:tc>
          <w:tcPr>
            <w:tcW w:w="243" w:type="pct"/>
          </w:tcPr>
          <w:p w:rsidR="00661E92" w:rsidRPr="000F1B6E" w:rsidRDefault="00661E92" w:rsidP="00661E92">
            <w:pPr>
              <w:jc w:val="both"/>
              <w:rPr>
                <w:rFonts w:eastAsia="Calibri"/>
                <w:sz w:val="20"/>
              </w:rPr>
            </w:pPr>
          </w:p>
        </w:tc>
        <w:tc>
          <w:tcPr>
            <w:tcW w:w="2330" w:type="pct"/>
          </w:tcPr>
          <w:p w:rsidR="00661E92" w:rsidRPr="000F1B6E" w:rsidRDefault="00661E92" w:rsidP="00661E92">
            <w:pPr>
              <w:jc w:val="both"/>
              <w:rPr>
                <w:rFonts w:eastAsia="Calibri"/>
                <w:sz w:val="20"/>
              </w:rPr>
            </w:pPr>
            <w:r w:rsidRPr="000F1B6E">
              <w:rPr>
                <w:rFonts w:eastAsia="Calibri"/>
                <w:sz w:val="20"/>
              </w:rPr>
              <w:t>Application to reopen conviction appeal refused</w:t>
            </w:r>
          </w:p>
          <w:p w:rsidR="00661E92" w:rsidRPr="000F1B6E" w:rsidRDefault="00661E92" w:rsidP="00661E92">
            <w:pPr>
              <w:jc w:val="both"/>
              <w:rPr>
                <w:rFonts w:eastAsia="Calibri"/>
                <w:sz w:val="20"/>
              </w:rPr>
            </w:pPr>
          </w:p>
          <w:p w:rsidR="00661E92" w:rsidRPr="000F1B6E" w:rsidRDefault="00661E92" w:rsidP="00661E92">
            <w:pPr>
              <w:jc w:val="both"/>
              <w:rPr>
                <w:rFonts w:eastAsia="Calibri"/>
                <w:sz w:val="20"/>
              </w:rPr>
            </w:pPr>
          </w:p>
        </w:tc>
      </w:tr>
      <w:tr w:rsidR="00661E92" w:rsidRPr="000F1B6E" w:rsidTr="00661E92">
        <w:tc>
          <w:tcPr>
            <w:tcW w:w="2427" w:type="pct"/>
          </w:tcPr>
          <w:p w:rsidR="00661E92" w:rsidRPr="000F1B6E" w:rsidRDefault="00661E92" w:rsidP="00661E92">
            <w:pPr>
              <w:jc w:val="both"/>
              <w:rPr>
                <w:rFonts w:eastAsia="Calibri"/>
                <w:sz w:val="20"/>
              </w:rPr>
            </w:pPr>
            <w:r w:rsidRPr="000F1B6E">
              <w:rPr>
                <w:rFonts w:eastAsia="Calibri"/>
                <w:sz w:val="20"/>
              </w:rPr>
              <w:t>October 10, 2014</w:t>
            </w:r>
          </w:p>
          <w:p w:rsidR="00661E92" w:rsidRPr="000F1B6E" w:rsidRDefault="00661E92" w:rsidP="00661E92">
            <w:pPr>
              <w:jc w:val="both"/>
              <w:rPr>
                <w:rFonts w:eastAsia="Calibri"/>
                <w:sz w:val="20"/>
              </w:rPr>
            </w:pPr>
            <w:r w:rsidRPr="000F1B6E">
              <w:rPr>
                <w:rFonts w:eastAsia="Calibri"/>
                <w:sz w:val="20"/>
              </w:rPr>
              <w:t>Supreme Court of Canada</w:t>
            </w:r>
          </w:p>
          <w:p w:rsidR="00661E92" w:rsidRPr="000F1B6E" w:rsidRDefault="00661E92" w:rsidP="00661E92">
            <w:pPr>
              <w:jc w:val="both"/>
              <w:rPr>
                <w:rFonts w:eastAsia="Calibri"/>
                <w:sz w:val="20"/>
              </w:rPr>
            </w:pPr>
          </w:p>
        </w:tc>
        <w:tc>
          <w:tcPr>
            <w:tcW w:w="243" w:type="pct"/>
          </w:tcPr>
          <w:p w:rsidR="00661E92" w:rsidRPr="000F1B6E" w:rsidRDefault="00661E92" w:rsidP="00661E92">
            <w:pPr>
              <w:jc w:val="both"/>
              <w:rPr>
                <w:rFonts w:eastAsia="Calibri"/>
                <w:sz w:val="20"/>
              </w:rPr>
            </w:pPr>
          </w:p>
        </w:tc>
        <w:tc>
          <w:tcPr>
            <w:tcW w:w="2330" w:type="pct"/>
          </w:tcPr>
          <w:p w:rsidR="00661E92" w:rsidRPr="000F1B6E" w:rsidRDefault="00661E92" w:rsidP="00661E92">
            <w:pPr>
              <w:jc w:val="both"/>
              <w:rPr>
                <w:rFonts w:eastAsia="Calibri"/>
                <w:sz w:val="20"/>
              </w:rPr>
            </w:pPr>
            <w:r w:rsidRPr="000F1B6E">
              <w:rPr>
                <w:rFonts w:eastAsia="Calibri"/>
                <w:sz w:val="20"/>
              </w:rPr>
              <w:t>Motion for an extension of time to serve and file the application for leave to appeal and application for leave to appeal filed</w:t>
            </w:r>
          </w:p>
        </w:tc>
      </w:tr>
    </w:tbl>
    <w:p w:rsidR="00124C37" w:rsidRPr="00661E92" w:rsidRDefault="00124C37" w:rsidP="00124C37">
      <w:pPr>
        <w:rPr>
          <w:sz w:val="20"/>
          <w:szCs w:val="20"/>
        </w:rPr>
      </w:pPr>
    </w:p>
    <w:p w:rsidR="00124C37" w:rsidRPr="00C50A5C" w:rsidRDefault="00E42AAB" w:rsidP="00124C37">
      <w:pPr>
        <w:rPr>
          <w:sz w:val="20"/>
          <w:szCs w:val="20"/>
        </w:rPr>
      </w:pPr>
      <w:r>
        <w:rPr>
          <w:sz w:val="20"/>
          <w:szCs w:val="20"/>
          <w:lang w:val="fr-CA"/>
        </w:rPr>
        <w:pict>
          <v:rect id="_x0000_i1049" style="width:2in;height:1pt" o:hrpct="0" o:hralign="center" o:hrstd="t" o:hrnoshade="t" o:hr="t" fillcolor="black [3213]" stroked="f"/>
        </w:pict>
      </w:r>
    </w:p>
    <w:p w:rsidR="00124C37" w:rsidRDefault="00124C37" w:rsidP="00124C37">
      <w:pPr>
        <w:rPr>
          <w:sz w:val="20"/>
          <w:szCs w:val="20"/>
        </w:rPr>
      </w:pPr>
    </w:p>
    <w:p w:rsidR="00124C37" w:rsidRPr="001B157C" w:rsidRDefault="00124C37" w:rsidP="00124C37">
      <w:pPr>
        <w:rPr>
          <w:sz w:val="20"/>
          <w:szCs w:val="20"/>
          <w:u w:val="single"/>
          <w:lang w:val="fr-CA"/>
        </w:rPr>
      </w:pPr>
      <w:r w:rsidRPr="001B157C">
        <w:rPr>
          <w:sz w:val="20"/>
          <w:szCs w:val="20"/>
          <w:u w:val="single"/>
          <w:lang w:val="fr-CA"/>
        </w:rPr>
        <w:t>RÉSUMÉ DE L’AFFAIRE</w:t>
      </w:r>
    </w:p>
    <w:p w:rsidR="00124C37" w:rsidRDefault="00124C37" w:rsidP="00124C3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9527"/>
      </w:tblGrid>
      <w:tr w:rsidR="00661E92" w:rsidRPr="0025502E" w:rsidTr="00661E92">
        <w:tc>
          <w:tcPr>
            <w:tcW w:w="5000" w:type="pct"/>
          </w:tcPr>
          <w:p w:rsidR="00661E92" w:rsidRPr="000F1B6E" w:rsidRDefault="00661E92" w:rsidP="00661E92">
            <w:pPr>
              <w:jc w:val="both"/>
              <w:rPr>
                <w:rFonts w:eastAsia="Calibri"/>
                <w:sz w:val="20"/>
                <w:lang w:val="fr-CA"/>
              </w:rPr>
            </w:pPr>
            <w:r w:rsidRPr="000F1B6E">
              <w:rPr>
                <w:rFonts w:eastAsia="Calibri"/>
                <w:sz w:val="20"/>
                <w:lang w:val="fr-CA"/>
              </w:rPr>
              <w:t xml:space="preserve">Droit criminel — Preuve — Admissibilité — La Cour d’appel était-elle tenue de soulever la question évidente de </w:t>
            </w:r>
            <w:r w:rsidRPr="000F1B6E">
              <w:rPr>
                <w:rFonts w:eastAsia="Calibri"/>
                <w:sz w:val="20"/>
                <w:lang w:val="fr-CA"/>
              </w:rPr>
              <w:lastRenderedPageBreak/>
              <w:t xml:space="preserve">savoir si le juge de première instance avait commis une erreur en n’appliquant pas le cadre d’analyse établi dans l’arrêt </w:t>
            </w:r>
            <w:r w:rsidRPr="000F1B6E">
              <w:rPr>
                <w:rFonts w:eastAsia="Calibri"/>
                <w:i/>
                <w:sz w:val="20"/>
                <w:lang w:val="fr-CA"/>
              </w:rPr>
              <w:t>R. c. W.(D.)</w:t>
            </w:r>
            <w:r w:rsidRPr="000F1B6E">
              <w:rPr>
                <w:rFonts w:eastAsia="Calibri"/>
                <w:sz w:val="20"/>
                <w:lang w:val="fr-CA"/>
              </w:rPr>
              <w:t xml:space="preserve">, [1991] 1 R.C.S. 742, et en opposant de façon inadmissible la preuve de la défense à celle du ministère public comme s’il s’agissait d’un concours de crédibilité? — La Cour d’appel a-t-elle commis une erreur en ne concluant pas que le juge de première instance avait renversé le fardeau de la preuve, plus particulièrement eu égard à l’arrêt </w:t>
            </w:r>
            <w:r w:rsidRPr="000F1B6E">
              <w:rPr>
                <w:rFonts w:eastAsia="Calibri"/>
                <w:i/>
                <w:sz w:val="20"/>
                <w:lang w:val="fr-CA"/>
              </w:rPr>
              <w:t>R. c. Sekhon</w:t>
            </w:r>
            <w:r w:rsidRPr="000F1B6E">
              <w:rPr>
                <w:rFonts w:eastAsia="Calibri"/>
                <w:sz w:val="20"/>
                <w:lang w:val="fr-CA"/>
              </w:rPr>
              <w:t>, 2014 CSC 15, de la Cour, rendu deux jours après le rejet de l’appel du demandeur?</w:t>
            </w:r>
          </w:p>
        </w:tc>
      </w:tr>
      <w:tr w:rsidR="00661E92" w:rsidRPr="0025502E" w:rsidTr="00661E92">
        <w:tc>
          <w:tcPr>
            <w:tcW w:w="5000" w:type="pct"/>
          </w:tcPr>
          <w:p w:rsidR="00661E92" w:rsidRPr="000F1B6E" w:rsidRDefault="00661E92" w:rsidP="00661E92">
            <w:pPr>
              <w:jc w:val="both"/>
              <w:rPr>
                <w:rFonts w:eastAsia="Calibri"/>
                <w:sz w:val="20"/>
                <w:lang w:val="fr-CA"/>
              </w:rPr>
            </w:pPr>
          </w:p>
        </w:tc>
      </w:tr>
      <w:tr w:rsidR="00661E92" w:rsidRPr="0025502E" w:rsidTr="00661E92">
        <w:tc>
          <w:tcPr>
            <w:tcW w:w="5000" w:type="pct"/>
          </w:tcPr>
          <w:p w:rsidR="00661E92" w:rsidRPr="000F1B6E" w:rsidRDefault="00661E92" w:rsidP="00661E92">
            <w:pPr>
              <w:jc w:val="both"/>
              <w:rPr>
                <w:rFonts w:eastAsia="Calibri"/>
                <w:sz w:val="20"/>
                <w:lang w:val="fr-CA"/>
              </w:rPr>
            </w:pPr>
            <w:r w:rsidRPr="000F1B6E">
              <w:rPr>
                <w:rFonts w:eastAsia="Calibri"/>
                <w:sz w:val="20"/>
                <w:lang w:val="fr-CA"/>
              </w:rPr>
              <w:t>Le véhicule du demandeur contenait un kilogramme de cocaïne et les 17 kilogrammes restants se trouvaient dans le véhicule d’une autre personne qui était stationné tout près.  Le juge de première instance a conclu que le demandeur venait de livrer ces 17 kilogrammes à l’autre personne.  Le demandeur a été déclaré coupable de possession de cocaïne en vue d’en faire le trafic.  L’appel de la déclaration de culpabilité a été rejeté. La demande visant à faire rouvrir l’appel de la déclaration de culpabilité a été refusée.</w:t>
            </w:r>
          </w:p>
          <w:p w:rsidR="00661E92" w:rsidRPr="000F1B6E" w:rsidRDefault="00661E92" w:rsidP="00661E92">
            <w:pPr>
              <w:jc w:val="both"/>
              <w:rPr>
                <w:rFonts w:eastAsia="Calibri"/>
                <w:sz w:val="20"/>
                <w:lang w:val="fr-CA"/>
              </w:rPr>
            </w:pPr>
          </w:p>
        </w:tc>
      </w:tr>
    </w:tbl>
    <w:p w:rsidR="00661E92" w:rsidRPr="00CF7A89" w:rsidRDefault="00661E92">
      <w:pPr>
        <w:rPr>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61E92" w:rsidRPr="0025502E" w:rsidTr="00661E92">
        <w:tc>
          <w:tcPr>
            <w:tcW w:w="2427" w:type="pct"/>
          </w:tcPr>
          <w:p w:rsidR="00661E92" w:rsidRPr="000F1B6E" w:rsidRDefault="00661E92" w:rsidP="00661E92">
            <w:pPr>
              <w:jc w:val="both"/>
              <w:rPr>
                <w:rFonts w:eastAsia="Calibri"/>
                <w:sz w:val="20"/>
                <w:lang w:val="fr-CA"/>
              </w:rPr>
            </w:pPr>
            <w:r w:rsidRPr="000F1B6E">
              <w:rPr>
                <w:rFonts w:eastAsia="Calibri"/>
                <w:sz w:val="20"/>
                <w:lang w:val="fr-CA"/>
              </w:rPr>
              <w:t>14 juin 2012</w:t>
            </w:r>
          </w:p>
          <w:p w:rsidR="00661E92" w:rsidRPr="000F1B6E" w:rsidRDefault="00661E92" w:rsidP="00661E92">
            <w:pPr>
              <w:jc w:val="both"/>
              <w:rPr>
                <w:rFonts w:eastAsia="Calibri"/>
                <w:sz w:val="20"/>
                <w:lang w:val="fr-CA"/>
              </w:rPr>
            </w:pPr>
            <w:r w:rsidRPr="000F1B6E">
              <w:rPr>
                <w:rFonts w:eastAsia="Calibri"/>
                <w:sz w:val="20"/>
                <w:lang w:val="fr-CA"/>
              </w:rPr>
              <w:t>Cour suprême de la Colombie</w:t>
            </w:r>
            <w:r w:rsidRPr="000F1B6E">
              <w:rPr>
                <w:rFonts w:eastAsia="Calibri"/>
                <w:sz w:val="20"/>
                <w:lang w:val="fr-CA"/>
              </w:rPr>
              <w:noBreakHyphen/>
              <w:t>Britannique</w:t>
            </w:r>
          </w:p>
          <w:p w:rsidR="00661E92" w:rsidRPr="000F1B6E" w:rsidRDefault="00661E92" w:rsidP="00661E92">
            <w:pPr>
              <w:jc w:val="both"/>
              <w:rPr>
                <w:rFonts w:eastAsia="Calibri"/>
                <w:sz w:val="20"/>
                <w:lang w:val="fr-CA"/>
              </w:rPr>
            </w:pPr>
            <w:r w:rsidRPr="000F1B6E">
              <w:rPr>
                <w:rFonts w:eastAsia="Calibri"/>
                <w:sz w:val="20"/>
                <w:lang w:val="fr-CA"/>
              </w:rPr>
              <w:t>(Juge McEwan)</w:t>
            </w:r>
          </w:p>
          <w:p w:rsidR="00661E92" w:rsidRPr="000F1B6E" w:rsidRDefault="00661E92" w:rsidP="00661E92">
            <w:pPr>
              <w:jc w:val="both"/>
              <w:rPr>
                <w:rFonts w:eastAsia="Calibri"/>
                <w:sz w:val="20"/>
                <w:lang w:val="fr-CA"/>
              </w:rPr>
            </w:pPr>
            <w:r w:rsidRPr="000F1B6E">
              <w:rPr>
                <w:rFonts w:eastAsia="Calibri"/>
                <w:sz w:val="20"/>
                <w:lang w:val="fr-CA"/>
              </w:rPr>
              <w:t>2012 BCSC 884</w:t>
            </w:r>
          </w:p>
          <w:p w:rsidR="00661E92" w:rsidRPr="000F1B6E" w:rsidRDefault="00E42AAB" w:rsidP="00661E92">
            <w:pPr>
              <w:jc w:val="both"/>
              <w:rPr>
                <w:rFonts w:eastAsia="Calibri"/>
                <w:sz w:val="20"/>
                <w:lang w:val="fr-CA"/>
              </w:rPr>
            </w:pPr>
            <w:hyperlink r:id="rId31" w:history="1">
              <w:r w:rsidR="00661E92" w:rsidRPr="000F1B6E">
                <w:rPr>
                  <w:rFonts w:eastAsia="Calibri"/>
                  <w:sz w:val="20"/>
                  <w:lang w:val="fr-CA"/>
                </w:rPr>
                <w:t>http://canlii.ca/t/ftsss</w:t>
              </w:r>
            </w:hyperlink>
          </w:p>
          <w:p w:rsidR="00661E92" w:rsidRPr="000F1B6E" w:rsidRDefault="00661E92" w:rsidP="00661E92">
            <w:pPr>
              <w:jc w:val="both"/>
              <w:rPr>
                <w:rFonts w:eastAsia="Calibri"/>
                <w:sz w:val="20"/>
                <w:lang w:val="fr-CA"/>
              </w:rPr>
            </w:pPr>
          </w:p>
        </w:tc>
        <w:tc>
          <w:tcPr>
            <w:tcW w:w="243" w:type="pct"/>
          </w:tcPr>
          <w:p w:rsidR="00661E92" w:rsidRPr="000F1B6E" w:rsidRDefault="00661E92" w:rsidP="00661E92">
            <w:pPr>
              <w:jc w:val="both"/>
              <w:rPr>
                <w:rFonts w:eastAsia="Calibri"/>
                <w:sz w:val="20"/>
                <w:lang w:val="fr-CA"/>
              </w:rPr>
            </w:pPr>
          </w:p>
        </w:tc>
        <w:tc>
          <w:tcPr>
            <w:tcW w:w="2330" w:type="pct"/>
          </w:tcPr>
          <w:p w:rsidR="00661E92" w:rsidRPr="000F1B6E" w:rsidRDefault="00661E92" w:rsidP="00661E92">
            <w:pPr>
              <w:jc w:val="both"/>
              <w:rPr>
                <w:rFonts w:eastAsia="Calibri"/>
                <w:sz w:val="20"/>
                <w:lang w:val="fr-CA"/>
              </w:rPr>
            </w:pPr>
            <w:r w:rsidRPr="000F1B6E">
              <w:rPr>
                <w:rFonts w:eastAsia="Calibri"/>
                <w:sz w:val="20"/>
                <w:lang w:val="fr-CA"/>
              </w:rPr>
              <w:t>Déclaration de culpabilité : possession de cocaïne en vue d’en faire le trafic</w:t>
            </w:r>
          </w:p>
          <w:p w:rsidR="00661E92" w:rsidRPr="000F1B6E" w:rsidRDefault="00661E92" w:rsidP="00661E92">
            <w:pPr>
              <w:jc w:val="both"/>
              <w:rPr>
                <w:rFonts w:eastAsia="Calibri"/>
                <w:sz w:val="20"/>
                <w:lang w:val="fr-CA"/>
              </w:rPr>
            </w:pPr>
          </w:p>
        </w:tc>
      </w:tr>
      <w:tr w:rsidR="00661E92" w:rsidRPr="0025502E" w:rsidTr="00661E92">
        <w:tc>
          <w:tcPr>
            <w:tcW w:w="2427" w:type="pct"/>
          </w:tcPr>
          <w:p w:rsidR="00661E92" w:rsidRPr="000F1B6E" w:rsidRDefault="00661E92" w:rsidP="00661E92">
            <w:pPr>
              <w:jc w:val="both"/>
              <w:rPr>
                <w:rFonts w:eastAsia="Calibri"/>
                <w:sz w:val="20"/>
                <w:lang w:val="fr-CA"/>
              </w:rPr>
            </w:pPr>
            <w:r w:rsidRPr="000F1B6E">
              <w:rPr>
                <w:rFonts w:eastAsia="Calibri"/>
                <w:sz w:val="20"/>
                <w:lang w:val="fr-CA"/>
              </w:rPr>
              <w:t>18 février 2014</w:t>
            </w:r>
          </w:p>
          <w:p w:rsidR="00661E92" w:rsidRPr="000F1B6E" w:rsidRDefault="00661E92" w:rsidP="00661E92">
            <w:pPr>
              <w:jc w:val="both"/>
              <w:rPr>
                <w:rFonts w:eastAsia="Calibri"/>
                <w:sz w:val="20"/>
                <w:lang w:val="fr-CA"/>
              </w:rPr>
            </w:pPr>
            <w:r w:rsidRPr="000F1B6E">
              <w:rPr>
                <w:rFonts w:eastAsia="Calibri"/>
                <w:sz w:val="20"/>
                <w:lang w:val="fr-CA"/>
              </w:rPr>
              <w:t>Cour d’appel de la Colombie</w:t>
            </w:r>
            <w:r w:rsidRPr="000F1B6E">
              <w:rPr>
                <w:rFonts w:eastAsia="Calibri"/>
                <w:sz w:val="20"/>
                <w:lang w:val="fr-CA"/>
              </w:rPr>
              <w:noBreakHyphen/>
              <w:t xml:space="preserve">Britannique </w:t>
            </w:r>
          </w:p>
          <w:p w:rsidR="00661E92" w:rsidRPr="000F1B6E" w:rsidRDefault="00661E92" w:rsidP="00661E92">
            <w:pPr>
              <w:jc w:val="both"/>
              <w:rPr>
                <w:rFonts w:eastAsia="Calibri"/>
                <w:sz w:val="20"/>
                <w:lang w:val="fr-CA"/>
              </w:rPr>
            </w:pPr>
            <w:r w:rsidRPr="000F1B6E">
              <w:rPr>
                <w:rFonts w:eastAsia="Calibri"/>
                <w:sz w:val="20"/>
                <w:lang w:val="fr-CA"/>
              </w:rPr>
              <w:t>(Vancouver)</w:t>
            </w:r>
          </w:p>
          <w:p w:rsidR="00661E92" w:rsidRPr="000F1B6E" w:rsidRDefault="00661E92" w:rsidP="00661E92">
            <w:pPr>
              <w:jc w:val="both"/>
              <w:rPr>
                <w:rFonts w:eastAsia="Calibri"/>
                <w:sz w:val="20"/>
                <w:lang w:val="fr-CA"/>
              </w:rPr>
            </w:pPr>
            <w:r w:rsidRPr="000F1B6E">
              <w:rPr>
                <w:rFonts w:eastAsia="Calibri"/>
                <w:sz w:val="20"/>
                <w:lang w:val="fr-CA"/>
              </w:rPr>
              <w:t>(Juges Kirkpatrick, Frankel et Goepel)</w:t>
            </w:r>
          </w:p>
          <w:p w:rsidR="00661E92" w:rsidRPr="000F1B6E" w:rsidRDefault="00661E92" w:rsidP="00661E92">
            <w:pPr>
              <w:jc w:val="both"/>
              <w:rPr>
                <w:rFonts w:eastAsia="Calibri"/>
                <w:sz w:val="20"/>
              </w:rPr>
            </w:pPr>
            <w:r w:rsidRPr="000F1B6E">
              <w:rPr>
                <w:rFonts w:eastAsia="Calibri"/>
                <w:sz w:val="20"/>
              </w:rPr>
              <w:t>2014 BCCA 65; CA040207</w:t>
            </w:r>
          </w:p>
          <w:p w:rsidR="00661E92" w:rsidRPr="000F1B6E" w:rsidRDefault="00E42AAB" w:rsidP="00661E92">
            <w:pPr>
              <w:jc w:val="both"/>
              <w:rPr>
                <w:rFonts w:eastAsia="Calibri"/>
                <w:sz w:val="20"/>
              </w:rPr>
            </w:pPr>
            <w:hyperlink r:id="rId32" w:history="1">
              <w:r w:rsidR="00661E92" w:rsidRPr="000F1B6E">
                <w:rPr>
                  <w:color w:val="0000FF"/>
                  <w:sz w:val="20"/>
                  <w:u w:val="single"/>
                </w:rPr>
                <w:t>http://canlii.ca/t/g34rf</w:t>
              </w:r>
            </w:hyperlink>
          </w:p>
          <w:p w:rsidR="00661E92" w:rsidRPr="000F1B6E" w:rsidRDefault="00661E92" w:rsidP="00661E92">
            <w:pPr>
              <w:jc w:val="both"/>
              <w:rPr>
                <w:rFonts w:eastAsia="Calibri"/>
                <w:sz w:val="20"/>
              </w:rPr>
            </w:pPr>
          </w:p>
        </w:tc>
        <w:tc>
          <w:tcPr>
            <w:tcW w:w="243" w:type="pct"/>
          </w:tcPr>
          <w:p w:rsidR="00661E92" w:rsidRPr="000F1B6E" w:rsidRDefault="00661E92" w:rsidP="00661E92">
            <w:pPr>
              <w:jc w:val="both"/>
              <w:rPr>
                <w:rFonts w:eastAsia="Calibri"/>
                <w:sz w:val="20"/>
              </w:rPr>
            </w:pPr>
          </w:p>
        </w:tc>
        <w:tc>
          <w:tcPr>
            <w:tcW w:w="2330" w:type="pct"/>
          </w:tcPr>
          <w:p w:rsidR="00661E92" w:rsidRPr="000F1B6E" w:rsidRDefault="00661E92" w:rsidP="00661E92">
            <w:pPr>
              <w:jc w:val="both"/>
              <w:rPr>
                <w:rFonts w:eastAsia="Calibri"/>
                <w:sz w:val="20"/>
                <w:lang w:val="fr-CA"/>
              </w:rPr>
            </w:pPr>
            <w:r w:rsidRPr="000F1B6E">
              <w:rPr>
                <w:rFonts w:eastAsia="Calibri"/>
                <w:sz w:val="20"/>
                <w:lang w:val="fr-CA"/>
              </w:rPr>
              <w:t>Rejet de l’appel du demandeur</w:t>
            </w:r>
          </w:p>
        </w:tc>
      </w:tr>
      <w:tr w:rsidR="00661E92" w:rsidRPr="0025502E" w:rsidTr="00661E92">
        <w:tc>
          <w:tcPr>
            <w:tcW w:w="2427" w:type="pct"/>
          </w:tcPr>
          <w:p w:rsidR="00661E92" w:rsidRPr="000F1B6E" w:rsidRDefault="00661E92" w:rsidP="00661E92">
            <w:pPr>
              <w:jc w:val="both"/>
              <w:rPr>
                <w:rFonts w:eastAsia="Calibri"/>
                <w:sz w:val="20"/>
                <w:lang w:val="fr-CA"/>
              </w:rPr>
            </w:pPr>
            <w:r w:rsidRPr="000F1B6E">
              <w:rPr>
                <w:rFonts w:eastAsia="Calibri"/>
                <w:sz w:val="20"/>
                <w:lang w:val="fr-CA"/>
              </w:rPr>
              <w:t>17 septembre 2014</w:t>
            </w:r>
          </w:p>
          <w:p w:rsidR="00661E92" w:rsidRPr="000F1B6E" w:rsidRDefault="00661E92" w:rsidP="00661E92">
            <w:pPr>
              <w:jc w:val="both"/>
              <w:rPr>
                <w:rFonts w:eastAsia="Calibri"/>
                <w:sz w:val="20"/>
                <w:lang w:val="fr-CA"/>
              </w:rPr>
            </w:pPr>
            <w:r w:rsidRPr="000F1B6E">
              <w:rPr>
                <w:rFonts w:eastAsia="Calibri"/>
                <w:sz w:val="20"/>
                <w:lang w:val="fr-CA"/>
              </w:rPr>
              <w:t>Cour d’appel de la Colombie</w:t>
            </w:r>
            <w:r w:rsidRPr="000F1B6E">
              <w:rPr>
                <w:rFonts w:eastAsia="Calibri"/>
                <w:sz w:val="20"/>
                <w:lang w:val="fr-CA"/>
              </w:rPr>
              <w:noBreakHyphen/>
              <w:t xml:space="preserve">Britannique </w:t>
            </w:r>
          </w:p>
          <w:p w:rsidR="00661E92" w:rsidRPr="000F1B6E" w:rsidRDefault="00661E92" w:rsidP="00661E92">
            <w:pPr>
              <w:jc w:val="both"/>
              <w:rPr>
                <w:rFonts w:eastAsia="Calibri"/>
                <w:sz w:val="20"/>
                <w:lang w:val="fr-CA"/>
              </w:rPr>
            </w:pPr>
            <w:r w:rsidRPr="000F1B6E">
              <w:rPr>
                <w:rFonts w:eastAsia="Calibri"/>
                <w:sz w:val="20"/>
                <w:lang w:val="fr-CA"/>
              </w:rPr>
              <w:t>(Vancouver)</w:t>
            </w:r>
          </w:p>
          <w:p w:rsidR="00661E92" w:rsidRPr="000F1B6E" w:rsidRDefault="00661E92" w:rsidP="00661E92">
            <w:pPr>
              <w:jc w:val="both"/>
              <w:rPr>
                <w:rFonts w:eastAsia="Calibri"/>
                <w:sz w:val="20"/>
                <w:lang w:val="fr-CA"/>
              </w:rPr>
            </w:pPr>
            <w:r w:rsidRPr="000F1B6E">
              <w:rPr>
                <w:rFonts w:eastAsia="Calibri"/>
                <w:sz w:val="20"/>
                <w:lang w:val="fr-CA"/>
              </w:rPr>
              <w:t>(Juges Kirkpatrick, Frankel et Goepel)</w:t>
            </w:r>
          </w:p>
          <w:p w:rsidR="00661E92" w:rsidRPr="000F1B6E" w:rsidRDefault="00661E92" w:rsidP="00661E92">
            <w:pPr>
              <w:jc w:val="both"/>
              <w:rPr>
                <w:rFonts w:eastAsia="Calibri"/>
                <w:sz w:val="20"/>
              </w:rPr>
            </w:pPr>
            <w:r w:rsidRPr="000F1B6E">
              <w:rPr>
                <w:rFonts w:eastAsia="Calibri"/>
                <w:sz w:val="20"/>
              </w:rPr>
              <w:t>2014 BCCA 357</w:t>
            </w:r>
          </w:p>
          <w:p w:rsidR="00661E92" w:rsidRPr="000F1B6E" w:rsidRDefault="00E42AAB" w:rsidP="00661E92">
            <w:pPr>
              <w:jc w:val="both"/>
              <w:rPr>
                <w:rFonts w:eastAsia="Calibri"/>
                <w:sz w:val="20"/>
              </w:rPr>
            </w:pPr>
            <w:hyperlink r:id="rId33" w:history="1">
              <w:r w:rsidR="00661E92" w:rsidRPr="000F1B6E">
                <w:rPr>
                  <w:color w:val="0000FF"/>
                  <w:sz w:val="20"/>
                  <w:u w:val="single"/>
                </w:rPr>
                <w:t>http://canlii.ca/t/g90tv</w:t>
              </w:r>
            </w:hyperlink>
          </w:p>
          <w:p w:rsidR="00661E92" w:rsidRPr="000F1B6E" w:rsidRDefault="00661E92" w:rsidP="00661E92">
            <w:pPr>
              <w:jc w:val="both"/>
              <w:rPr>
                <w:rFonts w:eastAsia="Calibri"/>
                <w:sz w:val="20"/>
              </w:rPr>
            </w:pPr>
          </w:p>
        </w:tc>
        <w:tc>
          <w:tcPr>
            <w:tcW w:w="243" w:type="pct"/>
          </w:tcPr>
          <w:p w:rsidR="00661E92" w:rsidRPr="000F1B6E" w:rsidRDefault="00661E92" w:rsidP="00661E92">
            <w:pPr>
              <w:jc w:val="both"/>
              <w:rPr>
                <w:rFonts w:eastAsia="Calibri"/>
                <w:sz w:val="20"/>
              </w:rPr>
            </w:pPr>
          </w:p>
        </w:tc>
        <w:tc>
          <w:tcPr>
            <w:tcW w:w="2330" w:type="pct"/>
          </w:tcPr>
          <w:p w:rsidR="00661E92" w:rsidRPr="000F1B6E" w:rsidRDefault="00661E92" w:rsidP="00661E92">
            <w:pPr>
              <w:jc w:val="both"/>
              <w:rPr>
                <w:rFonts w:eastAsia="Calibri"/>
                <w:sz w:val="20"/>
                <w:lang w:val="fr-CA"/>
              </w:rPr>
            </w:pPr>
            <w:r w:rsidRPr="000F1B6E">
              <w:rPr>
                <w:rFonts w:eastAsia="Calibri"/>
                <w:sz w:val="20"/>
                <w:lang w:val="fr-CA"/>
              </w:rPr>
              <w:t>Refus de la demande de réouverture de l’appel de la déclaration de culpabilité</w:t>
            </w:r>
          </w:p>
          <w:p w:rsidR="00661E92" w:rsidRPr="000F1B6E" w:rsidRDefault="00661E92" w:rsidP="00661E92">
            <w:pPr>
              <w:jc w:val="both"/>
              <w:rPr>
                <w:rFonts w:eastAsia="Calibri"/>
                <w:sz w:val="20"/>
                <w:lang w:val="fr-CA"/>
              </w:rPr>
            </w:pPr>
          </w:p>
          <w:p w:rsidR="00661E92" w:rsidRPr="000F1B6E" w:rsidRDefault="00661E92" w:rsidP="00661E92">
            <w:pPr>
              <w:jc w:val="both"/>
              <w:rPr>
                <w:rFonts w:eastAsia="Calibri"/>
                <w:sz w:val="20"/>
                <w:lang w:val="fr-CA"/>
              </w:rPr>
            </w:pPr>
          </w:p>
        </w:tc>
      </w:tr>
      <w:tr w:rsidR="00661E92" w:rsidRPr="0025502E" w:rsidTr="00661E92">
        <w:tc>
          <w:tcPr>
            <w:tcW w:w="2427" w:type="pct"/>
          </w:tcPr>
          <w:p w:rsidR="00661E92" w:rsidRPr="000F1B6E" w:rsidRDefault="00661E92" w:rsidP="00661E92">
            <w:pPr>
              <w:jc w:val="both"/>
              <w:rPr>
                <w:rFonts w:eastAsia="Calibri"/>
                <w:sz w:val="20"/>
                <w:lang w:val="fr-CA"/>
              </w:rPr>
            </w:pPr>
            <w:r w:rsidRPr="000F1B6E">
              <w:rPr>
                <w:rFonts w:eastAsia="Calibri"/>
                <w:sz w:val="20"/>
                <w:lang w:val="fr-CA"/>
              </w:rPr>
              <w:t>10 octobre 2014</w:t>
            </w:r>
          </w:p>
          <w:p w:rsidR="00661E92" w:rsidRPr="000F1B6E" w:rsidRDefault="00661E92" w:rsidP="00661E92">
            <w:pPr>
              <w:jc w:val="both"/>
              <w:rPr>
                <w:rFonts w:eastAsia="Calibri"/>
                <w:sz w:val="20"/>
                <w:lang w:val="fr-CA"/>
              </w:rPr>
            </w:pPr>
            <w:r w:rsidRPr="000F1B6E">
              <w:rPr>
                <w:rFonts w:eastAsia="Calibri"/>
                <w:sz w:val="20"/>
                <w:lang w:val="fr-CA"/>
              </w:rPr>
              <w:t>Cour suprême du Canada</w:t>
            </w:r>
          </w:p>
          <w:p w:rsidR="00661E92" w:rsidRPr="000F1B6E" w:rsidRDefault="00661E92" w:rsidP="00661E92">
            <w:pPr>
              <w:jc w:val="both"/>
              <w:rPr>
                <w:rFonts w:eastAsia="Calibri"/>
                <w:sz w:val="20"/>
                <w:lang w:val="fr-CA"/>
              </w:rPr>
            </w:pPr>
          </w:p>
        </w:tc>
        <w:tc>
          <w:tcPr>
            <w:tcW w:w="243" w:type="pct"/>
          </w:tcPr>
          <w:p w:rsidR="00661E92" w:rsidRPr="000F1B6E" w:rsidRDefault="00661E92" w:rsidP="00661E92">
            <w:pPr>
              <w:jc w:val="both"/>
              <w:rPr>
                <w:rFonts w:eastAsia="Calibri"/>
                <w:sz w:val="20"/>
                <w:lang w:val="fr-CA"/>
              </w:rPr>
            </w:pPr>
          </w:p>
        </w:tc>
        <w:tc>
          <w:tcPr>
            <w:tcW w:w="2330" w:type="pct"/>
          </w:tcPr>
          <w:p w:rsidR="00661E92" w:rsidRPr="000F1B6E" w:rsidRDefault="00661E92" w:rsidP="00661E92">
            <w:pPr>
              <w:jc w:val="both"/>
              <w:rPr>
                <w:rFonts w:eastAsia="Calibri"/>
                <w:sz w:val="20"/>
                <w:lang w:val="fr-CA"/>
              </w:rPr>
            </w:pPr>
            <w:r w:rsidRPr="000F1B6E">
              <w:rPr>
                <w:rFonts w:eastAsia="Calibri"/>
                <w:sz w:val="20"/>
                <w:lang w:val="fr-CA"/>
              </w:rPr>
              <w:t>Dépôt d’une requête en prorogation du délai de signification et de dépôt de la demande d’autorisation d’appel, ainsi que de la demande d’autorisation d’appel</w:t>
            </w:r>
          </w:p>
        </w:tc>
      </w:tr>
    </w:tbl>
    <w:p w:rsidR="00124C37" w:rsidRPr="00661E92" w:rsidRDefault="00124C37" w:rsidP="00124C37">
      <w:pPr>
        <w:rPr>
          <w:sz w:val="20"/>
          <w:szCs w:val="20"/>
          <w:lang w:val="fr-CA"/>
        </w:rPr>
      </w:pPr>
    </w:p>
    <w:p w:rsidR="00124C37" w:rsidRDefault="00E42AAB" w:rsidP="00124C37">
      <w:pPr>
        <w:rPr>
          <w:sz w:val="20"/>
          <w:szCs w:val="20"/>
        </w:rPr>
      </w:pPr>
      <w:r>
        <w:rPr>
          <w:sz w:val="20"/>
          <w:szCs w:val="20"/>
          <w:lang w:val="fr-CA"/>
        </w:rPr>
        <w:pict>
          <v:rect id="_x0000_i1050" style="width:2in;height:1pt" o:hrpct="0" o:hralign="center" o:hrstd="t" o:hrnoshade="t" o:hr="t" fillcolor="black [3213]" stroked="f"/>
        </w:pict>
      </w:r>
    </w:p>
    <w:p w:rsidR="00124C37" w:rsidRDefault="00124C37" w:rsidP="00124C37">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AD4380" w:rsidRPr="00E7075A" w:rsidTr="00C64462">
        <w:trPr>
          <w:cantSplit/>
        </w:trPr>
        <w:tc>
          <w:tcPr>
            <w:tcW w:w="1458" w:type="dxa"/>
          </w:tcPr>
          <w:p w:rsidR="00AD4380" w:rsidRPr="00E7075A" w:rsidRDefault="00AD4380" w:rsidP="00C64462">
            <w:pPr>
              <w:rPr>
                <w:sz w:val="20"/>
                <w:szCs w:val="20"/>
              </w:rPr>
            </w:pPr>
            <w:r w:rsidRPr="00E7075A">
              <w:rPr>
                <w:rStyle w:val="SCCFileNumberChar"/>
                <w:sz w:val="20"/>
                <w:szCs w:val="20"/>
              </w:rPr>
              <w:t>35961</w:t>
            </w:r>
          </w:p>
          <w:p w:rsidR="00AD4380" w:rsidRPr="00E7075A" w:rsidRDefault="00AD4380" w:rsidP="00C64462">
            <w:pPr>
              <w:rPr>
                <w:b/>
                <w:sz w:val="20"/>
                <w:szCs w:val="20"/>
                <w:lang w:val="fr-CA"/>
              </w:rPr>
            </w:pPr>
          </w:p>
        </w:tc>
        <w:tc>
          <w:tcPr>
            <w:tcW w:w="8118" w:type="dxa"/>
          </w:tcPr>
          <w:p w:rsidR="00AD4380" w:rsidRPr="00E7075A" w:rsidRDefault="00AD4380" w:rsidP="00C64462">
            <w:pPr>
              <w:rPr>
                <w:sz w:val="20"/>
                <w:szCs w:val="20"/>
              </w:rPr>
            </w:pPr>
            <w:r w:rsidRPr="00AD4380">
              <w:rPr>
                <w:rStyle w:val="SCCLsocChar"/>
                <w:sz w:val="20"/>
                <w:szCs w:val="20"/>
                <w:lang w:val="en-CA"/>
              </w:rPr>
              <w:t>London Life Insurance Company v. Her Majesty the Queen</w:t>
            </w:r>
            <w:r w:rsidRPr="00E7075A">
              <w:rPr>
                <w:sz w:val="20"/>
                <w:szCs w:val="20"/>
              </w:rPr>
              <w:t xml:space="preserve"> (F.C.) (Civil) (By Leave)</w:t>
            </w:r>
          </w:p>
          <w:p w:rsidR="00AD4380" w:rsidRPr="00E7075A" w:rsidRDefault="00AD4380" w:rsidP="00C64462">
            <w:pPr>
              <w:rPr>
                <w:sz w:val="20"/>
                <w:szCs w:val="20"/>
              </w:rPr>
            </w:pPr>
          </w:p>
        </w:tc>
      </w:tr>
      <w:tr w:rsidR="00AD4380" w:rsidRPr="00E7075A" w:rsidTr="00C64462">
        <w:trPr>
          <w:cantSplit/>
        </w:trPr>
        <w:tc>
          <w:tcPr>
            <w:tcW w:w="1458" w:type="dxa"/>
          </w:tcPr>
          <w:p w:rsidR="00AD4380" w:rsidRPr="00E7075A" w:rsidRDefault="00AD4380" w:rsidP="00C64462">
            <w:pPr>
              <w:rPr>
                <w:sz w:val="20"/>
                <w:szCs w:val="20"/>
              </w:rPr>
            </w:pPr>
            <w:r w:rsidRPr="00E7075A">
              <w:rPr>
                <w:sz w:val="20"/>
                <w:szCs w:val="20"/>
              </w:rPr>
              <w:t>Coram :</w:t>
            </w:r>
          </w:p>
        </w:tc>
        <w:tc>
          <w:tcPr>
            <w:tcW w:w="8118" w:type="dxa"/>
          </w:tcPr>
          <w:p w:rsidR="00AD4380" w:rsidRPr="00E7075A" w:rsidRDefault="00AD4380" w:rsidP="00C64462">
            <w:pPr>
              <w:rPr>
                <w:sz w:val="20"/>
                <w:szCs w:val="20"/>
              </w:rPr>
            </w:pPr>
            <w:r w:rsidRPr="00AD4380">
              <w:rPr>
                <w:rStyle w:val="SCCCoramChar"/>
                <w:sz w:val="20"/>
                <w:szCs w:val="20"/>
                <w:lang w:val="en-CA"/>
              </w:rPr>
              <w:t>Rothstein, Cromwell and Moldaver JJ.</w:t>
            </w:r>
          </w:p>
          <w:p w:rsidR="00AD4380" w:rsidRPr="00E7075A" w:rsidRDefault="00AD4380" w:rsidP="00C64462">
            <w:pPr>
              <w:rPr>
                <w:sz w:val="20"/>
                <w:szCs w:val="20"/>
                <w:u w:val="single"/>
              </w:rPr>
            </w:pPr>
          </w:p>
        </w:tc>
      </w:tr>
      <w:tr w:rsidR="00AD4380" w:rsidRPr="0025502E" w:rsidTr="00C64462">
        <w:trPr>
          <w:cantSplit/>
        </w:trPr>
        <w:tc>
          <w:tcPr>
            <w:tcW w:w="9576" w:type="dxa"/>
            <w:gridSpan w:val="2"/>
          </w:tcPr>
          <w:p w:rsidR="00AD4380" w:rsidRPr="00E7075A" w:rsidRDefault="00AD4380" w:rsidP="00C64462">
            <w:pPr>
              <w:pStyle w:val="SCCShortJudgment"/>
              <w:rPr>
                <w:szCs w:val="20"/>
              </w:rPr>
            </w:pPr>
            <w:r w:rsidRPr="00E7075A">
              <w:rPr>
                <w:szCs w:val="20"/>
              </w:rPr>
              <w:t>The application for leave to appeal from the judgment of the Federal Court of Appeal, Number A-84-13, 2014 FCA 106, dated April 29, 2014, is dismissed with costs.</w:t>
            </w:r>
          </w:p>
          <w:p w:rsidR="00AD4380" w:rsidRPr="00E7075A" w:rsidRDefault="00AD4380" w:rsidP="00C64462">
            <w:pPr>
              <w:pStyle w:val="SCCShortJudgment"/>
              <w:ind w:firstLine="0"/>
              <w:rPr>
                <w:szCs w:val="20"/>
              </w:rPr>
            </w:pPr>
          </w:p>
          <w:p w:rsidR="00AD4380" w:rsidRPr="00E7075A" w:rsidRDefault="00AD4380" w:rsidP="00C64462">
            <w:pPr>
              <w:pStyle w:val="SCCShortJudgment"/>
              <w:rPr>
                <w:szCs w:val="20"/>
                <w:lang w:val="fr-CA"/>
              </w:rPr>
            </w:pPr>
            <w:r w:rsidRPr="00E7075A">
              <w:rPr>
                <w:szCs w:val="20"/>
                <w:lang w:val="fr-CA"/>
              </w:rPr>
              <w:t>La demande d’autorisation d’appel de l’arrêt de la Cour d’appel fédérale, numéro A-84-13, 2014 CAF 106, daté du 29 avril 2014, est rejetée avec dépens.</w:t>
            </w:r>
          </w:p>
        </w:tc>
      </w:tr>
    </w:tbl>
    <w:p w:rsidR="00124C37" w:rsidRPr="00AD4380" w:rsidRDefault="00124C37" w:rsidP="000E2959">
      <w:pPr>
        <w:rPr>
          <w:sz w:val="20"/>
          <w:szCs w:val="20"/>
          <w:lang w:val="fr-CA"/>
        </w:rPr>
      </w:pPr>
    </w:p>
    <w:p w:rsidR="00124C37" w:rsidRPr="001B157C" w:rsidRDefault="00124C37" w:rsidP="00124C37">
      <w:pPr>
        <w:rPr>
          <w:sz w:val="20"/>
          <w:szCs w:val="20"/>
          <w:u w:val="single"/>
        </w:rPr>
      </w:pPr>
      <w:r w:rsidRPr="001B157C">
        <w:rPr>
          <w:sz w:val="20"/>
          <w:szCs w:val="20"/>
          <w:u w:val="single"/>
        </w:rPr>
        <w:lastRenderedPageBreak/>
        <w:t>CASE SUMMARY</w:t>
      </w:r>
    </w:p>
    <w:p w:rsidR="00124C37" w:rsidRDefault="00124C37" w:rsidP="00124C3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259"/>
        <w:gridCol w:w="453"/>
        <w:gridCol w:w="4815"/>
      </w:tblGrid>
      <w:tr w:rsidR="00661E92" w:rsidRPr="000F1B6E" w:rsidTr="00661E92">
        <w:tc>
          <w:tcPr>
            <w:tcW w:w="5000" w:type="pct"/>
            <w:gridSpan w:val="3"/>
          </w:tcPr>
          <w:p w:rsidR="00661E92" w:rsidRPr="000F1B6E" w:rsidRDefault="00661E92" w:rsidP="00661E92">
            <w:pPr>
              <w:jc w:val="both"/>
              <w:rPr>
                <w:rFonts w:eastAsia="Calibri"/>
                <w:sz w:val="20"/>
              </w:rPr>
            </w:pPr>
            <w:r w:rsidRPr="000F1B6E">
              <w:rPr>
                <w:rFonts w:eastAsia="Calibri"/>
                <w:sz w:val="20"/>
              </w:rPr>
              <w:t>Insurance — Surrender value — Garnishment — Insurance company ordered to pay surrender value of 11 insurance policies held by another company on life of its sole director and shareholder — Policy-holder company owes Canada Revenue Agency tax debt plus interest — Whether judgment creditor can, through garnishment, force surrender of life insurance policy for its cash surrender value? — In other words, whether lower courts erred in concluding that they could order insurance company to pay surrender value of 11 life insurance policies to policy-holder company?</w:t>
            </w:r>
          </w:p>
        </w:tc>
      </w:tr>
      <w:tr w:rsidR="00661E92" w:rsidRPr="000F1B6E" w:rsidTr="00661E92">
        <w:tc>
          <w:tcPr>
            <w:tcW w:w="5000" w:type="pct"/>
            <w:gridSpan w:val="3"/>
          </w:tcPr>
          <w:p w:rsidR="00661E92" w:rsidRPr="000F1B6E" w:rsidRDefault="00661E92" w:rsidP="00661E92">
            <w:pPr>
              <w:jc w:val="both"/>
              <w:rPr>
                <w:rFonts w:eastAsia="Calibri"/>
                <w:sz w:val="20"/>
              </w:rPr>
            </w:pPr>
          </w:p>
        </w:tc>
      </w:tr>
      <w:tr w:rsidR="00661E92" w:rsidRPr="000F1B6E" w:rsidTr="00661E92">
        <w:tc>
          <w:tcPr>
            <w:tcW w:w="5000" w:type="pct"/>
            <w:gridSpan w:val="3"/>
          </w:tcPr>
          <w:p w:rsidR="00661E92" w:rsidRPr="000F1B6E" w:rsidRDefault="00661E92" w:rsidP="00661E92">
            <w:pPr>
              <w:jc w:val="both"/>
              <w:rPr>
                <w:rFonts w:eastAsia="Calibri"/>
                <w:sz w:val="20"/>
              </w:rPr>
            </w:pPr>
            <w:r w:rsidRPr="000F1B6E">
              <w:rPr>
                <w:rFonts w:eastAsia="Calibri"/>
                <w:sz w:val="20"/>
              </w:rPr>
              <w:t xml:space="preserve">Projexia Conseils Inc. (“Projexia”) holds eleven insurance policies on the life of Sylvie Bologna, its sole director and shareholder.  The death benefits payable under these policies total over $1.5 million, and the annual premiums are approximately $50,000.  As of the date of the final garnishment order discussed below, the surrender value was approximately $83,172.  The eleven life insurance contracts stipulate that upon written request, the applicant, London Life Insurance Company (“London Life”), shall pay the surrender value of the contract, less any debts.  On October 13, 2011, the Canada Revenue Agency issued a certificate under section 223 of the </w:t>
            </w:r>
            <w:r w:rsidRPr="000F1B6E">
              <w:rPr>
                <w:rFonts w:eastAsia="Calibri"/>
                <w:i/>
                <w:sz w:val="20"/>
              </w:rPr>
              <w:t>Income Tax Act</w:t>
            </w:r>
            <w:r w:rsidRPr="000F1B6E">
              <w:rPr>
                <w:rFonts w:eastAsia="Calibri"/>
                <w:sz w:val="20"/>
              </w:rPr>
              <w:t xml:space="preserve">, R.S.C. 1985, c. 1 (5th Supp.), that Projexia owes a tax debt of $1,255,298.28 plus interest. The eleven life insurance policies are Projexia’s last remaining assets.  On December 1, 2011, on an </w:t>
            </w:r>
            <w:r w:rsidRPr="000F1B6E">
              <w:rPr>
                <w:rFonts w:eastAsia="Calibri"/>
                <w:i/>
                <w:sz w:val="20"/>
              </w:rPr>
              <w:t>ex parte</w:t>
            </w:r>
            <w:r w:rsidRPr="000F1B6E">
              <w:rPr>
                <w:rFonts w:eastAsia="Calibri"/>
                <w:sz w:val="20"/>
              </w:rPr>
              <w:t xml:space="preserve"> motion by the Crown, a prothonotary of the Federal Court issued a provisional garnishment order in respect of any amount owing or that will become owing by London Life to Projexia under the life insurance policies with surrender value, up to the sum of $1,255,298.28 plus interest.  On August 15, 2012, the prothonotary allowed the Crown’s motion for a final garnishment and on August 24, 2012,</w:t>
            </w:r>
            <w:r w:rsidRPr="000F1B6E">
              <w:rPr>
                <w:rFonts w:eastAsia="Calibri"/>
                <w:b/>
                <w:sz w:val="20"/>
              </w:rPr>
              <w:t xml:space="preserve"> </w:t>
            </w:r>
            <w:r w:rsidRPr="000F1B6E">
              <w:rPr>
                <w:rFonts w:eastAsia="Calibri"/>
                <w:sz w:val="20"/>
              </w:rPr>
              <w:t>issued a final garnishment order of the eleven cash surrender values.  The Federal Court dismissed London Life’s appeal of the prothonotary’s orders, and the Federal Court of Appeal dismissed London Life’s later appeal of that decision.</w:t>
            </w:r>
          </w:p>
          <w:p w:rsidR="00661E92" w:rsidRPr="000F1B6E" w:rsidRDefault="00661E92" w:rsidP="00661E92">
            <w:pPr>
              <w:jc w:val="both"/>
              <w:rPr>
                <w:rFonts w:eastAsia="Calibri"/>
                <w:sz w:val="20"/>
              </w:rPr>
            </w:pPr>
          </w:p>
        </w:tc>
      </w:tr>
      <w:tr w:rsidR="00661E92" w:rsidRPr="000F1B6E" w:rsidTr="00661E92">
        <w:tc>
          <w:tcPr>
            <w:tcW w:w="2235" w:type="pct"/>
          </w:tcPr>
          <w:p w:rsidR="00661E92" w:rsidRPr="000F1B6E" w:rsidRDefault="00661E92" w:rsidP="00661E92">
            <w:pPr>
              <w:jc w:val="both"/>
              <w:rPr>
                <w:rFonts w:eastAsia="Calibri"/>
                <w:sz w:val="20"/>
              </w:rPr>
            </w:pPr>
            <w:r w:rsidRPr="000F1B6E">
              <w:rPr>
                <w:rFonts w:eastAsia="Calibri"/>
                <w:sz w:val="20"/>
              </w:rPr>
              <w:t>August 15, 2012</w:t>
            </w:r>
          </w:p>
          <w:p w:rsidR="00661E92" w:rsidRPr="000F1B6E" w:rsidRDefault="00661E92" w:rsidP="00661E92">
            <w:pPr>
              <w:jc w:val="both"/>
              <w:rPr>
                <w:rFonts w:eastAsia="Calibri"/>
                <w:sz w:val="20"/>
              </w:rPr>
            </w:pPr>
            <w:r w:rsidRPr="000F1B6E">
              <w:rPr>
                <w:rFonts w:eastAsia="Calibri"/>
                <w:sz w:val="20"/>
              </w:rPr>
              <w:t>Federal Court</w:t>
            </w:r>
          </w:p>
          <w:p w:rsidR="00661E92" w:rsidRPr="000F1B6E" w:rsidRDefault="00661E92" w:rsidP="00661E92">
            <w:pPr>
              <w:jc w:val="both"/>
              <w:rPr>
                <w:rFonts w:eastAsia="Calibri"/>
                <w:sz w:val="20"/>
              </w:rPr>
            </w:pPr>
            <w:r w:rsidRPr="000F1B6E">
              <w:rPr>
                <w:rFonts w:eastAsia="Calibri"/>
                <w:sz w:val="20"/>
              </w:rPr>
              <w:t xml:space="preserve">(Prothonotary Morneau) </w:t>
            </w:r>
          </w:p>
          <w:p w:rsidR="00661E92" w:rsidRPr="000F1B6E" w:rsidRDefault="00661E92" w:rsidP="00661E92">
            <w:pPr>
              <w:jc w:val="both"/>
              <w:rPr>
                <w:rFonts w:eastAsia="Calibri"/>
                <w:sz w:val="20"/>
              </w:rPr>
            </w:pPr>
          </w:p>
        </w:tc>
        <w:tc>
          <w:tcPr>
            <w:tcW w:w="238" w:type="pct"/>
          </w:tcPr>
          <w:p w:rsidR="00661E92" w:rsidRPr="000F1B6E" w:rsidRDefault="00661E92" w:rsidP="00661E92">
            <w:pPr>
              <w:jc w:val="both"/>
              <w:rPr>
                <w:rFonts w:eastAsia="Calibri"/>
                <w:sz w:val="20"/>
              </w:rPr>
            </w:pPr>
          </w:p>
        </w:tc>
        <w:tc>
          <w:tcPr>
            <w:tcW w:w="2527" w:type="pct"/>
          </w:tcPr>
          <w:p w:rsidR="00661E92" w:rsidRPr="000F1B6E" w:rsidRDefault="00661E92" w:rsidP="00661E92">
            <w:pPr>
              <w:jc w:val="both"/>
              <w:rPr>
                <w:rFonts w:eastAsia="Calibri"/>
                <w:sz w:val="20"/>
              </w:rPr>
            </w:pPr>
            <w:r w:rsidRPr="000F1B6E">
              <w:rPr>
                <w:rFonts w:eastAsia="Calibri"/>
                <w:sz w:val="20"/>
              </w:rPr>
              <w:t>Crown’s motion for a final order of garnishment allowed.</w:t>
            </w:r>
          </w:p>
          <w:p w:rsidR="00661E92" w:rsidRPr="000F1B6E" w:rsidRDefault="00661E92" w:rsidP="00661E92">
            <w:pPr>
              <w:jc w:val="both"/>
              <w:rPr>
                <w:rFonts w:eastAsia="Calibri"/>
                <w:sz w:val="20"/>
              </w:rPr>
            </w:pPr>
          </w:p>
          <w:p w:rsidR="00661E92" w:rsidRPr="000F1B6E" w:rsidRDefault="00661E92" w:rsidP="00661E92">
            <w:pPr>
              <w:jc w:val="both"/>
              <w:rPr>
                <w:rFonts w:eastAsia="Calibri"/>
                <w:sz w:val="20"/>
              </w:rPr>
            </w:pPr>
          </w:p>
          <w:p w:rsidR="00661E92" w:rsidRPr="000F1B6E" w:rsidRDefault="00661E92" w:rsidP="00661E92">
            <w:pPr>
              <w:jc w:val="both"/>
              <w:rPr>
                <w:rFonts w:eastAsia="Calibri"/>
                <w:sz w:val="20"/>
              </w:rPr>
            </w:pPr>
          </w:p>
        </w:tc>
      </w:tr>
      <w:tr w:rsidR="00661E92" w:rsidRPr="000F1B6E" w:rsidTr="00661E92">
        <w:tc>
          <w:tcPr>
            <w:tcW w:w="2235" w:type="pct"/>
          </w:tcPr>
          <w:p w:rsidR="00661E92" w:rsidRPr="000F1B6E" w:rsidRDefault="00661E92" w:rsidP="00661E92">
            <w:pPr>
              <w:jc w:val="both"/>
              <w:rPr>
                <w:rFonts w:eastAsia="Calibri"/>
                <w:sz w:val="20"/>
              </w:rPr>
            </w:pPr>
            <w:r w:rsidRPr="000F1B6E">
              <w:rPr>
                <w:rFonts w:eastAsia="Calibri"/>
                <w:sz w:val="20"/>
              </w:rPr>
              <w:t>August 24, 2012</w:t>
            </w:r>
          </w:p>
          <w:p w:rsidR="00661E92" w:rsidRPr="000F1B6E" w:rsidRDefault="00661E92" w:rsidP="00661E92">
            <w:pPr>
              <w:jc w:val="both"/>
              <w:rPr>
                <w:rFonts w:eastAsia="Calibri"/>
                <w:sz w:val="20"/>
              </w:rPr>
            </w:pPr>
            <w:r w:rsidRPr="000F1B6E">
              <w:rPr>
                <w:rFonts w:eastAsia="Calibri"/>
                <w:sz w:val="20"/>
              </w:rPr>
              <w:t>Federal Court</w:t>
            </w:r>
          </w:p>
          <w:p w:rsidR="00661E92" w:rsidRPr="000F1B6E" w:rsidRDefault="00661E92" w:rsidP="00661E92">
            <w:pPr>
              <w:jc w:val="both"/>
              <w:rPr>
                <w:rFonts w:eastAsia="Calibri"/>
                <w:sz w:val="20"/>
              </w:rPr>
            </w:pPr>
            <w:r w:rsidRPr="000F1B6E">
              <w:rPr>
                <w:rFonts w:eastAsia="Calibri"/>
                <w:sz w:val="20"/>
              </w:rPr>
              <w:t xml:space="preserve">(Prothonotary Morneau) </w:t>
            </w:r>
          </w:p>
          <w:p w:rsidR="00661E92" w:rsidRPr="000F1B6E" w:rsidRDefault="00661E92" w:rsidP="00661E92">
            <w:pPr>
              <w:jc w:val="both"/>
              <w:rPr>
                <w:rFonts w:eastAsia="Calibri"/>
                <w:sz w:val="20"/>
              </w:rPr>
            </w:pPr>
          </w:p>
        </w:tc>
        <w:tc>
          <w:tcPr>
            <w:tcW w:w="238" w:type="pct"/>
          </w:tcPr>
          <w:p w:rsidR="00661E92" w:rsidRPr="000F1B6E" w:rsidRDefault="00661E92" w:rsidP="00661E92">
            <w:pPr>
              <w:jc w:val="both"/>
              <w:rPr>
                <w:rFonts w:eastAsia="Calibri"/>
                <w:sz w:val="20"/>
              </w:rPr>
            </w:pPr>
          </w:p>
        </w:tc>
        <w:tc>
          <w:tcPr>
            <w:tcW w:w="2527" w:type="pct"/>
          </w:tcPr>
          <w:p w:rsidR="00661E92" w:rsidRPr="000F1B6E" w:rsidRDefault="00661E92" w:rsidP="00661E92">
            <w:pPr>
              <w:jc w:val="both"/>
              <w:rPr>
                <w:rFonts w:eastAsia="Calibri"/>
                <w:sz w:val="20"/>
              </w:rPr>
            </w:pPr>
            <w:r w:rsidRPr="000F1B6E">
              <w:rPr>
                <w:rFonts w:eastAsia="Calibri"/>
                <w:sz w:val="20"/>
              </w:rPr>
              <w:t>Final garnishment order issued.</w:t>
            </w:r>
          </w:p>
          <w:p w:rsidR="00661E92" w:rsidRPr="000F1B6E" w:rsidRDefault="00661E92" w:rsidP="00661E92">
            <w:pPr>
              <w:jc w:val="both"/>
              <w:rPr>
                <w:rFonts w:eastAsia="Calibri"/>
                <w:sz w:val="20"/>
              </w:rPr>
            </w:pPr>
          </w:p>
          <w:p w:rsidR="00661E92" w:rsidRPr="000F1B6E" w:rsidRDefault="00661E92" w:rsidP="00661E92">
            <w:pPr>
              <w:jc w:val="both"/>
              <w:rPr>
                <w:rFonts w:eastAsia="Calibri"/>
                <w:sz w:val="20"/>
              </w:rPr>
            </w:pPr>
          </w:p>
        </w:tc>
      </w:tr>
      <w:tr w:rsidR="00661E92" w:rsidRPr="000F1B6E" w:rsidTr="00661E92">
        <w:tc>
          <w:tcPr>
            <w:tcW w:w="2235" w:type="pct"/>
          </w:tcPr>
          <w:p w:rsidR="00661E92" w:rsidRPr="000F1B6E" w:rsidRDefault="00661E92" w:rsidP="00661E92">
            <w:pPr>
              <w:jc w:val="both"/>
              <w:rPr>
                <w:rFonts w:eastAsia="Calibri"/>
                <w:sz w:val="20"/>
              </w:rPr>
            </w:pPr>
            <w:r w:rsidRPr="000F1B6E">
              <w:rPr>
                <w:rFonts w:eastAsia="Calibri"/>
                <w:sz w:val="20"/>
              </w:rPr>
              <w:t>January 30, 2013</w:t>
            </w:r>
          </w:p>
          <w:p w:rsidR="00661E92" w:rsidRPr="000F1B6E" w:rsidRDefault="00661E92" w:rsidP="00661E92">
            <w:pPr>
              <w:jc w:val="both"/>
              <w:rPr>
                <w:rFonts w:eastAsia="Calibri"/>
                <w:sz w:val="20"/>
              </w:rPr>
            </w:pPr>
            <w:r w:rsidRPr="000F1B6E">
              <w:rPr>
                <w:rFonts w:eastAsia="Calibri"/>
                <w:sz w:val="20"/>
              </w:rPr>
              <w:t>Federal Court</w:t>
            </w:r>
          </w:p>
          <w:p w:rsidR="00661E92" w:rsidRPr="000F1B6E" w:rsidRDefault="00661E92" w:rsidP="00661E92">
            <w:pPr>
              <w:jc w:val="both"/>
              <w:rPr>
                <w:rFonts w:eastAsia="Calibri"/>
                <w:sz w:val="20"/>
              </w:rPr>
            </w:pPr>
            <w:r w:rsidRPr="000F1B6E">
              <w:rPr>
                <w:rFonts w:eastAsia="Calibri"/>
                <w:sz w:val="20"/>
              </w:rPr>
              <w:t>(Beaudry J.)</w:t>
            </w:r>
          </w:p>
          <w:p w:rsidR="00661E92" w:rsidRPr="000F1B6E" w:rsidRDefault="00E42AAB" w:rsidP="00661E92">
            <w:pPr>
              <w:jc w:val="both"/>
              <w:rPr>
                <w:rFonts w:eastAsia="Calibri"/>
                <w:sz w:val="20"/>
                <w:highlight w:val="yellow"/>
              </w:rPr>
            </w:pPr>
            <w:hyperlink r:id="rId34" w:history="1">
              <w:r w:rsidR="00661E92" w:rsidRPr="000F1B6E">
                <w:rPr>
                  <w:rFonts w:eastAsia="Calibri"/>
                  <w:color w:val="0000FF"/>
                  <w:sz w:val="20"/>
                  <w:u w:val="single"/>
                </w:rPr>
                <w:t>2013 FC 93</w:t>
              </w:r>
            </w:hyperlink>
            <w:r w:rsidR="00661E92" w:rsidRPr="000F1B6E">
              <w:rPr>
                <w:rFonts w:eastAsia="Calibri"/>
                <w:sz w:val="20"/>
                <w:highlight w:val="yellow"/>
              </w:rPr>
              <w:t xml:space="preserve"> </w:t>
            </w:r>
          </w:p>
          <w:p w:rsidR="00661E92" w:rsidRPr="000F1B6E" w:rsidRDefault="00661E92" w:rsidP="00661E92">
            <w:pPr>
              <w:jc w:val="both"/>
              <w:rPr>
                <w:rFonts w:eastAsia="Calibri"/>
                <w:sz w:val="20"/>
              </w:rPr>
            </w:pPr>
          </w:p>
        </w:tc>
        <w:tc>
          <w:tcPr>
            <w:tcW w:w="238" w:type="pct"/>
          </w:tcPr>
          <w:p w:rsidR="00661E92" w:rsidRPr="000F1B6E" w:rsidRDefault="00661E92" w:rsidP="00661E92">
            <w:pPr>
              <w:jc w:val="both"/>
              <w:rPr>
                <w:rFonts w:eastAsia="Calibri"/>
                <w:sz w:val="20"/>
              </w:rPr>
            </w:pPr>
          </w:p>
        </w:tc>
        <w:tc>
          <w:tcPr>
            <w:tcW w:w="2527" w:type="pct"/>
          </w:tcPr>
          <w:p w:rsidR="00661E92" w:rsidRPr="000F1B6E" w:rsidRDefault="00661E92" w:rsidP="00661E92">
            <w:pPr>
              <w:jc w:val="both"/>
              <w:rPr>
                <w:rFonts w:eastAsia="Calibri"/>
                <w:sz w:val="20"/>
                <w:highlight w:val="yellow"/>
              </w:rPr>
            </w:pPr>
            <w:r w:rsidRPr="000F1B6E">
              <w:rPr>
                <w:rFonts w:eastAsia="Calibri"/>
                <w:sz w:val="20"/>
              </w:rPr>
              <w:t>Appeal dismissed.</w:t>
            </w:r>
          </w:p>
          <w:p w:rsidR="00661E92" w:rsidRPr="000F1B6E" w:rsidRDefault="00661E92" w:rsidP="00661E92">
            <w:pPr>
              <w:jc w:val="both"/>
              <w:rPr>
                <w:rFonts w:eastAsia="Calibri"/>
                <w:sz w:val="20"/>
              </w:rPr>
            </w:pPr>
          </w:p>
        </w:tc>
      </w:tr>
      <w:tr w:rsidR="00661E92" w:rsidRPr="000F1B6E" w:rsidTr="00661E92">
        <w:tc>
          <w:tcPr>
            <w:tcW w:w="2235" w:type="pct"/>
          </w:tcPr>
          <w:p w:rsidR="00661E92" w:rsidRPr="000F1B6E" w:rsidRDefault="00661E92" w:rsidP="00661E92">
            <w:pPr>
              <w:jc w:val="both"/>
              <w:rPr>
                <w:rFonts w:eastAsia="Calibri"/>
                <w:sz w:val="20"/>
              </w:rPr>
            </w:pPr>
            <w:r w:rsidRPr="000F1B6E">
              <w:rPr>
                <w:rFonts w:eastAsia="Calibri"/>
                <w:sz w:val="20"/>
              </w:rPr>
              <w:t>April 29, 2014</w:t>
            </w:r>
          </w:p>
          <w:p w:rsidR="00661E92" w:rsidRPr="000F1B6E" w:rsidRDefault="00661E92" w:rsidP="00661E92">
            <w:pPr>
              <w:jc w:val="both"/>
              <w:rPr>
                <w:rFonts w:eastAsia="Calibri"/>
                <w:sz w:val="20"/>
              </w:rPr>
            </w:pPr>
            <w:r w:rsidRPr="000F1B6E">
              <w:rPr>
                <w:rFonts w:eastAsia="Calibri"/>
                <w:sz w:val="20"/>
              </w:rPr>
              <w:t>Federal Court of Appeal</w:t>
            </w:r>
          </w:p>
          <w:p w:rsidR="00661E92" w:rsidRPr="000F1B6E" w:rsidRDefault="00661E92" w:rsidP="00661E92">
            <w:pPr>
              <w:jc w:val="both"/>
              <w:rPr>
                <w:rFonts w:eastAsia="Calibri"/>
                <w:sz w:val="20"/>
              </w:rPr>
            </w:pPr>
            <w:r w:rsidRPr="000F1B6E">
              <w:rPr>
                <w:rFonts w:eastAsia="Calibri"/>
                <w:sz w:val="20"/>
              </w:rPr>
              <w:t>(Blais C.J. and Gauthier and Mainville JJ.A.)</w:t>
            </w:r>
          </w:p>
          <w:p w:rsidR="00661E92" w:rsidRPr="000F1B6E" w:rsidRDefault="00E42AAB" w:rsidP="00661E92">
            <w:pPr>
              <w:jc w:val="both"/>
              <w:rPr>
                <w:rFonts w:eastAsia="Calibri"/>
                <w:sz w:val="20"/>
              </w:rPr>
            </w:pPr>
            <w:hyperlink r:id="rId35" w:history="1">
              <w:r w:rsidR="00661E92" w:rsidRPr="000F1B6E">
                <w:rPr>
                  <w:rFonts w:eastAsia="Calibri"/>
                  <w:color w:val="0000FF"/>
                  <w:sz w:val="20"/>
                  <w:u w:val="single"/>
                </w:rPr>
                <w:t>2014 FCA 106</w:t>
              </w:r>
            </w:hyperlink>
          </w:p>
          <w:p w:rsidR="00661E92" w:rsidRPr="000F1B6E" w:rsidRDefault="00661E92" w:rsidP="00661E92">
            <w:pPr>
              <w:jc w:val="both"/>
              <w:rPr>
                <w:rFonts w:eastAsia="Calibri"/>
                <w:sz w:val="20"/>
              </w:rPr>
            </w:pPr>
          </w:p>
        </w:tc>
        <w:tc>
          <w:tcPr>
            <w:tcW w:w="238" w:type="pct"/>
          </w:tcPr>
          <w:p w:rsidR="00661E92" w:rsidRPr="000F1B6E" w:rsidRDefault="00661E92" w:rsidP="00661E92">
            <w:pPr>
              <w:jc w:val="both"/>
              <w:rPr>
                <w:rFonts w:eastAsia="Calibri"/>
                <w:sz w:val="20"/>
              </w:rPr>
            </w:pPr>
          </w:p>
        </w:tc>
        <w:tc>
          <w:tcPr>
            <w:tcW w:w="2527" w:type="pct"/>
          </w:tcPr>
          <w:p w:rsidR="00661E92" w:rsidRPr="000F1B6E" w:rsidRDefault="00661E92" w:rsidP="00661E92">
            <w:pPr>
              <w:jc w:val="both"/>
              <w:rPr>
                <w:rFonts w:eastAsia="Calibri"/>
                <w:sz w:val="20"/>
                <w:highlight w:val="yellow"/>
              </w:rPr>
            </w:pPr>
            <w:r w:rsidRPr="000F1B6E">
              <w:rPr>
                <w:rFonts w:eastAsia="Calibri"/>
                <w:sz w:val="20"/>
              </w:rPr>
              <w:t>Appeal dismissed.</w:t>
            </w:r>
          </w:p>
          <w:p w:rsidR="00661E92" w:rsidRPr="000F1B6E" w:rsidRDefault="00661E92" w:rsidP="00661E92">
            <w:pPr>
              <w:jc w:val="both"/>
              <w:rPr>
                <w:rFonts w:eastAsia="Calibri"/>
                <w:sz w:val="20"/>
              </w:rPr>
            </w:pPr>
          </w:p>
        </w:tc>
      </w:tr>
      <w:tr w:rsidR="00661E92" w:rsidRPr="000F1B6E" w:rsidTr="00661E92">
        <w:tc>
          <w:tcPr>
            <w:tcW w:w="2235" w:type="pct"/>
          </w:tcPr>
          <w:p w:rsidR="00661E92" w:rsidRPr="000F1B6E" w:rsidRDefault="00661E92" w:rsidP="00661E92">
            <w:pPr>
              <w:jc w:val="both"/>
              <w:rPr>
                <w:rFonts w:eastAsia="Calibri"/>
                <w:sz w:val="20"/>
              </w:rPr>
            </w:pPr>
            <w:r w:rsidRPr="000F1B6E">
              <w:rPr>
                <w:rFonts w:eastAsia="Calibri"/>
                <w:sz w:val="20"/>
              </w:rPr>
              <w:t>June 30, 2014</w:t>
            </w:r>
          </w:p>
          <w:p w:rsidR="00661E92" w:rsidRPr="000F1B6E" w:rsidRDefault="00661E92" w:rsidP="00661E92">
            <w:pPr>
              <w:jc w:val="both"/>
              <w:rPr>
                <w:rFonts w:eastAsia="Calibri"/>
                <w:sz w:val="20"/>
              </w:rPr>
            </w:pPr>
            <w:r w:rsidRPr="000F1B6E">
              <w:rPr>
                <w:rFonts w:eastAsia="Calibri"/>
                <w:sz w:val="20"/>
              </w:rPr>
              <w:t>Supreme Court of Canada</w:t>
            </w:r>
          </w:p>
        </w:tc>
        <w:tc>
          <w:tcPr>
            <w:tcW w:w="238" w:type="pct"/>
          </w:tcPr>
          <w:p w:rsidR="00661E92" w:rsidRPr="000F1B6E" w:rsidRDefault="00661E92" w:rsidP="00661E92">
            <w:pPr>
              <w:jc w:val="both"/>
              <w:rPr>
                <w:rFonts w:eastAsia="Calibri"/>
                <w:sz w:val="20"/>
              </w:rPr>
            </w:pPr>
          </w:p>
        </w:tc>
        <w:tc>
          <w:tcPr>
            <w:tcW w:w="2527" w:type="pct"/>
          </w:tcPr>
          <w:p w:rsidR="00661E92" w:rsidRPr="000F1B6E" w:rsidRDefault="00661E92" w:rsidP="00661E92">
            <w:pPr>
              <w:jc w:val="both"/>
              <w:rPr>
                <w:rFonts w:eastAsia="Calibri"/>
                <w:sz w:val="20"/>
              </w:rPr>
            </w:pPr>
            <w:r w:rsidRPr="000F1B6E">
              <w:rPr>
                <w:rFonts w:eastAsia="Calibri"/>
                <w:sz w:val="20"/>
              </w:rPr>
              <w:t xml:space="preserve">Application for leave to appeal filed. </w:t>
            </w:r>
          </w:p>
        </w:tc>
      </w:tr>
    </w:tbl>
    <w:p w:rsidR="00124C37" w:rsidRPr="00661E92" w:rsidRDefault="00124C37" w:rsidP="00124C37">
      <w:pPr>
        <w:rPr>
          <w:sz w:val="20"/>
          <w:szCs w:val="20"/>
        </w:rPr>
      </w:pPr>
    </w:p>
    <w:p w:rsidR="00124C37" w:rsidRPr="00C50A5C" w:rsidRDefault="00E42AAB" w:rsidP="00124C37">
      <w:pPr>
        <w:rPr>
          <w:sz w:val="20"/>
          <w:szCs w:val="20"/>
        </w:rPr>
      </w:pPr>
      <w:r>
        <w:rPr>
          <w:sz w:val="20"/>
          <w:szCs w:val="20"/>
          <w:lang w:val="fr-CA"/>
        </w:rPr>
        <w:pict>
          <v:rect id="_x0000_i1051" style="width:2in;height:1pt" o:hrpct="0" o:hralign="center" o:hrstd="t" o:hrnoshade="t" o:hr="t" fillcolor="black [3213]" stroked="f"/>
        </w:pict>
      </w:r>
    </w:p>
    <w:p w:rsidR="00124C37" w:rsidRDefault="00124C37" w:rsidP="00124C37">
      <w:pPr>
        <w:rPr>
          <w:sz w:val="20"/>
          <w:szCs w:val="20"/>
        </w:rPr>
      </w:pPr>
    </w:p>
    <w:p w:rsidR="00124C37" w:rsidRPr="001B157C" w:rsidRDefault="00124C37" w:rsidP="00124C37">
      <w:pPr>
        <w:rPr>
          <w:sz w:val="20"/>
          <w:szCs w:val="20"/>
          <w:u w:val="single"/>
          <w:lang w:val="fr-CA"/>
        </w:rPr>
      </w:pPr>
      <w:r w:rsidRPr="001B157C">
        <w:rPr>
          <w:sz w:val="20"/>
          <w:szCs w:val="20"/>
          <w:u w:val="single"/>
          <w:lang w:val="fr-CA"/>
        </w:rPr>
        <w:lastRenderedPageBreak/>
        <w:t>RÉSUMÉ DE L’AFFAIRE</w:t>
      </w:r>
    </w:p>
    <w:p w:rsidR="00124C37" w:rsidRDefault="00124C37" w:rsidP="00124C3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259"/>
        <w:gridCol w:w="453"/>
        <w:gridCol w:w="4815"/>
      </w:tblGrid>
      <w:tr w:rsidR="00661E92" w:rsidRPr="0025502E" w:rsidTr="00661E92">
        <w:tc>
          <w:tcPr>
            <w:tcW w:w="5000" w:type="pct"/>
            <w:gridSpan w:val="3"/>
          </w:tcPr>
          <w:p w:rsidR="00661E92" w:rsidRPr="000F1B6E" w:rsidRDefault="00661E92" w:rsidP="00661E92">
            <w:pPr>
              <w:jc w:val="both"/>
              <w:rPr>
                <w:rFonts w:eastAsia="Calibri"/>
                <w:sz w:val="20"/>
                <w:lang w:val="fr-CA"/>
              </w:rPr>
            </w:pPr>
            <w:r w:rsidRPr="000F1B6E">
              <w:rPr>
                <w:rFonts w:eastAsia="Calibri"/>
                <w:sz w:val="20"/>
                <w:lang w:val="fr-CA"/>
              </w:rPr>
              <w:t>Assurance — Valeur de rachat — Saisie-arrêt — Une compagnie d’assurances s’est vu ordonner de payer la valeur de rachat de onze polices d’assurance détenues par une autre compagnie sur la vie de sa seule administratrice et actionnaire — La compagnie détentrice des polices a une dette fiscale envers l’Agence du revenu du Canada, plus intérêt — La créancière judiciaire peut-elle, par une saisie-arrêt, obliger le rachat d’une police d’assurance-vie pour sa valeur de rachat? — Autrement dit, les juridictions inférieures ont-elles eu tort de conclure qu’elles pouvaient ordonner à la compagnie d’assurances de verser la valeur de rachat des onze polices d’assurance à la compagnie qui en est détentrice?</w:t>
            </w:r>
          </w:p>
        </w:tc>
      </w:tr>
      <w:tr w:rsidR="00661E92" w:rsidRPr="0025502E" w:rsidTr="00661E92">
        <w:tc>
          <w:tcPr>
            <w:tcW w:w="5000" w:type="pct"/>
            <w:gridSpan w:val="3"/>
          </w:tcPr>
          <w:p w:rsidR="00661E92" w:rsidRPr="000F1B6E" w:rsidRDefault="00661E92" w:rsidP="00661E92">
            <w:pPr>
              <w:jc w:val="both"/>
              <w:rPr>
                <w:rFonts w:eastAsia="Calibri"/>
                <w:sz w:val="20"/>
                <w:lang w:val="fr-CA"/>
              </w:rPr>
            </w:pPr>
          </w:p>
        </w:tc>
      </w:tr>
      <w:tr w:rsidR="00661E92" w:rsidRPr="0025502E" w:rsidTr="00661E92">
        <w:tc>
          <w:tcPr>
            <w:tcW w:w="5000" w:type="pct"/>
            <w:gridSpan w:val="3"/>
          </w:tcPr>
          <w:p w:rsidR="00661E92" w:rsidRPr="000F1B6E" w:rsidRDefault="00661E92" w:rsidP="00661E92">
            <w:pPr>
              <w:jc w:val="both"/>
              <w:rPr>
                <w:rFonts w:eastAsia="Calibri"/>
                <w:sz w:val="20"/>
                <w:lang w:val="fr-CA"/>
              </w:rPr>
            </w:pPr>
            <w:r w:rsidRPr="000F1B6E">
              <w:rPr>
                <w:rFonts w:eastAsia="Calibri"/>
                <w:sz w:val="20"/>
                <w:lang w:val="fr-CA"/>
              </w:rPr>
              <w:t xml:space="preserve">Projexia Conseils Inc. (« Projexia ») détient onze polices d’assurance sur la vie de Sylvie Bologna, sa seule administratrice et actionnaire.  Les prestations de décès payables en vertu des polices totalisent plus de 1,5 million de dollars et les primes annuelles sont d’environ 50 000 $.  En date de l’ordonnance définitive de saisie-arrêt dont il est question ci-dessous, la valeur de rachat était d’environ 83 172 $.  Les onze contrats stipulent que sur demande par écrit, la demanderesse, London Life, Compagnie d’Assurance-Vie (« London Life ») paie la valeur de rachat du contrat, déduction faite de toute dette.  Le 13 octobre 2011, l’Agence du revenu du Canada a  délivré un certificat en application de l’art. 223 de la </w:t>
            </w:r>
            <w:r w:rsidRPr="000F1B6E">
              <w:rPr>
                <w:rFonts w:eastAsia="Calibri"/>
                <w:i/>
                <w:sz w:val="20"/>
                <w:lang w:val="fr-CA"/>
              </w:rPr>
              <w:t>Loi de l’impôt sur le revenu</w:t>
            </w:r>
            <w:r w:rsidRPr="000F1B6E">
              <w:rPr>
                <w:rFonts w:eastAsia="Calibri"/>
                <w:sz w:val="20"/>
                <w:lang w:val="fr-CA"/>
              </w:rPr>
              <w:t>, L.R.C. 1985, ch. 1 (5</w:t>
            </w:r>
            <w:r w:rsidRPr="000F1B6E">
              <w:rPr>
                <w:rFonts w:eastAsia="Calibri"/>
                <w:sz w:val="20"/>
                <w:vertAlign w:val="superscript"/>
                <w:lang w:val="fr-CA"/>
              </w:rPr>
              <w:t>e</w:t>
            </w:r>
            <w:r w:rsidRPr="000F1B6E">
              <w:rPr>
                <w:rFonts w:eastAsia="Calibri"/>
                <w:sz w:val="20"/>
                <w:lang w:val="fr-CA"/>
              </w:rPr>
              <w:t xml:space="preserve"> suppl.), confirmant une dette fiscale de Projexia au montant de 1 255 298,28 $ plus intérêt.  Les onze contrats d’assurance-vie sont les derniers éléments d’actif que possède Projexia.  Le 1</w:t>
            </w:r>
            <w:r w:rsidRPr="000F1B6E">
              <w:rPr>
                <w:rFonts w:eastAsia="Calibri"/>
                <w:sz w:val="20"/>
                <w:vertAlign w:val="superscript"/>
                <w:lang w:val="fr-CA"/>
              </w:rPr>
              <w:t>er</w:t>
            </w:r>
            <w:r w:rsidRPr="000F1B6E">
              <w:rPr>
                <w:rFonts w:eastAsia="Calibri"/>
                <w:sz w:val="20"/>
                <w:lang w:val="fr-CA"/>
              </w:rPr>
              <w:t xml:space="preserve"> décembre 2011, statuant sur une motion </w:t>
            </w:r>
            <w:r w:rsidRPr="000F1B6E">
              <w:rPr>
                <w:rFonts w:eastAsia="Calibri"/>
                <w:i/>
                <w:sz w:val="20"/>
                <w:lang w:val="fr-CA"/>
              </w:rPr>
              <w:t>ex parte</w:t>
            </w:r>
            <w:r w:rsidRPr="000F1B6E">
              <w:rPr>
                <w:rFonts w:eastAsia="Calibri"/>
                <w:sz w:val="20"/>
                <w:lang w:val="fr-CA"/>
              </w:rPr>
              <w:t xml:space="preserve"> de Sa Majesté, un protonotaire de la Cour fédérale a prononcé une ordonnance  provisoire de saisie-arrêt à l’égard de toute somme due ou qui deviendrait due par London Life à Projexia en vertu des polices d’assurance-vie avec valeur de rachat, et ce, jusqu’à concurrence de la somme de 1 255 298,28 $ plus intérêt.  Le 15 août 2012, le protonotaire a accueilli la requête de Sa Majesté sollicitant une saisie-arrêt définitive et, le 24 août 2012, il a rendu une ordonnance définitive de saisie-arrêt des onze valeurs de rachat.  La Cour fédérale a rejeté l’appel des ordonnances du protonotaire interjeté par London Life et la Cour d’appel fédérale a rejeté l’appel formé contre cette décision par London Life.</w:t>
            </w:r>
          </w:p>
          <w:p w:rsidR="00661E92" w:rsidRPr="000F1B6E" w:rsidRDefault="00661E92" w:rsidP="00661E92">
            <w:pPr>
              <w:jc w:val="both"/>
              <w:rPr>
                <w:rFonts w:eastAsia="Calibri"/>
                <w:sz w:val="20"/>
                <w:lang w:val="fr-CA"/>
              </w:rPr>
            </w:pPr>
          </w:p>
        </w:tc>
      </w:tr>
      <w:tr w:rsidR="00661E92" w:rsidRPr="0025502E" w:rsidTr="00661E92">
        <w:tc>
          <w:tcPr>
            <w:tcW w:w="2235" w:type="pct"/>
          </w:tcPr>
          <w:p w:rsidR="00661E92" w:rsidRPr="000F1B6E" w:rsidRDefault="00661E92" w:rsidP="00661E92">
            <w:pPr>
              <w:jc w:val="both"/>
              <w:rPr>
                <w:rFonts w:eastAsia="Calibri"/>
                <w:sz w:val="20"/>
                <w:lang w:val="fr-CA"/>
              </w:rPr>
            </w:pPr>
            <w:r w:rsidRPr="000F1B6E">
              <w:rPr>
                <w:rFonts w:eastAsia="Calibri"/>
                <w:sz w:val="20"/>
                <w:lang w:val="fr-CA"/>
              </w:rPr>
              <w:t>15 août 2012</w:t>
            </w:r>
          </w:p>
          <w:p w:rsidR="00661E92" w:rsidRPr="000F1B6E" w:rsidRDefault="00661E92" w:rsidP="00661E92">
            <w:pPr>
              <w:jc w:val="both"/>
              <w:rPr>
                <w:rFonts w:eastAsia="Calibri"/>
                <w:sz w:val="20"/>
                <w:lang w:val="fr-CA"/>
              </w:rPr>
            </w:pPr>
            <w:r w:rsidRPr="000F1B6E">
              <w:rPr>
                <w:rFonts w:eastAsia="Calibri"/>
                <w:sz w:val="20"/>
                <w:lang w:val="fr-CA"/>
              </w:rPr>
              <w:t xml:space="preserve">Cour fédérale </w:t>
            </w:r>
          </w:p>
          <w:p w:rsidR="00661E92" w:rsidRPr="000F1B6E" w:rsidRDefault="00661E92" w:rsidP="00661E92">
            <w:pPr>
              <w:jc w:val="both"/>
              <w:rPr>
                <w:rFonts w:eastAsia="Calibri"/>
                <w:sz w:val="20"/>
                <w:lang w:val="fr-CA"/>
              </w:rPr>
            </w:pPr>
            <w:r w:rsidRPr="000F1B6E">
              <w:rPr>
                <w:rFonts w:eastAsia="Calibri"/>
                <w:sz w:val="20"/>
                <w:lang w:val="fr-CA"/>
              </w:rPr>
              <w:t xml:space="preserve">(Protonotaire Morneau) </w:t>
            </w:r>
          </w:p>
          <w:p w:rsidR="00661E92" w:rsidRPr="000F1B6E" w:rsidRDefault="00661E92" w:rsidP="00661E92">
            <w:pPr>
              <w:jc w:val="both"/>
              <w:rPr>
                <w:rFonts w:eastAsia="Calibri"/>
                <w:sz w:val="20"/>
                <w:lang w:val="fr-CA"/>
              </w:rPr>
            </w:pPr>
          </w:p>
        </w:tc>
        <w:tc>
          <w:tcPr>
            <w:tcW w:w="238" w:type="pct"/>
          </w:tcPr>
          <w:p w:rsidR="00661E92" w:rsidRPr="000F1B6E" w:rsidRDefault="00661E92" w:rsidP="00661E92">
            <w:pPr>
              <w:jc w:val="both"/>
              <w:rPr>
                <w:rFonts w:eastAsia="Calibri"/>
                <w:sz w:val="20"/>
                <w:lang w:val="fr-CA"/>
              </w:rPr>
            </w:pPr>
          </w:p>
        </w:tc>
        <w:tc>
          <w:tcPr>
            <w:tcW w:w="2527" w:type="pct"/>
          </w:tcPr>
          <w:p w:rsidR="00661E92" w:rsidRPr="000F1B6E" w:rsidRDefault="00661E92" w:rsidP="00661E92">
            <w:pPr>
              <w:jc w:val="both"/>
              <w:rPr>
                <w:rFonts w:eastAsia="Calibri"/>
                <w:sz w:val="20"/>
                <w:lang w:val="fr-CA"/>
              </w:rPr>
            </w:pPr>
            <w:r w:rsidRPr="000F1B6E">
              <w:rPr>
                <w:rFonts w:eastAsia="Calibri"/>
                <w:sz w:val="20"/>
                <w:lang w:val="fr-CA"/>
              </w:rPr>
              <w:t>Décision accueillant la requête de Sa Majesté sollicitant une ordonnance définitive de saisie-arrêt.</w:t>
            </w:r>
          </w:p>
          <w:p w:rsidR="00661E92" w:rsidRPr="000F1B6E" w:rsidRDefault="00661E92" w:rsidP="00661E92">
            <w:pPr>
              <w:jc w:val="both"/>
              <w:rPr>
                <w:rFonts w:eastAsia="Calibri"/>
                <w:sz w:val="20"/>
                <w:lang w:val="fr-CA"/>
              </w:rPr>
            </w:pPr>
          </w:p>
        </w:tc>
      </w:tr>
      <w:tr w:rsidR="00661E92" w:rsidRPr="0025502E" w:rsidTr="00661E92">
        <w:tc>
          <w:tcPr>
            <w:tcW w:w="2235" w:type="pct"/>
          </w:tcPr>
          <w:p w:rsidR="00661E92" w:rsidRPr="000F1B6E" w:rsidRDefault="00661E92" w:rsidP="00661E92">
            <w:pPr>
              <w:jc w:val="both"/>
              <w:rPr>
                <w:rFonts w:eastAsia="Calibri"/>
                <w:sz w:val="20"/>
                <w:lang w:val="fr-CA"/>
              </w:rPr>
            </w:pPr>
            <w:r w:rsidRPr="000F1B6E">
              <w:rPr>
                <w:rFonts w:eastAsia="Calibri"/>
                <w:sz w:val="20"/>
                <w:lang w:val="fr-CA"/>
              </w:rPr>
              <w:t>24 août 2012</w:t>
            </w:r>
          </w:p>
          <w:p w:rsidR="00661E92" w:rsidRPr="000F1B6E" w:rsidRDefault="00661E92" w:rsidP="00661E92">
            <w:pPr>
              <w:jc w:val="both"/>
              <w:rPr>
                <w:rFonts w:eastAsia="Calibri"/>
                <w:sz w:val="20"/>
                <w:lang w:val="fr-CA"/>
              </w:rPr>
            </w:pPr>
            <w:r w:rsidRPr="000F1B6E">
              <w:rPr>
                <w:rFonts w:eastAsia="Calibri"/>
                <w:sz w:val="20"/>
                <w:lang w:val="fr-CA"/>
              </w:rPr>
              <w:t xml:space="preserve">Cour fédérale </w:t>
            </w:r>
          </w:p>
          <w:p w:rsidR="00661E92" w:rsidRPr="000F1B6E" w:rsidRDefault="00661E92" w:rsidP="00661E92">
            <w:pPr>
              <w:jc w:val="both"/>
              <w:rPr>
                <w:rFonts w:eastAsia="Calibri"/>
                <w:sz w:val="20"/>
                <w:lang w:val="fr-CA"/>
              </w:rPr>
            </w:pPr>
            <w:r w:rsidRPr="000F1B6E">
              <w:rPr>
                <w:rFonts w:eastAsia="Calibri"/>
                <w:sz w:val="20"/>
                <w:lang w:val="fr-CA"/>
              </w:rPr>
              <w:t xml:space="preserve">(Protonotaire Morneau) </w:t>
            </w:r>
          </w:p>
          <w:p w:rsidR="00661E92" w:rsidRPr="000F1B6E" w:rsidRDefault="00661E92" w:rsidP="00661E92">
            <w:pPr>
              <w:jc w:val="both"/>
              <w:rPr>
                <w:rFonts w:eastAsia="Calibri"/>
                <w:sz w:val="20"/>
                <w:lang w:val="fr-CA"/>
              </w:rPr>
            </w:pPr>
          </w:p>
        </w:tc>
        <w:tc>
          <w:tcPr>
            <w:tcW w:w="238" w:type="pct"/>
          </w:tcPr>
          <w:p w:rsidR="00661E92" w:rsidRPr="000F1B6E" w:rsidRDefault="00661E92" w:rsidP="00661E92">
            <w:pPr>
              <w:jc w:val="both"/>
              <w:rPr>
                <w:rFonts w:eastAsia="Calibri"/>
                <w:sz w:val="20"/>
                <w:lang w:val="fr-CA"/>
              </w:rPr>
            </w:pPr>
          </w:p>
        </w:tc>
        <w:tc>
          <w:tcPr>
            <w:tcW w:w="2527" w:type="pct"/>
          </w:tcPr>
          <w:p w:rsidR="00661E92" w:rsidRPr="000F1B6E" w:rsidRDefault="00661E92" w:rsidP="00661E92">
            <w:pPr>
              <w:jc w:val="both"/>
              <w:rPr>
                <w:rFonts w:eastAsia="Calibri"/>
                <w:sz w:val="20"/>
                <w:lang w:val="fr-CA"/>
              </w:rPr>
            </w:pPr>
            <w:r w:rsidRPr="000F1B6E">
              <w:rPr>
                <w:rFonts w:eastAsia="Calibri"/>
                <w:sz w:val="20"/>
                <w:lang w:val="fr-CA"/>
              </w:rPr>
              <w:t>Délivrance d’une ordonnance définitive de saisie-arrêt.</w:t>
            </w:r>
          </w:p>
          <w:p w:rsidR="00661E92" w:rsidRPr="000F1B6E" w:rsidRDefault="00661E92" w:rsidP="00661E92">
            <w:pPr>
              <w:jc w:val="both"/>
              <w:rPr>
                <w:rFonts w:eastAsia="Calibri"/>
                <w:sz w:val="20"/>
                <w:lang w:val="fr-CA"/>
              </w:rPr>
            </w:pPr>
          </w:p>
          <w:p w:rsidR="00661E92" w:rsidRPr="000F1B6E" w:rsidRDefault="00661E92" w:rsidP="00661E92">
            <w:pPr>
              <w:jc w:val="both"/>
              <w:rPr>
                <w:rFonts w:eastAsia="Calibri"/>
                <w:sz w:val="20"/>
                <w:lang w:val="fr-CA"/>
              </w:rPr>
            </w:pPr>
          </w:p>
        </w:tc>
      </w:tr>
      <w:tr w:rsidR="00661E92" w:rsidRPr="000F1B6E" w:rsidTr="00661E92">
        <w:tc>
          <w:tcPr>
            <w:tcW w:w="2235" w:type="pct"/>
          </w:tcPr>
          <w:p w:rsidR="00661E92" w:rsidRPr="000F1B6E" w:rsidRDefault="00661E92" w:rsidP="00661E92">
            <w:pPr>
              <w:jc w:val="both"/>
              <w:rPr>
                <w:rFonts w:eastAsia="Calibri"/>
                <w:sz w:val="20"/>
                <w:lang w:val="fr-CA"/>
              </w:rPr>
            </w:pPr>
            <w:r w:rsidRPr="000F1B6E">
              <w:rPr>
                <w:rFonts w:eastAsia="Calibri"/>
                <w:sz w:val="20"/>
                <w:lang w:val="fr-CA"/>
              </w:rPr>
              <w:t>30 janvier 2013</w:t>
            </w:r>
          </w:p>
          <w:p w:rsidR="00661E92" w:rsidRPr="000F1B6E" w:rsidRDefault="00661E92" w:rsidP="00661E92">
            <w:pPr>
              <w:jc w:val="both"/>
              <w:rPr>
                <w:rFonts w:eastAsia="Calibri"/>
                <w:sz w:val="20"/>
                <w:lang w:val="fr-CA"/>
              </w:rPr>
            </w:pPr>
            <w:r w:rsidRPr="000F1B6E">
              <w:rPr>
                <w:rFonts w:eastAsia="Calibri"/>
                <w:sz w:val="20"/>
                <w:lang w:val="fr-CA"/>
              </w:rPr>
              <w:t xml:space="preserve">Cour fédérale </w:t>
            </w:r>
          </w:p>
          <w:p w:rsidR="00661E92" w:rsidRPr="000F1B6E" w:rsidRDefault="00661E92" w:rsidP="00661E92">
            <w:pPr>
              <w:jc w:val="both"/>
              <w:rPr>
                <w:rFonts w:eastAsia="Calibri"/>
                <w:sz w:val="20"/>
                <w:lang w:val="fr-CA"/>
              </w:rPr>
            </w:pPr>
            <w:r w:rsidRPr="000F1B6E">
              <w:rPr>
                <w:rFonts w:eastAsia="Calibri"/>
                <w:sz w:val="20"/>
                <w:lang w:val="fr-CA"/>
              </w:rPr>
              <w:t>(Juge Beaudry)</w:t>
            </w:r>
          </w:p>
          <w:p w:rsidR="00661E92" w:rsidRPr="000F1B6E" w:rsidRDefault="00E42AAB" w:rsidP="00661E92">
            <w:pPr>
              <w:jc w:val="both"/>
              <w:rPr>
                <w:rFonts w:eastAsia="Calibri"/>
                <w:sz w:val="20"/>
                <w:highlight w:val="yellow"/>
                <w:lang w:val="fr-CA"/>
              </w:rPr>
            </w:pPr>
            <w:hyperlink r:id="rId36" w:history="1">
              <w:r w:rsidR="00661E92" w:rsidRPr="000F1B6E">
                <w:rPr>
                  <w:rFonts w:eastAsia="Calibri"/>
                  <w:color w:val="0000FF"/>
                  <w:sz w:val="20"/>
                  <w:u w:val="single"/>
                  <w:lang w:val="fr-CA"/>
                </w:rPr>
                <w:t>2013 FC 93</w:t>
              </w:r>
            </w:hyperlink>
            <w:r w:rsidR="00661E92" w:rsidRPr="000F1B6E">
              <w:rPr>
                <w:rFonts w:eastAsia="Calibri"/>
                <w:sz w:val="20"/>
                <w:highlight w:val="yellow"/>
                <w:lang w:val="fr-CA"/>
              </w:rPr>
              <w:t xml:space="preserve"> </w:t>
            </w:r>
          </w:p>
          <w:p w:rsidR="00661E92" w:rsidRPr="000F1B6E" w:rsidRDefault="00661E92" w:rsidP="00661E92">
            <w:pPr>
              <w:jc w:val="both"/>
              <w:rPr>
                <w:rFonts w:eastAsia="Calibri"/>
                <w:sz w:val="20"/>
                <w:lang w:val="fr-CA"/>
              </w:rPr>
            </w:pPr>
          </w:p>
        </w:tc>
        <w:tc>
          <w:tcPr>
            <w:tcW w:w="238" w:type="pct"/>
          </w:tcPr>
          <w:p w:rsidR="00661E92" w:rsidRPr="000F1B6E" w:rsidRDefault="00661E92" w:rsidP="00661E92">
            <w:pPr>
              <w:jc w:val="both"/>
              <w:rPr>
                <w:rFonts w:eastAsia="Calibri"/>
                <w:sz w:val="20"/>
                <w:lang w:val="fr-CA"/>
              </w:rPr>
            </w:pPr>
          </w:p>
        </w:tc>
        <w:tc>
          <w:tcPr>
            <w:tcW w:w="2527" w:type="pct"/>
          </w:tcPr>
          <w:p w:rsidR="00661E92" w:rsidRPr="000F1B6E" w:rsidRDefault="00661E92" w:rsidP="00661E92">
            <w:pPr>
              <w:jc w:val="both"/>
              <w:rPr>
                <w:rFonts w:eastAsia="Calibri"/>
                <w:sz w:val="20"/>
                <w:highlight w:val="yellow"/>
                <w:lang w:val="fr-CA"/>
              </w:rPr>
            </w:pPr>
            <w:r w:rsidRPr="000F1B6E">
              <w:rPr>
                <w:rFonts w:eastAsia="Calibri"/>
                <w:sz w:val="20"/>
                <w:lang w:val="fr-CA"/>
              </w:rPr>
              <w:t>Rejet de l’appel.</w:t>
            </w:r>
          </w:p>
          <w:p w:rsidR="00661E92" w:rsidRPr="000F1B6E" w:rsidRDefault="00661E92" w:rsidP="00661E92">
            <w:pPr>
              <w:jc w:val="both"/>
              <w:rPr>
                <w:rFonts w:eastAsia="Calibri"/>
                <w:sz w:val="20"/>
                <w:lang w:val="fr-CA"/>
              </w:rPr>
            </w:pPr>
          </w:p>
        </w:tc>
      </w:tr>
      <w:tr w:rsidR="00661E92" w:rsidRPr="000F1B6E" w:rsidTr="00661E92">
        <w:tc>
          <w:tcPr>
            <w:tcW w:w="2235" w:type="pct"/>
          </w:tcPr>
          <w:p w:rsidR="00661E92" w:rsidRPr="000F1B6E" w:rsidRDefault="00661E92" w:rsidP="00661E92">
            <w:pPr>
              <w:jc w:val="both"/>
              <w:rPr>
                <w:rFonts w:eastAsia="Calibri"/>
                <w:sz w:val="20"/>
                <w:lang w:val="fr-CA"/>
              </w:rPr>
            </w:pPr>
            <w:r w:rsidRPr="000F1B6E">
              <w:rPr>
                <w:rFonts w:eastAsia="Calibri"/>
                <w:sz w:val="20"/>
                <w:lang w:val="fr-CA"/>
              </w:rPr>
              <w:t>29 avril 2014</w:t>
            </w:r>
          </w:p>
          <w:p w:rsidR="00661E92" w:rsidRPr="000F1B6E" w:rsidRDefault="00661E92" w:rsidP="00661E92">
            <w:pPr>
              <w:jc w:val="both"/>
              <w:rPr>
                <w:rFonts w:eastAsia="Calibri"/>
                <w:sz w:val="20"/>
                <w:lang w:val="fr-CA"/>
              </w:rPr>
            </w:pPr>
            <w:r w:rsidRPr="000F1B6E">
              <w:rPr>
                <w:rFonts w:eastAsia="Calibri"/>
                <w:sz w:val="20"/>
                <w:lang w:val="fr-CA"/>
              </w:rPr>
              <w:t xml:space="preserve">Cour d’appel fédérale </w:t>
            </w:r>
          </w:p>
          <w:p w:rsidR="00661E92" w:rsidRPr="000F1B6E" w:rsidRDefault="00661E92" w:rsidP="00661E92">
            <w:pPr>
              <w:jc w:val="both"/>
              <w:rPr>
                <w:rFonts w:eastAsia="Calibri"/>
                <w:sz w:val="20"/>
                <w:lang w:val="fr-CA"/>
              </w:rPr>
            </w:pPr>
            <w:r w:rsidRPr="000F1B6E">
              <w:rPr>
                <w:rFonts w:eastAsia="Calibri"/>
                <w:sz w:val="20"/>
                <w:lang w:val="fr-CA"/>
              </w:rPr>
              <w:t>(Juge en chef Blais, juges Gauthier et Mainville)</w:t>
            </w:r>
          </w:p>
          <w:p w:rsidR="00661E92" w:rsidRPr="000F1B6E" w:rsidRDefault="00E42AAB" w:rsidP="00661E92">
            <w:pPr>
              <w:jc w:val="both"/>
              <w:rPr>
                <w:rFonts w:eastAsia="Calibri"/>
                <w:sz w:val="20"/>
                <w:lang w:val="fr-CA"/>
              </w:rPr>
            </w:pPr>
            <w:hyperlink r:id="rId37" w:history="1">
              <w:r w:rsidR="00661E92" w:rsidRPr="000F1B6E">
                <w:rPr>
                  <w:rFonts w:eastAsia="Calibri"/>
                  <w:color w:val="0000FF"/>
                  <w:sz w:val="20"/>
                  <w:u w:val="single"/>
                  <w:lang w:val="fr-CA"/>
                </w:rPr>
                <w:t>2014 FCA 106</w:t>
              </w:r>
            </w:hyperlink>
          </w:p>
          <w:p w:rsidR="00661E92" w:rsidRPr="000F1B6E" w:rsidRDefault="00661E92" w:rsidP="00661E92">
            <w:pPr>
              <w:jc w:val="both"/>
              <w:rPr>
                <w:rFonts w:eastAsia="Calibri"/>
                <w:sz w:val="20"/>
                <w:lang w:val="fr-CA"/>
              </w:rPr>
            </w:pPr>
          </w:p>
        </w:tc>
        <w:tc>
          <w:tcPr>
            <w:tcW w:w="238" w:type="pct"/>
          </w:tcPr>
          <w:p w:rsidR="00661E92" w:rsidRPr="000F1B6E" w:rsidRDefault="00661E92" w:rsidP="00661E92">
            <w:pPr>
              <w:jc w:val="both"/>
              <w:rPr>
                <w:rFonts w:eastAsia="Calibri"/>
                <w:sz w:val="20"/>
                <w:lang w:val="fr-CA"/>
              </w:rPr>
            </w:pPr>
          </w:p>
        </w:tc>
        <w:tc>
          <w:tcPr>
            <w:tcW w:w="2527" w:type="pct"/>
          </w:tcPr>
          <w:p w:rsidR="00661E92" w:rsidRPr="000F1B6E" w:rsidRDefault="00661E92" w:rsidP="00661E92">
            <w:pPr>
              <w:jc w:val="both"/>
              <w:rPr>
                <w:rFonts w:eastAsia="Calibri"/>
                <w:sz w:val="20"/>
                <w:highlight w:val="yellow"/>
                <w:lang w:val="fr-CA"/>
              </w:rPr>
            </w:pPr>
            <w:r w:rsidRPr="000F1B6E">
              <w:rPr>
                <w:rFonts w:eastAsia="Calibri"/>
                <w:sz w:val="20"/>
                <w:lang w:val="fr-CA"/>
              </w:rPr>
              <w:t>Rejet de l’appel.</w:t>
            </w:r>
          </w:p>
          <w:p w:rsidR="00661E92" w:rsidRPr="000F1B6E" w:rsidRDefault="00661E92" w:rsidP="00661E92">
            <w:pPr>
              <w:jc w:val="both"/>
              <w:rPr>
                <w:rFonts w:eastAsia="Calibri"/>
                <w:sz w:val="20"/>
                <w:lang w:val="fr-CA"/>
              </w:rPr>
            </w:pPr>
          </w:p>
        </w:tc>
      </w:tr>
      <w:tr w:rsidR="00661E92" w:rsidRPr="0025502E" w:rsidTr="00661E92">
        <w:tc>
          <w:tcPr>
            <w:tcW w:w="2235" w:type="pct"/>
          </w:tcPr>
          <w:p w:rsidR="00661E92" w:rsidRPr="000F1B6E" w:rsidRDefault="00661E92" w:rsidP="00661E92">
            <w:pPr>
              <w:jc w:val="both"/>
              <w:rPr>
                <w:rFonts w:eastAsia="Calibri"/>
                <w:sz w:val="20"/>
                <w:lang w:val="fr-CA"/>
              </w:rPr>
            </w:pPr>
            <w:r w:rsidRPr="000F1B6E">
              <w:rPr>
                <w:rFonts w:eastAsia="Calibri"/>
                <w:sz w:val="20"/>
                <w:lang w:val="fr-CA"/>
              </w:rPr>
              <w:t>30 juin, 2014</w:t>
            </w:r>
          </w:p>
          <w:p w:rsidR="00661E92" w:rsidRPr="000F1B6E" w:rsidRDefault="00661E92" w:rsidP="00661E92">
            <w:pPr>
              <w:jc w:val="both"/>
              <w:rPr>
                <w:rFonts w:eastAsia="Calibri"/>
                <w:sz w:val="20"/>
                <w:lang w:val="fr-CA"/>
              </w:rPr>
            </w:pPr>
            <w:r w:rsidRPr="000F1B6E">
              <w:rPr>
                <w:rFonts w:eastAsia="Calibri"/>
                <w:sz w:val="20"/>
                <w:lang w:val="fr-CA"/>
              </w:rPr>
              <w:t>Cour suprême du Canada</w:t>
            </w:r>
          </w:p>
        </w:tc>
        <w:tc>
          <w:tcPr>
            <w:tcW w:w="238" w:type="pct"/>
          </w:tcPr>
          <w:p w:rsidR="00661E92" w:rsidRPr="000F1B6E" w:rsidRDefault="00661E92" w:rsidP="00661E92">
            <w:pPr>
              <w:jc w:val="both"/>
              <w:rPr>
                <w:rFonts w:eastAsia="Calibri"/>
                <w:sz w:val="20"/>
                <w:lang w:val="fr-CA"/>
              </w:rPr>
            </w:pPr>
          </w:p>
        </w:tc>
        <w:tc>
          <w:tcPr>
            <w:tcW w:w="2527" w:type="pct"/>
          </w:tcPr>
          <w:p w:rsidR="00661E92" w:rsidRPr="000F1B6E" w:rsidRDefault="00661E92" w:rsidP="00661E92">
            <w:pPr>
              <w:jc w:val="both"/>
              <w:rPr>
                <w:rFonts w:eastAsia="Calibri"/>
                <w:sz w:val="20"/>
                <w:lang w:val="fr-CA"/>
              </w:rPr>
            </w:pPr>
            <w:r w:rsidRPr="000F1B6E">
              <w:rPr>
                <w:rFonts w:eastAsia="Calibri"/>
                <w:sz w:val="20"/>
                <w:lang w:val="fr-CA"/>
              </w:rPr>
              <w:t xml:space="preserve">Dépôt de la demande d’autorisation d’appel. </w:t>
            </w:r>
          </w:p>
        </w:tc>
      </w:tr>
    </w:tbl>
    <w:p w:rsidR="00124C37" w:rsidRPr="00661E92" w:rsidRDefault="00124C37" w:rsidP="00124C37">
      <w:pPr>
        <w:rPr>
          <w:sz w:val="20"/>
          <w:szCs w:val="20"/>
          <w:lang w:val="fr-CA"/>
        </w:rPr>
      </w:pPr>
    </w:p>
    <w:p w:rsidR="00124C37" w:rsidRDefault="00E42AAB" w:rsidP="00124C37">
      <w:pPr>
        <w:rPr>
          <w:sz w:val="20"/>
          <w:szCs w:val="20"/>
        </w:rPr>
      </w:pPr>
      <w:r>
        <w:rPr>
          <w:sz w:val="20"/>
          <w:szCs w:val="20"/>
          <w:lang w:val="fr-CA"/>
        </w:rPr>
        <w:pict>
          <v:rect id="_x0000_i1052" style="width:2in;height:1pt" o:hrpct="0" o:hralign="center" o:hrstd="t" o:hrnoshade="t" o:hr="t" fillcolor="black [3213]" stroked="f"/>
        </w:pict>
      </w:r>
    </w:p>
    <w:p w:rsidR="00124C37" w:rsidRDefault="00124C37" w:rsidP="00124C37">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AD4380" w:rsidRPr="00E7075A" w:rsidTr="00C64462">
        <w:trPr>
          <w:cantSplit/>
        </w:trPr>
        <w:tc>
          <w:tcPr>
            <w:tcW w:w="1458" w:type="dxa"/>
          </w:tcPr>
          <w:p w:rsidR="00AD4380" w:rsidRPr="00E7075A" w:rsidRDefault="00AD4380" w:rsidP="00C64462">
            <w:pPr>
              <w:rPr>
                <w:sz w:val="20"/>
                <w:szCs w:val="20"/>
              </w:rPr>
            </w:pPr>
            <w:r w:rsidRPr="00E7075A">
              <w:rPr>
                <w:rStyle w:val="SCCFileNumberChar"/>
                <w:sz w:val="20"/>
                <w:szCs w:val="20"/>
              </w:rPr>
              <w:t>35972</w:t>
            </w:r>
          </w:p>
          <w:p w:rsidR="00AD4380" w:rsidRPr="00E7075A" w:rsidRDefault="00AD4380" w:rsidP="00C64462">
            <w:pPr>
              <w:rPr>
                <w:b/>
                <w:sz w:val="20"/>
                <w:szCs w:val="20"/>
                <w:lang w:val="fr-CA"/>
              </w:rPr>
            </w:pPr>
          </w:p>
        </w:tc>
        <w:tc>
          <w:tcPr>
            <w:tcW w:w="8118" w:type="dxa"/>
          </w:tcPr>
          <w:p w:rsidR="00AD4380" w:rsidRPr="00E7075A" w:rsidRDefault="00AD4380" w:rsidP="00C64462">
            <w:pPr>
              <w:jc w:val="both"/>
              <w:rPr>
                <w:sz w:val="20"/>
                <w:szCs w:val="20"/>
              </w:rPr>
            </w:pPr>
            <w:r w:rsidRPr="00AD4380">
              <w:rPr>
                <w:rStyle w:val="SCCLsocChar"/>
                <w:sz w:val="20"/>
                <w:szCs w:val="20"/>
                <w:lang w:val="en-CA"/>
              </w:rPr>
              <w:t>Attorney General of Canada</w:t>
            </w:r>
            <w:r w:rsidR="00860AA5">
              <w:rPr>
                <w:rStyle w:val="SCCLsocChar"/>
                <w:sz w:val="20"/>
                <w:szCs w:val="20"/>
                <w:lang w:val="en-CA"/>
              </w:rPr>
              <w:t xml:space="preserve"> and</w:t>
            </w:r>
            <w:r w:rsidRPr="00AD4380">
              <w:rPr>
                <w:rStyle w:val="SCCLsocChar"/>
                <w:sz w:val="20"/>
                <w:szCs w:val="20"/>
                <w:lang w:val="en-CA"/>
              </w:rPr>
              <w:t xml:space="preserve"> Institutional Head of Ferndale Institution v. William Wei Lin Liang AND BETWEEN Attorney General of Canada</w:t>
            </w:r>
            <w:r w:rsidR="00860AA5">
              <w:rPr>
                <w:rStyle w:val="SCCLsocChar"/>
                <w:sz w:val="20"/>
                <w:szCs w:val="20"/>
                <w:lang w:val="en-CA"/>
              </w:rPr>
              <w:t xml:space="preserve"> and</w:t>
            </w:r>
            <w:r w:rsidRPr="00AD4380">
              <w:rPr>
                <w:rStyle w:val="SCCLsocChar"/>
                <w:sz w:val="20"/>
                <w:szCs w:val="20"/>
                <w:lang w:val="en-CA"/>
              </w:rPr>
              <w:t xml:space="preserve"> Institutional Head of Ferndale Institution v. Leslie John McCulloch</w:t>
            </w:r>
            <w:r w:rsidRPr="00E7075A">
              <w:rPr>
                <w:sz w:val="20"/>
                <w:szCs w:val="20"/>
              </w:rPr>
              <w:t xml:space="preserve"> (B.C.) (Criminal) (By Leave)</w:t>
            </w:r>
          </w:p>
          <w:p w:rsidR="00AD4380" w:rsidRPr="00E7075A" w:rsidRDefault="00AD4380" w:rsidP="00C64462">
            <w:pPr>
              <w:jc w:val="both"/>
              <w:rPr>
                <w:sz w:val="20"/>
                <w:szCs w:val="20"/>
              </w:rPr>
            </w:pPr>
          </w:p>
        </w:tc>
      </w:tr>
      <w:tr w:rsidR="00AD4380" w:rsidRPr="00E7075A" w:rsidTr="00C64462">
        <w:trPr>
          <w:cantSplit/>
        </w:trPr>
        <w:tc>
          <w:tcPr>
            <w:tcW w:w="1458" w:type="dxa"/>
          </w:tcPr>
          <w:p w:rsidR="00AD4380" w:rsidRPr="00E7075A" w:rsidRDefault="00AD4380" w:rsidP="00C64462">
            <w:pPr>
              <w:rPr>
                <w:sz w:val="20"/>
                <w:szCs w:val="20"/>
              </w:rPr>
            </w:pPr>
            <w:r w:rsidRPr="00E7075A">
              <w:rPr>
                <w:sz w:val="20"/>
                <w:szCs w:val="20"/>
              </w:rPr>
              <w:t>Coram :</w:t>
            </w:r>
          </w:p>
        </w:tc>
        <w:tc>
          <w:tcPr>
            <w:tcW w:w="8118" w:type="dxa"/>
          </w:tcPr>
          <w:p w:rsidR="00AD4380" w:rsidRPr="00E7075A" w:rsidRDefault="00AD4380" w:rsidP="00C64462">
            <w:pPr>
              <w:rPr>
                <w:sz w:val="20"/>
                <w:szCs w:val="20"/>
              </w:rPr>
            </w:pPr>
            <w:r w:rsidRPr="00AD4380">
              <w:rPr>
                <w:rStyle w:val="SCCCoramChar"/>
                <w:sz w:val="20"/>
                <w:szCs w:val="20"/>
                <w:lang w:val="en-CA"/>
              </w:rPr>
              <w:t>McLachlin C.J. and Wagner and Gascon JJ.</w:t>
            </w:r>
          </w:p>
          <w:p w:rsidR="00AD4380" w:rsidRPr="00E7075A" w:rsidRDefault="00AD4380" w:rsidP="00C64462">
            <w:pPr>
              <w:rPr>
                <w:sz w:val="20"/>
                <w:szCs w:val="20"/>
                <w:u w:val="single"/>
              </w:rPr>
            </w:pPr>
          </w:p>
        </w:tc>
      </w:tr>
      <w:tr w:rsidR="00AD4380" w:rsidRPr="0025502E" w:rsidTr="00C64462">
        <w:trPr>
          <w:cantSplit/>
        </w:trPr>
        <w:tc>
          <w:tcPr>
            <w:tcW w:w="9576" w:type="dxa"/>
            <w:gridSpan w:val="2"/>
          </w:tcPr>
          <w:p w:rsidR="00AD4380" w:rsidRPr="00E7075A" w:rsidRDefault="00AD4380" w:rsidP="00C64462">
            <w:pPr>
              <w:pStyle w:val="SCCShortJudgment"/>
              <w:rPr>
                <w:szCs w:val="20"/>
              </w:rPr>
            </w:pPr>
            <w:r w:rsidRPr="00E7075A">
              <w:rPr>
                <w:szCs w:val="20"/>
              </w:rPr>
              <w:t>The application for leave to appeal from the judgment of the Court of Appeal for British Columbia (Vancouver), Numbers CA041276 and CA041275, 2014 BCCA 190,  dated May 20, 2014, is dismissed without costs.</w:t>
            </w:r>
          </w:p>
          <w:p w:rsidR="00AD4380" w:rsidRPr="00E7075A" w:rsidRDefault="00AD4380" w:rsidP="00C64462">
            <w:pPr>
              <w:pStyle w:val="SCCShortJudgment"/>
              <w:ind w:firstLine="0"/>
              <w:rPr>
                <w:szCs w:val="20"/>
              </w:rPr>
            </w:pPr>
          </w:p>
          <w:p w:rsidR="00AD4380" w:rsidRPr="00E7075A" w:rsidRDefault="00AD4380" w:rsidP="00C64462">
            <w:pPr>
              <w:pStyle w:val="SCCShortJudgment"/>
              <w:rPr>
                <w:szCs w:val="20"/>
                <w:lang w:val="fr-CA"/>
              </w:rPr>
            </w:pPr>
            <w:r w:rsidRPr="00E7075A">
              <w:rPr>
                <w:szCs w:val="20"/>
                <w:lang w:val="fr-CA"/>
              </w:rPr>
              <w:t>La demande d’autorisation d’appel de l’arrêt de la Cour d’appel de la Colombie-Britannique (Vancouver), numéros CA041276 et CA041275, 2014 BCCA 190, daté du 20 mai 2014, est rejetée sans dépens.</w:t>
            </w:r>
          </w:p>
        </w:tc>
      </w:tr>
    </w:tbl>
    <w:p w:rsidR="00124C37" w:rsidRPr="00AD4380" w:rsidRDefault="00124C37" w:rsidP="000E2959">
      <w:pPr>
        <w:rPr>
          <w:sz w:val="20"/>
          <w:szCs w:val="20"/>
          <w:lang w:val="fr-CA"/>
        </w:rPr>
      </w:pPr>
    </w:p>
    <w:p w:rsidR="00124C37" w:rsidRPr="001B157C" w:rsidRDefault="00124C37" w:rsidP="00124C37">
      <w:pPr>
        <w:rPr>
          <w:sz w:val="20"/>
          <w:szCs w:val="20"/>
          <w:u w:val="single"/>
        </w:rPr>
      </w:pPr>
      <w:r w:rsidRPr="001B157C">
        <w:rPr>
          <w:sz w:val="20"/>
          <w:szCs w:val="20"/>
          <w:u w:val="single"/>
        </w:rPr>
        <w:t>CASE SUMMARY</w:t>
      </w:r>
    </w:p>
    <w:p w:rsidR="00124C37" w:rsidRDefault="00124C37" w:rsidP="00124C3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61E92" w:rsidRPr="000F1B6E" w:rsidTr="00661E92">
        <w:tc>
          <w:tcPr>
            <w:tcW w:w="5000" w:type="pct"/>
            <w:gridSpan w:val="3"/>
          </w:tcPr>
          <w:p w:rsidR="00661E92" w:rsidRPr="000F1B6E" w:rsidRDefault="00661E92" w:rsidP="00661E92">
            <w:pPr>
              <w:jc w:val="both"/>
              <w:rPr>
                <w:rFonts w:eastAsia="Calibri"/>
                <w:sz w:val="20"/>
              </w:rPr>
            </w:pPr>
            <w:r w:rsidRPr="000F1B6E">
              <w:rPr>
                <w:rFonts w:eastAsia="Calibri"/>
                <w:i/>
                <w:sz w:val="20"/>
              </w:rPr>
              <w:t>Charter of Rights and Freedoms</w:t>
            </w:r>
            <w:r w:rsidRPr="000F1B6E">
              <w:rPr>
                <w:rFonts w:eastAsia="Calibri"/>
                <w:sz w:val="20"/>
              </w:rPr>
              <w:t xml:space="preserve"> – Criminal Law – Benefit of Lesser punishment – Parole – Whether </w:t>
            </w:r>
            <w:r w:rsidRPr="000F1B6E">
              <w:rPr>
                <w:rFonts w:eastAsia="Calibri"/>
                <w:i/>
                <w:sz w:val="20"/>
              </w:rPr>
              <w:t>Abolition of Early Parole Act</w:t>
            </w:r>
            <w:r w:rsidRPr="000F1B6E">
              <w:rPr>
                <w:rFonts w:eastAsia="Calibri"/>
                <w:sz w:val="20"/>
              </w:rPr>
              <w:t>, S.C. 2011, c. 11, applies to offenders who committed their offences before the Act came into effect but who were sentenced after Act came into effect – Whether s. 11(</w:t>
            </w:r>
            <w:r w:rsidRPr="000F1B6E">
              <w:rPr>
                <w:rFonts w:eastAsia="Calibri"/>
                <w:i/>
                <w:sz w:val="20"/>
              </w:rPr>
              <w:t>i</w:t>
            </w:r>
            <w:r w:rsidRPr="000F1B6E">
              <w:rPr>
                <w:rFonts w:eastAsia="Calibri"/>
                <w:sz w:val="20"/>
              </w:rPr>
              <w:t xml:space="preserve">) of the </w:t>
            </w:r>
            <w:r w:rsidRPr="000F1B6E">
              <w:rPr>
                <w:rFonts w:eastAsia="Calibri"/>
                <w:i/>
                <w:sz w:val="20"/>
              </w:rPr>
              <w:t>Charter</w:t>
            </w:r>
            <w:r w:rsidRPr="000F1B6E">
              <w:rPr>
                <w:rFonts w:eastAsia="Calibri"/>
                <w:sz w:val="20"/>
              </w:rPr>
              <w:t xml:space="preserve"> guarantees offenders the most favourable parole eligibility scheme under the </w:t>
            </w:r>
            <w:r w:rsidRPr="000F1B6E">
              <w:rPr>
                <w:rFonts w:eastAsia="Calibri"/>
                <w:i/>
                <w:sz w:val="20"/>
              </w:rPr>
              <w:t>Corrections and Conditional Release Act</w:t>
            </w:r>
            <w:r w:rsidRPr="000F1B6E">
              <w:rPr>
                <w:rFonts w:eastAsia="Calibri"/>
                <w:sz w:val="20"/>
              </w:rPr>
              <w:t xml:space="preserve">, S.C. 1992, c. 20, between offence commission and sentencing – Whether </w:t>
            </w:r>
            <w:r w:rsidRPr="000F1B6E">
              <w:rPr>
                <w:rFonts w:eastAsia="Calibri"/>
                <w:i/>
                <w:sz w:val="20"/>
              </w:rPr>
              <w:t>Canada (A.G.) v. Whaling</w:t>
            </w:r>
            <w:r w:rsidRPr="000F1B6E">
              <w:rPr>
                <w:rFonts w:eastAsia="Calibri"/>
                <w:sz w:val="20"/>
              </w:rPr>
              <w:t>, 2014 SCC 20, is determinative of what constitutes a variation of punishment before sentencing under s. 11(</w:t>
            </w:r>
            <w:r w:rsidRPr="000F1B6E">
              <w:rPr>
                <w:rFonts w:eastAsia="Calibri"/>
                <w:i/>
                <w:sz w:val="20"/>
              </w:rPr>
              <w:t>i</w:t>
            </w:r>
            <w:r w:rsidRPr="000F1B6E">
              <w:rPr>
                <w:rFonts w:eastAsia="Calibri"/>
                <w:sz w:val="20"/>
              </w:rPr>
              <w:t xml:space="preserve">) of the </w:t>
            </w:r>
            <w:r w:rsidRPr="000F1B6E">
              <w:rPr>
                <w:rFonts w:eastAsia="Calibri"/>
                <w:i/>
                <w:sz w:val="20"/>
              </w:rPr>
              <w:t>Charter.</w:t>
            </w:r>
          </w:p>
        </w:tc>
      </w:tr>
      <w:tr w:rsidR="00661E92" w:rsidRPr="000F1B6E" w:rsidTr="00661E92">
        <w:tc>
          <w:tcPr>
            <w:tcW w:w="5000" w:type="pct"/>
            <w:gridSpan w:val="3"/>
          </w:tcPr>
          <w:p w:rsidR="00661E92" w:rsidRPr="000F1B6E" w:rsidRDefault="00661E92" w:rsidP="00661E92">
            <w:pPr>
              <w:jc w:val="both"/>
              <w:rPr>
                <w:rFonts w:eastAsia="Calibri"/>
                <w:sz w:val="20"/>
              </w:rPr>
            </w:pPr>
          </w:p>
        </w:tc>
      </w:tr>
      <w:tr w:rsidR="00661E92" w:rsidRPr="000F1B6E" w:rsidTr="00661E92">
        <w:tc>
          <w:tcPr>
            <w:tcW w:w="5000" w:type="pct"/>
            <w:gridSpan w:val="3"/>
          </w:tcPr>
          <w:p w:rsidR="00661E92" w:rsidRPr="000F1B6E" w:rsidRDefault="00661E92" w:rsidP="00661E92">
            <w:pPr>
              <w:jc w:val="both"/>
              <w:rPr>
                <w:rFonts w:eastAsia="Calibri"/>
                <w:color w:val="000000"/>
                <w:sz w:val="20"/>
              </w:rPr>
            </w:pPr>
            <w:r w:rsidRPr="000F1B6E">
              <w:rPr>
                <w:rFonts w:eastAsia="Calibri"/>
                <w:sz w:val="20"/>
              </w:rPr>
              <w:t xml:space="preserve">Mr. Liang and Mr. McCulloch were first time federal offenders given penitentiary sentences for non-violent offences committed on June 30, 2010 and August 26, 2009, respectively.  Had they been sentenced at the time they committed their offences, they would have been eligible under the former accelerated parole regime for accelerated day parole.  Before either was sentenced, the </w:t>
            </w:r>
            <w:r w:rsidRPr="000F1B6E">
              <w:rPr>
                <w:rFonts w:eastAsia="Calibri"/>
                <w:i/>
                <w:iCs/>
                <w:sz w:val="20"/>
              </w:rPr>
              <w:t>Abolition of Early Parole Act</w:t>
            </w:r>
            <w:r w:rsidRPr="000F1B6E">
              <w:rPr>
                <w:rFonts w:eastAsia="Calibri"/>
                <w:sz w:val="20"/>
              </w:rPr>
              <w:t xml:space="preserve">, S.C. 2011 c. 11, </w:t>
            </w:r>
            <w:r w:rsidRPr="000F1B6E">
              <w:rPr>
                <w:rFonts w:eastAsia="Calibri"/>
                <w:color w:val="000000"/>
                <w:sz w:val="20"/>
              </w:rPr>
              <w:t xml:space="preserve">came into </w:t>
            </w:r>
            <w:r w:rsidRPr="000F1B6E">
              <w:rPr>
                <w:rFonts w:eastAsia="Calibri"/>
                <w:sz w:val="20"/>
              </w:rPr>
              <w:t xml:space="preserve">force on March 28, 2011, and abolished accelerated parole.  Both Mr. Liang and Mr. McCulloch had to meet the discretionary and more stringent test for release at later dates under </w:t>
            </w:r>
            <w:hyperlink r:id="rId38" w:anchor="sec102_smooth" w:history="1">
              <w:r w:rsidRPr="000F1B6E">
                <w:rPr>
                  <w:rFonts w:eastAsia="Calibri"/>
                  <w:color w:val="000000"/>
                  <w:sz w:val="20"/>
                </w:rPr>
                <w:t>s. 102</w:t>
              </w:r>
            </w:hyperlink>
            <w:r w:rsidRPr="000F1B6E">
              <w:rPr>
                <w:rFonts w:eastAsia="Calibri"/>
                <w:color w:val="000000"/>
                <w:sz w:val="20"/>
              </w:rPr>
              <w:t xml:space="preserve"> of the </w:t>
            </w:r>
            <w:r w:rsidRPr="000F1B6E">
              <w:rPr>
                <w:rFonts w:eastAsia="Calibri"/>
                <w:i/>
                <w:sz w:val="20"/>
              </w:rPr>
              <w:t>Corrections and Conditional Release Act</w:t>
            </w:r>
            <w:r w:rsidRPr="000F1B6E">
              <w:rPr>
                <w:rFonts w:eastAsia="Calibri"/>
                <w:sz w:val="20"/>
              </w:rPr>
              <w:t>, S.C. 1992, c. 20</w:t>
            </w:r>
            <w:r w:rsidRPr="000F1B6E">
              <w:rPr>
                <w:rFonts w:eastAsia="Calibri"/>
                <w:color w:val="000000"/>
                <w:sz w:val="20"/>
              </w:rPr>
              <w:t xml:space="preserve">.  </w:t>
            </w:r>
          </w:p>
          <w:p w:rsidR="00661E92" w:rsidRPr="000F1B6E" w:rsidRDefault="00661E92" w:rsidP="00661E92">
            <w:pPr>
              <w:jc w:val="both"/>
              <w:rPr>
                <w:rFonts w:eastAsia="Calibri"/>
                <w:sz w:val="20"/>
              </w:rPr>
            </w:pPr>
          </w:p>
        </w:tc>
      </w:tr>
      <w:tr w:rsidR="00661E92" w:rsidRPr="000F1B6E" w:rsidTr="00661E92">
        <w:tc>
          <w:tcPr>
            <w:tcW w:w="2427" w:type="pct"/>
          </w:tcPr>
          <w:p w:rsidR="00661E92" w:rsidRPr="000F1B6E" w:rsidRDefault="00661E92" w:rsidP="00661E92">
            <w:pPr>
              <w:jc w:val="both"/>
              <w:rPr>
                <w:rFonts w:eastAsia="Calibri"/>
                <w:sz w:val="20"/>
              </w:rPr>
            </w:pPr>
            <w:r w:rsidRPr="000F1B6E">
              <w:rPr>
                <w:rFonts w:eastAsia="Calibri"/>
                <w:sz w:val="20"/>
              </w:rPr>
              <w:t>October 10, 2013</w:t>
            </w:r>
          </w:p>
          <w:p w:rsidR="00661E92" w:rsidRPr="000F1B6E" w:rsidRDefault="00661E92" w:rsidP="00661E92">
            <w:pPr>
              <w:jc w:val="both"/>
              <w:rPr>
                <w:rFonts w:eastAsia="Calibri"/>
                <w:sz w:val="20"/>
              </w:rPr>
            </w:pPr>
            <w:r w:rsidRPr="000F1B6E">
              <w:rPr>
                <w:rFonts w:eastAsia="Calibri"/>
                <w:sz w:val="20"/>
              </w:rPr>
              <w:t>Supreme Court of British Columbia</w:t>
            </w:r>
          </w:p>
          <w:p w:rsidR="00661E92" w:rsidRPr="000F1B6E" w:rsidRDefault="00661E92" w:rsidP="00661E92">
            <w:pPr>
              <w:jc w:val="both"/>
              <w:rPr>
                <w:rFonts w:eastAsia="Calibri"/>
                <w:sz w:val="20"/>
              </w:rPr>
            </w:pPr>
            <w:r w:rsidRPr="000F1B6E">
              <w:rPr>
                <w:rFonts w:eastAsia="Calibri"/>
                <w:sz w:val="20"/>
              </w:rPr>
              <w:t>(Smith J.)</w:t>
            </w:r>
          </w:p>
          <w:p w:rsidR="00661E92" w:rsidRPr="000F1B6E" w:rsidRDefault="00E42AAB" w:rsidP="00661E92">
            <w:pPr>
              <w:jc w:val="both"/>
              <w:rPr>
                <w:rFonts w:eastAsia="Calibri"/>
                <w:sz w:val="20"/>
              </w:rPr>
            </w:pPr>
            <w:hyperlink r:id="rId39" w:history="1">
              <w:r w:rsidR="00661E92" w:rsidRPr="000F1B6E">
                <w:rPr>
                  <w:rFonts w:eastAsia="Calibri"/>
                  <w:color w:val="0000FF"/>
                  <w:sz w:val="20"/>
                  <w:u w:val="single"/>
                </w:rPr>
                <w:t>2013 BCSC 1859</w:t>
              </w:r>
            </w:hyperlink>
          </w:p>
          <w:p w:rsidR="00661E92" w:rsidRPr="000F1B6E" w:rsidRDefault="00661E92" w:rsidP="00661E92">
            <w:pPr>
              <w:jc w:val="both"/>
              <w:rPr>
                <w:rFonts w:eastAsia="Calibri"/>
                <w:sz w:val="20"/>
              </w:rPr>
            </w:pPr>
          </w:p>
        </w:tc>
        <w:tc>
          <w:tcPr>
            <w:tcW w:w="243" w:type="pct"/>
          </w:tcPr>
          <w:p w:rsidR="00661E92" w:rsidRPr="000F1B6E" w:rsidRDefault="00661E92" w:rsidP="00661E92">
            <w:pPr>
              <w:jc w:val="both"/>
              <w:rPr>
                <w:rFonts w:eastAsia="Calibri"/>
                <w:sz w:val="20"/>
              </w:rPr>
            </w:pPr>
          </w:p>
        </w:tc>
        <w:tc>
          <w:tcPr>
            <w:tcW w:w="2330" w:type="pct"/>
          </w:tcPr>
          <w:p w:rsidR="00661E92" w:rsidRPr="000F1B6E" w:rsidRDefault="00661E92" w:rsidP="00661E92">
            <w:pPr>
              <w:jc w:val="both"/>
              <w:rPr>
                <w:rFonts w:eastAsia="Calibri"/>
                <w:sz w:val="20"/>
              </w:rPr>
            </w:pPr>
            <w:r w:rsidRPr="000F1B6E">
              <w:rPr>
                <w:rFonts w:eastAsia="Calibri"/>
                <w:i/>
                <w:sz w:val="20"/>
              </w:rPr>
              <w:t>Abolition of Early Parole Act</w:t>
            </w:r>
            <w:r w:rsidRPr="000F1B6E">
              <w:rPr>
                <w:rFonts w:eastAsia="Calibri"/>
                <w:sz w:val="20"/>
              </w:rPr>
              <w:t xml:space="preserve"> declared not valid to extent it applies to offenders sentenced for offences committed before March 28, 2011</w:t>
            </w:r>
          </w:p>
          <w:p w:rsidR="00661E92" w:rsidRPr="000F1B6E" w:rsidRDefault="00661E92" w:rsidP="00661E92">
            <w:pPr>
              <w:jc w:val="both"/>
              <w:rPr>
                <w:rFonts w:eastAsia="Calibri"/>
                <w:sz w:val="20"/>
              </w:rPr>
            </w:pPr>
          </w:p>
        </w:tc>
      </w:tr>
      <w:tr w:rsidR="00661E92" w:rsidRPr="000F1B6E" w:rsidTr="00661E92">
        <w:tc>
          <w:tcPr>
            <w:tcW w:w="2427" w:type="pct"/>
          </w:tcPr>
          <w:p w:rsidR="00661E92" w:rsidRPr="000F1B6E" w:rsidRDefault="00661E92" w:rsidP="00661E92">
            <w:pPr>
              <w:jc w:val="both"/>
              <w:rPr>
                <w:rFonts w:eastAsia="Calibri"/>
                <w:sz w:val="20"/>
              </w:rPr>
            </w:pPr>
            <w:r w:rsidRPr="000F1B6E">
              <w:rPr>
                <w:rFonts w:eastAsia="Calibri"/>
                <w:sz w:val="20"/>
              </w:rPr>
              <w:t>May 20, 2014</w:t>
            </w:r>
          </w:p>
          <w:p w:rsidR="00661E92" w:rsidRPr="000F1B6E" w:rsidRDefault="00661E92" w:rsidP="00661E92">
            <w:pPr>
              <w:jc w:val="both"/>
              <w:rPr>
                <w:rFonts w:eastAsia="Calibri"/>
                <w:sz w:val="20"/>
              </w:rPr>
            </w:pPr>
            <w:r w:rsidRPr="000F1B6E">
              <w:rPr>
                <w:rFonts w:eastAsia="Calibri"/>
                <w:sz w:val="20"/>
              </w:rPr>
              <w:t xml:space="preserve">Court of Appeal for British Columbia </w:t>
            </w:r>
          </w:p>
          <w:p w:rsidR="00661E92" w:rsidRPr="000F1B6E" w:rsidRDefault="00661E92" w:rsidP="00661E92">
            <w:pPr>
              <w:jc w:val="both"/>
              <w:rPr>
                <w:rFonts w:eastAsia="Calibri"/>
                <w:sz w:val="20"/>
              </w:rPr>
            </w:pPr>
            <w:r w:rsidRPr="000F1B6E">
              <w:rPr>
                <w:rFonts w:eastAsia="Calibri"/>
                <w:sz w:val="20"/>
              </w:rPr>
              <w:t>(Vancouver)</w:t>
            </w:r>
          </w:p>
          <w:p w:rsidR="00661E92" w:rsidRPr="000F1B6E" w:rsidRDefault="00661E92" w:rsidP="00661E92">
            <w:pPr>
              <w:jc w:val="both"/>
              <w:rPr>
                <w:rFonts w:eastAsia="Calibri"/>
                <w:sz w:val="20"/>
              </w:rPr>
            </w:pPr>
            <w:r w:rsidRPr="000F1B6E">
              <w:rPr>
                <w:rFonts w:eastAsia="Calibri"/>
                <w:sz w:val="20"/>
              </w:rPr>
              <w:t>(Newbury, Mackenzie, Stromberg-Stein JJ.A.)</w:t>
            </w:r>
          </w:p>
          <w:p w:rsidR="00661E92" w:rsidRPr="000F1B6E" w:rsidRDefault="00661E92" w:rsidP="00661E92">
            <w:pPr>
              <w:jc w:val="both"/>
              <w:rPr>
                <w:rFonts w:eastAsia="Calibri"/>
                <w:sz w:val="20"/>
              </w:rPr>
            </w:pPr>
            <w:r w:rsidRPr="000F1B6E">
              <w:rPr>
                <w:rFonts w:eastAsia="Calibri"/>
                <w:sz w:val="20"/>
              </w:rPr>
              <w:t xml:space="preserve">CA041276, CA041275; </w:t>
            </w:r>
            <w:hyperlink r:id="rId40" w:history="1">
              <w:r w:rsidRPr="000F1B6E">
                <w:rPr>
                  <w:rFonts w:eastAsia="Calibri"/>
                  <w:color w:val="0000FF"/>
                  <w:sz w:val="20"/>
                  <w:u w:val="single"/>
                </w:rPr>
                <w:t>2014 BCCA 190</w:t>
              </w:r>
            </w:hyperlink>
          </w:p>
          <w:p w:rsidR="00661E92" w:rsidRPr="000F1B6E" w:rsidRDefault="00661E92" w:rsidP="00661E92">
            <w:pPr>
              <w:jc w:val="both"/>
              <w:rPr>
                <w:rFonts w:eastAsia="Calibri"/>
                <w:sz w:val="20"/>
              </w:rPr>
            </w:pPr>
            <w:r w:rsidRPr="000F1B6E">
              <w:rPr>
                <w:rFonts w:eastAsia="Calibri"/>
                <w:sz w:val="20"/>
              </w:rPr>
              <w:t xml:space="preserve"> </w:t>
            </w:r>
          </w:p>
        </w:tc>
        <w:tc>
          <w:tcPr>
            <w:tcW w:w="243" w:type="pct"/>
          </w:tcPr>
          <w:p w:rsidR="00661E92" w:rsidRPr="000F1B6E" w:rsidRDefault="00661E92" w:rsidP="00661E92">
            <w:pPr>
              <w:jc w:val="both"/>
              <w:rPr>
                <w:rFonts w:eastAsia="Calibri"/>
                <w:sz w:val="20"/>
              </w:rPr>
            </w:pPr>
          </w:p>
        </w:tc>
        <w:tc>
          <w:tcPr>
            <w:tcW w:w="2330" w:type="pct"/>
          </w:tcPr>
          <w:p w:rsidR="00661E92" w:rsidRPr="000F1B6E" w:rsidRDefault="00661E92" w:rsidP="00661E92">
            <w:pPr>
              <w:jc w:val="both"/>
              <w:rPr>
                <w:rFonts w:eastAsia="Calibri"/>
                <w:sz w:val="20"/>
              </w:rPr>
            </w:pPr>
            <w:r w:rsidRPr="000F1B6E">
              <w:rPr>
                <w:rFonts w:eastAsia="Calibri"/>
                <w:sz w:val="20"/>
              </w:rPr>
              <w:t>Appeal dismissed</w:t>
            </w:r>
          </w:p>
          <w:p w:rsidR="00661E92" w:rsidRPr="000F1B6E" w:rsidRDefault="00661E92" w:rsidP="00661E92">
            <w:pPr>
              <w:jc w:val="both"/>
              <w:rPr>
                <w:rFonts w:eastAsia="Calibri"/>
                <w:sz w:val="20"/>
              </w:rPr>
            </w:pPr>
          </w:p>
        </w:tc>
      </w:tr>
      <w:tr w:rsidR="00661E92" w:rsidRPr="000F1B6E" w:rsidTr="00661E92">
        <w:tc>
          <w:tcPr>
            <w:tcW w:w="2427" w:type="pct"/>
          </w:tcPr>
          <w:p w:rsidR="00661E92" w:rsidRPr="000F1B6E" w:rsidRDefault="00661E92" w:rsidP="00661E92">
            <w:pPr>
              <w:jc w:val="both"/>
              <w:rPr>
                <w:rFonts w:eastAsia="Calibri"/>
                <w:sz w:val="20"/>
              </w:rPr>
            </w:pPr>
            <w:r w:rsidRPr="000F1B6E">
              <w:rPr>
                <w:rFonts w:eastAsia="Calibri"/>
                <w:sz w:val="20"/>
              </w:rPr>
              <w:lastRenderedPageBreak/>
              <w:t>July 18, 2014</w:t>
            </w:r>
          </w:p>
          <w:p w:rsidR="00661E92" w:rsidRPr="000F1B6E" w:rsidRDefault="00661E92" w:rsidP="00661E92">
            <w:pPr>
              <w:jc w:val="both"/>
              <w:rPr>
                <w:rFonts w:eastAsia="Calibri"/>
                <w:sz w:val="20"/>
              </w:rPr>
            </w:pPr>
            <w:r w:rsidRPr="000F1B6E">
              <w:rPr>
                <w:rFonts w:eastAsia="Calibri"/>
                <w:sz w:val="20"/>
              </w:rPr>
              <w:t>Supreme Court of Canada</w:t>
            </w:r>
          </w:p>
        </w:tc>
        <w:tc>
          <w:tcPr>
            <w:tcW w:w="243" w:type="pct"/>
          </w:tcPr>
          <w:p w:rsidR="00661E92" w:rsidRPr="000F1B6E" w:rsidRDefault="00661E92" w:rsidP="00661E92">
            <w:pPr>
              <w:jc w:val="both"/>
              <w:rPr>
                <w:rFonts w:eastAsia="Calibri"/>
                <w:sz w:val="20"/>
              </w:rPr>
            </w:pPr>
          </w:p>
        </w:tc>
        <w:tc>
          <w:tcPr>
            <w:tcW w:w="2330" w:type="pct"/>
          </w:tcPr>
          <w:p w:rsidR="00661E92" w:rsidRPr="000F1B6E" w:rsidRDefault="00661E92" w:rsidP="00661E92">
            <w:pPr>
              <w:jc w:val="both"/>
              <w:rPr>
                <w:rFonts w:eastAsia="Calibri"/>
                <w:sz w:val="20"/>
              </w:rPr>
            </w:pPr>
            <w:r w:rsidRPr="000F1B6E">
              <w:rPr>
                <w:rFonts w:eastAsia="Calibri"/>
                <w:sz w:val="20"/>
              </w:rPr>
              <w:t>Application for leave to appeal filed</w:t>
            </w:r>
          </w:p>
          <w:p w:rsidR="00661E92" w:rsidRPr="000F1B6E" w:rsidRDefault="00661E92" w:rsidP="00661E92">
            <w:pPr>
              <w:jc w:val="both"/>
              <w:rPr>
                <w:rFonts w:eastAsia="Calibri"/>
                <w:sz w:val="20"/>
              </w:rPr>
            </w:pPr>
          </w:p>
        </w:tc>
      </w:tr>
    </w:tbl>
    <w:p w:rsidR="00124C37" w:rsidRPr="00661E92" w:rsidRDefault="00124C37" w:rsidP="00124C37">
      <w:pPr>
        <w:rPr>
          <w:sz w:val="20"/>
          <w:szCs w:val="20"/>
        </w:rPr>
      </w:pPr>
    </w:p>
    <w:p w:rsidR="00124C37" w:rsidRPr="00C50A5C" w:rsidRDefault="00E42AAB" w:rsidP="00124C37">
      <w:pPr>
        <w:rPr>
          <w:sz w:val="20"/>
          <w:szCs w:val="20"/>
        </w:rPr>
      </w:pPr>
      <w:r>
        <w:rPr>
          <w:sz w:val="20"/>
          <w:szCs w:val="20"/>
          <w:lang w:val="fr-CA"/>
        </w:rPr>
        <w:pict>
          <v:rect id="_x0000_i1053" style="width:2in;height:1pt" o:hrpct="0" o:hralign="center" o:hrstd="t" o:hrnoshade="t" o:hr="t" fillcolor="black [3213]" stroked="f"/>
        </w:pict>
      </w:r>
    </w:p>
    <w:p w:rsidR="00124C37" w:rsidRDefault="00124C37" w:rsidP="00124C37">
      <w:pPr>
        <w:rPr>
          <w:sz w:val="20"/>
          <w:szCs w:val="20"/>
        </w:rPr>
      </w:pPr>
    </w:p>
    <w:p w:rsidR="00124C37" w:rsidRPr="001B157C" w:rsidRDefault="00124C37" w:rsidP="00124C37">
      <w:pPr>
        <w:rPr>
          <w:sz w:val="20"/>
          <w:szCs w:val="20"/>
          <w:u w:val="single"/>
          <w:lang w:val="fr-CA"/>
        </w:rPr>
      </w:pPr>
      <w:r w:rsidRPr="001B157C">
        <w:rPr>
          <w:sz w:val="20"/>
          <w:szCs w:val="20"/>
          <w:u w:val="single"/>
          <w:lang w:val="fr-CA"/>
        </w:rPr>
        <w:t>RÉSUMÉ DE L’AFFAIRE</w:t>
      </w:r>
    </w:p>
    <w:p w:rsidR="00124C37" w:rsidRDefault="00124C37" w:rsidP="00124C3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61E92" w:rsidRPr="0025502E" w:rsidTr="00661E92">
        <w:tc>
          <w:tcPr>
            <w:tcW w:w="5000" w:type="pct"/>
            <w:gridSpan w:val="3"/>
          </w:tcPr>
          <w:p w:rsidR="00661E92" w:rsidRPr="000F1B6E" w:rsidRDefault="00661E92" w:rsidP="00661E92">
            <w:pPr>
              <w:jc w:val="both"/>
              <w:rPr>
                <w:rFonts w:eastAsia="Calibri"/>
                <w:sz w:val="20"/>
                <w:lang w:val="fr-CA"/>
              </w:rPr>
            </w:pPr>
            <w:r w:rsidRPr="000F1B6E">
              <w:rPr>
                <w:rFonts w:eastAsia="Calibri"/>
                <w:i/>
                <w:sz w:val="20"/>
                <w:lang w:val="fr-CA"/>
              </w:rPr>
              <w:t>Charte des droits et libertés</w:t>
            </w:r>
            <w:r w:rsidRPr="000F1B6E">
              <w:rPr>
                <w:rFonts w:eastAsia="Calibri"/>
                <w:sz w:val="20"/>
                <w:lang w:val="fr-CA"/>
              </w:rPr>
              <w:t xml:space="preserve"> — Droit criminel — Droit de bénéficier de la peine la moins sévère — Libérations conditionnelles — La </w:t>
            </w:r>
            <w:r w:rsidRPr="000F1B6E">
              <w:rPr>
                <w:rFonts w:eastAsia="Calibri"/>
                <w:i/>
                <w:sz w:val="20"/>
                <w:lang w:val="fr-CA"/>
              </w:rPr>
              <w:t>Loi sur l’abolition de la libération anticipée des criminels</w:t>
            </w:r>
            <w:r w:rsidRPr="000F1B6E">
              <w:rPr>
                <w:rFonts w:eastAsia="Calibri"/>
                <w:sz w:val="20"/>
                <w:lang w:val="fr-CA"/>
              </w:rPr>
              <w:t>, L.C. 2011, c. 11, s’applique</w:t>
            </w:r>
            <w:r w:rsidRPr="000F1B6E">
              <w:rPr>
                <w:rFonts w:eastAsia="Calibri"/>
                <w:sz w:val="20"/>
                <w:lang w:val="fr-CA"/>
              </w:rPr>
              <w:noBreakHyphen/>
              <w:t>t</w:t>
            </w:r>
            <w:r w:rsidRPr="000F1B6E">
              <w:rPr>
                <w:rFonts w:eastAsia="Calibri"/>
                <w:sz w:val="20"/>
                <w:lang w:val="fr-CA"/>
              </w:rPr>
              <w:noBreakHyphen/>
              <w:t>elle aux délinquants ayant commis leurs infractions avant l’entrée en vigueur de la Loi, mais ayant été condamnés après l’entrée en vigueur de celle</w:t>
            </w:r>
            <w:r w:rsidRPr="000F1B6E">
              <w:rPr>
                <w:rFonts w:eastAsia="Calibri"/>
                <w:sz w:val="20"/>
                <w:lang w:val="fr-CA"/>
              </w:rPr>
              <w:noBreakHyphen/>
              <w:t>ci? — L’alinéa 11</w:t>
            </w:r>
            <w:r w:rsidRPr="000F1B6E">
              <w:rPr>
                <w:rFonts w:eastAsia="Calibri"/>
                <w:i/>
                <w:sz w:val="20"/>
                <w:lang w:val="fr-CA"/>
              </w:rPr>
              <w:t>i</w:t>
            </w:r>
            <w:r w:rsidRPr="000F1B6E">
              <w:rPr>
                <w:rFonts w:eastAsia="Calibri"/>
                <w:sz w:val="20"/>
                <w:lang w:val="fr-CA"/>
              </w:rPr>
              <w:t xml:space="preserve">) de la </w:t>
            </w:r>
            <w:r w:rsidRPr="000F1B6E">
              <w:rPr>
                <w:rFonts w:eastAsia="Calibri"/>
                <w:i/>
                <w:sz w:val="20"/>
                <w:lang w:val="fr-CA"/>
              </w:rPr>
              <w:t>Charte</w:t>
            </w:r>
            <w:r w:rsidRPr="000F1B6E">
              <w:rPr>
                <w:rFonts w:eastAsia="Calibri"/>
                <w:sz w:val="20"/>
                <w:lang w:val="fr-CA"/>
              </w:rPr>
              <w:t xml:space="preserve"> garantit</w:t>
            </w:r>
            <w:r w:rsidRPr="000F1B6E">
              <w:rPr>
                <w:rFonts w:eastAsia="Calibri"/>
                <w:sz w:val="20"/>
                <w:lang w:val="fr-CA"/>
              </w:rPr>
              <w:noBreakHyphen/>
              <w:t xml:space="preserve">il le régime le plus favorable d’admissibilité à la libération conditionnelle établi en vertu de la </w:t>
            </w:r>
            <w:r w:rsidRPr="000F1B6E">
              <w:rPr>
                <w:rFonts w:eastAsia="Calibri"/>
                <w:i/>
                <w:sz w:val="20"/>
                <w:lang w:val="fr-CA"/>
              </w:rPr>
              <w:t>Loi sur le système correctionnel et la mise en liberté sous condition</w:t>
            </w:r>
            <w:r w:rsidRPr="000F1B6E">
              <w:rPr>
                <w:rFonts w:eastAsia="Calibri"/>
                <w:sz w:val="20"/>
                <w:lang w:val="fr-CA"/>
              </w:rPr>
              <w:t xml:space="preserve">, L.C. 1992, c. 20, entre le moment de la perpétration de l’infraction et celui de la sentence? — L’arrêt </w:t>
            </w:r>
            <w:r w:rsidRPr="000F1B6E">
              <w:rPr>
                <w:rFonts w:eastAsia="Calibri"/>
                <w:i/>
                <w:sz w:val="20"/>
                <w:lang w:val="fr-CA"/>
              </w:rPr>
              <w:t>Canada (P.</w:t>
            </w:r>
            <w:r w:rsidRPr="000F1B6E">
              <w:rPr>
                <w:rFonts w:eastAsia="Calibri"/>
                <w:i/>
                <w:sz w:val="20"/>
                <w:lang w:val="fr-CA"/>
              </w:rPr>
              <w:noBreakHyphen/>
              <w:t>G.) c. Whaling</w:t>
            </w:r>
            <w:r w:rsidRPr="000F1B6E">
              <w:rPr>
                <w:rFonts w:eastAsia="Calibri"/>
                <w:sz w:val="20"/>
                <w:lang w:val="fr-CA"/>
              </w:rPr>
              <w:t>, 2014 CSC 20, est</w:t>
            </w:r>
            <w:r w:rsidRPr="000F1B6E">
              <w:rPr>
                <w:rFonts w:eastAsia="Calibri"/>
                <w:sz w:val="20"/>
                <w:lang w:val="fr-CA"/>
              </w:rPr>
              <w:noBreakHyphen/>
              <w:t>il déterminant quant à ce qui constitue une modification de la peine avant le prononcé de la sentence au sens de l’al. 11</w:t>
            </w:r>
            <w:r w:rsidRPr="000F1B6E">
              <w:rPr>
                <w:rFonts w:eastAsia="Calibri"/>
                <w:i/>
                <w:sz w:val="20"/>
                <w:lang w:val="fr-CA"/>
              </w:rPr>
              <w:t>i</w:t>
            </w:r>
            <w:r w:rsidRPr="000F1B6E">
              <w:rPr>
                <w:rFonts w:eastAsia="Calibri"/>
                <w:sz w:val="20"/>
                <w:lang w:val="fr-CA"/>
              </w:rPr>
              <w:t xml:space="preserve">) de la </w:t>
            </w:r>
            <w:r w:rsidRPr="000F1B6E">
              <w:rPr>
                <w:rFonts w:eastAsia="Calibri"/>
                <w:i/>
                <w:sz w:val="20"/>
                <w:lang w:val="fr-CA"/>
              </w:rPr>
              <w:t>Charte</w:t>
            </w:r>
            <w:r w:rsidRPr="000F1B6E">
              <w:rPr>
                <w:rFonts w:eastAsia="Calibri"/>
                <w:sz w:val="20"/>
                <w:lang w:val="fr-CA"/>
              </w:rPr>
              <w:t>?</w:t>
            </w:r>
          </w:p>
        </w:tc>
      </w:tr>
      <w:tr w:rsidR="00661E92" w:rsidRPr="0025502E" w:rsidTr="00661E92">
        <w:tc>
          <w:tcPr>
            <w:tcW w:w="5000" w:type="pct"/>
            <w:gridSpan w:val="3"/>
          </w:tcPr>
          <w:p w:rsidR="00661E92" w:rsidRPr="000F1B6E" w:rsidRDefault="00661E92" w:rsidP="00661E92">
            <w:pPr>
              <w:jc w:val="both"/>
              <w:rPr>
                <w:rFonts w:eastAsia="Calibri"/>
                <w:sz w:val="20"/>
                <w:lang w:val="fr-CA"/>
              </w:rPr>
            </w:pPr>
          </w:p>
        </w:tc>
      </w:tr>
      <w:tr w:rsidR="00661E92" w:rsidRPr="0025502E" w:rsidTr="00661E92">
        <w:tc>
          <w:tcPr>
            <w:tcW w:w="5000" w:type="pct"/>
            <w:gridSpan w:val="3"/>
          </w:tcPr>
          <w:p w:rsidR="00661E92" w:rsidRPr="000F1B6E" w:rsidRDefault="00661E92" w:rsidP="00661E92">
            <w:pPr>
              <w:jc w:val="both"/>
              <w:rPr>
                <w:rFonts w:eastAsia="Calibri"/>
                <w:color w:val="000000"/>
                <w:sz w:val="20"/>
                <w:lang w:val="fr-CA"/>
              </w:rPr>
            </w:pPr>
            <w:r w:rsidRPr="000F1B6E">
              <w:rPr>
                <w:rFonts w:eastAsia="Calibri"/>
                <w:sz w:val="20"/>
                <w:lang w:val="fr-CA"/>
              </w:rPr>
              <w:t>Messieurs Liang et McCulloch étaient des détenus purgeant une première peine dans un pénitencier fédéral pour des infractions sans violence commises le 30 juin 2010 et le 26 août 2009, respectivement. S’ils avaient été condamnés au moment de la perpétration des infractions, ils auraient été admissibles à la semi</w:t>
            </w:r>
            <w:r w:rsidRPr="000F1B6E">
              <w:rPr>
                <w:rFonts w:eastAsia="Calibri"/>
                <w:sz w:val="20"/>
                <w:lang w:val="fr-CA"/>
              </w:rPr>
              <w:noBreakHyphen/>
              <w:t xml:space="preserve">liberté anticipée en vertu de l’ancien régime d’examen expéditif. Entrée en vigueur le 28 mars 2011, la </w:t>
            </w:r>
            <w:r w:rsidRPr="000F1B6E">
              <w:rPr>
                <w:rFonts w:eastAsia="Calibri"/>
                <w:i/>
                <w:sz w:val="20"/>
                <w:lang w:val="fr-CA"/>
              </w:rPr>
              <w:t>Loi sur l’abolition de la libération anticipée des criminels</w:t>
            </w:r>
            <w:r w:rsidRPr="000F1B6E">
              <w:rPr>
                <w:rFonts w:eastAsia="Calibri"/>
                <w:sz w:val="20"/>
                <w:lang w:val="fr-CA"/>
              </w:rPr>
              <w:t>, L.C. 2011, c. 11, a aboli la procédure d’examen expéditif avant le prononcé de leur sentence. En application de</w:t>
            </w:r>
            <w:hyperlink r:id="rId41" w:anchor="sec102_smooth" w:history="1">
              <w:r w:rsidRPr="000F1B6E">
                <w:rPr>
                  <w:rFonts w:eastAsia="Calibri"/>
                  <w:color w:val="000000"/>
                  <w:sz w:val="20"/>
                  <w:lang w:val="fr-CA"/>
                </w:rPr>
                <w:t xml:space="preserve"> l’art. 102</w:t>
              </w:r>
            </w:hyperlink>
            <w:r w:rsidRPr="000F1B6E">
              <w:rPr>
                <w:rFonts w:eastAsia="Calibri"/>
                <w:color w:val="000000"/>
                <w:sz w:val="20"/>
                <w:lang w:val="fr-CA"/>
              </w:rPr>
              <w:t xml:space="preserve"> de la </w:t>
            </w:r>
            <w:r w:rsidRPr="000F1B6E">
              <w:rPr>
                <w:rFonts w:eastAsia="Calibri"/>
                <w:i/>
                <w:sz w:val="20"/>
                <w:lang w:val="fr-CA"/>
              </w:rPr>
              <w:t>Loi sur le système correctionnel et la mise en liberté sous condition</w:t>
            </w:r>
            <w:r w:rsidRPr="000F1B6E">
              <w:rPr>
                <w:rFonts w:eastAsia="Calibri"/>
                <w:sz w:val="20"/>
                <w:lang w:val="fr-CA"/>
              </w:rPr>
              <w:t>, L.C. 1992, c. 20, MM. Liang et McCulloch devaient tous deux satisfaire à un critère discrétionnaire plus exigeant pour obtenir leur libération à des dates ultérieures.</w:t>
            </w:r>
          </w:p>
          <w:p w:rsidR="00661E92" w:rsidRPr="000F1B6E" w:rsidRDefault="00661E92" w:rsidP="00661E92">
            <w:pPr>
              <w:jc w:val="both"/>
              <w:rPr>
                <w:rFonts w:eastAsia="Calibri"/>
                <w:sz w:val="20"/>
                <w:lang w:val="fr-CA"/>
              </w:rPr>
            </w:pPr>
          </w:p>
        </w:tc>
      </w:tr>
      <w:tr w:rsidR="00661E92" w:rsidRPr="0025502E" w:rsidTr="00661E92">
        <w:tc>
          <w:tcPr>
            <w:tcW w:w="2427" w:type="pct"/>
          </w:tcPr>
          <w:p w:rsidR="00661E92" w:rsidRPr="000F1B6E" w:rsidRDefault="00661E92" w:rsidP="00661E92">
            <w:pPr>
              <w:jc w:val="both"/>
              <w:rPr>
                <w:rFonts w:eastAsia="Calibri"/>
                <w:sz w:val="20"/>
                <w:lang w:val="fr-CA"/>
              </w:rPr>
            </w:pPr>
            <w:r w:rsidRPr="000F1B6E">
              <w:rPr>
                <w:rFonts w:eastAsia="Calibri"/>
                <w:sz w:val="20"/>
                <w:lang w:val="fr-CA"/>
              </w:rPr>
              <w:t>10 octobre 2013</w:t>
            </w:r>
          </w:p>
          <w:p w:rsidR="00661E92" w:rsidRPr="000F1B6E" w:rsidRDefault="00661E92" w:rsidP="00661E92">
            <w:pPr>
              <w:jc w:val="both"/>
              <w:rPr>
                <w:rFonts w:eastAsia="Calibri"/>
                <w:sz w:val="20"/>
                <w:lang w:val="fr-CA"/>
              </w:rPr>
            </w:pPr>
            <w:r w:rsidRPr="000F1B6E">
              <w:rPr>
                <w:rFonts w:eastAsia="Calibri"/>
                <w:sz w:val="20"/>
                <w:lang w:val="fr-CA"/>
              </w:rPr>
              <w:t>Cour suprême de la Colombie</w:t>
            </w:r>
            <w:r w:rsidRPr="000F1B6E">
              <w:rPr>
                <w:rFonts w:eastAsia="Calibri"/>
                <w:sz w:val="20"/>
                <w:lang w:val="fr-CA"/>
              </w:rPr>
              <w:noBreakHyphen/>
              <w:t>Britannique</w:t>
            </w:r>
          </w:p>
          <w:p w:rsidR="00661E92" w:rsidRPr="000F1B6E" w:rsidRDefault="00661E92" w:rsidP="00661E92">
            <w:pPr>
              <w:jc w:val="both"/>
              <w:rPr>
                <w:rFonts w:eastAsia="Calibri"/>
                <w:sz w:val="20"/>
                <w:lang w:val="fr-CA"/>
              </w:rPr>
            </w:pPr>
            <w:r w:rsidRPr="000F1B6E">
              <w:rPr>
                <w:rFonts w:eastAsia="Calibri"/>
                <w:sz w:val="20"/>
                <w:lang w:val="fr-CA"/>
              </w:rPr>
              <w:t>(Juge Smith)</w:t>
            </w:r>
          </w:p>
          <w:p w:rsidR="00661E92" w:rsidRPr="000F1B6E" w:rsidRDefault="00E42AAB" w:rsidP="00661E92">
            <w:pPr>
              <w:jc w:val="both"/>
              <w:rPr>
                <w:rFonts w:eastAsia="Calibri"/>
                <w:sz w:val="20"/>
                <w:lang w:val="fr-CA"/>
              </w:rPr>
            </w:pPr>
            <w:hyperlink r:id="rId42" w:history="1">
              <w:r w:rsidR="00661E92" w:rsidRPr="000F1B6E">
                <w:rPr>
                  <w:rFonts w:eastAsia="Calibri"/>
                  <w:color w:val="0000FF"/>
                  <w:sz w:val="20"/>
                  <w:u w:val="single"/>
                  <w:lang w:val="fr-CA"/>
                </w:rPr>
                <w:t>2013 BCSC 1859</w:t>
              </w:r>
            </w:hyperlink>
          </w:p>
          <w:p w:rsidR="00661E92" w:rsidRPr="000F1B6E" w:rsidRDefault="00661E92" w:rsidP="00661E92">
            <w:pPr>
              <w:jc w:val="both"/>
              <w:rPr>
                <w:rFonts w:eastAsia="Calibri"/>
                <w:sz w:val="20"/>
                <w:lang w:val="fr-CA"/>
              </w:rPr>
            </w:pPr>
          </w:p>
        </w:tc>
        <w:tc>
          <w:tcPr>
            <w:tcW w:w="243" w:type="pct"/>
          </w:tcPr>
          <w:p w:rsidR="00661E92" w:rsidRPr="000F1B6E" w:rsidRDefault="00661E92" w:rsidP="00661E92">
            <w:pPr>
              <w:jc w:val="both"/>
              <w:rPr>
                <w:rFonts w:eastAsia="Calibri"/>
                <w:sz w:val="20"/>
                <w:lang w:val="fr-CA"/>
              </w:rPr>
            </w:pPr>
          </w:p>
        </w:tc>
        <w:tc>
          <w:tcPr>
            <w:tcW w:w="2330" w:type="pct"/>
          </w:tcPr>
          <w:p w:rsidR="00661E92" w:rsidRPr="000F1B6E" w:rsidRDefault="00661E92" w:rsidP="00661E92">
            <w:pPr>
              <w:jc w:val="both"/>
              <w:rPr>
                <w:rFonts w:eastAsia="Calibri"/>
                <w:sz w:val="20"/>
                <w:lang w:val="fr-CA"/>
              </w:rPr>
            </w:pPr>
            <w:r w:rsidRPr="000F1B6E">
              <w:rPr>
                <w:rFonts w:eastAsia="Calibri"/>
                <w:sz w:val="20"/>
                <w:lang w:val="fr-CA"/>
              </w:rPr>
              <w:t>Déclaration d’invalidité de la</w:t>
            </w:r>
            <w:r w:rsidRPr="000F1B6E">
              <w:rPr>
                <w:rFonts w:eastAsia="Calibri"/>
                <w:i/>
                <w:sz w:val="20"/>
                <w:lang w:val="fr-CA"/>
              </w:rPr>
              <w:t xml:space="preserve"> Loi sur l’abolition de la libération anticipée des criminels</w:t>
            </w:r>
            <w:r w:rsidRPr="000F1B6E">
              <w:rPr>
                <w:rFonts w:eastAsia="Calibri"/>
                <w:sz w:val="20"/>
                <w:lang w:val="fr-CA"/>
              </w:rPr>
              <w:t xml:space="preserve"> dans la mesure où elle s’applique aux délinquants condamnés pour des infractions commises avant le 28 mars 2011</w:t>
            </w:r>
          </w:p>
          <w:p w:rsidR="00661E92" w:rsidRPr="000F1B6E" w:rsidRDefault="00661E92" w:rsidP="00661E92">
            <w:pPr>
              <w:jc w:val="both"/>
              <w:rPr>
                <w:rFonts w:eastAsia="Calibri"/>
                <w:sz w:val="20"/>
                <w:lang w:val="fr-CA"/>
              </w:rPr>
            </w:pPr>
          </w:p>
        </w:tc>
      </w:tr>
      <w:tr w:rsidR="00661E92" w:rsidRPr="000F1B6E" w:rsidTr="00661E92">
        <w:tc>
          <w:tcPr>
            <w:tcW w:w="2427" w:type="pct"/>
          </w:tcPr>
          <w:p w:rsidR="00661E92" w:rsidRPr="000F1B6E" w:rsidRDefault="00661E92" w:rsidP="00661E92">
            <w:pPr>
              <w:rPr>
                <w:rFonts w:eastAsia="Calibri"/>
                <w:sz w:val="20"/>
                <w:lang w:val="fr-CA"/>
              </w:rPr>
            </w:pPr>
            <w:r w:rsidRPr="000F1B6E">
              <w:rPr>
                <w:rFonts w:eastAsia="Calibri"/>
                <w:sz w:val="20"/>
                <w:lang w:val="fr-CA"/>
              </w:rPr>
              <w:t>20 mai 2014</w:t>
            </w:r>
          </w:p>
          <w:p w:rsidR="00661E92" w:rsidRPr="000F1B6E" w:rsidRDefault="00661E92" w:rsidP="00661E92">
            <w:pPr>
              <w:rPr>
                <w:rFonts w:eastAsia="Calibri"/>
                <w:sz w:val="20"/>
                <w:lang w:val="fr-CA"/>
              </w:rPr>
            </w:pPr>
            <w:r w:rsidRPr="000F1B6E">
              <w:rPr>
                <w:rFonts w:eastAsia="Calibri"/>
                <w:sz w:val="20"/>
                <w:lang w:val="fr-CA"/>
              </w:rPr>
              <w:t>Cour d’appel de la Colombie</w:t>
            </w:r>
            <w:r w:rsidRPr="000F1B6E">
              <w:rPr>
                <w:rFonts w:eastAsia="Calibri"/>
                <w:sz w:val="20"/>
                <w:lang w:val="fr-CA"/>
              </w:rPr>
              <w:noBreakHyphen/>
              <w:t xml:space="preserve">Britannique </w:t>
            </w:r>
          </w:p>
          <w:p w:rsidR="00661E92" w:rsidRPr="000F1B6E" w:rsidRDefault="00661E92" w:rsidP="00661E92">
            <w:pPr>
              <w:rPr>
                <w:rFonts w:eastAsia="Calibri"/>
                <w:sz w:val="20"/>
                <w:lang w:val="fr-CA"/>
              </w:rPr>
            </w:pPr>
            <w:r w:rsidRPr="000F1B6E">
              <w:rPr>
                <w:rFonts w:eastAsia="Calibri"/>
                <w:sz w:val="20"/>
                <w:lang w:val="fr-CA"/>
              </w:rPr>
              <w:t>(Vancouver)</w:t>
            </w:r>
          </w:p>
          <w:p w:rsidR="00661E92" w:rsidRPr="000F1B6E" w:rsidRDefault="00661E92" w:rsidP="00661E92">
            <w:pPr>
              <w:rPr>
                <w:rFonts w:eastAsia="Calibri"/>
                <w:sz w:val="20"/>
                <w:lang w:val="fr-CA"/>
              </w:rPr>
            </w:pPr>
            <w:r w:rsidRPr="000F1B6E">
              <w:rPr>
                <w:rFonts w:eastAsia="Calibri"/>
                <w:sz w:val="20"/>
                <w:lang w:val="fr-CA"/>
              </w:rPr>
              <w:t>(Juges Newbury, Mackenzie et Stromberg</w:t>
            </w:r>
            <w:r w:rsidRPr="000F1B6E">
              <w:rPr>
                <w:rFonts w:eastAsia="Calibri"/>
                <w:sz w:val="20"/>
                <w:lang w:val="fr-CA"/>
              </w:rPr>
              <w:noBreakHyphen/>
              <w:t>Stein)</w:t>
            </w:r>
          </w:p>
          <w:p w:rsidR="00661E92" w:rsidRPr="000F1B6E" w:rsidRDefault="00661E92" w:rsidP="00661E92">
            <w:pPr>
              <w:rPr>
                <w:rFonts w:eastAsia="Calibri"/>
                <w:sz w:val="20"/>
                <w:lang w:val="fr-CA"/>
              </w:rPr>
            </w:pPr>
            <w:r w:rsidRPr="000F1B6E">
              <w:rPr>
                <w:rFonts w:eastAsia="Calibri"/>
                <w:sz w:val="20"/>
                <w:lang w:val="fr-CA"/>
              </w:rPr>
              <w:t xml:space="preserve">CA041276, CA041275; </w:t>
            </w:r>
            <w:hyperlink r:id="rId43" w:history="1">
              <w:r w:rsidRPr="000F1B6E">
                <w:rPr>
                  <w:rFonts w:eastAsia="Calibri"/>
                  <w:color w:val="0000FF"/>
                  <w:sz w:val="20"/>
                  <w:u w:val="single"/>
                  <w:lang w:val="fr-CA"/>
                </w:rPr>
                <w:t>2014 BCCA 190</w:t>
              </w:r>
            </w:hyperlink>
          </w:p>
          <w:p w:rsidR="00661E92" w:rsidRPr="000F1B6E" w:rsidRDefault="00661E92" w:rsidP="00661E92">
            <w:pPr>
              <w:jc w:val="both"/>
              <w:rPr>
                <w:rFonts w:eastAsia="Calibri"/>
                <w:sz w:val="20"/>
                <w:lang w:val="fr-CA"/>
              </w:rPr>
            </w:pPr>
          </w:p>
        </w:tc>
        <w:tc>
          <w:tcPr>
            <w:tcW w:w="243" w:type="pct"/>
          </w:tcPr>
          <w:p w:rsidR="00661E92" w:rsidRPr="000F1B6E" w:rsidRDefault="00661E92" w:rsidP="00661E92">
            <w:pPr>
              <w:jc w:val="both"/>
              <w:rPr>
                <w:rFonts w:eastAsia="Calibri"/>
                <w:sz w:val="20"/>
                <w:lang w:val="fr-CA"/>
              </w:rPr>
            </w:pPr>
          </w:p>
        </w:tc>
        <w:tc>
          <w:tcPr>
            <w:tcW w:w="2330" w:type="pct"/>
          </w:tcPr>
          <w:p w:rsidR="00661E92" w:rsidRPr="000F1B6E" w:rsidRDefault="00661E92" w:rsidP="00661E92">
            <w:pPr>
              <w:jc w:val="both"/>
              <w:rPr>
                <w:rFonts w:eastAsia="Calibri"/>
                <w:sz w:val="20"/>
                <w:lang w:val="fr-CA"/>
              </w:rPr>
            </w:pPr>
            <w:r w:rsidRPr="000F1B6E">
              <w:rPr>
                <w:rFonts w:eastAsia="Calibri"/>
                <w:sz w:val="20"/>
                <w:lang w:val="fr-CA"/>
              </w:rPr>
              <w:t>Rejet de l’appel</w:t>
            </w:r>
          </w:p>
          <w:p w:rsidR="00661E92" w:rsidRPr="000F1B6E" w:rsidRDefault="00661E92" w:rsidP="00661E92">
            <w:pPr>
              <w:jc w:val="both"/>
              <w:rPr>
                <w:rFonts w:eastAsia="Calibri"/>
                <w:sz w:val="20"/>
                <w:lang w:val="fr-CA"/>
              </w:rPr>
            </w:pPr>
          </w:p>
        </w:tc>
      </w:tr>
      <w:tr w:rsidR="00661E92" w:rsidRPr="0025502E" w:rsidTr="00661E92">
        <w:tc>
          <w:tcPr>
            <w:tcW w:w="2427" w:type="pct"/>
          </w:tcPr>
          <w:p w:rsidR="00661E92" w:rsidRPr="000F1B6E" w:rsidRDefault="00661E92" w:rsidP="00661E92">
            <w:pPr>
              <w:jc w:val="both"/>
              <w:rPr>
                <w:rFonts w:eastAsia="Calibri"/>
                <w:sz w:val="20"/>
                <w:lang w:val="fr-CA"/>
              </w:rPr>
            </w:pPr>
            <w:r w:rsidRPr="000F1B6E">
              <w:rPr>
                <w:rFonts w:eastAsia="Calibri"/>
                <w:sz w:val="20"/>
                <w:lang w:val="fr-CA"/>
              </w:rPr>
              <w:t>18 juillet 2014</w:t>
            </w:r>
          </w:p>
          <w:p w:rsidR="00661E92" w:rsidRPr="000F1B6E" w:rsidRDefault="00661E92" w:rsidP="00661E92">
            <w:pPr>
              <w:jc w:val="both"/>
              <w:rPr>
                <w:rFonts w:eastAsia="Calibri"/>
                <w:sz w:val="20"/>
                <w:lang w:val="fr-CA"/>
              </w:rPr>
            </w:pPr>
            <w:r w:rsidRPr="000F1B6E">
              <w:rPr>
                <w:rFonts w:eastAsia="Calibri"/>
                <w:sz w:val="20"/>
                <w:lang w:val="fr-CA"/>
              </w:rPr>
              <w:t>Cour suprême du Canada</w:t>
            </w:r>
          </w:p>
        </w:tc>
        <w:tc>
          <w:tcPr>
            <w:tcW w:w="243" w:type="pct"/>
          </w:tcPr>
          <w:p w:rsidR="00661E92" w:rsidRPr="000F1B6E" w:rsidRDefault="00661E92" w:rsidP="00661E92">
            <w:pPr>
              <w:jc w:val="both"/>
              <w:rPr>
                <w:rFonts w:eastAsia="Calibri"/>
                <w:sz w:val="20"/>
                <w:lang w:val="fr-CA"/>
              </w:rPr>
            </w:pPr>
          </w:p>
        </w:tc>
        <w:tc>
          <w:tcPr>
            <w:tcW w:w="2330" w:type="pct"/>
          </w:tcPr>
          <w:p w:rsidR="00661E92" w:rsidRPr="000F1B6E" w:rsidRDefault="00661E92" w:rsidP="00661E92">
            <w:pPr>
              <w:jc w:val="both"/>
              <w:rPr>
                <w:rFonts w:eastAsia="Calibri"/>
                <w:sz w:val="20"/>
                <w:lang w:val="fr-CA"/>
              </w:rPr>
            </w:pPr>
            <w:r w:rsidRPr="000F1B6E">
              <w:rPr>
                <w:rFonts w:eastAsia="Calibri"/>
                <w:sz w:val="20"/>
                <w:lang w:val="fr-CA"/>
              </w:rPr>
              <w:t>Dépôt de la demande d’autorisation d’appel</w:t>
            </w:r>
          </w:p>
          <w:p w:rsidR="00661E92" w:rsidRPr="000F1B6E" w:rsidRDefault="00661E92" w:rsidP="00661E92">
            <w:pPr>
              <w:jc w:val="both"/>
              <w:rPr>
                <w:rFonts w:eastAsia="Calibri"/>
                <w:sz w:val="20"/>
                <w:lang w:val="fr-CA"/>
              </w:rPr>
            </w:pPr>
          </w:p>
        </w:tc>
      </w:tr>
    </w:tbl>
    <w:p w:rsidR="00124C37" w:rsidRPr="00661E92" w:rsidRDefault="00124C37" w:rsidP="00124C37">
      <w:pPr>
        <w:rPr>
          <w:sz w:val="20"/>
          <w:szCs w:val="20"/>
          <w:lang w:val="fr-CA"/>
        </w:rPr>
      </w:pPr>
    </w:p>
    <w:p w:rsidR="00124C37" w:rsidRDefault="00E42AAB" w:rsidP="00124C37">
      <w:pPr>
        <w:rPr>
          <w:sz w:val="20"/>
          <w:szCs w:val="20"/>
        </w:rPr>
      </w:pPr>
      <w:r>
        <w:rPr>
          <w:sz w:val="20"/>
          <w:szCs w:val="20"/>
          <w:lang w:val="fr-CA"/>
        </w:rPr>
        <w:pict>
          <v:rect id="_x0000_i1054" style="width:2in;height:1pt" o:hrpct="0" o:hralign="center" o:hrstd="t" o:hrnoshade="t" o:hr="t" fillcolor="black [3213]" stroked="f"/>
        </w:pict>
      </w:r>
    </w:p>
    <w:p w:rsidR="00124C37" w:rsidRDefault="00124C37" w:rsidP="00124C37">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AD4380" w:rsidRPr="0025502E" w:rsidTr="00C64462">
        <w:trPr>
          <w:cantSplit/>
        </w:trPr>
        <w:tc>
          <w:tcPr>
            <w:tcW w:w="1458" w:type="dxa"/>
          </w:tcPr>
          <w:p w:rsidR="00AD4380" w:rsidRPr="00E7075A" w:rsidRDefault="00AD4380" w:rsidP="00C64462">
            <w:pPr>
              <w:rPr>
                <w:sz w:val="20"/>
                <w:szCs w:val="20"/>
              </w:rPr>
            </w:pPr>
            <w:r w:rsidRPr="00E7075A">
              <w:rPr>
                <w:rStyle w:val="SCCFileNumberChar"/>
                <w:sz w:val="20"/>
                <w:szCs w:val="20"/>
              </w:rPr>
              <w:lastRenderedPageBreak/>
              <w:t>35980</w:t>
            </w:r>
          </w:p>
          <w:p w:rsidR="00AD4380" w:rsidRPr="00E7075A" w:rsidRDefault="00AD4380" w:rsidP="00C64462">
            <w:pPr>
              <w:rPr>
                <w:b/>
                <w:sz w:val="20"/>
                <w:szCs w:val="20"/>
                <w:lang w:val="fr-CA"/>
              </w:rPr>
            </w:pPr>
          </w:p>
        </w:tc>
        <w:tc>
          <w:tcPr>
            <w:tcW w:w="8118" w:type="dxa"/>
          </w:tcPr>
          <w:p w:rsidR="00AD4380" w:rsidRPr="00E7075A" w:rsidRDefault="00AD4380" w:rsidP="00C64462">
            <w:pPr>
              <w:jc w:val="both"/>
              <w:rPr>
                <w:sz w:val="20"/>
                <w:szCs w:val="20"/>
                <w:lang w:val="fr-CA"/>
              </w:rPr>
            </w:pPr>
            <w:r w:rsidRPr="00E7075A">
              <w:rPr>
                <w:rStyle w:val="SCCLsocChar"/>
                <w:sz w:val="20"/>
                <w:szCs w:val="20"/>
              </w:rPr>
              <w:t>Syndicat canadien de la fonction publique, section locale 675, Jacqueline Turgeon, Francine Durocher</w:t>
            </w:r>
            <w:r w:rsidR="00D4042B">
              <w:rPr>
                <w:rStyle w:val="SCCLsocChar"/>
                <w:sz w:val="20"/>
                <w:szCs w:val="20"/>
              </w:rPr>
              <w:t xml:space="preserve"> et</w:t>
            </w:r>
            <w:r w:rsidRPr="00E7075A">
              <w:rPr>
                <w:rStyle w:val="SCCLsocChar"/>
                <w:sz w:val="20"/>
                <w:szCs w:val="20"/>
              </w:rPr>
              <w:t xml:space="preserve"> Jacques Gobeil c. Procureur général du Canada, Association des réalisateur</w:t>
            </w:r>
            <w:r w:rsidR="00D4042B">
              <w:rPr>
                <w:rStyle w:val="SCCLsocChar"/>
                <w:sz w:val="20"/>
                <w:szCs w:val="20"/>
              </w:rPr>
              <w:t>s et société Radio-Canada</w:t>
            </w:r>
            <w:r w:rsidRPr="00E7075A">
              <w:rPr>
                <w:sz w:val="20"/>
                <w:szCs w:val="20"/>
                <w:lang w:val="fr-CA"/>
              </w:rPr>
              <w:t xml:space="preserve"> (Qc) (Civile) (Autorisation)</w:t>
            </w:r>
          </w:p>
          <w:p w:rsidR="00AD4380" w:rsidRPr="00E7075A" w:rsidRDefault="00AD4380" w:rsidP="00C64462">
            <w:pPr>
              <w:jc w:val="both"/>
              <w:rPr>
                <w:sz w:val="20"/>
                <w:szCs w:val="20"/>
                <w:lang w:val="fr-CA"/>
              </w:rPr>
            </w:pPr>
          </w:p>
        </w:tc>
      </w:tr>
      <w:tr w:rsidR="00AD4380" w:rsidRPr="0025502E" w:rsidTr="00C64462">
        <w:trPr>
          <w:cantSplit/>
        </w:trPr>
        <w:tc>
          <w:tcPr>
            <w:tcW w:w="1458" w:type="dxa"/>
          </w:tcPr>
          <w:p w:rsidR="00AD4380" w:rsidRPr="00E7075A" w:rsidRDefault="00AD4380" w:rsidP="00C64462">
            <w:pPr>
              <w:rPr>
                <w:sz w:val="20"/>
                <w:szCs w:val="20"/>
              </w:rPr>
            </w:pPr>
            <w:r w:rsidRPr="00E7075A">
              <w:rPr>
                <w:sz w:val="20"/>
                <w:szCs w:val="20"/>
              </w:rPr>
              <w:t>Coram :</w:t>
            </w:r>
          </w:p>
        </w:tc>
        <w:tc>
          <w:tcPr>
            <w:tcW w:w="8118" w:type="dxa"/>
          </w:tcPr>
          <w:p w:rsidR="00AD4380" w:rsidRPr="00E7075A" w:rsidRDefault="00AD4380" w:rsidP="00C64462">
            <w:pPr>
              <w:rPr>
                <w:sz w:val="20"/>
                <w:szCs w:val="20"/>
                <w:lang w:val="fr-CA"/>
              </w:rPr>
            </w:pPr>
            <w:r w:rsidRPr="00E7075A">
              <w:rPr>
                <w:rStyle w:val="SCCCoramChar"/>
                <w:sz w:val="20"/>
                <w:szCs w:val="20"/>
              </w:rPr>
              <w:t>Les juges LeBel, Karakatsanis et Gascon</w:t>
            </w:r>
          </w:p>
          <w:p w:rsidR="00AD4380" w:rsidRPr="00E7075A" w:rsidRDefault="00AD4380" w:rsidP="00C64462">
            <w:pPr>
              <w:rPr>
                <w:sz w:val="20"/>
                <w:szCs w:val="20"/>
                <w:u w:val="single"/>
                <w:lang w:val="fr-CA"/>
              </w:rPr>
            </w:pPr>
          </w:p>
        </w:tc>
      </w:tr>
      <w:tr w:rsidR="00AD4380" w:rsidRPr="00E7075A" w:rsidTr="00C64462">
        <w:trPr>
          <w:cantSplit/>
        </w:trPr>
        <w:tc>
          <w:tcPr>
            <w:tcW w:w="9576" w:type="dxa"/>
            <w:gridSpan w:val="2"/>
          </w:tcPr>
          <w:p w:rsidR="00AD4380" w:rsidRPr="00E7075A" w:rsidRDefault="00AD4380" w:rsidP="00C64462">
            <w:pPr>
              <w:pStyle w:val="SCCShortJudgment"/>
              <w:rPr>
                <w:szCs w:val="20"/>
                <w:lang w:val="fr-CA"/>
              </w:rPr>
            </w:pPr>
            <w:r w:rsidRPr="00E7075A">
              <w:rPr>
                <w:szCs w:val="20"/>
                <w:lang w:val="fr-CA"/>
              </w:rPr>
              <w:t xml:space="preserve">Conformément au paragraphe 43(1.1) de la </w:t>
            </w:r>
            <w:r w:rsidRPr="004E65D1">
              <w:rPr>
                <w:i/>
                <w:szCs w:val="20"/>
                <w:lang w:val="fr-CA"/>
              </w:rPr>
              <w:t>Loi sur la Cour suprême</w:t>
            </w:r>
            <w:r w:rsidRPr="00E7075A">
              <w:rPr>
                <w:szCs w:val="20"/>
                <w:lang w:val="fr-CA"/>
              </w:rPr>
              <w:t xml:space="preserve">, l’affaire à l’origine de la demande d’autorisation d’appel de l’arrêt de la Cour d’appel du Québec (Montréal), numéro 500-09-022922-124, 2014 QCCA 1068, daté du 27 mai 2014, est renvoyée à la Cour d’appel du Québec pour qu’elle statue en conformité avec les arrêts </w:t>
            </w:r>
            <w:r w:rsidRPr="004E65D1">
              <w:rPr>
                <w:i/>
                <w:szCs w:val="20"/>
                <w:lang w:val="fr-CA"/>
              </w:rPr>
              <w:t>Meredith c. Canada (Procureur général)</w:t>
            </w:r>
            <w:r w:rsidRPr="00E7075A">
              <w:rPr>
                <w:szCs w:val="20"/>
                <w:lang w:val="fr-CA"/>
              </w:rPr>
              <w:t xml:space="preserve">, 2015 CSC 2 et </w:t>
            </w:r>
            <w:r w:rsidRPr="004E65D1">
              <w:rPr>
                <w:i/>
                <w:szCs w:val="20"/>
                <w:lang w:val="fr-CA"/>
              </w:rPr>
              <w:t>Association de la police montée de l’Ontario c. Canada (Procureur général)</w:t>
            </w:r>
            <w:r w:rsidRPr="00E7075A">
              <w:rPr>
                <w:szCs w:val="20"/>
                <w:lang w:val="fr-CA"/>
              </w:rPr>
              <w:t>, 2015 CSC 1.</w:t>
            </w:r>
          </w:p>
          <w:p w:rsidR="00AD4380" w:rsidRPr="00E7075A" w:rsidRDefault="00AD4380" w:rsidP="00C64462">
            <w:pPr>
              <w:pStyle w:val="SCCShortJudgment"/>
              <w:ind w:firstLine="0"/>
              <w:rPr>
                <w:szCs w:val="20"/>
                <w:lang w:val="fr-CA"/>
              </w:rPr>
            </w:pPr>
          </w:p>
          <w:p w:rsidR="00AD4380" w:rsidRPr="00E7075A" w:rsidRDefault="00AD4380" w:rsidP="00C64462">
            <w:pPr>
              <w:pStyle w:val="SCCShortJudgment"/>
              <w:rPr>
                <w:szCs w:val="20"/>
              </w:rPr>
            </w:pPr>
            <w:r w:rsidRPr="00E7075A">
              <w:rPr>
                <w:szCs w:val="20"/>
              </w:rPr>
              <w:t xml:space="preserve">Pursuant to subsection 43(1.1) of the </w:t>
            </w:r>
            <w:r w:rsidRPr="004E65D1">
              <w:rPr>
                <w:i/>
                <w:szCs w:val="20"/>
              </w:rPr>
              <w:t>Supreme Court Act</w:t>
            </w:r>
            <w:r w:rsidRPr="00E7075A">
              <w:rPr>
                <w:szCs w:val="20"/>
              </w:rPr>
              <w:t xml:space="preserve">, the case forming the basis of the application for leave to appeal from the judgment of the Court of Appeal of Quebec (Montréal), Number 500-09-022922-124, 2014 QCCA 1068, dated May 27, 2014, is remanded to the Court of Appeal of Quebec for disposition in accordance with </w:t>
            </w:r>
            <w:r w:rsidRPr="004E65D1">
              <w:rPr>
                <w:i/>
                <w:szCs w:val="20"/>
              </w:rPr>
              <w:t>Meredith v. Canada (Attorney General)</w:t>
            </w:r>
            <w:r w:rsidRPr="00E7075A">
              <w:rPr>
                <w:szCs w:val="20"/>
              </w:rPr>
              <w:t xml:space="preserve">, 2015 SCC 2 and </w:t>
            </w:r>
            <w:r w:rsidRPr="004E65D1">
              <w:rPr>
                <w:i/>
                <w:szCs w:val="20"/>
              </w:rPr>
              <w:t>Mounted Police Association of Ontario v. Canada (Attorney General)</w:t>
            </w:r>
            <w:r w:rsidRPr="00E7075A">
              <w:rPr>
                <w:szCs w:val="20"/>
              </w:rPr>
              <w:t>, 2015 SCC 1.</w:t>
            </w:r>
          </w:p>
        </w:tc>
      </w:tr>
    </w:tbl>
    <w:p w:rsidR="00124C37" w:rsidRDefault="00124C37" w:rsidP="000E2959">
      <w:pPr>
        <w:rPr>
          <w:sz w:val="20"/>
          <w:szCs w:val="20"/>
        </w:rPr>
      </w:pPr>
    </w:p>
    <w:p w:rsidR="00124C37" w:rsidRPr="001B157C" w:rsidRDefault="00124C37" w:rsidP="00124C37">
      <w:pPr>
        <w:rPr>
          <w:sz w:val="20"/>
          <w:szCs w:val="20"/>
          <w:u w:val="single"/>
        </w:rPr>
      </w:pPr>
      <w:r w:rsidRPr="001B157C">
        <w:rPr>
          <w:sz w:val="20"/>
          <w:szCs w:val="20"/>
          <w:u w:val="single"/>
        </w:rPr>
        <w:t>CASE SUMMARY</w:t>
      </w:r>
    </w:p>
    <w:p w:rsidR="00124C37" w:rsidRDefault="00124C37" w:rsidP="00124C3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61E92" w:rsidRPr="000F1B6E" w:rsidTr="00661E92">
        <w:tc>
          <w:tcPr>
            <w:tcW w:w="5000" w:type="pct"/>
            <w:gridSpan w:val="3"/>
          </w:tcPr>
          <w:p w:rsidR="00661E92" w:rsidRPr="000F1B6E" w:rsidRDefault="00661E92" w:rsidP="00661E92">
            <w:pPr>
              <w:jc w:val="both"/>
              <w:rPr>
                <w:rFonts w:eastAsia="Calibri"/>
                <w:sz w:val="20"/>
              </w:rPr>
            </w:pPr>
            <w:r w:rsidRPr="000F1B6E">
              <w:rPr>
                <w:rFonts w:eastAsia="Calibri"/>
                <w:i/>
                <w:sz w:val="20"/>
              </w:rPr>
              <w:t xml:space="preserve">Canadian Charter of Rights and Freedoms </w:t>
            </w:r>
            <w:r w:rsidRPr="000F1B6E">
              <w:rPr>
                <w:rFonts w:eastAsia="Calibri"/>
                <w:sz w:val="20"/>
              </w:rPr>
              <w:t xml:space="preserve">— Freedom of association — Collective bargaining — </w:t>
            </w:r>
            <w:r w:rsidRPr="000F1B6E">
              <w:rPr>
                <w:rFonts w:eastAsia="Calibri"/>
                <w:i/>
                <w:sz w:val="20"/>
              </w:rPr>
              <w:t>Act to restrain the Government of Canada’s expenditures in relation to employment</w:t>
            </w:r>
            <w:r w:rsidRPr="000F1B6E">
              <w:rPr>
                <w:rFonts w:eastAsia="Calibri"/>
                <w:sz w:val="20"/>
              </w:rPr>
              <w:t xml:space="preserve"> having effect of limiting pay increases for federal public sector employees from 2006 to 2011 — Limits set out in Act applying retroactively to collective agreement entered into by Union and Canadian Broadcasting Corporation in 2007 — Act having effect of reducing annual income of affected employees by about 1% compared to amounts negotiated — Quebec Superior Court declaring that Act contrary to s. 2(</w:t>
            </w:r>
            <w:r w:rsidRPr="000F1B6E">
              <w:rPr>
                <w:rFonts w:eastAsia="Calibri"/>
                <w:i/>
                <w:sz w:val="20"/>
              </w:rPr>
              <w:t>d</w:t>
            </w:r>
            <w:r w:rsidRPr="000F1B6E">
              <w:rPr>
                <w:rFonts w:eastAsia="Calibri"/>
                <w:sz w:val="20"/>
              </w:rPr>
              <w:t xml:space="preserve">) of </w:t>
            </w:r>
            <w:r w:rsidRPr="000F1B6E">
              <w:rPr>
                <w:rFonts w:eastAsia="Calibri"/>
                <w:i/>
                <w:sz w:val="20"/>
              </w:rPr>
              <w:t xml:space="preserve">Charter </w:t>
            </w:r>
            <w:r w:rsidRPr="000F1B6E">
              <w:rPr>
                <w:rFonts w:eastAsia="Calibri"/>
                <w:sz w:val="20"/>
              </w:rPr>
              <w:t>and that impugned provisions of no effect against Union and members represented by it — Appeal allowed by Federal Court of Appeal — Whether Court of Appeal erred in law in finding that impugned provisions of Act not contrary to s. 2(</w:t>
            </w:r>
            <w:r w:rsidRPr="000F1B6E">
              <w:rPr>
                <w:rFonts w:eastAsia="Calibri"/>
                <w:i/>
                <w:sz w:val="20"/>
              </w:rPr>
              <w:t>d</w:t>
            </w:r>
            <w:r w:rsidRPr="000F1B6E">
              <w:rPr>
                <w:rFonts w:eastAsia="Calibri"/>
                <w:sz w:val="20"/>
              </w:rPr>
              <w:t xml:space="preserve">) of </w:t>
            </w:r>
            <w:r w:rsidRPr="000F1B6E">
              <w:rPr>
                <w:rFonts w:eastAsia="Calibri"/>
                <w:i/>
                <w:sz w:val="20"/>
              </w:rPr>
              <w:t>Charter</w:t>
            </w:r>
            <w:r w:rsidRPr="000F1B6E">
              <w:rPr>
                <w:rFonts w:eastAsia="Calibri"/>
                <w:sz w:val="20"/>
              </w:rPr>
              <w:t xml:space="preserve"> — </w:t>
            </w:r>
            <w:r w:rsidRPr="000F1B6E">
              <w:rPr>
                <w:rFonts w:eastAsia="Calibri"/>
                <w:i/>
                <w:sz w:val="20"/>
              </w:rPr>
              <w:t>Act to restrain the Government of Canada’s expenditures in relation to employment</w:t>
            </w:r>
            <w:r w:rsidRPr="000F1B6E">
              <w:rPr>
                <w:rFonts w:eastAsia="Calibri"/>
                <w:sz w:val="20"/>
              </w:rPr>
              <w:t>, S.C. 2009, c. 2, ss. 16, 19, 21, 23, 24, 26, 27, 29, 56 and 57.</w:t>
            </w:r>
          </w:p>
        </w:tc>
      </w:tr>
      <w:tr w:rsidR="00661E92" w:rsidRPr="000F1B6E" w:rsidTr="00661E92">
        <w:tc>
          <w:tcPr>
            <w:tcW w:w="5000" w:type="pct"/>
            <w:gridSpan w:val="3"/>
          </w:tcPr>
          <w:p w:rsidR="00661E92" w:rsidRPr="000F1B6E" w:rsidRDefault="00661E92" w:rsidP="00661E92">
            <w:pPr>
              <w:jc w:val="both"/>
              <w:rPr>
                <w:rFonts w:eastAsia="Calibri"/>
                <w:sz w:val="20"/>
              </w:rPr>
            </w:pPr>
          </w:p>
        </w:tc>
      </w:tr>
      <w:tr w:rsidR="00661E92" w:rsidRPr="000F1B6E" w:rsidTr="00661E92">
        <w:tc>
          <w:tcPr>
            <w:tcW w:w="5000" w:type="pct"/>
            <w:gridSpan w:val="3"/>
          </w:tcPr>
          <w:p w:rsidR="00661E92" w:rsidRPr="000F1B6E" w:rsidRDefault="00661E92" w:rsidP="00661E92">
            <w:pPr>
              <w:jc w:val="both"/>
              <w:rPr>
                <w:rFonts w:eastAsia="Calibri"/>
                <w:sz w:val="20"/>
              </w:rPr>
            </w:pPr>
            <w:r w:rsidRPr="000F1B6E">
              <w:rPr>
                <w:rFonts w:eastAsia="Calibri"/>
                <w:sz w:val="20"/>
              </w:rPr>
              <w:t>In October 2007, the Canadian Union of Public Employees entered into a collective agreement with the Canadian Broadcasting Corporation.  The agreement, which provided for pay increases, took effect on October 1, 2007 and terminated in September 2010.</w:t>
            </w:r>
          </w:p>
          <w:p w:rsidR="00661E92" w:rsidRPr="000F1B6E" w:rsidRDefault="00661E92" w:rsidP="00661E92">
            <w:pPr>
              <w:jc w:val="both"/>
              <w:rPr>
                <w:rFonts w:eastAsia="Calibri"/>
                <w:sz w:val="20"/>
              </w:rPr>
            </w:pPr>
          </w:p>
          <w:p w:rsidR="00661E92" w:rsidRPr="000F1B6E" w:rsidRDefault="00661E92" w:rsidP="00661E92">
            <w:pPr>
              <w:jc w:val="both"/>
              <w:rPr>
                <w:rFonts w:eastAsia="Calibri"/>
                <w:sz w:val="20"/>
              </w:rPr>
            </w:pPr>
            <w:r w:rsidRPr="000F1B6E">
              <w:rPr>
                <w:rFonts w:eastAsia="Calibri"/>
                <w:sz w:val="20"/>
              </w:rPr>
              <w:t xml:space="preserve">On March 12, 2009, the </w:t>
            </w:r>
            <w:r w:rsidRPr="000F1B6E">
              <w:rPr>
                <w:rFonts w:eastAsia="Calibri"/>
                <w:i/>
                <w:iCs/>
                <w:sz w:val="20"/>
              </w:rPr>
              <w:t>Act to restrain the Government of Canada’s expenditures in relation to employment</w:t>
            </w:r>
            <w:r w:rsidRPr="000F1B6E">
              <w:rPr>
                <w:rFonts w:eastAsia="Calibri"/>
                <w:sz w:val="20"/>
              </w:rPr>
              <w:t xml:space="preserve">, S.C. 2009, c. 2 (“Act”), came into force.  The Act imposed limits on the pay increases that could be granted to all federal public sector employees, including employees of Crown corporations like the Canadian Broadcasting Corporation.  The rates of increase set out in the Act also applied to employees whose collective agreement had been entered into before December 2008, which was the case for the employees represented by the Union.  The Act also stated that any provision of a collective agreement that granted any form of pay increase exceeding the rates set out in the Act was of no effect.  The Union had not been consulted before the Act was passed. </w:t>
            </w:r>
          </w:p>
          <w:p w:rsidR="00661E92" w:rsidRPr="000F1B6E" w:rsidRDefault="00661E92" w:rsidP="00661E92">
            <w:pPr>
              <w:jc w:val="both"/>
              <w:rPr>
                <w:rFonts w:eastAsia="Calibri"/>
                <w:sz w:val="20"/>
              </w:rPr>
            </w:pPr>
          </w:p>
          <w:p w:rsidR="00661E92" w:rsidRPr="000F1B6E" w:rsidRDefault="00661E92" w:rsidP="00661E92">
            <w:pPr>
              <w:jc w:val="both"/>
              <w:rPr>
                <w:rFonts w:eastAsia="Calibri"/>
                <w:sz w:val="20"/>
              </w:rPr>
            </w:pPr>
            <w:r w:rsidRPr="000F1B6E">
              <w:rPr>
                <w:rFonts w:eastAsia="Calibri"/>
                <w:sz w:val="20"/>
              </w:rPr>
              <w:t>Relying on s. 2(</w:t>
            </w:r>
            <w:r w:rsidRPr="000F1B6E">
              <w:rPr>
                <w:rFonts w:eastAsia="Calibri"/>
                <w:i/>
                <w:sz w:val="20"/>
              </w:rPr>
              <w:t>d</w:t>
            </w:r>
            <w:r w:rsidRPr="000F1B6E">
              <w:rPr>
                <w:rFonts w:eastAsia="Calibri"/>
                <w:sz w:val="20"/>
              </w:rPr>
              <w:t xml:space="preserve">) of the </w:t>
            </w:r>
            <w:r w:rsidRPr="000F1B6E">
              <w:rPr>
                <w:rFonts w:eastAsia="Calibri"/>
                <w:i/>
                <w:sz w:val="20"/>
              </w:rPr>
              <w:t>Charter</w:t>
            </w:r>
            <w:r w:rsidRPr="000F1B6E">
              <w:rPr>
                <w:rFonts w:eastAsia="Calibri"/>
                <w:sz w:val="20"/>
              </w:rPr>
              <w:t>, the Union brought a motion to institute proceedings for a declaratory judgment.  Through that proceeding, it sought a declaration that certain provisions of the Act were inapplicable in relation to its members and a declaration that the Canadian Broadcasting Corporation had an obligation to comply with the collective agreement entered into in October 2007.</w:t>
            </w:r>
          </w:p>
          <w:p w:rsidR="00661E92" w:rsidRPr="000F1B6E" w:rsidRDefault="00661E92" w:rsidP="00661E92">
            <w:pPr>
              <w:jc w:val="both"/>
              <w:rPr>
                <w:rFonts w:eastAsia="Calibri"/>
                <w:sz w:val="20"/>
              </w:rPr>
            </w:pPr>
          </w:p>
        </w:tc>
      </w:tr>
      <w:tr w:rsidR="00661E92" w:rsidRPr="000F1B6E" w:rsidTr="00661E92">
        <w:tc>
          <w:tcPr>
            <w:tcW w:w="2427" w:type="pct"/>
          </w:tcPr>
          <w:p w:rsidR="00661E92" w:rsidRPr="000F1B6E" w:rsidRDefault="00661E92" w:rsidP="00661E92">
            <w:pPr>
              <w:jc w:val="both"/>
              <w:rPr>
                <w:rFonts w:eastAsia="Calibri"/>
                <w:sz w:val="20"/>
              </w:rPr>
            </w:pPr>
            <w:r w:rsidRPr="000F1B6E">
              <w:rPr>
                <w:rFonts w:eastAsia="Calibri"/>
                <w:sz w:val="20"/>
              </w:rPr>
              <w:t xml:space="preserve">July 11, 2012 </w:t>
            </w:r>
          </w:p>
          <w:p w:rsidR="00661E92" w:rsidRPr="000F1B6E" w:rsidRDefault="00661E92" w:rsidP="00661E92">
            <w:pPr>
              <w:jc w:val="both"/>
              <w:rPr>
                <w:rFonts w:eastAsia="Calibri"/>
                <w:sz w:val="20"/>
              </w:rPr>
            </w:pPr>
            <w:r w:rsidRPr="000F1B6E">
              <w:rPr>
                <w:rFonts w:eastAsia="Calibri"/>
                <w:sz w:val="20"/>
              </w:rPr>
              <w:t>(corrected judgment issued on August 10, 2012)</w:t>
            </w:r>
          </w:p>
          <w:p w:rsidR="00661E92" w:rsidRPr="000F1B6E" w:rsidRDefault="00661E92" w:rsidP="00661E92">
            <w:pPr>
              <w:jc w:val="both"/>
              <w:rPr>
                <w:rFonts w:eastAsia="Calibri"/>
                <w:sz w:val="20"/>
              </w:rPr>
            </w:pPr>
            <w:r w:rsidRPr="000F1B6E">
              <w:rPr>
                <w:rFonts w:eastAsia="Calibri"/>
                <w:sz w:val="20"/>
              </w:rPr>
              <w:t>Quebec Superior Court</w:t>
            </w:r>
          </w:p>
          <w:p w:rsidR="00661E92" w:rsidRPr="000F1B6E" w:rsidRDefault="00661E92" w:rsidP="00661E92">
            <w:pPr>
              <w:jc w:val="both"/>
              <w:rPr>
                <w:rFonts w:eastAsia="Calibri"/>
                <w:sz w:val="20"/>
              </w:rPr>
            </w:pPr>
            <w:r w:rsidRPr="000F1B6E">
              <w:rPr>
                <w:rFonts w:eastAsia="Calibri"/>
                <w:sz w:val="20"/>
              </w:rPr>
              <w:t>(Matteau J.)</w:t>
            </w:r>
          </w:p>
          <w:p w:rsidR="00661E92" w:rsidRPr="000F1B6E" w:rsidRDefault="00E42AAB" w:rsidP="00661E92">
            <w:pPr>
              <w:jc w:val="both"/>
              <w:rPr>
                <w:rFonts w:eastAsia="Calibri"/>
                <w:sz w:val="20"/>
              </w:rPr>
            </w:pPr>
            <w:hyperlink r:id="rId44" w:history="1">
              <w:r w:rsidR="00661E92" w:rsidRPr="000F1B6E">
                <w:rPr>
                  <w:rFonts w:eastAsia="Calibri"/>
                  <w:color w:val="0000FF"/>
                  <w:sz w:val="20"/>
                  <w:u w:val="single"/>
                </w:rPr>
                <w:t>2012 QCCS 3223</w:t>
              </w:r>
            </w:hyperlink>
          </w:p>
          <w:p w:rsidR="00661E92" w:rsidRPr="000F1B6E" w:rsidRDefault="00661E92" w:rsidP="00661E92">
            <w:pPr>
              <w:jc w:val="both"/>
              <w:rPr>
                <w:rFonts w:eastAsia="Calibri"/>
                <w:sz w:val="20"/>
              </w:rPr>
            </w:pPr>
            <w:r w:rsidRPr="000F1B6E">
              <w:rPr>
                <w:rFonts w:eastAsia="Calibri"/>
                <w:sz w:val="20"/>
              </w:rPr>
              <w:t>File No. 500-17-050958-092</w:t>
            </w:r>
          </w:p>
        </w:tc>
        <w:tc>
          <w:tcPr>
            <w:tcW w:w="243" w:type="pct"/>
          </w:tcPr>
          <w:p w:rsidR="00661E92" w:rsidRPr="000F1B6E" w:rsidRDefault="00661E92" w:rsidP="00661E92">
            <w:pPr>
              <w:jc w:val="both"/>
              <w:rPr>
                <w:rFonts w:eastAsia="Calibri"/>
                <w:sz w:val="20"/>
              </w:rPr>
            </w:pPr>
          </w:p>
        </w:tc>
        <w:tc>
          <w:tcPr>
            <w:tcW w:w="2330" w:type="pct"/>
          </w:tcPr>
          <w:p w:rsidR="00661E92" w:rsidRPr="000F1B6E" w:rsidRDefault="00661E92" w:rsidP="00661E92">
            <w:pPr>
              <w:jc w:val="both"/>
              <w:rPr>
                <w:rFonts w:eastAsia="Calibri"/>
                <w:sz w:val="20"/>
              </w:rPr>
            </w:pPr>
            <w:r w:rsidRPr="000F1B6E">
              <w:rPr>
                <w:rFonts w:eastAsia="Calibri"/>
                <w:sz w:val="20"/>
              </w:rPr>
              <w:t xml:space="preserve">Motion to institute proceedings for declaratory judgment allowed; ss. 16, 19, 21, 23, 24, 26, 27, 29, 56 and 57 of </w:t>
            </w:r>
            <w:r w:rsidRPr="000F1B6E">
              <w:rPr>
                <w:rFonts w:eastAsia="Calibri"/>
                <w:i/>
                <w:sz w:val="20"/>
              </w:rPr>
              <w:t>Act to restrain the Government of Canada’s expenditures in relation to employment</w:t>
            </w:r>
            <w:r w:rsidRPr="000F1B6E">
              <w:rPr>
                <w:rFonts w:eastAsia="Calibri"/>
                <w:sz w:val="20"/>
              </w:rPr>
              <w:t xml:space="preserve">, S.C. 2009, </w:t>
            </w:r>
            <w:r w:rsidRPr="000F1B6E">
              <w:rPr>
                <w:rFonts w:eastAsia="Calibri"/>
                <w:sz w:val="20"/>
              </w:rPr>
              <w:lastRenderedPageBreak/>
              <w:t>c. 2, declared invalid, constitutionally inapplicable or of no force or effect in relation to Union and members of bargaining units represented by it</w:t>
            </w:r>
          </w:p>
          <w:p w:rsidR="00661E92" w:rsidRPr="000F1B6E" w:rsidRDefault="00661E92" w:rsidP="00661E92">
            <w:pPr>
              <w:jc w:val="both"/>
              <w:rPr>
                <w:rFonts w:eastAsia="Calibri"/>
                <w:sz w:val="20"/>
              </w:rPr>
            </w:pPr>
          </w:p>
        </w:tc>
      </w:tr>
      <w:tr w:rsidR="00661E92" w:rsidRPr="000F1B6E" w:rsidTr="00661E92">
        <w:tc>
          <w:tcPr>
            <w:tcW w:w="2427" w:type="pct"/>
          </w:tcPr>
          <w:p w:rsidR="00661E92" w:rsidRPr="000F1B6E" w:rsidRDefault="00661E92" w:rsidP="00661E92">
            <w:pPr>
              <w:jc w:val="both"/>
              <w:rPr>
                <w:rFonts w:eastAsia="Calibri"/>
                <w:sz w:val="20"/>
              </w:rPr>
            </w:pPr>
            <w:r w:rsidRPr="000F1B6E">
              <w:rPr>
                <w:rFonts w:eastAsia="Calibri"/>
                <w:sz w:val="20"/>
              </w:rPr>
              <w:lastRenderedPageBreak/>
              <w:t>May 27, 2014</w:t>
            </w:r>
          </w:p>
          <w:p w:rsidR="00661E92" w:rsidRPr="000F1B6E" w:rsidRDefault="00661E92" w:rsidP="00661E92">
            <w:pPr>
              <w:jc w:val="both"/>
              <w:rPr>
                <w:rFonts w:eastAsia="Calibri"/>
                <w:sz w:val="20"/>
              </w:rPr>
            </w:pPr>
            <w:r w:rsidRPr="000F1B6E">
              <w:rPr>
                <w:rFonts w:eastAsia="Calibri"/>
                <w:sz w:val="20"/>
              </w:rPr>
              <w:t>Quebec Court of Appeal (Montréal)</w:t>
            </w:r>
          </w:p>
          <w:p w:rsidR="00661E92" w:rsidRPr="000F1B6E" w:rsidRDefault="00661E92" w:rsidP="00661E92">
            <w:pPr>
              <w:jc w:val="both"/>
              <w:rPr>
                <w:rFonts w:eastAsia="Calibri"/>
                <w:sz w:val="20"/>
              </w:rPr>
            </w:pPr>
            <w:r w:rsidRPr="000F1B6E">
              <w:rPr>
                <w:rFonts w:eastAsia="Calibri"/>
                <w:sz w:val="20"/>
              </w:rPr>
              <w:t>(Dalphond, Lévesque and Savard JJ.A.)</w:t>
            </w:r>
          </w:p>
          <w:bookmarkStart w:id="2" w:name="reflex-caselaw-25102111"/>
          <w:bookmarkEnd w:id="2"/>
          <w:p w:rsidR="00661E92" w:rsidRPr="000F1B6E" w:rsidRDefault="006F7944" w:rsidP="00661E92">
            <w:pPr>
              <w:jc w:val="both"/>
              <w:rPr>
                <w:rFonts w:eastAsia="Calibri"/>
                <w:sz w:val="20"/>
              </w:rPr>
            </w:pPr>
            <w:r w:rsidRPr="000F1B6E">
              <w:rPr>
                <w:rFonts w:eastAsia="Calibri"/>
                <w:sz w:val="20"/>
              </w:rPr>
              <w:fldChar w:fldCharType="begin"/>
            </w:r>
            <w:r w:rsidR="00661E92" w:rsidRPr="000F1B6E">
              <w:rPr>
                <w:rFonts w:eastAsia="Calibri"/>
                <w:sz w:val="20"/>
              </w:rPr>
              <w:instrText xml:space="preserve"> HYPERLINK "http://www.canlii.org/fr/qc/qcca/doc/2014/2014qcca1068/2014qcca1068.html" </w:instrText>
            </w:r>
            <w:r w:rsidRPr="000F1B6E">
              <w:rPr>
                <w:rFonts w:eastAsia="Calibri"/>
                <w:sz w:val="20"/>
              </w:rPr>
              <w:fldChar w:fldCharType="separate"/>
            </w:r>
            <w:r w:rsidR="00661E92" w:rsidRPr="000F1B6E">
              <w:rPr>
                <w:rFonts w:eastAsia="Calibri"/>
                <w:color w:val="0000FF"/>
                <w:sz w:val="20"/>
                <w:u w:val="single"/>
              </w:rPr>
              <w:t>2014 QCCA 1068</w:t>
            </w:r>
            <w:r w:rsidRPr="000F1B6E">
              <w:rPr>
                <w:rFonts w:eastAsia="Calibri"/>
                <w:sz w:val="20"/>
              </w:rPr>
              <w:fldChar w:fldCharType="end"/>
            </w:r>
          </w:p>
          <w:p w:rsidR="00661E92" w:rsidRPr="000F1B6E" w:rsidRDefault="00661E92" w:rsidP="00661E92">
            <w:pPr>
              <w:jc w:val="both"/>
              <w:rPr>
                <w:rFonts w:eastAsia="Calibri"/>
                <w:sz w:val="20"/>
              </w:rPr>
            </w:pPr>
            <w:r w:rsidRPr="000F1B6E">
              <w:rPr>
                <w:rFonts w:eastAsia="Calibri"/>
                <w:sz w:val="20"/>
              </w:rPr>
              <w:t>File No. 500-09-022922-124</w:t>
            </w:r>
          </w:p>
          <w:p w:rsidR="00661E92" w:rsidRPr="000F1B6E" w:rsidRDefault="00661E92" w:rsidP="00661E92">
            <w:pPr>
              <w:jc w:val="both"/>
              <w:rPr>
                <w:rFonts w:eastAsia="Calibri"/>
                <w:sz w:val="20"/>
              </w:rPr>
            </w:pPr>
          </w:p>
        </w:tc>
        <w:tc>
          <w:tcPr>
            <w:tcW w:w="243" w:type="pct"/>
          </w:tcPr>
          <w:p w:rsidR="00661E92" w:rsidRPr="000F1B6E" w:rsidRDefault="00661E92" w:rsidP="00661E92">
            <w:pPr>
              <w:jc w:val="both"/>
              <w:rPr>
                <w:rFonts w:eastAsia="Calibri"/>
                <w:sz w:val="20"/>
              </w:rPr>
            </w:pPr>
          </w:p>
        </w:tc>
        <w:tc>
          <w:tcPr>
            <w:tcW w:w="2330" w:type="pct"/>
          </w:tcPr>
          <w:p w:rsidR="00661E92" w:rsidRPr="000F1B6E" w:rsidRDefault="00661E92" w:rsidP="00661E92">
            <w:pPr>
              <w:jc w:val="both"/>
              <w:rPr>
                <w:rFonts w:eastAsia="Calibri"/>
                <w:sz w:val="20"/>
              </w:rPr>
            </w:pPr>
            <w:r w:rsidRPr="000F1B6E">
              <w:rPr>
                <w:rFonts w:eastAsia="Calibri"/>
                <w:sz w:val="20"/>
              </w:rPr>
              <w:t xml:space="preserve">Appeal allowed; motion for declaratory judgment dismissed </w:t>
            </w:r>
          </w:p>
          <w:p w:rsidR="00661E92" w:rsidRPr="000F1B6E" w:rsidRDefault="00661E92" w:rsidP="00661E92">
            <w:pPr>
              <w:jc w:val="both"/>
              <w:rPr>
                <w:rFonts w:eastAsia="Calibri"/>
                <w:sz w:val="20"/>
              </w:rPr>
            </w:pPr>
          </w:p>
        </w:tc>
      </w:tr>
      <w:tr w:rsidR="00661E92" w:rsidRPr="000F1B6E" w:rsidTr="00661E92">
        <w:tc>
          <w:tcPr>
            <w:tcW w:w="2427" w:type="pct"/>
          </w:tcPr>
          <w:p w:rsidR="00661E92" w:rsidRPr="000F1B6E" w:rsidRDefault="00661E92" w:rsidP="00661E92">
            <w:pPr>
              <w:jc w:val="both"/>
              <w:rPr>
                <w:rFonts w:eastAsia="Calibri"/>
                <w:sz w:val="20"/>
              </w:rPr>
            </w:pPr>
            <w:r w:rsidRPr="000F1B6E">
              <w:rPr>
                <w:rFonts w:eastAsia="Calibri"/>
                <w:sz w:val="20"/>
              </w:rPr>
              <w:t>July 30, 2014</w:t>
            </w:r>
          </w:p>
          <w:p w:rsidR="00661E92" w:rsidRPr="000F1B6E" w:rsidRDefault="00661E92" w:rsidP="00661E92">
            <w:pPr>
              <w:jc w:val="both"/>
              <w:rPr>
                <w:rFonts w:eastAsia="Calibri"/>
                <w:sz w:val="20"/>
              </w:rPr>
            </w:pPr>
            <w:r w:rsidRPr="000F1B6E">
              <w:rPr>
                <w:rFonts w:eastAsia="Calibri"/>
                <w:sz w:val="20"/>
              </w:rPr>
              <w:t>Supreme Court of Canada</w:t>
            </w:r>
          </w:p>
        </w:tc>
        <w:tc>
          <w:tcPr>
            <w:tcW w:w="243" w:type="pct"/>
          </w:tcPr>
          <w:p w:rsidR="00661E92" w:rsidRPr="000F1B6E" w:rsidRDefault="00661E92" w:rsidP="00661E92">
            <w:pPr>
              <w:jc w:val="both"/>
              <w:rPr>
                <w:rFonts w:eastAsia="Calibri"/>
                <w:sz w:val="20"/>
              </w:rPr>
            </w:pPr>
          </w:p>
        </w:tc>
        <w:tc>
          <w:tcPr>
            <w:tcW w:w="2330" w:type="pct"/>
          </w:tcPr>
          <w:p w:rsidR="00661E92" w:rsidRPr="000F1B6E" w:rsidRDefault="00661E92" w:rsidP="00661E92">
            <w:pPr>
              <w:jc w:val="both"/>
              <w:rPr>
                <w:rFonts w:eastAsia="Calibri"/>
                <w:sz w:val="20"/>
              </w:rPr>
            </w:pPr>
            <w:r w:rsidRPr="000F1B6E">
              <w:rPr>
                <w:rFonts w:eastAsia="Calibri"/>
                <w:sz w:val="20"/>
              </w:rPr>
              <w:t>Application for leave to appeal filed</w:t>
            </w:r>
          </w:p>
          <w:p w:rsidR="00661E92" w:rsidRPr="000F1B6E" w:rsidRDefault="00661E92" w:rsidP="00661E92">
            <w:pPr>
              <w:jc w:val="both"/>
              <w:rPr>
                <w:rFonts w:eastAsia="Calibri"/>
                <w:sz w:val="20"/>
              </w:rPr>
            </w:pPr>
          </w:p>
        </w:tc>
      </w:tr>
    </w:tbl>
    <w:p w:rsidR="00124C37" w:rsidRPr="00661E92" w:rsidRDefault="00124C37" w:rsidP="00124C37">
      <w:pPr>
        <w:rPr>
          <w:sz w:val="20"/>
          <w:szCs w:val="20"/>
        </w:rPr>
      </w:pPr>
    </w:p>
    <w:p w:rsidR="00124C37" w:rsidRPr="00C50A5C" w:rsidRDefault="00E42AAB" w:rsidP="00124C37">
      <w:pPr>
        <w:rPr>
          <w:sz w:val="20"/>
          <w:szCs w:val="20"/>
        </w:rPr>
      </w:pPr>
      <w:r>
        <w:rPr>
          <w:sz w:val="20"/>
          <w:szCs w:val="20"/>
          <w:lang w:val="fr-CA"/>
        </w:rPr>
        <w:pict>
          <v:rect id="_x0000_i1055" style="width:2in;height:1pt" o:hrpct="0" o:hralign="center" o:hrstd="t" o:hrnoshade="t" o:hr="t" fillcolor="black [3213]" stroked="f"/>
        </w:pict>
      </w:r>
    </w:p>
    <w:p w:rsidR="00124C37" w:rsidRDefault="00124C37" w:rsidP="00124C37">
      <w:pPr>
        <w:rPr>
          <w:sz w:val="20"/>
          <w:szCs w:val="20"/>
        </w:rPr>
      </w:pPr>
    </w:p>
    <w:p w:rsidR="00124C37" w:rsidRPr="001B157C" w:rsidRDefault="00124C37" w:rsidP="00124C37">
      <w:pPr>
        <w:rPr>
          <w:sz w:val="20"/>
          <w:szCs w:val="20"/>
          <w:u w:val="single"/>
          <w:lang w:val="fr-CA"/>
        </w:rPr>
      </w:pPr>
      <w:r w:rsidRPr="001B157C">
        <w:rPr>
          <w:sz w:val="20"/>
          <w:szCs w:val="20"/>
          <w:u w:val="single"/>
          <w:lang w:val="fr-CA"/>
        </w:rPr>
        <w:t>RÉSUMÉ DE L’AFFAIRE</w:t>
      </w:r>
    </w:p>
    <w:p w:rsidR="00124C37" w:rsidRDefault="00124C37" w:rsidP="00124C3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61E92" w:rsidRPr="0025502E" w:rsidTr="00661E92">
        <w:tc>
          <w:tcPr>
            <w:tcW w:w="5000" w:type="pct"/>
            <w:gridSpan w:val="3"/>
          </w:tcPr>
          <w:p w:rsidR="00661E92" w:rsidRPr="000F1B6E" w:rsidRDefault="00661E92" w:rsidP="00661E92">
            <w:pPr>
              <w:jc w:val="both"/>
              <w:rPr>
                <w:rFonts w:eastAsia="Calibri"/>
                <w:sz w:val="20"/>
                <w:lang w:val="fr-CA"/>
              </w:rPr>
            </w:pPr>
            <w:r w:rsidRPr="000F1B6E">
              <w:rPr>
                <w:rFonts w:eastAsia="Calibri"/>
                <w:i/>
                <w:sz w:val="20"/>
                <w:lang w:val="fr-CA"/>
              </w:rPr>
              <w:t xml:space="preserve">Charte canadienne des droits et libertés </w:t>
            </w:r>
            <w:r w:rsidRPr="000F1B6E">
              <w:rPr>
                <w:rFonts w:eastAsia="Calibri"/>
                <w:sz w:val="20"/>
                <w:lang w:val="fr-CA"/>
              </w:rPr>
              <w:t xml:space="preserve">— Liberté d’association — Négociation collective — </w:t>
            </w:r>
            <w:r w:rsidRPr="000F1B6E">
              <w:rPr>
                <w:rFonts w:eastAsia="Calibri"/>
                <w:i/>
                <w:sz w:val="20"/>
                <w:lang w:val="fr-CA"/>
              </w:rPr>
              <w:t>Loi visant à contrôler les dépenses du gouvernement du Canada à l’égard de l’emploi</w:t>
            </w:r>
            <w:r w:rsidRPr="000F1B6E">
              <w:rPr>
                <w:rFonts w:eastAsia="Calibri"/>
                <w:sz w:val="20"/>
                <w:lang w:val="fr-CA"/>
              </w:rPr>
              <w:t xml:space="preserve"> ayant pour effet de limiter les augmentations salariales des employés du secteur public fédéral de 2006 à 2011 — Limites prévues par la Loi s’appliquant rétroactivement à la convention collective conclue entre le Syndicat et la Société Radio-Canada en 2007 — Loi ayant pour effet de réduire revenus annuels des employés visés d’environ </w:t>
            </w:r>
            <w:r w:rsidRPr="000F1B6E">
              <w:rPr>
                <w:rFonts w:eastAsia="Calibri"/>
                <w:sz w:val="20"/>
                <w:lang w:val="fr-FR"/>
              </w:rPr>
              <w:t xml:space="preserve">1 % par rapport aux montants négociés </w:t>
            </w:r>
            <w:r w:rsidRPr="000F1B6E">
              <w:rPr>
                <w:rFonts w:eastAsia="Calibri"/>
                <w:sz w:val="20"/>
                <w:lang w:val="fr-CA"/>
              </w:rPr>
              <w:t>— Cour supérieure du Québec déclarant que Loi contrevient à l’art. 2(</w:t>
            </w:r>
            <w:r w:rsidRPr="000F1B6E">
              <w:rPr>
                <w:rFonts w:eastAsia="Calibri"/>
                <w:i/>
                <w:sz w:val="20"/>
                <w:lang w:val="fr-CA"/>
              </w:rPr>
              <w:t>d</w:t>
            </w:r>
            <w:r w:rsidRPr="000F1B6E">
              <w:rPr>
                <w:rFonts w:eastAsia="Calibri"/>
                <w:sz w:val="20"/>
                <w:lang w:val="fr-CA"/>
              </w:rPr>
              <w:t xml:space="preserve">) de la </w:t>
            </w:r>
            <w:r w:rsidRPr="000F1B6E">
              <w:rPr>
                <w:rFonts w:eastAsia="Calibri"/>
                <w:i/>
                <w:sz w:val="20"/>
                <w:lang w:val="fr-CA"/>
              </w:rPr>
              <w:t>Charte</w:t>
            </w:r>
            <w:r w:rsidRPr="000F1B6E">
              <w:rPr>
                <w:rFonts w:eastAsia="Calibri"/>
                <w:sz w:val="20"/>
                <w:lang w:val="fr-CA"/>
              </w:rPr>
              <w:t xml:space="preserve"> et que les dispositions contestées sont sans effet à l’égard du Syndicat et des membres qu’il représente — Appel accueilli par la Cour d’appel du Québec — La Cour d’appel a-t-elle commis une erreur de droit en concluant que les dispositions contestées de la </w:t>
            </w:r>
            <w:r w:rsidRPr="000F1B6E">
              <w:rPr>
                <w:rFonts w:eastAsia="Calibri"/>
                <w:i/>
                <w:sz w:val="20"/>
                <w:lang w:val="fr-CA"/>
              </w:rPr>
              <w:t>Loi</w:t>
            </w:r>
            <w:r w:rsidRPr="000F1B6E">
              <w:rPr>
                <w:rFonts w:eastAsia="Calibri"/>
                <w:sz w:val="20"/>
                <w:lang w:val="fr-CA"/>
              </w:rPr>
              <w:t xml:space="preserve"> ne contreviennent pas à l’al. 2</w:t>
            </w:r>
            <w:r w:rsidRPr="000F1B6E">
              <w:rPr>
                <w:rFonts w:eastAsia="Calibri"/>
                <w:i/>
                <w:sz w:val="20"/>
                <w:lang w:val="fr-CA"/>
              </w:rPr>
              <w:t>d</w:t>
            </w:r>
            <w:r w:rsidRPr="000F1B6E">
              <w:rPr>
                <w:rFonts w:eastAsia="Calibri"/>
                <w:sz w:val="20"/>
                <w:lang w:val="fr-CA"/>
              </w:rPr>
              <w:t xml:space="preserve">) de la </w:t>
            </w:r>
            <w:r w:rsidRPr="000F1B6E">
              <w:rPr>
                <w:rFonts w:eastAsia="Calibri"/>
                <w:i/>
                <w:sz w:val="20"/>
                <w:lang w:val="fr-CA"/>
              </w:rPr>
              <w:t>Charte</w:t>
            </w:r>
            <w:r w:rsidRPr="000F1B6E">
              <w:rPr>
                <w:rFonts w:eastAsia="Calibri"/>
                <w:sz w:val="20"/>
                <w:lang w:val="fr-CA"/>
              </w:rPr>
              <w:t xml:space="preserve">? — </w:t>
            </w:r>
            <w:r w:rsidRPr="000F1B6E">
              <w:rPr>
                <w:rFonts w:eastAsia="Calibri"/>
                <w:i/>
                <w:sz w:val="20"/>
                <w:lang w:val="fr-CA"/>
              </w:rPr>
              <w:t>Loi visant à contrôler les dépenses du gouvernement du Canada à l’égard de l’emploi</w:t>
            </w:r>
            <w:r w:rsidRPr="000F1B6E">
              <w:rPr>
                <w:rFonts w:eastAsia="Calibri"/>
                <w:sz w:val="20"/>
                <w:lang w:val="fr-CA"/>
              </w:rPr>
              <w:t>, L.C. 2009, ch. 2, art. 16, 19, 21, 23, 24, 26, 27, 29, 56 et 57.</w:t>
            </w:r>
          </w:p>
        </w:tc>
      </w:tr>
      <w:tr w:rsidR="00661E92" w:rsidRPr="0025502E" w:rsidTr="00661E92">
        <w:tc>
          <w:tcPr>
            <w:tcW w:w="5000" w:type="pct"/>
            <w:gridSpan w:val="3"/>
          </w:tcPr>
          <w:p w:rsidR="00661E92" w:rsidRPr="000F1B6E" w:rsidRDefault="00661E92" w:rsidP="00661E92">
            <w:pPr>
              <w:jc w:val="both"/>
              <w:rPr>
                <w:rFonts w:eastAsia="Calibri"/>
                <w:sz w:val="20"/>
                <w:lang w:val="fr-CA"/>
              </w:rPr>
            </w:pPr>
          </w:p>
        </w:tc>
      </w:tr>
      <w:tr w:rsidR="00661E92" w:rsidRPr="0025502E" w:rsidTr="00661E92">
        <w:tc>
          <w:tcPr>
            <w:tcW w:w="5000" w:type="pct"/>
            <w:gridSpan w:val="3"/>
          </w:tcPr>
          <w:p w:rsidR="00661E92" w:rsidRPr="000F1B6E" w:rsidRDefault="00661E92" w:rsidP="00661E92">
            <w:pPr>
              <w:jc w:val="both"/>
              <w:rPr>
                <w:rFonts w:eastAsia="Calibri"/>
                <w:sz w:val="20"/>
                <w:lang w:val="fr-CA"/>
              </w:rPr>
            </w:pPr>
            <w:r w:rsidRPr="000F1B6E">
              <w:rPr>
                <w:rFonts w:eastAsia="Calibri"/>
                <w:sz w:val="20"/>
                <w:lang w:val="fr-CA"/>
              </w:rPr>
              <w:t>En octobre 2007, le Syndicat canadien de la fonction publique a conclu une convention collective avec la Société Radio-Canada.  Cette convention collective, qui prévoyait des augmentations salariales, entrait en vigueur le 1</w:t>
            </w:r>
            <w:r w:rsidRPr="000F1B6E">
              <w:rPr>
                <w:rFonts w:eastAsia="Calibri"/>
                <w:sz w:val="20"/>
                <w:vertAlign w:val="superscript"/>
                <w:lang w:val="fr-CA"/>
              </w:rPr>
              <w:t>e</w:t>
            </w:r>
            <w:r w:rsidRPr="000F1B6E">
              <w:rPr>
                <w:rFonts w:eastAsia="Calibri"/>
                <w:sz w:val="20"/>
                <w:lang w:val="fr-CA"/>
              </w:rPr>
              <w:t xml:space="preserve"> octobre 2007 et prenait fin en septembre 2010.</w:t>
            </w:r>
          </w:p>
          <w:p w:rsidR="00661E92" w:rsidRPr="000F1B6E" w:rsidRDefault="00661E92" w:rsidP="00661E92">
            <w:pPr>
              <w:jc w:val="both"/>
              <w:rPr>
                <w:rFonts w:eastAsia="Calibri"/>
                <w:sz w:val="20"/>
                <w:lang w:val="fr-CA"/>
              </w:rPr>
            </w:pPr>
          </w:p>
          <w:p w:rsidR="00661E92" w:rsidRPr="000F1B6E" w:rsidRDefault="00661E92" w:rsidP="00661E92">
            <w:pPr>
              <w:jc w:val="both"/>
              <w:rPr>
                <w:rFonts w:eastAsia="Calibri"/>
                <w:sz w:val="20"/>
                <w:lang w:val="fr-CA"/>
              </w:rPr>
            </w:pPr>
            <w:r w:rsidRPr="000F1B6E">
              <w:rPr>
                <w:rFonts w:eastAsia="Calibri"/>
                <w:sz w:val="20"/>
                <w:lang w:val="fr-CA"/>
              </w:rPr>
              <w:t xml:space="preserve">Le 12 mars 2009 entre en vigueur la </w:t>
            </w:r>
            <w:r w:rsidRPr="000F1B6E">
              <w:rPr>
                <w:rFonts w:eastAsia="Calibri"/>
                <w:i/>
                <w:iCs/>
                <w:sz w:val="20"/>
                <w:lang w:val="fr-CA"/>
              </w:rPr>
              <w:t>Loi visant à contrôler les dépenses du gouvernement du Canada à l’égard de l’emploi</w:t>
            </w:r>
            <w:r w:rsidRPr="000F1B6E">
              <w:rPr>
                <w:rFonts w:eastAsia="Calibri"/>
                <w:sz w:val="20"/>
                <w:lang w:val="fr-CA"/>
              </w:rPr>
              <w:t xml:space="preserve">, L.C. 2009, ch. 2 (« Loi »).  La Loi impose des limites aux augmentations salariales pouvant être accordées à l’ensemble des employés du secteur public fédéral, y inclut les employés des sociétés d’État telles que la Société Radio-Canada.  Les taux d’augmentation prévus à la Loi s’appliquent également aux employés dont la convention collective a été conclue avant décembre 2008, ce qui est le cas des employés représentés par le Syndicat.  La Loi prévoit également que toute disposition d’une convention collective qui octroie toute forme d’augmentation à la rémunération qui excède les taux prescrits par la Loi est inopérante.  Le Syndicat n’a pas été consulté préalablement à l’adoption de la Loi. </w:t>
            </w:r>
          </w:p>
          <w:p w:rsidR="00661E92" w:rsidRPr="000F1B6E" w:rsidRDefault="00661E92" w:rsidP="00661E92">
            <w:pPr>
              <w:jc w:val="both"/>
              <w:rPr>
                <w:rFonts w:eastAsia="Calibri"/>
                <w:sz w:val="20"/>
                <w:lang w:val="fr-CA"/>
              </w:rPr>
            </w:pPr>
          </w:p>
          <w:p w:rsidR="00661E92" w:rsidRPr="000F1B6E" w:rsidRDefault="00661E92" w:rsidP="00661E92">
            <w:pPr>
              <w:jc w:val="both"/>
              <w:rPr>
                <w:rFonts w:eastAsia="Calibri"/>
                <w:sz w:val="20"/>
                <w:lang w:val="fr-CA"/>
              </w:rPr>
            </w:pPr>
            <w:r w:rsidRPr="000F1B6E">
              <w:rPr>
                <w:rFonts w:eastAsia="Calibri"/>
                <w:sz w:val="20"/>
                <w:lang w:val="fr-CA"/>
              </w:rPr>
              <w:t>En se fondant sur l’article 2</w:t>
            </w:r>
            <w:r w:rsidRPr="000F1B6E">
              <w:rPr>
                <w:rFonts w:eastAsia="Calibri"/>
                <w:i/>
                <w:sz w:val="20"/>
                <w:lang w:val="fr-CA"/>
              </w:rPr>
              <w:t>d</w:t>
            </w:r>
            <w:r w:rsidRPr="000F1B6E">
              <w:rPr>
                <w:rFonts w:eastAsia="Calibri"/>
                <w:sz w:val="20"/>
                <w:lang w:val="fr-CA"/>
              </w:rPr>
              <w:t xml:space="preserve">) de la </w:t>
            </w:r>
            <w:r w:rsidRPr="000F1B6E">
              <w:rPr>
                <w:rFonts w:eastAsia="Calibri"/>
                <w:i/>
                <w:sz w:val="20"/>
                <w:lang w:val="fr-CA"/>
              </w:rPr>
              <w:t>Charte</w:t>
            </w:r>
            <w:r w:rsidRPr="000F1B6E">
              <w:rPr>
                <w:rFonts w:eastAsia="Calibri"/>
                <w:sz w:val="20"/>
                <w:lang w:val="fr-CA"/>
              </w:rPr>
              <w:t>, le Syndicat a intenté une requête introductive d’instance pour jugement déclaratoire.  Par le biais de ce recours, il réclamait une déclaration d’inapplicabilité de certaines dispositions de la Loi à l’égard de ses membres ainsi qu’une déclaration voulant que la Radio-Canada ait l’obligation de respecter la convention collective convenue en octobre 2007.</w:t>
            </w:r>
          </w:p>
          <w:p w:rsidR="00661E92" w:rsidRPr="000F1B6E" w:rsidRDefault="00661E92" w:rsidP="00661E92">
            <w:pPr>
              <w:jc w:val="both"/>
              <w:rPr>
                <w:rFonts w:eastAsia="Calibri"/>
                <w:sz w:val="20"/>
                <w:lang w:val="fr-CA"/>
              </w:rPr>
            </w:pPr>
          </w:p>
        </w:tc>
      </w:tr>
      <w:tr w:rsidR="00661E92" w:rsidRPr="0025502E" w:rsidTr="00661E92">
        <w:tc>
          <w:tcPr>
            <w:tcW w:w="2427" w:type="pct"/>
          </w:tcPr>
          <w:p w:rsidR="00661E92" w:rsidRPr="000F1B6E" w:rsidRDefault="00661E92" w:rsidP="00661E92">
            <w:pPr>
              <w:jc w:val="both"/>
              <w:rPr>
                <w:rFonts w:eastAsia="Calibri"/>
                <w:sz w:val="20"/>
                <w:lang w:val="fr-CA"/>
              </w:rPr>
            </w:pPr>
            <w:r w:rsidRPr="000F1B6E">
              <w:rPr>
                <w:rFonts w:eastAsia="Calibri"/>
                <w:sz w:val="20"/>
                <w:lang w:val="fr-CA"/>
              </w:rPr>
              <w:t xml:space="preserve">Le 11 juillet 2012 </w:t>
            </w:r>
          </w:p>
          <w:p w:rsidR="00661E92" w:rsidRPr="000F1B6E" w:rsidRDefault="00661E92" w:rsidP="00661E92">
            <w:pPr>
              <w:jc w:val="both"/>
              <w:rPr>
                <w:rFonts w:eastAsia="Calibri"/>
                <w:sz w:val="20"/>
                <w:lang w:val="fr-CA"/>
              </w:rPr>
            </w:pPr>
            <w:r w:rsidRPr="000F1B6E">
              <w:rPr>
                <w:rFonts w:eastAsia="Calibri"/>
                <w:sz w:val="20"/>
                <w:lang w:val="fr-CA"/>
              </w:rPr>
              <w:t>(jugement rectifié émis le 10 août 2012)</w:t>
            </w:r>
          </w:p>
          <w:p w:rsidR="00661E92" w:rsidRPr="000F1B6E" w:rsidRDefault="00661E92" w:rsidP="00661E92">
            <w:pPr>
              <w:jc w:val="both"/>
              <w:rPr>
                <w:rFonts w:eastAsia="Calibri"/>
                <w:sz w:val="20"/>
                <w:lang w:val="fr-CA"/>
              </w:rPr>
            </w:pPr>
            <w:r w:rsidRPr="000F1B6E">
              <w:rPr>
                <w:rFonts w:eastAsia="Calibri"/>
                <w:sz w:val="20"/>
                <w:lang w:val="fr-CA"/>
              </w:rPr>
              <w:t>Cour supérieure du Québec</w:t>
            </w:r>
          </w:p>
          <w:p w:rsidR="00661E92" w:rsidRPr="000F1B6E" w:rsidRDefault="00661E92" w:rsidP="00661E92">
            <w:pPr>
              <w:jc w:val="both"/>
              <w:rPr>
                <w:rFonts w:eastAsia="Calibri"/>
                <w:sz w:val="20"/>
                <w:lang w:val="fr-CA"/>
              </w:rPr>
            </w:pPr>
            <w:r w:rsidRPr="000F1B6E">
              <w:rPr>
                <w:rFonts w:eastAsia="Calibri"/>
                <w:sz w:val="20"/>
                <w:lang w:val="fr-CA"/>
              </w:rPr>
              <w:lastRenderedPageBreak/>
              <w:t>(La juge Matteau)</w:t>
            </w:r>
          </w:p>
          <w:p w:rsidR="00661E92" w:rsidRPr="000F1B6E" w:rsidRDefault="00E42AAB" w:rsidP="00661E92">
            <w:pPr>
              <w:jc w:val="both"/>
              <w:rPr>
                <w:rFonts w:eastAsia="Calibri"/>
                <w:sz w:val="20"/>
                <w:lang w:val="fr-CA"/>
              </w:rPr>
            </w:pPr>
            <w:hyperlink r:id="rId45" w:history="1">
              <w:r w:rsidR="00661E92" w:rsidRPr="000F1B6E">
                <w:rPr>
                  <w:rFonts w:eastAsia="Calibri"/>
                  <w:color w:val="0000FF"/>
                  <w:sz w:val="20"/>
                  <w:u w:val="single"/>
                  <w:lang w:val="fr-CA"/>
                </w:rPr>
                <w:t>2012 QCCS 3223</w:t>
              </w:r>
            </w:hyperlink>
          </w:p>
          <w:p w:rsidR="00661E92" w:rsidRPr="000F1B6E" w:rsidRDefault="00661E92" w:rsidP="00661E92">
            <w:pPr>
              <w:jc w:val="both"/>
              <w:rPr>
                <w:rFonts w:eastAsia="Calibri"/>
                <w:sz w:val="20"/>
                <w:lang w:val="fr-FR"/>
              </w:rPr>
            </w:pPr>
            <w:r w:rsidRPr="000F1B6E">
              <w:rPr>
                <w:rFonts w:eastAsia="Calibri"/>
                <w:sz w:val="20"/>
                <w:lang w:val="fr-CA"/>
              </w:rPr>
              <w:t>No. de dossier 500-17-050958-092</w:t>
            </w:r>
          </w:p>
        </w:tc>
        <w:tc>
          <w:tcPr>
            <w:tcW w:w="243" w:type="pct"/>
          </w:tcPr>
          <w:p w:rsidR="00661E92" w:rsidRPr="000F1B6E" w:rsidRDefault="00661E92" w:rsidP="00661E92">
            <w:pPr>
              <w:jc w:val="both"/>
              <w:rPr>
                <w:rFonts w:eastAsia="Calibri"/>
                <w:sz w:val="20"/>
                <w:lang w:val="fr-FR"/>
              </w:rPr>
            </w:pPr>
          </w:p>
        </w:tc>
        <w:tc>
          <w:tcPr>
            <w:tcW w:w="2330" w:type="pct"/>
          </w:tcPr>
          <w:p w:rsidR="00661E92" w:rsidRPr="000F1B6E" w:rsidRDefault="00661E92" w:rsidP="00661E92">
            <w:pPr>
              <w:jc w:val="both"/>
              <w:rPr>
                <w:rFonts w:eastAsia="Calibri"/>
                <w:sz w:val="20"/>
                <w:lang w:val="fr-CA"/>
              </w:rPr>
            </w:pPr>
            <w:r w:rsidRPr="000F1B6E">
              <w:rPr>
                <w:rFonts w:eastAsia="Calibri"/>
                <w:sz w:val="20"/>
                <w:lang w:val="fr-CA"/>
              </w:rPr>
              <w:t xml:space="preserve">Requête introductive d’instance pour jugement déclaratoire, accueillie; Articles 16, 19, 21, 23, 24, 26, 27, 29, 56 et 57 de la </w:t>
            </w:r>
            <w:r w:rsidRPr="000F1B6E">
              <w:rPr>
                <w:rFonts w:eastAsia="Calibri"/>
                <w:i/>
                <w:sz w:val="20"/>
                <w:lang w:val="fr-CA"/>
              </w:rPr>
              <w:t xml:space="preserve">Loi visant à contrôler les </w:t>
            </w:r>
            <w:r w:rsidRPr="000F1B6E">
              <w:rPr>
                <w:rFonts w:eastAsia="Calibri"/>
                <w:i/>
                <w:sz w:val="20"/>
                <w:lang w:val="fr-CA"/>
              </w:rPr>
              <w:lastRenderedPageBreak/>
              <w:t>dépenses du gouvernement du Canada à l’égard de l’emploi</w:t>
            </w:r>
            <w:r w:rsidRPr="000F1B6E">
              <w:rPr>
                <w:rFonts w:eastAsia="Calibri"/>
                <w:sz w:val="20"/>
                <w:lang w:val="fr-CA"/>
              </w:rPr>
              <w:t xml:space="preserve">, L.C. 2009, ch. 2, déclarés invalides, inapplicables constitutionnellement ou inopérants à l’égard du Syndicat et des membres des unités de négociation dont il représente </w:t>
            </w:r>
          </w:p>
          <w:p w:rsidR="00661E92" w:rsidRPr="000F1B6E" w:rsidRDefault="00661E92" w:rsidP="00661E92">
            <w:pPr>
              <w:jc w:val="both"/>
              <w:rPr>
                <w:rFonts w:eastAsia="Calibri"/>
                <w:sz w:val="20"/>
                <w:lang w:val="fr-CA"/>
              </w:rPr>
            </w:pPr>
          </w:p>
        </w:tc>
      </w:tr>
      <w:tr w:rsidR="00661E92" w:rsidRPr="0025502E" w:rsidTr="00661E92">
        <w:tc>
          <w:tcPr>
            <w:tcW w:w="2427" w:type="pct"/>
          </w:tcPr>
          <w:p w:rsidR="00661E92" w:rsidRPr="000F1B6E" w:rsidRDefault="00661E92" w:rsidP="00661E92">
            <w:pPr>
              <w:jc w:val="both"/>
              <w:rPr>
                <w:rFonts w:eastAsia="Calibri"/>
                <w:sz w:val="20"/>
                <w:lang w:val="fr-CA"/>
              </w:rPr>
            </w:pPr>
            <w:r w:rsidRPr="000F1B6E">
              <w:rPr>
                <w:rFonts w:eastAsia="Calibri"/>
                <w:sz w:val="20"/>
                <w:lang w:val="fr-CA"/>
              </w:rPr>
              <w:lastRenderedPageBreak/>
              <w:t>Le 27 mai 2014</w:t>
            </w:r>
          </w:p>
          <w:p w:rsidR="00661E92" w:rsidRPr="000F1B6E" w:rsidRDefault="00661E92" w:rsidP="00661E92">
            <w:pPr>
              <w:jc w:val="both"/>
              <w:rPr>
                <w:rFonts w:eastAsia="Calibri"/>
                <w:sz w:val="20"/>
                <w:lang w:val="fr-CA"/>
              </w:rPr>
            </w:pPr>
            <w:r w:rsidRPr="000F1B6E">
              <w:rPr>
                <w:rFonts w:eastAsia="Calibri"/>
                <w:sz w:val="20"/>
                <w:lang w:val="fr-CA"/>
              </w:rPr>
              <w:t>Cour d’appel du Québec (Montréal)</w:t>
            </w:r>
          </w:p>
          <w:p w:rsidR="00661E92" w:rsidRPr="000F1B6E" w:rsidRDefault="00661E92" w:rsidP="00661E92">
            <w:pPr>
              <w:jc w:val="both"/>
              <w:rPr>
                <w:rFonts w:eastAsia="Calibri"/>
                <w:sz w:val="20"/>
                <w:lang w:val="fr-CA"/>
              </w:rPr>
            </w:pPr>
            <w:r w:rsidRPr="000F1B6E">
              <w:rPr>
                <w:rFonts w:eastAsia="Calibri"/>
                <w:sz w:val="20"/>
                <w:lang w:val="fr-CA"/>
              </w:rPr>
              <w:t>(Les juges Dalphond, Lévesque et Savard)</w:t>
            </w:r>
          </w:p>
          <w:p w:rsidR="00661E92" w:rsidRPr="000F1B6E" w:rsidRDefault="00E42AAB" w:rsidP="00661E92">
            <w:pPr>
              <w:jc w:val="both"/>
              <w:rPr>
                <w:rFonts w:eastAsia="Calibri"/>
                <w:sz w:val="20"/>
                <w:lang w:val="fr-CA"/>
              </w:rPr>
            </w:pPr>
            <w:hyperlink r:id="rId46" w:history="1">
              <w:r w:rsidR="00661E92" w:rsidRPr="000F1B6E">
                <w:rPr>
                  <w:rFonts w:eastAsia="Calibri"/>
                  <w:color w:val="0000FF"/>
                  <w:sz w:val="20"/>
                  <w:u w:val="single"/>
                  <w:lang w:val="fr-CA"/>
                </w:rPr>
                <w:t>2014 QCCA 1068</w:t>
              </w:r>
            </w:hyperlink>
          </w:p>
          <w:p w:rsidR="00661E92" w:rsidRPr="000F1B6E" w:rsidRDefault="00661E92" w:rsidP="00661E92">
            <w:pPr>
              <w:jc w:val="both"/>
              <w:rPr>
                <w:rFonts w:eastAsia="Calibri"/>
                <w:sz w:val="20"/>
                <w:lang w:val="fr-CA"/>
              </w:rPr>
            </w:pPr>
            <w:r w:rsidRPr="000F1B6E">
              <w:rPr>
                <w:rFonts w:eastAsia="Calibri"/>
                <w:sz w:val="20"/>
                <w:lang w:val="fr-CA"/>
              </w:rPr>
              <w:t>No. de dossier 500-09-022922-124</w:t>
            </w:r>
          </w:p>
          <w:p w:rsidR="00661E92" w:rsidRPr="000F1B6E" w:rsidRDefault="00661E92" w:rsidP="00661E92">
            <w:pPr>
              <w:jc w:val="both"/>
              <w:rPr>
                <w:rFonts w:eastAsia="Calibri"/>
                <w:sz w:val="20"/>
                <w:lang w:val="fr-FR"/>
              </w:rPr>
            </w:pPr>
          </w:p>
        </w:tc>
        <w:tc>
          <w:tcPr>
            <w:tcW w:w="243" w:type="pct"/>
          </w:tcPr>
          <w:p w:rsidR="00661E92" w:rsidRPr="000F1B6E" w:rsidRDefault="00661E92" w:rsidP="00661E92">
            <w:pPr>
              <w:jc w:val="both"/>
              <w:rPr>
                <w:rFonts w:eastAsia="Calibri"/>
                <w:sz w:val="20"/>
                <w:lang w:val="fr-FR"/>
              </w:rPr>
            </w:pPr>
          </w:p>
        </w:tc>
        <w:tc>
          <w:tcPr>
            <w:tcW w:w="2330" w:type="pct"/>
          </w:tcPr>
          <w:p w:rsidR="00661E92" w:rsidRPr="000F1B6E" w:rsidRDefault="00661E92" w:rsidP="00661E92">
            <w:pPr>
              <w:jc w:val="both"/>
              <w:rPr>
                <w:rFonts w:eastAsia="Calibri"/>
                <w:sz w:val="20"/>
                <w:lang w:val="fr-CA"/>
              </w:rPr>
            </w:pPr>
            <w:r w:rsidRPr="000F1B6E">
              <w:rPr>
                <w:rFonts w:eastAsia="Calibri"/>
                <w:sz w:val="20"/>
                <w:lang w:val="fr-CA"/>
              </w:rPr>
              <w:t xml:space="preserve">Appel accueilli; requête en jugement déclaratoire, rejetée </w:t>
            </w:r>
          </w:p>
          <w:p w:rsidR="00661E92" w:rsidRPr="000F1B6E" w:rsidRDefault="00661E92" w:rsidP="00661E92">
            <w:pPr>
              <w:jc w:val="both"/>
              <w:rPr>
                <w:rFonts w:eastAsia="Calibri"/>
                <w:sz w:val="20"/>
                <w:lang w:val="fr-CA"/>
              </w:rPr>
            </w:pPr>
          </w:p>
        </w:tc>
      </w:tr>
      <w:tr w:rsidR="00661E92" w:rsidRPr="000F1B6E" w:rsidTr="00661E92">
        <w:tc>
          <w:tcPr>
            <w:tcW w:w="2427" w:type="pct"/>
          </w:tcPr>
          <w:p w:rsidR="00661E92" w:rsidRPr="000F1B6E" w:rsidRDefault="00661E92" w:rsidP="00661E92">
            <w:pPr>
              <w:jc w:val="both"/>
              <w:rPr>
                <w:rFonts w:eastAsia="Calibri"/>
                <w:sz w:val="20"/>
                <w:lang w:val="fr-CA"/>
              </w:rPr>
            </w:pPr>
            <w:r w:rsidRPr="000F1B6E">
              <w:rPr>
                <w:rFonts w:eastAsia="Calibri"/>
                <w:sz w:val="20"/>
                <w:lang w:val="fr-CA"/>
              </w:rPr>
              <w:t>Le 30 juillet 2014</w:t>
            </w:r>
          </w:p>
          <w:p w:rsidR="00661E92" w:rsidRPr="000F1B6E" w:rsidRDefault="00661E92" w:rsidP="00661E92">
            <w:pPr>
              <w:jc w:val="both"/>
              <w:rPr>
                <w:rFonts w:eastAsia="Calibri"/>
                <w:sz w:val="20"/>
                <w:lang w:val="fr-FR"/>
              </w:rPr>
            </w:pPr>
            <w:r w:rsidRPr="000F1B6E">
              <w:rPr>
                <w:rFonts w:eastAsia="Calibri"/>
                <w:sz w:val="20"/>
                <w:lang w:val="fr-CA"/>
              </w:rPr>
              <w:t>Cour suprême du Canada</w:t>
            </w:r>
          </w:p>
        </w:tc>
        <w:tc>
          <w:tcPr>
            <w:tcW w:w="243" w:type="pct"/>
          </w:tcPr>
          <w:p w:rsidR="00661E92" w:rsidRPr="000F1B6E" w:rsidRDefault="00661E92" w:rsidP="00661E92">
            <w:pPr>
              <w:jc w:val="both"/>
              <w:rPr>
                <w:rFonts w:eastAsia="Calibri"/>
                <w:sz w:val="20"/>
                <w:lang w:val="fr-FR"/>
              </w:rPr>
            </w:pPr>
          </w:p>
        </w:tc>
        <w:tc>
          <w:tcPr>
            <w:tcW w:w="2330" w:type="pct"/>
          </w:tcPr>
          <w:p w:rsidR="00661E92" w:rsidRPr="000F1B6E" w:rsidRDefault="00661E92" w:rsidP="00661E92">
            <w:pPr>
              <w:jc w:val="both"/>
              <w:rPr>
                <w:rFonts w:eastAsia="Calibri"/>
                <w:sz w:val="20"/>
                <w:lang w:val="fr-CA"/>
              </w:rPr>
            </w:pPr>
            <w:r w:rsidRPr="000F1B6E">
              <w:rPr>
                <w:rFonts w:eastAsia="Calibri"/>
                <w:sz w:val="20"/>
                <w:lang w:val="fr-CA"/>
              </w:rPr>
              <w:t>Demande d’autorisation d’appel déposée</w:t>
            </w:r>
          </w:p>
          <w:p w:rsidR="00661E92" w:rsidRPr="000F1B6E" w:rsidRDefault="00661E92" w:rsidP="00661E92">
            <w:pPr>
              <w:jc w:val="both"/>
              <w:rPr>
                <w:rFonts w:eastAsia="Calibri"/>
                <w:sz w:val="20"/>
                <w:lang w:val="fr-CA"/>
              </w:rPr>
            </w:pPr>
          </w:p>
        </w:tc>
      </w:tr>
    </w:tbl>
    <w:p w:rsidR="00124C37" w:rsidRDefault="00124C37" w:rsidP="00124C37">
      <w:pPr>
        <w:rPr>
          <w:sz w:val="20"/>
          <w:szCs w:val="20"/>
        </w:rPr>
      </w:pPr>
    </w:p>
    <w:p w:rsidR="00124C37" w:rsidRDefault="00E42AAB" w:rsidP="00124C37">
      <w:pPr>
        <w:rPr>
          <w:sz w:val="20"/>
          <w:szCs w:val="20"/>
        </w:rPr>
      </w:pPr>
      <w:r>
        <w:rPr>
          <w:sz w:val="20"/>
          <w:szCs w:val="20"/>
          <w:lang w:val="fr-CA"/>
        </w:rPr>
        <w:pict>
          <v:rect id="_x0000_i1056" style="width:2in;height:1pt" o:hrpct="0" o:hralign="center" o:hrstd="t" o:hrnoshade="t" o:hr="t" fillcolor="black [3213]" stroked="f"/>
        </w:pict>
      </w:r>
    </w:p>
    <w:p w:rsidR="00124C37" w:rsidRDefault="00124C37" w:rsidP="00124C37">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AD4380" w:rsidRPr="00E7075A" w:rsidTr="00C64462">
        <w:trPr>
          <w:cantSplit/>
        </w:trPr>
        <w:tc>
          <w:tcPr>
            <w:tcW w:w="1458" w:type="dxa"/>
          </w:tcPr>
          <w:p w:rsidR="00AD4380" w:rsidRPr="00E7075A" w:rsidRDefault="00AD4380" w:rsidP="00C64462">
            <w:pPr>
              <w:rPr>
                <w:sz w:val="20"/>
                <w:szCs w:val="20"/>
              </w:rPr>
            </w:pPr>
            <w:r w:rsidRPr="00E7075A">
              <w:rPr>
                <w:rStyle w:val="SCCFileNumberChar"/>
                <w:sz w:val="20"/>
                <w:szCs w:val="20"/>
              </w:rPr>
              <w:t>36003</w:t>
            </w:r>
          </w:p>
          <w:p w:rsidR="00AD4380" w:rsidRPr="00E7075A" w:rsidRDefault="00AD4380" w:rsidP="00C64462">
            <w:pPr>
              <w:rPr>
                <w:b/>
                <w:sz w:val="20"/>
                <w:szCs w:val="20"/>
                <w:lang w:val="fr-CA"/>
              </w:rPr>
            </w:pPr>
          </w:p>
        </w:tc>
        <w:tc>
          <w:tcPr>
            <w:tcW w:w="8118" w:type="dxa"/>
          </w:tcPr>
          <w:p w:rsidR="00AD4380" w:rsidRPr="00E7075A" w:rsidRDefault="00AD4380" w:rsidP="00C64462">
            <w:pPr>
              <w:rPr>
                <w:sz w:val="20"/>
                <w:szCs w:val="20"/>
              </w:rPr>
            </w:pPr>
            <w:r w:rsidRPr="00AD4380">
              <w:rPr>
                <w:rStyle w:val="SCCLsocChar"/>
                <w:sz w:val="20"/>
                <w:szCs w:val="20"/>
                <w:lang w:val="en-CA"/>
              </w:rPr>
              <w:t>Enzo Vincent Chiarelli v. Law Society of Upper Canada</w:t>
            </w:r>
            <w:r w:rsidRPr="00E7075A">
              <w:rPr>
                <w:sz w:val="20"/>
                <w:szCs w:val="20"/>
              </w:rPr>
              <w:t xml:space="preserve"> (Ont.) (Civil) (By Leave)</w:t>
            </w:r>
          </w:p>
          <w:p w:rsidR="00AD4380" w:rsidRPr="00E7075A" w:rsidRDefault="00AD4380" w:rsidP="00C64462">
            <w:pPr>
              <w:rPr>
                <w:sz w:val="20"/>
                <w:szCs w:val="20"/>
              </w:rPr>
            </w:pPr>
          </w:p>
        </w:tc>
      </w:tr>
      <w:tr w:rsidR="00AD4380" w:rsidRPr="00E7075A" w:rsidTr="00C64462">
        <w:trPr>
          <w:cantSplit/>
        </w:trPr>
        <w:tc>
          <w:tcPr>
            <w:tcW w:w="1458" w:type="dxa"/>
          </w:tcPr>
          <w:p w:rsidR="00AD4380" w:rsidRPr="00E7075A" w:rsidRDefault="00AD4380" w:rsidP="00C64462">
            <w:pPr>
              <w:rPr>
                <w:sz w:val="20"/>
                <w:szCs w:val="20"/>
              </w:rPr>
            </w:pPr>
            <w:r w:rsidRPr="00E7075A">
              <w:rPr>
                <w:sz w:val="20"/>
                <w:szCs w:val="20"/>
              </w:rPr>
              <w:t>Coram :</w:t>
            </w:r>
          </w:p>
        </w:tc>
        <w:tc>
          <w:tcPr>
            <w:tcW w:w="8118" w:type="dxa"/>
          </w:tcPr>
          <w:p w:rsidR="00AD4380" w:rsidRPr="00E7075A" w:rsidRDefault="00AD4380" w:rsidP="00C64462">
            <w:pPr>
              <w:rPr>
                <w:sz w:val="20"/>
                <w:szCs w:val="20"/>
              </w:rPr>
            </w:pPr>
            <w:r w:rsidRPr="00AD4380">
              <w:rPr>
                <w:rStyle w:val="SCCCoramChar"/>
                <w:sz w:val="20"/>
                <w:szCs w:val="20"/>
                <w:lang w:val="en-CA"/>
              </w:rPr>
              <w:t>McLachlin C.J. and Wagner and Gascon JJ.</w:t>
            </w:r>
          </w:p>
          <w:p w:rsidR="00AD4380" w:rsidRPr="00E7075A" w:rsidRDefault="00AD4380" w:rsidP="00C64462">
            <w:pPr>
              <w:rPr>
                <w:sz w:val="20"/>
                <w:szCs w:val="20"/>
                <w:u w:val="single"/>
              </w:rPr>
            </w:pPr>
          </w:p>
        </w:tc>
      </w:tr>
      <w:tr w:rsidR="00AD4380" w:rsidRPr="0025502E" w:rsidTr="00C64462">
        <w:trPr>
          <w:cantSplit/>
        </w:trPr>
        <w:tc>
          <w:tcPr>
            <w:tcW w:w="9576" w:type="dxa"/>
            <w:gridSpan w:val="2"/>
          </w:tcPr>
          <w:p w:rsidR="00AD4380" w:rsidRPr="00E7075A" w:rsidRDefault="00AD4380" w:rsidP="00C64462">
            <w:pPr>
              <w:pStyle w:val="SCCShortJudgment"/>
              <w:rPr>
                <w:szCs w:val="20"/>
              </w:rPr>
            </w:pPr>
            <w:r w:rsidRPr="00E7075A">
              <w:rPr>
                <w:szCs w:val="20"/>
              </w:rPr>
              <w:t>The application for leave to appeal from the judgment of the Court of Appeal for Ontario, Number C56952, 2014 ONCA 391, dated May 14, 2014, is dismissed with costs.</w:t>
            </w:r>
          </w:p>
          <w:p w:rsidR="00AD4380" w:rsidRPr="00E7075A" w:rsidRDefault="00AD4380" w:rsidP="00C64462">
            <w:pPr>
              <w:pStyle w:val="SCCShortJudgment"/>
              <w:ind w:firstLine="0"/>
              <w:rPr>
                <w:szCs w:val="20"/>
              </w:rPr>
            </w:pPr>
          </w:p>
          <w:p w:rsidR="00AD4380" w:rsidRPr="00E7075A" w:rsidRDefault="00AD4380" w:rsidP="00C64462">
            <w:pPr>
              <w:pStyle w:val="SCCShortJudgment"/>
              <w:rPr>
                <w:szCs w:val="20"/>
                <w:lang w:val="fr-CA"/>
              </w:rPr>
            </w:pPr>
            <w:r w:rsidRPr="00E7075A">
              <w:rPr>
                <w:szCs w:val="20"/>
                <w:lang w:val="fr-CA"/>
              </w:rPr>
              <w:t>La demande d’autorisation d’appel de l’arrêt de la Cour d’appel de l’Ontario, numéro C56952, 2014 ONCA 391, daté du 14 mai 2014, est rejetée avec dépens.</w:t>
            </w:r>
          </w:p>
        </w:tc>
      </w:tr>
    </w:tbl>
    <w:p w:rsidR="00124C37" w:rsidRPr="00AD4380" w:rsidRDefault="00124C37" w:rsidP="00124C37">
      <w:pPr>
        <w:rPr>
          <w:sz w:val="20"/>
          <w:szCs w:val="20"/>
          <w:lang w:val="fr-CA"/>
        </w:rPr>
      </w:pPr>
    </w:p>
    <w:p w:rsidR="00124C37" w:rsidRPr="001B157C" w:rsidRDefault="00124C37" w:rsidP="00124C37">
      <w:pPr>
        <w:rPr>
          <w:sz w:val="20"/>
          <w:szCs w:val="20"/>
          <w:u w:val="single"/>
        </w:rPr>
      </w:pPr>
      <w:r w:rsidRPr="001B157C">
        <w:rPr>
          <w:sz w:val="20"/>
          <w:szCs w:val="20"/>
          <w:u w:val="single"/>
        </w:rPr>
        <w:t>CASE SUMMARY</w:t>
      </w:r>
    </w:p>
    <w:p w:rsidR="00124C37" w:rsidRDefault="00124C37" w:rsidP="00124C37">
      <w:pPr>
        <w:rPr>
          <w:sz w:val="20"/>
          <w:szCs w:val="20"/>
        </w:rPr>
      </w:pPr>
    </w:p>
    <w:tbl>
      <w:tblPr>
        <w:tblW w:w="4951" w:type="pct"/>
        <w:tblLayout w:type="fixed"/>
        <w:tblCellMar>
          <w:left w:w="0" w:type="dxa"/>
          <w:bottom w:w="99" w:type="dxa"/>
          <w:right w:w="0" w:type="dxa"/>
        </w:tblCellMar>
        <w:tblLook w:val="04A0" w:firstRow="1" w:lastRow="0" w:firstColumn="1" w:lastColumn="0" w:noHBand="0" w:noVBand="1"/>
      </w:tblPr>
      <w:tblGrid>
        <w:gridCol w:w="4031"/>
        <w:gridCol w:w="450"/>
        <w:gridCol w:w="5044"/>
      </w:tblGrid>
      <w:tr w:rsidR="00661E92" w:rsidRPr="000F1B6E" w:rsidTr="00661E92">
        <w:tc>
          <w:tcPr>
            <w:tcW w:w="5000" w:type="pct"/>
            <w:gridSpan w:val="3"/>
          </w:tcPr>
          <w:p w:rsidR="00661E92" w:rsidRPr="000F1B6E" w:rsidRDefault="00661E92" w:rsidP="00661E92">
            <w:pPr>
              <w:jc w:val="both"/>
              <w:rPr>
                <w:rFonts w:eastAsia="Calibri"/>
                <w:sz w:val="20"/>
              </w:rPr>
            </w:pPr>
            <w:r w:rsidRPr="000F1B6E">
              <w:rPr>
                <w:rFonts w:eastAsia="Calibri"/>
                <w:sz w:val="20"/>
              </w:rPr>
              <w:t xml:space="preserve">Law of professions — Practice of law or provision of legal services — Self-representation — Law Society investigates layperson after receiving two complaints about his provision of unauthorized legal services — Layperson takes position with Law Society that he fits within definition of “landlord” under </w:t>
            </w:r>
            <w:r w:rsidRPr="000F1B6E">
              <w:rPr>
                <w:rFonts w:eastAsia="Calibri"/>
                <w:i/>
                <w:sz w:val="20"/>
              </w:rPr>
              <w:t>Residential Tenancies Act</w:t>
            </w:r>
            <w:r w:rsidRPr="000F1B6E">
              <w:rPr>
                <w:rFonts w:eastAsia="Calibri"/>
                <w:sz w:val="20"/>
              </w:rPr>
              <w:t xml:space="preserve"> because he acts as a “personal representative” of landlord and therefore, is not required to comply with licensing regime for paralegals — Law Society brought application seeking order prohibiting layperson from providing, or holding himself out as able to provide, legal services — Law Society’s application granted — Application judge concluded that layperson was providing legal services and that he was not exempt from licensing requirements in </w:t>
            </w:r>
            <w:r w:rsidRPr="000F1B6E">
              <w:rPr>
                <w:rFonts w:eastAsia="Calibri"/>
                <w:i/>
                <w:sz w:val="20"/>
              </w:rPr>
              <w:t>Law Society Act</w:t>
            </w:r>
            <w:r w:rsidRPr="000F1B6E">
              <w:rPr>
                <w:rFonts w:eastAsia="Calibri"/>
                <w:sz w:val="20"/>
              </w:rPr>
              <w:t xml:space="preserve"> — Appeal dismissed — Whether lower courts erred in concluding that layperson was engaging in practice of law or in provision of legal services? — Whether there exists constitutional right to litigate in person, that is, to represent oneself rather than be represented by lawyer? — Whether there is right to litigate in person that, if not constitutional, is nonetheless inherent in system of justice? — If right exists, what limits, if any, can be placed on it? — </w:t>
            </w:r>
            <w:r w:rsidRPr="000F1B6E">
              <w:rPr>
                <w:rFonts w:eastAsia="Calibri"/>
                <w:i/>
                <w:sz w:val="20"/>
              </w:rPr>
              <w:t>Residential Tenancies Act</w:t>
            </w:r>
            <w:r w:rsidRPr="000F1B6E">
              <w:rPr>
                <w:rFonts w:eastAsia="Calibri"/>
                <w:sz w:val="20"/>
              </w:rPr>
              <w:t xml:space="preserve">, 2006, S.O. 2006, c.17 — </w:t>
            </w:r>
            <w:r w:rsidRPr="000F1B6E">
              <w:rPr>
                <w:rFonts w:eastAsia="Calibri"/>
                <w:i/>
                <w:sz w:val="20"/>
              </w:rPr>
              <w:t>Law Society Act</w:t>
            </w:r>
            <w:r w:rsidRPr="000F1B6E">
              <w:rPr>
                <w:rFonts w:eastAsia="Calibri"/>
                <w:sz w:val="20"/>
              </w:rPr>
              <w:t xml:space="preserve">, R.S.O. 1990, c. L.8. </w:t>
            </w:r>
          </w:p>
        </w:tc>
      </w:tr>
      <w:tr w:rsidR="00661E92" w:rsidRPr="000F1B6E" w:rsidTr="00661E92">
        <w:tc>
          <w:tcPr>
            <w:tcW w:w="5000" w:type="pct"/>
            <w:gridSpan w:val="3"/>
          </w:tcPr>
          <w:p w:rsidR="00661E92" w:rsidRPr="000F1B6E" w:rsidRDefault="00661E92" w:rsidP="00661E92">
            <w:pPr>
              <w:jc w:val="both"/>
              <w:rPr>
                <w:rFonts w:eastAsia="Calibri"/>
                <w:sz w:val="20"/>
              </w:rPr>
            </w:pPr>
          </w:p>
        </w:tc>
      </w:tr>
      <w:tr w:rsidR="00661E92" w:rsidRPr="000F1B6E" w:rsidTr="00661E92">
        <w:tc>
          <w:tcPr>
            <w:tcW w:w="5000" w:type="pct"/>
            <w:gridSpan w:val="3"/>
          </w:tcPr>
          <w:p w:rsidR="00661E92" w:rsidRPr="000F1B6E" w:rsidRDefault="00661E92" w:rsidP="00661E92">
            <w:pPr>
              <w:jc w:val="both"/>
              <w:rPr>
                <w:rFonts w:eastAsia="Calibri"/>
                <w:sz w:val="20"/>
              </w:rPr>
            </w:pPr>
            <w:r w:rsidRPr="000F1B6E">
              <w:rPr>
                <w:rFonts w:eastAsia="Calibri"/>
                <w:sz w:val="20"/>
              </w:rPr>
              <w:t xml:space="preserve">The applicant, Mr. Chiarelli, operates a sole proprietorship called “Landlord Services”.  Through that business he provides a wide variety of property management services to property owners for a flat monthly fee, including appearances before the Landlord and Tenant Board (the “Board”). In 2007, the </w:t>
            </w:r>
            <w:r w:rsidRPr="000F1B6E">
              <w:rPr>
                <w:rFonts w:eastAsia="Calibri"/>
                <w:i/>
                <w:sz w:val="20"/>
              </w:rPr>
              <w:t>Law Society Act</w:t>
            </w:r>
            <w:r w:rsidRPr="000F1B6E">
              <w:rPr>
                <w:rFonts w:eastAsia="Calibri"/>
                <w:sz w:val="20"/>
              </w:rPr>
              <w:t xml:space="preserve">, R.S.O. 1990, c. L.8 was amended to provide for the regulation of paralegals by the Law Society of Upper Canada (the “Law Society”).  Prior to the change in the law, Mr. Chiarelli operated as a paralegal.  When the law was amended, he applied to be licensed as a paralegal under the Law Society’s licensing regime.  However, Mr. Chiarelli withdrew from the licensing </w:t>
            </w:r>
            <w:r w:rsidRPr="000F1B6E">
              <w:rPr>
                <w:rFonts w:eastAsia="Calibri"/>
                <w:sz w:val="20"/>
              </w:rPr>
              <w:lastRenderedPageBreak/>
              <w:t xml:space="preserve">process when faced with the prospect of a good character hearing.  In July of 2011, the Law Society began an investigation of Mr. Chiarelli after receiving two complaints about his provision of unauthorized legal services.  In the course of its investigation, the Law Society determined that Mr. Chiarelli had appeared on multiple occasions before the Board.  Mr. Chiarelli took the position with the Law Society that he fit within the definition of “landlord” under the </w:t>
            </w:r>
            <w:r w:rsidRPr="000F1B6E">
              <w:rPr>
                <w:rFonts w:eastAsia="Calibri"/>
                <w:i/>
                <w:sz w:val="20"/>
              </w:rPr>
              <w:t>Residential Tenancies Act</w:t>
            </w:r>
            <w:r w:rsidRPr="000F1B6E">
              <w:rPr>
                <w:rFonts w:eastAsia="Calibri"/>
                <w:sz w:val="20"/>
              </w:rPr>
              <w:t xml:space="preserve"> because he acts as a “personal representative” of the landlord.  Therefore, he submitted that he was not required to comply with the licensing regime for paralegals. After receiving numerous written submissions from Mr. Chiarelli, the Law Society brought an application seeking a permanent order prohibiting him from providing, or holding himself out as able to provide, legal services. </w:t>
            </w:r>
            <w:r w:rsidRPr="000F1B6E">
              <w:rPr>
                <w:rFonts w:eastAsia="Calibri"/>
                <w:b/>
                <w:sz w:val="20"/>
              </w:rPr>
              <w:t xml:space="preserve"> </w:t>
            </w:r>
            <w:r w:rsidRPr="000F1B6E">
              <w:rPr>
                <w:rFonts w:eastAsia="Calibri"/>
                <w:sz w:val="20"/>
              </w:rPr>
              <w:t xml:space="preserve">The Law Society’s application for a permanent injunction was granted. </w:t>
            </w:r>
            <w:r w:rsidRPr="000F1B6E">
              <w:rPr>
                <w:rFonts w:eastAsia="Calibri"/>
                <w:b/>
                <w:sz w:val="20"/>
              </w:rPr>
              <w:t xml:space="preserve"> </w:t>
            </w:r>
            <w:r w:rsidRPr="000F1B6E">
              <w:rPr>
                <w:rFonts w:eastAsia="Calibri"/>
                <w:sz w:val="20"/>
              </w:rPr>
              <w:t xml:space="preserve">In making that order, the application judge concluded that Mr. Chiarelli was providing legal services and that he was not exempt from the licensing requirements found in the </w:t>
            </w:r>
            <w:r w:rsidRPr="000F1B6E">
              <w:rPr>
                <w:rFonts w:eastAsia="Calibri"/>
                <w:i/>
                <w:sz w:val="20"/>
              </w:rPr>
              <w:t>Law Society Act</w:t>
            </w:r>
            <w:r w:rsidRPr="000F1B6E">
              <w:rPr>
                <w:rFonts w:eastAsia="Calibri"/>
                <w:sz w:val="20"/>
              </w:rPr>
              <w:t>.</w:t>
            </w:r>
            <w:r w:rsidRPr="000F1B6E">
              <w:rPr>
                <w:rFonts w:eastAsia="Calibri"/>
                <w:b/>
                <w:sz w:val="20"/>
              </w:rPr>
              <w:t xml:space="preserve">  </w:t>
            </w:r>
            <w:r w:rsidRPr="000F1B6E">
              <w:rPr>
                <w:rFonts w:eastAsia="Calibri"/>
                <w:sz w:val="20"/>
              </w:rPr>
              <w:t>The Court of Appeal dismissed the appeal.</w:t>
            </w:r>
          </w:p>
          <w:p w:rsidR="00661E92" w:rsidRPr="000F1B6E" w:rsidRDefault="00661E92" w:rsidP="00661E92">
            <w:pPr>
              <w:jc w:val="both"/>
              <w:rPr>
                <w:rFonts w:eastAsia="Calibri"/>
                <w:sz w:val="20"/>
              </w:rPr>
            </w:pPr>
          </w:p>
        </w:tc>
      </w:tr>
      <w:tr w:rsidR="00661E92" w:rsidRPr="000F1B6E" w:rsidTr="00661E92">
        <w:tc>
          <w:tcPr>
            <w:tcW w:w="2116" w:type="pct"/>
          </w:tcPr>
          <w:p w:rsidR="00661E92" w:rsidRPr="000F1B6E" w:rsidRDefault="00661E92" w:rsidP="00661E92">
            <w:pPr>
              <w:jc w:val="both"/>
              <w:rPr>
                <w:rFonts w:eastAsia="Calibri"/>
                <w:sz w:val="20"/>
              </w:rPr>
            </w:pPr>
            <w:r w:rsidRPr="000F1B6E">
              <w:rPr>
                <w:rFonts w:eastAsia="Calibri"/>
                <w:sz w:val="20"/>
              </w:rPr>
              <w:lastRenderedPageBreak/>
              <w:t>March 19, 2013</w:t>
            </w:r>
          </w:p>
          <w:p w:rsidR="00661E92" w:rsidRPr="000F1B6E" w:rsidRDefault="00661E92" w:rsidP="00661E92">
            <w:pPr>
              <w:jc w:val="both"/>
              <w:rPr>
                <w:rFonts w:eastAsia="Calibri"/>
                <w:sz w:val="20"/>
              </w:rPr>
            </w:pPr>
            <w:r w:rsidRPr="000F1B6E">
              <w:rPr>
                <w:rFonts w:eastAsia="Calibri"/>
                <w:sz w:val="20"/>
              </w:rPr>
              <w:t>Ontario Superior Court of Justice</w:t>
            </w:r>
          </w:p>
          <w:p w:rsidR="00661E92" w:rsidRPr="000F1B6E" w:rsidRDefault="00661E92" w:rsidP="00661E92">
            <w:pPr>
              <w:jc w:val="both"/>
              <w:rPr>
                <w:rFonts w:eastAsia="Calibri"/>
                <w:sz w:val="20"/>
              </w:rPr>
            </w:pPr>
            <w:r w:rsidRPr="000F1B6E">
              <w:rPr>
                <w:rFonts w:eastAsia="Calibri"/>
                <w:sz w:val="20"/>
              </w:rPr>
              <w:t>(Goldstein J.)</w:t>
            </w:r>
          </w:p>
          <w:p w:rsidR="00661E92" w:rsidRPr="000F1B6E" w:rsidRDefault="00E42AAB" w:rsidP="00661E92">
            <w:pPr>
              <w:jc w:val="both"/>
              <w:rPr>
                <w:rFonts w:eastAsia="Calibri"/>
                <w:sz w:val="20"/>
              </w:rPr>
            </w:pPr>
            <w:hyperlink r:id="rId47" w:history="1">
              <w:r w:rsidR="00661E92" w:rsidRPr="000F1B6E">
                <w:rPr>
                  <w:rFonts w:eastAsia="Calibri"/>
                  <w:color w:val="0000FF"/>
                  <w:sz w:val="20"/>
                  <w:u w:val="single"/>
                </w:rPr>
                <w:t>2013 ONSC 1428</w:t>
              </w:r>
            </w:hyperlink>
            <w:r w:rsidR="00661E92" w:rsidRPr="000F1B6E">
              <w:rPr>
                <w:rFonts w:eastAsia="Calibri"/>
                <w:sz w:val="20"/>
              </w:rPr>
              <w:t xml:space="preserve"> </w:t>
            </w:r>
          </w:p>
          <w:p w:rsidR="00661E92" w:rsidRPr="000F1B6E" w:rsidRDefault="00661E92" w:rsidP="00661E92">
            <w:pPr>
              <w:jc w:val="both"/>
              <w:rPr>
                <w:rFonts w:eastAsia="Calibri"/>
                <w:sz w:val="20"/>
                <w:highlight w:val="yellow"/>
              </w:rPr>
            </w:pPr>
          </w:p>
        </w:tc>
        <w:tc>
          <w:tcPr>
            <w:tcW w:w="236" w:type="pct"/>
          </w:tcPr>
          <w:p w:rsidR="00661E92" w:rsidRPr="000F1B6E" w:rsidRDefault="00661E92" w:rsidP="00661E92">
            <w:pPr>
              <w:jc w:val="both"/>
              <w:rPr>
                <w:rFonts w:eastAsia="Calibri"/>
                <w:sz w:val="20"/>
                <w:highlight w:val="yellow"/>
              </w:rPr>
            </w:pPr>
          </w:p>
        </w:tc>
        <w:tc>
          <w:tcPr>
            <w:tcW w:w="2648" w:type="pct"/>
          </w:tcPr>
          <w:p w:rsidR="00661E92" w:rsidRPr="000F1B6E" w:rsidRDefault="00661E92" w:rsidP="00661E92">
            <w:pPr>
              <w:jc w:val="both"/>
              <w:rPr>
                <w:rFonts w:eastAsia="Calibri"/>
                <w:sz w:val="20"/>
                <w:highlight w:val="yellow"/>
              </w:rPr>
            </w:pPr>
            <w:r w:rsidRPr="000F1B6E">
              <w:rPr>
                <w:rFonts w:eastAsia="Calibri"/>
                <w:sz w:val="20"/>
              </w:rPr>
              <w:t xml:space="preserve">Permanent injunction issued preventing the applicant from providing legal services in Ontario. </w:t>
            </w:r>
          </w:p>
        </w:tc>
      </w:tr>
      <w:tr w:rsidR="00661E92" w:rsidRPr="000F1B6E" w:rsidTr="00661E92">
        <w:tc>
          <w:tcPr>
            <w:tcW w:w="2116" w:type="pct"/>
          </w:tcPr>
          <w:p w:rsidR="00661E92" w:rsidRPr="000F1B6E" w:rsidRDefault="00661E92" w:rsidP="00661E92">
            <w:pPr>
              <w:jc w:val="both"/>
              <w:rPr>
                <w:rFonts w:eastAsia="Calibri"/>
                <w:sz w:val="20"/>
              </w:rPr>
            </w:pPr>
            <w:r w:rsidRPr="000F1B6E">
              <w:rPr>
                <w:rFonts w:eastAsia="Calibri"/>
                <w:sz w:val="20"/>
              </w:rPr>
              <w:t>May 14, 2014</w:t>
            </w:r>
          </w:p>
          <w:p w:rsidR="00661E92" w:rsidRPr="000F1B6E" w:rsidRDefault="00661E92" w:rsidP="00661E92">
            <w:pPr>
              <w:jc w:val="both"/>
              <w:rPr>
                <w:rFonts w:eastAsia="Calibri"/>
                <w:sz w:val="20"/>
              </w:rPr>
            </w:pPr>
            <w:r w:rsidRPr="000F1B6E">
              <w:rPr>
                <w:rFonts w:eastAsia="Calibri"/>
                <w:sz w:val="20"/>
              </w:rPr>
              <w:t>Court of Appeal for Ontario</w:t>
            </w:r>
          </w:p>
          <w:p w:rsidR="00661E92" w:rsidRPr="000F1B6E" w:rsidRDefault="00661E92" w:rsidP="00661E92">
            <w:pPr>
              <w:jc w:val="both"/>
              <w:rPr>
                <w:rFonts w:eastAsia="Calibri"/>
                <w:sz w:val="20"/>
              </w:rPr>
            </w:pPr>
            <w:r w:rsidRPr="000F1B6E">
              <w:rPr>
                <w:rFonts w:eastAsia="Calibri"/>
                <w:sz w:val="20"/>
              </w:rPr>
              <w:t>(Juriansz, Hourigan and Benotto JJ.A.)</w:t>
            </w:r>
          </w:p>
          <w:p w:rsidR="00661E92" w:rsidRPr="000F1B6E" w:rsidRDefault="00E42AAB" w:rsidP="00661E92">
            <w:pPr>
              <w:jc w:val="both"/>
              <w:rPr>
                <w:rFonts w:eastAsia="Calibri"/>
                <w:sz w:val="20"/>
              </w:rPr>
            </w:pPr>
            <w:hyperlink r:id="rId48" w:history="1">
              <w:r w:rsidR="00661E92" w:rsidRPr="000F1B6E">
                <w:rPr>
                  <w:rFonts w:eastAsia="Calibri"/>
                  <w:color w:val="0000FF"/>
                  <w:sz w:val="20"/>
                  <w:u w:val="single"/>
                </w:rPr>
                <w:t>2014 ONCA 391</w:t>
              </w:r>
            </w:hyperlink>
          </w:p>
          <w:p w:rsidR="00661E92" w:rsidRPr="000F1B6E" w:rsidRDefault="00661E92" w:rsidP="00661E92">
            <w:pPr>
              <w:jc w:val="both"/>
              <w:rPr>
                <w:rFonts w:eastAsia="Calibri"/>
                <w:sz w:val="20"/>
                <w:highlight w:val="yellow"/>
              </w:rPr>
            </w:pPr>
          </w:p>
        </w:tc>
        <w:tc>
          <w:tcPr>
            <w:tcW w:w="236" w:type="pct"/>
          </w:tcPr>
          <w:p w:rsidR="00661E92" w:rsidRPr="000F1B6E" w:rsidRDefault="00661E92" w:rsidP="00661E92">
            <w:pPr>
              <w:jc w:val="both"/>
              <w:rPr>
                <w:rFonts w:eastAsia="Calibri"/>
                <w:sz w:val="20"/>
                <w:highlight w:val="yellow"/>
              </w:rPr>
            </w:pPr>
          </w:p>
        </w:tc>
        <w:tc>
          <w:tcPr>
            <w:tcW w:w="2648" w:type="pct"/>
          </w:tcPr>
          <w:p w:rsidR="00661E92" w:rsidRPr="000F1B6E" w:rsidRDefault="00661E92" w:rsidP="00661E92">
            <w:pPr>
              <w:jc w:val="both"/>
              <w:rPr>
                <w:rFonts w:eastAsia="Calibri"/>
                <w:sz w:val="20"/>
              </w:rPr>
            </w:pPr>
            <w:r w:rsidRPr="000F1B6E">
              <w:rPr>
                <w:rFonts w:eastAsia="Calibri"/>
                <w:sz w:val="20"/>
              </w:rPr>
              <w:t>Appeal dismissed.</w:t>
            </w:r>
          </w:p>
          <w:p w:rsidR="00661E92" w:rsidRPr="000F1B6E" w:rsidRDefault="00661E92" w:rsidP="00661E92">
            <w:pPr>
              <w:jc w:val="both"/>
              <w:rPr>
                <w:rFonts w:eastAsia="Calibri"/>
                <w:sz w:val="20"/>
                <w:highlight w:val="yellow"/>
              </w:rPr>
            </w:pPr>
          </w:p>
        </w:tc>
      </w:tr>
      <w:tr w:rsidR="00661E92" w:rsidRPr="000F1B6E" w:rsidTr="00661E92">
        <w:tc>
          <w:tcPr>
            <w:tcW w:w="2116" w:type="pct"/>
          </w:tcPr>
          <w:p w:rsidR="00661E92" w:rsidRPr="000F1B6E" w:rsidRDefault="00661E92" w:rsidP="00661E92">
            <w:pPr>
              <w:jc w:val="both"/>
              <w:rPr>
                <w:rFonts w:eastAsia="Calibri"/>
                <w:sz w:val="20"/>
              </w:rPr>
            </w:pPr>
            <w:r w:rsidRPr="000F1B6E">
              <w:rPr>
                <w:rFonts w:eastAsia="Calibri"/>
                <w:sz w:val="20"/>
              </w:rPr>
              <w:t>August 13, 2014</w:t>
            </w:r>
          </w:p>
          <w:p w:rsidR="00661E92" w:rsidRPr="000F1B6E" w:rsidRDefault="00661E92" w:rsidP="00661E92">
            <w:pPr>
              <w:jc w:val="both"/>
              <w:rPr>
                <w:rFonts w:eastAsia="Calibri"/>
                <w:sz w:val="20"/>
              </w:rPr>
            </w:pPr>
            <w:r w:rsidRPr="000F1B6E">
              <w:rPr>
                <w:rFonts w:eastAsia="Calibri"/>
                <w:sz w:val="20"/>
              </w:rPr>
              <w:t>Supreme Court of Canada</w:t>
            </w:r>
          </w:p>
        </w:tc>
        <w:tc>
          <w:tcPr>
            <w:tcW w:w="236" w:type="pct"/>
          </w:tcPr>
          <w:p w:rsidR="00661E92" w:rsidRPr="000F1B6E" w:rsidRDefault="00661E92" w:rsidP="00661E92">
            <w:pPr>
              <w:jc w:val="both"/>
              <w:rPr>
                <w:rFonts w:eastAsia="Calibri"/>
                <w:sz w:val="20"/>
              </w:rPr>
            </w:pPr>
          </w:p>
        </w:tc>
        <w:tc>
          <w:tcPr>
            <w:tcW w:w="2648" w:type="pct"/>
          </w:tcPr>
          <w:p w:rsidR="00661E92" w:rsidRPr="000F1B6E" w:rsidRDefault="00661E92" w:rsidP="00661E92">
            <w:pPr>
              <w:jc w:val="both"/>
              <w:rPr>
                <w:rFonts w:eastAsia="Calibri"/>
                <w:sz w:val="20"/>
              </w:rPr>
            </w:pPr>
            <w:r w:rsidRPr="000F1B6E">
              <w:rPr>
                <w:rFonts w:eastAsia="Calibri"/>
                <w:sz w:val="20"/>
              </w:rPr>
              <w:t>Application for leave to appeal filed.</w:t>
            </w:r>
          </w:p>
        </w:tc>
      </w:tr>
    </w:tbl>
    <w:p w:rsidR="00124C37" w:rsidRPr="00661E92" w:rsidRDefault="00124C37" w:rsidP="00124C37">
      <w:pPr>
        <w:rPr>
          <w:sz w:val="20"/>
          <w:szCs w:val="20"/>
        </w:rPr>
      </w:pPr>
    </w:p>
    <w:p w:rsidR="00124C37" w:rsidRPr="00C50A5C" w:rsidRDefault="00E42AAB" w:rsidP="00124C37">
      <w:pPr>
        <w:rPr>
          <w:sz w:val="20"/>
          <w:szCs w:val="20"/>
        </w:rPr>
      </w:pPr>
      <w:r>
        <w:rPr>
          <w:sz w:val="20"/>
          <w:szCs w:val="20"/>
          <w:lang w:val="fr-CA"/>
        </w:rPr>
        <w:pict>
          <v:rect id="_x0000_i1057" style="width:2in;height:1pt" o:hrpct="0" o:hralign="center" o:hrstd="t" o:hrnoshade="t" o:hr="t" fillcolor="black [3213]" stroked="f"/>
        </w:pict>
      </w:r>
    </w:p>
    <w:p w:rsidR="00124C37" w:rsidRDefault="00124C37" w:rsidP="00124C37">
      <w:pPr>
        <w:rPr>
          <w:sz w:val="20"/>
          <w:szCs w:val="20"/>
        </w:rPr>
      </w:pPr>
    </w:p>
    <w:p w:rsidR="00124C37" w:rsidRPr="001B157C" w:rsidRDefault="00124C37" w:rsidP="00124C37">
      <w:pPr>
        <w:rPr>
          <w:sz w:val="20"/>
          <w:szCs w:val="20"/>
          <w:u w:val="single"/>
          <w:lang w:val="fr-CA"/>
        </w:rPr>
      </w:pPr>
      <w:r w:rsidRPr="001B157C">
        <w:rPr>
          <w:sz w:val="20"/>
          <w:szCs w:val="20"/>
          <w:u w:val="single"/>
          <w:lang w:val="fr-CA"/>
        </w:rPr>
        <w:t>RÉSUMÉ DE L’AFFAIRE</w:t>
      </w:r>
    </w:p>
    <w:p w:rsidR="00124C37" w:rsidRDefault="00124C37" w:rsidP="00124C3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051"/>
        <w:gridCol w:w="450"/>
        <w:gridCol w:w="5026"/>
      </w:tblGrid>
      <w:tr w:rsidR="00661E92" w:rsidRPr="00D63135" w:rsidTr="00661E92">
        <w:tc>
          <w:tcPr>
            <w:tcW w:w="5000" w:type="pct"/>
            <w:gridSpan w:val="3"/>
          </w:tcPr>
          <w:p w:rsidR="00661E92" w:rsidRPr="000F1B6E" w:rsidRDefault="00661E92" w:rsidP="00661E92">
            <w:pPr>
              <w:jc w:val="both"/>
              <w:rPr>
                <w:rFonts w:eastAsia="Calibri"/>
                <w:sz w:val="20"/>
                <w:lang w:val="fr-CA"/>
              </w:rPr>
            </w:pPr>
            <w:r w:rsidRPr="000F1B6E">
              <w:rPr>
                <w:rFonts w:eastAsia="Calibri"/>
                <w:sz w:val="20"/>
                <w:lang w:val="fr-CA"/>
              </w:rPr>
              <w:t xml:space="preserve">Droit des professions — Pratique du droit ou prestation de services juridiques — Plaideurs non représentés par un avocat — Le Barreau enquête sur un non-juriste après avoir reçu deux plaintes concernant sa prestation de services juridiques non autorisés — Le non-juriste fait valoir au Barreau qu’il est visé par la définition de locateur au sens de la </w:t>
            </w:r>
            <w:r w:rsidRPr="000F1B6E">
              <w:rPr>
                <w:rFonts w:eastAsia="Calibri"/>
                <w:i/>
                <w:sz w:val="20"/>
                <w:lang w:val="fr-CA"/>
              </w:rPr>
              <w:t>Loi sur la location à usage d’habitation</w:t>
            </w:r>
            <w:r w:rsidRPr="000F1B6E">
              <w:rPr>
                <w:rFonts w:eastAsia="Calibri"/>
                <w:sz w:val="20"/>
                <w:lang w:val="fr-CA"/>
              </w:rPr>
              <w:t xml:space="preserve"> parce qu’il agit comme « représentant personnel » du locateur, si bien qu’il n’est pas tenu de se conformer au régime de permis applicable aux parajuristes — Le Barreau a demandé une ordonnance pour interdire au non-juriste de fournir des services juridiques ou de se présenter comme étant capable de fournir de tels services — La demande du Barreau a été accueillie — Le juge de première instance a conclu que le non-juriste fournissait des services juridiques et qu’il n’était pas exempté des exigences sur les permis prévues dans la </w:t>
            </w:r>
            <w:r w:rsidRPr="000F1B6E">
              <w:rPr>
                <w:rFonts w:eastAsia="Calibri"/>
                <w:i/>
                <w:sz w:val="20"/>
                <w:lang w:val="fr-CA"/>
              </w:rPr>
              <w:t xml:space="preserve">Loi sur le Barreau </w:t>
            </w:r>
            <w:r w:rsidRPr="000F1B6E">
              <w:rPr>
                <w:rFonts w:eastAsia="Calibri"/>
                <w:sz w:val="20"/>
                <w:lang w:val="fr-CA"/>
              </w:rPr>
              <w:t xml:space="preserve">— Appel rejeté — Les juridictions inférieures ont-elles eu tort de conclure qu’un non-juriste se livrait à la pratique du droit ou à la prestation de services juridiques? — Existe-t-il un droit constitutionnel de plaider soi-même, c’est-à-dire sans être représenté par un avocat? — Existe-t-il un droit de plaider soi-même qui, sans être constitutionnel, est néanmoins inhérent au système de justice? — Si ce droit existe, quelles limites peuvent y être imposées, le cas échéant ? — </w:t>
            </w:r>
            <w:r w:rsidRPr="000F1B6E">
              <w:rPr>
                <w:rFonts w:eastAsia="Calibri"/>
                <w:i/>
                <w:sz w:val="20"/>
                <w:lang w:val="fr-CA"/>
              </w:rPr>
              <w:t>Loi de 2006 sur la location à usage d’habitation</w:t>
            </w:r>
            <w:r w:rsidRPr="000F1B6E">
              <w:rPr>
                <w:rFonts w:eastAsia="Calibri"/>
                <w:sz w:val="20"/>
                <w:lang w:val="fr-CA"/>
              </w:rPr>
              <w:t xml:space="preserve">, 2006, L.O. 2006, c.17 — </w:t>
            </w:r>
            <w:r w:rsidRPr="000F1B6E">
              <w:rPr>
                <w:rFonts w:eastAsia="Calibri"/>
                <w:i/>
                <w:sz w:val="20"/>
                <w:lang w:val="fr-CA"/>
              </w:rPr>
              <w:t>Loi sur le Barreau</w:t>
            </w:r>
            <w:r w:rsidRPr="000F1B6E">
              <w:rPr>
                <w:rFonts w:eastAsia="Calibri"/>
                <w:sz w:val="20"/>
                <w:lang w:val="fr-CA"/>
              </w:rPr>
              <w:t xml:space="preserve">, L.R.O. 1990, ch. L.8. </w:t>
            </w:r>
          </w:p>
        </w:tc>
      </w:tr>
      <w:tr w:rsidR="00661E92" w:rsidRPr="00D63135" w:rsidTr="00661E92">
        <w:tc>
          <w:tcPr>
            <w:tcW w:w="5000" w:type="pct"/>
            <w:gridSpan w:val="3"/>
          </w:tcPr>
          <w:p w:rsidR="00661E92" w:rsidRPr="000F1B6E" w:rsidRDefault="00661E92" w:rsidP="00661E92">
            <w:pPr>
              <w:jc w:val="both"/>
              <w:rPr>
                <w:rFonts w:eastAsia="Calibri"/>
                <w:sz w:val="20"/>
                <w:lang w:val="fr-CA"/>
              </w:rPr>
            </w:pPr>
          </w:p>
        </w:tc>
      </w:tr>
      <w:tr w:rsidR="00661E92" w:rsidRPr="000F1B6E" w:rsidTr="00661E92">
        <w:tc>
          <w:tcPr>
            <w:tcW w:w="5000" w:type="pct"/>
            <w:gridSpan w:val="3"/>
          </w:tcPr>
          <w:p w:rsidR="00661E92" w:rsidRPr="000F1B6E" w:rsidRDefault="00661E92" w:rsidP="00661E92">
            <w:pPr>
              <w:jc w:val="both"/>
              <w:rPr>
                <w:rFonts w:eastAsia="Calibri"/>
                <w:sz w:val="20"/>
                <w:lang w:val="fr-CA"/>
              </w:rPr>
            </w:pPr>
            <w:r w:rsidRPr="000F1B6E">
              <w:rPr>
                <w:rFonts w:eastAsia="Calibri"/>
                <w:sz w:val="20"/>
                <w:lang w:val="fr-CA"/>
              </w:rPr>
              <w:t xml:space="preserve">Le demandeur, M. Chiarelli, exploite une entreprise individuelle appelée « Landlord Services » (« services aux locateurs »).  Par cette entreprise, il fournit aux propriétaires d’immeubles, en contrepartie d’un tarif mensuel fixe, une </w:t>
            </w:r>
            <w:r w:rsidRPr="000F1B6E">
              <w:rPr>
                <w:rFonts w:eastAsia="Calibri"/>
                <w:sz w:val="20"/>
                <w:lang w:val="fr-CA"/>
              </w:rPr>
              <w:lastRenderedPageBreak/>
              <w:t xml:space="preserve">gamme étendue de services de gestion immobilière, y compris des comparutions devant la Commission de la location immobilière (« la Commission »).  En 2007, la </w:t>
            </w:r>
            <w:r w:rsidRPr="000F1B6E">
              <w:rPr>
                <w:rFonts w:eastAsia="Calibri"/>
                <w:i/>
                <w:sz w:val="20"/>
                <w:lang w:val="fr-CA"/>
              </w:rPr>
              <w:t>Loi sur le Barreau</w:t>
            </w:r>
            <w:r w:rsidRPr="000F1B6E">
              <w:rPr>
                <w:rFonts w:eastAsia="Calibri"/>
                <w:sz w:val="20"/>
                <w:lang w:val="fr-CA"/>
              </w:rPr>
              <w:t xml:space="preserve">, L.R.O. 1990, ch. L.8 a été modifiée pour prévoir la réglementation des parajuristes par le Barreau du Haut-Canada (« le Barreau »).  Avant les modifications apportées à la loi, M. Chiarelli agissait comme parajuriste. Lorsque la loi a été modifiée, il a demandé qu’on lui délivre un permis de parajuriste sous le régime d’octroi de permis du Barreau.  Toutefois, M. Chiarelli s’est retiré du processus de délivrance de permis lorsqu’on l’a informé qu’il devait faire l’objet d’une audience visant à déterminer s’il était de bonnes mœurs.  En juillet 2011, le Barreau a entrepris une enquête sur M. Chiarelli après avoir reçu deux plaintes concernant sa prestation de services juridiques non autorisés.  Au cours de son enquête, le Barreau a déterminé que M. Chiarelli avait comparu à de nombreuses reprises devant la Commission.  Monsieur Chiarelli a fait valoir au Barreau qu’il était visé par la définition de locateur au sens de la </w:t>
            </w:r>
            <w:r w:rsidRPr="000F1B6E">
              <w:rPr>
                <w:rFonts w:eastAsia="Calibri"/>
                <w:i/>
                <w:sz w:val="20"/>
                <w:lang w:val="fr-CA"/>
              </w:rPr>
              <w:t>Loi sur la location à usage d’habitation</w:t>
            </w:r>
            <w:r w:rsidRPr="000F1B6E">
              <w:rPr>
                <w:rFonts w:eastAsia="Calibri"/>
                <w:sz w:val="20"/>
                <w:lang w:val="fr-CA"/>
              </w:rPr>
              <w:t xml:space="preserve"> parce qu’il agissait comme « représentant personnel » du locateur.  Par conséquent, selon lui, il n’était pas tenu de se conformer au régime de permis applicable aux parajuristes.  Après avoir reçu de nombreuses observations écrites de M. Chiarelli, le Barreau a présenté une demande en vue d’obtenir une ordonnance permanente lui interdisant de fournir des services juridiques ou de se présenter comme étant capable de fournir de tels services.  La demande du Barreau en vue d’obtenir une injonction permanente a été accueillie.  En rendant cette ordonnance, le juge de première instance a conclu que M. Chiarelli fournissait des services juridiques et qu’il n’était pas exempté des exigences sur les permis prévues dans la </w:t>
            </w:r>
            <w:r w:rsidRPr="000F1B6E">
              <w:rPr>
                <w:rFonts w:eastAsia="Calibri"/>
                <w:i/>
                <w:sz w:val="20"/>
                <w:lang w:val="fr-CA"/>
              </w:rPr>
              <w:t>Loi sur le Barreau</w:t>
            </w:r>
            <w:r w:rsidRPr="000F1B6E">
              <w:rPr>
                <w:rFonts w:eastAsia="Calibri"/>
                <w:sz w:val="20"/>
                <w:lang w:val="fr-CA"/>
              </w:rPr>
              <w:t>. La Cour d’appel a rejeté l’appel.</w:t>
            </w:r>
          </w:p>
          <w:p w:rsidR="00661E92" w:rsidRPr="000F1B6E" w:rsidRDefault="00661E92" w:rsidP="00661E92">
            <w:pPr>
              <w:jc w:val="both"/>
              <w:rPr>
                <w:rFonts w:eastAsia="Calibri"/>
                <w:sz w:val="20"/>
                <w:lang w:val="fr-CA"/>
              </w:rPr>
            </w:pPr>
          </w:p>
        </w:tc>
      </w:tr>
      <w:tr w:rsidR="00661E92" w:rsidRPr="0025502E" w:rsidTr="000F0BAB">
        <w:tc>
          <w:tcPr>
            <w:tcW w:w="2126" w:type="pct"/>
          </w:tcPr>
          <w:p w:rsidR="00661E92" w:rsidRPr="000F1B6E" w:rsidRDefault="00661E92" w:rsidP="00661E92">
            <w:pPr>
              <w:jc w:val="both"/>
              <w:rPr>
                <w:rFonts w:eastAsia="Calibri"/>
                <w:sz w:val="20"/>
                <w:lang w:val="fr-CA"/>
              </w:rPr>
            </w:pPr>
            <w:r w:rsidRPr="000F1B6E">
              <w:rPr>
                <w:rFonts w:eastAsia="Calibri"/>
                <w:sz w:val="20"/>
                <w:lang w:val="fr-CA"/>
              </w:rPr>
              <w:lastRenderedPageBreak/>
              <w:t>19 mars 2013</w:t>
            </w:r>
          </w:p>
          <w:p w:rsidR="00661E92" w:rsidRPr="000F1B6E" w:rsidRDefault="00661E92" w:rsidP="00661E92">
            <w:pPr>
              <w:jc w:val="both"/>
              <w:rPr>
                <w:rFonts w:eastAsia="Calibri"/>
                <w:sz w:val="20"/>
                <w:lang w:val="fr-CA"/>
              </w:rPr>
            </w:pPr>
            <w:r w:rsidRPr="000F1B6E">
              <w:rPr>
                <w:rFonts w:eastAsia="Calibri"/>
                <w:sz w:val="20"/>
                <w:lang w:val="fr-CA"/>
              </w:rPr>
              <w:t>Cour supérieure de justice de l’Ontario</w:t>
            </w:r>
          </w:p>
          <w:p w:rsidR="00661E92" w:rsidRPr="000F1B6E" w:rsidRDefault="00661E92" w:rsidP="00661E92">
            <w:pPr>
              <w:jc w:val="both"/>
              <w:rPr>
                <w:rFonts w:eastAsia="Calibri"/>
                <w:sz w:val="20"/>
                <w:lang w:val="fr-CA"/>
              </w:rPr>
            </w:pPr>
            <w:r w:rsidRPr="000F1B6E">
              <w:rPr>
                <w:rFonts w:eastAsia="Calibri"/>
                <w:sz w:val="20"/>
                <w:lang w:val="fr-CA"/>
              </w:rPr>
              <w:t>(Juge Goldstein)</w:t>
            </w:r>
          </w:p>
          <w:p w:rsidR="00661E92" w:rsidRPr="000F1B6E" w:rsidRDefault="00E42AAB" w:rsidP="00661E92">
            <w:pPr>
              <w:jc w:val="both"/>
              <w:rPr>
                <w:rFonts w:eastAsia="Calibri"/>
                <w:sz w:val="20"/>
                <w:lang w:val="fr-CA"/>
              </w:rPr>
            </w:pPr>
            <w:hyperlink r:id="rId49" w:history="1">
              <w:r w:rsidR="00661E92" w:rsidRPr="000F1B6E">
                <w:rPr>
                  <w:rFonts w:eastAsia="Calibri"/>
                  <w:color w:val="0000FF"/>
                  <w:sz w:val="20"/>
                  <w:u w:val="single"/>
                  <w:lang w:val="fr-CA"/>
                </w:rPr>
                <w:t>2013 ONSC 1428</w:t>
              </w:r>
            </w:hyperlink>
            <w:r w:rsidR="00661E92" w:rsidRPr="000F1B6E">
              <w:rPr>
                <w:rFonts w:eastAsia="Calibri"/>
                <w:sz w:val="20"/>
                <w:lang w:val="fr-CA"/>
              </w:rPr>
              <w:t xml:space="preserve"> </w:t>
            </w:r>
          </w:p>
          <w:p w:rsidR="00661E92" w:rsidRPr="000F1B6E" w:rsidRDefault="00661E92" w:rsidP="00661E92">
            <w:pPr>
              <w:jc w:val="both"/>
              <w:rPr>
                <w:rFonts w:eastAsia="Calibri"/>
                <w:sz w:val="20"/>
                <w:highlight w:val="yellow"/>
                <w:lang w:val="fr-CA"/>
              </w:rPr>
            </w:pPr>
          </w:p>
        </w:tc>
        <w:tc>
          <w:tcPr>
            <w:tcW w:w="236" w:type="pct"/>
          </w:tcPr>
          <w:p w:rsidR="00661E92" w:rsidRPr="000F1B6E" w:rsidRDefault="00661E92" w:rsidP="00661E92">
            <w:pPr>
              <w:jc w:val="both"/>
              <w:rPr>
                <w:rFonts w:eastAsia="Calibri"/>
                <w:sz w:val="20"/>
                <w:highlight w:val="yellow"/>
                <w:lang w:val="fr-CA"/>
              </w:rPr>
            </w:pPr>
          </w:p>
        </w:tc>
        <w:tc>
          <w:tcPr>
            <w:tcW w:w="2638" w:type="pct"/>
          </w:tcPr>
          <w:p w:rsidR="00661E92" w:rsidRPr="000F1B6E" w:rsidRDefault="00661E92" w:rsidP="00661E92">
            <w:pPr>
              <w:jc w:val="both"/>
              <w:rPr>
                <w:rFonts w:eastAsia="Calibri"/>
                <w:sz w:val="20"/>
                <w:highlight w:val="yellow"/>
                <w:lang w:val="fr-CA"/>
              </w:rPr>
            </w:pPr>
            <w:r w:rsidRPr="000F1B6E">
              <w:rPr>
                <w:rFonts w:eastAsia="Calibri"/>
                <w:sz w:val="20"/>
                <w:lang w:val="fr-CA"/>
              </w:rPr>
              <w:t xml:space="preserve">Octroi d’une injonction permanente empêchant le demandeur de fournir des services juridiques en Ontario. </w:t>
            </w:r>
          </w:p>
        </w:tc>
      </w:tr>
      <w:tr w:rsidR="00661E92" w:rsidRPr="000F1B6E" w:rsidTr="000F0BAB">
        <w:tc>
          <w:tcPr>
            <w:tcW w:w="2126" w:type="pct"/>
          </w:tcPr>
          <w:p w:rsidR="00661E92" w:rsidRPr="000F1B6E" w:rsidRDefault="00661E92" w:rsidP="00661E92">
            <w:pPr>
              <w:jc w:val="both"/>
              <w:rPr>
                <w:rFonts w:eastAsia="Calibri"/>
                <w:sz w:val="20"/>
                <w:lang w:val="fr-CA"/>
              </w:rPr>
            </w:pPr>
            <w:r w:rsidRPr="000F1B6E">
              <w:rPr>
                <w:rFonts w:eastAsia="Calibri"/>
                <w:sz w:val="20"/>
                <w:lang w:val="fr-CA"/>
              </w:rPr>
              <w:t>14 mai 2014</w:t>
            </w:r>
          </w:p>
          <w:p w:rsidR="00661E92" w:rsidRPr="000F1B6E" w:rsidRDefault="00661E92" w:rsidP="00661E92">
            <w:pPr>
              <w:jc w:val="both"/>
              <w:rPr>
                <w:rFonts w:eastAsia="Calibri"/>
                <w:sz w:val="20"/>
                <w:lang w:val="fr-CA"/>
              </w:rPr>
            </w:pPr>
            <w:r w:rsidRPr="000F1B6E">
              <w:rPr>
                <w:rFonts w:eastAsia="Calibri"/>
                <w:sz w:val="20"/>
                <w:lang w:val="fr-CA"/>
              </w:rPr>
              <w:t>Cour d’appel de l’Ontario</w:t>
            </w:r>
          </w:p>
          <w:p w:rsidR="00661E92" w:rsidRPr="000F1B6E" w:rsidRDefault="00661E92" w:rsidP="00661E92">
            <w:pPr>
              <w:jc w:val="both"/>
              <w:rPr>
                <w:rFonts w:eastAsia="Calibri"/>
                <w:sz w:val="20"/>
                <w:lang w:val="fr-CA"/>
              </w:rPr>
            </w:pPr>
            <w:r w:rsidRPr="000F1B6E">
              <w:rPr>
                <w:rFonts w:eastAsia="Calibri"/>
                <w:sz w:val="20"/>
                <w:lang w:val="fr-CA"/>
              </w:rPr>
              <w:t>(Juges Juriansz, Hourigan et Benotto)</w:t>
            </w:r>
          </w:p>
          <w:p w:rsidR="00661E92" w:rsidRPr="000F1B6E" w:rsidRDefault="00E42AAB" w:rsidP="00661E92">
            <w:pPr>
              <w:jc w:val="both"/>
              <w:rPr>
                <w:rFonts w:eastAsia="Calibri"/>
                <w:sz w:val="20"/>
                <w:lang w:val="fr-CA"/>
              </w:rPr>
            </w:pPr>
            <w:hyperlink r:id="rId50" w:history="1">
              <w:r w:rsidR="00661E92" w:rsidRPr="000F1B6E">
                <w:rPr>
                  <w:rFonts w:eastAsia="Calibri"/>
                  <w:color w:val="0000FF"/>
                  <w:sz w:val="20"/>
                  <w:u w:val="single"/>
                  <w:lang w:val="fr-CA"/>
                </w:rPr>
                <w:t>2014 ONCA 391</w:t>
              </w:r>
            </w:hyperlink>
          </w:p>
          <w:p w:rsidR="00661E92" w:rsidRPr="000F1B6E" w:rsidRDefault="00661E92" w:rsidP="00661E92">
            <w:pPr>
              <w:jc w:val="both"/>
              <w:rPr>
                <w:rFonts w:eastAsia="Calibri"/>
                <w:sz w:val="20"/>
                <w:highlight w:val="yellow"/>
                <w:lang w:val="fr-CA"/>
              </w:rPr>
            </w:pPr>
          </w:p>
        </w:tc>
        <w:tc>
          <w:tcPr>
            <w:tcW w:w="236" w:type="pct"/>
          </w:tcPr>
          <w:p w:rsidR="00661E92" w:rsidRPr="000F1B6E" w:rsidRDefault="00661E92" w:rsidP="00661E92">
            <w:pPr>
              <w:jc w:val="both"/>
              <w:rPr>
                <w:rFonts w:eastAsia="Calibri"/>
                <w:sz w:val="20"/>
                <w:highlight w:val="yellow"/>
                <w:lang w:val="fr-CA"/>
              </w:rPr>
            </w:pPr>
          </w:p>
        </w:tc>
        <w:tc>
          <w:tcPr>
            <w:tcW w:w="2638" w:type="pct"/>
          </w:tcPr>
          <w:p w:rsidR="00661E92" w:rsidRPr="000F1B6E" w:rsidRDefault="00661E92" w:rsidP="00661E92">
            <w:pPr>
              <w:jc w:val="both"/>
              <w:rPr>
                <w:rFonts w:eastAsia="Calibri"/>
                <w:sz w:val="20"/>
                <w:lang w:val="fr-CA"/>
              </w:rPr>
            </w:pPr>
            <w:r w:rsidRPr="000F1B6E">
              <w:rPr>
                <w:rFonts w:eastAsia="Calibri"/>
                <w:sz w:val="20"/>
                <w:lang w:val="fr-CA"/>
              </w:rPr>
              <w:t>Rejet de l’appel.</w:t>
            </w:r>
          </w:p>
          <w:p w:rsidR="00661E92" w:rsidRPr="000F1B6E" w:rsidRDefault="00661E92" w:rsidP="00661E92">
            <w:pPr>
              <w:jc w:val="both"/>
              <w:rPr>
                <w:rFonts w:eastAsia="Calibri"/>
                <w:sz w:val="20"/>
                <w:highlight w:val="yellow"/>
                <w:lang w:val="fr-CA"/>
              </w:rPr>
            </w:pPr>
          </w:p>
        </w:tc>
      </w:tr>
      <w:tr w:rsidR="00661E92" w:rsidRPr="0025502E" w:rsidTr="000F0BAB">
        <w:tc>
          <w:tcPr>
            <w:tcW w:w="2126" w:type="pct"/>
          </w:tcPr>
          <w:p w:rsidR="00661E92" w:rsidRPr="000F1B6E" w:rsidRDefault="00661E92" w:rsidP="00661E92">
            <w:pPr>
              <w:jc w:val="both"/>
              <w:rPr>
                <w:rFonts w:eastAsia="Calibri"/>
                <w:sz w:val="20"/>
                <w:lang w:val="fr-CA"/>
              </w:rPr>
            </w:pPr>
            <w:r w:rsidRPr="000F1B6E">
              <w:rPr>
                <w:rFonts w:eastAsia="Calibri"/>
                <w:sz w:val="20"/>
                <w:lang w:val="fr-CA"/>
              </w:rPr>
              <w:t>13 août 2014</w:t>
            </w:r>
          </w:p>
          <w:p w:rsidR="00661E92" w:rsidRPr="000F1B6E" w:rsidRDefault="00661E92" w:rsidP="00661E92">
            <w:pPr>
              <w:jc w:val="both"/>
              <w:rPr>
                <w:rFonts w:eastAsia="Calibri"/>
                <w:sz w:val="20"/>
                <w:lang w:val="fr-CA"/>
              </w:rPr>
            </w:pPr>
            <w:r w:rsidRPr="000F1B6E">
              <w:rPr>
                <w:rFonts w:eastAsia="Calibri"/>
                <w:sz w:val="20"/>
                <w:lang w:val="fr-CA"/>
              </w:rPr>
              <w:t>Cour suprême du Canada</w:t>
            </w:r>
          </w:p>
        </w:tc>
        <w:tc>
          <w:tcPr>
            <w:tcW w:w="236" w:type="pct"/>
          </w:tcPr>
          <w:p w:rsidR="00661E92" w:rsidRPr="000F1B6E" w:rsidRDefault="00661E92" w:rsidP="00661E92">
            <w:pPr>
              <w:jc w:val="both"/>
              <w:rPr>
                <w:rFonts w:eastAsia="Calibri"/>
                <w:sz w:val="20"/>
                <w:lang w:val="fr-CA"/>
              </w:rPr>
            </w:pPr>
          </w:p>
        </w:tc>
        <w:tc>
          <w:tcPr>
            <w:tcW w:w="2638" w:type="pct"/>
          </w:tcPr>
          <w:p w:rsidR="00661E92" w:rsidRPr="000F1B6E" w:rsidRDefault="00661E92" w:rsidP="00661E92">
            <w:pPr>
              <w:jc w:val="both"/>
              <w:rPr>
                <w:rFonts w:eastAsia="Calibri"/>
                <w:sz w:val="20"/>
                <w:lang w:val="fr-CA"/>
              </w:rPr>
            </w:pPr>
            <w:r w:rsidRPr="000F1B6E">
              <w:rPr>
                <w:rFonts w:eastAsia="Calibri"/>
                <w:sz w:val="20"/>
                <w:lang w:val="fr-CA"/>
              </w:rPr>
              <w:t>Dépôt de la demande d’autorisation d’appel.</w:t>
            </w:r>
          </w:p>
        </w:tc>
      </w:tr>
    </w:tbl>
    <w:p w:rsidR="00124C37" w:rsidRPr="00661E92" w:rsidRDefault="00124C37" w:rsidP="00124C37">
      <w:pPr>
        <w:rPr>
          <w:sz w:val="20"/>
          <w:szCs w:val="20"/>
          <w:lang w:val="fr-CA"/>
        </w:rPr>
      </w:pPr>
    </w:p>
    <w:p w:rsidR="00124C37" w:rsidRDefault="00E42AAB" w:rsidP="00124C37">
      <w:pPr>
        <w:rPr>
          <w:sz w:val="20"/>
          <w:szCs w:val="20"/>
        </w:rPr>
      </w:pPr>
      <w:r>
        <w:rPr>
          <w:sz w:val="20"/>
          <w:szCs w:val="20"/>
          <w:lang w:val="fr-CA"/>
        </w:rPr>
        <w:pict>
          <v:rect id="_x0000_i1058" style="width:2in;height:1pt" o:hrpct="0" o:hralign="center" o:hrstd="t" o:hrnoshade="t" o:hr="t" fillcolor="black [3213]" stroked="f"/>
        </w:pict>
      </w:r>
    </w:p>
    <w:p w:rsidR="00124C37" w:rsidRDefault="00124C37" w:rsidP="00124C37">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03DFB" w:rsidRPr="009D5483" w:rsidTr="00C64462">
        <w:trPr>
          <w:cantSplit/>
        </w:trPr>
        <w:tc>
          <w:tcPr>
            <w:tcW w:w="1458" w:type="dxa"/>
          </w:tcPr>
          <w:p w:rsidR="00803DFB" w:rsidRPr="00E7075A" w:rsidRDefault="00803DFB" w:rsidP="00C64462">
            <w:pPr>
              <w:rPr>
                <w:sz w:val="20"/>
                <w:szCs w:val="20"/>
              </w:rPr>
            </w:pPr>
            <w:r w:rsidRPr="00E7075A">
              <w:rPr>
                <w:rStyle w:val="SCCFileNumberChar"/>
                <w:sz w:val="20"/>
                <w:szCs w:val="20"/>
              </w:rPr>
              <w:t>36010</w:t>
            </w:r>
          </w:p>
          <w:p w:rsidR="00803DFB" w:rsidRPr="00E7075A" w:rsidRDefault="00803DFB" w:rsidP="00C64462">
            <w:pPr>
              <w:rPr>
                <w:b/>
                <w:sz w:val="20"/>
                <w:szCs w:val="20"/>
                <w:lang w:val="fr-CA"/>
              </w:rPr>
            </w:pPr>
          </w:p>
        </w:tc>
        <w:tc>
          <w:tcPr>
            <w:tcW w:w="8118" w:type="dxa"/>
          </w:tcPr>
          <w:p w:rsidR="00803DFB" w:rsidRPr="009D5483" w:rsidRDefault="00803DFB" w:rsidP="00C64462">
            <w:pPr>
              <w:jc w:val="both"/>
              <w:rPr>
                <w:sz w:val="20"/>
                <w:szCs w:val="20"/>
                <w:lang w:val="fr-CA"/>
              </w:rPr>
            </w:pPr>
            <w:r w:rsidRPr="00E7075A">
              <w:rPr>
                <w:rStyle w:val="SCCLsocChar"/>
                <w:sz w:val="20"/>
                <w:szCs w:val="20"/>
              </w:rPr>
              <w:t>Intact, Compagnie d’assurance c. Les Constructions G.S.S. Gauthier 2000 Inc. ET ENTRE Intact Compagnie d’assurance c. Carmela Scaffidi Argentina, Jacques Lasne</w:t>
            </w:r>
            <w:r w:rsidR="009D5483">
              <w:rPr>
                <w:rStyle w:val="SCCLsocChar"/>
                <w:sz w:val="20"/>
                <w:szCs w:val="20"/>
              </w:rPr>
              <w:t xml:space="preserve"> et</w:t>
            </w:r>
            <w:r w:rsidRPr="00E7075A">
              <w:rPr>
                <w:rStyle w:val="SCCLsocChar"/>
                <w:sz w:val="20"/>
                <w:szCs w:val="20"/>
              </w:rPr>
              <w:t xml:space="preserve"> Les Constructions G.S.S. Gauthier 2000 Inc.</w:t>
            </w:r>
            <w:r w:rsidRPr="00E7075A">
              <w:rPr>
                <w:sz w:val="20"/>
                <w:szCs w:val="20"/>
                <w:lang w:val="fr-CA"/>
              </w:rPr>
              <w:t xml:space="preserve"> </w:t>
            </w:r>
            <w:r w:rsidRPr="009D5483">
              <w:rPr>
                <w:sz w:val="20"/>
                <w:szCs w:val="20"/>
                <w:lang w:val="fr-CA"/>
              </w:rPr>
              <w:t>(Qc) (Civile) (Autorisation)</w:t>
            </w:r>
          </w:p>
          <w:p w:rsidR="00803DFB" w:rsidRPr="009D5483" w:rsidRDefault="00803DFB" w:rsidP="00C64462">
            <w:pPr>
              <w:jc w:val="both"/>
              <w:rPr>
                <w:sz w:val="20"/>
                <w:szCs w:val="20"/>
                <w:lang w:val="fr-CA"/>
              </w:rPr>
            </w:pPr>
          </w:p>
        </w:tc>
      </w:tr>
      <w:tr w:rsidR="00803DFB" w:rsidRPr="0025502E" w:rsidTr="00C64462">
        <w:trPr>
          <w:cantSplit/>
        </w:trPr>
        <w:tc>
          <w:tcPr>
            <w:tcW w:w="1458" w:type="dxa"/>
          </w:tcPr>
          <w:p w:rsidR="00803DFB" w:rsidRPr="009D5483" w:rsidRDefault="00803DFB" w:rsidP="00C64462">
            <w:pPr>
              <w:rPr>
                <w:sz w:val="20"/>
                <w:szCs w:val="20"/>
                <w:lang w:val="fr-CA"/>
              </w:rPr>
            </w:pPr>
            <w:r w:rsidRPr="009D5483">
              <w:rPr>
                <w:sz w:val="20"/>
                <w:szCs w:val="20"/>
                <w:lang w:val="fr-CA"/>
              </w:rPr>
              <w:t>Coram :</w:t>
            </w:r>
          </w:p>
        </w:tc>
        <w:tc>
          <w:tcPr>
            <w:tcW w:w="8118" w:type="dxa"/>
          </w:tcPr>
          <w:p w:rsidR="00803DFB" w:rsidRPr="00E7075A" w:rsidRDefault="00803DFB" w:rsidP="00C64462">
            <w:pPr>
              <w:rPr>
                <w:sz w:val="20"/>
                <w:szCs w:val="20"/>
                <w:lang w:val="fr-CA"/>
              </w:rPr>
            </w:pPr>
            <w:r w:rsidRPr="00E7075A">
              <w:rPr>
                <w:rStyle w:val="SCCCoramChar"/>
                <w:sz w:val="20"/>
                <w:szCs w:val="20"/>
              </w:rPr>
              <w:t>Les juges Abella, Karakatsanis et Wagner</w:t>
            </w:r>
          </w:p>
          <w:p w:rsidR="00803DFB" w:rsidRPr="00E7075A" w:rsidRDefault="00803DFB" w:rsidP="00C64462">
            <w:pPr>
              <w:rPr>
                <w:sz w:val="20"/>
                <w:szCs w:val="20"/>
                <w:u w:val="single"/>
                <w:lang w:val="fr-CA"/>
              </w:rPr>
            </w:pPr>
          </w:p>
        </w:tc>
      </w:tr>
      <w:tr w:rsidR="00803DFB" w:rsidRPr="00E7075A" w:rsidTr="00C64462">
        <w:trPr>
          <w:cantSplit/>
        </w:trPr>
        <w:tc>
          <w:tcPr>
            <w:tcW w:w="9576" w:type="dxa"/>
            <w:gridSpan w:val="2"/>
          </w:tcPr>
          <w:p w:rsidR="00803DFB" w:rsidRPr="00E7075A" w:rsidRDefault="00803DFB" w:rsidP="00C64462">
            <w:pPr>
              <w:pStyle w:val="SCCShortJudgment"/>
              <w:rPr>
                <w:szCs w:val="20"/>
                <w:lang w:val="fr-CA"/>
              </w:rPr>
            </w:pPr>
            <w:r w:rsidRPr="00E7075A">
              <w:rPr>
                <w:szCs w:val="20"/>
                <w:lang w:val="fr-CA"/>
              </w:rPr>
              <w:t>La demande d’autorisation d’appel de l’arrêt de la Cour d’appel du Québec (Montréal), numéros  500-09-023177-124 et 500-09-023176-126, 2014 QCCA 991, daté du 16 mai 2014, est rejetée avec dépens.</w:t>
            </w:r>
          </w:p>
          <w:p w:rsidR="00803DFB" w:rsidRPr="00E7075A" w:rsidRDefault="00803DFB" w:rsidP="00C64462">
            <w:pPr>
              <w:pStyle w:val="SCCShortJudgment"/>
              <w:ind w:firstLine="0"/>
              <w:rPr>
                <w:szCs w:val="20"/>
                <w:lang w:val="fr-CA"/>
              </w:rPr>
            </w:pPr>
          </w:p>
          <w:p w:rsidR="00803DFB" w:rsidRPr="00E7075A" w:rsidRDefault="00803DFB" w:rsidP="00C64462">
            <w:pPr>
              <w:pStyle w:val="SCCShortJudgment"/>
              <w:rPr>
                <w:szCs w:val="20"/>
              </w:rPr>
            </w:pPr>
            <w:r w:rsidRPr="00E7075A">
              <w:rPr>
                <w:szCs w:val="20"/>
              </w:rPr>
              <w:t>The application for leave to appeal from the judgment of the Court of Appeal of Quebec (Montréal), Numbers  500-09-023177-124 and 500-09-023176-126, 2014 QCCA 991, dated May 16, 2014, is dismissed with costs.</w:t>
            </w:r>
          </w:p>
        </w:tc>
      </w:tr>
    </w:tbl>
    <w:p w:rsidR="00124C37" w:rsidRDefault="00124C37" w:rsidP="000E2959">
      <w:pPr>
        <w:rPr>
          <w:sz w:val="20"/>
          <w:szCs w:val="20"/>
        </w:rPr>
      </w:pPr>
    </w:p>
    <w:p w:rsidR="0023755D" w:rsidRDefault="0023755D">
      <w:pPr>
        <w:rPr>
          <w:sz w:val="20"/>
          <w:szCs w:val="20"/>
        </w:rPr>
      </w:pPr>
      <w:r>
        <w:rPr>
          <w:sz w:val="20"/>
          <w:szCs w:val="20"/>
        </w:rPr>
        <w:lastRenderedPageBreak/>
        <w:br w:type="page"/>
      </w:r>
    </w:p>
    <w:p w:rsidR="00124C37" w:rsidRPr="001B157C" w:rsidRDefault="00124C37" w:rsidP="00124C37">
      <w:pPr>
        <w:rPr>
          <w:sz w:val="20"/>
          <w:szCs w:val="20"/>
          <w:u w:val="single"/>
        </w:rPr>
      </w:pPr>
      <w:r w:rsidRPr="001B157C">
        <w:rPr>
          <w:sz w:val="20"/>
          <w:szCs w:val="20"/>
          <w:u w:val="single"/>
        </w:rPr>
        <w:lastRenderedPageBreak/>
        <w:t>CASE SUMMARY</w:t>
      </w:r>
    </w:p>
    <w:p w:rsidR="00124C37" w:rsidRDefault="00124C37" w:rsidP="00124C3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F0BAB" w:rsidRPr="000F1B6E" w:rsidTr="003D1C23">
        <w:tc>
          <w:tcPr>
            <w:tcW w:w="5000" w:type="pct"/>
            <w:gridSpan w:val="3"/>
          </w:tcPr>
          <w:p w:rsidR="000F0BAB" w:rsidRPr="000F1B6E" w:rsidRDefault="000F0BAB" w:rsidP="003D1C23">
            <w:pPr>
              <w:jc w:val="both"/>
              <w:rPr>
                <w:rFonts w:eastAsia="Calibri"/>
                <w:sz w:val="20"/>
              </w:rPr>
            </w:pPr>
            <w:r w:rsidRPr="000F1B6E">
              <w:rPr>
                <w:rFonts w:eastAsia="Calibri"/>
                <w:sz w:val="20"/>
              </w:rPr>
              <w:t>Insurance – Liability insurance – Exclusions – Commercial general liability policy – Coverage provided for defective work performed by insured company – Whether insurer required to pay cost of replacing defective work – Whether work constituted [</w:t>
            </w:r>
            <w:r w:rsidRPr="000F1B6E">
              <w:rPr>
                <w:rFonts w:eastAsia="Calibri"/>
                <w:smallCaps/>
                <w:sz w:val="20"/>
              </w:rPr>
              <w:t>translation</w:t>
            </w:r>
            <w:r w:rsidRPr="000F1B6E">
              <w:rPr>
                <w:rFonts w:eastAsia="Calibri"/>
                <w:sz w:val="20"/>
              </w:rPr>
              <w:t>] “loss” or “property damage” within meaning of policy – In alternative, whether damage was excluded from insurance coverage.</w:t>
            </w:r>
          </w:p>
        </w:tc>
      </w:tr>
      <w:tr w:rsidR="000F0BAB" w:rsidRPr="000F1B6E" w:rsidTr="003D1C23">
        <w:tc>
          <w:tcPr>
            <w:tcW w:w="5000" w:type="pct"/>
            <w:gridSpan w:val="3"/>
          </w:tcPr>
          <w:p w:rsidR="000F0BAB" w:rsidRPr="000F1B6E" w:rsidRDefault="000F0BAB" w:rsidP="003D1C23">
            <w:pPr>
              <w:jc w:val="both"/>
              <w:rPr>
                <w:rFonts w:eastAsia="Calibri"/>
                <w:sz w:val="20"/>
              </w:rPr>
            </w:pPr>
          </w:p>
        </w:tc>
      </w:tr>
      <w:tr w:rsidR="000F0BAB" w:rsidRPr="000F1B6E" w:rsidTr="003D1C23">
        <w:tc>
          <w:tcPr>
            <w:tcW w:w="5000" w:type="pct"/>
            <w:gridSpan w:val="3"/>
          </w:tcPr>
          <w:p w:rsidR="000F0BAB" w:rsidRPr="000F1B6E" w:rsidRDefault="000F0BAB" w:rsidP="003D1C23">
            <w:pPr>
              <w:jc w:val="both"/>
              <w:rPr>
                <w:rFonts w:eastAsia="Calibri"/>
                <w:sz w:val="20"/>
              </w:rPr>
            </w:pPr>
            <w:r w:rsidRPr="000F1B6E">
              <w:rPr>
                <w:rFonts w:eastAsia="Calibri"/>
                <w:sz w:val="20"/>
              </w:rPr>
              <w:t>In 2005, the respondents Carmela Scaffidi Argentina and Jacques Lasne (“the owners”) hired the respondent Les Constructions G.S.S. Gauthier 2000 Inc. (“the builder”) to do some roof construction work.  In 2008, water leakage was found inside the building.  The owners eventually sued the roof builder, which called its insurer, the applicant Intact Insurance Company, in warranty.  The damages claimed covered, among other things, the damage caused to the building by the water leakage and the costs involved in redoing the work.  The insurer denied coverage, refused to defend the builder and refused to indemnify the builder under a commercial general liability policy for the costs associated with the defective work and the general damage resulting from it.</w:t>
            </w:r>
          </w:p>
          <w:p w:rsidR="000F0BAB" w:rsidRPr="000F1B6E" w:rsidRDefault="000F0BAB" w:rsidP="003D1C23">
            <w:pPr>
              <w:jc w:val="both"/>
              <w:rPr>
                <w:rFonts w:eastAsia="Calibri"/>
                <w:sz w:val="20"/>
              </w:rPr>
            </w:pPr>
          </w:p>
          <w:p w:rsidR="000F0BAB" w:rsidRPr="000F1B6E" w:rsidRDefault="000F0BAB" w:rsidP="003D1C23">
            <w:pPr>
              <w:jc w:val="both"/>
              <w:rPr>
                <w:rFonts w:eastAsia="Calibri"/>
                <w:sz w:val="20"/>
              </w:rPr>
            </w:pPr>
            <w:r w:rsidRPr="000F1B6E">
              <w:rPr>
                <w:rFonts w:eastAsia="Calibri"/>
                <w:sz w:val="20"/>
              </w:rPr>
              <w:t>The Superior Court found the builder liable for the damage sustained by the owners.  Tessier J. also found that the damage was covered by the insurance policy, such that a solidary award had to be made against the builder and its insurer.  The judge also allowed the action in warranty brought by the builder and ordered the insurer to indemnify the builder in full and to reimburse it for all the expert and other fees incurred to defend the principal action.  The Court of Appeal dismissed the insurer’s appeals.</w:t>
            </w:r>
          </w:p>
          <w:p w:rsidR="000F0BAB" w:rsidRPr="000F1B6E" w:rsidRDefault="000F0BAB" w:rsidP="003D1C23">
            <w:pPr>
              <w:jc w:val="both"/>
              <w:rPr>
                <w:rFonts w:eastAsia="Calibri"/>
                <w:sz w:val="20"/>
              </w:rPr>
            </w:pPr>
          </w:p>
        </w:tc>
      </w:tr>
      <w:tr w:rsidR="000F0BAB" w:rsidRPr="000F1B6E" w:rsidTr="003D1C23">
        <w:tc>
          <w:tcPr>
            <w:tcW w:w="2427" w:type="pct"/>
          </w:tcPr>
          <w:p w:rsidR="000F0BAB" w:rsidRPr="000F1B6E" w:rsidRDefault="000F0BAB" w:rsidP="003D1C23">
            <w:pPr>
              <w:jc w:val="both"/>
              <w:rPr>
                <w:rFonts w:eastAsia="Calibri"/>
                <w:sz w:val="20"/>
              </w:rPr>
            </w:pPr>
            <w:r w:rsidRPr="000F1B6E">
              <w:rPr>
                <w:rFonts w:eastAsia="Calibri"/>
                <w:sz w:val="20"/>
              </w:rPr>
              <w:t>October 24, 2012</w:t>
            </w:r>
          </w:p>
          <w:p w:rsidR="000F0BAB" w:rsidRPr="000F1B6E" w:rsidRDefault="000F0BAB" w:rsidP="003D1C23">
            <w:pPr>
              <w:jc w:val="both"/>
              <w:rPr>
                <w:rFonts w:eastAsia="Calibri"/>
                <w:sz w:val="20"/>
              </w:rPr>
            </w:pPr>
            <w:r w:rsidRPr="000F1B6E">
              <w:rPr>
                <w:rFonts w:eastAsia="Calibri"/>
                <w:sz w:val="20"/>
              </w:rPr>
              <w:t>Quebec Superior Court</w:t>
            </w:r>
          </w:p>
          <w:p w:rsidR="000F0BAB" w:rsidRPr="000F1B6E" w:rsidRDefault="000F0BAB" w:rsidP="003D1C23">
            <w:pPr>
              <w:jc w:val="both"/>
              <w:rPr>
                <w:rFonts w:eastAsia="Calibri"/>
                <w:sz w:val="20"/>
              </w:rPr>
            </w:pPr>
            <w:r w:rsidRPr="000F1B6E">
              <w:rPr>
                <w:rFonts w:eastAsia="Calibri"/>
                <w:sz w:val="20"/>
              </w:rPr>
              <w:t>(Tessier J.)</w:t>
            </w:r>
          </w:p>
          <w:p w:rsidR="000F0BAB" w:rsidRPr="000F1B6E" w:rsidRDefault="00E42AAB" w:rsidP="003D1C23">
            <w:pPr>
              <w:jc w:val="both"/>
              <w:rPr>
                <w:rFonts w:eastAsia="Calibri"/>
                <w:sz w:val="20"/>
              </w:rPr>
            </w:pPr>
            <w:hyperlink r:id="rId51" w:history="1">
              <w:r w:rsidR="000F0BAB" w:rsidRPr="000F1B6E">
                <w:rPr>
                  <w:rFonts w:eastAsia="Calibri"/>
                  <w:color w:val="0000FF"/>
                  <w:sz w:val="20"/>
                  <w:u w:val="single"/>
                </w:rPr>
                <w:t>2012 QCCS 5417</w:t>
              </w:r>
            </w:hyperlink>
          </w:p>
          <w:p w:rsidR="000F0BAB" w:rsidRPr="000F1B6E" w:rsidRDefault="000F0BAB" w:rsidP="003D1C23">
            <w:pPr>
              <w:jc w:val="both"/>
              <w:rPr>
                <w:rFonts w:eastAsia="Calibri"/>
                <w:sz w:val="20"/>
              </w:rPr>
            </w:pPr>
          </w:p>
        </w:tc>
        <w:tc>
          <w:tcPr>
            <w:tcW w:w="243" w:type="pct"/>
          </w:tcPr>
          <w:p w:rsidR="000F0BAB" w:rsidRPr="000F1B6E" w:rsidRDefault="000F0BAB" w:rsidP="003D1C23">
            <w:pPr>
              <w:jc w:val="both"/>
              <w:rPr>
                <w:rFonts w:eastAsia="Calibri"/>
                <w:sz w:val="20"/>
              </w:rPr>
            </w:pPr>
          </w:p>
        </w:tc>
        <w:tc>
          <w:tcPr>
            <w:tcW w:w="2330" w:type="pct"/>
          </w:tcPr>
          <w:p w:rsidR="000F0BAB" w:rsidRPr="000F1B6E" w:rsidRDefault="000F0BAB" w:rsidP="003D1C23">
            <w:pPr>
              <w:jc w:val="both"/>
              <w:rPr>
                <w:rFonts w:eastAsia="Calibri"/>
                <w:sz w:val="20"/>
              </w:rPr>
            </w:pPr>
            <w:r w:rsidRPr="000F1B6E">
              <w:rPr>
                <w:rFonts w:eastAsia="Calibri"/>
                <w:sz w:val="20"/>
              </w:rPr>
              <w:t xml:space="preserve">Action against insurer and insured allowed in part; insured’s action in warranty against insurer allowed </w:t>
            </w:r>
          </w:p>
        </w:tc>
      </w:tr>
      <w:tr w:rsidR="000F0BAB" w:rsidRPr="000F1B6E" w:rsidTr="003D1C23">
        <w:tc>
          <w:tcPr>
            <w:tcW w:w="2427" w:type="pct"/>
          </w:tcPr>
          <w:p w:rsidR="000F0BAB" w:rsidRPr="000F1B6E" w:rsidRDefault="000F0BAB" w:rsidP="003D1C23">
            <w:pPr>
              <w:jc w:val="both"/>
              <w:rPr>
                <w:rFonts w:eastAsia="Calibri"/>
                <w:sz w:val="20"/>
              </w:rPr>
            </w:pPr>
            <w:r w:rsidRPr="000F1B6E">
              <w:rPr>
                <w:rFonts w:eastAsia="Calibri"/>
                <w:sz w:val="20"/>
              </w:rPr>
              <w:t>May 16, 2014</w:t>
            </w:r>
          </w:p>
          <w:p w:rsidR="000F0BAB" w:rsidRPr="000F1B6E" w:rsidRDefault="000F0BAB" w:rsidP="003D1C23">
            <w:pPr>
              <w:jc w:val="both"/>
              <w:rPr>
                <w:rFonts w:eastAsia="Calibri"/>
                <w:sz w:val="20"/>
              </w:rPr>
            </w:pPr>
            <w:r w:rsidRPr="000F1B6E">
              <w:rPr>
                <w:rFonts w:eastAsia="Calibri"/>
                <w:sz w:val="20"/>
              </w:rPr>
              <w:t>Quebec Court of Appeal (Montréal)</w:t>
            </w:r>
          </w:p>
          <w:p w:rsidR="000F0BAB" w:rsidRPr="000F1B6E" w:rsidRDefault="000F0BAB" w:rsidP="003D1C23">
            <w:pPr>
              <w:jc w:val="both"/>
              <w:rPr>
                <w:rFonts w:eastAsia="Calibri"/>
                <w:sz w:val="20"/>
              </w:rPr>
            </w:pPr>
            <w:r w:rsidRPr="000F1B6E">
              <w:rPr>
                <w:rFonts w:eastAsia="Calibri"/>
                <w:sz w:val="20"/>
              </w:rPr>
              <w:t>(Giroux, Gascon and Bélanger JJ.A.)</w:t>
            </w:r>
          </w:p>
          <w:p w:rsidR="000F0BAB" w:rsidRPr="000F1B6E" w:rsidRDefault="000F0BAB" w:rsidP="003D1C23">
            <w:pPr>
              <w:jc w:val="both"/>
              <w:rPr>
                <w:rFonts w:eastAsia="Calibri"/>
                <w:sz w:val="20"/>
              </w:rPr>
            </w:pPr>
            <w:r w:rsidRPr="000F1B6E">
              <w:rPr>
                <w:rFonts w:eastAsia="Calibri"/>
                <w:sz w:val="20"/>
              </w:rPr>
              <w:t xml:space="preserve">500-09-023176-126; 500-09-023177-124; </w:t>
            </w:r>
            <w:hyperlink r:id="rId52" w:history="1">
              <w:r w:rsidRPr="000F1B6E">
                <w:rPr>
                  <w:rFonts w:eastAsia="Calibri"/>
                  <w:color w:val="0000FF"/>
                  <w:sz w:val="20"/>
                  <w:u w:val="single"/>
                </w:rPr>
                <w:t>2014 QCCA 991</w:t>
              </w:r>
            </w:hyperlink>
          </w:p>
          <w:p w:rsidR="000F0BAB" w:rsidRPr="000F1B6E" w:rsidRDefault="000F0BAB" w:rsidP="003D1C23">
            <w:pPr>
              <w:jc w:val="both"/>
              <w:rPr>
                <w:rFonts w:eastAsia="Calibri"/>
                <w:sz w:val="20"/>
              </w:rPr>
            </w:pPr>
          </w:p>
        </w:tc>
        <w:tc>
          <w:tcPr>
            <w:tcW w:w="243" w:type="pct"/>
          </w:tcPr>
          <w:p w:rsidR="000F0BAB" w:rsidRPr="000F1B6E" w:rsidRDefault="000F0BAB" w:rsidP="003D1C23">
            <w:pPr>
              <w:jc w:val="both"/>
              <w:rPr>
                <w:rFonts w:eastAsia="Calibri"/>
                <w:sz w:val="20"/>
              </w:rPr>
            </w:pPr>
          </w:p>
        </w:tc>
        <w:tc>
          <w:tcPr>
            <w:tcW w:w="2330" w:type="pct"/>
          </w:tcPr>
          <w:p w:rsidR="000F0BAB" w:rsidRPr="000F1B6E" w:rsidRDefault="000F0BAB" w:rsidP="003D1C23">
            <w:pPr>
              <w:jc w:val="both"/>
              <w:rPr>
                <w:rFonts w:eastAsia="Calibri"/>
                <w:sz w:val="20"/>
              </w:rPr>
            </w:pPr>
            <w:r w:rsidRPr="000F1B6E">
              <w:rPr>
                <w:rFonts w:eastAsia="Calibri"/>
                <w:sz w:val="20"/>
              </w:rPr>
              <w:t>Insurer’s appeals dismissed</w:t>
            </w:r>
          </w:p>
        </w:tc>
      </w:tr>
      <w:tr w:rsidR="000F0BAB" w:rsidRPr="000F1B6E" w:rsidTr="003D1C23">
        <w:tc>
          <w:tcPr>
            <w:tcW w:w="2427" w:type="pct"/>
          </w:tcPr>
          <w:p w:rsidR="000F0BAB" w:rsidRPr="000F1B6E" w:rsidRDefault="000F0BAB" w:rsidP="003D1C23">
            <w:pPr>
              <w:jc w:val="both"/>
              <w:rPr>
                <w:rFonts w:eastAsia="Calibri"/>
                <w:sz w:val="20"/>
              </w:rPr>
            </w:pPr>
            <w:r w:rsidRPr="000F1B6E">
              <w:rPr>
                <w:rFonts w:eastAsia="Calibri"/>
                <w:sz w:val="20"/>
              </w:rPr>
              <w:t>August 15, 2014</w:t>
            </w:r>
          </w:p>
          <w:p w:rsidR="000F0BAB" w:rsidRPr="000F1B6E" w:rsidRDefault="000F0BAB" w:rsidP="003D1C23">
            <w:pPr>
              <w:jc w:val="both"/>
              <w:rPr>
                <w:rFonts w:eastAsia="Calibri"/>
                <w:sz w:val="20"/>
              </w:rPr>
            </w:pPr>
            <w:r w:rsidRPr="000F1B6E">
              <w:rPr>
                <w:rFonts w:eastAsia="Calibri"/>
                <w:sz w:val="20"/>
              </w:rPr>
              <w:t>Supreme Court of Canada</w:t>
            </w:r>
          </w:p>
        </w:tc>
        <w:tc>
          <w:tcPr>
            <w:tcW w:w="243" w:type="pct"/>
          </w:tcPr>
          <w:p w:rsidR="000F0BAB" w:rsidRPr="000F1B6E" w:rsidRDefault="000F0BAB" w:rsidP="003D1C23">
            <w:pPr>
              <w:jc w:val="both"/>
              <w:rPr>
                <w:rFonts w:eastAsia="Calibri"/>
                <w:sz w:val="20"/>
              </w:rPr>
            </w:pPr>
          </w:p>
        </w:tc>
        <w:tc>
          <w:tcPr>
            <w:tcW w:w="2330" w:type="pct"/>
          </w:tcPr>
          <w:p w:rsidR="000F0BAB" w:rsidRPr="000F1B6E" w:rsidRDefault="000F0BAB" w:rsidP="003D1C23">
            <w:pPr>
              <w:jc w:val="both"/>
              <w:rPr>
                <w:rFonts w:eastAsia="Calibri"/>
                <w:sz w:val="20"/>
              </w:rPr>
            </w:pPr>
            <w:r w:rsidRPr="000F1B6E">
              <w:rPr>
                <w:rFonts w:eastAsia="Calibri"/>
                <w:sz w:val="20"/>
              </w:rPr>
              <w:t>Application for leave to appeal filed</w:t>
            </w:r>
          </w:p>
        </w:tc>
      </w:tr>
    </w:tbl>
    <w:p w:rsidR="00124C37" w:rsidRPr="000F0BAB" w:rsidRDefault="00124C37" w:rsidP="00124C37">
      <w:pPr>
        <w:rPr>
          <w:sz w:val="20"/>
          <w:szCs w:val="20"/>
        </w:rPr>
      </w:pPr>
    </w:p>
    <w:p w:rsidR="00124C37" w:rsidRPr="00C50A5C" w:rsidRDefault="00E42AAB" w:rsidP="00124C37">
      <w:pPr>
        <w:rPr>
          <w:sz w:val="20"/>
          <w:szCs w:val="20"/>
        </w:rPr>
      </w:pPr>
      <w:r>
        <w:rPr>
          <w:sz w:val="20"/>
          <w:szCs w:val="20"/>
          <w:lang w:val="fr-CA"/>
        </w:rPr>
        <w:pict>
          <v:rect id="_x0000_i1059" style="width:2in;height:1pt" o:hrpct="0" o:hralign="center" o:hrstd="t" o:hrnoshade="t" o:hr="t" fillcolor="black [3213]" stroked="f"/>
        </w:pict>
      </w:r>
    </w:p>
    <w:p w:rsidR="00124C37" w:rsidRDefault="00124C37" w:rsidP="00124C37">
      <w:pPr>
        <w:rPr>
          <w:sz w:val="20"/>
          <w:szCs w:val="20"/>
        </w:rPr>
      </w:pPr>
    </w:p>
    <w:p w:rsidR="00124C37" w:rsidRPr="001B157C" w:rsidRDefault="00124C37" w:rsidP="00124C37">
      <w:pPr>
        <w:rPr>
          <w:sz w:val="20"/>
          <w:szCs w:val="20"/>
          <w:u w:val="single"/>
          <w:lang w:val="fr-CA"/>
        </w:rPr>
      </w:pPr>
      <w:r w:rsidRPr="001B157C">
        <w:rPr>
          <w:sz w:val="20"/>
          <w:szCs w:val="20"/>
          <w:u w:val="single"/>
          <w:lang w:val="fr-CA"/>
        </w:rPr>
        <w:t>RÉSUMÉ DE L’AFFAIRE</w:t>
      </w:r>
    </w:p>
    <w:p w:rsidR="00124C37" w:rsidRDefault="00124C37" w:rsidP="00124C3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F0BAB" w:rsidRPr="0025502E" w:rsidTr="003D1C23">
        <w:tc>
          <w:tcPr>
            <w:tcW w:w="5000" w:type="pct"/>
            <w:gridSpan w:val="3"/>
          </w:tcPr>
          <w:p w:rsidR="000F0BAB" w:rsidRPr="000F1B6E" w:rsidRDefault="000F0BAB" w:rsidP="003D1C23">
            <w:pPr>
              <w:jc w:val="both"/>
              <w:rPr>
                <w:rFonts w:eastAsia="Calibri"/>
                <w:sz w:val="20"/>
                <w:lang w:val="fr-CA"/>
              </w:rPr>
            </w:pPr>
            <w:r w:rsidRPr="000F1B6E">
              <w:rPr>
                <w:rFonts w:eastAsia="Calibri"/>
                <w:sz w:val="20"/>
                <w:lang w:val="fr-CA"/>
              </w:rPr>
              <w:t>Assurances – Assurance de responsabilité – Exclusions – Police d’assurance couvrant la responsabilité civile des entreprises – Garantie offerte en regard de travaux défectueux réalisés par l’entreprise assurée – L’assureur est-il tenu de payer le coût de remplacement des travaux défectueux? – Les travaux constituaient-ils un « sinistre » ou un « dommage matériel » au sens de la police? – Dans l’alternative, les dommages étaient-ils exclus de la couverture d’assurance?</w:t>
            </w:r>
          </w:p>
        </w:tc>
      </w:tr>
      <w:tr w:rsidR="000F0BAB" w:rsidRPr="0025502E" w:rsidTr="003D1C23">
        <w:tc>
          <w:tcPr>
            <w:tcW w:w="5000" w:type="pct"/>
            <w:gridSpan w:val="3"/>
          </w:tcPr>
          <w:p w:rsidR="000F0BAB" w:rsidRPr="000F1B6E" w:rsidRDefault="000F0BAB" w:rsidP="003D1C23">
            <w:pPr>
              <w:jc w:val="both"/>
              <w:rPr>
                <w:rFonts w:eastAsia="Calibri"/>
                <w:sz w:val="20"/>
                <w:lang w:val="fr-CA"/>
              </w:rPr>
            </w:pPr>
          </w:p>
        </w:tc>
      </w:tr>
      <w:tr w:rsidR="000F0BAB" w:rsidRPr="000F1B6E" w:rsidTr="003D1C23">
        <w:tc>
          <w:tcPr>
            <w:tcW w:w="5000" w:type="pct"/>
            <w:gridSpan w:val="3"/>
          </w:tcPr>
          <w:p w:rsidR="000F0BAB" w:rsidRPr="000F1B6E" w:rsidRDefault="000F0BAB" w:rsidP="003D1C23">
            <w:pPr>
              <w:jc w:val="both"/>
              <w:rPr>
                <w:rFonts w:eastAsia="Calibri"/>
                <w:sz w:val="20"/>
                <w:lang w:val="fr-CA"/>
              </w:rPr>
            </w:pPr>
            <w:r w:rsidRPr="000F1B6E">
              <w:rPr>
                <w:rFonts w:eastAsia="Calibri"/>
                <w:sz w:val="20"/>
                <w:lang w:val="fr-CA"/>
              </w:rPr>
              <w:t xml:space="preserve">En 2005, les intimés Carmela Scaffidi Argentina et Jacques Lasne (« les propriétaires ») confient des travaux de construction de toiture à l’intimée Les Constructions G.S.S. Gauthier 2000 Inc. (« le constructeur »).  En 2008, des infiltrations d’eau sont constatées à l’intérieur du bâtiment.  Les propriétaires poursuivent éventuellement le constructeur de la toiture, qui appelle en garantie son assureur, la demanderesse Intact Compagnie d’assurance.  Les dommages-intérêts réclamés couvrent notamment les dommages causés au bâtiment par les infiltrations d’eau et les </w:t>
            </w:r>
            <w:r w:rsidRPr="000F1B6E">
              <w:rPr>
                <w:rFonts w:eastAsia="Calibri"/>
                <w:sz w:val="20"/>
                <w:lang w:val="fr-CA"/>
              </w:rPr>
              <w:lastRenderedPageBreak/>
              <w:t>coûts associés à la reprise des travaux.  L’assureur nie couverture, refuse d’assumer la défense du constructeur et refuse de l’indemniser en vertu d’une police d’assurance de responsabilité des entreprises pour les coûts associés aux travaux défectueux et les dommages généraux qui en résultent.</w:t>
            </w:r>
          </w:p>
          <w:p w:rsidR="000F0BAB" w:rsidRPr="000F1B6E" w:rsidRDefault="000F0BAB" w:rsidP="003D1C23">
            <w:pPr>
              <w:jc w:val="both"/>
              <w:rPr>
                <w:rFonts w:eastAsia="Calibri"/>
                <w:sz w:val="20"/>
                <w:lang w:val="fr-CA"/>
              </w:rPr>
            </w:pPr>
          </w:p>
          <w:p w:rsidR="000F0BAB" w:rsidRPr="000F1B6E" w:rsidRDefault="000F0BAB" w:rsidP="003D1C23">
            <w:pPr>
              <w:jc w:val="both"/>
              <w:rPr>
                <w:rFonts w:eastAsia="Calibri"/>
                <w:sz w:val="20"/>
                <w:lang w:val="fr-CA"/>
              </w:rPr>
            </w:pPr>
            <w:r w:rsidRPr="000F1B6E">
              <w:rPr>
                <w:rFonts w:eastAsia="Calibri"/>
                <w:sz w:val="20"/>
                <w:lang w:val="fr-CA"/>
              </w:rPr>
              <w:t xml:space="preserve">La Cour supérieure déclare le constructeur responsable des dommages subis par les propriétaires.  La juge Tessier estime aussi que ceux-ci étaient couverts par la police d’assurance, de sorte qu’une condamnation solidaire contre le constructeur et son assureur s’imposait.  La juge accueille aussi le recours en garantie intenté par le constructeur, et condamne l’assureur à indemniser entièrement le constructeur et à lui rembourser tous les honoraires et frais d’experts encourus pour se défendre contre le recours principal.  La Cour d’appel rejette les appels de l’assureur. </w:t>
            </w:r>
          </w:p>
          <w:p w:rsidR="000F0BAB" w:rsidRPr="000F1B6E" w:rsidRDefault="000F0BAB" w:rsidP="003D1C23">
            <w:pPr>
              <w:jc w:val="both"/>
              <w:rPr>
                <w:rFonts w:eastAsia="Calibri"/>
                <w:sz w:val="20"/>
                <w:lang w:val="fr-CA"/>
              </w:rPr>
            </w:pPr>
          </w:p>
        </w:tc>
      </w:tr>
      <w:tr w:rsidR="000F0BAB" w:rsidRPr="0025502E" w:rsidTr="003D1C23">
        <w:tc>
          <w:tcPr>
            <w:tcW w:w="2427" w:type="pct"/>
          </w:tcPr>
          <w:p w:rsidR="000F0BAB" w:rsidRPr="000F1B6E" w:rsidRDefault="000F0BAB" w:rsidP="003D1C23">
            <w:pPr>
              <w:jc w:val="both"/>
              <w:rPr>
                <w:rFonts w:eastAsia="Calibri"/>
                <w:sz w:val="20"/>
                <w:lang w:val="fr-CA"/>
              </w:rPr>
            </w:pPr>
            <w:r w:rsidRPr="000F1B6E">
              <w:rPr>
                <w:rFonts w:eastAsia="Calibri"/>
                <w:sz w:val="20"/>
                <w:lang w:val="fr-CA"/>
              </w:rPr>
              <w:lastRenderedPageBreak/>
              <w:t>Le 24 octobre 2012</w:t>
            </w:r>
          </w:p>
          <w:p w:rsidR="000F0BAB" w:rsidRPr="000F1B6E" w:rsidRDefault="000F0BAB" w:rsidP="003D1C23">
            <w:pPr>
              <w:jc w:val="both"/>
              <w:rPr>
                <w:rFonts w:eastAsia="Calibri"/>
                <w:sz w:val="20"/>
                <w:lang w:val="fr-CA"/>
              </w:rPr>
            </w:pPr>
            <w:r w:rsidRPr="000F1B6E">
              <w:rPr>
                <w:rFonts w:eastAsia="Calibri"/>
                <w:sz w:val="20"/>
                <w:lang w:val="fr-CA"/>
              </w:rPr>
              <w:t>Cour supérieure du Québec</w:t>
            </w:r>
          </w:p>
          <w:p w:rsidR="000F0BAB" w:rsidRPr="000F1B6E" w:rsidRDefault="000F0BAB" w:rsidP="003D1C23">
            <w:pPr>
              <w:jc w:val="both"/>
              <w:rPr>
                <w:rFonts w:eastAsia="Calibri"/>
                <w:sz w:val="20"/>
                <w:lang w:val="fr-CA"/>
              </w:rPr>
            </w:pPr>
            <w:r w:rsidRPr="000F1B6E">
              <w:rPr>
                <w:rFonts w:eastAsia="Calibri"/>
                <w:sz w:val="20"/>
                <w:lang w:val="fr-CA"/>
              </w:rPr>
              <w:t>(La juge Tessier)</w:t>
            </w:r>
          </w:p>
          <w:p w:rsidR="000F0BAB" w:rsidRPr="000F1B6E" w:rsidRDefault="00E42AAB" w:rsidP="003D1C23">
            <w:pPr>
              <w:jc w:val="both"/>
              <w:rPr>
                <w:rFonts w:eastAsia="Calibri"/>
                <w:sz w:val="20"/>
                <w:lang w:val="fr-CA"/>
              </w:rPr>
            </w:pPr>
            <w:hyperlink r:id="rId53" w:history="1">
              <w:r w:rsidR="000F0BAB" w:rsidRPr="000F1B6E">
                <w:rPr>
                  <w:rFonts w:eastAsia="Calibri"/>
                  <w:color w:val="0000FF"/>
                  <w:sz w:val="20"/>
                  <w:u w:val="single"/>
                  <w:lang w:val="fr-CA"/>
                </w:rPr>
                <w:t>2012 QCCS 5417</w:t>
              </w:r>
            </w:hyperlink>
          </w:p>
          <w:p w:rsidR="000F0BAB" w:rsidRPr="000F1B6E" w:rsidRDefault="000F0BAB" w:rsidP="003D1C23">
            <w:pPr>
              <w:jc w:val="both"/>
              <w:rPr>
                <w:rFonts w:eastAsia="Calibri"/>
                <w:sz w:val="20"/>
                <w:lang w:val="fr-CA"/>
              </w:rPr>
            </w:pPr>
          </w:p>
        </w:tc>
        <w:tc>
          <w:tcPr>
            <w:tcW w:w="243" w:type="pct"/>
          </w:tcPr>
          <w:p w:rsidR="000F0BAB" w:rsidRPr="000F1B6E" w:rsidRDefault="000F0BAB" w:rsidP="003D1C23">
            <w:pPr>
              <w:jc w:val="both"/>
              <w:rPr>
                <w:rFonts w:eastAsia="Calibri"/>
                <w:sz w:val="20"/>
                <w:lang w:val="fr-CA"/>
              </w:rPr>
            </w:pPr>
          </w:p>
        </w:tc>
        <w:tc>
          <w:tcPr>
            <w:tcW w:w="2330" w:type="pct"/>
          </w:tcPr>
          <w:p w:rsidR="000F0BAB" w:rsidRPr="000F1B6E" w:rsidRDefault="000F0BAB" w:rsidP="003D1C23">
            <w:pPr>
              <w:jc w:val="both"/>
              <w:rPr>
                <w:rFonts w:eastAsia="Calibri"/>
                <w:sz w:val="20"/>
                <w:lang w:val="fr-CA"/>
              </w:rPr>
            </w:pPr>
            <w:r w:rsidRPr="000F1B6E">
              <w:rPr>
                <w:rFonts w:eastAsia="Calibri"/>
                <w:sz w:val="20"/>
                <w:lang w:val="fr-CA"/>
              </w:rPr>
              <w:t xml:space="preserve">Action dirigée contre l’assureur et l’assurée accueillie en partie; Action en garantie dirigée par l’assurée contre son assureur accueillie </w:t>
            </w:r>
          </w:p>
        </w:tc>
      </w:tr>
      <w:tr w:rsidR="000F0BAB" w:rsidRPr="000F1B6E" w:rsidTr="003D1C23">
        <w:tc>
          <w:tcPr>
            <w:tcW w:w="2427" w:type="pct"/>
          </w:tcPr>
          <w:p w:rsidR="000F0BAB" w:rsidRPr="000F1B6E" w:rsidRDefault="000F0BAB" w:rsidP="003D1C23">
            <w:pPr>
              <w:jc w:val="both"/>
              <w:rPr>
                <w:rFonts w:eastAsia="Calibri"/>
                <w:sz w:val="20"/>
                <w:lang w:val="fr-CA"/>
              </w:rPr>
            </w:pPr>
            <w:r w:rsidRPr="000F1B6E">
              <w:rPr>
                <w:rFonts w:eastAsia="Calibri"/>
                <w:sz w:val="20"/>
                <w:lang w:val="fr-CA"/>
              </w:rPr>
              <w:t>Le 16 mai 2014</w:t>
            </w:r>
          </w:p>
          <w:p w:rsidR="000F0BAB" w:rsidRPr="000F1B6E" w:rsidRDefault="000F0BAB" w:rsidP="003D1C23">
            <w:pPr>
              <w:jc w:val="both"/>
              <w:rPr>
                <w:rFonts w:eastAsia="Calibri"/>
                <w:sz w:val="20"/>
                <w:lang w:val="fr-CA"/>
              </w:rPr>
            </w:pPr>
            <w:r w:rsidRPr="000F1B6E">
              <w:rPr>
                <w:rFonts w:eastAsia="Calibri"/>
                <w:sz w:val="20"/>
                <w:lang w:val="fr-CA"/>
              </w:rPr>
              <w:t>Cour d’appel du Québec (Montréal)</w:t>
            </w:r>
          </w:p>
          <w:p w:rsidR="000F0BAB" w:rsidRPr="000F1B6E" w:rsidRDefault="000F0BAB" w:rsidP="003D1C23">
            <w:pPr>
              <w:jc w:val="both"/>
              <w:rPr>
                <w:rFonts w:eastAsia="Calibri"/>
                <w:sz w:val="20"/>
                <w:lang w:val="fr-CA"/>
              </w:rPr>
            </w:pPr>
            <w:r w:rsidRPr="000F1B6E">
              <w:rPr>
                <w:rFonts w:eastAsia="Calibri"/>
                <w:sz w:val="20"/>
                <w:lang w:val="fr-CA"/>
              </w:rPr>
              <w:t>(Les juges Giroux, Gascon et Bélanger)</w:t>
            </w:r>
          </w:p>
          <w:p w:rsidR="000F0BAB" w:rsidRPr="000F1B6E" w:rsidRDefault="000F0BAB" w:rsidP="003D1C23">
            <w:pPr>
              <w:jc w:val="both"/>
              <w:rPr>
                <w:rFonts w:eastAsia="Calibri"/>
                <w:sz w:val="20"/>
                <w:lang w:val="fr-CA"/>
              </w:rPr>
            </w:pPr>
            <w:r w:rsidRPr="000F1B6E">
              <w:rPr>
                <w:rFonts w:eastAsia="Calibri"/>
                <w:sz w:val="20"/>
                <w:lang w:val="fr-CA"/>
              </w:rPr>
              <w:t xml:space="preserve">500-09-023176-126; 500-09-023177-124; </w:t>
            </w:r>
            <w:hyperlink r:id="rId54" w:history="1">
              <w:r w:rsidRPr="000F1B6E">
                <w:rPr>
                  <w:rFonts w:eastAsia="Calibri"/>
                  <w:color w:val="0000FF"/>
                  <w:sz w:val="20"/>
                  <w:u w:val="single"/>
                  <w:lang w:val="fr-CA"/>
                </w:rPr>
                <w:t>2014 QCCA 991</w:t>
              </w:r>
            </w:hyperlink>
          </w:p>
          <w:p w:rsidR="000F0BAB" w:rsidRPr="000F1B6E" w:rsidRDefault="000F0BAB" w:rsidP="003D1C23">
            <w:pPr>
              <w:jc w:val="both"/>
              <w:rPr>
                <w:rFonts w:eastAsia="Calibri"/>
                <w:sz w:val="20"/>
                <w:lang w:val="fr-CA"/>
              </w:rPr>
            </w:pPr>
          </w:p>
        </w:tc>
        <w:tc>
          <w:tcPr>
            <w:tcW w:w="243" w:type="pct"/>
          </w:tcPr>
          <w:p w:rsidR="000F0BAB" w:rsidRPr="000F1B6E" w:rsidRDefault="000F0BAB" w:rsidP="003D1C23">
            <w:pPr>
              <w:jc w:val="both"/>
              <w:rPr>
                <w:rFonts w:eastAsia="Calibri"/>
                <w:sz w:val="20"/>
                <w:lang w:val="fr-CA"/>
              </w:rPr>
            </w:pPr>
          </w:p>
        </w:tc>
        <w:tc>
          <w:tcPr>
            <w:tcW w:w="2330" w:type="pct"/>
          </w:tcPr>
          <w:p w:rsidR="000F0BAB" w:rsidRPr="000F1B6E" w:rsidRDefault="000F0BAB" w:rsidP="003D1C23">
            <w:pPr>
              <w:jc w:val="both"/>
              <w:rPr>
                <w:rFonts w:eastAsia="Calibri"/>
                <w:sz w:val="20"/>
                <w:lang w:val="fr-CA"/>
              </w:rPr>
            </w:pPr>
            <w:r w:rsidRPr="000F1B6E">
              <w:rPr>
                <w:rFonts w:eastAsia="Calibri"/>
                <w:sz w:val="20"/>
                <w:lang w:val="fr-CA"/>
              </w:rPr>
              <w:t>Appels de l’assureur rejetés</w:t>
            </w:r>
          </w:p>
        </w:tc>
      </w:tr>
      <w:tr w:rsidR="000F0BAB" w:rsidRPr="000F1B6E" w:rsidTr="003D1C23">
        <w:tc>
          <w:tcPr>
            <w:tcW w:w="2427" w:type="pct"/>
          </w:tcPr>
          <w:p w:rsidR="000F0BAB" w:rsidRPr="000F1B6E" w:rsidRDefault="000F0BAB" w:rsidP="003D1C23">
            <w:pPr>
              <w:jc w:val="both"/>
              <w:rPr>
                <w:rFonts w:eastAsia="Calibri"/>
                <w:sz w:val="20"/>
                <w:lang w:val="fr-CA"/>
              </w:rPr>
            </w:pPr>
            <w:r w:rsidRPr="000F1B6E">
              <w:rPr>
                <w:rFonts w:eastAsia="Calibri"/>
                <w:sz w:val="20"/>
                <w:lang w:val="fr-CA"/>
              </w:rPr>
              <w:t>Le 15 août 2014</w:t>
            </w:r>
          </w:p>
          <w:p w:rsidR="000F0BAB" w:rsidRPr="000F1B6E" w:rsidRDefault="000F0BAB" w:rsidP="003D1C23">
            <w:pPr>
              <w:jc w:val="both"/>
              <w:rPr>
                <w:rFonts w:eastAsia="Calibri"/>
                <w:sz w:val="20"/>
                <w:lang w:val="fr-CA"/>
              </w:rPr>
            </w:pPr>
            <w:r w:rsidRPr="000F1B6E">
              <w:rPr>
                <w:rFonts w:eastAsia="Calibri"/>
                <w:sz w:val="20"/>
                <w:lang w:val="fr-CA"/>
              </w:rPr>
              <w:t>Cour suprême du Canada</w:t>
            </w:r>
          </w:p>
        </w:tc>
        <w:tc>
          <w:tcPr>
            <w:tcW w:w="243" w:type="pct"/>
          </w:tcPr>
          <w:p w:rsidR="000F0BAB" w:rsidRPr="000F1B6E" w:rsidRDefault="000F0BAB" w:rsidP="003D1C23">
            <w:pPr>
              <w:jc w:val="both"/>
              <w:rPr>
                <w:rFonts w:eastAsia="Calibri"/>
                <w:sz w:val="20"/>
                <w:lang w:val="fr-CA"/>
              </w:rPr>
            </w:pPr>
          </w:p>
        </w:tc>
        <w:tc>
          <w:tcPr>
            <w:tcW w:w="2330" w:type="pct"/>
          </w:tcPr>
          <w:p w:rsidR="000F0BAB" w:rsidRPr="000F1B6E" w:rsidRDefault="000F0BAB" w:rsidP="003D1C23">
            <w:pPr>
              <w:jc w:val="both"/>
              <w:rPr>
                <w:rFonts w:eastAsia="Calibri"/>
                <w:sz w:val="20"/>
                <w:lang w:val="fr-CA"/>
              </w:rPr>
            </w:pPr>
            <w:r w:rsidRPr="000F1B6E">
              <w:rPr>
                <w:rFonts w:eastAsia="Calibri"/>
                <w:sz w:val="20"/>
                <w:lang w:val="fr-CA"/>
              </w:rPr>
              <w:t>Demande d’autorisation d’appel déposée</w:t>
            </w:r>
          </w:p>
        </w:tc>
      </w:tr>
    </w:tbl>
    <w:p w:rsidR="00124C37" w:rsidRDefault="00124C37" w:rsidP="00124C37">
      <w:pPr>
        <w:rPr>
          <w:sz w:val="20"/>
          <w:szCs w:val="20"/>
        </w:rPr>
      </w:pPr>
    </w:p>
    <w:p w:rsidR="00124C37" w:rsidRDefault="00E42AAB" w:rsidP="00124C37">
      <w:pPr>
        <w:rPr>
          <w:sz w:val="20"/>
          <w:szCs w:val="20"/>
        </w:rPr>
      </w:pPr>
      <w:r>
        <w:rPr>
          <w:sz w:val="20"/>
          <w:szCs w:val="20"/>
          <w:lang w:val="fr-CA"/>
        </w:rPr>
        <w:pict>
          <v:rect id="_x0000_i1060" style="width:2in;height:1pt" o:hrpct="0" o:hralign="center" o:hrstd="t" o:hrnoshade="t" o:hr="t" fillcolor="black [3213]" stroked="f"/>
        </w:pict>
      </w:r>
    </w:p>
    <w:p w:rsidR="00124C37" w:rsidRDefault="00124C37" w:rsidP="00124C37">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03DFB" w:rsidRPr="0025502E" w:rsidTr="00C64462">
        <w:trPr>
          <w:cantSplit/>
        </w:trPr>
        <w:tc>
          <w:tcPr>
            <w:tcW w:w="1458" w:type="dxa"/>
          </w:tcPr>
          <w:p w:rsidR="00803DFB" w:rsidRPr="00E7075A" w:rsidRDefault="00803DFB" w:rsidP="00C64462">
            <w:pPr>
              <w:rPr>
                <w:sz w:val="20"/>
                <w:szCs w:val="20"/>
              </w:rPr>
            </w:pPr>
            <w:r w:rsidRPr="00E7075A">
              <w:rPr>
                <w:rStyle w:val="SCCFileNumberChar"/>
                <w:sz w:val="20"/>
                <w:szCs w:val="20"/>
              </w:rPr>
              <w:t>36013</w:t>
            </w:r>
          </w:p>
          <w:p w:rsidR="00803DFB" w:rsidRPr="00E7075A" w:rsidRDefault="00803DFB" w:rsidP="00C64462">
            <w:pPr>
              <w:rPr>
                <w:b/>
                <w:sz w:val="20"/>
                <w:szCs w:val="20"/>
                <w:lang w:val="fr-CA"/>
              </w:rPr>
            </w:pPr>
          </w:p>
        </w:tc>
        <w:tc>
          <w:tcPr>
            <w:tcW w:w="8118" w:type="dxa"/>
          </w:tcPr>
          <w:p w:rsidR="00803DFB" w:rsidRPr="00E7075A" w:rsidRDefault="00803DFB" w:rsidP="00C64462">
            <w:pPr>
              <w:jc w:val="both"/>
              <w:rPr>
                <w:sz w:val="20"/>
                <w:szCs w:val="20"/>
                <w:lang w:val="fr-CA"/>
              </w:rPr>
            </w:pPr>
            <w:r w:rsidRPr="00E7075A">
              <w:rPr>
                <w:rStyle w:val="SCCLsocChar"/>
                <w:sz w:val="20"/>
                <w:szCs w:val="20"/>
              </w:rPr>
              <w:t>Association des réalisateurs c. Procureur général du Canada</w:t>
            </w:r>
            <w:r w:rsidR="009D5483">
              <w:rPr>
                <w:rStyle w:val="SCCLsocChar"/>
                <w:sz w:val="20"/>
                <w:szCs w:val="20"/>
              </w:rPr>
              <w:t xml:space="preserve"> et</w:t>
            </w:r>
            <w:r w:rsidRPr="00E7075A">
              <w:rPr>
                <w:rStyle w:val="SCCLsocChar"/>
                <w:sz w:val="20"/>
                <w:szCs w:val="20"/>
              </w:rPr>
              <w:t xml:space="preserve"> Société Radio-Canada</w:t>
            </w:r>
            <w:r w:rsidRPr="00E7075A">
              <w:rPr>
                <w:sz w:val="20"/>
                <w:szCs w:val="20"/>
                <w:lang w:val="fr-CA"/>
              </w:rPr>
              <w:t xml:space="preserve"> (Qc) (Civile) (Autorisation)</w:t>
            </w:r>
          </w:p>
          <w:p w:rsidR="00803DFB" w:rsidRPr="00E7075A" w:rsidRDefault="00803DFB" w:rsidP="00C64462">
            <w:pPr>
              <w:jc w:val="both"/>
              <w:rPr>
                <w:sz w:val="20"/>
                <w:szCs w:val="20"/>
                <w:lang w:val="fr-CA"/>
              </w:rPr>
            </w:pPr>
          </w:p>
        </w:tc>
      </w:tr>
      <w:tr w:rsidR="00803DFB" w:rsidRPr="0025502E" w:rsidTr="00C64462">
        <w:trPr>
          <w:cantSplit/>
        </w:trPr>
        <w:tc>
          <w:tcPr>
            <w:tcW w:w="1458" w:type="dxa"/>
          </w:tcPr>
          <w:p w:rsidR="00803DFB" w:rsidRPr="00E7075A" w:rsidRDefault="00803DFB" w:rsidP="00C64462">
            <w:pPr>
              <w:rPr>
                <w:sz w:val="20"/>
                <w:szCs w:val="20"/>
              </w:rPr>
            </w:pPr>
            <w:r w:rsidRPr="00E7075A">
              <w:rPr>
                <w:sz w:val="20"/>
                <w:szCs w:val="20"/>
              </w:rPr>
              <w:t>Coram :</w:t>
            </w:r>
          </w:p>
        </w:tc>
        <w:tc>
          <w:tcPr>
            <w:tcW w:w="8118" w:type="dxa"/>
          </w:tcPr>
          <w:p w:rsidR="00803DFB" w:rsidRPr="00E7075A" w:rsidRDefault="00803DFB" w:rsidP="00C64462">
            <w:pPr>
              <w:rPr>
                <w:sz w:val="20"/>
                <w:szCs w:val="20"/>
                <w:lang w:val="fr-CA"/>
              </w:rPr>
            </w:pPr>
            <w:r w:rsidRPr="00E7075A">
              <w:rPr>
                <w:rStyle w:val="SCCCoramChar"/>
                <w:sz w:val="20"/>
                <w:szCs w:val="20"/>
              </w:rPr>
              <w:t xml:space="preserve">Les juges </w:t>
            </w:r>
            <w:r w:rsidR="00812822">
              <w:rPr>
                <w:rStyle w:val="SCCCoramChar"/>
                <w:sz w:val="20"/>
                <w:szCs w:val="20"/>
              </w:rPr>
              <w:t>Ab</w:t>
            </w:r>
            <w:r w:rsidRPr="00E7075A">
              <w:rPr>
                <w:rStyle w:val="SCCCoramChar"/>
                <w:sz w:val="20"/>
                <w:szCs w:val="20"/>
              </w:rPr>
              <w:t>el</w:t>
            </w:r>
            <w:r w:rsidR="00812822">
              <w:rPr>
                <w:rStyle w:val="SCCCoramChar"/>
                <w:sz w:val="20"/>
                <w:szCs w:val="20"/>
              </w:rPr>
              <w:t>la</w:t>
            </w:r>
            <w:r w:rsidRPr="00E7075A">
              <w:rPr>
                <w:rStyle w:val="SCCCoramChar"/>
                <w:sz w:val="20"/>
                <w:szCs w:val="20"/>
              </w:rPr>
              <w:t>, Karakatsanis et Gascon</w:t>
            </w:r>
          </w:p>
          <w:p w:rsidR="00803DFB" w:rsidRPr="00E7075A" w:rsidRDefault="00803DFB" w:rsidP="00C64462">
            <w:pPr>
              <w:rPr>
                <w:sz w:val="20"/>
                <w:szCs w:val="20"/>
                <w:u w:val="single"/>
                <w:lang w:val="fr-CA"/>
              </w:rPr>
            </w:pPr>
          </w:p>
        </w:tc>
      </w:tr>
      <w:tr w:rsidR="00803DFB" w:rsidRPr="00E7075A" w:rsidTr="00C64462">
        <w:trPr>
          <w:cantSplit/>
        </w:trPr>
        <w:tc>
          <w:tcPr>
            <w:tcW w:w="9576" w:type="dxa"/>
            <w:gridSpan w:val="2"/>
          </w:tcPr>
          <w:p w:rsidR="00803DFB" w:rsidRPr="00E7075A" w:rsidRDefault="00803DFB" w:rsidP="00C64462">
            <w:pPr>
              <w:pStyle w:val="SCCShortJudgment"/>
              <w:rPr>
                <w:szCs w:val="20"/>
                <w:lang w:val="fr-CA"/>
              </w:rPr>
            </w:pPr>
            <w:r w:rsidRPr="00E7075A">
              <w:rPr>
                <w:szCs w:val="20"/>
                <w:lang w:val="fr-CA"/>
              </w:rPr>
              <w:t xml:space="preserve">Conformément au paragraphe 43(1.1) de la </w:t>
            </w:r>
            <w:r w:rsidRPr="00026AD0">
              <w:rPr>
                <w:i/>
                <w:szCs w:val="20"/>
                <w:lang w:val="fr-CA"/>
              </w:rPr>
              <w:t>Loi sur la Cour suprême</w:t>
            </w:r>
            <w:r w:rsidRPr="00E7075A">
              <w:rPr>
                <w:szCs w:val="20"/>
                <w:lang w:val="fr-CA"/>
              </w:rPr>
              <w:t xml:space="preserve">, l’affaire à l’origine de la demande d’autorisation d’appel de l’arrêt de la Cour d’appel du Québec (Montréal), numéro 500-09-022922-124, 2014 QCCA 1068, daté du 27 mai 2014, est renvoyée à la Cour d’appel du Québec pour qu’elle statue en conformité avec les arrêts </w:t>
            </w:r>
            <w:r w:rsidRPr="00026AD0">
              <w:rPr>
                <w:i/>
                <w:szCs w:val="20"/>
                <w:lang w:val="fr-CA"/>
              </w:rPr>
              <w:t>Meredith c. Canada (Procureur général)</w:t>
            </w:r>
            <w:r w:rsidRPr="00E7075A">
              <w:rPr>
                <w:szCs w:val="20"/>
                <w:lang w:val="fr-CA"/>
              </w:rPr>
              <w:t xml:space="preserve">, 2015 CSC 2 et </w:t>
            </w:r>
            <w:r w:rsidRPr="00026AD0">
              <w:rPr>
                <w:i/>
                <w:szCs w:val="20"/>
                <w:lang w:val="fr-CA"/>
              </w:rPr>
              <w:t>Association de la police montée de l’Ontario c. Canada (Procureur général)</w:t>
            </w:r>
            <w:r w:rsidRPr="00E7075A">
              <w:rPr>
                <w:szCs w:val="20"/>
                <w:lang w:val="fr-CA"/>
              </w:rPr>
              <w:t>, 2015 CSC 1.</w:t>
            </w:r>
          </w:p>
          <w:p w:rsidR="00803DFB" w:rsidRPr="00E7075A" w:rsidRDefault="00803DFB" w:rsidP="00C64462">
            <w:pPr>
              <w:pStyle w:val="SCCShortJudgment"/>
              <w:ind w:firstLine="0"/>
              <w:rPr>
                <w:szCs w:val="20"/>
                <w:lang w:val="fr-CA"/>
              </w:rPr>
            </w:pPr>
          </w:p>
          <w:p w:rsidR="00803DFB" w:rsidRPr="00E7075A" w:rsidRDefault="00803DFB" w:rsidP="00C64462">
            <w:pPr>
              <w:pStyle w:val="SCCShortJudgment"/>
              <w:rPr>
                <w:szCs w:val="20"/>
              </w:rPr>
            </w:pPr>
            <w:r w:rsidRPr="00E7075A">
              <w:rPr>
                <w:szCs w:val="20"/>
              </w:rPr>
              <w:t xml:space="preserve">Pursuant to subsection 43(1.1) of the </w:t>
            </w:r>
            <w:r w:rsidRPr="00026AD0">
              <w:rPr>
                <w:i/>
                <w:szCs w:val="20"/>
              </w:rPr>
              <w:t>Supreme Court Act</w:t>
            </w:r>
            <w:r w:rsidRPr="00E7075A">
              <w:rPr>
                <w:szCs w:val="20"/>
              </w:rPr>
              <w:t xml:space="preserve">, the case forming the basis of the application for leave to appeal from the judgment of the Court of Appeal of Quebec (Montréal), Number 500-09-022922-124, 2014 QCCA 1068, dated May 27, 2014, is remanded to the Court of Appeal of Quebec for disposition in accordance with </w:t>
            </w:r>
            <w:r w:rsidRPr="00026AD0">
              <w:rPr>
                <w:i/>
                <w:szCs w:val="20"/>
              </w:rPr>
              <w:t>Meredith v. Canada (Attorney General)</w:t>
            </w:r>
            <w:r w:rsidRPr="00E7075A">
              <w:rPr>
                <w:szCs w:val="20"/>
              </w:rPr>
              <w:t xml:space="preserve">, 2015 SCC 2 and </w:t>
            </w:r>
            <w:r w:rsidRPr="00026AD0">
              <w:rPr>
                <w:i/>
                <w:szCs w:val="20"/>
              </w:rPr>
              <w:t>Mounted Police Association of Ontario v. Canada (Attorney General)</w:t>
            </w:r>
            <w:r w:rsidRPr="00E7075A">
              <w:rPr>
                <w:szCs w:val="20"/>
              </w:rPr>
              <w:t>, 2015 SCC 1.</w:t>
            </w:r>
          </w:p>
        </w:tc>
      </w:tr>
    </w:tbl>
    <w:p w:rsidR="00124C37" w:rsidRDefault="00124C37" w:rsidP="000E2959">
      <w:pPr>
        <w:rPr>
          <w:sz w:val="20"/>
          <w:szCs w:val="20"/>
        </w:rPr>
      </w:pPr>
    </w:p>
    <w:p w:rsidR="00124C37" w:rsidRPr="001B157C" w:rsidRDefault="00124C37" w:rsidP="00124C37">
      <w:pPr>
        <w:rPr>
          <w:sz w:val="20"/>
          <w:szCs w:val="20"/>
          <w:u w:val="single"/>
        </w:rPr>
      </w:pPr>
      <w:r w:rsidRPr="001B157C">
        <w:rPr>
          <w:sz w:val="20"/>
          <w:szCs w:val="20"/>
          <w:u w:val="single"/>
        </w:rPr>
        <w:t>CASE SUMMARY</w:t>
      </w:r>
    </w:p>
    <w:p w:rsidR="00124C37" w:rsidRDefault="00124C37" w:rsidP="00124C3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F0BAB" w:rsidRPr="000F1B6E" w:rsidTr="003D1C23">
        <w:tc>
          <w:tcPr>
            <w:tcW w:w="5000" w:type="pct"/>
            <w:gridSpan w:val="3"/>
          </w:tcPr>
          <w:p w:rsidR="000F0BAB" w:rsidRPr="000F1B6E" w:rsidRDefault="000F0BAB" w:rsidP="003D1C23">
            <w:pPr>
              <w:jc w:val="both"/>
              <w:rPr>
                <w:rFonts w:eastAsia="Calibri"/>
                <w:smallCaps/>
                <w:sz w:val="20"/>
              </w:rPr>
            </w:pPr>
            <w:r w:rsidRPr="000F1B6E">
              <w:rPr>
                <w:rFonts w:eastAsia="Calibri"/>
                <w:i/>
                <w:sz w:val="20"/>
              </w:rPr>
              <w:t xml:space="preserve">Canadian Charter of Rights and Freedoms </w:t>
            </w:r>
            <w:r w:rsidRPr="000F1B6E">
              <w:rPr>
                <w:rFonts w:eastAsia="Calibri"/>
                <w:sz w:val="20"/>
              </w:rPr>
              <w:t xml:space="preserve">— Freedom of association — Collective bargaining — </w:t>
            </w:r>
            <w:r w:rsidRPr="000F1B6E">
              <w:rPr>
                <w:rFonts w:eastAsia="Calibri"/>
                <w:i/>
                <w:sz w:val="20"/>
              </w:rPr>
              <w:t>Act to restrain the Government of Canada’s expenditures in relation to employment</w:t>
            </w:r>
            <w:r w:rsidRPr="000F1B6E">
              <w:rPr>
                <w:rFonts w:eastAsia="Calibri"/>
                <w:sz w:val="20"/>
              </w:rPr>
              <w:t xml:space="preserve"> having effect of limiting pay increases for federal public sector employees from 2006 to 2011 — Limits set out in Act applying retroactively to collective agreement entered into by applicant and Canadian Broadcasting Corporation in 2007 — Act having effect of reducing annual income of affected employees by about 1% compared to amounts negotiated — Quebec Superior Court declaring that </w:t>
            </w:r>
            <w:r w:rsidRPr="000F1B6E">
              <w:rPr>
                <w:rFonts w:eastAsia="Calibri"/>
                <w:sz w:val="20"/>
              </w:rPr>
              <w:lastRenderedPageBreak/>
              <w:t>Act contrary to s. 2(</w:t>
            </w:r>
            <w:r w:rsidRPr="000F1B6E">
              <w:rPr>
                <w:rFonts w:eastAsia="Calibri"/>
                <w:i/>
                <w:sz w:val="20"/>
              </w:rPr>
              <w:t>d</w:t>
            </w:r>
            <w:r w:rsidRPr="000F1B6E">
              <w:rPr>
                <w:rFonts w:eastAsia="Calibri"/>
                <w:sz w:val="20"/>
              </w:rPr>
              <w:t xml:space="preserve">) of </w:t>
            </w:r>
            <w:r w:rsidRPr="000F1B6E">
              <w:rPr>
                <w:rFonts w:eastAsia="Calibri"/>
                <w:i/>
                <w:sz w:val="20"/>
              </w:rPr>
              <w:t xml:space="preserve">Charter </w:t>
            </w:r>
            <w:r w:rsidRPr="000F1B6E">
              <w:rPr>
                <w:rFonts w:eastAsia="Calibri"/>
                <w:sz w:val="20"/>
              </w:rPr>
              <w:t>and that impugned provisions of no effect against applicant and members represented by it — Appeal allowed by Federal Court of Appeal — Whether Court of Appeal erred in law in finding that impugned provisions of Act not contrary to s. 2(</w:t>
            </w:r>
            <w:r w:rsidRPr="000F1B6E">
              <w:rPr>
                <w:rFonts w:eastAsia="Calibri"/>
                <w:i/>
                <w:sz w:val="20"/>
              </w:rPr>
              <w:t>d</w:t>
            </w:r>
            <w:r w:rsidRPr="000F1B6E">
              <w:rPr>
                <w:rFonts w:eastAsia="Calibri"/>
                <w:sz w:val="20"/>
              </w:rPr>
              <w:t xml:space="preserve">) of </w:t>
            </w:r>
            <w:r w:rsidRPr="000F1B6E">
              <w:rPr>
                <w:rFonts w:eastAsia="Calibri"/>
                <w:i/>
                <w:sz w:val="20"/>
              </w:rPr>
              <w:t>Charter</w:t>
            </w:r>
            <w:r w:rsidRPr="000F1B6E">
              <w:rPr>
                <w:rFonts w:eastAsia="Calibri"/>
                <w:sz w:val="20"/>
              </w:rPr>
              <w:t xml:space="preserve"> — </w:t>
            </w:r>
            <w:r w:rsidRPr="000F1B6E">
              <w:rPr>
                <w:rFonts w:eastAsia="Calibri"/>
                <w:i/>
                <w:sz w:val="20"/>
              </w:rPr>
              <w:t>Act to restrain the Government of Canada’s expenditures in relation to employment</w:t>
            </w:r>
            <w:r w:rsidRPr="000F1B6E">
              <w:rPr>
                <w:rFonts w:eastAsia="Calibri"/>
                <w:sz w:val="20"/>
              </w:rPr>
              <w:t>, S.C. 2009, c. 2, ss. 16, 19 and 26.</w:t>
            </w:r>
          </w:p>
        </w:tc>
      </w:tr>
      <w:tr w:rsidR="000F0BAB" w:rsidRPr="000F1B6E" w:rsidTr="003D1C23">
        <w:tc>
          <w:tcPr>
            <w:tcW w:w="5000" w:type="pct"/>
            <w:gridSpan w:val="3"/>
          </w:tcPr>
          <w:p w:rsidR="000F0BAB" w:rsidRPr="000F1B6E" w:rsidRDefault="000F0BAB" w:rsidP="003D1C23">
            <w:pPr>
              <w:jc w:val="both"/>
              <w:rPr>
                <w:rFonts w:eastAsia="Calibri"/>
                <w:sz w:val="20"/>
              </w:rPr>
            </w:pPr>
          </w:p>
        </w:tc>
      </w:tr>
      <w:tr w:rsidR="000F0BAB" w:rsidRPr="000F1B6E" w:rsidTr="003D1C23">
        <w:tc>
          <w:tcPr>
            <w:tcW w:w="5000" w:type="pct"/>
            <w:gridSpan w:val="3"/>
          </w:tcPr>
          <w:p w:rsidR="000F0BAB" w:rsidRPr="000F1B6E" w:rsidRDefault="000F0BAB" w:rsidP="003D1C23">
            <w:pPr>
              <w:jc w:val="both"/>
              <w:rPr>
                <w:rFonts w:eastAsia="Calibri"/>
                <w:sz w:val="20"/>
              </w:rPr>
            </w:pPr>
            <w:r w:rsidRPr="000F1B6E">
              <w:rPr>
                <w:rFonts w:eastAsia="Calibri"/>
                <w:sz w:val="20"/>
              </w:rPr>
              <w:t>In October 2007, the Association des réalisateurs entered into a collective agreement with the Canadian Broadcasting Corporation.  The agreement, which provided for pay increases, took effect on October 1, 2007 and terminated in September 2010.</w:t>
            </w:r>
          </w:p>
          <w:p w:rsidR="000F0BAB" w:rsidRPr="000F1B6E" w:rsidRDefault="000F0BAB" w:rsidP="003D1C23">
            <w:pPr>
              <w:jc w:val="both"/>
              <w:rPr>
                <w:rFonts w:eastAsia="Calibri"/>
                <w:sz w:val="20"/>
              </w:rPr>
            </w:pPr>
          </w:p>
          <w:p w:rsidR="000F0BAB" w:rsidRPr="000F1B6E" w:rsidRDefault="000F0BAB" w:rsidP="003D1C23">
            <w:pPr>
              <w:jc w:val="both"/>
              <w:rPr>
                <w:rFonts w:eastAsia="Calibri"/>
                <w:sz w:val="20"/>
              </w:rPr>
            </w:pPr>
            <w:r w:rsidRPr="000F1B6E">
              <w:rPr>
                <w:rFonts w:eastAsia="Calibri"/>
                <w:sz w:val="20"/>
              </w:rPr>
              <w:t xml:space="preserve">On March 12, 2009, the </w:t>
            </w:r>
            <w:r w:rsidRPr="000F1B6E">
              <w:rPr>
                <w:rFonts w:eastAsia="Calibri"/>
                <w:i/>
                <w:iCs/>
                <w:sz w:val="20"/>
              </w:rPr>
              <w:t>Act to restrain the Government of Canada’s expenditures in relation to employment</w:t>
            </w:r>
            <w:r w:rsidRPr="000F1B6E">
              <w:rPr>
                <w:rFonts w:eastAsia="Calibri"/>
                <w:sz w:val="20"/>
              </w:rPr>
              <w:t>, S.C. 2009, c. 2 (“Act”), came into force.  The Act imposed limits on the pay increases that could be granted to all federal public sector employees, including employees of Crown corporations like the Canadian Broadcasting Corporation.  The rates of increase set out in the Act also applied to employees whose collective agreement had been entered into before December 2008, which was the case for the employees represented by the Association.  The Act also stated that any provision of a collective agreement that granted any form of pay increase exceeding the rates set out in the Act was of no effect.  The Association had not been consulted before the Act was passed.</w:t>
            </w:r>
          </w:p>
          <w:p w:rsidR="000F0BAB" w:rsidRPr="000F1B6E" w:rsidRDefault="000F0BAB" w:rsidP="003D1C23">
            <w:pPr>
              <w:jc w:val="both"/>
              <w:rPr>
                <w:rFonts w:eastAsia="Calibri"/>
                <w:sz w:val="20"/>
              </w:rPr>
            </w:pPr>
          </w:p>
          <w:p w:rsidR="000F0BAB" w:rsidRPr="000F1B6E" w:rsidRDefault="000F0BAB" w:rsidP="003D1C23">
            <w:pPr>
              <w:jc w:val="both"/>
              <w:rPr>
                <w:rFonts w:eastAsia="Calibri"/>
                <w:sz w:val="20"/>
              </w:rPr>
            </w:pPr>
            <w:r w:rsidRPr="000F1B6E">
              <w:rPr>
                <w:rFonts w:eastAsia="Calibri"/>
                <w:sz w:val="20"/>
              </w:rPr>
              <w:t>Relying on s. 2(</w:t>
            </w:r>
            <w:r w:rsidRPr="000F1B6E">
              <w:rPr>
                <w:rFonts w:eastAsia="Calibri"/>
                <w:i/>
                <w:sz w:val="20"/>
              </w:rPr>
              <w:t>d</w:t>
            </w:r>
            <w:r w:rsidRPr="000F1B6E">
              <w:rPr>
                <w:rFonts w:eastAsia="Calibri"/>
                <w:sz w:val="20"/>
              </w:rPr>
              <w:t xml:space="preserve">) of the </w:t>
            </w:r>
            <w:r w:rsidRPr="000F1B6E">
              <w:rPr>
                <w:rFonts w:eastAsia="Calibri"/>
                <w:i/>
                <w:sz w:val="20"/>
              </w:rPr>
              <w:t>Charter</w:t>
            </w:r>
            <w:r w:rsidRPr="000F1B6E">
              <w:rPr>
                <w:rFonts w:eastAsia="Calibri"/>
                <w:sz w:val="20"/>
              </w:rPr>
              <w:t xml:space="preserve">, the Association brought a motion to institute proceedings for a declaratory judgment.  Through that proceeding, it sought a declaration that certain provisions of the Act were inapplicable in relation to its members and a declaration that the Canadian Broadcasting Corporation had an obligation to comply with the collective agreement entered into in October 2007. </w:t>
            </w:r>
          </w:p>
          <w:p w:rsidR="000F0BAB" w:rsidRPr="000F1B6E" w:rsidRDefault="000F0BAB" w:rsidP="003D1C23">
            <w:pPr>
              <w:jc w:val="both"/>
              <w:rPr>
                <w:rFonts w:eastAsia="Calibri"/>
                <w:sz w:val="20"/>
              </w:rPr>
            </w:pPr>
          </w:p>
        </w:tc>
      </w:tr>
      <w:tr w:rsidR="000F0BAB" w:rsidRPr="000F1B6E" w:rsidTr="003D1C23">
        <w:tc>
          <w:tcPr>
            <w:tcW w:w="2427" w:type="pct"/>
          </w:tcPr>
          <w:p w:rsidR="000F0BAB" w:rsidRPr="000F1B6E" w:rsidRDefault="000F0BAB" w:rsidP="003D1C23">
            <w:pPr>
              <w:jc w:val="both"/>
              <w:rPr>
                <w:rFonts w:eastAsia="Calibri"/>
                <w:sz w:val="20"/>
              </w:rPr>
            </w:pPr>
            <w:r w:rsidRPr="000F1B6E">
              <w:rPr>
                <w:rFonts w:eastAsia="Calibri"/>
                <w:sz w:val="20"/>
              </w:rPr>
              <w:t xml:space="preserve">July 11, 2012 </w:t>
            </w:r>
          </w:p>
          <w:p w:rsidR="000F0BAB" w:rsidRPr="000F1B6E" w:rsidRDefault="000F0BAB" w:rsidP="003D1C23">
            <w:pPr>
              <w:jc w:val="both"/>
              <w:rPr>
                <w:rFonts w:eastAsia="Calibri"/>
                <w:sz w:val="20"/>
              </w:rPr>
            </w:pPr>
            <w:r w:rsidRPr="000F1B6E">
              <w:rPr>
                <w:rFonts w:eastAsia="Calibri"/>
                <w:sz w:val="20"/>
              </w:rPr>
              <w:t>(corrected judgment issued on August 10, 2012)</w:t>
            </w:r>
          </w:p>
          <w:p w:rsidR="000F0BAB" w:rsidRPr="000F1B6E" w:rsidRDefault="000F0BAB" w:rsidP="003D1C23">
            <w:pPr>
              <w:jc w:val="both"/>
              <w:rPr>
                <w:rFonts w:eastAsia="Calibri"/>
                <w:sz w:val="20"/>
              </w:rPr>
            </w:pPr>
            <w:r w:rsidRPr="000F1B6E">
              <w:rPr>
                <w:rFonts w:eastAsia="Calibri"/>
                <w:sz w:val="20"/>
              </w:rPr>
              <w:t>Quebec Superior Court</w:t>
            </w:r>
          </w:p>
          <w:p w:rsidR="000F0BAB" w:rsidRPr="000F1B6E" w:rsidRDefault="000F0BAB" w:rsidP="003D1C23">
            <w:pPr>
              <w:jc w:val="both"/>
              <w:rPr>
                <w:rFonts w:eastAsia="Calibri"/>
                <w:sz w:val="20"/>
              </w:rPr>
            </w:pPr>
            <w:r w:rsidRPr="000F1B6E">
              <w:rPr>
                <w:rFonts w:eastAsia="Calibri"/>
                <w:sz w:val="20"/>
              </w:rPr>
              <w:t>(Matteau J.)</w:t>
            </w:r>
          </w:p>
          <w:p w:rsidR="000F0BAB" w:rsidRPr="000F1B6E" w:rsidRDefault="00E42AAB" w:rsidP="003D1C23">
            <w:pPr>
              <w:jc w:val="both"/>
              <w:rPr>
                <w:rFonts w:eastAsia="Calibri"/>
                <w:sz w:val="20"/>
              </w:rPr>
            </w:pPr>
            <w:hyperlink r:id="rId55" w:history="1">
              <w:r w:rsidR="000F0BAB" w:rsidRPr="000F1B6E">
                <w:rPr>
                  <w:rFonts w:eastAsia="Calibri"/>
                  <w:color w:val="0000FF"/>
                  <w:sz w:val="20"/>
                  <w:u w:val="single"/>
                </w:rPr>
                <w:t>2012 QCCS 3223</w:t>
              </w:r>
            </w:hyperlink>
          </w:p>
          <w:p w:rsidR="000F0BAB" w:rsidRPr="000F1B6E" w:rsidRDefault="000F0BAB" w:rsidP="003D1C23">
            <w:pPr>
              <w:jc w:val="both"/>
              <w:rPr>
                <w:rFonts w:eastAsia="Calibri"/>
                <w:sz w:val="20"/>
              </w:rPr>
            </w:pPr>
            <w:r w:rsidRPr="000F1B6E">
              <w:rPr>
                <w:rFonts w:eastAsia="Calibri"/>
                <w:sz w:val="20"/>
              </w:rPr>
              <w:t>File No. 500-17-050329-096</w:t>
            </w:r>
          </w:p>
        </w:tc>
        <w:tc>
          <w:tcPr>
            <w:tcW w:w="243" w:type="pct"/>
          </w:tcPr>
          <w:p w:rsidR="000F0BAB" w:rsidRPr="000F1B6E" w:rsidRDefault="000F0BAB" w:rsidP="003D1C23">
            <w:pPr>
              <w:jc w:val="both"/>
              <w:rPr>
                <w:rFonts w:eastAsia="Calibri"/>
                <w:sz w:val="20"/>
              </w:rPr>
            </w:pPr>
          </w:p>
        </w:tc>
        <w:tc>
          <w:tcPr>
            <w:tcW w:w="2330" w:type="pct"/>
          </w:tcPr>
          <w:p w:rsidR="000F0BAB" w:rsidRPr="000F1B6E" w:rsidRDefault="000F0BAB" w:rsidP="003D1C23">
            <w:pPr>
              <w:jc w:val="both"/>
              <w:rPr>
                <w:rFonts w:eastAsia="Calibri"/>
                <w:sz w:val="20"/>
              </w:rPr>
            </w:pPr>
            <w:r w:rsidRPr="000F1B6E">
              <w:rPr>
                <w:rFonts w:eastAsia="Calibri"/>
                <w:sz w:val="20"/>
              </w:rPr>
              <w:t xml:space="preserve">Motion to institute proceedings for declaratory judgment allowed; ss. 16, 19 and 26 of </w:t>
            </w:r>
            <w:r w:rsidRPr="000F1B6E">
              <w:rPr>
                <w:rFonts w:eastAsia="Calibri"/>
                <w:i/>
                <w:sz w:val="20"/>
              </w:rPr>
              <w:t>Act to restrain the Government of Canada’s expenditures in relation to employment</w:t>
            </w:r>
            <w:r w:rsidRPr="000F1B6E">
              <w:rPr>
                <w:rFonts w:eastAsia="Calibri"/>
                <w:sz w:val="20"/>
              </w:rPr>
              <w:t>, S.C. 2009, c. 2, declared invalid, constitutionally inapplicable or of no force or effect in relation to applicant and members of bargaining units represented by it</w:t>
            </w:r>
          </w:p>
          <w:p w:rsidR="000F0BAB" w:rsidRPr="000F1B6E" w:rsidRDefault="000F0BAB" w:rsidP="003D1C23">
            <w:pPr>
              <w:jc w:val="both"/>
              <w:rPr>
                <w:rFonts w:eastAsia="Calibri"/>
                <w:sz w:val="20"/>
              </w:rPr>
            </w:pPr>
          </w:p>
        </w:tc>
      </w:tr>
      <w:tr w:rsidR="000F0BAB" w:rsidRPr="000F1B6E" w:rsidTr="003D1C23">
        <w:tc>
          <w:tcPr>
            <w:tcW w:w="2427" w:type="pct"/>
          </w:tcPr>
          <w:p w:rsidR="000F0BAB" w:rsidRPr="000F1B6E" w:rsidRDefault="000F0BAB" w:rsidP="003D1C23">
            <w:pPr>
              <w:jc w:val="both"/>
              <w:rPr>
                <w:rFonts w:eastAsia="Calibri"/>
                <w:sz w:val="20"/>
              </w:rPr>
            </w:pPr>
            <w:r w:rsidRPr="000F1B6E">
              <w:rPr>
                <w:rFonts w:eastAsia="Calibri"/>
                <w:sz w:val="20"/>
              </w:rPr>
              <w:t>May 27, 2014</w:t>
            </w:r>
          </w:p>
          <w:p w:rsidR="000F0BAB" w:rsidRPr="000F1B6E" w:rsidRDefault="000F0BAB" w:rsidP="003D1C23">
            <w:pPr>
              <w:jc w:val="both"/>
              <w:rPr>
                <w:rFonts w:eastAsia="Calibri"/>
                <w:sz w:val="20"/>
              </w:rPr>
            </w:pPr>
            <w:r w:rsidRPr="000F1B6E">
              <w:rPr>
                <w:rFonts w:eastAsia="Calibri"/>
                <w:sz w:val="20"/>
              </w:rPr>
              <w:t>Quebec Court of Appeal (Montréal)</w:t>
            </w:r>
          </w:p>
          <w:p w:rsidR="000F0BAB" w:rsidRPr="000F1B6E" w:rsidRDefault="000F0BAB" w:rsidP="003D1C23">
            <w:pPr>
              <w:jc w:val="both"/>
              <w:rPr>
                <w:rFonts w:eastAsia="Calibri"/>
                <w:sz w:val="20"/>
              </w:rPr>
            </w:pPr>
            <w:r w:rsidRPr="000F1B6E">
              <w:rPr>
                <w:rFonts w:eastAsia="Calibri"/>
                <w:sz w:val="20"/>
              </w:rPr>
              <w:t>(Dalphond, Lévesque and Savard JJ.A.)</w:t>
            </w:r>
          </w:p>
          <w:p w:rsidR="000F0BAB" w:rsidRPr="000F1B6E" w:rsidRDefault="00E42AAB" w:rsidP="003D1C23">
            <w:pPr>
              <w:jc w:val="both"/>
              <w:rPr>
                <w:rFonts w:eastAsia="Calibri"/>
                <w:sz w:val="20"/>
              </w:rPr>
            </w:pPr>
            <w:hyperlink r:id="rId56" w:history="1">
              <w:r w:rsidR="000F0BAB" w:rsidRPr="000F1B6E">
                <w:rPr>
                  <w:rFonts w:eastAsia="Calibri"/>
                  <w:color w:val="0000FF"/>
                  <w:sz w:val="20"/>
                  <w:u w:val="single"/>
                </w:rPr>
                <w:t>2014 QCCA 1068</w:t>
              </w:r>
            </w:hyperlink>
          </w:p>
          <w:p w:rsidR="000F0BAB" w:rsidRPr="000F1B6E" w:rsidRDefault="000F0BAB" w:rsidP="003D1C23">
            <w:pPr>
              <w:jc w:val="both"/>
              <w:rPr>
                <w:rFonts w:eastAsia="Calibri"/>
                <w:sz w:val="20"/>
              </w:rPr>
            </w:pPr>
            <w:r w:rsidRPr="000F1B6E">
              <w:rPr>
                <w:rFonts w:eastAsia="Calibri"/>
                <w:sz w:val="20"/>
              </w:rPr>
              <w:t>File No. 500-09-022922-124</w:t>
            </w:r>
          </w:p>
          <w:p w:rsidR="000F0BAB" w:rsidRPr="000F1B6E" w:rsidRDefault="000F0BAB" w:rsidP="003D1C23">
            <w:pPr>
              <w:jc w:val="both"/>
              <w:rPr>
                <w:rFonts w:eastAsia="Calibri"/>
                <w:sz w:val="20"/>
              </w:rPr>
            </w:pPr>
          </w:p>
        </w:tc>
        <w:tc>
          <w:tcPr>
            <w:tcW w:w="243" w:type="pct"/>
          </w:tcPr>
          <w:p w:rsidR="000F0BAB" w:rsidRPr="000F1B6E" w:rsidRDefault="000F0BAB" w:rsidP="003D1C23">
            <w:pPr>
              <w:jc w:val="both"/>
              <w:rPr>
                <w:rFonts w:eastAsia="Calibri"/>
                <w:sz w:val="20"/>
              </w:rPr>
            </w:pPr>
          </w:p>
        </w:tc>
        <w:tc>
          <w:tcPr>
            <w:tcW w:w="2330" w:type="pct"/>
          </w:tcPr>
          <w:p w:rsidR="000F0BAB" w:rsidRPr="000F1B6E" w:rsidRDefault="000F0BAB" w:rsidP="003D1C23">
            <w:pPr>
              <w:jc w:val="both"/>
              <w:rPr>
                <w:rFonts w:eastAsia="Calibri"/>
                <w:sz w:val="20"/>
              </w:rPr>
            </w:pPr>
            <w:r w:rsidRPr="000F1B6E">
              <w:rPr>
                <w:rFonts w:eastAsia="Calibri"/>
                <w:sz w:val="20"/>
              </w:rPr>
              <w:t xml:space="preserve">Appeal allowed; motion for declaratory judgment dismissed </w:t>
            </w:r>
          </w:p>
          <w:p w:rsidR="000F0BAB" w:rsidRPr="000F1B6E" w:rsidRDefault="000F0BAB" w:rsidP="003D1C23">
            <w:pPr>
              <w:jc w:val="both"/>
              <w:rPr>
                <w:rFonts w:eastAsia="Calibri"/>
                <w:sz w:val="20"/>
              </w:rPr>
            </w:pPr>
          </w:p>
        </w:tc>
      </w:tr>
      <w:tr w:rsidR="000F0BAB" w:rsidRPr="000F1B6E" w:rsidTr="003D1C23">
        <w:tc>
          <w:tcPr>
            <w:tcW w:w="2427" w:type="pct"/>
          </w:tcPr>
          <w:p w:rsidR="000F0BAB" w:rsidRPr="000F1B6E" w:rsidRDefault="000F0BAB" w:rsidP="003D1C23">
            <w:pPr>
              <w:jc w:val="both"/>
              <w:rPr>
                <w:rFonts w:eastAsia="Calibri"/>
                <w:sz w:val="20"/>
              </w:rPr>
            </w:pPr>
            <w:r w:rsidRPr="000F1B6E">
              <w:rPr>
                <w:rFonts w:eastAsia="Calibri"/>
                <w:sz w:val="20"/>
              </w:rPr>
              <w:t>August 19, 2014</w:t>
            </w:r>
          </w:p>
          <w:p w:rsidR="000F0BAB" w:rsidRPr="000F1B6E" w:rsidRDefault="000F0BAB" w:rsidP="003D1C23">
            <w:pPr>
              <w:jc w:val="both"/>
              <w:rPr>
                <w:rFonts w:eastAsia="Calibri"/>
                <w:sz w:val="20"/>
              </w:rPr>
            </w:pPr>
            <w:r w:rsidRPr="000F1B6E">
              <w:rPr>
                <w:rFonts w:eastAsia="Calibri"/>
                <w:sz w:val="20"/>
              </w:rPr>
              <w:t>Supreme Court of Canada</w:t>
            </w:r>
          </w:p>
        </w:tc>
        <w:tc>
          <w:tcPr>
            <w:tcW w:w="243" w:type="pct"/>
          </w:tcPr>
          <w:p w:rsidR="000F0BAB" w:rsidRPr="000F1B6E" w:rsidRDefault="000F0BAB" w:rsidP="003D1C23">
            <w:pPr>
              <w:jc w:val="both"/>
              <w:rPr>
                <w:rFonts w:eastAsia="Calibri"/>
                <w:sz w:val="20"/>
              </w:rPr>
            </w:pPr>
          </w:p>
        </w:tc>
        <w:tc>
          <w:tcPr>
            <w:tcW w:w="2330" w:type="pct"/>
          </w:tcPr>
          <w:p w:rsidR="000F0BAB" w:rsidRPr="000F1B6E" w:rsidRDefault="000F0BAB" w:rsidP="003D1C23">
            <w:pPr>
              <w:jc w:val="both"/>
              <w:rPr>
                <w:rFonts w:eastAsia="Calibri"/>
                <w:sz w:val="20"/>
              </w:rPr>
            </w:pPr>
            <w:r w:rsidRPr="000F1B6E">
              <w:rPr>
                <w:rFonts w:eastAsia="Calibri"/>
                <w:sz w:val="20"/>
              </w:rPr>
              <w:t>Application for leave to appeal filed</w:t>
            </w:r>
          </w:p>
          <w:p w:rsidR="000F0BAB" w:rsidRPr="000F1B6E" w:rsidRDefault="000F0BAB" w:rsidP="003D1C23">
            <w:pPr>
              <w:jc w:val="both"/>
              <w:rPr>
                <w:rFonts w:eastAsia="Calibri"/>
                <w:sz w:val="20"/>
              </w:rPr>
            </w:pPr>
          </w:p>
        </w:tc>
      </w:tr>
    </w:tbl>
    <w:p w:rsidR="00124C37" w:rsidRPr="000F0BAB" w:rsidRDefault="00124C37" w:rsidP="00124C37">
      <w:pPr>
        <w:rPr>
          <w:sz w:val="20"/>
          <w:szCs w:val="20"/>
        </w:rPr>
      </w:pPr>
    </w:p>
    <w:p w:rsidR="00124C37" w:rsidRPr="00C50A5C" w:rsidRDefault="00E42AAB" w:rsidP="00124C37">
      <w:pPr>
        <w:rPr>
          <w:sz w:val="20"/>
          <w:szCs w:val="20"/>
        </w:rPr>
      </w:pPr>
      <w:r>
        <w:rPr>
          <w:sz w:val="20"/>
          <w:szCs w:val="20"/>
          <w:lang w:val="fr-CA"/>
        </w:rPr>
        <w:pict>
          <v:rect id="_x0000_i1061" style="width:2in;height:1pt" o:hrpct="0" o:hralign="center" o:hrstd="t" o:hrnoshade="t" o:hr="t" fillcolor="black [3213]" stroked="f"/>
        </w:pict>
      </w:r>
    </w:p>
    <w:p w:rsidR="00124C37" w:rsidRDefault="00124C37" w:rsidP="00124C37">
      <w:pPr>
        <w:rPr>
          <w:sz w:val="20"/>
          <w:szCs w:val="20"/>
        </w:rPr>
      </w:pPr>
    </w:p>
    <w:p w:rsidR="00124C37" w:rsidRPr="001B157C" w:rsidRDefault="00124C37" w:rsidP="00124C37">
      <w:pPr>
        <w:rPr>
          <w:sz w:val="20"/>
          <w:szCs w:val="20"/>
          <w:u w:val="single"/>
          <w:lang w:val="fr-CA"/>
        </w:rPr>
      </w:pPr>
      <w:r w:rsidRPr="001B157C">
        <w:rPr>
          <w:sz w:val="20"/>
          <w:szCs w:val="20"/>
          <w:u w:val="single"/>
          <w:lang w:val="fr-CA"/>
        </w:rPr>
        <w:t>RÉSUMÉ DE L’AFFAIRE</w:t>
      </w:r>
    </w:p>
    <w:p w:rsidR="00124C37" w:rsidRDefault="00124C37" w:rsidP="00124C3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F0BAB" w:rsidRPr="0025502E" w:rsidTr="003D1C23">
        <w:tc>
          <w:tcPr>
            <w:tcW w:w="5000" w:type="pct"/>
            <w:gridSpan w:val="3"/>
          </w:tcPr>
          <w:p w:rsidR="000F0BAB" w:rsidRPr="000F1B6E" w:rsidRDefault="000F0BAB" w:rsidP="003D1C23">
            <w:pPr>
              <w:jc w:val="both"/>
              <w:rPr>
                <w:rFonts w:eastAsia="Calibri"/>
                <w:smallCaps/>
                <w:sz w:val="20"/>
                <w:lang w:val="fr-CA"/>
              </w:rPr>
            </w:pPr>
            <w:r w:rsidRPr="000F1B6E">
              <w:rPr>
                <w:rFonts w:eastAsia="Calibri"/>
                <w:i/>
                <w:sz w:val="20"/>
                <w:lang w:val="fr-CA"/>
              </w:rPr>
              <w:t xml:space="preserve">Charte canadienne des droits et libertés </w:t>
            </w:r>
            <w:r w:rsidRPr="000F1B6E">
              <w:rPr>
                <w:rFonts w:eastAsia="Calibri"/>
                <w:sz w:val="20"/>
                <w:lang w:val="fr-CA"/>
              </w:rPr>
              <w:t xml:space="preserve">— Liberté d’association — Négociation collective — </w:t>
            </w:r>
            <w:r w:rsidRPr="000F1B6E">
              <w:rPr>
                <w:rFonts w:eastAsia="Calibri"/>
                <w:i/>
                <w:sz w:val="20"/>
                <w:lang w:val="fr-CA"/>
              </w:rPr>
              <w:t>Loi visant à contrôler les dépenses du gouvernement du Canada à l’égard de l’emploi</w:t>
            </w:r>
            <w:r w:rsidRPr="000F1B6E">
              <w:rPr>
                <w:rFonts w:eastAsia="Calibri"/>
                <w:sz w:val="20"/>
                <w:lang w:val="fr-CA"/>
              </w:rPr>
              <w:t xml:space="preserve"> ayant pour effet de limiter les augmentations salariales des employés du secteur public fédéral de 2006 à 2011 — Limites prévues par la Loi s’appliquant rétroactivement à la convention collective conclue entre la demanderesse et la Société Radio-Canada en 2007 — Loi ayant pour effet de réduire revenus annuels des employés visés d’environ </w:t>
            </w:r>
            <w:r w:rsidRPr="000F1B6E">
              <w:rPr>
                <w:rFonts w:eastAsia="Calibri"/>
                <w:sz w:val="20"/>
                <w:lang w:val="fr-FR"/>
              </w:rPr>
              <w:t xml:space="preserve">1 % par rapport aux montants négociés </w:t>
            </w:r>
            <w:r w:rsidRPr="000F1B6E">
              <w:rPr>
                <w:rFonts w:eastAsia="Calibri"/>
                <w:sz w:val="20"/>
                <w:lang w:val="fr-CA"/>
              </w:rPr>
              <w:t xml:space="preserve">— Cour supérieure du </w:t>
            </w:r>
            <w:r w:rsidRPr="000F1B6E">
              <w:rPr>
                <w:rFonts w:eastAsia="Calibri"/>
                <w:sz w:val="20"/>
                <w:lang w:val="fr-CA"/>
              </w:rPr>
              <w:lastRenderedPageBreak/>
              <w:t>Québec déclarant que Loi contrevient à l’art. 2(</w:t>
            </w:r>
            <w:r w:rsidRPr="000F1B6E">
              <w:rPr>
                <w:rFonts w:eastAsia="Calibri"/>
                <w:i/>
                <w:sz w:val="20"/>
                <w:lang w:val="fr-CA"/>
              </w:rPr>
              <w:t>d</w:t>
            </w:r>
            <w:r w:rsidRPr="000F1B6E">
              <w:rPr>
                <w:rFonts w:eastAsia="Calibri"/>
                <w:sz w:val="20"/>
                <w:lang w:val="fr-CA"/>
              </w:rPr>
              <w:t xml:space="preserve">) de la </w:t>
            </w:r>
            <w:r w:rsidRPr="000F1B6E">
              <w:rPr>
                <w:rFonts w:eastAsia="Calibri"/>
                <w:i/>
                <w:sz w:val="20"/>
                <w:lang w:val="fr-CA"/>
              </w:rPr>
              <w:t>Charte</w:t>
            </w:r>
            <w:r w:rsidRPr="000F1B6E">
              <w:rPr>
                <w:rFonts w:eastAsia="Calibri"/>
                <w:sz w:val="20"/>
                <w:lang w:val="fr-CA"/>
              </w:rPr>
              <w:t xml:space="preserve"> et que les dispositions contestées sont sans effet à l’égard de la demanderesse et des membres qu’elle représente — Appel accueilli par la Cour d’appel du Québec — La Cour d’appel a-t-elle commis une erreur de droit en concluant que les dispositions contestées de la </w:t>
            </w:r>
            <w:r w:rsidRPr="000F1B6E">
              <w:rPr>
                <w:rFonts w:eastAsia="Calibri"/>
                <w:i/>
                <w:sz w:val="20"/>
                <w:lang w:val="fr-CA"/>
              </w:rPr>
              <w:t>Loi</w:t>
            </w:r>
            <w:r w:rsidRPr="000F1B6E">
              <w:rPr>
                <w:rFonts w:eastAsia="Calibri"/>
                <w:sz w:val="20"/>
                <w:lang w:val="fr-CA"/>
              </w:rPr>
              <w:t xml:space="preserve"> ne contreviennent pas à l’al. 2</w:t>
            </w:r>
            <w:r w:rsidRPr="000F1B6E">
              <w:rPr>
                <w:rFonts w:eastAsia="Calibri"/>
                <w:i/>
                <w:sz w:val="20"/>
                <w:lang w:val="fr-CA"/>
              </w:rPr>
              <w:t>d</w:t>
            </w:r>
            <w:r w:rsidRPr="000F1B6E">
              <w:rPr>
                <w:rFonts w:eastAsia="Calibri"/>
                <w:sz w:val="20"/>
                <w:lang w:val="fr-CA"/>
              </w:rPr>
              <w:t xml:space="preserve">) de la </w:t>
            </w:r>
            <w:r w:rsidRPr="000F1B6E">
              <w:rPr>
                <w:rFonts w:eastAsia="Calibri"/>
                <w:i/>
                <w:sz w:val="20"/>
                <w:lang w:val="fr-CA"/>
              </w:rPr>
              <w:t>Charte</w:t>
            </w:r>
            <w:r w:rsidRPr="000F1B6E">
              <w:rPr>
                <w:rFonts w:eastAsia="Calibri"/>
                <w:sz w:val="20"/>
                <w:lang w:val="fr-CA"/>
              </w:rPr>
              <w:t xml:space="preserve">? — </w:t>
            </w:r>
            <w:r w:rsidRPr="000F1B6E">
              <w:rPr>
                <w:rFonts w:eastAsia="Calibri"/>
                <w:i/>
                <w:sz w:val="20"/>
                <w:lang w:val="fr-CA"/>
              </w:rPr>
              <w:t>Loi visant à contrôler les dépenses du gouvernement du Canada à l’égard de l’emploi</w:t>
            </w:r>
            <w:r w:rsidRPr="000F1B6E">
              <w:rPr>
                <w:rFonts w:eastAsia="Calibri"/>
                <w:sz w:val="20"/>
                <w:lang w:val="fr-CA"/>
              </w:rPr>
              <w:t>, L.C. 2009, ch. 2, art. 16, 19 et 26.</w:t>
            </w:r>
          </w:p>
        </w:tc>
      </w:tr>
      <w:tr w:rsidR="000F0BAB" w:rsidRPr="0025502E" w:rsidTr="003D1C23">
        <w:tc>
          <w:tcPr>
            <w:tcW w:w="5000" w:type="pct"/>
            <w:gridSpan w:val="3"/>
          </w:tcPr>
          <w:p w:rsidR="000F0BAB" w:rsidRPr="000F1B6E" w:rsidRDefault="000F0BAB" w:rsidP="003D1C23">
            <w:pPr>
              <w:jc w:val="both"/>
              <w:rPr>
                <w:rFonts w:eastAsia="Calibri"/>
                <w:sz w:val="20"/>
                <w:lang w:val="fr-CA"/>
              </w:rPr>
            </w:pPr>
          </w:p>
        </w:tc>
      </w:tr>
      <w:tr w:rsidR="000F0BAB" w:rsidRPr="0025502E" w:rsidTr="003D1C23">
        <w:tc>
          <w:tcPr>
            <w:tcW w:w="5000" w:type="pct"/>
            <w:gridSpan w:val="3"/>
          </w:tcPr>
          <w:p w:rsidR="000F0BAB" w:rsidRPr="000F1B6E" w:rsidRDefault="000F0BAB" w:rsidP="003D1C23">
            <w:pPr>
              <w:jc w:val="both"/>
              <w:rPr>
                <w:rFonts w:eastAsia="Calibri"/>
                <w:sz w:val="20"/>
                <w:lang w:val="fr-CA"/>
              </w:rPr>
            </w:pPr>
            <w:r w:rsidRPr="000F1B6E">
              <w:rPr>
                <w:rFonts w:eastAsia="Calibri"/>
                <w:sz w:val="20"/>
                <w:lang w:val="fr-CA"/>
              </w:rPr>
              <w:t>En octobre 2007, l’Association des réalisateurs a conclu une convention collective avec la Société Radio-Canada.  Cette convention collective, qui prévoyait des augmentations salariales, entrait en vigueur le 1</w:t>
            </w:r>
            <w:r w:rsidRPr="000F1B6E">
              <w:rPr>
                <w:rFonts w:eastAsia="Calibri"/>
                <w:sz w:val="20"/>
                <w:vertAlign w:val="superscript"/>
                <w:lang w:val="fr-CA"/>
              </w:rPr>
              <w:t>e</w:t>
            </w:r>
            <w:r w:rsidRPr="000F1B6E">
              <w:rPr>
                <w:rFonts w:eastAsia="Calibri"/>
                <w:sz w:val="20"/>
                <w:lang w:val="fr-CA"/>
              </w:rPr>
              <w:t xml:space="preserve"> octobre 2007 et prenait fin en septembre 2010.</w:t>
            </w:r>
          </w:p>
          <w:p w:rsidR="000F0BAB" w:rsidRPr="000F1B6E" w:rsidRDefault="000F0BAB" w:rsidP="003D1C23">
            <w:pPr>
              <w:jc w:val="both"/>
              <w:rPr>
                <w:rFonts w:eastAsia="Calibri"/>
                <w:sz w:val="20"/>
                <w:lang w:val="fr-CA"/>
              </w:rPr>
            </w:pPr>
          </w:p>
          <w:p w:rsidR="000F0BAB" w:rsidRPr="000F1B6E" w:rsidRDefault="000F0BAB" w:rsidP="003D1C23">
            <w:pPr>
              <w:jc w:val="both"/>
              <w:rPr>
                <w:rFonts w:eastAsia="Calibri"/>
                <w:sz w:val="20"/>
                <w:lang w:val="fr-CA"/>
              </w:rPr>
            </w:pPr>
            <w:r w:rsidRPr="000F1B6E">
              <w:rPr>
                <w:rFonts w:eastAsia="Calibri"/>
                <w:sz w:val="20"/>
                <w:lang w:val="fr-CA"/>
              </w:rPr>
              <w:t xml:space="preserve">Le 12 mars 2009 entre en vigueur la </w:t>
            </w:r>
            <w:r w:rsidRPr="000F1B6E">
              <w:rPr>
                <w:rFonts w:eastAsia="Calibri"/>
                <w:i/>
                <w:iCs/>
                <w:sz w:val="20"/>
                <w:lang w:val="fr-CA"/>
              </w:rPr>
              <w:t>Loi visant à contrôler les dépenses du gouvernement du Canada à l’égard de l’emploi</w:t>
            </w:r>
            <w:r w:rsidRPr="000F1B6E">
              <w:rPr>
                <w:rFonts w:eastAsia="Calibri"/>
                <w:sz w:val="20"/>
                <w:lang w:val="fr-CA"/>
              </w:rPr>
              <w:t xml:space="preserve">, L.C. 2009, ch. 2 (« Loi »).  La Loi impose des limites aux augmentations salariales pouvant être accordées à l’ensemble des employés du secteur public fédéral, y inclut les employés des sociétés d’État telles que la Société Radio-Canada.  Les taux d’augmentation prévus à la Loi s’appliquent également aux employés dont la convention collective a été conclue avant décembre 2008, ce qui est le cas des employés représentés par l’Association.  La Loi prévoit également que toute disposition d’une convention collective qui octroie toute forme d’augmentation à la rémunération qui excède les taux prescrits par la Loi est inopérante.  L’Association n’a pas été consultée préalablement à l’adoption de la Loi. </w:t>
            </w:r>
          </w:p>
          <w:p w:rsidR="000F0BAB" w:rsidRPr="000F1B6E" w:rsidRDefault="000F0BAB" w:rsidP="003D1C23">
            <w:pPr>
              <w:jc w:val="both"/>
              <w:rPr>
                <w:rFonts w:eastAsia="Calibri"/>
                <w:sz w:val="20"/>
                <w:lang w:val="fr-CA"/>
              </w:rPr>
            </w:pPr>
          </w:p>
          <w:p w:rsidR="000F0BAB" w:rsidRPr="000F1B6E" w:rsidRDefault="000F0BAB" w:rsidP="003D1C23">
            <w:pPr>
              <w:jc w:val="both"/>
              <w:rPr>
                <w:rFonts w:eastAsia="Calibri"/>
                <w:sz w:val="20"/>
                <w:lang w:val="fr-CA"/>
              </w:rPr>
            </w:pPr>
            <w:r w:rsidRPr="000F1B6E">
              <w:rPr>
                <w:rFonts w:eastAsia="Calibri"/>
                <w:sz w:val="20"/>
                <w:lang w:val="fr-CA"/>
              </w:rPr>
              <w:t>En se fondant sur l’article 2</w:t>
            </w:r>
            <w:r w:rsidRPr="000F1B6E">
              <w:rPr>
                <w:rFonts w:eastAsia="Calibri"/>
                <w:i/>
                <w:sz w:val="20"/>
                <w:lang w:val="fr-CA"/>
              </w:rPr>
              <w:t>d</w:t>
            </w:r>
            <w:r w:rsidRPr="000F1B6E">
              <w:rPr>
                <w:rFonts w:eastAsia="Calibri"/>
                <w:sz w:val="20"/>
                <w:lang w:val="fr-CA"/>
              </w:rPr>
              <w:t xml:space="preserve">) de la </w:t>
            </w:r>
            <w:r w:rsidRPr="000F1B6E">
              <w:rPr>
                <w:rFonts w:eastAsia="Calibri"/>
                <w:i/>
                <w:sz w:val="20"/>
                <w:lang w:val="fr-CA"/>
              </w:rPr>
              <w:t>Charte</w:t>
            </w:r>
            <w:r w:rsidRPr="000F1B6E">
              <w:rPr>
                <w:rFonts w:eastAsia="Calibri"/>
                <w:sz w:val="20"/>
                <w:lang w:val="fr-CA"/>
              </w:rPr>
              <w:t xml:space="preserve">, l’Association a intenté une requête introductive d’instance pour jugement déclaratoire.  Par le biais de ce recours, elle réclamait une déclaration d’inapplicabilité de certaines dispositions de la Loi à l’égard de ses membres ainsi qu’une déclaration voulant que la Radio-Canada ait l’obligation de respecter la convention collective convenue en octobre 2007. </w:t>
            </w:r>
          </w:p>
          <w:p w:rsidR="000F0BAB" w:rsidRPr="000F1B6E" w:rsidRDefault="000F0BAB" w:rsidP="003D1C23">
            <w:pPr>
              <w:jc w:val="both"/>
              <w:rPr>
                <w:rFonts w:eastAsia="Calibri"/>
                <w:sz w:val="20"/>
                <w:lang w:val="fr-CA"/>
              </w:rPr>
            </w:pPr>
          </w:p>
        </w:tc>
      </w:tr>
      <w:tr w:rsidR="000F0BAB" w:rsidRPr="0025502E" w:rsidTr="003D1C23">
        <w:tc>
          <w:tcPr>
            <w:tcW w:w="2427" w:type="pct"/>
          </w:tcPr>
          <w:p w:rsidR="000F0BAB" w:rsidRPr="000F1B6E" w:rsidRDefault="000F0BAB" w:rsidP="003D1C23">
            <w:pPr>
              <w:jc w:val="both"/>
              <w:rPr>
                <w:rFonts w:eastAsia="Calibri"/>
                <w:sz w:val="20"/>
                <w:lang w:val="fr-CA"/>
              </w:rPr>
            </w:pPr>
            <w:r w:rsidRPr="000F1B6E">
              <w:rPr>
                <w:rFonts w:eastAsia="Calibri"/>
                <w:sz w:val="20"/>
                <w:lang w:val="fr-CA"/>
              </w:rPr>
              <w:t xml:space="preserve">Le 11 juillet 2012 </w:t>
            </w:r>
          </w:p>
          <w:p w:rsidR="000F0BAB" w:rsidRPr="000F1B6E" w:rsidRDefault="000F0BAB" w:rsidP="003D1C23">
            <w:pPr>
              <w:jc w:val="both"/>
              <w:rPr>
                <w:rFonts w:eastAsia="Calibri"/>
                <w:sz w:val="20"/>
                <w:lang w:val="fr-CA"/>
              </w:rPr>
            </w:pPr>
            <w:r w:rsidRPr="000F1B6E">
              <w:rPr>
                <w:rFonts w:eastAsia="Calibri"/>
                <w:sz w:val="20"/>
                <w:lang w:val="fr-CA"/>
              </w:rPr>
              <w:t>(jugement rectifié émis le 10 août 2012)</w:t>
            </w:r>
          </w:p>
          <w:p w:rsidR="000F0BAB" w:rsidRPr="000F1B6E" w:rsidRDefault="000F0BAB" w:rsidP="003D1C23">
            <w:pPr>
              <w:jc w:val="both"/>
              <w:rPr>
                <w:rFonts w:eastAsia="Calibri"/>
                <w:sz w:val="20"/>
                <w:lang w:val="fr-CA"/>
              </w:rPr>
            </w:pPr>
            <w:r w:rsidRPr="000F1B6E">
              <w:rPr>
                <w:rFonts w:eastAsia="Calibri"/>
                <w:sz w:val="20"/>
                <w:lang w:val="fr-CA"/>
              </w:rPr>
              <w:t>Cour supérieure du Québec</w:t>
            </w:r>
          </w:p>
          <w:p w:rsidR="000F0BAB" w:rsidRPr="000F1B6E" w:rsidRDefault="000F0BAB" w:rsidP="003D1C23">
            <w:pPr>
              <w:jc w:val="both"/>
              <w:rPr>
                <w:rFonts w:eastAsia="Calibri"/>
                <w:sz w:val="20"/>
                <w:lang w:val="fr-CA"/>
              </w:rPr>
            </w:pPr>
            <w:r w:rsidRPr="000F1B6E">
              <w:rPr>
                <w:rFonts w:eastAsia="Calibri"/>
                <w:sz w:val="20"/>
                <w:lang w:val="fr-CA"/>
              </w:rPr>
              <w:t>(La juge Matteau)</w:t>
            </w:r>
          </w:p>
          <w:p w:rsidR="000F0BAB" w:rsidRPr="000F1B6E" w:rsidRDefault="00E42AAB" w:rsidP="003D1C23">
            <w:pPr>
              <w:jc w:val="both"/>
              <w:rPr>
                <w:rFonts w:eastAsia="Calibri"/>
                <w:sz w:val="20"/>
                <w:lang w:val="fr-CA"/>
              </w:rPr>
            </w:pPr>
            <w:hyperlink r:id="rId57" w:history="1">
              <w:r w:rsidR="000F0BAB" w:rsidRPr="000F1B6E">
                <w:rPr>
                  <w:rFonts w:eastAsia="Calibri"/>
                  <w:color w:val="0000FF"/>
                  <w:sz w:val="20"/>
                  <w:u w:val="single"/>
                  <w:lang w:val="fr-CA"/>
                </w:rPr>
                <w:t>2012 QCCS 3223</w:t>
              </w:r>
            </w:hyperlink>
          </w:p>
          <w:p w:rsidR="000F0BAB" w:rsidRPr="000F1B6E" w:rsidRDefault="000F0BAB" w:rsidP="003D1C23">
            <w:pPr>
              <w:jc w:val="both"/>
              <w:rPr>
                <w:rFonts w:eastAsia="Calibri"/>
                <w:sz w:val="20"/>
              </w:rPr>
            </w:pPr>
            <w:r w:rsidRPr="000F1B6E">
              <w:rPr>
                <w:rFonts w:eastAsia="Calibri"/>
                <w:sz w:val="20"/>
                <w:lang w:val="fr-CA"/>
              </w:rPr>
              <w:t>No. de dossier 500-17-050329-096</w:t>
            </w:r>
          </w:p>
        </w:tc>
        <w:tc>
          <w:tcPr>
            <w:tcW w:w="243" w:type="pct"/>
          </w:tcPr>
          <w:p w:rsidR="000F0BAB" w:rsidRPr="000F1B6E" w:rsidRDefault="000F0BAB" w:rsidP="003D1C23">
            <w:pPr>
              <w:jc w:val="both"/>
              <w:rPr>
                <w:rFonts w:eastAsia="Calibri"/>
                <w:sz w:val="20"/>
              </w:rPr>
            </w:pPr>
          </w:p>
        </w:tc>
        <w:tc>
          <w:tcPr>
            <w:tcW w:w="2330" w:type="pct"/>
          </w:tcPr>
          <w:p w:rsidR="000F0BAB" w:rsidRPr="000F1B6E" w:rsidRDefault="000F0BAB" w:rsidP="003D1C23">
            <w:pPr>
              <w:jc w:val="both"/>
              <w:rPr>
                <w:rFonts w:eastAsia="Calibri"/>
                <w:sz w:val="20"/>
                <w:lang w:val="fr-CA"/>
              </w:rPr>
            </w:pPr>
            <w:r w:rsidRPr="000F1B6E">
              <w:rPr>
                <w:rFonts w:eastAsia="Calibri"/>
                <w:sz w:val="20"/>
                <w:lang w:val="fr-CA"/>
              </w:rPr>
              <w:t xml:space="preserve">Requête introductive d’instance pour jugement déclaratoire, accueillie; Articles 16, 19 et  26 de la </w:t>
            </w:r>
            <w:r w:rsidRPr="000F1B6E">
              <w:rPr>
                <w:rFonts w:eastAsia="Calibri"/>
                <w:i/>
                <w:sz w:val="20"/>
                <w:lang w:val="fr-CA"/>
              </w:rPr>
              <w:t>Loi visant à contrôler les dépenses du gouvernement du Canada à l’égard de l’emploi</w:t>
            </w:r>
            <w:r w:rsidRPr="000F1B6E">
              <w:rPr>
                <w:rFonts w:eastAsia="Calibri"/>
                <w:sz w:val="20"/>
                <w:lang w:val="fr-CA"/>
              </w:rPr>
              <w:t>, L.C. 2009, ch. 2, déclarés invalides, inapplicables constitutionnellement ou inopérants à l’égard de la demanderesse et des membres des unités de négociation dont elle représente</w:t>
            </w:r>
          </w:p>
          <w:p w:rsidR="000F0BAB" w:rsidRPr="000F1B6E" w:rsidRDefault="000F0BAB" w:rsidP="003D1C23">
            <w:pPr>
              <w:jc w:val="both"/>
              <w:rPr>
                <w:rFonts w:eastAsia="Calibri"/>
                <w:sz w:val="20"/>
                <w:lang w:val="fr-CA"/>
              </w:rPr>
            </w:pPr>
          </w:p>
        </w:tc>
      </w:tr>
      <w:tr w:rsidR="000F0BAB" w:rsidRPr="0025502E" w:rsidTr="003D1C23">
        <w:tc>
          <w:tcPr>
            <w:tcW w:w="2427" w:type="pct"/>
          </w:tcPr>
          <w:p w:rsidR="000F0BAB" w:rsidRPr="000F1B6E" w:rsidRDefault="000F0BAB" w:rsidP="003D1C23">
            <w:pPr>
              <w:jc w:val="both"/>
              <w:rPr>
                <w:rFonts w:eastAsia="Calibri"/>
                <w:sz w:val="20"/>
                <w:lang w:val="fr-CA"/>
              </w:rPr>
            </w:pPr>
            <w:r w:rsidRPr="000F1B6E">
              <w:rPr>
                <w:rFonts w:eastAsia="Calibri"/>
                <w:sz w:val="20"/>
                <w:lang w:val="fr-CA"/>
              </w:rPr>
              <w:t>Le 27 mai 2014</w:t>
            </w:r>
          </w:p>
          <w:p w:rsidR="000F0BAB" w:rsidRPr="000F1B6E" w:rsidRDefault="000F0BAB" w:rsidP="003D1C23">
            <w:pPr>
              <w:jc w:val="both"/>
              <w:rPr>
                <w:rFonts w:eastAsia="Calibri"/>
                <w:sz w:val="20"/>
                <w:lang w:val="fr-CA"/>
              </w:rPr>
            </w:pPr>
            <w:r w:rsidRPr="000F1B6E">
              <w:rPr>
                <w:rFonts w:eastAsia="Calibri"/>
                <w:sz w:val="20"/>
                <w:lang w:val="fr-CA"/>
              </w:rPr>
              <w:t>Cour d’appel du Québec (Montréal)</w:t>
            </w:r>
          </w:p>
          <w:p w:rsidR="000F0BAB" w:rsidRPr="000F1B6E" w:rsidRDefault="000F0BAB" w:rsidP="003D1C23">
            <w:pPr>
              <w:jc w:val="both"/>
              <w:rPr>
                <w:rFonts w:eastAsia="Calibri"/>
                <w:sz w:val="20"/>
                <w:lang w:val="fr-CA"/>
              </w:rPr>
            </w:pPr>
            <w:r w:rsidRPr="000F1B6E">
              <w:rPr>
                <w:rFonts w:eastAsia="Calibri"/>
                <w:sz w:val="20"/>
                <w:lang w:val="fr-CA"/>
              </w:rPr>
              <w:t>(Les juges Dalphond, Lévesque et Savard)</w:t>
            </w:r>
          </w:p>
          <w:p w:rsidR="000F0BAB" w:rsidRPr="000F1B6E" w:rsidRDefault="00E42AAB" w:rsidP="003D1C23">
            <w:pPr>
              <w:jc w:val="both"/>
              <w:rPr>
                <w:rFonts w:eastAsia="Calibri"/>
                <w:sz w:val="20"/>
                <w:lang w:val="fr-CA"/>
              </w:rPr>
            </w:pPr>
            <w:hyperlink r:id="rId58" w:history="1">
              <w:r w:rsidR="000F0BAB" w:rsidRPr="000F1B6E">
                <w:rPr>
                  <w:rFonts w:eastAsia="Calibri"/>
                  <w:color w:val="0000FF"/>
                  <w:sz w:val="20"/>
                  <w:u w:val="single"/>
                  <w:lang w:val="fr-CA"/>
                </w:rPr>
                <w:t>2014 QCCA 1068</w:t>
              </w:r>
            </w:hyperlink>
          </w:p>
          <w:p w:rsidR="000F0BAB" w:rsidRPr="000F1B6E" w:rsidRDefault="000F0BAB" w:rsidP="003D1C23">
            <w:pPr>
              <w:jc w:val="both"/>
              <w:rPr>
                <w:rFonts w:eastAsia="Calibri"/>
                <w:sz w:val="20"/>
                <w:lang w:val="fr-CA"/>
              </w:rPr>
            </w:pPr>
            <w:r w:rsidRPr="000F1B6E">
              <w:rPr>
                <w:rFonts w:eastAsia="Calibri"/>
                <w:sz w:val="20"/>
                <w:lang w:val="fr-CA"/>
              </w:rPr>
              <w:t>No. de dossier 500-09-022922-124</w:t>
            </w:r>
          </w:p>
          <w:p w:rsidR="000F0BAB" w:rsidRPr="000F1B6E" w:rsidRDefault="000F0BAB" w:rsidP="003D1C23">
            <w:pPr>
              <w:jc w:val="both"/>
              <w:rPr>
                <w:rFonts w:eastAsia="Calibri"/>
                <w:sz w:val="20"/>
                <w:lang w:val="fr-FR"/>
              </w:rPr>
            </w:pPr>
          </w:p>
        </w:tc>
        <w:tc>
          <w:tcPr>
            <w:tcW w:w="243" w:type="pct"/>
          </w:tcPr>
          <w:p w:rsidR="000F0BAB" w:rsidRPr="000F1B6E" w:rsidRDefault="000F0BAB" w:rsidP="003D1C23">
            <w:pPr>
              <w:jc w:val="both"/>
              <w:rPr>
                <w:rFonts w:eastAsia="Calibri"/>
                <w:sz w:val="20"/>
                <w:lang w:val="fr-FR"/>
              </w:rPr>
            </w:pPr>
          </w:p>
        </w:tc>
        <w:tc>
          <w:tcPr>
            <w:tcW w:w="2330" w:type="pct"/>
          </w:tcPr>
          <w:p w:rsidR="000F0BAB" w:rsidRPr="000F1B6E" w:rsidRDefault="000F0BAB" w:rsidP="003D1C23">
            <w:pPr>
              <w:jc w:val="both"/>
              <w:rPr>
                <w:rFonts w:eastAsia="Calibri"/>
                <w:sz w:val="20"/>
                <w:lang w:val="fr-CA"/>
              </w:rPr>
            </w:pPr>
            <w:r w:rsidRPr="000F1B6E">
              <w:rPr>
                <w:rFonts w:eastAsia="Calibri"/>
                <w:sz w:val="20"/>
                <w:lang w:val="fr-CA"/>
              </w:rPr>
              <w:t xml:space="preserve">Appel accueilli; requête en jugement déclaratoire, rejetée </w:t>
            </w:r>
          </w:p>
          <w:p w:rsidR="000F0BAB" w:rsidRPr="000F1B6E" w:rsidRDefault="000F0BAB" w:rsidP="003D1C23">
            <w:pPr>
              <w:jc w:val="both"/>
              <w:rPr>
                <w:rFonts w:eastAsia="Calibri"/>
                <w:sz w:val="20"/>
                <w:lang w:val="fr-CA"/>
              </w:rPr>
            </w:pPr>
          </w:p>
        </w:tc>
      </w:tr>
      <w:tr w:rsidR="000F0BAB" w:rsidRPr="000F1B6E" w:rsidTr="003D1C23">
        <w:tc>
          <w:tcPr>
            <w:tcW w:w="2427" w:type="pct"/>
          </w:tcPr>
          <w:p w:rsidR="000F0BAB" w:rsidRPr="000F1B6E" w:rsidRDefault="000F0BAB" w:rsidP="003D1C23">
            <w:pPr>
              <w:jc w:val="both"/>
              <w:rPr>
                <w:rFonts w:eastAsia="Calibri"/>
                <w:sz w:val="20"/>
                <w:lang w:val="fr-CA"/>
              </w:rPr>
            </w:pPr>
            <w:r w:rsidRPr="000F1B6E">
              <w:rPr>
                <w:rFonts w:eastAsia="Calibri"/>
                <w:sz w:val="20"/>
                <w:lang w:val="fr-CA"/>
              </w:rPr>
              <w:t>Le 19 août 2014</w:t>
            </w:r>
          </w:p>
          <w:p w:rsidR="000F0BAB" w:rsidRPr="000F1B6E" w:rsidRDefault="000F0BAB" w:rsidP="003D1C23">
            <w:pPr>
              <w:jc w:val="both"/>
              <w:rPr>
                <w:rFonts w:eastAsia="Calibri"/>
                <w:sz w:val="20"/>
                <w:lang w:val="fr-FR"/>
              </w:rPr>
            </w:pPr>
            <w:r w:rsidRPr="000F1B6E">
              <w:rPr>
                <w:rFonts w:eastAsia="Calibri"/>
                <w:sz w:val="20"/>
                <w:lang w:val="fr-CA"/>
              </w:rPr>
              <w:t>Cour suprême du Canada</w:t>
            </w:r>
          </w:p>
        </w:tc>
        <w:tc>
          <w:tcPr>
            <w:tcW w:w="243" w:type="pct"/>
          </w:tcPr>
          <w:p w:rsidR="000F0BAB" w:rsidRPr="000F1B6E" w:rsidRDefault="000F0BAB" w:rsidP="003D1C23">
            <w:pPr>
              <w:jc w:val="both"/>
              <w:rPr>
                <w:rFonts w:eastAsia="Calibri"/>
                <w:sz w:val="20"/>
                <w:lang w:val="fr-FR"/>
              </w:rPr>
            </w:pPr>
          </w:p>
        </w:tc>
        <w:tc>
          <w:tcPr>
            <w:tcW w:w="2330" w:type="pct"/>
          </w:tcPr>
          <w:p w:rsidR="000F0BAB" w:rsidRPr="000F1B6E" w:rsidRDefault="000F0BAB" w:rsidP="003D1C23">
            <w:pPr>
              <w:jc w:val="both"/>
              <w:rPr>
                <w:rFonts w:eastAsia="Calibri"/>
                <w:sz w:val="20"/>
                <w:lang w:val="fr-CA"/>
              </w:rPr>
            </w:pPr>
            <w:r w:rsidRPr="000F1B6E">
              <w:rPr>
                <w:rFonts w:eastAsia="Calibri"/>
                <w:sz w:val="20"/>
                <w:lang w:val="fr-CA"/>
              </w:rPr>
              <w:t>Demande d’autorisation d’appel déposée</w:t>
            </w:r>
          </w:p>
          <w:p w:rsidR="000F0BAB" w:rsidRPr="000F1B6E" w:rsidRDefault="000F0BAB" w:rsidP="003D1C23">
            <w:pPr>
              <w:jc w:val="both"/>
              <w:rPr>
                <w:rFonts w:eastAsia="Calibri"/>
                <w:sz w:val="20"/>
                <w:lang w:val="fr-CA"/>
              </w:rPr>
            </w:pPr>
          </w:p>
        </w:tc>
      </w:tr>
    </w:tbl>
    <w:p w:rsidR="00124C37" w:rsidRDefault="00124C37" w:rsidP="00124C37">
      <w:pPr>
        <w:rPr>
          <w:sz w:val="20"/>
          <w:szCs w:val="20"/>
        </w:rPr>
      </w:pPr>
    </w:p>
    <w:p w:rsidR="00124C37" w:rsidRDefault="00E42AAB" w:rsidP="00124C37">
      <w:pPr>
        <w:rPr>
          <w:sz w:val="20"/>
          <w:szCs w:val="20"/>
        </w:rPr>
      </w:pPr>
      <w:r>
        <w:rPr>
          <w:sz w:val="20"/>
          <w:szCs w:val="20"/>
          <w:lang w:val="fr-CA"/>
        </w:rPr>
        <w:pict>
          <v:rect id="_x0000_i1062" style="width:2in;height:1pt" o:hrpct="0" o:hralign="center" o:hrstd="t" o:hrnoshade="t" o:hr="t" fillcolor="black [3213]" stroked="f"/>
        </w:pict>
      </w:r>
    </w:p>
    <w:p w:rsidR="00124C37" w:rsidRDefault="00124C37" w:rsidP="00124C37">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03DFB" w:rsidRPr="00E7075A" w:rsidTr="00C64462">
        <w:trPr>
          <w:cantSplit/>
        </w:trPr>
        <w:tc>
          <w:tcPr>
            <w:tcW w:w="1458" w:type="dxa"/>
          </w:tcPr>
          <w:p w:rsidR="00803DFB" w:rsidRPr="00E7075A" w:rsidRDefault="00803DFB" w:rsidP="00C64462">
            <w:pPr>
              <w:rPr>
                <w:sz w:val="20"/>
                <w:szCs w:val="20"/>
              </w:rPr>
            </w:pPr>
            <w:r w:rsidRPr="00E7075A">
              <w:rPr>
                <w:rStyle w:val="SCCFileNumberChar"/>
                <w:sz w:val="20"/>
                <w:szCs w:val="20"/>
              </w:rPr>
              <w:t>36023</w:t>
            </w:r>
          </w:p>
          <w:p w:rsidR="00803DFB" w:rsidRPr="00E7075A" w:rsidRDefault="00803DFB" w:rsidP="00C64462">
            <w:pPr>
              <w:rPr>
                <w:b/>
                <w:sz w:val="20"/>
                <w:szCs w:val="20"/>
                <w:lang w:val="fr-CA"/>
              </w:rPr>
            </w:pPr>
          </w:p>
        </w:tc>
        <w:tc>
          <w:tcPr>
            <w:tcW w:w="8118" w:type="dxa"/>
          </w:tcPr>
          <w:p w:rsidR="00803DFB" w:rsidRPr="00E7075A" w:rsidRDefault="00803DFB" w:rsidP="00C64462">
            <w:pPr>
              <w:rPr>
                <w:sz w:val="20"/>
                <w:szCs w:val="20"/>
              </w:rPr>
            </w:pPr>
            <w:r w:rsidRPr="00E7075A">
              <w:rPr>
                <w:rStyle w:val="SCCLsocChar"/>
                <w:sz w:val="20"/>
                <w:szCs w:val="20"/>
              </w:rPr>
              <w:t>Joël Ifergan v. Société des Loteries du Québec</w:t>
            </w:r>
            <w:r w:rsidRPr="00E7075A">
              <w:rPr>
                <w:sz w:val="20"/>
                <w:szCs w:val="20"/>
                <w:lang w:val="fr-CA"/>
              </w:rPr>
              <w:t xml:space="preserve"> (Que.) </w:t>
            </w:r>
            <w:r w:rsidRPr="00E7075A">
              <w:rPr>
                <w:sz w:val="20"/>
                <w:szCs w:val="20"/>
              </w:rPr>
              <w:t>(Civil) (By Leave)</w:t>
            </w:r>
          </w:p>
          <w:p w:rsidR="00803DFB" w:rsidRPr="00E7075A" w:rsidRDefault="00803DFB" w:rsidP="00C64462">
            <w:pPr>
              <w:rPr>
                <w:sz w:val="20"/>
                <w:szCs w:val="20"/>
              </w:rPr>
            </w:pPr>
          </w:p>
        </w:tc>
      </w:tr>
      <w:tr w:rsidR="00803DFB" w:rsidRPr="00E7075A" w:rsidTr="00C64462">
        <w:trPr>
          <w:cantSplit/>
        </w:trPr>
        <w:tc>
          <w:tcPr>
            <w:tcW w:w="1458" w:type="dxa"/>
          </w:tcPr>
          <w:p w:rsidR="00803DFB" w:rsidRPr="00E7075A" w:rsidRDefault="00803DFB" w:rsidP="00C64462">
            <w:pPr>
              <w:rPr>
                <w:sz w:val="20"/>
                <w:szCs w:val="20"/>
              </w:rPr>
            </w:pPr>
            <w:r w:rsidRPr="00E7075A">
              <w:rPr>
                <w:sz w:val="20"/>
                <w:szCs w:val="20"/>
              </w:rPr>
              <w:t>Coram :</w:t>
            </w:r>
          </w:p>
        </w:tc>
        <w:tc>
          <w:tcPr>
            <w:tcW w:w="8118" w:type="dxa"/>
          </w:tcPr>
          <w:p w:rsidR="00803DFB" w:rsidRPr="00E7075A" w:rsidRDefault="00803DFB" w:rsidP="00C64462">
            <w:pPr>
              <w:rPr>
                <w:sz w:val="20"/>
                <w:szCs w:val="20"/>
              </w:rPr>
            </w:pPr>
            <w:r w:rsidRPr="00803DFB">
              <w:rPr>
                <w:rStyle w:val="SCCCoramChar"/>
                <w:sz w:val="20"/>
                <w:szCs w:val="20"/>
                <w:lang w:val="en-CA"/>
              </w:rPr>
              <w:t>McLachlin C.J. and Wagner and Gascon JJ.</w:t>
            </w:r>
          </w:p>
          <w:p w:rsidR="00803DFB" w:rsidRPr="00E7075A" w:rsidRDefault="00803DFB" w:rsidP="00C64462">
            <w:pPr>
              <w:rPr>
                <w:sz w:val="20"/>
                <w:szCs w:val="20"/>
                <w:u w:val="single"/>
              </w:rPr>
            </w:pPr>
          </w:p>
        </w:tc>
      </w:tr>
      <w:tr w:rsidR="00803DFB" w:rsidRPr="0025502E" w:rsidTr="00C64462">
        <w:trPr>
          <w:cantSplit/>
        </w:trPr>
        <w:tc>
          <w:tcPr>
            <w:tcW w:w="9576" w:type="dxa"/>
            <w:gridSpan w:val="2"/>
          </w:tcPr>
          <w:p w:rsidR="00803DFB" w:rsidRPr="00E7075A" w:rsidRDefault="00803DFB" w:rsidP="00C64462">
            <w:pPr>
              <w:pStyle w:val="SCCShortJudgment"/>
              <w:rPr>
                <w:szCs w:val="20"/>
              </w:rPr>
            </w:pPr>
            <w:r w:rsidRPr="00E7075A">
              <w:rPr>
                <w:szCs w:val="20"/>
              </w:rPr>
              <w:lastRenderedPageBreak/>
              <w:t>The application for leave to appeal from the judgment of the Court of Appeal of Quebec (Montréal), Number 500-09-023174-121, 2014 QCCA 1114, dated May 30, 2014, is dismissed with costs.</w:t>
            </w:r>
          </w:p>
          <w:p w:rsidR="00803DFB" w:rsidRPr="00E7075A" w:rsidRDefault="00803DFB" w:rsidP="00C64462">
            <w:pPr>
              <w:pStyle w:val="SCCShortJudgment"/>
              <w:ind w:firstLine="0"/>
              <w:rPr>
                <w:szCs w:val="20"/>
              </w:rPr>
            </w:pPr>
          </w:p>
          <w:p w:rsidR="00803DFB" w:rsidRPr="00E7075A" w:rsidRDefault="00803DFB" w:rsidP="00C64462">
            <w:pPr>
              <w:pStyle w:val="SCCShortJudgment"/>
              <w:rPr>
                <w:szCs w:val="20"/>
                <w:lang w:val="fr-CA"/>
              </w:rPr>
            </w:pPr>
            <w:r w:rsidRPr="00E7075A">
              <w:rPr>
                <w:szCs w:val="20"/>
                <w:lang w:val="fr-CA"/>
              </w:rPr>
              <w:t>La demande d’autorisation d’appel de l’arrêt de la Cour d’appel du Québec (Montréal), numéro 500-09-023174-121, 2014 QCCA 1114, daté du 30 mai 2014, est rejetée avec dépens.</w:t>
            </w:r>
          </w:p>
        </w:tc>
      </w:tr>
    </w:tbl>
    <w:p w:rsidR="00CC2124" w:rsidRDefault="00CC2124" w:rsidP="00124C37">
      <w:pPr>
        <w:rPr>
          <w:sz w:val="20"/>
          <w:szCs w:val="20"/>
          <w:lang w:val="fr-CA"/>
        </w:rPr>
      </w:pPr>
    </w:p>
    <w:p w:rsidR="00CC2124" w:rsidRDefault="00CC2124">
      <w:pPr>
        <w:rPr>
          <w:sz w:val="20"/>
          <w:szCs w:val="20"/>
          <w:lang w:val="fr-CA"/>
        </w:rPr>
      </w:pPr>
      <w:r>
        <w:rPr>
          <w:sz w:val="20"/>
          <w:szCs w:val="20"/>
          <w:lang w:val="fr-CA"/>
        </w:rPr>
        <w:br w:type="page"/>
      </w:r>
    </w:p>
    <w:p w:rsidR="00124C37" w:rsidRPr="001B157C" w:rsidRDefault="00124C37" w:rsidP="00124C37">
      <w:pPr>
        <w:rPr>
          <w:sz w:val="20"/>
          <w:szCs w:val="20"/>
          <w:u w:val="single"/>
        </w:rPr>
      </w:pPr>
      <w:r w:rsidRPr="001B157C">
        <w:rPr>
          <w:sz w:val="20"/>
          <w:szCs w:val="20"/>
          <w:u w:val="single"/>
        </w:rPr>
        <w:lastRenderedPageBreak/>
        <w:t>CASE SUMMARY</w:t>
      </w:r>
    </w:p>
    <w:p w:rsidR="00124C37" w:rsidRDefault="00124C37" w:rsidP="00124C3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776EC" w:rsidRPr="000F1B6E" w:rsidTr="003D1C23">
        <w:tc>
          <w:tcPr>
            <w:tcW w:w="5000" w:type="pct"/>
            <w:gridSpan w:val="3"/>
          </w:tcPr>
          <w:p w:rsidR="007776EC" w:rsidRPr="000F1B6E" w:rsidRDefault="007776EC" w:rsidP="003D1C23">
            <w:pPr>
              <w:jc w:val="both"/>
              <w:rPr>
                <w:rFonts w:eastAsia="Calibri"/>
                <w:sz w:val="20"/>
              </w:rPr>
            </w:pPr>
            <w:r w:rsidRPr="000F1B6E">
              <w:rPr>
                <w:rFonts w:eastAsia="Calibri"/>
                <w:sz w:val="20"/>
              </w:rPr>
              <w:t>Contracts – Consumer Protection – Can public bodies administer their regulations in a manner inconsistent with consumers’ rights under consumer protection legislation? – Do the remedies under consumer protection legislation broaden the remedies that would otherwise be available to consumers under gaming regulations? – Do the principles of contract formation apply to lottery contracts in Canada?</w:t>
            </w:r>
          </w:p>
        </w:tc>
      </w:tr>
      <w:tr w:rsidR="007776EC" w:rsidRPr="000F1B6E" w:rsidTr="003D1C23">
        <w:tc>
          <w:tcPr>
            <w:tcW w:w="5000" w:type="pct"/>
            <w:gridSpan w:val="3"/>
          </w:tcPr>
          <w:p w:rsidR="007776EC" w:rsidRPr="000F1B6E" w:rsidRDefault="007776EC" w:rsidP="003D1C23">
            <w:pPr>
              <w:jc w:val="both"/>
              <w:rPr>
                <w:rFonts w:eastAsia="Calibri"/>
                <w:sz w:val="20"/>
              </w:rPr>
            </w:pPr>
          </w:p>
        </w:tc>
      </w:tr>
      <w:tr w:rsidR="007776EC" w:rsidRPr="000F1B6E" w:rsidTr="003D1C23">
        <w:tc>
          <w:tcPr>
            <w:tcW w:w="5000" w:type="pct"/>
            <w:gridSpan w:val="3"/>
          </w:tcPr>
          <w:p w:rsidR="007776EC" w:rsidRPr="000F1B6E" w:rsidRDefault="007776EC" w:rsidP="003D1C23">
            <w:pPr>
              <w:jc w:val="both"/>
              <w:rPr>
                <w:rFonts w:eastAsia="Calibri"/>
                <w:sz w:val="20"/>
              </w:rPr>
            </w:pPr>
            <w:r w:rsidRPr="000F1B6E">
              <w:rPr>
                <w:rFonts w:eastAsia="Calibri"/>
                <w:sz w:val="20"/>
              </w:rPr>
              <w:t>On May 23, 2008, the Applicant went to his local convenience store just before 9pm in order to purchase tickets for that night’s “Lotto Super 7” draw.  He was told by the store employee that there was enough time to make the purchase before 9pm, but that he had to hurry.  The Applicant requested two “Quick Pick” tickets and his selections were entered into Loto-Québec’s (the Respondent’s) gaming terminal.  The clock on the terminal read 8:59pm at that time.  After the tickets printed, the first one indicated that “May 23, 2008” was the date of the draw and the second ticket indicated that “May 30, 2008” was the date of the draw.  The store employee asked the Applicant if he still wanted to purchase the two tickets.  The Applicant said he did and paid for them.  That night, the “Lotto Super 7” winning numbers matched the numbers on the second ticket.  The next day, a Loto-Québec retailer informed the Applicant that he did not have a winning ticket, and the Respondent subsequently confirmed to the Applicant that his second ticket had been processed by Loto-Québec’s central computer at 9:00:07pm —after the deadline for the May 23</w:t>
            </w:r>
            <w:r w:rsidRPr="000F1B6E">
              <w:rPr>
                <w:rFonts w:eastAsia="Calibri"/>
                <w:sz w:val="20"/>
                <w:vertAlign w:val="superscript"/>
              </w:rPr>
              <w:t>rd</w:t>
            </w:r>
            <w:r w:rsidRPr="000F1B6E">
              <w:rPr>
                <w:rFonts w:eastAsia="Calibri"/>
                <w:sz w:val="20"/>
              </w:rPr>
              <w:t xml:space="preserve"> draw.  The Applicant instituted an action against the Respondent claiming he had a winning ticket.  </w:t>
            </w:r>
          </w:p>
          <w:p w:rsidR="007776EC" w:rsidRPr="000F1B6E" w:rsidRDefault="007776EC" w:rsidP="003D1C23">
            <w:pPr>
              <w:jc w:val="both"/>
              <w:rPr>
                <w:rFonts w:eastAsia="Calibri"/>
                <w:sz w:val="20"/>
              </w:rPr>
            </w:pPr>
          </w:p>
        </w:tc>
      </w:tr>
      <w:tr w:rsidR="007776EC" w:rsidRPr="000F1B6E" w:rsidTr="003D1C23">
        <w:tc>
          <w:tcPr>
            <w:tcW w:w="2427" w:type="pct"/>
          </w:tcPr>
          <w:p w:rsidR="007776EC" w:rsidRPr="000F1B6E" w:rsidRDefault="007776EC" w:rsidP="003D1C23">
            <w:pPr>
              <w:jc w:val="both"/>
              <w:rPr>
                <w:rFonts w:eastAsia="Calibri"/>
                <w:sz w:val="20"/>
              </w:rPr>
            </w:pPr>
            <w:r w:rsidRPr="000F1B6E">
              <w:rPr>
                <w:rFonts w:eastAsia="Calibri"/>
                <w:sz w:val="20"/>
              </w:rPr>
              <w:t>November 8, 2012</w:t>
            </w:r>
          </w:p>
          <w:p w:rsidR="007776EC" w:rsidRPr="000F1B6E" w:rsidRDefault="007776EC" w:rsidP="003D1C23">
            <w:pPr>
              <w:jc w:val="both"/>
              <w:rPr>
                <w:rFonts w:eastAsia="Calibri"/>
                <w:sz w:val="20"/>
              </w:rPr>
            </w:pPr>
            <w:r w:rsidRPr="000F1B6E">
              <w:rPr>
                <w:rFonts w:eastAsia="Calibri"/>
                <w:sz w:val="20"/>
              </w:rPr>
              <w:t>Superior Court of Quebec</w:t>
            </w:r>
          </w:p>
          <w:p w:rsidR="007776EC" w:rsidRPr="000F1B6E" w:rsidRDefault="007776EC" w:rsidP="003D1C23">
            <w:pPr>
              <w:jc w:val="both"/>
              <w:rPr>
                <w:rFonts w:eastAsia="Calibri"/>
                <w:sz w:val="20"/>
              </w:rPr>
            </w:pPr>
            <w:r w:rsidRPr="000F1B6E">
              <w:rPr>
                <w:rFonts w:eastAsia="Calibri"/>
                <w:sz w:val="20"/>
              </w:rPr>
              <w:t>(Lalande J.)</w:t>
            </w:r>
          </w:p>
          <w:p w:rsidR="007776EC" w:rsidRPr="000F1B6E" w:rsidRDefault="007776EC" w:rsidP="003D1C23">
            <w:pPr>
              <w:jc w:val="both"/>
              <w:rPr>
                <w:rFonts w:eastAsia="Calibri"/>
                <w:sz w:val="20"/>
              </w:rPr>
            </w:pPr>
            <w:r w:rsidRPr="000F1B6E">
              <w:rPr>
                <w:rFonts w:eastAsia="Calibri"/>
                <w:sz w:val="20"/>
              </w:rPr>
              <w:t>No. 500-17-045669-085</w:t>
            </w:r>
          </w:p>
          <w:p w:rsidR="007776EC" w:rsidRPr="000F1B6E" w:rsidRDefault="00E42AAB" w:rsidP="003D1C23">
            <w:pPr>
              <w:jc w:val="both"/>
              <w:rPr>
                <w:rFonts w:eastAsia="Calibri"/>
                <w:sz w:val="20"/>
              </w:rPr>
            </w:pPr>
            <w:hyperlink r:id="rId59" w:history="1">
              <w:r w:rsidR="007776EC" w:rsidRPr="000F1B6E">
                <w:rPr>
                  <w:rFonts w:eastAsia="Calibri"/>
                  <w:color w:val="0000FF"/>
                  <w:sz w:val="20"/>
                  <w:u w:val="single"/>
                </w:rPr>
                <w:t>2012 QCCS 5600</w:t>
              </w:r>
            </w:hyperlink>
          </w:p>
          <w:p w:rsidR="007776EC" w:rsidRPr="000F1B6E" w:rsidRDefault="007776EC" w:rsidP="003D1C23">
            <w:pPr>
              <w:jc w:val="both"/>
              <w:rPr>
                <w:rFonts w:eastAsia="Calibri"/>
                <w:sz w:val="20"/>
              </w:rPr>
            </w:pPr>
          </w:p>
        </w:tc>
        <w:tc>
          <w:tcPr>
            <w:tcW w:w="243" w:type="pct"/>
          </w:tcPr>
          <w:p w:rsidR="007776EC" w:rsidRPr="000F1B6E" w:rsidRDefault="007776EC" w:rsidP="003D1C23">
            <w:pPr>
              <w:jc w:val="both"/>
              <w:rPr>
                <w:rFonts w:eastAsia="Calibri"/>
                <w:sz w:val="20"/>
              </w:rPr>
            </w:pPr>
          </w:p>
        </w:tc>
        <w:tc>
          <w:tcPr>
            <w:tcW w:w="2330" w:type="pct"/>
          </w:tcPr>
          <w:p w:rsidR="007776EC" w:rsidRPr="000F1B6E" w:rsidRDefault="007776EC" w:rsidP="003D1C23">
            <w:pPr>
              <w:jc w:val="both"/>
              <w:rPr>
                <w:rFonts w:eastAsia="Calibri"/>
                <w:sz w:val="20"/>
              </w:rPr>
            </w:pPr>
            <w:r w:rsidRPr="000F1B6E">
              <w:rPr>
                <w:rFonts w:eastAsia="Calibri"/>
                <w:sz w:val="20"/>
              </w:rPr>
              <w:t>Applicant’s action dismissed.</w:t>
            </w:r>
          </w:p>
          <w:p w:rsidR="007776EC" w:rsidRPr="000F1B6E" w:rsidRDefault="007776EC" w:rsidP="003D1C23">
            <w:pPr>
              <w:jc w:val="both"/>
              <w:rPr>
                <w:rFonts w:eastAsia="Calibri"/>
                <w:sz w:val="20"/>
              </w:rPr>
            </w:pPr>
          </w:p>
        </w:tc>
      </w:tr>
      <w:tr w:rsidR="007776EC" w:rsidRPr="000F1B6E" w:rsidTr="003D1C23">
        <w:tc>
          <w:tcPr>
            <w:tcW w:w="2427" w:type="pct"/>
          </w:tcPr>
          <w:p w:rsidR="007776EC" w:rsidRPr="000F1B6E" w:rsidRDefault="007776EC" w:rsidP="003D1C23">
            <w:pPr>
              <w:jc w:val="both"/>
              <w:rPr>
                <w:rFonts w:eastAsia="Calibri"/>
                <w:sz w:val="20"/>
              </w:rPr>
            </w:pPr>
            <w:r w:rsidRPr="000F1B6E">
              <w:rPr>
                <w:rFonts w:eastAsia="Calibri"/>
                <w:sz w:val="20"/>
              </w:rPr>
              <w:t>May 30, 2014</w:t>
            </w:r>
          </w:p>
          <w:p w:rsidR="007776EC" w:rsidRPr="000F1B6E" w:rsidRDefault="007776EC" w:rsidP="003D1C23">
            <w:pPr>
              <w:jc w:val="both"/>
              <w:rPr>
                <w:rFonts w:eastAsia="Calibri"/>
                <w:sz w:val="20"/>
              </w:rPr>
            </w:pPr>
            <w:r w:rsidRPr="000F1B6E">
              <w:rPr>
                <w:rFonts w:eastAsia="Calibri"/>
                <w:sz w:val="20"/>
              </w:rPr>
              <w:t>Court of Appeal of Quebec (Montréal)</w:t>
            </w:r>
          </w:p>
          <w:p w:rsidR="007776EC" w:rsidRPr="000F1B6E" w:rsidRDefault="007776EC" w:rsidP="003D1C23">
            <w:pPr>
              <w:jc w:val="both"/>
              <w:rPr>
                <w:rFonts w:eastAsia="Calibri"/>
                <w:sz w:val="20"/>
              </w:rPr>
            </w:pPr>
            <w:r w:rsidRPr="000F1B6E">
              <w:rPr>
                <w:rFonts w:eastAsia="Calibri"/>
                <w:sz w:val="20"/>
              </w:rPr>
              <w:t>(Thibault, Doyon and Dutil JJ.A.)</w:t>
            </w:r>
          </w:p>
          <w:p w:rsidR="007776EC" w:rsidRPr="000F1B6E" w:rsidRDefault="007776EC" w:rsidP="003D1C23">
            <w:pPr>
              <w:jc w:val="both"/>
              <w:rPr>
                <w:rFonts w:eastAsia="Calibri"/>
                <w:sz w:val="20"/>
              </w:rPr>
            </w:pPr>
            <w:r w:rsidRPr="000F1B6E">
              <w:rPr>
                <w:rFonts w:eastAsia="Calibri"/>
                <w:sz w:val="20"/>
              </w:rPr>
              <w:t xml:space="preserve">No. </w:t>
            </w:r>
            <w:bookmarkStart w:id="3" w:name="NoDossier"/>
            <w:r w:rsidRPr="000F1B6E">
              <w:rPr>
                <w:rFonts w:eastAsia="Calibri"/>
                <w:sz w:val="20"/>
              </w:rPr>
              <w:t>500-09-023174-121</w:t>
            </w:r>
            <w:bookmarkEnd w:id="3"/>
          </w:p>
          <w:p w:rsidR="007776EC" w:rsidRPr="000F1B6E" w:rsidRDefault="00E42AAB" w:rsidP="003D1C23">
            <w:pPr>
              <w:jc w:val="both"/>
              <w:rPr>
                <w:rFonts w:eastAsia="Calibri"/>
                <w:sz w:val="20"/>
              </w:rPr>
            </w:pPr>
            <w:hyperlink r:id="rId60" w:history="1">
              <w:r w:rsidR="007776EC" w:rsidRPr="000F1B6E">
                <w:rPr>
                  <w:rFonts w:eastAsia="Calibri"/>
                  <w:color w:val="0000FF"/>
                  <w:sz w:val="20"/>
                  <w:u w:val="single"/>
                </w:rPr>
                <w:t>2014 QCCA 1114</w:t>
              </w:r>
            </w:hyperlink>
          </w:p>
          <w:p w:rsidR="007776EC" w:rsidRPr="000F1B6E" w:rsidRDefault="007776EC" w:rsidP="003D1C23">
            <w:pPr>
              <w:jc w:val="both"/>
              <w:rPr>
                <w:rFonts w:eastAsia="Calibri"/>
                <w:sz w:val="20"/>
                <w:lang w:val="fr-CA"/>
              </w:rPr>
            </w:pPr>
          </w:p>
        </w:tc>
        <w:tc>
          <w:tcPr>
            <w:tcW w:w="243" w:type="pct"/>
          </w:tcPr>
          <w:p w:rsidR="007776EC" w:rsidRPr="000F1B6E" w:rsidRDefault="007776EC" w:rsidP="003D1C23">
            <w:pPr>
              <w:jc w:val="both"/>
              <w:rPr>
                <w:rFonts w:eastAsia="Calibri"/>
                <w:sz w:val="20"/>
                <w:lang w:val="fr-CA"/>
              </w:rPr>
            </w:pPr>
          </w:p>
        </w:tc>
        <w:tc>
          <w:tcPr>
            <w:tcW w:w="2330" w:type="pct"/>
          </w:tcPr>
          <w:p w:rsidR="007776EC" w:rsidRPr="000F1B6E" w:rsidRDefault="007776EC" w:rsidP="003D1C23">
            <w:pPr>
              <w:jc w:val="both"/>
              <w:rPr>
                <w:rFonts w:eastAsia="Calibri"/>
                <w:sz w:val="20"/>
              </w:rPr>
            </w:pPr>
            <w:r w:rsidRPr="000F1B6E">
              <w:rPr>
                <w:rFonts w:eastAsia="Calibri"/>
                <w:sz w:val="20"/>
              </w:rPr>
              <w:t>Applicant’s appeal dismissed.</w:t>
            </w:r>
          </w:p>
        </w:tc>
      </w:tr>
      <w:tr w:rsidR="007776EC" w:rsidRPr="000F1B6E" w:rsidTr="003D1C23">
        <w:tc>
          <w:tcPr>
            <w:tcW w:w="2427" w:type="pct"/>
          </w:tcPr>
          <w:p w:rsidR="007776EC" w:rsidRPr="000F1B6E" w:rsidRDefault="007776EC" w:rsidP="003D1C23">
            <w:pPr>
              <w:jc w:val="both"/>
              <w:rPr>
                <w:rFonts w:eastAsia="Calibri"/>
                <w:sz w:val="20"/>
              </w:rPr>
            </w:pPr>
            <w:r w:rsidRPr="000F1B6E">
              <w:rPr>
                <w:rFonts w:eastAsia="Calibri"/>
                <w:sz w:val="20"/>
              </w:rPr>
              <w:t>August 28, 2014</w:t>
            </w:r>
          </w:p>
          <w:p w:rsidR="007776EC" w:rsidRPr="000F1B6E" w:rsidRDefault="007776EC" w:rsidP="003D1C23">
            <w:pPr>
              <w:jc w:val="both"/>
              <w:rPr>
                <w:rFonts w:eastAsia="Calibri"/>
                <w:sz w:val="20"/>
              </w:rPr>
            </w:pPr>
            <w:r w:rsidRPr="000F1B6E">
              <w:rPr>
                <w:rFonts w:eastAsia="Calibri"/>
                <w:sz w:val="20"/>
              </w:rPr>
              <w:t>Supreme Court of Canada</w:t>
            </w:r>
          </w:p>
        </w:tc>
        <w:tc>
          <w:tcPr>
            <w:tcW w:w="243" w:type="pct"/>
          </w:tcPr>
          <w:p w:rsidR="007776EC" w:rsidRPr="000F1B6E" w:rsidRDefault="007776EC" w:rsidP="003D1C23">
            <w:pPr>
              <w:jc w:val="both"/>
              <w:rPr>
                <w:rFonts w:eastAsia="Calibri"/>
                <w:sz w:val="20"/>
              </w:rPr>
            </w:pPr>
          </w:p>
        </w:tc>
        <w:tc>
          <w:tcPr>
            <w:tcW w:w="2330" w:type="pct"/>
          </w:tcPr>
          <w:p w:rsidR="007776EC" w:rsidRPr="000F1B6E" w:rsidRDefault="007776EC" w:rsidP="003D1C23">
            <w:pPr>
              <w:jc w:val="both"/>
              <w:rPr>
                <w:rFonts w:eastAsia="Calibri"/>
                <w:sz w:val="20"/>
              </w:rPr>
            </w:pPr>
            <w:r w:rsidRPr="000F1B6E">
              <w:rPr>
                <w:rFonts w:eastAsia="Calibri"/>
                <w:sz w:val="20"/>
              </w:rPr>
              <w:t>Application for leave to appeal filed.</w:t>
            </w:r>
          </w:p>
          <w:p w:rsidR="007776EC" w:rsidRPr="000F1B6E" w:rsidRDefault="007776EC" w:rsidP="003D1C23">
            <w:pPr>
              <w:jc w:val="both"/>
              <w:rPr>
                <w:rFonts w:eastAsia="Calibri"/>
                <w:sz w:val="20"/>
              </w:rPr>
            </w:pPr>
          </w:p>
        </w:tc>
      </w:tr>
    </w:tbl>
    <w:p w:rsidR="00124C37" w:rsidRPr="007776EC" w:rsidRDefault="00124C37" w:rsidP="00124C37">
      <w:pPr>
        <w:rPr>
          <w:sz w:val="20"/>
          <w:szCs w:val="20"/>
        </w:rPr>
      </w:pPr>
    </w:p>
    <w:p w:rsidR="00124C37" w:rsidRPr="00C50A5C" w:rsidRDefault="00E42AAB" w:rsidP="00124C37">
      <w:pPr>
        <w:rPr>
          <w:sz w:val="20"/>
          <w:szCs w:val="20"/>
        </w:rPr>
      </w:pPr>
      <w:r>
        <w:rPr>
          <w:sz w:val="20"/>
          <w:szCs w:val="20"/>
          <w:lang w:val="fr-CA"/>
        </w:rPr>
        <w:pict>
          <v:rect id="_x0000_i1063" style="width:2in;height:1pt" o:hrpct="0" o:hralign="center" o:hrstd="t" o:hrnoshade="t" o:hr="t" fillcolor="black [3213]" stroked="f"/>
        </w:pict>
      </w:r>
    </w:p>
    <w:p w:rsidR="00124C37" w:rsidRDefault="00124C37" w:rsidP="00124C37">
      <w:pPr>
        <w:rPr>
          <w:sz w:val="20"/>
          <w:szCs w:val="20"/>
        </w:rPr>
      </w:pPr>
    </w:p>
    <w:p w:rsidR="00124C37" w:rsidRPr="001B157C" w:rsidRDefault="00124C37" w:rsidP="00124C37">
      <w:pPr>
        <w:rPr>
          <w:sz w:val="20"/>
          <w:szCs w:val="20"/>
          <w:u w:val="single"/>
          <w:lang w:val="fr-CA"/>
        </w:rPr>
      </w:pPr>
      <w:r w:rsidRPr="001B157C">
        <w:rPr>
          <w:sz w:val="20"/>
          <w:szCs w:val="20"/>
          <w:u w:val="single"/>
          <w:lang w:val="fr-CA"/>
        </w:rPr>
        <w:t>RÉSUMÉ DE L’AFFAIRE</w:t>
      </w:r>
    </w:p>
    <w:p w:rsidR="00124C37" w:rsidRDefault="00124C37" w:rsidP="00124C3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776EC" w:rsidRPr="0025502E" w:rsidTr="003D1C23">
        <w:tc>
          <w:tcPr>
            <w:tcW w:w="5000" w:type="pct"/>
            <w:gridSpan w:val="3"/>
          </w:tcPr>
          <w:p w:rsidR="007776EC" w:rsidRPr="000F1B6E" w:rsidRDefault="007776EC" w:rsidP="003D1C23">
            <w:pPr>
              <w:jc w:val="both"/>
              <w:rPr>
                <w:rFonts w:eastAsia="Calibri"/>
                <w:sz w:val="20"/>
                <w:lang w:val="fr-CA"/>
              </w:rPr>
            </w:pPr>
            <w:r w:rsidRPr="000F1B6E">
              <w:rPr>
                <w:rFonts w:eastAsia="Calibri"/>
                <w:sz w:val="20"/>
                <w:lang w:val="fr-CA"/>
              </w:rPr>
              <w:t>Contrats – Protection du consommateur – Les organismes publics peuvent-ils administrer leurs règlements de façon incompatible avec les droits conférés aux consommateurs par les lois sur la protection du consommateur? – Les recours prévus dans les lois sur la protection du consommateur élargissent-ils les recours dont pourraient autrement se prévaloir les consommateurs en application des règlements sur le jeu? – Les principes de la formation des contrats s’appliquent-ils aux contrats de loterie au Canada?</w:t>
            </w:r>
          </w:p>
        </w:tc>
      </w:tr>
      <w:tr w:rsidR="007776EC" w:rsidRPr="0025502E" w:rsidTr="003D1C23">
        <w:tc>
          <w:tcPr>
            <w:tcW w:w="5000" w:type="pct"/>
            <w:gridSpan w:val="3"/>
          </w:tcPr>
          <w:p w:rsidR="007776EC" w:rsidRPr="000F1B6E" w:rsidRDefault="007776EC" w:rsidP="003D1C23">
            <w:pPr>
              <w:jc w:val="both"/>
              <w:rPr>
                <w:rFonts w:eastAsia="Calibri"/>
                <w:sz w:val="20"/>
                <w:lang w:val="fr-CA"/>
              </w:rPr>
            </w:pPr>
          </w:p>
        </w:tc>
      </w:tr>
      <w:tr w:rsidR="007776EC" w:rsidRPr="0025502E" w:rsidTr="003D1C23">
        <w:tc>
          <w:tcPr>
            <w:tcW w:w="5000" w:type="pct"/>
            <w:gridSpan w:val="3"/>
          </w:tcPr>
          <w:p w:rsidR="007776EC" w:rsidRPr="000F1B6E" w:rsidRDefault="007776EC" w:rsidP="003D1C23">
            <w:pPr>
              <w:jc w:val="both"/>
              <w:rPr>
                <w:rFonts w:eastAsia="Calibri"/>
                <w:sz w:val="20"/>
                <w:lang w:val="fr-CA"/>
              </w:rPr>
            </w:pPr>
            <w:r w:rsidRPr="000F1B6E">
              <w:rPr>
                <w:rFonts w:eastAsia="Calibri"/>
                <w:sz w:val="20"/>
                <w:lang w:val="fr-CA"/>
              </w:rPr>
              <w:t xml:space="preserve">Le 23 mai 2008, le demandeur s’est rendu au dépanneur de son quartier peu avant 21 h afin d’acheter des billets de </w:t>
            </w:r>
            <w:r w:rsidRPr="000F1B6E">
              <w:rPr>
                <w:rFonts w:eastAsia="Calibri"/>
                <w:sz w:val="20"/>
                <w:lang w:val="fr-CA"/>
              </w:rPr>
              <w:lastRenderedPageBreak/>
              <w:t>loterie « </w:t>
            </w:r>
            <w:r w:rsidRPr="000F1B6E">
              <w:rPr>
                <w:rFonts w:eastAsia="Calibri"/>
                <w:iCs/>
                <w:sz w:val="20"/>
                <w:lang w:val="fr-CA"/>
              </w:rPr>
              <w:t>Super 7 »</w:t>
            </w:r>
            <w:r w:rsidRPr="000F1B6E">
              <w:rPr>
                <w:rFonts w:eastAsia="Calibri"/>
                <w:i/>
                <w:iCs/>
                <w:sz w:val="20"/>
                <w:lang w:val="fr-CA"/>
              </w:rPr>
              <w:t xml:space="preserve"> </w:t>
            </w:r>
            <w:r w:rsidRPr="000F1B6E">
              <w:rPr>
                <w:rFonts w:eastAsia="Calibri"/>
                <w:sz w:val="20"/>
                <w:lang w:val="fr-CA"/>
              </w:rPr>
              <w:t xml:space="preserve">pour le tirage qui allait avoir lieu ce soir-là.  Le préposé du dépanneur lui a dit qu'il restait assez de temps pour acheter les billets de loterie avant 21 h, mais qu'il fallait faire vite.  Le demandeur a demandé deux billets « mise-éclair » et  ses choix ont été enregistrés dans le terminal de jeu de Loto-Québec (l’intimée).  L’horloge du terminal indiquait alors 20h59.  Après l’impression des billets, le premier billet indiquait comme date de tirage « le 23 mai 2008 » et le second billet indiquait comme date de tirage « le 30 mai 2008 ».  Le préposé du dépanneur a demandé au demandeur s’il désirait tout de même acheter les deux billets.  Le demandeur lui a répondu par l’affirmative et il a payé les billets.  Ce soir-là, les numéros gagnants de la loterie Super 7 correspondaient aux numéros apparaissant sur le second billet.  Le lendemain, un détaillant de Loto-Québec a informé le demandeur qu’il n’avait pas de billet gagnant et l’intimée a confirmé par la suite au demandeur que son second billet avait été traité par l’ordinateur central de Loto-Québec à 21h00:07 — après la fermeture des mises pour le tirage du 23 mai.  Le demandeur a intenté une action contre l’intimée, alléguant avoir un billet gagnant.  </w:t>
            </w:r>
          </w:p>
          <w:p w:rsidR="007776EC" w:rsidRPr="000F1B6E" w:rsidRDefault="007776EC" w:rsidP="003D1C23">
            <w:pPr>
              <w:jc w:val="both"/>
              <w:rPr>
                <w:rFonts w:eastAsia="Calibri"/>
                <w:sz w:val="20"/>
                <w:lang w:val="fr-CA"/>
              </w:rPr>
            </w:pPr>
          </w:p>
        </w:tc>
      </w:tr>
      <w:tr w:rsidR="007776EC" w:rsidRPr="0025502E" w:rsidTr="003D1C23">
        <w:tc>
          <w:tcPr>
            <w:tcW w:w="2427" w:type="pct"/>
          </w:tcPr>
          <w:p w:rsidR="007776EC" w:rsidRPr="000F1B6E" w:rsidRDefault="007776EC" w:rsidP="003D1C23">
            <w:pPr>
              <w:jc w:val="both"/>
              <w:rPr>
                <w:rFonts w:eastAsia="Calibri"/>
                <w:sz w:val="20"/>
                <w:lang w:val="fr-CA"/>
              </w:rPr>
            </w:pPr>
            <w:r w:rsidRPr="000F1B6E">
              <w:rPr>
                <w:rFonts w:eastAsia="Calibri"/>
                <w:sz w:val="20"/>
                <w:lang w:val="fr-CA"/>
              </w:rPr>
              <w:lastRenderedPageBreak/>
              <w:t>8 novembre 2012</w:t>
            </w:r>
          </w:p>
          <w:p w:rsidR="007776EC" w:rsidRPr="000F1B6E" w:rsidRDefault="007776EC" w:rsidP="003D1C23">
            <w:pPr>
              <w:jc w:val="both"/>
              <w:rPr>
                <w:rFonts w:eastAsia="Calibri"/>
                <w:sz w:val="20"/>
                <w:lang w:val="fr-CA"/>
              </w:rPr>
            </w:pPr>
            <w:r w:rsidRPr="000F1B6E">
              <w:rPr>
                <w:rFonts w:eastAsia="Calibri"/>
                <w:sz w:val="20"/>
                <w:lang w:val="fr-CA"/>
              </w:rPr>
              <w:t>Cour supérieure du Québec</w:t>
            </w:r>
          </w:p>
          <w:p w:rsidR="007776EC" w:rsidRPr="000F1B6E" w:rsidRDefault="007776EC" w:rsidP="003D1C23">
            <w:pPr>
              <w:jc w:val="both"/>
              <w:rPr>
                <w:rFonts w:eastAsia="Calibri"/>
                <w:sz w:val="20"/>
                <w:lang w:val="fr-CA"/>
              </w:rPr>
            </w:pPr>
            <w:r w:rsidRPr="000F1B6E">
              <w:rPr>
                <w:rFonts w:eastAsia="Calibri"/>
                <w:sz w:val="20"/>
                <w:lang w:val="fr-CA"/>
              </w:rPr>
              <w:t>(Juge Lalande)</w:t>
            </w:r>
          </w:p>
          <w:p w:rsidR="007776EC" w:rsidRPr="000F1B6E" w:rsidRDefault="007776EC" w:rsidP="003D1C23">
            <w:pPr>
              <w:jc w:val="both"/>
              <w:rPr>
                <w:rFonts w:eastAsia="Calibri"/>
                <w:sz w:val="20"/>
                <w:lang w:val="fr-CA"/>
              </w:rPr>
            </w:pPr>
            <w:r w:rsidRPr="000F1B6E">
              <w:rPr>
                <w:rFonts w:eastAsia="Calibri"/>
                <w:sz w:val="20"/>
                <w:lang w:val="fr-CA"/>
              </w:rPr>
              <w:t>N</w:t>
            </w:r>
            <w:r w:rsidRPr="000F1B6E">
              <w:rPr>
                <w:rFonts w:eastAsia="Calibri"/>
                <w:sz w:val="20"/>
                <w:vertAlign w:val="superscript"/>
                <w:lang w:val="fr-CA"/>
              </w:rPr>
              <w:t>o</w:t>
            </w:r>
            <w:r w:rsidRPr="000F1B6E">
              <w:rPr>
                <w:rFonts w:eastAsia="Calibri"/>
                <w:sz w:val="20"/>
                <w:lang w:val="fr-CA"/>
              </w:rPr>
              <w:t xml:space="preserve"> 500-17-045669-085</w:t>
            </w:r>
          </w:p>
          <w:p w:rsidR="007776EC" w:rsidRPr="000F1B6E" w:rsidRDefault="00E42AAB" w:rsidP="003D1C23">
            <w:pPr>
              <w:jc w:val="both"/>
              <w:rPr>
                <w:rFonts w:eastAsia="Calibri"/>
                <w:sz w:val="20"/>
                <w:lang w:val="fr-CA"/>
              </w:rPr>
            </w:pPr>
            <w:hyperlink r:id="rId61" w:history="1">
              <w:r w:rsidR="007776EC" w:rsidRPr="000F1B6E">
                <w:rPr>
                  <w:rFonts w:eastAsia="Calibri"/>
                  <w:color w:val="0000FF"/>
                  <w:sz w:val="20"/>
                  <w:u w:val="single"/>
                  <w:lang w:val="fr-CA"/>
                </w:rPr>
                <w:t>2012 QCCS 5600</w:t>
              </w:r>
            </w:hyperlink>
          </w:p>
          <w:p w:rsidR="007776EC" w:rsidRPr="000F1B6E" w:rsidRDefault="007776EC" w:rsidP="003D1C23">
            <w:pPr>
              <w:jc w:val="both"/>
              <w:rPr>
                <w:rFonts w:eastAsia="Calibri"/>
                <w:sz w:val="20"/>
                <w:lang w:val="fr-CA"/>
              </w:rPr>
            </w:pPr>
          </w:p>
        </w:tc>
        <w:tc>
          <w:tcPr>
            <w:tcW w:w="243" w:type="pct"/>
          </w:tcPr>
          <w:p w:rsidR="007776EC" w:rsidRPr="000F1B6E" w:rsidRDefault="007776EC" w:rsidP="003D1C23">
            <w:pPr>
              <w:jc w:val="both"/>
              <w:rPr>
                <w:rFonts w:eastAsia="Calibri"/>
                <w:sz w:val="20"/>
                <w:lang w:val="fr-CA"/>
              </w:rPr>
            </w:pPr>
          </w:p>
        </w:tc>
        <w:tc>
          <w:tcPr>
            <w:tcW w:w="2330" w:type="pct"/>
          </w:tcPr>
          <w:p w:rsidR="007776EC" w:rsidRPr="000F1B6E" w:rsidRDefault="007776EC" w:rsidP="003D1C23">
            <w:pPr>
              <w:jc w:val="both"/>
              <w:rPr>
                <w:rFonts w:eastAsia="Calibri"/>
                <w:sz w:val="20"/>
                <w:lang w:val="fr-CA"/>
              </w:rPr>
            </w:pPr>
            <w:r w:rsidRPr="000F1B6E">
              <w:rPr>
                <w:rFonts w:eastAsia="Calibri"/>
                <w:sz w:val="20"/>
                <w:lang w:val="fr-CA"/>
              </w:rPr>
              <w:t>Rejet de l’action du demandeur.</w:t>
            </w:r>
          </w:p>
          <w:p w:rsidR="007776EC" w:rsidRPr="000F1B6E" w:rsidRDefault="007776EC" w:rsidP="003D1C23">
            <w:pPr>
              <w:jc w:val="both"/>
              <w:rPr>
                <w:rFonts w:eastAsia="Calibri"/>
                <w:sz w:val="20"/>
                <w:lang w:val="fr-CA"/>
              </w:rPr>
            </w:pPr>
          </w:p>
        </w:tc>
      </w:tr>
      <w:tr w:rsidR="007776EC" w:rsidRPr="0025502E" w:rsidTr="003D1C23">
        <w:tc>
          <w:tcPr>
            <w:tcW w:w="2427" w:type="pct"/>
          </w:tcPr>
          <w:p w:rsidR="007776EC" w:rsidRPr="000F1B6E" w:rsidRDefault="007776EC" w:rsidP="003D1C23">
            <w:pPr>
              <w:jc w:val="both"/>
              <w:rPr>
                <w:rFonts w:eastAsia="Calibri"/>
                <w:sz w:val="20"/>
                <w:lang w:val="fr-CA"/>
              </w:rPr>
            </w:pPr>
            <w:r w:rsidRPr="000F1B6E">
              <w:rPr>
                <w:rFonts w:eastAsia="Calibri"/>
                <w:sz w:val="20"/>
                <w:lang w:val="fr-CA"/>
              </w:rPr>
              <w:t>30 mai 2014</w:t>
            </w:r>
          </w:p>
          <w:p w:rsidR="007776EC" w:rsidRPr="000F1B6E" w:rsidRDefault="007776EC" w:rsidP="003D1C23">
            <w:pPr>
              <w:jc w:val="both"/>
              <w:rPr>
                <w:rFonts w:eastAsia="Calibri"/>
                <w:sz w:val="20"/>
                <w:lang w:val="fr-CA"/>
              </w:rPr>
            </w:pPr>
            <w:r w:rsidRPr="000F1B6E">
              <w:rPr>
                <w:rFonts w:eastAsia="Calibri"/>
                <w:sz w:val="20"/>
                <w:lang w:val="fr-CA"/>
              </w:rPr>
              <w:t>Cour d’appel du Québec (Montréal)</w:t>
            </w:r>
          </w:p>
          <w:p w:rsidR="007776EC" w:rsidRPr="000F1B6E" w:rsidRDefault="007776EC" w:rsidP="003D1C23">
            <w:pPr>
              <w:jc w:val="both"/>
              <w:rPr>
                <w:rFonts w:eastAsia="Calibri"/>
                <w:sz w:val="20"/>
                <w:lang w:val="fr-CA"/>
              </w:rPr>
            </w:pPr>
            <w:r w:rsidRPr="000F1B6E">
              <w:rPr>
                <w:rFonts w:eastAsia="Calibri"/>
                <w:sz w:val="20"/>
                <w:lang w:val="fr-CA"/>
              </w:rPr>
              <w:t>(Juges Thibault, Doyon et Dutil)</w:t>
            </w:r>
          </w:p>
          <w:p w:rsidR="007776EC" w:rsidRPr="000F1B6E" w:rsidRDefault="007776EC" w:rsidP="003D1C23">
            <w:pPr>
              <w:jc w:val="both"/>
              <w:rPr>
                <w:rFonts w:eastAsia="Calibri"/>
                <w:sz w:val="20"/>
                <w:lang w:val="fr-CA"/>
              </w:rPr>
            </w:pPr>
            <w:r w:rsidRPr="000F1B6E">
              <w:rPr>
                <w:rFonts w:eastAsia="Calibri"/>
                <w:sz w:val="20"/>
                <w:lang w:val="fr-CA"/>
              </w:rPr>
              <w:t>N</w:t>
            </w:r>
            <w:r w:rsidRPr="000F1B6E">
              <w:rPr>
                <w:rFonts w:eastAsia="Calibri"/>
                <w:sz w:val="20"/>
                <w:vertAlign w:val="superscript"/>
                <w:lang w:val="fr-CA"/>
              </w:rPr>
              <w:t>o</w:t>
            </w:r>
            <w:r w:rsidRPr="000F1B6E">
              <w:rPr>
                <w:rFonts w:eastAsia="Calibri"/>
                <w:sz w:val="20"/>
                <w:lang w:val="fr-CA"/>
              </w:rPr>
              <w:t xml:space="preserve"> 500-09-023174-121</w:t>
            </w:r>
          </w:p>
          <w:p w:rsidR="007776EC" w:rsidRPr="000F1B6E" w:rsidRDefault="00E42AAB" w:rsidP="003D1C23">
            <w:pPr>
              <w:jc w:val="both"/>
              <w:rPr>
                <w:rFonts w:eastAsia="Calibri"/>
                <w:sz w:val="20"/>
                <w:lang w:val="fr-CA"/>
              </w:rPr>
            </w:pPr>
            <w:hyperlink r:id="rId62" w:history="1">
              <w:r w:rsidR="007776EC" w:rsidRPr="000F1B6E">
                <w:rPr>
                  <w:rFonts w:eastAsia="Calibri"/>
                  <w:color w:val="0000FF"/>
                  <w:sz w:val="20"/>
                  <w:u w:val="single"/>
                  <w:lang w:val="fr-CA"/>
                </w:rPr>
                <w:t>2014 QCCA 1114</w:t>
              </w:r>
            </w:hyperlink>
          </w:p>
          <w:p w:rsidR="007776EC" w:rsidRPr="000F1B6E" w:rsidRDefault="007776EC" w:rsidP="003D1C23">
            <w:pPr>
              <w:jc w:val="both"/>
              <w:rPr>
                <w:rFonts w:eastAsia="Calibri"/>
                <w:sz w:val="20"/>
                <w:lang w:val="fr-CA"/>
              </w:rPr>
            </w:pPr>
          </w:p>
        </w:tc>
        <w:tc>
          <w:tcPr>
            <w:tcW w:w="243" w:type="pct"/>
          </w:tcPr>
          <w:p w:rsidR="007776EC" w:rsidRPr="000F1B6E" w:rsidRDefault="007776EC" w:rsidP="003D1C23">
            <w:pPr>
              <w:jc w:val="both"/>
              <w:rPr>
                <w:rFonts w:eastAsia="Calibri"/>
                <w:sz w:val="20"/>
                <w:lang w:val="fr-CA"/>
              </w:rPr>
            </w:pPr>
          </w:p>
        </w:tc>
        <w:tc>
          <w:tcPr>
            <w:tcW w:w="2330" w:type="pct"/>
          </w:tcPr>
          <w:p w:rsidR="007776EC" w:rsidRPr="000F1B6E" w:rsidRDefault="007776EC" w:rsidP="003D1C23">
            <w:pPr>
              <w:jc w:val="both"/>
              <w:rPr>
                <w:rFonts w:eastAsia="Calibri"/>
                <w:sz w:val="20"/>
                <w:lang w:val="fr-CA"/>
              </w:rPr>
            </w:pPr>
            <w:r w:rsidRPr="000F1B6E">
              <w:rPr>
                <w:rFonts w:eastAsia="Calibri"/>
                <w:sz w:val="20"/>
                <w:lang w:val="fr-CA"/>
              </w:rPr>
              <w:t>Rejet de l’appel du demandeur.</w:t>
            </w:r>
          </w:p>
        </w:tc>
      </w:tr>
      <w:tr w:rsidR="007776EC" w:rsidRPr="0025502E" w:rsidTr="003D1C23">
        <w:tc>
          <w:tcPr>
            <w:tcW w:w="2427" w:type="pct"/>
          </w:tcPr>
          <w:p w:rsidR="007776EC" w:rsidRPr="000F1B6E" w:rsidRDefault="007776EC" w:rsidP="003D1C23">
            <w:pPr>
              <w:jc w:val="both"/>
              <w:rPr>
                <w:rFonts w:eastAsia="Calibri"/>
                <w:sz w:val="20"/>
                <w:lang w:val="fr-CA"/>
              </w:rPr>
            </w:pPr>
            <w:r w:rsidRPr="000F1B6E">
              <w:rPr>
                <w:rFonts w:eastAsia="Calibri"/>
                <w:sz w:val="20"/>
                <w:lang w:val="fr-CA"/>
              </w:rPr>
              <w:t>28 août 2014</w:t>
            </w:r>
          </w:p>
          <w:p w:rsidR="007776EC" w:rsidRPr="000F1B6E" w:rsidRDefault="007776EC" w:rsidP="003D1C23">
            <w:pPr>
              <w:jc w:val="both"/>
              <w:rPr>
                <w:rFonts w:eastAsia="Calibri"/>
                <w:sz w:val="20"/>
                <w:lang w:val="fr-CA"/>
              </w:rPr>
            </w:pPr>
            <w:r w:rsidRPr="000F1B6E">
              <w:rPr>
                <w:rFonts w:eastAsia="Calibri"/>
                <w:sz w:val="20"/>
                <w:lang w:val="fr-CA"/>
              </w:rPr>
              <w:t>Cour suprême du Canada</w:t>
            </w:r>
          </w:p>
        </w:tc>
        <w:tc>
          <w:tcPr>
            <w:tcW w:w="243" w:type="pct"/>
          </w:tcPr>
          <w:p w:rsidR="007776EC" w:rsidRPr="000F1B6E" w:rsidRDefault="007776EC" w:rsidP="003D1C23">
            <w:pPr>
              <w:jc w:val="both"/>
              <w:rPr>
                <w:rFonts w:eastAsia="Calibri"/>
                <w:sz w:val="20"/>
                <w:lang w:val="fr-CA"/>
              </w:rPr>
            </w:pPr>
          </w:p>
        </w:tc>
        <w:tc>
          <w:tcPr>
            <w:tcW w:w="2330" w:type="pct"/>
          </w:tcPr>
          <w:p w:rsidR="007776EC" w:rsidRPr="000F1B6E" w:rsidRDefault="007776EC" w:rsidP="003D1C23">
            <w:pPr>
              <w:jc w:val="both"/>
              <w:rPr>
                <w:rFonts w:eastAsia="Calibri"/>
                <w:sz w:val="20"/>
                <w:lang w:val="fr-CA"/>
              </w:rPr>
            </w:pPr>
            <w:r w:rsidRPr="000F1B6E">
              <w:rPr>
                <w:rFonts w:eastAsia="Calibri"/>
                <w:sz w:val="20"/>
                <w:lang w:val="fr-CA"/>
              </w:rPr>
              <w:t>Dépôt de la demande d’autorisation d’appel.</w:t>
            </w:r>
          </w:p>
          <w:p w:rsidR="007776EC" w:rsidRPr="000F1B6E" w:rsidRDefault="007776EC" w:rsidP="003D1C23">
            <w:pPr>
              <w:jc w:val="both"/>
              <w:rPr>
                <w:rFonts w:eastAsia="Calibri"/>
                <w:sz w:val="20"/>
                <w:lang w:val="fr-CA"/>
              </w:rPr>
            </w:pPr>
          </w:p>
        </w:tc>
      </w:tr>
    </w:tbl>
    <w:p w:rsidR="00124C37" w:rsidRPr="007776EC" w:rsidRDefault="00124C37" w:rsidP="00124C37">
      <w:pPr>
        <w:rPr>
          <w:sz w:val="20"/>
          <w:szCs w:val="20"/>
          <w:lang w:val="fr-CA"/>
        </w:rPr>
      </w:pPr>
    </w:p>
    <w:p w:rsidR="00124C37" w:rsidRDefault="00E42AAB" w:rsidP="00124C37">
      <w:pPr>
        <w:rPr>
          <w:sz w:val="20"/>
          <w:szCs w:val="20"/>
        </w:rPr>
      </w:pPr>
      <w:r>
        <w:rPr>
          <w:sz w:val="20"/>
          <w:szCs w:val="20"/>
          <w:lang w:val="fr-CA"/>
        </w:rPr>
        <w:pict>
          <v:rect id="_x0000_i1064" style="width:2in;height:1pt" o:hrpct="0" o:hralign="center" o:hrstd="t" o:hrnoshade="t" o:hr="t" fillcolor="black [3213]" stroked="f"/>
        </w:pict>
      </w:r>
    </w:p>
    <w:p w:rsidR="00124C37" w:rsidRDefault="00124C37" w:rsidP="00124C37">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03DFB" w:rsidRPr="00E7075A" w:rsidTr="00C64462">
        <w:trPr>
          <w:cantSplit/>
        </w:trPr>
        <w:tc>
          <w:tcPr>
            <w:tcW w:w="1458" w:type="dxa"/>
          </w:tcPr>
          <w:p w:rsidR="00803DFB" w:rsidRPr="00E7075A" w:rsidRDefault="00803DFB" w:rsidP="00C64462">
            <w:pPr>
              <w:rPr>
                <w:sz w:val="20"/>
                <w:szCs w:val="20"/>
              </w:rPr>
            </w:pPr>
            <w:r w:rsidRPr="00E7075A">
              <w:rPr>
                <w:rStyle w:val="SCCFileNumberChar"/>
                <w:sz w:val="20"/>
                <w:szCs w:val="20"/>
              </w:rPr>
              <w:t>36027</w:t>
            </w:r>
          </w:p>
          <w:p w:rsidR="00803DFB" w:rsidRPr="00E7075A" w:rsidRDefault="00803DFB" w:rsidP="00C64462">
            <w:pPr>
              <w:rPr>
                <w:b/>
                <w:sz w:val="20"/>
                <w:szCs w:val="20"/>
                <w:lang w:val="fr-CA"/>
              </w:rPr>
            </w:pPr>
          </w:p>
        </w:tc>
        <w:tc>
          <w:tcPr>
            <w:tcW w:w="8118" w:type="dxa"/>
          </w:tcPr>
          <w:p w:rsidR="00803DFB" w:rsidRPr="00E7075A" w:rsidRDefault="00803DFB" w:rsidP="00C64462">
            <w:pPr>
              <w:jc w:val="both"/>
              <w:rPr>
                <w:sz w:val="20"/>
                <w:szCs w:val="20"/>
              </w:rPr>
            </w:pPr>
            <w:r w:rsidRPr="00803DFB">
              <w:rPr>
                <w:rStyle w:val="SCCLsocChar"/>
                <w:sz w:val="20"/>
                <w:szCs w:val="20"/>
                <w:lang w:val="en-CA"/>
              </w:rPr>
              <w:t>Rogers Communications Inc. v. City of Châteauguay</w:t>
            </w:r>
            <w:r w:rsidR="00CC2124">
              <w:rPr>
                <w:rStyle w:val="SCCLsocChar"/>
                <w:sz w:val="20"/>
                <w:szCs w:val="20"/>
                <w:lang w:val="en-CA"/>
              </w:rPr>
              <w:t xml:space="preserve"> and</w:t>
            </w:r>
            <w:r w:rsidRPr="00803DFB">
              <w:rPr>
                <w:rStyle w:val="SCCLsocChar"/>
                <w:sz w:val="20"/>
                <w:szCs w:val="20"/>
                <w:lang w:val="en-CA"/>
              </w:rPr>
              <w:t xml:space="preserve"> Attorney General of Quebec AND BETWEEN Rogers Communications Inc. v. City of Châteauguay</w:t>
            </w:r>
            <w:r w:rsidR="00CC2124">
              <w:rPr>
                <w:rStyle w:val="SCCLsocChar"/>
                <w:sz w:val="20"/>
                <w:szCs w:val="20"/>
                <w:lang w:val="en-CA"/>
              </w:rPr>
              <w:t xml:space="preserve"> and</w:t>
            </w:r>
            <w:r w:rsidRPr="00803DFB">
              <w:rPr>
                <w:rStyle w:val="SCCLsocChar"/>
                <w:sz w:val="20"/>
                <w:szCs w:val="20"/>
                <w:lang w:val="en-CA"/>
              </w:rPr>
              <w:t xml:space="preserve"> Attorney General of Quebec</w:t>
            </w:r>
            <w:r w:rsidRPr="00E7075A">
              <w:rPr>
                <w:sz w:val="20"/>
                <w:szCs w:val="20"/>
              </w:rPr>
              <w:t xml:space="preserve"> (Que.) (Civil) (By Leave)</w:t>
            </w:r>
          </w:p>
          <w:p w:rsidR="00803DFB" w:rsidRPr="00E7075A" w:rsidRDefault="00803DFB" w:rsidP="00C64462">
            <w:pPr>
              <w:jc w:val="both"/>
              <w:rPr>
                <w:sz w:val="20"/>
                <w:szCs w:val="20"/>
              </w:rPr>
            </w:pPr>
          </w:p>
        </w:tc>
      </w:tr>
      <w:tr w:rsidR="00803DFB" w:rsidRPr="00E7075A" w:rsidTr="00C64462">
        <w:trPr>
          <w:cantSplit/>
        </w:trPr>
        <w:tc>
          <w:tcPr>
            <w:tcW w:w="1458" w:type="dxa"/>
          </w:tcPr>
          <w:p w:rsidR="00803DFB" w:rsidRPr="00E7075A" w:rsidRDefault="00803DFB" w:rsidP="00C64462">
            <w:pPr>
              <w:rPr>
                <w:sz w:val="20"/>
                <w:szCs w:val="20"/>
              </w:rPr>
            </w:pPr>
            <w:r w:rsidRPr="00E7075A">
              <w:rPr>
                <w:sz w:val="20"/>
                <w:szCs w:val="20"/>
              </w:rPr>
              <w:t>Coram :</w:t>
            </w:r>
          </w:p>
        </w:tc>
        <w:tc>
          <w:tcPr>
            <w:tcW w:w="8118" w:type="dxa"/>
          </w:tcPr>
          <w:p w:rsidR="00803DFB" w:rsidRPr="00E7075A" w:rsidRDefault="00803DFB" w:rsidP="00C64462">
            <w:pPr>
              <w:rPr>
                <w:sz w:val="20"/>
                <w:szCs w:val="20"/>
              </w:rPr>
            </w:pPr>
            <w:r w:rsidRPr="00803DFB">
              <w:rPr>
                <w:rStyle w:val="SCCCoramChar"/>
                <w:sz w:val="20"/>
                <w:szCs w:val="20"/>
                <w:lang w:val="en-CA"/>
              </w:rPr>
              <w:t>McLachlin C.J. and Wagner and Gascon JJ.</w:t>
            </w:r>
          </w:p>
          <w:p w:rsidR="00803DFB" w:rsidRPr="00E7075A" w:rsidRDefault="00803DFB" w:rsidP="00C64462">
            <w:pPr>
              <w:rPr>
                <w:sz w:val="20"/>
                <w:szCs w:val="20"/>
                <w:u w:val="single"/>
              </w:rPr>
            </w:pPr>
          </w:p>
        </w:tc>
      </w:tr>
      <w:tr w:rsidR="00803DFB" w:rsidRPr="0025502E" w:rsidTr="00C64462">
        <w:trPr>
          <w:cantSplit/>
        </w:trPr>
        <w:tc>
          <w:tcPr>
            <w:tcW w:w="9576" w:type="dxa"/>
            <w:gridSpan w:val="2"/>
          </w:tcPr>
          <w:p w:rsidR="00803DFB" w:rsidRPr="00E7075A" w:rsidRDefault="00803DFB" w:rsidP="00C64462">
            <w:pPr>
              <w:pStyle w:val="SCCShortJudgment"/>
              <w:rPr>
                <w:szCs w:val="20"/>
              </w:rPr>
            </w:pPr>
            <w:r w:rsidRPr="00E7075A">
              <w:rPr>
                <w:szCs w:val="20"/>
              </w:rPr>
              <w:t>The application for leave to appeal from the judgment of the Court of Appeal of Quebec (Montréal), Numbers 500-09-023781-131and 500-09-023782-139, 2014 QCCA 1121, dated May 30, 2014, is granted with costs in the cause.</w:t>
            </w:r>
          </w:p>
          <w:p w:rsidR="00803DFB" w:rsidRPr="00E7075A" w:rsidRDefault="00803DFB" w:rsidP="00C64462">
            <w:pPr>
              <w:pStyle w:val="SCCShortJudgment"/>
              <w:ind w:firstLine="0"/>
              <w:rPr>
                <w:szCs w:val="20"/>
              </w:rPr>
            </w:pPr>
          </w:p>
          <w:p w:rsidR="00803DFB" w:rsidRPr="00E7075A" w:rsidRDefault="00803DFB" w:rsidP="00C64462">
            <w:pPr>
              <w:pStyle w:val="SCCShortJudgment"/>
              <w:rPr>
                <w:szCs w:val="20"/>
                <w:lang w:val="fr-CA"/>
              </w:rPr>
            </w:pPr>
            <w:r w:rsidRPr="00E7075A">
              <w:rPr>
                <w:szCs w:val="20"/>
                <w:lang w:val="fr-CA"/>
              </w:rPr>
              <w:t>La demande d’autorisation d’appel de l’arrêt de la Cour d’appel du Québec (Montréal), numéros 500-09-023781-131 et 500-09-023782-139, 2014 QCCA 1121, daté du 30 mai 2014, est accueillie avec dépens selon l’issue de la cause.</w:t>
            </w:r>
          </w:p>
        </w:tc>
      </w:tr>
    </w:tbl>
    <w:p w:rsidR="00124C37" w:rsidRPr="00803DFB" w:rsidRDefault="00124C37" w:rsidP="000E2959">
      <w:pPr>
        <w:rPr>
          <w:sz w:val="20"/>
          <w:szCs w:val="20"/>
          <w:lang w:val="fr-CA"/>
        </w:rPr>
      </w:pPr>
    </w:p>
    <w:p w:rsidR="00124C37" w:rsidRPr="001B157C" w:rsidRDefault="00124C37" w:rsidP="00124C37">
      <w:pPr>
        <w:rPr>
          <w:sz w:val="20"/>
          <w:szCs w:val="20"/>
          <w:u w:val="single"/>
        </w:rPr>
      </w:pPr>
      <w:r w:rsidRPr="001B157C">
        <w:rPr>
          <w:sz w:val="20"/>
          <w:szCs w:val="20"/>
          <w:u w:val="single"/>
        </w:rPr>
        <w:t>CASE SUMMARY</w:t>
      </w:r>
    </w:p>
    <w:p w:rsidR="00124C37" w:rsidRDefault="00124C37" w:rsidP="00124C3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776EC" w:rsidRPr="000F1B6E" w:rsidTr="003D1C23">
        <w:tc>
          <w:tcPr>
            <w:tcW w:w="5000" w:type="pct"/>
            <w:gridSpan w:val="3"/>
          </w:tcPr>
          <w:p w:rsidR="007776EC" w:rsidRPr="000F1B6E" w:rsidRDefault="007776EC" w:rsidP="003D1C23">
            <w:pPr>
              <w:jc w:val="both"/>
              <w:rPr>
                <w:rFonts w:eastAsia="Calibri"/>
                <w:sz w:val="20"/>
              </w:rPr>
            </w:pPr>
            <w:r w:rsidRPr="000F1B6E">
              <w:rPr>
                <w:rFonts w:eastAsia="Calibri"/>
                <w:sz w:val="20"/>
              </w:rPr>
              <w:lastRenderedPageBreak/>
              <w:t>Constitutional law – Administrative law – Division of powers – Radiocommunication – Interjurisdictional immunity – Federal paramountcy – Municipality bringing expropriation proceedings and establishing reserve on immovable in order to find alternative site for construction of telecommunications tower – Whether municipality’s actions interfered unconstitutionally with federal jurisdiction over radiocommunication – Lawfulness of municipality’s actions – Whether municipality’s actions were in bad faith or constituted abuse of authority.</w:t>
            </w:r>
          </w:p>
        </w:tc>
      </w:tr>
      <w:tr w:rsidR="007776EC" w:rsidRPr="000F1B6E" w:rsidTr="003D1C23">
        <w:tc>
          <w:tcPr>
            <w:tcW w:w="5000" w:type="pct"/>
            <w:gridSpan w:val="3"/>
          </w:tcPr>
          <w:p w:rsidR="007776EC" w:rsidRPr="000F1B6E" w:rsidRDefault="007776EC" w:rsidP="003D1C23">
            <w:pPr>
              <w:jc w:val="both"/>
              <w:rPr>
                <w:rFonts w:eastAsia="Calibri"/>
                <w:sz w:val="20"/>
              </w:rPr>
            </w:pPr>
          </w:p>
        </w:tc>
      </w:tr>
      <w:tr w:rsidR="007776EC" w:rsidRPr="000F1B6E" w:rsidTr="003D1C23">
        <w:tc>
          <w:tcPr>
            <w:tcW w:w="5000" w:type="pct"/>
            <w:gridSpan w:val="3"/>
          </w:tcPr>
          <w:p w:rsidR="007776EC" w:rsidRPr="000F1B6E" w:rsidRDefault="007776EC" w:rsidP="003D1C23">
            <w:pPr>
              <w:jc w:val="both"/>
              <w:rPr>
                <w:rFonts w:eastAsia="Calibri"/>
                <w:sz w:val="20"/>
              </w:rPr>
            </w:pPr>
            <w:r w:rsidRPr="000F1B6E">
              <w:rPr>
                <w:rFonts w:eastAsia="Calibri"/>
                <w:sz w:val="20"/>
              </w:rPr>
              <w:t xml:space="preserve">After establishing a search area to build a telecommunications tower in Châteauguay, Rogers informed Châteauguay in March 2008 that it intended to build the tower at 411 Saint-Francis, which it had been renting since December 2007.  Châteauguay initially opposed the project but eventually issued a construction permit.  The population of Châteauguay mobilized, and the public consultation process required by federal standards then resumed.  The City proposed an alternative site that suited Rogers, namely 50 Industriel, but the City first had to expropriate the owner.  Faced with a prolonged contestation, Rogers decided to move forward with 411 Saint-Francis.  The City then issued a notice of land reserve on the 411 Saint-Francis site. </w:t>
            </w:r>
          </w:p>
          <w:p w:rsidR="007776EC" w:rsidRPr="000F1B6E" w:rsidRDefault="007776EC" w:rsidP="003D1C23">
            <w:pPr>
              <w:jc w:val="both"/>
              <w:rPr>
                <w:rFonts w:eastAsia="Calibri"/>
                <w:sz w:val="20"/>
              </w:rPr>
            </w:pPr>
          </w:p>
          <w:p w:rsidR="007776EC" w:rsidRPr="000F1B6E" w:rsidRDefault="007776EC" w:rsidP="003D1C23">
            <w:pPr>
              <w:jc w:val="both"/>
              <w:rPr>
                <w:rFonts w:eastAsia="Calibri"/>
                <w:sz w:val="20"/>
              </w:rPr>
            </w:pPr>
            <w:r w:rsidRPr="000F1B6E">
              <w:rPr>
                <w:rFonts w:eastAsia="Calibri"/>
                <w:sz w:val="20"/>
              </w:rPr>
              <w:t>The lawfulness and constitutionality of the notices of expropriation and reserve were contested in the Superior Court.  Perreault J. began by finding that the City had not abused its expropriation authority in relation to 50 Industriel.  She also held that the expropriation of 50 Industriel did not amount to unconstitutional interference with federal jurisdiction over radiocommunication.  However, she found that, by issuing the notice of reserve on 411 Saint-Francis, the City had acted in bad faith and abused its authority, which made the notice null.  The Court of Appeal affirmed the decision except with respect to the lawfulness of the notice of reserve.  In its opinion, when the two notices were considered together, it had to be concluded that the City had acted for a legitimate municipal purpose, namely protecting the welfare of its citizens and ensuring the harmonious development of its land.</w:t>
            </w:r>
          </w:p>
          <w:p w:rsidR="007776EC" w:rsidRPr="000F1B6E" w:rsidRDefault="007776EC" w:rsidP="003D1C23">
            <w:pPr>
              <w:jc w:val="both"/>
              <w:rPr>
                <w:rFonts w:eastAsia="Calibri"/>
                <w:sz w:val="20"/>
              </w:rPr>
            </w:pPr>
          </w:p>
        </w:tc>
      </w:tr>
      <w:tr w:rsidR="007776EC" w:rsidRPr="000F1B6E" w:rsidTr="003D1C23">
        <w:tc>
          <w:tcPr>
            <w:tcW w:w="2427" w:type="pct"/>
          </w:tcPr>
          <w:p w:rsidR="007776EC" w:rsidRPr="000F1B6E" w:rsidRDefault="007776EC" w:rsidP="003D1C23">
            <w:pPr>
              <w:jc w:val="both"/>
              <w:rPr>
                <w:rFonts w:eastAsia="Calibri"/>
                <w:sz w:val="20"/>
              </w:rPr>
            </w:pPr>
            <w:r w:rsidRPr="000F1B6E">
              <w:rPr>
                <w:rFonts w:eastAsia="Calibri"/>
                <w:sz w:val="20"/>
              </w:rPr>
              <w:t>July 2, 2013</w:t>
            </w:r>
          </w:p>
          <w:p w:rsidR="007776EC" w:rsidRPr="000F1B6E" w:rsidRDefault="007776EC" w:rsidP="003D1C23">
            <w:pPr>
              <w:jc w:val="both"/>
              <w:rPr>
                <w:rFonts w:eastAsia="Calibri"/>
                <w:sz w:val="20"/>
              </w:rPr>
            </w:pPr>
            <w:r w:rsidRPr="000F1B6E">
              <w:rPr>
                <w:rFonts w:eastAsia="Calibri"/>
                <w:sz w:val="20"/>
              </w:rPr>
              <w:t>Quebec Superior Court</w:t>
            </w:r>
          </w:p>
          <w:p w:rsidR="007776EC" w:rsidRPr="000F1B6E" w:rsidRDefault="007776EC" w:rsidP="003D1C23">
            <w:pPr>
              <w:jc w:val="both"/>
              <w:rPr>
                <w:rFonts w:eastAsia="Calibri"/>
                <w:sz w:val="20"/>
              </w:rPr>
            </w:pPr>
            <w:r w:rsidRPr="000F1B6E">
              <w:rPr>
                <w:rFonts w:eastAsia="Calibri"/>
                <w:sz w:val="20"/>
              </w:rPr>
              <w:t>(Perrault J.)</w:t>
            </w:r>
          </w:p>
          <w:p w:rsidR="007776EC" w:rsidRPr="000F1B6E" w:rsidRDefault="00E42AAB" w:rsidP="003D1C23">
            <w:pPr>
              <w:jc w:val="both"/>
              <w:rPr>
                <w:rFonts w:eastAsia="Calibri"/>
                <w:sz w:val="20"/>
                <w:lang w:val="fr-CA"/>
              </w:rPr>
            </w:pPr>
            <w:hyperlink r:id="rId63" w:history="1">
              <w:r w:rsidR="007776EC" w:rsidRPr="000F1B6E">
                <w:rPr>
                  <w:rFonts w:eastAsia="Calibri"/>
                  <w:color w:val="0000FF"/>
                  <w:sz w:val="20"/>
                  <w:u w:val="single"/>
                </w:rPr>
                <w:t>2013 QCCS 3138</w:t>
              </w:r>
            </w:hyperlink>
          </w:p>
          <w:p w:rsidR="007776EC" w:rsidRPr="000F1B6E" w:rsidRDefault="007776EC" w:rsidP="003D1C23">
            <w:pPr>
              <w:jc w:val="both"/>
              <w:rPr>
                <w:rFonts w:eastAsia="Calibri"/>
                <w:sz w:val="20"/>
              </w:rPr>
            </w:pPr>
          </w:p>
        </w:tc>
        <w:tc>
          <w:tcPr>
            <w:tcW w:w="243" w:type="pct"/>
          </w:tcPr>
          <w:p w:rsidR="007776EC" w:rsidRPr="000F1B6E" w:rsidRDefault="007776EC" w:rsidP="003D1C23">
            <w:pPr>
              <w:jc w:val="both"/>
              <w:rPr>
                <w:rFonts w:eastAsia="Calibri"/>
                <w:sz w:val="20"/>
              </w:rPr>
            </w:pPr>
          </w:p>
        </w:tc>
        <w:tc>
          <w:tcPr>
            <w:tcW w:w="2330" w:type="pct"/>
          </w:tcPr>
          <w:p w:rsidR="007776EC" w:rsidRPr="000F1B6E" w:rsidRDefault="007776EC" w:rsidP="003D1C23">
            <w:pPr>
              <w:jc w:val="both"/>
              <w:rPr>
                <w:rFonts w:eastAsia="Calibri"/>
                <w:sz w:val="20"/>
              </w:rPr>
            </w:pPr>
            <w:r w:rsidRPr="000F1B6E">
              <w:rPr>
                <w:rFonts w:eastAsia="Calibri"/>
                <w:sz w:val="20"/>
              </w:rPr>
              <w:t>Motions to contest notice of expropriation dismissed; motion to contest notice of establishment of reserve allowed</w:t>
            </w:r>
          </w:p>
          <w:p w:rsidR="007776EC" w:rsidRPr="000F1B6E" w:rsidRDefault="007776EC" w:rsidP="003D1C23">
            <w:pPr>
              <w:jc w:val="both"/>
              <w:rPr>
                <w:rFonts w:eastAsia="Calibri"/>
                <w:sz w:val="20"/>
              </w:rPr>
            </w:pPr>
          </w:p>
        </w:tc>
      </w:tr>
      <w:tr w:rsidR="007776EC" w:rsidRPr="000F1B6E" w:rsidTr="003D1C23">
        <w:tc>
          <w:tcPr>
            <w:tcW w:w="2427" w:type="pct"/>
          </w:tcPr>
          <w:p w:rsidR="007776EC" w:rsidRPr="000F1B6E" w:rsidRDefault="007776EC" w:rsidP="003D1C23">
            <w:pPr>
              <w:jc w:val="both"/>
              <w:rPr>
                <w:rFonts w:eastAsia="Calibri"/>
                <w:sz w:val="20"/>
              </w:rPr>
            </w:pPr>
            <w:r w:rsidRPr="000F1B6E">
              <w:rPr>
                <w:rFonts w:eastAsia="Calibri"/>
                <w:sz w:val="20"/>
              </w:rPr>
              <w:t>May 30, 2014</w:t>
            </w:r>
          </w:p>
          <w:p w:rsidR="007776EC" w:rsidRPr="000F1B6E" w:rsidRDefault="007776EC" w:rsidP="003D1C23">
            <w:pPr>
              <w:jc w:val="both"/>
              <w:rPr>
                <w:rFonts w:eastAsia="Calibri"/>
                <w:sz w:val="20"/>
              </w:rPr>
            </w:pPr>
            <w:r w:rsidRPr="000F1B6E">
              <w:rPr>
                <w:rFonts w:eastAsia="Calibri"/>
                <w:sz w:val="20"/>
              </w:rPr>
              <w:t>Quebec Court of Appeal (Montréal)</w:t>
            </w:r>
          </w:p>
          <w:p w:rsidR="007776EC" w:rsidRPr="000F1B6E" w:rsidRDefault="007776EC" w:rsidP="003D1C23">
            <w:pPr>
              <w:jc w:val="both"/>
              <w:rPr>
                <w:rFonts w:eastAsia="Calibri"/>
                <w:sz w:val="20"/>
                <w:lang w:val="fr-CA"/>
              </w:rPr>
            </w:pPr>
            <w:r w:rsidRPr="000F1B6E">
              <w:rPr>
                <w:rFonts w:eastAsia="Calibri"/>
                <w:sz w:val="20"/>
                <w:lang w:val="fr-CA"/>
              </w:rPr>
              <w:t>(Morissette, Dutil and Léger JJ.A.)</w:t>
            </w:r>
          </w:p>
          <w:p w:rsidR="007776EC" w:rsidRPr="000F1B6E" w:rsidRDefault="007776EC" w:rsidP="003D1C23">
            <w:pPr>
              <w:jc w:val="both"/>
              <w:rPr>
                <w:rFonts w:eastAsia="Calibri"/>
                <w:sz w:val="20"/>
              </w:rPr>
            </w:pPr>
            <w:r w:rsidRPr="000F1B6E">
              <w:rPr>
                <w:rFonts w:eastAsia="Calibri"/>
                <w:sz w:val="20"/>
              </w:rPr>
              <w:t xml:space="preserve">500-09-023781-131; 500-09-023782-139; </w:t>
            </w:r>
            <w:hyperlink r:id="rId64" w:history="1">
              <w:r w:rsidRPr="000F1B6E">
                <w:rPr>
                  <w:rFonts w:eastAsia="Calibri"/>
                  <w:color w:val="0000FF"/>
                  <w:sz w:val="20"/>
                  <w:u w:val="single"/>
                </w:rPr>
                <w:t>2014 QCCA 1121</w:t>
              </w:r>
            </w:hyperlink>
          </w:p>
          <w:p w:rsidR="007776EC" w:rsidRPr="000F1B6E" w:rsidRDefault="007776EC" w:rsidP="003D1C23">
            <w:pPr>
              <w:jc w:val="both"/>
              <w:rPr>
                <w:rFonts w:eastAsia="Calibri"/>
                <w:sz w:val="20"/>
              </w:rPr>
            </w:pPr>
          </w:p>
        </w:tc>
        <w:tc>
          <w:tcPr>
            <w:tcW w:w="243" w:type="pct"/>
          </w:tcPr>
          <w:p w:rsidR="007776EC" w:rsidRPr="000F1B6E" w:rsidRDefault="007776EC" w:rsidP="003D1C23">
            <w:pPr>
              <w:jc w:val="both"/>
              <w:rPr>
                <w:rFonts w:eastAsia="Calibri"/>
                <w:sz w:val="20"/>
              </w:rPr>
            </w:pPr>
          </w:p>
        </w:tc>
        <w:tc>
          <w:tcPr>
            <w:tcW w:w="2330" w:type="pct"/>
          </w:tcPr>
          <w:p w:rsidR="007776EC" w:rsidRPr="000F1B6E" w:rsidRDefault="007776EC" w:rsidP="003D1C23">
            <w:pPr>
              <w:jc w:val="both"/>
              <w:rPr>
                <w:rFonts w:eastAsia="Calibri"/>
                <w:sz w:val="20"/>
              </w:rPr>
            </w:pPr>
            <w:r w:rsidRPr="000F1B6E">
              <w:rPr>
                <w:rFonts w:eastAsia="Calibri"/>
                <w:sz w:val="20"/>
              </w:rPr>
              <w:t>Appeal allowed in part; motion to contest notice of establishment of reserve dismissed</w:t>
            </w:r>
          </w:p>
          <w:p w:rsidR="007776EC" w:rsidRPr="000F1B6E" w:rsidRDefault="007776EC" w:rsidP="003D1C23">
            <w:pPr>
              <w:jc w:val="both"/>
              <w:rPr>
                <w:rFonts w:eastAsia="Calibri"/>
                <w:sz w:val="20"/>
              </w:rPr>
            </w:pPr>
          </w:p>
        </w:tc>
      </w:tr>
      <w:tr w:rsidR="007776EC" w:rsidRPr="000F1B6E" w:rsidTr="003D1C23">
        <w:tc>
          <w:tcPr>
            <w:tcW w:w="2427" w:type="pct"/>
          </w:tcPr>
          <w:p w:rsidR="007776EC" w:rsidRPr="000F1B6E" w:rsidRDefault="007776EC" w:rsidP="003D1C23">
            <w:pPr>
              <w:jc w:val="both"/>
              <w:rPr>
                <w:rFonts w:eastAsia="Calibri"/>
                <w:sz w:val="20"/>
              </w:rPr>
            </w:pPr>
            <w:r w:rsidRPr="000F1B6E">
              <w:rPr>
                <w:rFonts w:eastAsia="Calibri"/>
                <w:sz w:val="20"/>
              </w:rPr>
              <w:t>August 29, 2014</w:t>
            </w:r>
          </w:p>
          <w:p w:rsidR="007776EC" w:rsidRPr="000F1B6E" w:rsidRDefault="007776EC" w:rsidP="003D1C23">
            <w:pPr>
              <w:jc w:val="both"/>
              <w:rPr>
                <w:rFonts w:eastAsia="Calibri"/>
                <w:sz w:val="20"/>
              </w:rPr>
            </w:pPr>
            <w:r w:rsidRPr="000F1B6E">
              <w:rPr>
                <w:rFonts w:eastAsia="Calibri"/>
                <w:sz w:val="20"/>
              </w:rPr>
              <w:t>Supreme Court of Canada</w:t>
            </w:r>
          </w:p>
        </w:tc>
        <w:tc>
          <w:tcPr>
            <w:tcW w:w="243" w:type="pct"/>
          </w:tcPr>
          <w:p w:rsidR="007776EC" w:rsidRPr="000F1B6E" w:rsidRDefault="007776EC" w:rsidP="003D1C23">
            <w:pPr>
              <w:jc w:val="both"/>
              <w:rPr>
                <w:rFonts w:eastAsia="Calibri"/>
                <w:sz w:val="20"/>
              </w:rPr>
            </w:pPr>
          </w:p>
        </w:tc>
        <w:tc>
          <w:tcPr>
            <w:tcW w:w="2330" w:type="pct"/>
          </w:tcPr>
          <w:p w:rsidR="007776EC" w:rsidRPr="000F1B6E" w:rsidRDefault="007776EC" w:rsidP="003D1C23">
            <w:pPr>
              <w:jc w:val="both"/>
              <w:rPr>
                <w:rFonts w:eastAsia="Calibri"/>
                <w:sz w:val="20"/>
              </w:rPr>
            </w:pPr>
            <w:r w:rsidRPr="000F1B6E">
              <w:rPr>
                <w:rFonts w:eastAsia="Calibri"/>
                <w:sz w:val="20"/>
              </w:rPr>
              <w:t>Application for leave to appeal filed</w:t>
            </w:r>
          </w:p>
        </w:tc>
      </w:tr>
    </w:tbl>
    <w:p w:rsidR="00124C37" w:rsidRPr="007776EC" w:rsidRDefault="00124C37" w:rsidP="00124C37">
      <w:pPr>
        <w:rPr>
          <w:sz w:val="20"/>
          <w:szCs w:val="20"/>
        </w:rPr>
      </w:pPr>
    </w:p>
    <w:p w:rsidR="00124C37" w:rsidRPr="00C50A5C" w:rsidRDefault="00E42AAB" w:rsidP="00124C37">
      <w:pPr>
        <w:rPr>
          <w:sz w:val="20"/>
          <w:szCs w:val="20"/>
        </w:rPr>
      </w:pPr>
      <w:r>
        <w:rPr>
          <w:sz w:val="20"/>
          <w:szCs w:val="20"/>
          <w:lang w:val="fr-CA"/>
        </w:rPr>
        <w:pict>
          <v:rect id="_x0000_i1065" style="width:2in;height:1pt" o:hrpct="0" o:hralign="center" o:hrstd="t" o:hrnoshade="t" o:hr="t" fillcolor="black [3213]" stroked="f"/>
        </w:pict>
      </w:r>
    </w:p>
    <w:p w:rsidR="00124C37" w:rsidRDefault="00124C37" w:rsidP="00124C37">
      <w:pPr>
        <w:rPr>
          <w:sz w:val="20"/>
          <w:szCs w:val="20"/>
        </w:rPr>
      </w:pPr>
    </w:p>
    <w:p w:rsidR="00124C37" w:rsidRPr="001B157C" w:rsidRDefault="00124C37" w:rsidP="00124C37">
      <w:pPr>
        <w:rPr>
          <w:sz w:val="20"/>
          <w:szCs w:val="20"/>
          <w:u w:val="single"/>
          <w:lang w:val="fr-CA"/>
        </w:rPr>
      </w:pPr>
      <w:r w:rsidRPr="001B157C">
        <w:rPr>
          <w:sz w:val="20"/>
          <w:szCs w:val="20"/>
          <w:u w:val="single"/>
          <w:lang w:val="fr-CA"/>
        </w:rPr>
        <w:t>RÉSUMÉ DE L’AFFAIRE</w:t>
      </w:r>
    </w:p>
    <w:p w:rsidR="00124C37" w:rsidRDefault="00124C37" w:rsidP="00124C3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776EC" w:rsidRPr="0025502E" w:rsidTr="003D1C23">
        <w:tc>
          <w:tcPr>
            <w:tcW w:w="5000" w:type="pct"/>
            <w:gridSpan w:val="3"/>
          </w:tcPr>
          <w:p w:rsidR="007776EC" w:rsidRPr="000F1B6E" w:rsidRDefault="007776EC" w:rsidP="003D1C23">
            <w:pPr>
              <w:jc w:val="both"/>
              <w:rPr>
                <w:rFonts w:eastAsia="Calibri"/>
                <w:sz w:val="20"/>
                <w:lang w:val="fr-CA"/>
              </w:rPr>
            </w:pPr>
            <w:r w:rsidRPr="000F1B6E">
              <w:rPr>
                <w:rFonts w:eastAsia="Calibri"/>
                <w:sz w:val="20"/>
                <w:lang w:val="fr-CA"/>
              </w:rPr>
              <w:t>Droit constitutionnel – Droit administratif – Partage des compétences – Radiocommunication – Exclusivité des compétences – Prépondérance fédérale – Municipalité entreprenant des procédures d’expropriation et imposant une réserve sur un immeuble afin de trouver un site alternatif pour la construction d’une tour de télécommunication – Les actes posés par la municipalité entravent-ils de manière inconstitutionnelle la compétence fédérale sur la radiocommunication? – Légalité des actes d’une municipalité – Les actes posés par la municipalité l’ont-ils été de mauvaise foi ou constituent-ils un abus de pouvoir?</w:t>
            </w:r>
          </w:p>
        </w:tc>
      </w:tr>
      <w:tr w:rsidR="007776EC" w:rsidRPr="0025502E" w:rsidTr="003D1C23">
        <w:tc>
          <w:tcPr>
            <w:tcW w:w="5000" w:type="pct"/>
            <w:gridSpan w:val="3"/>
          </w:tcPr>
          <w:p w:rsidR="007776EC" w:rsidRPr="000F1B6E" w:rsidRDefault="007776EC" w:rsidP="003D1C23">
            <w:pPr>
              <w:jc w:val="both"/>
              <w:rPr>
                <w:rFonts w:eastAsia="Calibri"/>
                <w:sz w:val="20"/>
                <w:lang w:val="fr-CA"/>
              </w:rPr>
            </w:pPr>
          </w:p>
        </w:tc>
      </w:tr>
      <w:tr w:rsidR="007776EC" w:rsidRPr="0025502E" w:rsidTr="003D1C23">
        <w:tc>
          <w:tcPr>
            <w:tcW w:w="5000" w:type="pct"/>
            <w:gridSpan w:val="3"/>
          </w:tcPr>
          <w:p w:rsidR="007776EC" w:rsidRPr="000F1B6E" w:rsidRDefault="007776EC" w:rsidP="003D1C23">
            <w:pPr>
              <w:jc w:val="both"/>
              <w:rPr>
                <w:rFonts w:eastAsia="Calibri"/>
                <w:sz w:val="20"/>
                <w:lang w:val="fr-CA"/>
              </w:rPr>
            </w:pPr>
            <w:r w:rsidRPr="000F1B6E">
              <w:rPr>
                <w:rFonts w:eastAsia="Calibri"/>
                <w:sz w:val="20"/>
                <w:lang w:val="fr-CA"/>
              </w:rPr>
              <w:t xml:space="preserve">Après avoir établi une aire de recherche pour y construire une tour de télécommunication sur le territoire de Châteauguay, Rogers informe Châteauguay en mars 2008 de son intention d’implanter la tour au 411 Saint-Francis, </w:t>
            </w:r>
            <w:r w:rsidRPr="000F1B6E">
              <w:rPr>
                <w:rFonts w:eastAsia="Calibri"/>
                <w:sz w:val="20"/>
                <w:lang w:val="fr-CA"/>
              </w:rPr>
              <w:lastRenderedPageBreak/>
              <w:t xml:space="preserve">qu’elle loue depuis décembre 2007.  Châteauguay s’oppose d’abord au projet mais éventuellement délivre un permis de construction.  La population de Châteauguay se mobilise, puis le processus de consultation publique prescrit par les normes fédérales est repris.  La Ville propose un site alternatif qui convient à Rogers, le 50 Industriel, mais elle doit auparavant exproprier le propriétaire.  Face à une contestation qui se prolonge dans le temps, Rogers décide d’aller de l’avant avec le 411 Saint-Francis.  La Ville émet alors un avis de réserve foncière sur le site du 411 Saint-Francis. </w:t>
            </w:r>
          </w:p>
          <w:p w:rsidR="007776EC" w:rsidRPr="000F1B6E" w:rsidRDefault="007776EC" w:rsidP="003D1C23">
            <w:pPr>
              <w:jc w:val="both"/>
              <w:rPr>
                <w:rFonts w:eastAsia="Calibri"/>
                <w:sz w:val="20"/>
                <w:lang w:val="fr-CA"/>
              </w:rPr>
            </w:pPr>
          </w:p>
          <w:p w:rsidR="007776EC" w:rsidRPr="000F1B6E" w:rsidRDefault="007776EC" w:rsidP="003D1C23">
            <w:pPr>
              <w:jc w:val="both"/>
              <w:rPr>
                <w:rFonts w:eastAsia="Calibri"/>
                <w:sz w:val="20"/>
                <w:lang w:val="fr-CA"/>
              </w:rPr>
            </w:pPr>
            <w:r w:rsidRPr="000F1B6E">
              <w:rPr>
                <w:rFonts w:eastAsia="Calibri"/>
                <w:sz w:val="20"/>
                <w:lang w:val="fr-CA"/>
              </w:rPr>
              <w:t>La légalité et la constitutionnalité des avis d’expropriation et de réserve sont contestées devant la Cour supérieure.  La juge Perreault estime d’abord qu’à l’égard du 50 Industriel, la Ville n’a pas utilisé son pouvoir d’expropriation de manière abusive.  Elle juge aussi que l’expropriation du 50 Industriel ne constitue pas une entrave inconstitutionnelle à la compétence fédérale en matière de radiocommunication. Toutefois, elle estime qu’en imposant l’avis de réserve sur le 411 Saint-Francis, la Ville a agi de mauvaise foi et a abusé de son pouvoir, de sorte que cet avis est nul.  La Cour d’appel confirme la décision, sauf pour ce qui est de la légalité de l’avis de réserve.  Selon elle, en examinant les deux avis ensemble, il faut conclure que la Ville a agi pour une fin municipale légitime, soit protéger le bien-être de ses citoyens et assurer le développement harmonieux de son territoire.</w:t>
            </w:r>
          </w:p>
          <w:p w:rsidR="007776EC" w:rsidRPr="000F1B6E" w:rsidRDefault="007776EC" w:rsidP="003D1C23">
            <w:pPr>
              <w:jc w:val="both"/>
              <w:rPr>
                <w:rFonts w:eastAsia="Calibri"/>
                <w:sz w:val="20"/>
                <w:lang w:val="fr-CA"/>
              </w:rPr>
            </w:pPr>
          </w:p>
        </w:tc>
      </w:tr>
      <w:tr w:rsidR="007776EC" w:rsidRPr="0025502E" w:rsidTr="003D1C23">
        <w:tc>
          <w:tcPr>
            <w:tcW w:w="2427" w:type="pct"/>
          </w:tcPr>
          <w:p w:rsidR="007776EC" w:rsidRPr="000F1B6E" w:rsidRDefault="007776EC" w:rsidP="003D1C23">
            <w:pPr>
              <w:jc w:val="both"/>
              <w:rPr>
                <w:rFonts w:eastAsia="Calibri"/>
                <w:sz w:val="20"/>
                <w:lang w:val="fr-CA"/>
              </w:rPr>
            </w:pPr>
            <w:r w:rsidRPr="000F1B6E">
              <w:rPr>
                <w:rFonts w:eastAsia="Calibri"/>
                <w:sz w:val="20"/>
                <w:lang w:val="fr-CA"/>
              </w:rPr>
              <w:lastRenderedPageBreak/>
              <w:t>Le 2 juillet 2013</w:t>
            </w:r>
          </w:p>
          <w:p w:rsidR="007776EC" w:rsidRPr="000F1B6E" w:rsidRDefault="007776EC" w:rsidP="003D1C23">
            <w:pPr>
              <w:jc w:val="both"/>
              <w:rPr>
                <w:rFonts w:eastAsia="Calibri"/>
                <w:sz w:val="20"/>
                <w:lang w:val="fr-CA"/>
              </w:rPr>
            </w:pPr>
            <w:r w:rsidRPr="000F1B6E">
              <w:rPr>
                <w:rFonts w:eastAsia="Calibri"/>
                <w:sz w:val="20"/>
                <w:lang w:val="fr-CA"/>
              </w:rPr>
              <w:t>Cour supérieure du Québec</w:t>
            </w:r>
          </w:p>
          <w:p w:rsidR="007776EC" w:rsidRPr="000F1B6E" w:rsidRDefault="007776EC" w:rsidP="003D1C23">
            <w:pPr>
              <w:jc w:val="both"/>
              <w:rPr>
                <w:rFonts w:eastAsia="Calibri"/>
                <w:sz w:val="20"/>
                <w:lang w:val="fr-CA"/>
              </w:rPr>
            </w:pPr>
            <w:r w:rsidRPr="000F1B6E">
              <w:rPr>
                <w:rFonts w:eastAsia="Calibri"/>
                <w:sz w:val="20"/>
                <w:lang w:val="fr-CA"/>
              </w:rPr>
              <w:t>(La juge Perrault)</w:t>
            </w:r>
          </w:p>
          <w:p w:rsidR="007776EC" w:rsidRPr="000F1B6E" w:rsidRDefault="00E42AAB" w:rsidP="003D1C23">
            <w:pPr>
              <w:jc w:val="both"/>
              <w:rPr>
                <w:rFonts w:eastAsia="Calibri"/>
                <w:sz w:val="20"/>
                <w:lang w:val="fr-CA"/>
              </w:rPr>
            </w:pPr>
            <w:hyperlink r:id="rId65" w:history="1">
              <w:r w:rsidR="007776EC" w:rsidRPr="000F1B6E">
                <w:rPr>
                  <w:rFonts w:eastAsia="Calibri"/>
                  <w:color w:val="0000FF"/>
                  <w:sz w:val="20"/>
                  <w:u w:val="single"/>
                  <w:lang w:val="fr-CA"/>
                </w:rPr>
                <w:t>2013 QCCS 3138</w:t>
              </w:r>
            </w:hyperlink>
          </w:p>
          <w:p w:rsidR="007776EC" w:rsidRPr="000F1B6E" w:rsidRDefault="007776EC" w:rsidP="003D1C23">
            <w:pPr>
              <w:jc w:val="both"/>
              <w:rPr>
                <w:rFonts w:eastAsia="Calibri"/>
                <w:sz w:val="20"/>
                <w:lang w:val="fr-CA"/>
              </w:rPr>
            </w:pPr>
          </w:p>
        </w:tc>
        <w:tc>
          <w:tcPr>
            <w:tcW w:w="243" w:type="pct"/>
          </w:tcPr>
          <w:p w:rsidR="007776EC" w:rsidRPr="000F1B6E" w:rsidRDefault="007776EC" w:rsidP="003D1C23">
            <w:pPr>
              <w:jc w:val="both"/>
              <w:rPr>
                <w:rFonts w:eastAsia="Calibri"/>
                <w:sz w:val="20"/>
                <w:lang w:val="fr-CA"/>
              </w:rPr>
            </w:pPr>
          </w:p>
        </w:tc>
        <w:tc>
          <w:tcPr>
            <w:tcW w:w="2330" w:type="pct"/>
          </w:tcPr>
          <w:p w:rsidR="007776EC" w:rsidRPr="000F1B6E" w:rsidRDefault="007776EC" w:rsidP="003D1C23">
            <w:pPr>
              <w:jc w:val="both"/>
              <w:rPr>
                <w:rFonts w:eastAsia="Calibri"/>
                <w:sz w:val="20"/>
                <w:lang w:val="fr-CA"/>
              </w:rPr>
            </w:pPr>
            <w:r w:rsidRPr="000F1B6E">
              <w:rPr>
                <w:rFonts w:eastAsia="Calibri"/>
                <w:sz w:val="20"/>
                <w:lang w:val="fr-CA"/>
              </w:rPr>
              <w:t>Requêtes en contestation d’un avis d’expropriation rejetées; Requête en contestation d’un avis d’imposition de réserve accueillie</w:t>
            </w:r>
          </w:p>
          <w:p w:rsidR="007776EC" w:rsidRPr="000F1B6E" w:rsidRDefault="007776EC" w:rsidP="003D1C23">
            <w:pPr>
              <w:jc w:val="both"/>
              <w:rPr>
                <w:rFonts w:eastAsia="Calibri"/>
                <w:sz w:val="20"/>
                <w:lang w:val="fr-CA"/>
              </w:rPr>
            </w:pPr>
          </w:p>
        </w:tc>
      </w:tr>
      <w:tr w:rsidR="007776EC" w:rsidRPr="0025502E" w:rsidTr="003D1C23">
        <w:tc>
          <w:tcPr>
            <w:tcW w:w="2427" w:type="pct"/>
          </w:tcPr>
          <w:p w:rsidR="007776EC" w:rsidRPr="000F1B6E" w:rsidRDefault="007776EC" w:rsidP="003D1C23">
            <w:pPr>
              <w:jc w:val="both"/>
              <w:rPr>
                <w:rFonts w:eastAsia="Calibri"/>
                <w:sz w:val="20"/>
                <w:lang w:val="fr-CA"/>
              </w:rPr>
            </w:pPr>
            <w:r w:rsidRPr="000F1B6E">
              <w:rPr>
                <w:rFonts w:eastAsia="Calibri"/>
                <w:sz w:val="20"/>
                <w:lang w:val="fr-CA"/>
              </w:rPr>
              <w:t>Le 30 mai 2014</w:t>
            </w:r>
          </w:p>
          <w:p w:rsidR="007776EC" w:rsidRPr="000F1B6E" w:rsidRDefault="007776EC" w:rsidP="003D1C23">
            <w:pPr>
              <w:jc w:val="both"/>
              <w:rPr>
                <w:rFonts w:eastAsia="Calibri"/>
                <w:sz w:val="20"/>
                <w:lang w:val="fr-CA"/>
              </w:rPr>
            </w:pPr>
            <w:r w:rsidRPr="000F1B6E">
              <w:rPr>
                <w:rFonts w:eastAsia="Calibri"/>
                <w:sz w:val="20"/>
                <w:lang w:val="fr-CA"/>
              </w:rPr>
              <w:t>Cour d’appel du Québec (Montréal)</w:t>
            </w:r>
          </w:p>
          <w:p w:rsidR="007776EC" w:rsidRPr="000F1B6E" w:rsidRDefault="007776EC" w:rsidP="003D1C23">
            <w:pPr>
              <w:jc w:val="both"/>
              <w:rPr>
                <w:rFonts w:eastAsia="Calibri"/>
                <w:sz w:val="20"/>
                <w:lang w:val="fr-CA"/>
              </w:rPr>
            </w:pPr>
            <w:r w:rsidRPr="000F1B6E">
              <w:rPr>
                <w:rFonts w:eastAsia="Calibri"/>
                <w:sz w:val="20"/>
                <w:lang w:val="fr-CA"/>
              </w:rPr>
              <w:t>(Les juges Morissette, Dutil et Léger)</w:t>
            </w:r>
          </w:p>
          <w:p w:rsidR="007776EC" w:rsidRPr="000F1B6E" w:rsidRDefault="007776EC" w:rsidP="003D1C23">
            <w:pPr>
              <w:jc w:val="both"/>
              <w:rPr>
                <w:rFonts w:eastAsia="Calibri"/>
                <w:sz w:val="20"/>
                <w:lang w:val="fr-CA"/>
              </w:rPr>
            </w:pPr>
            <w:r w:rsidRPr="000F1B6E">
              <w:rPr>
                <w:rFonts w:eastAsia="Calibri"/>
                <w:sz w:val="20"/>
                <w:lang w:val="fr-CA"/>
              </w:rPr>
              <w:t xml:space="preserve">500-09-023781-131; 500-09-023782-139; </w:t>
            </w:r>
            <w:hyperlink r:id="rId66" w:history="1">
              <w:r w:rsidRPr="000F1B6E">
                <w:rPr>
                  <w:rFonts w:eastAsia="Calibri"/>
                  <w:color w:val="0000FF"/>
                  <w:sz w:val="20"/>
                  <w:u w:val="single"/>
                  <w:lang w:val="fr-CA"/>
                </w:rPr>
                <w:t>2014 QCCA 1121</w:t>
              </w:r>
            </w:hyperlink>
          </w:p>
          <w:p w:rsidR="007776EC" w:rsidRPr="000F1B6E" w:rsidRDefault="007776EC" w:rsidP="003D1C23">
            <w:pPr>
              <w:jc w:val="both"/>
              <w:rPr>
                <w:rFonts w:eastAsia="Calibri"/>
                <w:sz w:val="20"/>
                <w:lang w:val="fr-CA"/>
              </w:rPr>
            </w:pPr>
          </w:p>
        </w:tc>
        <w:tc>
          <w:tcPr>
            <w:tcW w:w="243" w:type="pct"/>
          </w:tcPr>
          <w:p w:rsidR="007776EC" w:rsidRPr="000F1B6E" w:rsidRDefault="007776EC" w:rsidP="003D1C23">
            <w:pPr>
              <w:jc w:val="both"/>
              <w:rPr>
                <w:rFonts w:eastAsia="Calibri"/>
                <w:sz w:val="20"/>
                <w:lang w:val="fr-CA"/>
              </w:rPr>
            </w:pPr>
          </w:p>
        </w:tc>
        <w:tc>
          <w:tcPr>
            <w:tcW w:w="2330" w:type="pct"/>
          </w:tcPr>
          <w:p w:rsidR="007776EC" w:rsidRPr="000F1B6E" w:rsidRDefault="007776EC" w:rsidP="003D1C23">
            <w:pPr>
              <w:jc w:val="both"/>
              <w:rPr>
                <w:rFonts w:eastAsia="Calibri"/>
                <w:sz w:val="20"/>
                <w:lang w:val="fr-CA"/>
              </w:rPr>
            </w:pPr>
            <w:r w:rsidRPr="000F1B6E">
              <w:rPr>
                <w:rFonts w:eastAsia="Calibri"/>
                <w:sz w:val="20"/>
                <w:lang w:val="fr-CA"/>
              </w:rPr>
              <w:t>Appel accueilli en partie; Requête en contestation d’un avis d’imposition de réserve rejetée</w:t>
            </w:r>
          </w:p>
          <w:p w:rsidR="007776EC" w:rsidRPr="000F1B6E" w:rsidRDefault="007776EC" w:rsidP="003D1C23">
            <w:pPr>
              <w:jc w:val="both"/>
              <w:rPr>
                <w:rFonts w:eastAsia="Calibri"/>
                <w:sz w:val="20"/>
                <w:lang w:val="fr-CA"/>
              </w:rPr>
            </w:pPr>
          </w:p>
        </w:tc>
      </w:tr>
      <w:tr w:rsidR="007776EC" w:rsidRPr="000F1B6E" w:rsidTr="003D1C23">
        <w:tc>
          <w:tcPr>
            <w:tcW w:w="2427" w:type="pct"/>
          </w:tcPr>
          <w:p w:rsidR="007776EC" w:rsidRPr="000F1B6E" w:rsidRDefault="007776EC" w:rsidP="003D1C23">
            <w:pPr>
              <w:jc w:val="both"/>
              <w:rPr>
                <w:rFonts w:eastAsia="Calibri"/>
                <w:sz w:val="20"/>
                <w:lang w:val="fr-CA"/>
              </w:rPr>
            </w:pPr>
            <w:r w:rsidRPr="000F1B6E">
              <w:rPr>
                <w:rFonts w:eastAsia="Calibri"/>
                <w:sz w:val="20"/>
                <w:lang w:val="fr-CA"/>
              </w:rPr>
              <w:t>Le 29 août 2014</w:t>
            </w:r>
          </w:p>
          <w:p w:rsidR="007776EC" w:rsidRPr="000F1B6E" w:rsidRDefault="007776EC" w:rsidP="003D1C23">
            <w:pPr>
              <w:jc w:val="both"/>
              <w:rPr>
                <w:rFonts w:eastAsia="Calibri"/>
                <w:sz w:val="20"/>
                <w:lang w:val="fr-CA"/>
              </w:rPr>
            </w:pPr>
            <w:r w:rsidRPr="000F1B6E">
              <w:rPr>
                <w:rFonts w:eastAsia="Calibri"/>
                <w:sz w:val="20"/>
                <w:lang w:val="fr-CA"/>
              </w:rPr>
              <w:t>Cour suprême du Canada</w:t>
            </w:r>
          </w:p>
        </w:tc>
        <w:tc>
          <w:tcPr>
            <w:tcW w:w="243" w:type="pct"/>
          </w:tcPr>
          <w:p w:rsidR="007776EC" w:rsidRPr="000F1B6E" w:rsidRDefault="007776EC" w:rsidP="003D1C23">
            <w:pPr>
              <w:jc w:val="both"/>
              <w:rPr>
                <w:rFonts w:eastAsia="Calibri"/>
                <w:sz w:val="20"/>
                <w:lang w:val="fr-CA"/>
              </w:rPr>
            </w:pPr>
          </w:p>
        </w:tc>
        <w:tc>
          <w:tcPr>
            <w:tcW w:w="2330" w:type="pct"/>
          </w:tcPr>
          <w:p w:rsidR="007776EC" w:rsidRPr="000F1B6E" w:rsidRDefault="007776EC" w:rsidP="003D1C23">
            <w:pPr>
              <w:jc w:val="both"/>
              <w:rPr>
                <w:rFonts w:eastAsia="Calibri"/>
                <w:sz w:val="20"/>
                <w:lang w:val="fr-CA"/>
              </w:rPr>
            </w:pPr>
            <w:r w:rsidRPr="000F1B6E">
              <w:rPr>
                <w:rFonts w:eastAsia="Calibri"/>
                <w:sz w:val="20"/>
                <w:lang w:val="fr-CA"/>
              </w:rPr>
              <w:t>Demande d’autorisation d’appel déposée</w:t>
            </w:r>
          </w:p>
        </w:tc>
      </w:tr>
    </w:tbl>
    <w:p w:rsidR="00124C37" w:rsidRDefault="00124C37" w:rsidP="00124C37">
      <w:pPr>
        <w:rPr>
          <w:sz w:val="20"/>
          <w:szCs w:val="20"/>
        </w:rPr>
      </w:pPr>
    </w:p>
    <w:p w:rsidR="00124C37" w:rsidRDefault="00E42AAB" w:rsidP="00124C37">
      <w:pPr>
        <w:rPr>
          <w:sz w:val="20"/>
          <w:szCs w:val="20"/>
        </w:rPr>
      </w:pPr>
      <w:r>
        <w:rPr>
          <w:sz w:val="20"/>
          <w:szCs w:val="20"/>
          <w:lang w:val="fr-CA"/>
        </w:rPr>
        <w:pict>
          <v:rect id="_x0000_i1066" style="width:2in;height:1pt" o:hrpct="0" o:hralign="center" o:hrstd="t" o:hrnoshade="t" o:hr="t" fillcolor="black [3213]" stroked="f"/>
        </w:pict>
      </w:r>
    </w:p>
    <w:p w:rsidR="00124C37" w:rsidRDefault="00124C37" w:rsidP="00124C37">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03DFB" w:rsidRPr="00E7075A" w:rsidTr="00C64462">
        <w:trPr>
          <w:cantSplit/>
        </w:trPr>
        <w:tc>
          <w:tcPr>
            <w:tcW w:w="1458" w:type="dxa"/>
          </w:tcPr>
          <w:p w:rsidR="00803DFB" w:rsidRPr="00E7075A" w:rsidRDefault="00803DFB" w:rsidP="00C64462">
            <w:pPr>
              <w:rPr>
                <w:sz w:val="20"/>
                <w:szCs w:val="20"/>
              </w:rPr>
            </w:pPr>
            <w:r w:rsidRPr="00E7075A">
              <w:rPr>
                <w:rStyle w:val="SCCFileNumberChar"/>
                <w:sz w:val="20"/>
                <w:szCs w:val="20"/>
              </w:rPr>
              <w:t>36036</w:t>
            </w:r>
          </w:p>
          <w:p w:rsidR="00803DFB" w:rsidRPr="00E7075A" w:rsidRDefault="00803DFB" w:rsidP="00C64462">
            <w:pPr>
              <w:rPr>
                <w:b/>
                <w:sz w:val="20"/>
                <w:szCs w:val="20"/>
                <w:lang w:val="fr-CA"/>
              </w:rPr>
            </w:pPr>
          </w:p>
        </w:tc>
        <w:tc>
          <w:tcPr>
            <w:tcW w:w="8118" w:type="dxa"/>
          </w:tcPr>
          <w:p w:rsidR="00803DFB" w:rsidRPr="00E7075A" w:rsidRDefault="00803DFB" w:rsidP="00C64462">
            <w:pPr>
              <w:rPr>
                <w:sz w:val="20"/>
                <w:szCs w:val="20"/>
              </w:rPr>
            </w:pPr>
            <w:r w:rsidRPr="00803DFB">
              <w:rPr>
                <w:rStyle w:val="SCCLsocChar"/>
                <w:sz w:val="20"/>
                <w:szCs w:val="20"/>
                <w:lang w:val="en-CA"/>
              </w:rPr>
              <w:t>Joseph Burnell Head v. Her Majesty the Queen</w:t>
            </w:r>
            <w:r w:rsidRPr="00E7075A">
              <w:rPr>
                <w:sz w:val="20"/>
                <w:szCs w:val="20"/>
              </w:rPr>
              <w:t xml:space="preserve"> (Man.) (Criminal) (By Leave)</w:t>
            </w:r>
          </w:p>
          <w:p w:rsidR="00803DFB" w:rsidRPr="00E7075A" w:rsidRDefault="00803DFB" w:rsidP="00C64462">
            <w:pPr>
              <w:rPr>
                <w:sz w:val="20"/>
                <w:szCs w:val="20"/>
              </w:rPr>
            </w:pPr>
          </w:p>
        </w:tc>
      </w:tr>
      <w:tr w:rsidR="00803DFB" w:rsidRPr="00E7075A" w:rsidTr="00C64462">
        <w:trPr>
          <w:cantSplit/>
        </w:trPr>
        <w:tc>
          <w:tcPr>
            <w:tcW w:w="1458" w:type="dxa"/>
          </w:tcPr>
          <w:p w:rsidR="00803DFB" w:rsidRPr="00E7075A" w:rsidRDefault="00803DFB" w:rsidP="00C64462">
            <w:pPr>
              <w:rPr>
                <w:sz w:val="20"/>
                <w:szCs w:val="20"/>
              </w:rPr>
            </w:pPr>
            <w:r w:rsidRPr="00E7075A">
              <w:rPr>
                <w:sz w:val="20"/>
                <w:szCs w:val="20"/>
              </w:rPr>
              <w:t>Coram :</w:t>
            </w:r>
          </w:p>
        </w:tc>
        <w:tc>
          <w:tcPr>
            <w:tcW w:w="8118" w:type="dxa"/>
          </w:tcPr>
          <w:p w:rsidR="00803DFB" w:rsidRPr="00E7075A" w:rsidRDefault="00803DFB" w:rsidP="00C64462">
            <w:pPr>
              <w:rPr>
                <w:sz w:val="20"/>
                <w:szCs w:val="20"/>
              </w:rPr>
            </w:pPr>
            <w:r w:rsidRPr="00803DFB">
              <w:rPr>
                <w:rStyle w:val="SCCCoramChar"/>
                <w:sz w:val="20"/>
                <w:szCs w:val="20"/>
                <w:lang w:val="en-CA"/>
              </w:rPr>
              <w:t>McLachlin C.J. and Wagner and Gascon JJ.</w:t>
            </w:r>
          </w:p>
          <w:p w:rsidR="00803DFB" w:rsidRPr="00E7075A" w:rsidRDefault="00803DFB" w:rsidP="00C64462">
            <w:pPr>
              <w:rPr>
                <w:sz w:val="20"/>
                <w:szCs w:val="20"/>
                <w:u w:val="single"/>
              </w:rPr>
            </w:pPr>
          </w:p>
        </w:tc>
      </w:tr>
      <w:tr w:rsidR="00803DFB" w:rsidRPr="0025502E" w:rsidTr="00C64462">
        <w:trPr>
          <w:cantSplit/>
        </w:trPr>
        <w:tc>
          <w:tcPr>
            <w:tcW w:w="9576" w:type="dxa"/>
            <w:gridSpan w:val="2"/>
          </w:tcPr>
          <w:p w:rsidR="00803DFB" w:rsidRPr="00E7075A" w:rsidRDefault="00803DFB" w:rsidP="00C64462">
            <w:pPr>
              <w:pStyle w:val="SCCShortJudgment"/>
              <w:rPr>
                <w:szCs w:val="20"/>
              </w:rPr>
            </w:pPr>
            <w:r w:rsidRPr="00E7075A">
              <w:rPr>
                <w:szCs w:val="20"/>
              </w:rPr>
              <w:t>The application for leave to appeal from the judgment of the Court of Appeal of Manitoba, Number AR 13-30-07963, 2014 MBCA 59, dated June 6, 2014, is dismissed without costs.</w:t>
            </w:r>
          </w:p>
          <w:p w:rsidR="00803DFB" w:rsidRPr="00E7075A" w:rsidRDefault="00803DFB" w:rsidP="00C64462">
            <w:pPr>
              <w:pStyle w:val="SCCShortJudgment"/>
              <w:ind w:firstLine="0"/>
              <w:rPr>
                <w:szCs w:val="20"/>
              </w:rPr>
            </w:pPr>
          </w:p>
          <w:p w:rsidR="00803DFB" w:rsidRPr="00E7075A" w:rsidRDefault="00803DFB" w:rsidP="00C64462">
            <w:pPr>
              <w:pStyle w:val="SCCShortJudgment"/>
              <w:rPr>
                <w:szCs w:val="20"/>
                <w:lang w:val="fr-CA"/>
              </w:rPr>
            </w:pPr>
            <w:r w:rsidRPr="00E7075A">
              <w:rPr>
                <w:szCs w:val="20"/>
                <w:lang w:val="fr-CA"/>
              </w:rPr>
              <w:t>La demande d’autorisation d’appel de l’arrêt de la Cour d’appel du Manitoba, numéro AR 13-30-07963, 2014 MBCA 59, daté du 6 juin 2014, est rejetée sans dépens.</w:t>
            </w:r>
          </w:p>
        </w:tc>
      </w:tr>
    </w:tbl>
    <w:p w:rsidR="00124C37" w:rsidRPr="00803DFB" w:rsidRDefault="00124C37" w:rsidP="000E2959">
      <w:pPr>
        <w:rPr>
          <w:sz w:val="20"/>
          <w:szCs w:val="20"/>
          <w:lang w:val="fr-CA"/>
        </w:rPr>
      </w:pPr>
    </w:p>
    <w:p w:rsidR="00124C37" w:rsidRPr="00803DFB" w:rsidRDefault="00124C37" w:rsidP="00124C37">
      <w:pPr>
        <w:rPr>
          <w:sz w:val="20"/>
          <w:szCs w:val="20"/>
          <w:lang w:val="fr-CA"/>
        </w:rPr>
      </w:pPr>
    </w:p>
    <w:p w:rsidR="00124C37" w:rsidRPr="001B157C" w:rsidRDefault="00124C37" w:rsidP="00124C37">
      <w:pPr>
        <w:rPr>
          <w:sz w:val="20"/>
          <w:szCs w:val="20"/>
          <w:u w:val="single"/>
        </w:rPr>
      </w:pPr>
      <w:r w:rsidRPr="001B157C">
        <w:rPr>
          <w:sz w:val="20"/>
          <w:szCs w:val="20"/>
          <w:u w:val="single"/>
        </w:rPr>
        <w:t>CASE SUMMARY</w:t>
      </w:r>
    </w:p>
    <w:p w:rsidR="00124C37" w:rsidRDefault="00124C37" w:rsidP="00124C3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776EC" w:rsidRPr="000F1B6E" w:rsidTr="003D1C23">
        <w:tc>
          <w:tcPr>
            <w:tcW w:w="5000" w:type="pct"/>
            <w:gridSpan w:val="3"/>
          </w:tcPr>
          <w:p w:rsidR="007776EC" w:rsidRPr="000F1B6E" w:rsidRDefault="007776EC" w:rsidP="003D1C23">
            <w:pPr>
              <w:jc w:val="both"/>
              <w:rPr>
                <w:rFonts w:eastAsia="Calibri"/>
                <w:sz w:val="20"/>
              </w:rPr>
            </w:pPr>
            <w:r w:rsidRPr="000F1B6E">
              <w:rPr>
                <w:rFonts w:eastAsia="Calibri"/>
                <w:sz w:val="20"/>
              </w:rPr>
              <w:t xml:space="preserve">Criminal Law – Post-offence conduct – Evidence of state of mind – Credibility of accused – Appeal – Whether the Court of Appeal erred in not deciding on a threshold basis the admissibility of post-offence conduct or in the alternative not requiring a limiting instruction when other illegal acts could explain post-offence conduct – Whether post offence conduct evidence should be inadmissible on a threshold ruling if it is more prejudicial than probative – Whether, upon ruling that evidence that supported accused’s credibility should have been admitted, the Court of Appeal erred in not finding that only the jury could decide if it was sufficient to raise a reasonable doubt – Whether </w:t>
            </w:r>
            <w:r w:rsidRPr="000F1B6E">
              <w:rPr>
                <w:rFonts w:eastAsia="Calibri"/>
                <w:sz w:val="20"/>
              </w:rPr>
              <w:lastRenderedPageBreak/>
              <w:t>the Court of Appeal erred in failing to recognize that the trial judge dealt with accused’s credibility and that his state of mind went to establishing whether his evidence should be believed – Whether an admonishment to the jury to disregard evidence of accused’s state of mind created an unfair proceeding – Whether the admonishment implied to the jury that accused’s story was a fabrication.</w:t>
            </w:r>
          </w:p>
        </w:tc>
      </w:tr>
      <w:tr w:rsidR="007776EC" w:rsidRPr="000F1B6E" w:rsidTr="003D1C23">
        <w:tc>
          <w:tcPr>
            <w:tcW w:w="5000" w:type="pct"/>
            <w:gridSpan w:val="3"/>
          </w:tcPr>
          <w:p w:rsidR="007776EC" w:rsidRPr="000F1B6E" w:rsidRDefault="007776EC" w:rsidP="003D1C23">
            <w:pPr>
              <w:jc w:val="both"/>
              <w:rPr>
                <w:rFonts w:eastAsia="Calibri"/>
                <w:sz w:val="20"/>
              </w:rPr>
            </w:pPr>
          </w:p>
        </w:tc>
      </w:tr>
      <w:tr w:rsidR="007776EC" w:rsidRPr="000F1B6E" w:rsidTr="003D1C23">
        <w:tc>
          <w:tcPr>
            <w:tcW w:w="5000" w:type="pct"/>
            <w:gridSpan w:val="3"/>
          </w:tcPr>
          <w:p w:rsidR="007776EC" w:rsidRPr="000F1B6E" w:rsidRDefault="007776EC" w:rsidP="003D1C23">
            <w:pPr>
              <w:jc w:val="both"/>
              <w:rPr>
                <w:rFonts w:eastAsia="Calibri"/>
                <w:sz w:val="20"/>
              </w:rPr>
            </w:pPr>
            <w:r w:rsidRPr="000F1B6E">
              <w:rPr>
                <w:rFonts w:eastAsia="Calibri"/>
                <w:sz w:val="20"/>
              </w:rPr>
              <w:t>Members of rival gangs met one another on the street and a fight broke out.  Mr. Head and another member of his gang, Mr. Spence, testified that they saw the deceased, rival gang member Mr. Beauchamp, reach towards his waistband and they believed that he was reaching for a gun.  Mr. Head was carrying a firearm and fired one fatal shot into Mr. Beauchamp’s back, he said: “[b]ecause I was really scared, and I thought, I thought he was going to shoot me”.  Other witnesses testified that Mr. Beauchamp never reached for anything, his hands were empty, and his palms were outward when he was shot.  After the first shot, the parties scattered.   Mr. Head fired a second shot but no one was hit.  Mr. Head’s group fled to a nearby apartment.  Mr. Spence testified that, at the apartment, Mr. Head asked him:  “Did that guy have a gat; he had a gat, eh?  And, and I said; I think so, yeah.” The trial judge held that this statement was inadmissible hearsay and the jury was instructed to disregard it.  At the apartment, Mr. Head took a shower.  He later fled to Saskatchewan. Crown counsel argued that Mr. Head’s flight from the scene, his shower, and his flight to Saskatchewan was post-offence conduct that proved Mr. Head knew he had committed an unlawful killing and his version of events was not credible.  Defence counsel argued that Mr. Head shot Mr. Beauchamp in self-defence.</w:t>
            </w:r>
          </w:p>
          <w:p w:rsidR="007776EC" w:rsidRPr="000F1B6E" w:rsidRDefault="007776EC" w:rsidP="003D1C23">
            <w:pPr>
              <w:jc w:val="both"/>
              <w:rPr>
                <w:rFonts w:eastAsia="Calibri"/>
                <w:sz w:val="20"/>
              </w:rPr>
            </w:pPr>
          </w:p>
        </w:tc>
      </w:tr>
      <w:tr w:rsidR="007776EC" w:rsidRPr="000F1B6E" w:rsidTr="003D1C23">
        <w:tc>
          <w:tcPr>
            <w:tcW w:w="2427" w:type="pct"/>
          </w:tcPr>
          <w:p w:rsidR="007776EC" w:rsidRPr="000F1B6E" w:rsidRDefault="007776EC" w:rsidP="003D1C23">
            <w:pPr>
              <w:jc w:val="both"/>
              <w:rPr>
                <w:rFonts w:eastAsia="Calibri"/>
                <w:sz w:val="20"/>
              </w:rPr>
            </w:pPr>
            <w:r w:rsidRPr="000F1B6E">
              <w:rPr>
                <w:rFonts w:eastAsia="Calibri"/>
                <w:sz w:val="20"/>
              </w:rPr>
              <w:t>September 21, 2012</w:t>
            </w:r>
          </w:p>
          <w:p w:rsidR="007776EC" w:rsidRPr="000F1B6E" w:rsidRDefault="007776EC" w:rsidP="003D1C23">
            <w:pPr>
              <w:jc w:val="both"/>
              <w:rPr>
                <w:rFonts w:eastAsia="Calibri"/>
                <w:sz w:val="20"/>
              </w:rPr>
            </w:pPr>
            <w:r w:rsidRPr="000F1B6E">
              <w:rPr>
                <w:rFonts w:eastAsia="Calibri"/>
                <w:sz w:val="20"/>
              </w:rPr>
              <w:t>Court of Queen’s Bench of Manitoba</w:t>
            </w:r>
          </w:p>
          <w:p w:rsidR="007776EC" w:rsidRPr="000F1B6E" w:rsidRDefault="007776EC" w:rsidP="003D1C23">
            <w:pPr>
              <w:jc w:val="both"/>
              <w:rPr>
                <w:rFonts w:eastAsia="Calibri"/>
                <w:sz w:val="20"/>
              </w:rPr>
            </w:pPr>
            <w:r w:rsidRPr="000F1B6E">
              <w:rPr>
                <w:rFonts w:eastAsia="Calibri"/>
                <w:sz w:val="20"/>
              </w:rPr>
              <w:t>(Chartier J.)</w:t>
            </w:r>
          </w:p>
          <w:p w:rsidR="007776EC" w:rsidRPr="000F1B6E" w:rsidRDefault="007776EC" w:rsidP="003D1C23">
            <w:pPr>
              <w:jc w:val="both"/>
              <w:rPr>
                <w:rFonts w:eastAsia="Calibri"/>
                <w:sz w:val="20"/>
              </w:rPr>
            </w:pPr>
          </w:p>
        </w:tc>
        <w:tc>
          <w:tcPr>
            <w:tcW w:w="243" w:type="pct"/>
          </w:tcPr>
          <w:p w:rsidR="007776EC" w:rsidRPr="000F1B6E" w:rsidRDefault="007776EC" w:rsidP="003D1C23">
            <w:pPr>
              <w:jc w:val="both"/>
              <w:rPr>
                <w:rFonts w:eastAsia="Calibri"/>
                <w:sz w:val="20"/>
              </w:rPr>
            </w:pPr>
          </w:p>
        </w:tc>
        <w:tc>
          <w:tcPr>
            <w:tcW w:w="2330" w:type="pct"/>
          </w:tcPr>
          <w:p w:rsidR="007776EC" w:rsidRPr="000F1B6E" w:rsidRDefault="007776EC" w:rsidP="003D1C23">
            <w:pPr>
              <w:jc w:val="both"/>
              <w:rPr>
                <w:rFonts w:eastAsia="Calibri"/>
                <w:sz w:val="20"/>
              </w:rPr>
            </w:pPr>
            <w:r w:rsidRPr="000F1B6E">
              <w:rPr>
                <w:rFonts w:eastAsia="Calibri"/>
                <w:sz w:val="20"/>
              </w:rPr>
              <w:t>Conviction by jury of second degree murder</w:t>
            </w:r>
          </w:p>
        </w:tc>
      </w:tr>
      <w:tr w:rsidR="007776EC" w:rsidRPr="000F1B6E" w:rsidTr="003D1C23">
        <w:tc>
          <w:tcPr>
            <w:tcW w:w="2427" w:type="pct"/>
          </w:tcPr>
          <w:p w:rsidR="007776EC" w:rsidRPr="000F1B6E" w:rsidRDefault="007776EC" w:rsidP="003D1C23">
            <w:pPr>
              <w:jc w:val="both"/>
              <w:rPr>
                <w:rFonts w:eastAsia="Calibri"/>
                <w:sz w:val="20"/>
              </w:rPr>
            </w:pPr>
            <w:r w:rsidRPr="000F1B6E">
              <w:rPr>
                <w:rFonts w:eastAsia="Calibri"/>
                <w:sz w:val="20"/>
              </w:rPr>
              <w:t>June 6, 2014</w:t>
            </w:r>
          </w:p>
          <w:p w:rsidR="007776EC" w:rsidRPr="000F1B6E" w:rsidRDefault="007776EC" w:rsidP="003D1C23">
            <w:pPr>
              <w:jc w:val="both"/>
              <w:rPr>
                <w:rFonts w:eastAsia="Calibri"/>
                <w:sz w:val="20"/>
              </w:rPr>
            </w:pPr>
            <w:r w:rsidRPr="000F1B6E">
              <w:rPr>
                <w:rFonts w:eastAsia="Calibri"/>
                <w:sz w:val="20"/>
              </w:rPr>
              <w:t>Court of Appeal of Manitoba</w:t>
            </w:r>
          </w:p>
          <w:p w:rsidR="007776EC" w:rsidRPr="000F1B6E" w:rsidRDefault="007776EC" w:rsidP="003D1C23">
            <w:pPr>
              <w:jc w:val="both"/>
              <w:rPr>
                <w:rFonts w:eastAsia="Calibri"/>
                <w:sz w:val="20"/>
                <w:lang w:val="fr-CA"/>
              </w:rPr>
            </w:pPr>
            <w:r w:rsidRPr="000F1B6E">
              <w:rPr>
                <w:rFonts w:eastAsia="Calibri"/>
                <w:sz w:val="20"/>
                <w:lang w:val="fr-CA"/>
              </w:rPr>
              <w:t>(Monnin, Burnett, Mainella JJ.A.)</w:t>
            </w:r>
          </w:p>
          <w:p w:rsidR="007776EC" w:rsidRPr="000F1B6E" w:rsidRDefault="007776EC" w:rsidP="003D1C23">
            <w:pPr>
              <w:jc w:val="both"/>
              <w:rPr>
                <w:rFonts w:eastAsia="Calibri"/>
                <w:sz w:val="20"/>
                <w:lang w:val="fr-CA"/>
              </w:rPr>
            </w:pPr>
            <w:r w:rsidRPr="000F1B6E">
              <w:rPr>
                <w:rFonts w:eastAsia="Calibri"/>
                <w:sz w:val="20"/>
                <w:lang w:val="fr-CA"/>
              </w:rPr>
              <w:t xml:space="preserve">AR 13-30-07963; </w:t>
            </w:r>
            <w:hyperlink r:id="rId67" w:history="1">
              <w:r w:rsidRPr="000F1B6E">
                <w:rPr>
                  <w:rFonts w:eastAsia="Calibri"/>
                  <w:color w:val="0000FF"/>
                  <w:sz w:val="20"/>
                  <w:u w:val="single"/>
                  <w:lang w:val="fr-CA"/>
                </w:rPr>
                <w:t>2014 MBCA 59</w:t>
              </w:r>
            </w:hyperlink>
          </w:p>
          <w:p w:rsidR="007776EC" w:rsidRPr="000F1B6E" w:rsidRDefault="007776EC" w:rsidP="003D1C23">
            <w:pPr>
              <w:jc w:val="both"/>
              <w:rPr>
                <w:rFonts w:eastAsia="Calibri"/>
                <w:sz w:val="20"/>
                <w:lang w:val="fr-CA"/>
              </w:rPr>
            </w:pPr>
          </w:p>
        </w:tc>
        <w:tc>
          <w:tcPr>
            <w:tcW w:w="243" w:type="pct"/>
          </w:tcPr>
          <w:p w:rsidR="007776EC" w:rsidRPr="000F1B6E" w:rsidRDefault="007776EC" w:rsidP="003D1C23">
            <w:pPr>
              <w:jc w:val="both"/>
              <w:rPr>
                <w:rFonts w:eastAsia="Calibri"/>
                <w:sz w:val="20"/>
                <w:lang w:val="fr-CA"/>
              </w:rPr>
            </w:pPr>
          </w:p>
        </w:tc>
        <w:tc>
          <w:tcPr>
            <w:tcW w:w="2330" w:type="pct"/>
          </w:tcPr>
          <w:p w:rsidR="007776EC" w:rsidRPr="000F1B6E" w:rsidRDefault="007776EC" w:rsidP="003D1C23">
            <w:pPr>
              <w:jc w:val="both"/>
              <w:rPr>
                <w:rFonts w:eastAsia="Calibri"/>
                <w:sz w:val="20"/>
              </w:rPr>
            </w:pPr>
            <w:r w:rsidRPr="000F1B6E">
              <w:rPr>
                <w:rFonts w:eastAsia="Calibri"/>
                <w:sz w:val="20"/>
              </w:rPr>
              <w:t>Appeal from conviction dismissed</w:t>
            </w:r>
          </w:p>
          <w:p w:rsidR="007776EC" w:rsidRPr="000F1B6E" w:rsidRDefault="007776EC" w:rsidP="003D1C23">
            <w:pPr>
              <w:jc w:val="both"/>
              <w:rPr>
                <w:rFonts w:eastAsia="Calibri"/>
                <w:sz w:val="20"/>
              </w:rPr>
            </w:pPr>
          </w:p>
        </w:tc>
      </w:tr>
      <w:tr w:rsidR="007776EC" w:rsidRPr="000F1B6E" w:rsidTr="003D1C23">
        <w:tc>
          <w:tcPr>
            <w:tcW w:w="2427" w:type="pct"/>
          </w:tcPr>
          <w:p w:rsidR="007776EC" w:rsidRPr="000F1B6E" w:rsidRDefault="007776EC" w:rsidP="003D1C23">
            <w:pPr>
              <w:jc w:val="both"/>
              <w:rPr>
                <w:rFonts w:eastAsia="Calibri"/>
                <w:sz w:val="20"/>
              </w:rPr>
            </w:pPr>
            <w:r w:rsidRPr="000F1B6E">
              <w:rPr>
                <w:rFonts w:eastAsia="Calibri"/>
                <w:sz w:val="20"/>
              </w:rPr>
              <w:t>September 4, 2014</w:t>
            </w:r>
          </w:p>
          <w:p w:rsidR="007776EC" w:rsidRPr="000F1B6E" w:rsidRDefault="007776EC" w:rsidP="003D1C23">
            <w:pPr>
              <w:jc w:val="both"/>
              <w:rPr>
                <w:rFonts w:eastAsia="Calibri"/>
                <w:sz w:val="20"/>
              </w:rPr>
            </w:pPr>
            <w:r w:rsidRPr="000F1B6E">
              <w:rPr>
                <w:rFonts w:eastAsia="Calibri"/>
                <w:sz w:val="20"/>
              </w:rPr>
              <w:t>Supreme Court of Canada</w:t>
            </w:r>
          </w:p>
        </w:tc>
        <w:tc>
          <w:tcPr>
            <w:tcW w:w="243" w:type="pct"/>
          </w:tcPr>
          <w:p w:rsidR="007776EC" w:rsidRPr="000F1B6E" w:rsidRDefault="007776EC" w:rsidP="003D1C23">
            <w:pPr>
              <w:jc w:val="both"/>
              <w:rPr>
                <w:rFonts w:eastAsia="Calibri"/>
                <w:sz w:val="20"/>
              </w:rPr>
            </w:pPr>
          </w:p>
        </w:tc>
        <w:tc>
          <w:tcPr>
            <w:tcW w:w="2330" w:type="pct"/>
          </w:tcPr>
          <w:p w:rsidR="007776EC" w:rsidRPr="000F1B6E" w:rsidRDefault="007776EC" w:rsidP="003D1C23">
            <w:pPr>
              <w:jc w:val="both"/>
              <w:rPr>
                <w:rFonts w:eastAsia="Calibri"/>
                <w:sz w:val="20"/>
              </w:rPr>
            </w:pPr>
            <w:r w:rsidRPr="000F1B6E">
              <w:rPr>
                <w:rFonts w:eastAsia="Calibri"/>
                <w:sz w:val="20"/>
              </w:rPr>
              <w:t>Application for leave to appeal filed</w:t>
            </w:r>
          </w:p>
          <w:p w:rsidR="007776EC" w:rsidRPr="000F1B6E" w:rsidRDefault="007776EC" w:rsidP="003D1C23">
            <w:pPr>
              <w:jc w:val="both"/>
              <w:rPr>
                <w:rFonts w:eastAsia="Calibri"/>
                <w:sz w:val="20"/>
              </w:rPr>
            </w:pPr>
          </w:p>
        </w:tc>
      </w:tr>
    </w:tbl>
    <w:p w:rsidR="00124C37" w:rsidRPr="007776EC" w:rsidRDefault="00124C37" w:rsidP="00124C37">
      <w:pPr>
        <w:rPr>
          <w:sz w:val="20"/>
          <w:szCs w:val="20"/>
        </w:rPr>
      </w:pPr>
    </w:p>
    <w:p w:rsidR="00124C37" w:rsidRPr="00C50A5C" w:rsidRDefault="00E42AAB" w:rsidP="00124C37">
      <w:pPr>
        <w:rPr>
          <w:sz w:val="20"/>
          <w:szCs w:val="20"/>
        </w:rPr>
      </w:pPr>
      <w:r>
        <w:rPr>
          <w:sz w:val="20"/>
          <w:szCs w:val="20"/>
          <w:lang w:val="fr-CA"/>
        </w:rPr>
        <w:pict>
          <v:rect id="_x0000_i1067" style="width:2in;height:1pt" o:hrpct="0" o:hralign="center" o:hrstd="t" o:hrnoshade="t" o:hr="t" fillcolor="black [3213]" stroked="f"/>
        </w:pict>
      </w:r>
    </w:p>
    <w:p w:rsidR="00124C37" w:rsidRDefault="00124C37" w:rsidP="00124C37">
      <w:pPr>
        <w:rPr>
          <w:sz w:val="20"/>
          <w:szCs w:val="20"/>
        </w:rPr>
      </w:pPr>
    </w:p>
    <w:p w:rsidR="00124C37" w:rsidRPr="001B157C" w:rsidRDefault="00124C37" w:rsidP="00124C37">
      <w:pPr>
        <w:rPr>
          <w:sz w:val="20"/>
          <w:szCs w:val="20"/>
          <w:u w:val="single"/>
          <w:lang w:val="fr-CA"/>
        </w:rPr>
      </w:pPr>
      <w:r w:rsidRPr="001B157C">
        <w:rPr>
          <w:sz w:val="20"/>
          <w:szCs w:val="20"/>
          <w:u w:val="single"/>
          <w:lang w:val="fr-CA"/>
        </w:rPr>
        <w:t>RÉSUMÉ DE L’AFFAIRE</w:t>
      </w:r>
    </w:p>
    <w:p w:rsidR="00124C37" w:rsidRDefault="00124C37" w:rsidP="00124C3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776EC" w:rsidRPr="0025502E" w:rsidTr="003D1C23">
        <w:tc>
          <w:tcPr>
            <w:tcW w:w="5000" w:type="pct"/>
            <w:gridSpan w:val="3"/>
          </w:tcPr>
          <w:p w:rsidR="007776EC" w:rsidRPr="000F1B6E" w:rsidRDefault="007776EC" w:rsidP="003D1C23">
            <w:pPr>
              <w:jc w:val="both"/>
              <w:rPr>
                <w:rFonts w:eastAsia="Calibri"/>
                <w:sz w:val="20"/>
                <w:lang w:val="fr-CA"/>
              </w:rPr>
            </w:pPr>
            <w:r w:rsidRPr="000F1B6E">
              <w:rPr>
                <w:rFonts w:eastAsia="Calibri"/>
                <w:sz w:val="20"/>
                <w:lang w:val="fr-CA"/>
              </w:rPr>
              <w:t>Droit criminel – Comportement postérieur à l’infraction – Preuve de l’état d’esprit – Crédibilité de l’accusé – Appel – La Cour d’appel a-t-elle eu tort de ne pas statuer d’abord sur l’admissibilité du comportement postérieure l’infraction ou, subsidiairement, de ne pas avoir exigé de directive limitative alors que d’autres actes illégaux pouvaient expliquer le comportement postérieur à l’infraction? – La preuve du comportement postérieur à l’infraction devrait-elle être préliminairement jugée inadmissible si cette preuve est plus préjudiciable que probante? – Lorsqu’elle a statué que la preuve qui appuyait la crédibilité de l’accusé aurait dû être admise, la Cour d’appel a-t-elle eu tort de ne pas conclure que seul le jury pouvait décider si cette preuve était suffisante pour soulever un doute raisonnable? – La Cour d’appel a-t-elle eu tort de ne pas reconnaître que le juge du procès avait traité la crédibilité de l’accusé et que l’état d’esprit de ce dernier permettait d’établir si son témoignage était digne de foi? – Un avertissement au jury de ne pas tenir compte de la preuve de l’état d’esprit de l’accusé a-t-il eu pour effet de créer une instance injuste? – L’avertissement laissait-il entendre au jury que le récit de l’accusé était une fabrication?</w:t>
            </w:r>
          </w:p>
        </w:tc>
      </w:tr>
      <w:tr w:rsidR="007776EC" w:rsidRPr="0025502E" w:rsidTr="003D1C23">
        <w:tc>
          <w:tcPr>
            <w:tcW w:w="5000" w:type="pct"/>
            <w:gridSpan w:val="3"/>
          </w:tcPr>
          <w:p w:rsidR="007776EC" w:rsidRPr="000F1B6E" w:rsidRDefault="007776EC" w:rsidP="003D1C23">
            <w:pPr>
              <w:jc w:val="both"/>
              <w:rPr>
                <w:rFonts w:eastAsia="Calibri"/>
                <w:sz w:val="20"/>
                <w:lang w:val="fr-CA"/>
              </w:rPr>
            </w:pPr>
          </w:p>
        </w:tc>
      </w:tr>
      <w:tr w:rsidR="007776EC" w:rsidRPr="0025502E" w:rsidTr="003D1C23">
        <w:tc>
          <w:tcPr>
            <w:tcW w:w="5000" w:type="pct"/>
            <w:gridSpan w:val="3"/>
          </w:tcPr>
          <w:p w:rsidR="007776EC" w:rsidRPr="000F1B6E" w:rsidRDefault="007776EC" w:rsidP="003D1C23">
            <w:pPr>
              <w:jc w:val="both"/>
              <w:rPr>
                <w:rFonts w:eastAsia="Calibri"/>
                <w:sz w:val="20"/>
                <w:lang w:val="fr-CA"/>
              </w:rPr>
            </w:pPr>
            <w:r w:rsidRPr="000F1B6E">
              <w:rPr>
                <w:rFonts w:eastAsia="Calibri"/>
                <w:sz w:val="20"/>
                <w:lang w:val="fr-CA"/>
              </w:rPr>
              <w:t xml:space="preserve">Des membres de bandes rivales se sont rencontrés dans la rue et une bagarre a éclaté.  Monsieur Head et un autre </w:t>
            </w:r>
            <w:r w:rsidRPr="000F1B6E">
              <w:rPr>
                <w:rFonts w:eastAsia="Calibri"/>
                <w:sz w:val="20"/>
                <w:lang w:val="fr-CA"/>
              </w:rPr>
              <w:lastRenderedPageBreak/>
              <w:t xml:space="preserve">membre de sa bande, </w:t>
            </w:r>
            <w:r w:rsidRPr="000F1B6E">
              <w:rPr>
                <w:rFonts w:eastAsia="Calibri"/>
                <w:smallCaps/>
                <w:sz w:val="20"/>
                <w:lang w:val="fr-CA"/>
              </w:rPr>
              <w:t>M. </w:t>
            </w:r>
            <w:r w:rsidRPr="000F1B6E">
              <w:rPr>
                <w:rFonts w:eastAsia="Calibri"/>
                <w:sz w:val="20"/>
                <w:lang w:val="fr-CA"/>
              </w:rPr>
              <w:t xml:space="preserve">Spence, ont affirmé dans leurs témoignages avoir vu le défunt, </w:t>
            </w:r>
            <w:r w:rsidRPr="000F1B6E">
              <w:rPr>
                <w:rFonts w:eastAsia="Calibri"/>
                <w:smallCaps/>
                <w:sz w:val="20"/>
                <w:lang w:val="fr-CA"/>
              </w:rPr>
              <w:t>M. </w:t>
            </w:r>
            <w:r w:rsidRPr="000F1B6E">
              <w:rPr>
                <w:rFonts w:eastAsia="Calibri"/>
                <w:sz w:val="20"/>
                <w:lang w:val="fr-CA"/>
              </w:rPr>
              <w:t xml:space="preserve">Beauchamp, un membre de la bande rivale, porter la main à sa ceinture et ils ont cru qu’il cherchait une arme.  Monsieur Head portait une arme à feu et il a tiré un coup de feu mortel dans le dos de </w:t>
            </w:r>
            <w:r w:rsidRPr="000F1B6E">
              <w:rPr>
                <w:rFonts w:eastAsia="Calibri"/>
                <w:smallCaps/>
                <w:sz w:val="20"/>
                <w:lang w:val="fr-CA"/>
              </w:rPr>
              <w:t>M. </w:t>
            </w:r>
            <w:r w:rsidRPr="000F1B6E">
              <w:rPr>
                <w:rFonts w:eastAsia="Calibri"/>
                <w:sz w:val="20"/>
                <w:lang w:val="fr-CA"/>
              </w:rPr>
              <w:t>Beauchamp, parce que, selon ses dires, [</w:t>
            </w:r>
            <w:r w:rsidRPr="000F1B6E">
              <w:rPr>
                <w:rFonts w:eastAsia="Calibri"/>
                <w:smallCaps/>
                <w:sz w:val="20"/>
                <w:lang w:val="fr-CA"/>
              </w:rPr>
              <w:t>traduction</w:t>
            </w:r>
            <w:r w:rsidRPr="000F1B6E">
              <w:rPr>
                <w:rFonts w:eastAsia="Calibri"/>
                <w:sz w:val="20"/>
                <w:lang w:val="fr-CA"/>
              </w:rPr>
              <w:t xml:space="preserve">] « j’avais vraiment peur et je croyais, je croyais qu’il allait me descendre ».  D’autres témoins ont affirmé que </w:t>
            </w:r>
            <w:r w:rsidRPr="000F1B6E">
              <w:rPr>
                <w:rFonts w:eastAsia="Calibri"/>
                <w:smallCaps/>
                <w:sz w:val="20"/>
                <w:lang w:val="fr-CA"/>
              </w:rPr>
              <w:t>M. </w:t>
            </w:r>
            <w:r w:rsidRPr="000F1B6E">
              <w:rPr>
                <w:rFonts w:eastAsia="Calibri"/>
                <w:sz w:val="20"/>
                <w:lang w:val="fr-CA"/>
              </w:rPr>
              <w:t xml:space="preserve">Beauchamp n’avait pas porté la main à quoique ce soit, que ses mains étaient vides et que ses paumes étaient dirigées vers l’extérieur lorsqu’il a été abattu.  Après le premier coup de feu, les parties se sont dispersées. Monsieur Head a tiré un second coup de feu, mais personne n’a été atteint.  Le groupe de </w:t>
            </w:r>
            <w:r w:rsidRPr="000F1B6E">
              <w:rPr>
                <w:rFonts w:eastAsia="Calibri"/>
                <w:smallCaps/>
                <w:sz w:val="20"/>
                <w:lang w:val="fr-CA"/>
              </w:rPr>
              <w:t>M. </w:t>
            </w:r>
            <w:r w:rsidRPr="000F1B6E">
              <w:rPr>
                <w:rFonts w:eastAsia="Calibri"/>
                <w:sz w:val="20"/>
                <w:lang w:val="fr-CA"/>
              </w:rPr>
              <w:t xml:space="preserve">Head s’est enfui vers un appartement voisin.  Dans son témoignage, </w:t>
            </w:r>
            <w:r w:rsidRPr="000F1B6E">
              <w:rPr>
                <w:rFonts w:eastAsia="Calibri"/>
                <w:smallCaps/>
                <w:sz w:val="20"/>
                <w:lang w:val="fr-CA"/>
              </w:rPr>
              <w:t>M. </w:t>
            </w:r>
            <w:r w:rsidRPr="000F1B6E">
              <w:rPr>
                <w:rFonts w:eastAsia="Calibri"/>
                <w:sz w:val="20"/>
                <w:lang w:val="fr-CA"/>
              </w:rPr>
              <w:t xml:space="preserve">Spence a affirmé qu’à l’appartement, </w:t>
            </w:r>
            <w:r w:rsidRPr="000F1B6E">
              <w:rPr>
                <w:rFonts w:eastAsia="Calibri"/>
                <w:smallCaps/>
                <w:sz w:val="20"/>
                <w:lang w:val="fr-CA"/>
              </w:rPr>
              <w:t>M. </w:t>
            </w:r>
            <w:r w:rsidRPr="000F1B6E">
              <w:rPr>
                <w:rFonts w:eastAsia="Calibri"/>
                <w:sz w:val="20"/>
                <w:lang w:val="fr-CA"/>
              </w:rPr>
              <w:t>Head lui avait demandé [</w:t>
            </w:r>
            <w:r w:rsidRPr="000F1B6E">
              <w:rPr>
                <w:rFonts w:eastAsia="Calibri"/>
                <w:smallCaps/>
                <w:sz w:val="20"/>
                <w:lang w:val="fr-CA"/>
              </w:rPr>
              <w:t>traduction</w:t>
            </w:r>
            <w:r w:rsidRPr="000F1B6E">
              <w:rPr>
                <w:rFonts w:eastAsia="Calibri"/>
                <w:sz w:val="20"/>
                <w:lang w:val="fr-CA"/>
              </w:rPr>
              <w:t xml:space="preserve">] « ce type-là avait-il un flingue?  Il avait un flingue n’est-ce pas?  Et moi j’ai répondu : je crois bien que oui, ouais ».  Le juge du procès a statué que cette déclaration était du ouï-dire inadmissible et il a demandé au jury de ne pas en tenir compte.  À l’appartement, </w:t>
            </w:r>
            <w:r w:rsidRPr="000F1B6E">
              <w:rPr>
                <w:rFonts w:eastAsia="Calibri"/>
                <w:smallCaps/>
                <w:sz w:val="20"/>
                <w:lang w:val="fr-CA"/>
              </w:rPr>
              <w:t>M. </w:t>
            </w:r>
            <w:r w:rsidRPr="000F1B6E">
              <w:rPr>
                <w:rFonts w:eastAsia="Calibri"/>
                <w:sz w:val="20"/>
                <w:lang w:val="fr-CA"/>
              </w:rPr>
              <w:t xml:space="preserve">Head s’est douché.  Il s’est ensuite enfui en Saskatchewan.  L’avocat du ministère public a plaidé que la fuite de </w:t>
            </w:r>
            <w:r w:rsidRPr="000F1B6E">
              <w:rPr>
                <w:rFonts w:eastAsia="Calibri"/>
                <w:smallCaps/>
                <w:sz w:val="20"/>
                <w:lang w:val="fr-CA"/>
              </w:rPr>
              <w:t>M. </w:t>
            </w:r>
            <w:r w:rsidRPr="000F1B6E">
              <w:rPr>
                <w:rFonts w:eastAsia="Calibri"/>
                <w:sz w:val="20"/>
                <w:lang w:val="fr-CA"/>
              </w:rPr>
              <w:t xml:space="preserve">Head des lieux du crime, sa douche et sa fuite vers la Saskatchewan constituaient un comportement postérieur de l’infraction qui prouvait que </w:t>
            </w:r>
            <w:r w:rsidRPr="000F1B6E">
              <w:rPr>
                <w:rFonts w:eastAsia="Calibri"/>
                <w:smallCaps/>
                <w:sz w:val="20"/>
                <w:lang w:val="fr-CA"/>
              </w:rPr>
              <w:t>M. </w:t>
            </w:r>
            <w:r w:rsidRPr="000F1B6E">
              <w:rPr>
                <w:rFonts w:eastAsia="Calibri"/>
                <w:sz w:val="20"/>
                <w:lang w:val="fr-CA"/>
              </w:rPr>
              <w:t xml:space="preserve">Head savait qu’il avait commis un homicide coupable et que sa version des événements n’était pas crédible.  L’avocat de la défense a plaidé que </w:t>
            </w:r>
            <w:r w:rsidRPr="000F1B6E">
              <w:rPr>
                <w:rFonts w:eastAsia="Calibri"/>
                <w:smallCaps/>
                <w:sz w:val="20"/>
                <w:lang w:val="fr-CA"/>
              </w:rPr>
              <w:t>M. </w:t>
            </w:r>
            <w:r w:rsidRPr="000F1B6E">
              <w:rPr>
                <w:rFonts w:eastAsia="Calibri"/>
                <w:sz w:val="20"/>
                <w:lang w:val="fr-CA"/>
              </w:rPr>
              <w:t xml:space="preserve">Head avait abattu </w:t>
            </w:r>
            <w:r w:rsidRPr="000F1B6E">
              <w:rPr>
                <w:rFonts w:eastAsia="Calibri"/>
                <w:smallCaps/>
                <w:sz w:val="20"/>
                <w:lang w:val="fr-CA"/>
              </w:rPr>
              <w:t>M. </w:t>
            </w:r>
            <w:r w:rsidRPr="000F1B6E">
              <w:rPr>
                <w:rFonts w:eastAsia="Calibri"/>
                <w:sz w:val="20"/>
                <w:lang w:val="fr-CA"/>
              </w:rPr>
              <w:t>Beauchamp en légitime défense.</w:t>
            </w:r>
          </w:p>
          <w:p w:rsidR="007776EC" w:rsidRPr="000F1B6E" w:rsidRDefault="007776EC" w:rsidP="003D1C23">
            <w:pPr>
              <w:jc w:val="both"/>
              <w:rPr>
                <w:rFonts w:eastAsia="Calibri"/>
                <w:sz w:val="20"/>
                <w:lang w:val="fr-CA"/>
              </w:rPr>
            </w:pPr>
          </w:p>
        </w:tc>
      </w:tr>
      <w:tr w:rsidR="007776EC" w:rsidRPr="0025502E" w:rsidTr="003D1C23">
        <w:tc>
          <w:tcPr>
            <w:tcW w:w="2427" w:type="pct"/>
          </w:tcPr>
          <w:p w:rsidR="007776EC" w:rsidRPr="000F1B6E" w:rsidRDefault="007776EC" w:rsidP="003D1C23">
            <w:pPr>
              <w:jc w:val="both"/>
              <w:rPr>
                <w:rFonts w:eastAsia="Calibri"/>
                <w:sz w:val="20"/>
                <w:lang w:val="fr-CA"/>
              </w:rPr>
            </w:pPr>
            <w:r w:rsidRPr="000F1B6E">
              <w:rPr>
                <w:rFonts w:eastAsia="Calibri"/>
                <w:sz w:val="20"/>
                <w:lang w:val="fr-CA"/>
              </w:rPr>
              <w:lastRenderedPageBreak/>
              <w:t>21 septembre 2012</w:t>
            </w:r>
          </w:p>
          <w:p w:rsidR="007776EC" w:rsidRPr="000F1B6E" w:rsidRDefault="007776EC" w:rsidP="003D1C23">
            <w:pPr>
              <w:jc w:val="both"/>
              <w:rPr>
                <w:rFonts w:eastAsia="Calibri"/>
                <w:sz w:val="20"/>
                <w:lang w:val="fr-CA"/>
              </w:rPr>
            </w:pPr>
            <w:r w:rsidRPr="000F1B6E">
              <w:rPr>
                <w:rFonts w:eastAsia="Calibri"/>
                <w:sz w:val="20"/>
                <w:lang w:val="fr-CA"/>
              </w:rPr>
              <w:t>Cour du Banc de la Reine du Manitoba</w:t>
            </w:r>
          </w:p>
          <w:p w:rsidR="007776EC" w:rsidRPr="000F1B6E" w:rsidRDefault="007776EC" w:rsidP="003D1C23">
            <w:pPr>
              <w:jc w:val="both"/>
              <w:rPr>
                <w:rFonts w:eastAsia="Calibri"/>
                <w:sz w:val="20"/>
                <w:lang w:val="fr-CA"/>
              </w:rPr>
            </w:pPr>
            <w:r w:rsidRPr="000F1B6E">
              <w:rPr>
                <w:rFonts w:eastAsia="Calibri"/>
                <w:sz w:val="20"/>
                <w:lang w:val="fr-CA"/>
              </w:rPr>
              <w:t>(Juge Chartier)</w:t>
            </w:r>
          </w:p>
          <w:p w:rsidR="007776EC" w:rsidRPr="000F1B6E" w:rsidRDefault="007776EC" w:rsidP="003D1C23">
            <w:pPr>
              <w:jc w:val="both"/>
              <w:rPr>
                <w:rFonts w:eastAsia="Calibri"/>
                <w:sz w:val="20"/>
                <w:lang w:val="fr-CA"/>
              </w:rPr>
            </w:pPr>
          </w:p>
        </w:tc>
        <w:tc>
          <w:tcPr>
            <w:tcW w:w="243" w:type="pct"/>
          </w:tcPr>
          <w:p w:rsidR="007776EC" w:rsidRPr="000F1B6E" w:rsidRDefault="007776EC" w:rsidP="003D1C23">
            <w:pPr>
              <w:jc w:val="both"/>
              <w:rPr>
                <w:rFonts w:eastAsia="Calibri"/>
                <w:sz w:val="20"/>
                <w:lang w:val="fr-CA"/>
              </w:rPr>
            </w:pPr>
          </w:p>
        </w:tc>
        <w:tc>
          <w:tcPr>
            <w:tcW w:w="2330" w:type="pct"/>
          </w:tcPr>
          <w:p w:rsidR="007776EC" w:rsidRPr="000F1B6E" w:rsidRDefault="007776EC" w:rsidP="003D1C23">
            <w:pPr>
              <w:jc w:val="both"/>
              <w:rPr>
                <w:rFonts w:eastAsia="Calibri"/>
                <w:sz w:val="20"/>
                <w:lang w:val="fr-CA"/>
              </w:rPr>
            </w:pPr>
            <w:r w:rsidRPr="000F1B6E">
              <w:rPr>
                <w:rFonts w:eastAsia="Calibri"/>
                <w:sz w:val="20"/>
                <w:lang w:val="fr-CA"/>
              </w:rPr>
              <w:t>Déclaration de culpabilité par un jury de meurtre au deuxième degré</w:t>
            </w:r>
          </w:p>
        </w:tc>
      </w:tr>
      <w:tr w:rsidR="007776EC" w:rsidRPr="0025502E" w:rsidTr="003D1C23">
        <w:tc>
          <w:tcPr>
            <w:tcW w:w="2427" w:type="pct"/>
          </w:tcPr>
          <w:p w:rsidR="007776EC" w:rsidRPr="000F1B6E" w:rsidRDefault="007776EC" w:rsidP="003D1C23">
            <w:pPr>
              <w:jc w:val="both"/>
              <w:rPr>
                <w:rFonts w:eastAsia="Calibri"/>
                <w:sz w:val="20"/>
                <w:lang w:val="fr-CA"/>
              </w:rPr>
            </w:pPr>
            <w:r w:rsidRPr="000F1B6E">
              <w:rPr>
                <w:rFonts w:eastAsia="Calibri"/>
                <w:sz w:val="20"/>
                <w:lang w:val="fr-CA"/>
              </w:rPr>
              <w:t>6 juin 2014</w:t>
            </w:r>
          </w:p>
          <w:p w:rsidR="007776EC" w:rsidRPr="000F1B6E" w:rsidRDefault="007776EC" w:rsidP="003D1C23">
            <w:pPr>
              <w:jc w:val="both"/>
              <w:rPr>
                <w:rFonts w:eastAsia="Calibri"/>
                <w:sz w:val="20"/>
                <w:lang w:val="fr-CA"/>
              </w:rPr>
            </w:pPr>
            <w:r w:rsidRPr="000F1B6E">
              <w:rPr>
                <w:rFonts w:eastAsia="Calibri"/>
                <w:sz w:val="20"/>
                <w:lang w:val="fr-CA"/>
              </w:rPr>
              <w:t>Cour d’appel du Manitoba</w:t>
            </w:r>
          </w:p>
          <w:p w:rsidR="007776EC" w:rsidRPr="000F1B6E" w:rsidRDefault="007776EC" w:rsidP="003D1C23">
            <w:pPr>
              <w:jc w:val="both"/>
              <w:rPr>
                <w:rFonts w:eastAsia="Calibri"/>
                <w:sz w:val="20"/>
                <w:lang w:val="fr-CA"/>
              </w:rPr>
            </w:pPr>
            <w:r w:rsidRPr="000F1B6E">
              <w:rPr>
                <w:rFonts w:eastAsia="Calibri"/>
                <w:sz w:val="20"/>
                <w:lang w:val="fr-CA"/>
              </w:rPr>
              <w:t>(Juges Monnin, Burnett et Mainella)</w:t>
            </w:r>
          </w:p>
          <w:p w:rsidR="007776EC" w:rsidRPr="000F1B6E" w:rsidRDefault="007776EC" w:rsidP="003D1C23">
            <w:pPr>
              <w:jc w:val="both"/>
              <w:rPr>
                <w:rFonts w:eastAsia="Calibri"/>
                <w:sz w:val="20"/>
                <w:lang w:val="fr-CA"/>
              </w:rPr>
            </w:pPr>
            <w:r w:rsidRPr="000F1B6E">
              <w:rPr>
                <w:rFonts w:eastAsia="Calibri"/>
                <w:sz w:val="20"/>
                <w:lang w:val="fr-CA"/>
              </w:rPr>
              <w:t xml:space="preserve">AR 13-30-07963; </w:t>
            </w:r>
            <w:hyperlink r:id="rId68" w:history="1">
              <w:r w:rsidRPr="000F1B6E">
                <w:rPr>
                  <w:rFonts w:eastAsia="Calibri"/>
                  <w:color w:val="0000FF"/>
                  <w:sz w:val="20"/>
                  <w:u w:val="single"/>
                  <w:lang w:val="fr-CA"/>
                </w:rPr>
                <w:t>2014 MBCA 59</w:t>
              </w:r>
            </w:hyperlink>
          </w:p>
          <w:p w:rsidR="007776EC" w:rsidRPr="000F1B6E" w:rsidRDefault="007776EC" w:rsidP="003D1C23">
            <w:pPr>
              <w:jc w:val="both"/>
              <w:rPr>
                <w:rFonts w:eastAsia="Calibri"/>
                <w:sz w:val="20"/>
                <w:lang w:val="fr-CA"/>
              </w:rPr>
            </w:pPr>
          </w:p>
        </w:tc>
        <w:tc>
          <w:tcPr>
            <w:tcW w:w="243" w:type="pct"/>
          </w:tcPr>
          <w:p w:rsidR="007776EC" w:rsidRPr="000F1B6E" w:rsidRDefault="007776EC" w:rsidP="003D1C23">
            <w:pPr>
              <w:jc w:val="both"/>
              <w:rPr>
                <w:rFonts w:eastAsia="Calibri"/>
                <w:sz w:val="20"/>
                <w:lang w:val="fr-CA"/>
              </w:rPr>
            </w:pPr>
          </w:p>
        </w:tc>
        <w:tc>
          <w:tcPr>
            <w:tcW w:w="2330" w:type="pct"/>
          </w:tcPr>
          <w:p w:rsidR="007776EC" w:rsidRPr="000F1B6E" w:rsidRDefault="007776EC" w:rsidP="003D1C23">
            <w:pPr>
              <w:jc w:val="both"/>
              <w:rPr>
                <w:rFonts w:eastAsia="Calibri"/>
                <w:sz w:val="20"/>
                <w:lang w:val="fr-CA"/>
              </w:rPr>
            </w:pPr>
            <w:r w:rsidRPr="000F1B6E">
              <w:rPr>
                <w:rFonts w:eastAsia="Calibri"/>
                <w:sz w:val="20"/>
                <w:lang w:val="fr-CA"/>
              </w:rPr>
              <w:t>Rejet de l’appel de la déclaration de culpabilité</w:t>
            </w:r>
          </w:p>
          <w:p w:rsidR="007776EC" w:rsidRPr="000F1B6E" w:rsidRDefault="007776EC" w:rsidP="003D1C23">
            <w:pPr>
              <w:jc w:val="both"/>
              <w:rPr>
                <w:rFonts w:eastAsia="Calibri"/>
                <w:sz w:val="20"/>
                <w:lang w:val="fr-CA"/>
              </w:rPr>
            </w:pPr>
          </w:p>
        </w:tc>
      </w:tr>
      <w:tr w:rsidR="007776EC" w:rsidRPr="0025502E" w:rsidTr="003D1C23">
        <w:tc>
          <w:tcPr>
            <w:tcW w:w="2427" w:type="pct"/>
          </w:tcPr>
          <w:p w:rsidR="007776EC" w:rsidRPr="000F1B6E" w:rsidRDefault="007776EC" w:rsidP="003D1C23">
            <w:pPr>
              <w:jc w:val="both"/>
              <w:rPr>
                <w:rFonts w:eastAsia="Calibri"/>
                <w:sz w:val="20"/>
                <w:lang w:val="fr-CA"/>
              </w:rPr>
            </w:pPr>
            <w:r w:rsidRPr="000F1B6E">
              <w:rPr>
                <w:rFonts w:eastAsia="Calibri"/>
                <w:sz w:val="20"/>
                <w:lang w:val="fr-CA"/>
              </w:rPr>
              <w:t>4 septembre 2014</w:t>
            </w:r>
          </w:p>
          <w:p w:rsidR="007776EC" w:rsidRPr="000F1B6E" w:rsidRDefault="007776EC" w:rsidP="003D1C23">
            <w:pPr>
              <w:jc w:val="both"/>
              <w:rPr>
                <w:rFonts w:eastAsia="Calibri"/>
                <w:sz w:val="20"/>
                <w:lang w:val="fr-CA"/>
              </w:rPr>
            </w:pPr>
            <w:r w:rsidRPr="000F1B6E">
              <w:rPr>
                <w:rFonts w:eastAsia="Calibri"/>
                <w:sz w:val="20"/>
                <w:lang w:val="fr-CA"/>
              </w:rPr>
              <w:t>Cour suprême du Canada</w:t>
            </w:r>
          </w:p>
        </w:tc>
        <w:tc>
          <w:tcPr>
            <w:tcW w:w="243" w:type="pct"/>
          </w:tcPr>
          <w:p w:rsidR="007776EC" w:rsidRPr="000F1B6E" w:rsidRDefault="007776EC" w:rsidP="003D1C23">
            <w:pPr>
              <w:jc w:val="both"/>
              <w:rPr>
                <w:rFonts w:eastAsia="Calibri"/>
                <w:sz w:val="20"/>
                <w:lang w:val="fr-CA"/>
              </w:rPr>
            </w:pPr>
          </w:p>
        </w:tc>
        <w:tc>
          <w:tcPr>
            <w:tcW w:w="2330" w:type="pct"/>
          </w:tcPr>
          <w:p w:rsidR="007776EC" w:rsidRPr="000F1B6E" w:rsidRDefault="007776EC" w:rsidP="003D1C23">
            <w:pPr>
              <w:jc w:val="both"/>
              <w:rPr>
                <w:rFonts w:eastAsia="Calibri"/>
                <w:sz w:val="20"/>
                <w:lang w:val="fr-CA"/>
              </w:rPr>
            </w:pPr>
            <w:r w:rsidRPr="000F1B6E">
              <w:rPr>
                <w:rFonts w:eastAsia="Calibri"/>
                <w:sz w:val="20"/>
                <w:lang w:val="fr-CA"/>
              </w:rPr>
              <w:t>Dépôt de la demande d’autorisation d’appel</w:t>
            </w:r>
          </w:p>
          <w:p w:rsidR="007776EC" w:rsidRPr="000F1B6E" w:rsidRDefault="007776EC" w:rsidP="003D1C23">
            <w:pPr>
              <w:jc w:val="both"/>
              <w:rPr>
                <w:rFonts w:eastAsia="Calibri"/>
                <w:sz w:val="20"/>
                <w:lang w:val="fr-CA"/>
              </w:rPr>
            </w:pPr>
          </w:p>
        </w:tc>
      </w:tr>
    </w:tbl>
    <w:p w:rsidR="00124C37" w:rsidRPr="007776EC" w:rsidRDefault="00124C37" w:rsidP="00124C37">
      <w:pPr>
        <w:rPr>
          <w:sz w:val="20"/>
          <w:szCs w:val="20"/>
          <w:lang w:val="fr-CA"/>
        </w:rPr>
      </w:pPr>
    </w:p>
    <w:p w:rsidR="00124C37" w:rsidRDefault="00E42AAB" w:rsidP="00124C37">
      <w:pPr>
        <w:rPr>
          <w:sz w:val="20"/>
          <w:szCs w:val="20"/>
        </w:rPr>
      </w:pPr>
      <w:r>
        <w:rPr>
          <w:sz w:val="20"/>
          <w:szCs w:val="20"/>
          <w:lang w:val="fr-CA"/>
        </w:rPr>
        <w:pict>
          <v:rect id="_x0000_i1068" style="width:2in;height:1pt" o:hrpct="0" o:hralign="center" o:hrstd="t" o:hrnoshade="t" o:hr="t" fillcolor="black [3213]" stroked="f"/>
        </w:pict>
      </w:r>
    </w:p>
    <w:p w:rsidR="00124C37" w:rsidRDefault="00124C37" w:rsidP="00124C37">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03DFB" w:rsidRPr="00E7075A" w:rsidTr="00C64462">
        <w:trPr>
          <w:cantSplit/>
        </w:trPr>
        <w:tc>
          <w:tcPr>
            <w:tcW w:w="1458" w:type="dxa"/>
          </w:tcPr>
          <w:p w:rsidR="00803DFB" w:rsidRPr="00E7075A" w:rsidRDefault="00803DFB" w:rsidP="00C64462">
            <w:pPr>
              <w:rPr>
                <w:sz w:val="20"/>
                <w:szCs w:val="20"/>
              </w:rPr>
            </w:pPr>
            <w:r w:rsidRPr="00E7075A">
              <w:rPr>
                <w:rStyle w:val="SCCFileNumberChar"/>
                <w:sz w:val="20"/>
                <w:szCs w:val="20"/>
              </w:rPr>
              <w:t>36060</w:t>
            </w:r>
          </w:p>
          <w:p w:rsidR="00803DFB" w:rsidRPr="00E7075A" w:rsidRDefault="00803DFB" w:rsidP="00C64462">
            <w:pPr>
              <w:rPr>
                <w:b/>
                <w:sz w:val="20"/>
                <w:szCs w:val="20"/>
                <w:lang w:val="fr-CA"/>
              </w:rPr>
            </w:pPr>
          </w:p>
        </w:tc>
        <w:tc>
          <w:tcPr>
            <w:tcW w:w="8118" w:type="dxa"/>
          </w:tcPr>
          <w:p w:rsidR="00803DFB" w:rsidRPr="00E7075A" w:rsidRDefault="00803DFB" w:rsidP="00C64462">
            <w:pPr>
              <w:jc w:val="both"/>
              <w:rPr>
                <w:sz w:val="20"/>
                <w:szCs w:val="20"/>
              </w:rPr>
            </w:pPr>
            <w:r w:rsidRPr="00803DFB">
              <w:rPr>
                <w:rStyle w:val="SCCLsocChar"/>
                <w:sz w:val="20"/>
                <w:szCs w:val="20"/>
                <w:lang w:val="en-CA"/>
              </w:rPr>
              <w:t>Government of the Province of Alberta v. Alberta Union of Provincial Employees</w:t>
            </w:r>
            <w:r w:rsidRPr="00E7075A">
              <w:rPr>
                <w:sz w:val="20"/>
                <w:szCs w:val="20"/>
              </w:rPr>
              <w:t xml:space="preserve"> (Alta.) (Civil) (By Leave)</w:t>
            </w:r>
          </w:p>
          <w:p w:rsidR="00803DFB" w:rsidRPr="00E7075A" w:rsidRDefault="00803DFB" w:rsidP="00C64462">
            <w:pPr>
              <w:jc w:val="both"/>
              <w:rPr>
                <w:sz w:val="20"/>
                <w:szCs w:val="20"/>
              </w:rPr>
            </w:pPr>
          </w:p>
        </w:tc>
      </w:tr>
      <w:tr w:rsidR="00803DFB" w:rsidRPr="00E7075A" w:rsidTr="00C64462">
        <w:trPr>
          <w:cantSplit/>
        </w:trPr>
        <w:tc>
          <w:tcPr>
            <w:tcW w:w="1458" w:type="dxa"/>
          </w:tcPr>
          <w:p w:rsidR="00803DFB" w:rsidRPr="00E7075A" w:rsidRDefault="00803DFB" w:rsidP="00C64462">
            <w:pPr>
              <w:rPr>
                <w:sz w:val="20"/>
                <w:szCs w:val="20"/>
              </w:rPr>
            </w:pPr>
            <w:r w:rsidRPr="00E7075A">
              <w:rPr>
                <w:sz w:val="20"/>
                <w:szCs w:val="20"/>
              </w:rPr>
              <w:t>Coram :</w:t>
            </w:r>
          </w:p>
        </w:tc>
        <w:tc>
          <w:tcPr>
            <w:tcW w:w="8118" w:type="dxa"/>
          </w:tcPr>
          <w:p w:rsidR="00803DFB" w:rsidRPr="00E7075A" w:rsidRDefault="00803DFB" w:rsidP="00C64462">
            <w:pPr>
              <w:rPr>
                <w:sz w:val="20"/>
                <w:szCs w:val="20"/>
              </w:rPr>
            </w:pPr>
            <w:r w:rsidRPr="00803DFB">
              <w:rPr>
                <w:rStyle w:val="SCCCoramChar"/>
                <w:sz w:val="20"/>
                <w:szCs w:val="20"/>
                <w:lang w:val="en-CA"/>
              </w:rPr>
              <w:t>McLachlin C.J. and Wagner and Gascon JJ.</w:t>
            </w:r>
          </w:p>
          <w:p w:rsidR="00803DFB" w:rsidRPr="00E7075A" w:rsidRDefault="00803DFB" w:rsidP="00C64462">
            <w:pPr>
              <w:rPr>
                <w:sz w:val="20"/>
                <w:szCs w:val="20"/>
                <w:u w:val="single"/>
              </w:rPr>
            </w:pPr>
          </w:p>
        </w:tc>
      </w:tr>
      <w:tr w:rsidR="00803DFB" w:rsidRPr="0025502E" w:rsidTr="00C64462">
        <w:trPr>
          <w:cantSplit/>
        </w:trPr>
        <w:tc>
          <w:tcPr>
            <w:tcW w:w="9576" w:type="dxa"/>
            <w:gridSpan w:val="2"/>
          </w:tcPr>
          <w:p w:rsidR="00803DFB" w:rsidRPr="00E7075A" w:rsidRDefault="00803DFB" w:rsidP="00C64462">
            <w:pPr>
              <w:pStyle w:val="SCCShortJudgment"/>
              <w:rPr>
                <w:szCs w:val="20"/>
              </w:rPr>
            </w:pPr>
            <w:r w:rsidRPr="00E7075A">
              <w:rPr>
                <w:szCs w:val="20"/>
              </w:rPr>
              <w:t>The application for leave to appeal from the judgment of the Court of Appeal of Alberta (Edmonton), Number 1303-0127-AC, 2014 ABCA 197, dated June 17, 2014, is dismissed with costs.</w:t>
            </w:r>
          </w:p>
          <w:p w:rsidR="00803DFB" w:rsidRPr="00E7075A" w:rsidRDefault="00803DFB" w:rsidP="00C64462">
            <w:pPr>
              <w:pStyle w:val="SCCShortJudgment"/>
              <w:ind w:firstLine="0"/>
              <w:rPr>
                <w:szCs w:val="20"/>
              </w:rPr>
            </w:pPr>
          </w:p>
          <w:p w:rsidR="00803DFB" w:rsidRPr="00E7075A" w:rsidRDefault="00803DFB" w:rsidP="00C64462">
            <w:pPr>
              <w:pStyle w:val="SCCShortJudgment"/>
              <w:rPr>
                <w:szCs w:val="20"/>
                <w:lang w:val="fr-CA"/>
              </w:rPr>
            </w:pPr>
            <w:r w:rsidRPr="00E7075A">
              <w:rPr>
                <w:szCs w:val="20"/>
                <w:lang w:val="fr-CA"/>
              </w:rPr>
              <w:t>La demande d’autorisation d’appel de l’arrêt de la Cour d’appel de l’Alberta (Edmonton), numéro 1303-0127-AC, 2014 ABCA 197, daté du 17 juin 2014, est rejetée avec dépens.</w:t>
            </w:r>
          </w:p>
        </w:tc>
      </w:tr>
    </w:tbl>
    <w:p w:rsidR="00124C37" w:rsidRPr="00803DFB" w:rsidRDefault="00124C37" w:rsidP="000E2959">
      <w:pPr>
        <w:rPr>
          <w:sz w:val="20"/>
          <w:szCs w:val="20"/>
          <w:lang w:val="fr-CA"/>
        </w:rPr>
      </w:pPr>
    </w:p>
    <w:p w:rsidR="00124C37" w:rsidRPr="001B157C" w:rsidRDefault="00124C37" w:rsidP="00124C37">
      <w:pPr>
        <w:rPr>
          <w:sz w:val="20"/>
          <w:szCs w:val="20"/>
          <w:u w:val="single"/>
        </w:rPr>
      </w:pPr>
      <w:r w:rsidRPr="001B157C">
        <w:rPr>
          <w:sz w:val="20"/>
          <w:szCs w:val="20"/>
          <w:u w:val="single"/>
        </w:rPr>
        <w:t>CASE SUMMARY</w:t>
      </w:r>
    </w:p>
    <w:p w:rsidR="00124C37" w:rsidRDefault="00124C37" w:rsidP="00124C3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D1C23" w:rsidRPr="000F1B6E" w:rsidTr="003D1C23">
        <w:tc>
          <w:tcPr>
            <w:tcW w:w="5000" w:type="pct"/>
            <w:gridSpan w:val="3"/>
          </w:tcPr>
          <w:p w:rsidR="003D1C23" w:rsidRPr="000F1B6E" w:rsidRDefault="003D1C23" w:rsidP="003D1C23">
            <w:pPr>
              <w:jc w:val="both"/>
              <w:rPr>
                <w:rFonts w:eastAsia="Calibri"/>
                <w:sz w:val="20"/>
              </w:rPr>
            </w:pPr>
            <w:r w:rsidRPr="000F1B6E">
              <w:rPr>
                <w:rFonts w:eastAsia="Calibri"/>
                <w:i/>
                <w:sz w:val="20"/>
              </w:rPr>
              <w:t>Charter of Rights</w:t>
            </w:r>
            <w:r w:rsidRPr="000F1B6E">
              <w:rPr>
                <w:rFonts w:eastAsia="Calibri"/>
                <w:sz w:val="20"/>
              </w:rPr>
              <w:t xml:space="preserve"> – Freedom of expression – Labour relations – Unions – Members of bargaining unit continuing illegal strike in contravention of directives issued by Alberta Relations Board – Union held in contempt – Further directives specifying Union required to publish statements encouraging members to return to work – Whether</w:t>
            </w:r>
            <w:r w:rsidRPr="000F1B6E">
              <w:rPr>
                <w:rFonts w:eastAsia="Calibri"/>
                <w:spacing w:val="9"/>
                <w:sz w:val="20"/>
              </w:rPr>
              <w:t xml:space="preserve"> </w:t>
            </w:r>
            <w:r w:rsidRPr="000F1B6E">
              <w:rPr>
                <w:rFonts w:eastAsia="Calibri"/>
                <w:sz w:val="20"/>
              </w:rPr>
              <w:t>Court of</w:t>
            </w:r>
            <w:r w:rsidRPr="000F1B6E">
              <w:rPr>
                <w:rFonts w:eastAsia="Calibri"/>
                <w:spacing w:val="53"/>
                <w:sz w:val="20"/>
              </w:rPr>
              <w:t xml:space="preserve"> </w:t>
            </w:r>
            <w:r w:rsidRPr="000F1B6E">
              <w:rPr>
                <w:rFonts w:eastAsia="Calibri"/>
                <w:sz w:val="20"/>
              </w:rPr>
              <w:t>Appeal decision is</w:t>
            </w:r>
            <w:r w:rsidRPr="000F1B6E">
              <w:rPr>
                <w:rFonts w:eastAsia="Calibri"/>
                <w:spacing w:val="2"/>
                <w:sz w:val="20"/>
              </w:rPr>
              <w:t xml:space="preserve"> </w:t>
            </w:r>
            <w:r w:rsidRPr="000F1B6E">
              <w:rPr>
                <w:rFonts w:eastAsia="Calibri"/>
                <w:sz w:val="20"/>
              </w:rPr>
              <w:t>fundamentally</w:t>
            </w:r>
            <w:r w:rsidRPr="000F1B6E">
              <w:rPr>
                <w:rFonts w:eastAsia="Calibri"/>
                <w:spacing w:val="28"/>
                <w:sz w:val="20"/>
              </w:rPr>
              <w:t xml:space="preserve"> </w:t>
            </w:r>
            <w:r w:rsidRPr="000F1B6E">
              <w:rPr>
                <w:rFonts w:eastAsia="Calibri"/>
                <w:sz w:val="20"/>
              </w:rPr>
              <w:t>inconsistent</w:t>
            </w:r>
            <w:r w:rsidRPr="000F1B6E">
              <w:rPr>
                <w:rFonts w:eastAsia="Calibri"/>
                <w:spacing w:val="17"/>
                <w:sz w:val="20"/>
              </w:rPr>
              <w:t xml:space="preserve"> </w:t>
            </w:r>
            <w:r w:rsidRPr="000F1B6E">
              <w:rPr>
                <w:rFonts w:eastAsia="Calibri"/>
                <w:sz w:val="20"/>
              </w:rPr>
              <w:t xml:space="preserve">with Canadian </w:t>
            </w:r>
            <w:r w:rsidRPr="000F1B6E">
              <w:rPr>
                <w:rFonts w:eastAsia="Calibri"/>
                <w:spacing w:val="4"/>
                <w:sz w:val="20"/>
              </w:rPr>
              <w:t xml:space="preserve"> </w:t>
            </w:r>
            <w:r w:rsidRPr="000F1B6E">
              <w:rPr>
                <w:rFonts w:eastAsia="Calibri"/>
                <w:sz w:val="20"/>
              </w:rPr>
              <w:t>labour</w:t>
            </w:r>
            <w:r w:rsidRPr="000F1B6E">
              <w:rPr>
                <w:rFonts w:eastAsia="Calibri"/>
                <w:w w:val="103"/>
                <w:sz w:val="20"/>
              </w:rPr>
              <w:t xml:space="preserve"> </w:t>
            </w:r>
            <w:r w:rsidRPr="000F1B6E">
              <w:rPr>
                <w:rFonts w:eastAsia="Calibri"/>
                <w:sz w:val="20"/>
              </w:rPr>
              <w:t>law – Whether restrictions</w:t>
            </w:r>
            <w:r w:rsidRPr="000F1B6E">
              <w:rPr>
                <w:rFonts w:eastAsia="Calibri"/>
                <w:spacing w:val="15"/>
                <w:sz w:val="20"/>
              </w:rPr>
              <w:t xml:space="preserve"> </w:t>
            </w:r>
            <w:r w:rsidRPr="000F1B6E">
              <w:rPr>
                <w:rFonts w:eastAsia="Calibri"/>
                <w:sz w:val="20"/>
              </w:rPr>
              <w:t>on</w:t>
            </w:r>
            <w:r w:rsidRPr="000F1B6E">
              <w:rPr>
                <w:rFonts w:eastAsia="Calibri"/>
                <w:spacing w:val="32"/>
                <w:sz w:val="20"/>
              </w:rPr>
              <w:t xml:space="preserve"> </w:t>
            </w:r>
            <w:r w:rsidRPr="000F1B6E">
              <w:rPr>
                <w:rFonts w:eastAsia="Calibri"/>
                <w:sz w:val="20"/>
              </w:rPr>
              <w:t>bargaining</w:t>
            </w:r>
            <w:r w:rsidRPr="000F1B6E">
              <w:rPr>
                <w:rFonts w:eastAsia="Calibri"/>
                <w:spacing w:val="23"/>
                <w:sz w:val="20"/>
              </w:rPr>
              <w:t xml:space="preserve"> </w:t>
            </w:r>
            <w:r w:rsidRPr="000F1B6E">
              <w:rPr>
                <w:rFonts w:eastAsia="Calibri"/>
                <w:sz w:val="20"/>
              </w:rPr>
              <w:t>agent</w:t>
            </w:r>
            <w:r w:rsidRPr="000F1B6E">
              <w:rPr>
                <w:rFonts w:eastAsia="Calibri"/>
                <w:spacing w:val="2"/>
                <w:sz w:val="20"/>
              </w:rPr>
              <w:t xml:space="preserve"> </w:t>
            </w:r>
            <w:r w:rsidRPr="000F1B6E">
              <w:rPr>
                <w:rFonts w:eastAsia="Calibri"/>
                <w:sz w:val="20"/>
              </w:rPr>
              <w:t>expression in</w:t>
            </w:r>
            <w:r w:rsidRPr="000F1B6E">
              <w:rPr>
                <w:rFonts w:eastAsia="Calibri"/>
                <w:spacing w:val="42"/>
                <w:sz w:val="20"/>
              </w:rPr>
              <w:t xml:space="preserve"> </w:t>
            </w:r>
            <w:r w:rsidRPr="000F1B6E">
              <w:rPr>
                <w:rFonts w:eastAsia="Calibri"/>
                <w:sz w:val="20"/>
              </w:rPr>
              <w:t>relation</w:t>
            </w:r>
            <w:r w:rsidRPr="000F1B6E">
              <w:rPr>
                <w:rFonts w:eastAsia="Calibri"/>
                <w:spacing w:val="16"/>
                <w:sz w:val="20"/>
              </w:rPr>
              <w:t xml:space="preserve"> </w:t>
            </w:r>
            <w:r w:rsidRPr="000F1B6E">
              <w:rPr>
                <w:rFonts w:eastAsia="Calibri"/>
                <w:sz w:val="20"/>
              </w:rPr>
              <w:t>to illegal strikes are</w:t>
            </w:r>
            <w:r w:rsidRPr="000F1B6E">
              <w:rPr>
                <w:rFonts w:eastAsia="Calibri"/>
                <w:w w:val="107"/>
                <w:sz w:val="20"/>
              </w:rPr>
              <w:t xml:space="preserve"> </w:t>
            </w:r>
            <w:r w:rsidRPr="000F1B6E">
              <w:rPr>
                <w:rFonts w:eastAsia="Calibri"/>
                <w:sz w:val="20"/>
              </w:rPr>
              <w:t>implicit</w:t>
            </w:r>
            <w:r w:rsidRPr="000F1B6E">
              <w:rPr>
                <w:rFonts w:eastAsia="Calibri"/>
                <w:spacing w:val="38"/>
                <w:sz w:val="20"/>
              </w:rPr>
              <w:t xml:space="preserve"> </w:t>
            </w:r>
            <w:r w:rsidRPr="000F1B6E">
              <w:rPr>
                <w:rFonts w:eastAsia="Calibri"/>
                <w:sz w:val="20"/>
              </w:rPr>
              <w:t>and</w:t>
            </w:r>
            <w:r w:rsidRPr="000F1B6E">
              <w:rPr>
                <w:rFonts w:eastAsia="Calibri"/>
                <w:spacing w:val="29"/>
                <w:sz w:val="20"/>
              </w:rPr>
              <w:t xml:space="preserve"> </w:t>
            </w:r>
            <w:r w:rsidRPr="000F1B6E">
              <w:rPr>
                <w:rFonts w:eastAsia="Calibri"/>
                <w:sz w:val="20"/>
              </w:rPr>
              <w:t>explicit</w:t>
            </w:r>
            <w:r w:rsidRPr="000F1B6E">
              <w:rPr>
                <w:rFonts w:eastAsia="Calibri"/>
                <w:spacing w:val="25"/>
                <w:sz w:val="20"/>
              </w:rPr>
              <w:t xml:space="preserve"> </w:t>
            </w:r>
            <w:r w:rsidRPr="000F1B6E">
              <w:rPr>
                <w:rFonts w:eastAsia="Calibri"/>
                <w:sz w:val="20"/>
              </w:rPr>
              <w:t>in</w:t>
            </w:r>
            <w:r w:rsidRPr="000F1B6E">
              <w:rPr>
                <w:rFonts w:eastAsia="Calibri"/>
                <w:spacing w:val="14"/>
                <w:sz w:val="20"/>
              </w:rPr>
              <w:t xml:space="preserve"> </w:t>
            </w:r>
            <w:r w:rsidRPr="000F1B6E">
              <w:rPr>
                <w:rFonts w:eastAsia="Calibri"/>
                <w:sz w:val="20"/>
              </w:rPr>
              <w:t>legislation</w:t>
            </w:r>
            <w:r w:rsidRPr="000F1B6E">
              <w:rPr>
                <w:rFonts w:eastAsia="Calibri"/>
                <w:spacing w:val="31"/>
                <w:sz w:val="20"/>
              </w:rPr>
              <w:t xml:space="preserve"> </w:t>
            </w:r>
            <w:r w:rsidRPr="000F1B6E">
              <w:rPr>
                <w:rFonts w:eastAsia="Calibri"/>
                <w:sz w:val="20"/>
              </w:rPr>
              <w:t>throughout</w:t>
            </w:r>
            <w:r w:rsidRPr="000F1B6E">
              <w:rPr>
                <w:rFonts w:eastAsia="Calibri"/>
                <w:spacing w:val="43"/>
                <w:sz w:val="20"/>
              </w:rPr>
              <w:t xml:space="preserve"> </w:t>
            </w:r>
            <w:r w:rsidRPr="000F1B6E">
              <w:rPr>
                <w:rFonts w:eastAsia="Calibri"/>
                <w:sz w:val="20"/>
              </w:rPr>
              <w:t xml:space="preserve">Canada – Whether </w:t>
            </w:r>
            <w:r w:rsidRPr="000F1B6E">
              <w:rPr>
                <w:rFonts w:eastAsia="Calibri"/>
                <w:sz w:val="20"/>
              </w:rPr>
              <w:lastRenderedPageBreak/>
              <w:t>contempt</w:t>
            </w:r>
            <w:r w:rsidRPr="000F1B6E">
              <w:rPr>
                <w:rFonts w:eastAsia="Calibri"/>
                <w:spacing w:val="10"/>
                <w:sz w:val="20"/>
              </w:rPr>
              <w:t xml:space="preserve"> </w:t>
            </w:r>
            <w:r w:rsidRPr="000F1B6E">
              <w:rPr>
                <w:rFonts w:eastAsia="Calibri"/>
                <w:sz w:val="20"/>
              </w:rPr>
              <w:t>proceedings</w:t>
            </w:r>
            <w:r w:rsidRPr="000F1B6E">
              <w:rPr>
                <w:rFonts w:eastAsia="Calibri"/>
                <w:spacing w:val="37"/>
                <w:sz w:val="20"/>
              </w:rPr>
              <w:t xml:space="preserve"> </w:t>
            </w:r>
            <w:r w:rsidRPr="000F1B6E">
              <w:rPr>
                <w:rFonts w:eastAsia="Calibri"/>
                <w:sz w:val="20"/>
              </w:rPr>
              <w:t>are</w:t>
            </w:r>
            <w:r w:rsidRPr="000F1B6E">
              <w:rPr>
                <w:rFonts w:eastAsia="Calibri"/>
                <w:spacing w:val="9"/>
                <w:sz w:val="20"/>
              </w:rPr>
              <w:t xml:space="preserve"> </w:t>
            </w:r>
            <w:r w:rsidRPr="000F1B6E">
              <w:rPr>
                <w:rFonts w:eastAsia="Calibri"/>
                <w:sz w:val="20"/>
              </w:rPr>
              <w:t>proper</w:t>
            </w:r>
            <w:r w:rsidRPr="000F1B6E">
              <w:rPr>
                <w:rFonts w:eastAsia="Calibri"/>
                <w:spacing w:val="29"/>
                <w:sz w:val="20"/>
              </w:rPr>
              <w:t xml:space="preserve"> </w:t>
            </w:r>
            <w:r w:rsidRPr="000F1B6E">
              <w:rPr>
                <w:rFonts w:eastAsia="Calibri"/>
                <w:sz w:val="20"/>
              </w:rPr>
              <w:t>forum</w:t>
            </w:r>
            <w:r w:rsidRPr="000F1B6E">
              <w:rPr>
                <w:rFonts w:eastAsia="Calibri"/>
                <w:spacing w:val="13"/>
                <w:sz w:val="20"/>
              </w:rPr>
              <w:t xml:space="preserve"> </w:t>
            </w:r>
            <w:r w:rsidRPr="000F1B6E">
              <w:rPr>
                <w:rFonts w:eastAsia="Calibri"/>
                <w:sz w:val="20"/>
              </w:rPr>
              <w:t>to</w:t>
            </w:r>
            <w:r w:rsidRPr="000F1B6E">
              <w:rPr>
                <w:rFonts w:eastAsia="Calibri"/>
                <w:spacing w:val="20"/>
                <w:sz w:val="20"/>
              </w:rPr>
              <w:t xml:space="preserve"> </w:t>
            </w:r>
            <w:r w:rsidRPr="000F1B6E">
              <w:rPr>
                <w:rFonts w:eastAsia="Calibri"/>
                <w:sz w:val="20"/>
              </w:rPr>
              <w:t>adjudicate</w:t>
            </w:r>
            <w:r w:rsidRPr="000F1B6E">
              <w:rPr>
                <w:rFonts w:eastAsia="Calibri"/>
                <w:spacing w:val="21"/>
                <w:sz w:val="20"/>
              </w:rPr>
              <w:t xml:space="preserve"> </w:t>
            </w:r>
            <w:r w:rsidRPr="000F1B6E">
              <w:rPr>
                <w:rFonts w:eastAsia="Calibri"/>
                <w:sz w:val="20"/>
              </w:rPr>
              <w:t>merits</w:t>
            </w:r>
            <w:r w:rsidRPr="000F1B6E">
              <w:rPr>
                <w:rFonts w:eastAsia="Calibri"/>
                <w:spacing w:val="19"/>
                <w:sz w:val="20"/>
              </w:rPr>
              <w:t xml:space="preserve"> </w:t>
            </w:r>
            <w:r w:rsidRPr="000F1B6E">
              <w:rPr>
                <w:rFonts w:eastAsia="Calibri"/>
                <w:sz w:val="20"/>
              </w:rPr>
              <w:t>of</w:t>
            </w:r>
            <w:r w:rsidRPr="000F1B6E">
              <w:rPr>
                <w:rFonts w:eastAsia="Calibri"/>
                <w:spacing w:val="16"/>
                <w:sz w:val="20"/>
              </w:rPr>
              <w:t xml:space="preserve"> </w:t>
            </w:r>
            <w:r w:rsidRPr="000F1B6E">
              <w:rPr>
                <w:rFonts w:eastAsia="Calibri"/>
                <w:sz w:val="20"/>
              </w:rPr>
              <w:t>an</w:t>
            </w:r>
            <w:r w:rsidRPr="000F1B6E">
              <w:rPr>
                <w:rFonts w:eastAsia="Calibri"/>
                <w:spacing w:val="12"/>
                <w:sz w:val="20"/>
              </w:rPr>
              <w:t xml:space="preserve"> </w:t>
            </w:r>
            <w:r w:rsidRPr="000F1B6E">
              <w:rPr>
                <w:rFonts w:eastAsia="Calibri"/>
                <w:sz w:val="20"/>
              </w:rPr>
              <w:t>order</w:t>
            </w:r>
            <w:r w:rsidRPr="000F1B6E">
              <w:rPr>
                <w:rFonts w:eastAsia="Calibri"/>
                <w:spacing w:val="14"/>
                <w:sz w:val="20"/>
              </w:rPr>
              <w:t xml:space="preserve"> </w:t>
            </w:r>
            <w:r w:rsidRPr="000F1B6E">
              <w:rPr>
                <w:rFonts w:eastAsia="Calibri"/>
                <w:sz w:val="20"/>
              </w:rPr>
              <w:t>of</w:t>
            </w:r>
            <w:r w:rsidRPr="000F1B6E">
              <w:rPr>
                <w:rFonts w:eastAsia="Calibri"/>
                <w:w w:val="111"/>
                <w:sz w:val="20"/>
              </w:rPr>
              <w:t xml:space="preserve"> </w:t>
            </w:r>
            <w:r w:rsidRPr="000F1B6E">
              <w:rPr>
                <w:rFonts w:eastAsia="Calibri"/>
                <w:sz w:val="20"/>
              </w:rPr>
              <w:t>an</w:t>
            </w:r>
            <w:r w:rsidRPr="000F1B6E">
              <w:rPr>
                <w:rFonts w:eastAsia="Calibri"/>
                <w:spacing w:val="6"/>
                <w:sz w:val="20"/>
              </w:rPr>
              <w:t xml:space="preserve"> </w:t>
            </w:r>
            <w:r w:rsidRPr="000F1B6E">
              <w:rPr>
                <w:rFonts w:eastAsia="Calibri"/>
                <w:sz w:val="20"/>
              </w:rPr>
              <w:t>inferior</w:t>
            </w:r>
            <w:r w:rsidRPr="000F1B6E">
              <w:rPr>
                <w:rFonts w:eastAsia="Calibri"/>
                <w:spacing w:val="10"/>
                <w:sz w:val="20"/>
              </w:rPr>
              <w:t xml:space="preserve"> </w:t>
            </w:r>
            <w:r w:rsidRPr="000F1B6E">
              <w:rPr>
                <w:rFonts w:eastAsia="Calibri"/>
                <w:sz w:val="20"/>
              </w:rPr>
              <w:t>tribunal.</w:t>
            </w:r>
          </w:p>
        </w:tc>
      </w:tr>
      <w:tr w:rsidR="003D1C23" w:rsidRPr="000F1B6E" w:rsidTr="003D1C23">
        <w:tc>
          <w:tcPr>
            <w:tcW w:w="5000" w:type="pct"/>
            <w:gridSpan w:val="3"/>
          </w:tcPr>
          <w:p w:rsidR="003D1C23" w:rsidRPr="000F1B6E" w:rsidRDefault="003D1C23" w:rsidP="003D1C23">
            <w:pPr>
              <w:jc w:val="both"/>
              <w:rPr>
                <w:rFonts w:eastAsia="Calibri"/>
                <w:sz w:val="20"/>
              </w:rPr>
            </w:pPr>
          </w:p>
        </w:tc>
      </w:tr>
      <w:tr w:rsidR="003D1C23" w:rsidRPr="000F1B6E" w:rsidTr="003D1C23">
        <w:tc>
          <w:tcPr>
            <w:tcW w:w="5000" w:type="pct"/>
            <w:gridSpan w:val="3"/>
          </w:tcPr>
          <w:p w:rsidR="003D1C23" w:rsidRPr="000F1B6E" w:rsidRDefault="003D1C23" w:rsidP="003D1C23">
            <w:pPr>
              <w:jc w:val="both"/>
              <w:rPr>
                <w:sz w:val="20"/>
                <w:lang w:eastAsia="en-CA"/>
              </w:rPr>
            </w:pPr>
            <w:r w:rsidRPr="000F1B6E">
              <w:rPr>
                <w:sz w:val="20"/>
                <w:lang w:eastAsia="en-CA"/>
              </w:rPr>
              <w:t xml:space="preserve">The Alberta Union of Public Employees (“AUPE”) was held in civil contempt for failing to comply with directives issued by the Alberta Labour Relations Board (the “Board”) with respect to a wildcat strike at several correctional facilities across the province.  On April 26, 2013, several AUPE members, consisting of correctional peace officers and service workers, walked off their jobs at the Edmonton Remand Centre in response to the suspension of two AUPE members who voiced health and safety concerns about their working conditions.  More AUPE members walked off the job later that day and into the evening at several other correctional facilities.  The applicant, Government of Alberta, filed a complaint with the Board alleging that AUPE violated </w:t>
            </w:r>
            <w:hyperlink r:id="rId69" w:anchor="sec70_smooth" w:history="1">
              <w:r w:rsidRPr="000F1B6E">
                <w:rPr>
                  <w:sz w:val="20"/>
                  <w:lang w:eastAsia="en-CA"/>
                </w:rPr>
                <w:t>section 70</w:t>
              </w:r>
            </w:hyperlink>
            <w:r w:rsidRPr="000F1B6E">
              <w:rPr>
                <w:sz w:val="20"/>
                <w:lang w:eastAsia="en-CA"/>
              </w:rPr>
              <w:t xml:space="preserve"> of the </w:t>
            </w:r>
            <w:hyperlink r:id="rId70" w:history="1">
              <w:r w:rsidRPr="000F1B6E">
                <w:rPr>
                  <w:i/>
                  <w:iCs/>
                  <w:sz w:val="20"/>
                  <w:lang w:eastAsia="en-CA"/>
                </w:rPr>
                <w:t>Public Service Employee Relations Act</w:t>
              </w:r>
              <w:r w:rsidRPr="000F1B6E">
                <w:rPr>
                  <w:sz w:val="20"/>
                  <w:lang w:eastAsia="en-CA"/>
                </w:rPr>
                <w:t>, R.S.A. 2000, c P-43</w:t>
              </w:r>
            </w:hyperlink>
            <w:r w:rsidRPr="000F1B6E">
              <w:rPr>
                <w:sz w:val="20"/>
                <w:lang w:eastAsia="en-CA"/>
              </w:rPr>
              <w:t xml:space="preserve"> (“</w:t>
            </w:r>
            <w:hyperlink r:id="rId71" w:history="1">
              <w:r w:rsidRPr="000F1B6E">
                <w:rPr>
                  <w:i/>
                  <w:iCs/>
                  <w:sz w:val="20"/>
                  <w:lang w:eastAsia="en-CA"/>
                </w:rPr>
                <w:t>PSERA</w:t>
              </w:r>
            </w:hyperlink>
            <w:r w:rsidRPr="000F1B6E">
              <w:rPr>
                <w:sz w:val="20"/>
                <w:lang w:eastAsia="en-CA"/>
              </w:rPr>
              <w:t xml:space="preserve">”), which prohibits strikes.  The next day, the Board issued a directive ordering the striking AUPE members to cease their illegal strike and desist from engaging in further strike activity.  The Board further directed AUPE to take steps to notify its striking members of the directive and to “make every reasonable effort to bring the illegal strike to an end”.  The Board directives were entered as Queen’s Bench Orders pursuant to the </w:t>
            </w:r>
            <w:hyperlink r:id="rId72" w:history="1">
              <w:r w:rsidRPr="000F1B6E">
                <w:rPr>
                  <w:i/>
                  <w:iCs/>
                  <w:sz w:val="20"/>
                  <w:lang w:eastAsia="en-CA"/>
                </w:rPr>
                <w:t>Labour Relations Code</w:t>
              </w:r>
              <w:r w:rsidRPr="000F1B6E">
                <w:rPr>
                  <w:sz w:val="20"/>
                  <w:lang w:eastAsia="en-CA"/>
                </w:rPr>
                <w:t>, R.S.A. 2000, c L-1</w:t>
              </w:r>
            </w:hyperlink>
            <w:r w:rsidRPr="000F1B6E">
              <w:rPr>
                <w:sz w:val="20"/>
                <w:lang w:eastAsia="en-CA"/>
              </w:rPr>
              <w:t xml:space="preserve"> (the “</w:t>
            </w:r>
            <w:hyperlink r:id="rId73" w:history="1">
              <w:r w:rsidRPr="000F1B6E">
                <w:rPr>
                  <w:i/>
                  <w:iCs/>
                  <w:sz w:val="20"/>
                  <w:lang w:eastAsia="en-CA"/>
                </w:rPr>
                <w:t>Code</w:t>
              </w:r>
            </w:hyperlink>
            <w:r w:rsidRPr="000F1B6E">
              <w:rPr>
                <w:sz w:val="20"/>
                <w:lang w:eastAsia="en-CA"/>
              </w:rPr>
              <w:t xml:space="preserve">”).  The wildcat strike again expanded to numerous other facilities across Alberta, in spite of the Board directive.  Alberta brought a further application and the Board issued three revised directives requiring the employees to cease their illegal strike and to return to work immediately.  Further, AUPE was again directed to notify the employees of the Board directives and their obligation to comply with them.  With the strike action continuing, Alberta brought an application for an order for civil contempt and other relief against AUPE. </w:t>
            </w:r>
          </w:p>
          <w:p w:rsidR="003D1C23" w:rsidRPr="000F1B6E" w:rsidRDefault="003D1C23" w:rsidP="003D1C23">
            <w:pPr>
              <w:jc w:val="both"/>
              <w:rPr>
                <w:rFonts w:eastAsia="Calibri"/>
                <w:sz w:val="20"/>
              </w:rPr>
            </w:pPr>
          </w:p>
        </w:tc>
      </w:tr>
      <w:tr w:rsidR="003D1C23" w:rsidRPr="000F1B6E" w:rsidTr="003D1C23">
        <w:tc>
          <w:tcPr>
            <w:tcW w:w="2427" w:type="pct"/>
          </w:tcPr>
          <w:p w:rsidR="003D1C23" w:rsidRPr="000F1B6E" w:rsidRDefault="003D1C23" w:rsidP="003D1C23">
            <w:pPr>
              <w:jc w:val="both"/>
              <w:rPr>
                <w:rFonts w:eastAsia="Calibri"/>
                <w:sz w:val="20"/>
              </w:rPr>
            </w:pPr>
            <w:r w:rsidRPr="000F1B6E">
              <w:rPr>
                <w:rFonts w:eastAsia="Calibri"/>
                <w:sz w:val="20"/>
              </w:rPr>
              <w:t>April 29, 2013</w:t>
            </w:r>
          </w:p>
          <w:p w:rsidR="003D1C23" w:rsidRPr="000F1B6E" w:rsidRDefault="003D1C23" w:rsidP="003D1C23">
            <w:pPr>
              <w:jc w:val="both"/>
              <w:rPr>
                <w:rFonts w:eastAsia="Calibri"/>
                <w:sz w:val="20"/>
              </w:rPr>
            </w:pPr>
            <w:r w:rsidRPr="000F1B6E">
              <w:rPr>
                <w:rFonts w:eastAsia="Calibri"/>
                <w:sz w:val="20"/>
              </w:rPr>
              <w:t>Court of Queen’s Bench of Alberta</w:t>
            </w:r>
          </w:p>
          <w:p w:rsidR="003D1C23" w:rsidRPr="000F1B6E" w:rsidRDefault="003D1C23" w:rsidP="003D1C23">
            <w:pPr>
              <w:jc w:val="both"/>
              <w:rPr>
                <w:rFonts w:eastAsia="Calibri"/>
                <w:sz w:val="20"/>
              </w:rPr>
            </w:pPr>
            <w:r w:rsidRPr="000F1B6E">
              <w:rPr>
                <w:rFonts w:eastAsia="Calibri"/>
                <w:sz w:val="20"/>
              </w:rPr>
              <w:t>(Rooke J.)</w:t>
            </w:r>
          </w:p>
          <w:p w:rsidR="003D1C23" w:rsidRPr="000F1B6E" w:rsidRDefault="003D1C23" w:rsidP="003D1C23">
            <w:pPr>
              <w:jc w:val="both"/>
              <w:rPr>
                <w:rFonts w:eastAsia="Calibri"/>
                <w:sz w:val="20"/>
              </w:rPr>
            </w:pPr>
            <w:r w:rsidRPr="000F1B6E">
              <w:rPr>
                <w:rFonts w:eastAsia="Calibri"/>
                <w:sz w:val="20"/>
              </w:rPr>
              <w:t>Unreported</w:t>
            </w:r>
          </w:p>
        </w:tc>
        <w:tc>
          <w:tcPr>
            <w:tcW w:w="243" w:type="pct"/>
          </w:tcPr>
          <w:p w:rsidR="003D1C23" w:rsidRPr="000F1B6E" w:rsidRDefault="003D1C23" w:rsidP="003D1C23">
            <w:pPr>
              <w:jc w:val="both"/>
              <w:rPr>
                <w:rFonts w:eastAsia="Calibri"/>
                <w:sz w:val="20"/>
              </w:rPr>
            </w:pPr>
          </w:p>
        </w:tc>
        <w:tc>
          <w:tcPr>
            <w:tcW w:w="2330" w:type="pct"/>
          </w:tcPr>
          <w:p w:rsidR="003D1C23" w:rsidRPr="000F1B6E" w:rsidRDefault="003D1C23" w:rsidP="003D1C23">
            <w:pPr>
              <w:jc w:val="both"/>
              <w:rPr>
                <w:rFonts w:eastAsia="Calibri"/>
                <w:sz w:val="20"/>
              </w:rPr>
            </w:pPr>
            <w:r w:rsidRPr="000F1B6E">
              <w:rPr>
                <w:rFonts w:eastAsia="Calibri"/>
                <w:sz w:val="20"/>
              </w:rPr>
              <w:t>Union held in contempt of Board directives; court imposing obligations on union to publish certain statements and to refrain from publishing other statements on its website and elsewhere</w:t>
            </w:r>
          </w:p>
          <w:p w:rsidR="003D1C23" w:rsidRPr="000F1B6E" w:rsidRDefault="003D1C23" w:rsidP="003D1C23">
            <w:pPr>
              <w:jc w:val="both"/>
              <w:rPr>
                <w:rFonts w:eastAsia="Calibri"/>
                <w:sz w:val="20"/>
              </w:rPr>
            </w:pPr>
          </w:p>
        </w:tc>
      </w:tr>
      <w:tr w:rsidR="003D1C23" w:rsidRPr="000F1B6E" w:rsidTr="003D1C23">
        <w:tc>
          <w:tcPr>
            <w:tcW w:w="2427" w:type="pct"/>
          </w:tcPr>
          <w:p w:rsidR="003D1C23" w:rsidRPr="000F1B6E" w:rsidRDefault="003D1C23" w:rsidP="003D1C23">
            <w:pPr>
              <w:jc w:val="both"/>
              <w:rPr>
                <w:rFonts w:eastAsia="Calibri"/>
                <w:sz w:val="20"/>
              </w:rPr>
            </w:pPr>
            <w:r w:rsidRPr="000F1B6E">
              <w:rPr>
                <w:rFonts w:eastAsia="Calibri"/>
                <w:sz w:val="20"/>
              </w:rPr>
              <w:t>June 17, 2014</w:t>
            </w:r>
          </w:p>
          <w:p w:rsidR="003D1C23" w:rsidRPr="000F1B6E" w:rsidRDefault="003D1C23" w:rsidP="003D1C23">
            <w:pPr>
              <w:jc w:val="both"/>
              <w:rPr>
                <w:rFonts w:eastAsia="Calibri"/>
                <w:sz w:val="20"/>
              </w:rPr>
            </w:pPr>
            <w:r w:rsidRPr="000F1B6E">
              <w:rPr>
                <w:rFonts w:eastAsia="Calibri"/>
                <w:sz w:val="20"/>
              </w:rPr>
              <w:t>Court of Appeal of Alberta (Edmonton)</w:t>
            </w:r>
          </w:p>
          <w:p w:rsidR="003D1C23" w:rsidRPr="000F1B6E" w:rsidRDefault="003D1C23" w:rsidP="003D1C23">
            <w:pPr>
              <w:jc w:val="both"/>
              <w:rPr>
                <w:rFonts w:eastAsia="Calibri"/>
                <w:sz w:val="20"/>
              </w:rPr>
            </w:pPr>
            <w:r w:rsidRPr="000F1B6E">
              <w:rPr>
                <w:rFonts w:eastAsia="Calibri"/>
                <w:sz w:val="20"/>
              </w:rPr>
              <w:t>(Picard, Veldhuis and Brown JJ.A.)</w:t>
            </w:r>
          </w:p>
          <w:p w:rsidR="003D1C23" w:rsidRPr="000F1B6E" w:rsidRDefault="00E42AAB" w:rsidP="003D1C23">
            <w:pPr>
              <w:jc w:val="both"/>
              <w:rPr>
                <w:rFonts w:eastAsia="Calibri"/>
                <w:sz w:val="20"/>
              </w:rPr>
            </w:pPr>
            <w:hyperlink r:id="rId74" w:history="1">
              <w:r w:rsidR="003D1C23" w:rsidRPr="000F1B6E">
                <w:rPr>
                  <w:rFonts w:eastAsia="Calibri"/>
                  <w:color w:val="0000FF"/>
                  <w:sz w:val="20"/>
                  <w:u w:val="single"/>
                </w:rPr>
                <w:t>2014 ABCA 197</w:t>
              </w:r>
            </w:hyperlink>
          </w:p>
          <w:p w:rsidR="003D1C23" w:rsidRPr="000F1B6E" w:rsidRDefault="003D1C23" w:rsidP="003D1C23">
            <w:pPr>
              <w:jc w:val="both"/>
              <w:rPr>
                <w:rFonts w:eastAsia="Calibri"/>
                <w:sz w:val="20"/>
              </w:rPr>
            </w:pPr>
          </w:p>
        </w:tc>
        <w:tc>
          <w:tcPr>
            <w:tcW w:w="243" w:type="pct"/>
          </w:tcPr>
          <w:p w:rsidR="003D1C23" w:rsidRPr="000F1B6E" w:rsidRDefault="003D1C23" w:rsidP="003D1C23">
            <w:pPr>
              <w:jc w:val="both"/>
              <w:rPr>
                <w:rFonts w:eastAsia="Calibri"/>
                <w:sz w:val="20"/>
              </w:rPr>
            </w:pPr>
          </w:p>
        </w:tc>
        <w:tc>
          <w:tcPr>
            <w:tcW w:w="2330" w:type="pct"/>
          </w:tcPr>
          <w:p w:rsidR="003D1C23" w:rsidRPr="000F1B6E" w:rsidRDefault="003D1C23" w:rsidP="003D1C23">
            <w:pPr>
              <w:jc w:val="both"/>
              <w:rPr>
                <w:rFonts w:eastAsia="Calibri"/>
                <w:sz w:val="20"/>
              </w:rPr>
            </w:pPr>
            <w:r w:rsidRPr="000F1B6E">
              <w:rPr>
                <w:rFonts w:eastAsia="Calibri"/>
                <w:sz w:val="20"/>
              </w:rPr>
              <w:t>Union’s appeal allowed in part; orders  infringing union’s freedom of speech struck</w:t>
            </w:r>
          </w:p>
          <w:p w:rsidR="003D1C23" w:rsidRPr="000F1B6E" w:rsidRDefault="003D1C23" w:rsidP="003D1C23">
            <w:pPr>
              <w:jc w:val="both"/>
              <w:rPr>
                <w:rFonts w:eastAsia="Calibri"/>
                <w:sz w:val="20"/>
              </w:rPr>
            </w:pPr>
          </w:p>
          <w:p w:rsidR="003D1C23" w:rsidRPr="000F1B6E" w:rsidRDefault="003D1C23" w:rsidP="003D1C23">
            <w:pPr>
              <w:jc w:val="both"/>
              <w:rPr>
                <w:rFonts w:eastAsia="Calibri"/>
                <w:sz w:val="20"/>
              </w:rPr>
            </w:pPr>
          </w:p>
        </w:tc>
      </w:tr>
      <w:tr w:rsidR="003D1C23" w:rsidRPr="000F1B6E" w:rsidTr="003D1C23">
        <w:tc>
          <w:tcPr>
            <w:tcW w:w="2427" w:type="pct"/>
          </w:tcPr>
          <w:p w:rsidR="003D1C23" w:rsidRPr="000F1B6E" w:rsidRDefault="003D1C23" w:rsidP="003D1C23">
            <w:pPr>
              <w:jc w:val="both"/>
              <w:rPr>
                <w:rFonts w:eastAsia="Calibri"/>
                <w:sz w:val="20"/>
              </w:rPr>
            </w:pPr>
            <w:r w:rsidRPr="000F1B6E">
              <w:rPr>
                <w:rFonts w:eastAsia="Calibri"/>
                <w:sz w:val="20"/>
              </w:rPr>
              <w:t>September 12, 2014</w:t>
            </w:r>
          </w:p>
          <w:p w:rsidR="003D1C23" w:rsidRPr="000F1B6E" w:rsidRDefault="003D1C23" w:rsidP="003D1C23">
            <w:pPr>
              <w:jc w:val="both"/>
              <w:rPr>
                <w:rFonts w:eastAsia="Calibri"/>
                <w:sz w:val="20"/>
              </w:rPr>
            </w:pPr>
            <w:r w:rsidRPr="000F1B6E">
              <w:rPr>
                <w:rFonts w:eastAsia="Calibri"/>
                <w:sz w:val="20"/>
              </w:rPr>
              <w:t>Supreme Court of Canada</w:t>
            </w:r>
          </w:p>
        </w:tc>
        <w:tc>
          <w:tcPr>
            <w:tcW w:w="243" w:type="pct"/>
          </w:tcPr>
          <w:p w:rsidR="003D1C23" w:rsidRPr="000F1B6E" w:rsidRDefault="003D1C23" w:rsidP="003D1C23">
            <w:pPr>
              <w:jc w:val="both"/>
              <w:rPr>
                <w:rFonts w:eastAsia="Calibri"/>
                <w:sz w:val="20"/>
              </w:rPr>
            </w:pPr>
          </w:p>
        </w:tc>
        <w:tc>
          <w:tcPr>
            <w:tcW w:w="2330" w:type="pct"/>
          </w:tcPr>
          <w:p w:rsidR="003D1C23" w:rsidRPr="000F1B6E" w:rsidRDefault="003D1C23" w:rsidP="003D1C23">
            <w:pPr>
              <w:jc w:val="both"/>
              <w:rPr>
                <w:rFonts w:eastAsia="Calibri"/>
                <w:sz w:val="20"/>
              </w:rPr>
            </w:pPr>
            <w:r w:rsidRPr="000F1B6E">
              <w:rPr>
                <w:rFonts w:eastAsia="Calibri"/>
                <w:sz w:val="20"/>
              </w:rPr>
              <w:t>Application for leave to appeal filed</w:t>
            </w:r>
          </w:p>
          <w:p w:rsidR="003D1C23" w:rsidRPr="000F1B6E" w:rsidRDefault="003D1C23" w:rsidP="003D1C23">
            <w:pPr>
              <w:jc w:val="both"/>
              <w:rPr>
                <w:rFonts w:eastAsia="Calibri"/>
                <w:sz w:val="20"/>
              </w:rPr>
            </w:pPr>
          </w:p>
        </w:tc>
      </w:tr>
    </w:tbl>
    <w:p w:rsidR="00124C37" w:rsidRPr="003D1C23" w:rsidRDefault="00124C37" w:rsidP="00124C37">
      <w:pPr>
        <w:rPr>
          <w:sz w:val="20"/>
          <w:szCs w:val="20"/>
        </w:rPr>
      </w:pPr>
    </w:p>
    <w:p w:rsidR="00124C37" w:rsidRPr="00C50A5C" w:rsidRDefault="00E42AAB" w:rsidP="00124C37">
      <w:pPr>
        <w:rPr>
          <w:sz w:val="20"/>
          <w:szCs w:val="20"/>
        </w:rPr>
      </w:pPr>
      <w:r>
        <w:rPr>
          <w:sz w:val="20"/>
          <w:szCs w:val="20"/>
          <w:lang w:val="fr-CA"/>
        </w:rPr>
        <w:pict>
          <v:rect id="_x0000_i1069" style="width:2in;height:1pt" o:hrpct="0" o:hralign="center" o:hrstd="t" o:hrnoshade="t" o:hr="t" fillcolor="black [3213]" stroked="f"/>
        </w:pict>
      </w:r>
    </w:p>
    <w:p w:rsidR="00124C37" w:rsidRDefault="00124C37" w:rsidP="00124C37">
      <w:pPr>
        <w:rPr>
          <w:sz w:val="20"/>
          <w:szCs w:val="20"/>
        </w:rPr>
      </w:pPr>
    </w:p>
    <w:p w:rsidR="00124C37" w:rsidRPr="001B157C" w:rsidRDefault="00124C37" w:rsidP="00124C37">
      <w:pPr>
        <w:rPr>
          <w:sz w:val="20"/>
          <w:szCs w:val="20"/>
          <w:u w:val="single"/>
          <w:lang w:val="fr-CA"/>
        </w:rPr>
      </w:pPr>
      <w:r w:rsidRPr="001B157C">
        <w:rPr>
          <w:sz w:val="20"/>
          <w:szCs w:val="20"/>
          <w:u w:val="single"/>
          <w:lang w:val="fr-CA"/>
        </w:rPr>
        <w:t>RÉSUMÉ DE L’AFFAIRE</w:t>
      </w:r>
    </w:p>
    <w:p w:rsidR="00124C37" w:rsidRDefault="00124C37" w:rsidP="00124C3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D1C23" w:rsidRPr="0025502E" w:rsidTr="003D1C23">
        <w:tc>
          <w:tcPr>
            <w:tcW w:w="5000" w:type="pct"/>
            <w:gridSpan w:val="3"/>
          </w:tcPr>
          <w:p w:rsidR="003D1C23" w:rsidRPr="000F1B6E" w:rsidRDefault="003D1C23" w:rsidP="003D1C23">
            <w:pPr>
              <w:jc w:val="both"/>
              <w:rPr>
                <w:rFonts w:eastAsia="Calibri"/>
                <w:sz w:val="20"/>
                <w:lang w:val="fr-CA"/>
              </w:rPr>
            </w:pPr>
            <w:r w:rsidRPr="000F1B6E">
              <w:rPr>
                <w:rFonts w:eastAsia="Calibri"/>
                <w:i/>
                <w:sz w:val="20"/>
                <w:lang w:val="fr-CA"/>
              </w:rPr>
              <w:t xml:space="preserve">Charte des droits </w:t>
            </w:r>
            <w:r w:rsidRPr="000F1B6E">
              <w:rPr>
                <w:rFonts w:eastAsia="Calibri"/>
                <w:sz w:val="20"/>
                <w:lang w:val="fr-CA"/>
              </w:rPr>
              <w:t>– Liberté d’expression – Relations du travail – Syndicats – Des membres d’une unité de négociation ont poursuivi une grève illégale en contravention à des directives émises par l’Alberta Relations Board – Le syndicat a été déclaré coupable d’outrage au tribunal – Des directives supplémentaires précisaient que le syndicat devait publier des déclarations invitant les membres à retourner au travail – Le jugement de la Cour d’appel est-il fondamentalement incompatible avec le droit canadien du travail? – Les restrictions imposées à l’expression d’un agent négociateur en lien avec les grèves illégales sont-elles implicites et explicites dans les lois au Canada? – La procédure pour outrage au tribunal est-elle la bonne instance pour statuer sur le fond de l’ordonnance d’un tribunal inférieur?</w:t>
            </w:r>
          </w:p>
          <w:p w:rsidR="003D1C23" w:rsidRPr="000F1B6E" w:rsidRDefault="003D1C23" w:rsidP="003D1C23">
            <w:pPr>
              <w:jc w:val="both"/>
              <w:rPr>
                <w:rFonts w:eastAsia="Calibri"/>
                <w:sz w:val="20"/>
                <w:lang w:val="fr-CA"/>
              </w:rPr>
            </w:pPr>
          </w:p>
        </w:tc>
      </w:tr>
      <w:tr w:rsidR="003D1C23" w:rsidRPr="0025502E" w:rsidTr="003D1C23">
        <w:tc>
          <w:tcPr>
            <w:tcW w:w="5000" w:type="pct"/>
            <w:gridSpan w:val="3"/>
          </w:tcPr>
          <w:p w:rsidR="003D1C23" w:rsidRPr="000F1B6E" w:rsidRDefault="003D1C23" w:rsidP="003D1C23">
            <w:pPr>
              <w:jc w:val="both"/>
              <w:rPr>
                <w:sz w:val="20"/>
                <w:lang w:val="fr-CA" w:eastAsia="en-CA"/>
              </w:rPr>
            </w:pPr>
            <w:r w:rsidRPr="000F1B6E">
              <w:rPr>
                <w:sz w:val="20"/>
                <w:lang w:val="fr-CA" w:eastAsia="en-CA"/>
              </w:rPr>
              <w:lastRenderedPageBreak/>
              <w:t xml:space="preserve">L’Alberta Union of Public Employees (« AUPE ») a été déclaré coupable d’outrage au tribunal au civil pour non-respect des directives émises par l’Alberta Labour Relations Board (« la Commission ») relativement à une grève sauvage à plusieurs établissements correctionnels à l’échelle de la province.  Le 26 avril 2013, plusieurs membres de l’AUPE – des agents de la paix correctionnels et des préposés aux services – ont débrayé au centre de détention provisoire d’Edmonton en réaction à la suspension de deux membres de l’AUPE qui avaient exprimé des préoccupations relatives à la santé et la sécurité touchant leurs conditions de travail.  D’autres membres de l’AUPE ont débrayé plus tard ce jour-là et dans la soirée à plusieurs autres établissements correctionnels.  Le gouvernement de l’Alberta demandeur a déposé une plainte à la Commission, alléguant que l’AUPE avait violé l’article 70 de la </w:t>
            </w:r>
            <w:hyperlink r:id="rId75" w:history="1">
              <w:r w:rsidRPr="000F1B6E">
                <w:rPr>
                  <w:i/>
                  <w:iCs/>
                  <w:sz w:val="20"/>
                  <w:lang w:val="fr-CA" w:eastAsia="en-CA"/>
                </w:rPr>
                <w:t>Public Service Employee Relations Act</w:t>
              </w:r>
              <w:r w:rsidRPr="000F1B6E">
                <w:rPr>
                  <w:sz w:val="20"/>
                  <w:lang w:val="fr-CA" w:eastAsia="en-CA"/>
                </w:rPr>
                <w:t>, R.S.A. 2000, ch P-43</w:t>
              </w:r>
            </w:hyperlink>
            <w:r w:rsidRPr="000F1B6E">
              <w:rPr>
                <w:sz w:val="20"/>
                <w:lang w:val="fr-CA" w:eastAsia="en-CA"/>
              </w:rPr>
              <w:t xml:space="preserve"> (« </w:t>
            </w:r>
            <w:hyperlink r:id="rId76" w:history="1">
              <w:r w:rsidRPr="000F1B6E">
                <w:rPr>
                  <w:i/>
                  <w:iCs/>
                  <w:sz w:val="20"/>
                  <w:lang w:val="fr-CA" w:eastAsia="en-CA"/>
                </w:rPr>
                <w:t>PSERA</w:t>
              </w:r>
            </w:hyperlink>
            <w:r w:rsidRPr="000F1B6E">
              <w:rPr>
                <w:sz w:val="20"/>
                <w:lang w:val="fr-CA" w:eastAsia="en-CA"/>
              </w:rPr>
              <w:t> »), qui interdit les grèves. Le lendemain, la Commission a émis une directive ordonnant aux membres en grève de l’AUPE de mettre fin à leur grève illégale et de ne se livrer à aucune autre activité de grève.  En outre, la Commission a ordonné à l’AUPE de prendre des mesures pour aviser ses membres en grève de la directive et [</w:t>
            </w:r>
            <w:r w:rsidRPr="000F1B6E">
              <w:rPr>
                <w:smallCaps/>
                <w:sz w:val="20"/>
                <w:lang w:val="fr-CA" w:eastAsia="en-CA"/>
              </w:rPr>
              <w:t>traduction</w:t>
            </w:r>
            <w:r w:rsidRPr="000F1B6E">
              <w:rPr>
                <w:sz w:val="20"/>
                <w:lang w:val="fr-CA" w:eastAsia="en-CA"/>
              </w:rPr>
              <w:t xml:space="preserve">] « de faire tous les efforts raisonnables pour mettre fin à la grève illégale ».  Les directives de la Commission ont été inscrites en tant qu’ordonnances de la Cour du Banc de la Reine en application du </w:t>
            </w:r>
            <w:hyperlink r:id="rId77" w:history="1">
              <w:r w:rsidRPr="000F1B6E">
                <w:rPr>
                  <w:i/>
                  <w:iCs/>
                  <w:sz w:val="20"/>
                  <w:lang w:val="fr-CA" w:eastAsia="en-CA"/>
                </w:rPr>
                <w:t>Labour Relations Code</w:t>
              </w:r>
              <w:r w:rsidRPr="000F1B6E">
                <w:rPr>
                  <w:sz w:val="20"/>
                  <w:lang w:val="fr-CA" w:eastAsia="en-CA"/>
                </w:rPr>
                <w:t>, R.S.A. 2000, ch. L-1</w:t>
              </w:r>
            </w:hyperlink>
            <w:r w:rsidRPr="000F1B6E">
              <w:rPr>
                <w:sz w:val="20"/>
                <w:lang w:val="fr-CA" w:eastAsia="en-CA"/>
              </w:rPr>
              <w:t xml:space="preserve"> (le « </w:t>
            </w:r>
            <w:hyperlink r:id="rId78" w:history="1">
              <w:r w:rsidRPr="000F1B6E">
                <w:rPr>
                  <w:i/>
                  <w:iCs/>
                  <w:sz w:val="20"/>
                  <w:lang w:val="fr-CA" w:eastAsia="en-CA"/>
                </w:rPr>
                <w:t>Code</w:t>
              </w:r>
            </w:hyperlink>
            <w:r w:rsidRPr="000F1B6E">
              <w:rPr>
                <w:sz w:val="20"/>
                <w:lang w:val="fr-CA" w:eastAsia="en-CA"/>
              </w:rPr>
              <w:t xml:space="preserve"> »).  La grève sauvage s’est de nouveau répandue à de nombreux autres établissements en Alberta, malgré la directive de la Commission.  L’Alberta a présenté une autre demande et la Commission a émis trois directives révisées obligeant les employés à cesser leur grève illégale et à retourner au travail immédiatement.  En outre, l’AUPE a de nouveau été enjointe d’aviser les employés des directives de la Commission et de leur obligation de s’y conformer.  Devant la poursuite des activités de grève, l’Alberta a présenté une demande en vue d’obtenir un verdict d’outrage au tribunal civil et d’autres mesures de redressement contre l’AUPE. </w:t>
            </w:r>
          </w:p>
          <w:p w:rsidR="003D1C23" w:rsidRPr="000F1B6E" w:rsidRDefault="003D1C23" w:rsidP="003D1C23">
            <w:pPr>
              <w:jc w:val="both"/>
              <w:rPr>
                <w:rFonts w:eastAsia="Calibri"/>
                <w:sz w:val="20"/>
                <w:lang w:val="fr-CA"/>
              </w:rPr>
            </w:pPr>
          </w:p>
        </w:tc>
      </w:tr>
      <w:tr w:rsidR="003D1C23" w:rsidRPr="0025502E" w:rsidTr="003D1C23">
        <w:trPr>
          <w:cantSplit/>
        </w:trPr>
        <w:tc>
          <w:tcPr>
            <w:tcW w:w="2427" w:type="pct"/>
          </w:tcPr>
          <w:p w:rsidR="003D1C23" w:rsidRPr="000F1B6E" w:rsidRDefault="003D1C23" w:rsidP="003D1C23">
            <w:pPr>
              <w:jc w:val="both"/>
              <w:rPr>
                <w:rFonts w:eastAsia="Calibri"/>
                <w:sz w:val="20"/>
                <w:lang w:val="fr-CA"/>
              </w:rPr>
            </w:pPr>
            <w:r w:rsidRPr="000F1B6E">
              <w:rPr>
                <w:rFonts w:eastAsia="Calibri"/>
                <w:sz w:val="20"/>
                <w:lang w:val="fr-CA"/>
              </w:rPr>
              <w:t>29 avril 2013</w:t>
            </w:r>
          </w:p>
          <w:p w:rsidR="003D1C23" w:rsidRPr="000F1B6E" w:rsidRDefault="003D1C23" w:rsidP="003D1C23">
            <w:pPr>
              <w:jc w:val="both"/>
              <w:rPr>
                <w:rFonts w:eastAsia="Calibri"/>
                <w:sz w:val="20"/>
                <w:lang w:val="fr-CA"/>
              </w:rPr>
            </w:pPr>
            <w:r w:rsidRPr="000F1B6E">
              <w:rPr>
                <w:rFonts w:eastAsia="Calibri"/>
                <w:sz w:val="20"/>
                <w:lang w:val="fr-CA"/>
              </w:rPr>
              <w:t>Cour du Banc de la Reine de l’Alberta</w:t>
            </w:r>
          </w:p>
          <w:p w:rsidR="003D1C23" w:rsidRPr="000F1B6E" w:rsidRDefault="003D1C23" w:rsidP="003D1C23">
            <w:pPr>
              <w:jc w:val="both"/>
              <w:rPr>
                <w:rFonts w:eastAsia="Calibri"/>
                <w:sz w:val="20"/>
                <w:lang w:val="fr-CA"/>
              </w:rPr>
            </w:pPr>
            <w:r w:rsidRPr="000F1B6E">
              <w:rPr>
                <w:rFonts w:eastAsia="Calibri"/>
                <w:sz w:val="20"/>
                <w:lang w:val="fr-CA"/>
              </w:rPr>
              <w:t>(Juge Rooke)</w:t>
            </w:r>
          </w:p>
          <w:p w:rsidR="003D1C23" w:rsidRPr="000F1B6E" w:rsidRDefault="003D1C23" w:rsidP="003D1C23">
            <w:pPr>
              <w:jc w:val="both"/>
              <w:rPr>
                <w:rFonts w:eastAsia="Calibri"/>
                <w:sz w:val="20"/>
                <w:lang w:val="fr-CA"/>
              </w:rPr>
            </w:pPr>
            <w:r w:rsidRPr="000F1B6E">
              <w:rPr>
                <w:rFonts w:eastAsia="Calibri"/>
                <w:sz w:val="20"/>
                <w:lang w:val="fr-CA"/>
              </w:rPr>
              <w:t>Non publié</w:t>
            </w:r>
          </w:p>
        </w:tc>
        <w:tc>
          <w:tcPr>
            <w:tcW w:w="243" w:type="pct"/>
          </w:tcPr>
          <w:p w:rsidR="003D1C23" w:rsidRPr="000F1B6E" w:rsidRDefault="003D1C23" w:rsidP="003D1C23">
            <w:pPr>
              <w:jc w:val="both"/>
              <w:rPr>
                <w:rFonts w:eastAsia="Calibri"/>
                <w:sz w:val="20"/>
                <w:lang w:val="fr-CA"/>
              </w:rPr>
            </w:pPr>
          </w:p>
        </w:tc>
        <w:tc>
          <w:tcPr>
            <w:tcW w:w="2330" w:type="pct"/>
          </w:tcPr>
          <w:p w:rsidR="003D1C23" w:rsidRPr="000F1B6E" w:rsidRDefault="003D1C23" w:rsidP="003D1C23">
            <w:pPr>
              <w:jc w:val="both"/>
              <w:rPr>
                <w:rFonts w:eastAsia="Calibri"/>
                <w:sz w:val="20"/>
                <w:lang w:val="fr-CA"/>
              </w:rPr>
            </w:pPr>
            <w:r w:rsidRPr="000F1B6E">
              <w:rPr>
                <w:rFonts w:eastAsia="Calibri"/>
                <w:sz w:val="20"/>
                <w:lang w:val="fr-CA"/>
              </w:rPr>
              <w:t xml:space="preserve">Jugement déclarant le syndicat coupable d’outrage au tribunal pour non-respect des directives de la Commission; jugement imposant au syndicat les obligations de publier certaines déclarations et de ne pas publier d’autres déclarations sur son site Web et ailleurs </w:t>
            </w:r>
          </w:p>
          <w:p w:rsidR="003D1C23" w:rsidRPr="000F1B6E" w:rsidRDefault="003D1C23" w:rsidP="003D1C23">
            <w:pPr>
              <w:jc w:val="both"/>
              <w:rPr>
                <w:rFonts w:eastAsia="Calibri"/>
                <w:sz w:val="20"/>
                <w:lang w:val="fr-CA"/>
              </w:rPr>
            </w:pPr>
          </w:p>
        </w:tc>
      </w:tr>
      <w:tr w:rsidR="003D1C23" w:rsidRPr="0025502E" w:rsidTr="003D1C23">
        <w:trPr>
          <w:cantSplit/>
        </w:trPr>
        <w:tc>
          <w:tcPr>
            <w:tcW w:w="2427" w:type="pct"/>
          </w:tcPr>
          <w:p w:rsidR="003D1C23" w:rsidRPr="000F1B6E" w:rsidRDefault="003D1C23" w:rsidP="003D1C23">
            <w:pPr>
              <w:jc w:val="both"/>
              <w:rPr>
                <w:rFonts w:eastAsia="Calibri"/>
                <w:sz w:val="20"/>
                <w:lang w:val="fr-CA"/>
              </w:rPr>
            </w:pPr>
            <w:r w:rsidRPr="000F1B6E">
              <w:rPr>
                <w:rFonts w:eastAsia="Calibri"/>
                <w:sz w:val="20"/>
                <w:lang w:val="fr-CA"/>
              </w:rPr>
              <w:t>17 juin 2014</w:t>
            </w:r>
          </w:p>
          <w:p w:rsidR="003D1C23" w:rsidRPr="000F1B6E" w:rsidRDefault="003D1C23" w:rsidP="003D1C23">
            <w:pPr>
              <w:jc w:val="both"/>
              <w:rPr>
                <w:rFonts w:eastAsia="Calibri"/>
                <w:sz w:val="20"/>
                <w:lang w:val="fr-CA"/>
              </w:rPr>
            </w:pPr>
            <w:r w:rsidRPr="000F1B6E">
              <w:rPr>
                <w:rFonts w:eastAsia="Calibri"/>
                <w:sz w:val="20"/>
                <w:lang w:val="fr-CA"/>
              </w:rPr>
              <w:t>Cour d’appel de l’Alberta (Edmonton)</w:t>
            </w:r>
          </w:p>
          <w:p w:rsidR="003D1C23" w:rsidRPr="000F1B6E" w:rsidRDefault="003D1C23" w:rsidP="003D1C23">
            <w:pPr>
              <w:jc w:val="both"/>
              <w:rPr>
                <w:rFonts w:eastAsia="Calibri"/>
                <w:sz w:val="20"/>
                <w:lang w:val="fr-CA"/>
              </w:rPr>
            </w:pPr>
            <w:r w:rsidRPr="000F1B6E">
              <w:rPr>
                <w:rFonts w:eastAsia="Calibri"/>
                <w:sz w:val="20"/>
                <w:lang w:val="fr-CA"/>
              </w:rPr>
              <w:t>(Juges Picard, Veldhuis et Brown)</w:t>
            </w:r>
          </w:p>
          <w:p w:rsidR="003D1C23" w:rsidRPr="000F1B6E" w:rsidRDefault="00E42AAB" w:rsidP="003D1C23">
            <w:pPr>
              <w:jc w:val="both"/>
              <w:rPr>
                <w:rFonts w:eastAsia="Calibri"/>
                <w:sz w:val="20"/>
                <w:lang w:val="fr-CA"/>
              </w:rPr>
            </w:pPr>
            <w:hyperlink r:id="rId79" w:history="1">
              <w:r w:rsidR="003D1C23" w:rsidRPr="000F1B6E">
                <w:rPr>
                  <w:rFonts w:eastAsia="Calibri"/>
                  <w:color w:val="0000FF"/>
                  <w:sz w:val="20"/>
                  <w:u w:val="single"/>
                  <w:lang w:val="fr-CA"/>
                </w:rPr>
                <w:t>2014 ABCA 197</w:t>
              </w:r>
            </w:hyperlink>
          </w:p>
          <w:p w:rsidR="003D1C23" w:rsidRPr="000F1B6E" w:rsidRDefault="003D1C23" w:rsidP="003D1C23">
            <w:pPr>
              <w:jc w:val="both"/>
              <w:rPr>
                <w:rFonts w:eastAsia="Calibri"/>
                <w:sz w:val="20"/>
                <w:lang w:val="fr-CA"/>
              </w:rPr>
            </w:pPr>
          </w:p>
        </w:tc>
        <w:tc>
          <w:tcPr>
            <w:tcW w:w="243" w:type="pct"/>
          </w:tcPr>
          <w:p w:rsidR="003D1C23" w:rsidRPr="000F1B6E" w:rsidRDefault="003D1C23" w:rsidP="003D1C23">
            <w:pPr>
              <w:jc w:val="both"/>
              <w:rPr>
                <w:rFonts w:eastAsia="Calibri"/>
                <w:sz w:val="20"/>
                <w:lang w:val="fr-CA"/>
              </w:rPr>
            </w:pPr>
          </w:p>
        </w:tc>
        <w:tc>
          <w:tcPr>
            <w:tcW w:w="2330" w:type="pct"/>
          </w:tcPr>
          <w:p w:rsidR="003D1C23" w:rsidRPr="000F1B6E" w:rsidRDefault="003D1C23" w:rsidP="003D1C23">
            <w:pPr>
              <w:jc w:val="both"/>
              <w:rPr>
                <w:rFonts w:eastAsia="Calibri"/>
                <w:sz w:val="20"/>
                <w:lang w:val="fr-CA"/>
              </w:rPr>
            </w:pPr>
            <w:r w:rsidRPr="000F1B6E">
              <w:rPr>
                <w:rFonts w:eastAsia="Calibri"/>
                <w:sz w:val="20"/>
                <w:lang w:val="fr-CA"/>
              </w:rPr>
              <w:t xml:space="preserve">Jugement accueillant en partie l’appel du syndicat; radiation des ordonnances qui violent la liberté d’expression du syndicat </w:t>
            </w:r>
          </w:p>
          <w:p w:rsidR="003D1C23" w:rsidRPr="000F1B6E" w:rsidRDefault="003D1C23" w:rsidP="003D1C23">
            <w:pPr>
              <w:jc w:val="both"/>
              <w:rPr>
                <w:rFonts w:eastAsia="Calibri"/>
                <w:sz w:val="20"/>
                <w:lang w:val="fr-CA"/>
              </w:rPr>
            </w:pPr>
          </w:p>
          <w:p w:rsidR="003D1C23" w:rsidRPr="000F1B6E" w:rsidRDefault="003D1C23" w:rsidP="003D1C23">
            <w:pPr>
              <w:jc w:val="both"/>
              <w:rPr>
                <w:rFonts w:eastAsia="Calibri"/>
                <w:sz w:val="20"/>
                <w:lang w:val="fr-CA"/>
              </w:rPr>
            </w:pPr>
          </w:p>
        </w:tc>
      </w:tr>
      <w:tr w:rsidR="003D1C23" w:rsidRPr="0025502E" w:rsidTr="003D1C23">
        <w:trPr>
          <w:cantSplit/>
        </w:trPr>
        <w:tc>
          <w:tcPr>
            <w:tcW w:w="2427" w:type="pct"/>
          </w:tcPr>
          <w:p w:rsidR="003D1C23" w:rsidRPr="000F1B6E" w:rsidRDefault="003D1C23" w:rsidP="003D1C23">
            <w:pPr>
              <w:jc w:val="both"/>
              <w:rPr>
                <w:rFonts w:eastAsia="Calibri"/>
                <w:sz w:val="20"/>
                <w:lang w:val="fr-CA"/>
              </w:rPr>
            </w:pPr>
            <w:r w:rsidRPr="000F1B6E">
              <w:rPr>
                <w:rFonts w:eastAsia="Calibri"/>
                <w:sz w:val="20"/>
                <w:lang w:val="fr-CA"/>
              </w:rPr>
              <w:t>12 septembre 2014</w:t>
            </w:r>
          </w:p>
          <w:p w:rsidR="003D1C23" w:rsidRPr="000F1B6E" w:rsidRDefault="003D1C23" w:rsidP="003D1C23">
            <w:pPr>
              <w:jc w:val="both"/>
              <w:rPr>
                <w:rFonts w:eastAsia="Calibri"/>
                <w:sz w:val="20"/>
                <w:lang w:val="fr-CA"/>
              </w:rPr>
            </w:pPr>
            <w:r w:rsidRPr="000F1B6E">
              <w:rPr>
                <w:rFonts w:eastAsia="Calibri"/>
                <w:sz w:val="20"/>
                <w:lang w:val="fr-CA"/>
              </w:rPr>
              <w:t>Cour suprême du Canada</w:t>
            </w:r>
          </w:p>
        </w:tc>
        <w:tc>
          <w:tcPr>
            <w:tcW w:w="243" w:type="pct"/>
          </w:tcPr>
          <w:p w:rsidR="003D1C23" w:rsidRPr="000F1B6E" w:rsidRDefault="003D1C23" w:rsidP="003D1C23">
            <w:pPr>
              <w:jc w:val="both"/>
              <w:rPr>
                <w:rFonts w:eastAsia="Calibri"/>
                <w:sz w:val="20"/>
                <w:lang w:val="fr-CA"/>
              </w:rPr>
            </w:pPr>
          </w:p>
        </w:tc>
        <w:tc>
          <w:tcPr>
            <w:tcW w:w="2330" w:type="pct"/>
          </w:tcPr>
          <w:p w:rsidR="003D1C23" w:rsidRPr="000F1B6E" w:rsidRDefault="003D1C23" w:rsidP="003D1C23">
            <w:pPr>
              <w:jc w:val="both"/>
              <w:rPr>
                <w:rFonts w:eastAsia="Calibri"/>
                <w:sz w:val="20"/>
                <w:lang w:val="fr-CA"/>
              </w:rPr>
            </w:pPr>
            <w:r w:rsidRPr="000F1B6E">
              <w:rPr>
                <w:rFonts w:eastAsia="Calibri"/>
                <w:sz w:val="20"/>
                <w:lang w:val="fr-CA"/>
              </w:rPr>
              <w:t>Dépôt de la demande d’autorisation d’appel</w:t>
            </w:r>
          </w:p>
        </w:tc>
      </w:tr>
    </w:tbl>
    <w:p w:rsidR="00124C37" w:rsidRPr="003D1C23" w:rsidRDefault="00124C37" w:rsidP="00124C37">
      <w:pPr>
        <w:rPr>
          <w:sz w:val="20"/>
          <w:szCs w:val="20"/>
          <w:lang w:val="fr-CA"/>
        </w:rPr>
      </w:pPr>
    </w:p>
    <w:p w:rsidR="00124C37" w:rsidRDefault="00E42AAB" w:rsidP="00124C37">
      <w:pPr>
        <w:rPr>
          <w:sz w:val="20"/>
          <w:szCs w:val="20"/>
        </w:rPr>
      </w:pPr>
      <w:r>
        <w:rPr>
          <w:sz w:val="20"/>
          <w:szCs w:val="20"/>
          <w:lang w:val="fr-CA"/>
        </w:rPr>
        <w:pict>
          <v:rect id="_x0000_i1070" style="width:2in;height:1pt" o:hrpct="0" o:hralign="center" o:hrstd="t" o:hrnoshade="t" o:hr="t" fillcolor="black [3213]" stroked="f"/>
        </w:pict>
      </w:r>
    </w:p>
    <w:p w:rsidR="00124C37" w:rsidRDefault="00124C37" w:rsidP="00124C37">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03DFB" w:rsidRPr="00E7075A" w:rsidTr="00C64462">
        <w:trPr>
          <w:cantSplit/>
        </w:trPr>
        <w:tc>
          <w:tcPr>
            <w:tcW w:w="1458" w:type="dxa"/>
          </w:tcPr>
          <w:p w:rsidR="00803DFB" w:rsidRPr="00E7075A" w:rsidRDefault="00803DFB" w:rsidP="00C64462">
            <w:pPr>
              <w:rPr>
                <w:sz w:val="20"/>
                <w:szCs w:val="20"/>
              </w:rPr>
            </w:pPr>
            <w:r w:rsidRPr="00E7075A">
              <w:rPr>
                <w:rStyle w:val="SCCFileNumberChar"/>
                <w:sz w:val="20"/>
                <w:szCs w:val="20"/>
              </w:rPr>
              <w:t>36076</w:t>
            </w:r>
          </w:p>
          <w:p w:rsidR="00803DFB" w:rsidRPr="00E7075A" w:rsidRDefault="00803DFB" w:rsidP="00C64462">
            <w:pPr>
              <w:rPr>
                <w:b/>
                <w:sz w:val="20"/>
                <w:szCs w:val="20"/>
                <w:lang w:val="fr-CA"/>
              </w:rPr>
            </w:pPr>
          </w:p>
        </w:tc>
        <w:tc>
          <w:tcPr>
            <w:tcW w:w="8118" w:type="dxa"/>
          </w:tcPr>
          <w:p w:rsidR="00803DFB" w:rsidRPr="00E7075A" w:rsidRDefault="00803DFB" w:rsidP="00C64462">
            <w:pPr>
              <w:jc w:val="both"/>
              <w:rPr>
                <w:sz w:val="20"/>
                <w:szCs w:val="20"/>
              </w:rPr>
            </w:pPr>
            <w:r w:rsidRPr="00803DFB">
              <w:rPr>
                <w:rStyle w:val="SCCLsocChar"/>
                <w:sz w:val="20"/>
                <w:szCs w:val="20"/>
                <w:lang w:val="en-CA"/>
              </w:rPr>
              <w:t>Lawyers’ Professional Indemnity Company v. Simpson Wigle Law LLP, Mary Catherine Wigle, as Estate Trustee of the Estate of Francis Wigle, deceased, and Paul Milne</w:t>
            </w:r>
            <w:r w:rsidRPr="00E7075A">
              <w:rPr>
                <w:sz w:val="20"/>
                <w:szCs w:val="20"/>
              </w:rPr>
              <w:t xml:space="preserve"> (Ont.) (Civil) (By Leave)</w:t>
            </w:r>
          </w:p>
          <w:p w:rsidR="00803DFB" w:rsidRPr="00E7075A" w:rsidRDefault="00803DFB" w:rsidP="00C64462">
            <w:pPr>
              <w:jc w:val="both"/>
              <w:rPr>
                <w:sz w:val="20"/>
                <w:szCs w:val="20"/>
              </w:rPr>
            </w:pPr>
          </w:p>
        </w:tc>
      </w:tr>
      <w:tr w:rsidR="00803DFB" w:rsidRPr="00E7075A" w:rsidTr="00C64462">
        <w:trPr>
          <w:cantSplit/>
        </w:trPr>
        <w:tc>
          <w:tcPr>
            <w:tcW w:w="1458" w:type="dxa"/>
          </w:tcPr>
          <w:p w:rsidR="00803DFB" w:rsidRPr="00E7075A" w:rsidRDefault="00803DFB" w:rsidP="00C64462">
            <w:pPr>
              <w:rPr>
                <w:sz w:val="20"/>
                <w:szCs w:val="20"/>
              </w:rPr>
            </w:pPr>
            <w:r w:rsidRPr="00E7075A">
              <w:rPr>
                <w:sz w:val="20"/>
                <w:szCs w:val="20"/>
              </w:rPr>
              <w:t>Coram :</w:t>
            </w:r>
          </w:p>
        </w:tc>
        <w:tc>
          <w:tcPr>
            <w:tcW w:w="8118" w:type="dxa"/>
          </w:tcPr>
          <w:p w:rsidR="00803DFB" w:rsidRPr="00E7075A" w:rsidRDefault="00803DFB" w:rsidP="00C64462">
            <w:pPr>
              <w:rPr>
                <w:sz w:val="20"/>
                <w:szCs w:val="20"/>
              </w:rPr>
            </w:pPr>
            <w:r w:rsidRPr="00803DFB">
              <w:rPr>
                <w:rStyle w:val="SCCCoramChar"/>
                <w:sz w:val="20"/>
                <w:szCs w:val="20"/>
                <w:lang w:val="en-CA"/>
              </w:rPr>
              <w:t>McLachlin C.J. and Wagner and Gascon JJ.</w:t>
            </w:r>
          </w:p>
          <w:p w:rsidR="00803DFB" w:rsidRPr="00E7075A" w:rsidRDefault="00803DFB" w:rsidP="00C64462">
            <w:pPr>
              <w:rPr>
                <w:sz w:val="20"/>
                <w:szCs w:val="20"/>
                <w:u w:val="single"/>
              </w:rPr>
            </w:pPr>
          </w:p>
        </w:tc>
      </w:tr>
      <w:tr w:rsidR="00803DFB" w:rsidRPr="0025502E" w:rsidTr="00C64462">
        <w:trPr>
          <w:cantSplit/>
        </w:trPr>
        <w:tc>
          <w:tcPr>
            <w:tcW w:w="9576" w:type="dxa"/>
            <w:gridSpan w:val="2"/>
          </w:tcPr>
          <w:p w:rsidR="00803DFB" w:rsidRPr="00E7075A" w:rsidRDefault="00803DFB" w:rsidP="00C64462">
            <w:pPr>
              <w:pStyle w:val="SCCShortJudgment"/>
              <w:rPr>
                <w:szCs w:val="20"/>
              </w:rPr>
            </w:pPr>
            <w:r w:rsidRPr="00E7075A">
              <w:rPr>
                <w:szCs w:val="20"/>
              </w:rPr>
              <w:lastRenderedPageBreak/>
              <w:t>The application for leave to appeal from the judgment of the Court of Appeal for Ontario, Number C58202, 2014 ONCA 492, dated June 25, 2014, is dismissed with costs.</w:t>
            </w:r>
          </w:p>
          <w:p w:rsidR="00803DFB" w:rsidRPr="00E7075A" w:rsidRDefault="00803DFB" w:rsidP="00C64462">
            <w:pPr>
              <w:pStyle w:val="SCCShortJudgment"/>
              <w:ind w:firstLine="0"/>
              <w:rPr>
                <w:szCs w:val="20"/>
              </w:rPr>
            </w:pPr>
          </w:p>
          <w:p w:rsidR="00803DFB" w:rsidRPr="00E7075A" w:rsidRDefault="00803DFB" w:rsidP="00C64462">
            <w:pPr>
              <w:pStyle w:val="SCCShortJudgment"/>
              <w:rPr>
                <w:szCs w:val="20"/>
                <w:lang w:val="fr-CA"/>
              </w:rPr>
            </w:pPr>
            <w:r w:rsidRPr="00E7075A">
              <w:rPr>
                <w:szCs w:val="20"/>
                <w:lang w:val="fr-CA"/>
              </w:rPr>
              <w:t>La demande d’autorisation d’appel de l’arrêt de la Cour d’appel de l’Ontario, numéro C58202, 2014 ONCA 492, daté du 25 juin 2014, est rejetée avec dépens.</w:t>
            </w:r>
          </w:p>
        </w:tc>
      </w:tr>
    </w:tbl>
    <w:p w:rsidR="00124C37" w:rsidRPr="00803DFB" w:rsidRDefault="00124C37" w:rsidP="000E2959">
      <w:pPr>
        <w:rPr>
          <w:sz w:val="20"/>
          <w:szCs w:val="20"/>
          <w:lang w:val="fr-CA"/>
        </w:rPr>
      </w:pPr>
    </w:p>
    <w:p w:rsidR="00124C37" w:rsidRPr="001B157C" w:rsidRDefault="00124C37" w:rsidP="00124C37">
      <w:pPr>
        <w:rPr>
          <w:sz w:val="20"/>
          <w:szCs w:val="20"/>
          <w:u w:val="single"/>
        </w:rPr>
      </w:pPr>
      <w:r w:rsidRPr="001B157C">
        <w:rPr>
          <w:sz w:val="20"/>
          <w:szCs w:val="20"/>
          <w:u w:val="single"/>
        </w:rPr>
        <w:t>CASE SUMMARY</w:t>
      </w:r>
    </w:p>
    <w:p w:rsidR="00124C37" w:rsidRDefault="00124C37" w:rsidP="00124C3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D1C23" w:rsidRPr="000F1B6E" w:rsidTr="003D1C23">
        <w:tc>
          <w:tcPr>
            <w:tcW w:w="5000" w:type="pct"/>
            <w:gridSpan w:val="3"/>
          </w:tcPr>
          <w:p w:rsidR="003D1C23" w:rsidRPr="000F1B6E" w:rsidRDefault="003D1C23" w:rsidP="003D1C23">
            <w:pPr>
              <w:jc w:val="both"/>
              <w:rPr>
                <w:rFonts w:eastAsia="Calibri"/>
                <w:sz w:val="20"/>
              </w:rPr>
            </w:pPr>
            <w:r w:rsidRPr="000F1B6E">
              <w:rPr>
                <w:rFonts w:eastAsia="Calibri"/>
                <w:sz w:val="20"/>
              </w:rPr>
              <w:t>Insurance — Liability insurance — Related-acts clauses — L</w:t>
            </w:r>
            <w:r w:rsidRPr="000F1B6E">
              <w:rPr>
                <w:rFonts w:eastAsia="Calibri"/>
                <w:color w:val="000000"/>
                <w:sz w:val="20"/>
              </w:rPr>
              <w:t xml:space="preserve">aw firm insured under a policy of insurance issued by Lawyers’ Professional Indemnity Company — Insurance policy has a limit of liability of $1 million per claim — Application judge finding underlying action against law firm constituted a single claim — Court of Appeal allowing appeal and finding claim disclosed more than one claim ― </w:t>
            </w:r>
            <w:r w:rsidRPr="000F1B6E">
              <w:rPr>
                <w:rFonts w:eastAsia="Calibri"/>
                <w:sz w:val="20"/>
              </w:rPr>
              <w:t>When do multiple allegations of errors, omissions, or negligent acts constitute a single “related” claim for purposes of interpreting related-acts language in lawyer and other professional liability insurance policies — Should an insured be permitted to circumvent an unambiguous exclusion clause by re-casting and re-characterizing remedies sought in a court pleading or should pleadings be interpreted on their face as particularized — Whether the equitable remedy of disgorgement is different than the remedy of compensatory damages?</w:t>
            </w:r>
          </w:p>
        </w:tc>
      </w:tr>
      <w:tr w:rsidR="003D1C23" w:rsidRPr="000F1B6E" w:rsidTr="003D1C23">
        <w:tc>
          <w:tcPr>
            <w:tcW w:w="5000" w:type="pct"/>
            <w:gridSpan w:val="3"/>
          </w:tcPr>
          <w:p w:rsidR="003D1C23" w:rsidRPr="000F1B6E" w:rsidRDefault="003D1C23" w:rsidP="003D1C23">
            <w:pPr>
              <w:jc w:val="both"/>
              <w:rPr>
                <w:rFonts w:eastAsia="Calibri"/>
                <w:sz w:val="20"/>
              </w:rPr>
            </w:pPr>
          </w:p>
        </w:tc>
      </w:tr>
      <w:tr w:rsidR="003D1C23" w:rsidRPr="000F1B6E" w:rsidTr="003D1C23">
        <w:tc>
          <w:tcPr>
            <w:tcW w:w="5000" w:type="pct"/>
            <w:gridSpan w:val="3"/>
          </w:tcPr>
          <w:p w:rsidR="003D1C23" w:rsidRPr="000F1B6E" w:rsidRDefault="003D1C23" w:rsidP="003D1C23">
            <w:pPr>
              <w:tabs>
                <w:tab w:val="left" w:pos="0"/>
              </w:tabs>
              <w:jc w:val="both"/>
              <w:rPr>
                <w:color w:val="000000"/>
                <w:sz w:val="20"/>
              </w:rPr>
            </w:pPr>
            <w:r w:rsidRPr="000F1B6E">
              <w:rPr>
                <w:color w:val="000000"/>
                <w:sz w:val="20"/>
              </w:rPr>
              <w:t>The respondent, Simpson Wigle Law LLP (“Simpson Wigle”) is a law firm that is insured under a policy of insurance issued by the applicant, the Lawyers’ Professional Indemnity Company (“LawPro”).  The LawPro insurance policy has a limit of liability of $1 million per claim, with an aggregate limit of $2 million.</w:t>
            </w:r>
          </w:p>
          <w:p w:rsidR="003D1C23" w:rsidRPr="000F1B6E" w:rsidRDefault="003D1C23" w:rsidP="003D1C23">
            <w:pPr>
              <w:tabs>
                <w:tab w:val="left" w:pos="0"/>
              </w:tabs>
              <w:jc w:val="both"/>
              <w:rPr>
                <w:color w:val="000000"/>
                <w:sz w:val="20"/>
              </w:rPr>
            </w:pPr>
          </w:p>
          <w:p w:rsidR="003D1C23" w:rsidRPr="000F1B6E" w:rsidRDefault="003D1C23" w:rsidP="003D1C23">
            <w:pPr>
              <w:tabs>
                <w:tab w:val="left" w:pos="256"/>
              </w:tabs>
              <w:jc w:val="both"/>
              <w:rPr>
                <w:color w:val="000000"/>
                <w:sz w:val="20"/>
              </w:rPr>
            </w:pPr>
            <w:r w:rsidRPr="000F1B6E">
              <w:rPr>
                <w:color w:val="000000"/>
                <w:sz w:val="20"/>
              </w:rPr>
              <w:t>The respondents brought an application for a declaration that the allegations in an underlying action against them constituted two separate claims under the Policy, rather than a single claim. A statement of claim and an amended statement of claim have been filed in the underlying action.</w:t>
            </w:r>
          </w:p>
          <w:p w:rsidR="003D1C23" w:rsidRPr="000F1B6E" w:rsidRDefault="003D1C23" w:rsidP="003D1C23">
            <w:pPr>
              <w:jc w:val="both"/>
              <w:rPr>
                <w:color w:val="000000"/>
                <w:sz w:val="20"/>
              </w:rPr>
            </w:pPr>
          </w:p>
          <w:p w:rsidR="003D1C23" w:rsidRPr="000F1B6E" w:rsidRDefault="003D1C23" w:rsidP="003D1C23">
            <w:pPr>
              <w:jc w:val="both"/>
              <w:rPr>
                <w:rFonts w:eastAsia="Calibri"/>
                <w:sz w:val="20"/>
              </w:rPr>
            </w:pPr>
            <w:r w:rsidRPr="000F1B6E">
              <w:rPr>
                <w:rFonts w:eastAsia="Calibri"/>
                <w:color w:val="000000"/>
                <w:sz w:val="20"/>
              </w:rPr>
              <w:t xml:space="preserve">The application judge found the Statement of Claim constituted one claim for the purposes of the Policy. </w:t>
            </w:r>
            <w:bookmarkStart w:id="4" w:name="PNUM_4"/>
            <w:r w:rsidRPr="000F1B6E">
              <w:rPr>
                <w:rFonts w:eastAsia="Calibri"/>
                <w:color w:val="000000"/>
                <w:sz w:val="20"/>
              </w:rPr>
              <w:t xml:space="preserve">The Court of Appeal </w:t>
            </w:r>
            <w:bookmarkEnd w:id="4"/>
            <w:r w:rsidRPr="000F1B6E">
              <w:rPr>
                <w:rFonts w:eastAsia="Calibri"/>
                <w:color w:val="000000"/>
                <w:sz w:val="20"/>
              </w:rPr>
              <w:t>allowed the appeal and declared that the Statement of Claim discloses more than one claim.</w:t>
            </w:r>
          </w:p>
          <w:p w:rsidR="003D1C23" w:rsidRPr="000F1B6E" w:rsidRDefault="003D1C23" w:rsidP="003D1C23">
            <w:pPr>
              <w:jc w:val="both"/>
              <w:rPr>
                <w:rFonts w:eastAsia="Calibri"/>
                <w:sz w:val="20"/>
              </w:rPr>
            </w:pPr>
          </w:p>
        </w:tc>
      </w:tr>
      <w:tr w:rsidR="003D1C23" w:rsidRPr="000F1B6E" w:rsidTr="003D1C23">
        <w:tc>
          <w:tcPr>
            <w:tcW w:w="2427" w:type="pct"/>
          </w:tcPr>
          <w:p w:rsidR="003D1C23" w:rsidRPr="000F1B6E" w:rsidRDefault="003D1C23" w:rsidP="003D1C23">
            <w:pPr>
              <w:jc w:val="both"/>
              <w:rPr>
                <w:rFonts w:eastAsia="Calibri"/>
                <w:sz w:val="20"/>
              </w:rPr>
            </w:pPr>
            <w:r w:rsidRPr="000F1B6E">
              <w:rPr>
                <w:rFonts w:eastAsia="Calibri"/>
                <w:sz w:val="20"/>
              </w:rPr>
              <w:t>December 20, 2013</w:t>
            </w:r>
          </w:p>
          <w:p w:rsidR="003D1C23" w:rsidRPr="000F1B6E" w:rsidRDefault="003D1C23" w:rsidP="003D1C23">
            <w:pPr>
              <w:jc w:val="both"/>
              <w:rPr>
                <w:rFonts w:eastAsia="Calibri"/>
                <w:sz w:val="20"/>
              </w:rPr>
            </w:pPr>
            <w:r w:rsidRPr="000F1B6E">
              <w:rPr>
                <w:rFonts w:eastAsia="Calibri"/>
                <w:sz w:val="20"/>
              </w:rPr>
              <w:t>Ontario Superior Court of Justice</w:t>
            </w:r>
          </w:p>
          <w:p w:rsidR="003D1C23" w:rsidRPr="000F1B6E" w:rsidRDefault="003D1C23" w:rsidP="003D1C23">
            <w:pPr>
              <w:jc w:val="both"/>
              <w:rPr>
                <w:rFonts w:eastAsia="Calibri"/>
                <w:sz w:val="20"/>
              </w:rPr>
            </w:pPr>
            <w:r w:rsidRPr="000F1B6E">
              <w:rPr>
                <w:rFonts w:eastAsia="Calibri"/>
                <w:sz w:val="20"/>
              </w:rPr>
              <w:t>(Edwards J.)</w:t>
            </w:r>
          </w:p>
          <w:p w:rsidR="003D1C23" w:rsidRPr="000F1B6E" w:rsidRDefault="003D1C23" w:rsidP="003D1C23">
            <w:pPr>
              <w:jc w:val="both"/>
              <w:rPr>
                <w:rFonts w:eastAsia="Calibri"/>
                <w:sz w:val="20"/>
              </w:rPr>
            </w:pPr>
            <w:r w:rsidRPr="000F1B6E">
              <w:rPr>
                <w:rFonts w:eastAsia="Calibri"/>
                <w:sz w:val="20"/>
              </w:rPr>
              <w:t>2013 ONSC 7766</w:t>
            </w:r>
          </w:p>
          <w:p w:rsidR="003D1C23" w:rsidRPr="000F1B6E" w:rsidRDefault="003D1C23" w:rsidP="003D1C23">
            <w:pPr>
              <w:jc w:val="both"/>
              <w:rPr>
                <w:rFonts w:eastAsia="Calibri"/>
                <w:sz w:val="20"/>
              </w:rPr>
            </w:pPr>
          </w:p>
        </w:tc>
        <w:tc>
          <w:tcPr>
            <w:tcW w:w="243" w:type="pct"/>
          </w:tcPr>
          <w:p w:rsidR="003D1C23" w:rsidRPr="000F1B6E" w:rsidRDefault="003D1C23" w:rsidP="003D1C23">
            <w:pPr>
              <w:jc w:val="both"/>
              <w:rPr>
                <w:rFonts w:eastAsia="Calibri"/>
                <w:sz w:val="20"/>
              </w:rPr>
            </w:pPr>
          </w:p>
        </w:tc>
        <w:tc>
          <w:tcPr>
            <w:tcW w:w="2330" w:type="pct"/>
          </w:tcPr>
          <w:p w:rsidR="003D1C23" w:rsidRPr="000F1B6E" w:rsidRDefault="003D1C23" w:rsidP="003D1C23">
            <w:pPr>
              <w:jc w:val="both"/>
              <w:rPr>
                <w:rFonts w:eastAsia="Calibri"/>
                <w:sz w:val="20"/>
              </w:rPr>
            </w:pPr>
            <w:r w:rsidRPr="000F1B6E">
              <w:rPr>
                <w:rFonts w:eastAsia="Calibri"/>
                <w:sz w:val="20"/>
              </w:rPr>
              <w:t>Statement of Claim contains one claim.</w:t>
            </w:r>
          </w:p>
          <w:p w:rsidR="003D1C23" w:rsidRPr="000F1B6E" w:rsidRDefault="003D1C23" w:rsidP="003D1C23">
            <w:pPr>
              <w:jc w:val="both"/>
              <w:rPr>
                <w:rFonts w:eastAsia="Calibri"/>
                <w:sz w:val="20"/>
              </w:rPr>
            </w:pPr>
          </w:p>
        </w:tc>
      </w:tr>
      <w:tr w:rsidR="003D1C23" w:rsidRPr="000F1B6E" w:rsidTr="003D1C23">
        <w:tc>
          <w:tcPr>
            <w:tcW w:w="2427" w:type="pct"/>
          </w:tcPr>
          <w:p w:rsidR="003D1C23" w:rsidRPr="000F1B6E" w:rsidRDefault="003D1C23" w:rsidP="003D1C23">
            <w:pPr>
              <w:jc w:val="both"/>
              <w:rPr>
                <w:rFonts w:eastAsia="Calibri"/>
                <w:sz w:val="20"/>
              </w:rPr>
            </w:pPr>
            <w:r w:rsidRPr="000F1B6E">
              <w:rPr>
                <w:rFonts w:eastAsia="Calibri"/>
                <w:sz w:val="20"/>
              </w:rPr>
              <w:t>June 25, 2014</w:t>
            </w:r>
          </w:p>
          <w:p w:rsidR="003D1C23" w:rsidRPr="000F1B6E" w:rsidRDefault="003D1C23" w:rsidP="003D1C23">
            <w:pPr>
              <w:jc w:val="both"/>
              <w:rPr>
                <w:rFonts w:eastAsia="Calibri"/>
                <w:sz w:val="20"/>
              </w:rPr>
            </w:pPr>
            <w:r w:rsidRPr="000F1B6E">
              <w:rPr>
                <w:rFonts w:eastAsia="Calibri"/>
                <w:sz w:val="20"/>
              </w:rPr>
              <w:t>Court of Appeal for Ontario</w:t>
            </w:r>
          </w:p>
          <w:p w:rsidR="003D1C23" w:rsidRPr="000F1B6E" w:rsidRDefault="003D1C23" w:rsidP="003D1C23">
            <w:pPr>
              <w:jc w:val="both"/>
              <w:rPr>
                <w:rFonts w:eastAsia="Calibri"/>
                <w:sz w:val="20"/>
              </w:rPr>
            </w:pPr>
            <w:r w:rsidRPr="000F1B6E">
              <w:rPr>
                <w:rFonts w:eastAsia="Calibri"/>
                <w:sz w:val="20"/>
              </w:rPr>
              <w:t>(Gillese, van Rensburg and Hourigan JJ.A.)</w:t>
            </w:r>
          </w:p>
          <w:p w:rsidR="003D1C23" w:rsidRPr="000F1B6E" w:rsidRDefault="00E42AAB" w:rsidP="003D1C23">
            <w:pPr>
              <w:jc w:val="both"/>
              <w:rPr>
                <w:rFonts w:eastAsia="Calibri"/>
                <w:sz w:val="20"/>
              </w:rPr>
            </w:pPr>
            <w:hyperlink r:id="rId80" w:history="1">
              <w:r w:rsidR="003D1C23" w:rsidRPr="000F1B6E">
                <w:rPr>
                  <w:rFonts w:eastAsia="Calibri"/>
                  <w:color w:val="0000FF"/>
                  <w:sz w:val="20"/>
                  <w:u w:val="single"/>
                </w:rPr>
                <w:t>2014 ONCA 492</w:t>
              </w:r>
            </w:hyperlink>
          </w:p>
          <w:p w:rsidR="003D1C23" w:rsidRPr="000F1B6E" w:rsidRDefault="003D1C23" w:rsidP="003D1C23">
            <w:pPr>
              <w:jc w:val="both"/>
              <w:rPr>
                <w:rFonts w:eastAsia="Calibri"/>
                <w:sz w:val="20"/>
              </w:rPr>
            </w:pPr>
            <w:r w:rsidRPr="000F1B6E">
              <w:rPr>
                <w:rFonts w:eastAsia="Calibri"/>
                <w:sz w:val="20"/>
              </w:rPr>
              <w:t>File No.: C58202</w:t>
            </w:r>
          </w:p>
          <w:p w:rsidR="003D1C23" w:rsidRPr="000F1B6E" w:rsidRDefault="003D1C23" w:rsidP="003D1C23">
            <w:pPr>
              <w:jc w:val="both"/>
              <w:rPr>
                <w:rFonts w:eastAsia="Calibri"/>
                <w:sz w:val="20"/>
              </w:rPr>
            </w:pPr>
          </w:p>
        </w:tc>
        <w:tc>
          <w:tcPr>
            <w:tcW w:w="243" w:type="pct"/>
          </w:tcPr>
          <w:p w:rsidR="003D1C23" w:rsidRPr="000F1B6E" w:rsidRDefault="003D1C23" w:rsidP="003D1C23">
            <w:pPr>
              <w:jc w:val="both"/>
              <w:rPr>
                <w:rFonts w:eastAsia="Calibri"/>
                <w:sz w:val="20"/>
              </w:rPr>
            </w:pPr>
          </w:p>
        </w:tc>
        <w:tc>
          <w:tcPr>
            <w:tcW w:w="2330" w:type="pct"/>
          </w:tcPr>
          <w:p w:rsidR="003D1C23" w:rsidRPr="000F1B6E" w:rsidRDefault="003D1C23" w:rsidP="003D1C23">
            <w:pPr>
              <w:jc w:val="both"/>
              <w:rPr>
                <w:rFonts w:eastAsia="Calibri"/>
                <w:sz w:val="20"/>
              </w:rPr>
            </w:pPr>
            <w:r w:rsidRPr="000F1B6E">
              <w:rPr>
                <w:rFonts w:eastAsia="Calibri"/>
                <w:sz w:val="20"/>
              </w:rPr>
              <w:t>Appeal allowed.  Judgment of Edwards J. set aside and application for declaratory relief granted.  Statement of claim discloses more than one claim.</w:t>
            </w:r>
          </w:p>
          <w:p w:rsidR="003D1C23" w:rsidRPr="000F1B6E" w:rsidRDefault="003D1C23" w:rsidP="003D1C23">
            <w:pPr>
              <w:jc w:val="both"/>
              <w:rPr>
                <w:rFonts w:eastAsia="Calibri"/>
                <w:sz w:val="20"/>
              </w:rPr>
            </w:pPr>
          </w:p>
        </w:tc>
      </w:tr>
      <w:tr w:rsidR="003D1C23" w:rsidRPr="000F1B6E" w:rsidTr="003D1C23">
        <w:tc>
          <w:tcPr>
            <w:tcW w:w="2427" w:type="pct"/>
          </w:tcPr>
          <w:p w:rsidR="003D1C23" w:rsidRPr="000F1B6E" w:rsidRDefault="003D1C23" w:rsidP="003D1C23">
            <w:pPr>
              <w:jc w:val="both"/>
              <w:rPr>
                <w:rFonts w:eastAsia="Calibri"/>
                <w:sz w:val="20"/>
              </w:rPr>
            </w:pPr>
            <w:r w:rsidRPr="000F1B6E">
              <w:rPr>
                <w:rFonts w:eastAsia="Calibri"/>
                <w:sz w:val="20"/>
              </w:rPr>
              <w:t>September 24, 2014</w:t>
            </w:r>
          </w:p>
          <w:p w:rsidR="003D1C23" w:rsidRPr="000F1B6E" w:rsidRDefault="003D1C23" w:rsidP="003D1C23">
            <w:pPr>
              <w:jc w:val="both"/>
              <w:rPr>
                <w:rFonts w:eastAsia="Calibri"/>
                <w:sz w:val="20"/>
              </w:rPr>
            </w:pPr>
            <w:r w:rsidRPr="000F1B6E">
              <w:rPr>
                <w:rFonts w:eastAsia="Calibri"/>
                <w:sz w:val="20"/>
              </w:rPr>
              <w:t>Supreme Court of Canada</w:t>
            </w:r>
          </w:p>
        </w:tc>
        <w:tc>
          <w:tcPr>
            <w:tcW w:w="243" w:type="pct"/>
          </w:tcPr>
          <w:p w:rsidR="003D1C23" w:rsidRPr="000F1B6E" w:rsidRDefault="003D1C23" w:rsidP="003D1C23">
            <w:pPr>
              <w:jc w:val="both"/>
              <w:rPr>
                <w:rFonts w:eastAsia="Calibri"/>
                <w:sz w:val="20"/>
              </w:rPr>
            </w:pPr>
          </w:p>
        </w:tc>
        <w:tc>
          <w:tcPr>
            <w:tcW w:w="2330" w:type="pct"/>
          </w:tcPr>
          <w:p w:rsidR="003D1C23" w:rsidRPr="000F1B6E" w:rsidRDefault="003D1C23" w:rsidP="003D1C23">
            <w:pPr>
              <w:jc w:val="both"/>
              <w:rPr>
                <w:rFonts w:eastAsia="Calibri"/>
                <w:sz w:val="20"/>
              </w:rPr>
            </w:pPr>
            <w:r w:rsidRPr="000F1B6E">
              <w:rPr>
                <w:rFonts w:eastAsia="Calibri"/>
                <w:sz w:val="20"/>
              </w:rPr>
              <w:t>Application for leave to appeal filed.</w:t>
            </w:r>
          </w:p>
        </w:tc>
      </w:tr>
    </w:tbl>
    <w:p w:rsidR="00124C37" w:rsidRPr="003D1C23" w:rsidRDefault="00124C37" w:rsidP="00124C37">
      <w:pPr>
        <w:rPr>
          <w:sz w:val="20"/>
          <w:szCs w:val="20"/>
        </w:rPr>
      </w:pPr>
    </w:p>
    <w:p w:rsidR="00124C37" w:rsidRPr="00C50A5C" w:rsidRDefault="00E42AAB" w:rsidP="00124C37">
      <w:pPr>
        <w:rPr>
          <w:sz w:val="20"/>
          <w:szCs w:val="20"/>
        </w:rPr>
      </w:pPr>
      <w:r>
        <w:rPr>
          <w:sz w:val="20"/>
          <w:szCs w:val="20"/>
          <w:lang w:val="fr-CA"/>
        </w:rPr>
        <w:pict>
          <v:rect id="_x0000_i1071" style="width:2in;height:1pt" o:hrpct="0" o:hralign="center" o:hrstd="t" o:hrnoshade="t" o:hr="t" fillcolor="black [3213]" stroked="f"/>
        </w:pict>
      </w:r>
    </w:p>
    <w:p w:rsidR="00124C37" w:rsidRDefault="00124C37" w:rsidP="00124C37">
      <w:pPr>
        <w:rPr>
          <w:sz w:val="20"/>
          <w:szCs w:val="20"/>
        </w:rPr>
      </w:pPr>
    </w:p>
    <w:p w:rsidR="00124C37" w:rsidRPr="001B157C" w:rsidRDefault="00124C37" w:rsidP="00124C37">
      <w:pPr>
        <w:rPr>
          <w:sz w:val="20"/>
          <w:szCs w:val="20"/>
          <w:u w:val="single"/>
          <w:lang w:val="fr-CA"/>
        </w:rPr>
      </w:pPr>
      <w:r w:rsidRPr="001B157C">
        <w:rPr>
          <w:sz w:val="20"/>
          <w:szCs w:val="20"/>
          <w:u w:val="single"/>
          <w:lang w:val="fr-CA"/>
        </w:rPr>
        <w:t>RÉSUMÉ DE L’AFFAIRE</w:t>
      </w:r>
    </w:p>
    <w:p w:rsidR="00124C37" w:rsidRDefault="00124C37" w:rsidP="00124C3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D1C23" w:rsidRPr="0025502E" w:rsidTr="003D1C23">
        <w:tc>
          <w:tcPr>
            <w:tcW w:w="5000" w:type="pct"/>
            <w:gridSpan w:val="3"/>
          </w:tcPr>
          <w:p w:rsidR="003D1C23" w:rsidRPr="000F1B6E" w:rsidRDefault="003D1C23" w:rsidP="003D1C23">
            <w:pPr>
              <w:jc w:val="both"/>
              <w:rPr>
                <w:rFonts w:eastAsia="Calibri"/>
                <w:sz w:val="20"/>
                <w:lang w:val="fr-CA"/>
              </w:rPr>
            </w:pPr>
            <w:r w:rsidRPr="000F1B6E">
              <w:rPr>
                <w:rFonts w:eastAsia="Calibri"/>
                <w:sz w:val="20"/>
                <w:lang w:val="fr-CA"/>
              </w:rPr>
              <w:t xml:space="preserve">Assurance </w:t>
            </w:r>
            <w:r w:rsidRPr="000F1B6E">
              <w:rPr>
                <w:rFonts w:eastAsia="Calibri"/>
                <w:smallCaps/>
                <w:sz w:val="20"/>
                <w:lang w:val="fr-CA"/>
              </w:rPr>
              <w:t xml:space="preserve">— </w:t>
            </w:r>
            <w:r w:rsidRPr="000F1B6E">
              <w:rPr>
                <w:rFonts w:eastAsia="Calibri"/>
                <w:sz w:val="20"/>
                <w:lang w:val="fr-CA"/>
              </w:rPr>
              <w:t xml:space="preserve">Assurance responsabilité </w:t>
            </w:r>
            <w:r w:rsidRPr="000F1B6E">
              <w:rPr>
                <w:rFonts w:eastAsia="Calibri"/>
                <w:smallCaps/>
                <w:sz w:val="20"/>
                <w:lang w:val="fr-CA"/>
              </w:rPr>
              <w:t xml:space="preserve">— </w:t>
            </w:r>
            <w:r w:rsidRPr="000F1B6E">
              <w:rPr>
                <w:rFonts w:eastAsia="Calibri"/>
                <w:sz w:val="20"/>
                <w:lang w:val="fr-CA"/>
              </w:rPr>
              <w:t xml:space="preserve">Clauses relatives aux actes liés </w:t>
            </w:r>
            <w:r w:rsidRPr="000F1B6E">
              <w:rPr>
                <w:rFonts w:eastAsia="Calibri"/>
                <w:smallCaps/>
                <w:sz w:val="20"/>
                <w:lang w:val="fr-CA"/>
              </w:rPr>
              <w:t xml:space="preserve">— </w:t>
            </w:r>
            <w:r w:rsidRPr="000F1B6E">
              <w:rPr>
                <w:rFonts w:eastAsia="Calibri"/>
                <w:sz w:val="20"/>
                <w:lang w:val="fr-CA"/>
              </w:rPr>
              <w:t xml:space="preserve">Un cabinet d’avocats est assuré en vertu </w:t>
            </w:r>
            <w:r w:rsidRPr="000F1B6E">
              <w:rPr>
                <w:rFonts w:eastAsia="Calibri"/>
                <w:sz w:val="20"/>
                <w:lang w:val="fr-CA"/>
              </w:rPr>
              <w:lastRenderedPageBreak/>
              <w:t xml:space="preserve">d’une police d’assurance établie par </w:t>
            </w:r>
            <w:r w:rsidRPr="000F1B6E">
              <w:rPr>
                <w:rFonts w:eastAsia="Calibri"/>
                <w:color w:val="000000"/>
                <w:sz w:val="20"/>
                <w:lang w:val="fr-CA"/>
              </w:rPr>
              <w:t xml:space="preserve">Lawyers’ Professional Indemnity Company </w:t>
            </w:r>
            <w:r w:rsidRPr="000F1B6E">
              <w:rPr>
                <w:rFonts w:eastAsia="Calibri"/>
                <w:smallCaps/>
                <w:color w:val="000000"/>
                <w:sz w:val="20"/>
                <w:lang w:val="fr-CA"/>
              </w:rPr>
              <w:t xml:space="preserve">— </w:t>
            </w:r>
            <w:r w:rsidRPr="000F1B6E">
              <w:rPr>
                <w:rFonts w:eastAsia="Calibri"/>
                <w:color w:val="000000"/>
                <w:sz w:val="20"/>
                <w:lang w:val="fr-CA"/>
              </w:rPr>
              <w:t xml:space="preserve">La police d’assurance a une limite de responsabilité d’un million de dollars par réclamation </w:t>
            </w:r>
            <w:r w:rsidRPr="000F1B6E">
              <w:rPr>
                <w:rFonts w:eastAsia="Calibri"/>
                <w:smallCaps/>
                <w:color w:val="000000"/>
                <w:sz w:val="20"/>
                <w:lang w:val="fr-CA"/>
              </w:rPr>
              <w:t xml:space="preserve">— </w:t>
            </w:r>
            <w:r w:rsidRPr="000F1B6E">
              <w:rPr>
                <w:rFonts w:eastAsia="Calibri"/>
                <w:color w:val="000000"/>
                <w:sz w:val="20"/>
                <w:lang w:val="fr-CA"/>
              </w:rPr>
              <w:t xml:space="preserve">Le juge de première instance a conclu que l’action sous-jacente intentée contre le cabinet d’avocats constituait une seule réclamation </w:t>
            </w:r>
            <w:r w:rsidRPr="000F1B6E">
              <w:rPr>
                <w:rFonts w:eastAsia="Calibri"/>
                <w:smallCaps/>
                <w:color w:val="000000"/>
                <w:sz w:val="20"/>
                <w:lang w:val="fr-CA"/>
              </w:rPr>
              <w:t xml:space="preserve">— </w:t>
            </w:r>
            <w:r w:rsidRPr="000F1B6E">
              <w:rPr>
                <w:rFonts w:eastAsia="Calibri"/>
                <w:color w:val="000000"/>
                <w:sz w:val="20"/>
                <w:lang w:val="fr-CA"/>
              </w:rPr>
              <w:t xml:space="preserve">La Cour d’appel a accueilli l’appel et a conclu que la demande révélait plus d’une réclamation </w:t>
            </w:r>
            <w:r w:rsidRPr="000F1B6E">
              <w:rPr>
                <w:rFonts w:eastAsia="Calibri"/>
                <w:smallCaps/>
                <w:color w:val="000000"/>
                <w:sz w:val="20"/>
                <w:lang w:val="fr-CA"/>
              </w:rPr>
              <w:t xml:space="preserve">— </w:t>
            </w:r>
            <w:r w:rsidRPr="000F1B6E">
              <w:rPr>
                <w:rFonts w:eastAsia="Calibri"/>
                <w:sz w:val="20"/>
                <w:lang w:val="fr-CA"/>
              </w:rPr>
              <w:t xml:space="preserve">Dans quelles situations de multiples allégations d’erreurs, d’omissions ou d’actes de négligence constituent-elles une réclamation unique « liée » aux fins de l’interprétation d’une clause relative aux actes liés dans les polices d’assurance responsabilité professionnelle des avocats et des membres d’autres professions? </w:t>
            </w:r>
            <w:r w:rsidRPr="000F1B6E">
              <w:rPr>
                <w:rFonts w:eastAsia="Calibri"/>
                <w:smallCaps/>
                <w:sz w:val="20"/>
                <w:lang w:val="fr-CA"/>
              </w:rPr>
              <w:t xml:space="preserve">— </w:t>
            </w:r>
            <w:r w:rsidRPr="000F1B6E">
              <w:rPr>
                <w:rFonts w:eastAsia="Calibri"/>
                <w:sz w:val="20"/>
                <w:lang w:val="fr-CA"/>
              </w:rPr>
              <w:t xml:space="preserve">Doit-on permettre à un assuré d’échapper à une clause d’exclusion non ambigüe en reformulant et en requalifiant les réparations demandées dans un acte de procédure ou doit-on plutôt interpréter les actes de procédure textuellement, selon ce qui est précisé? </w:t>
            </w:r>
            <w:r w:rsidRPr="000F1B6E">
              <w:rPr>
                <w:rFonts w:eastAsia="Calibri"/>
                <w:smallCaps/>
                <w:sz w:val="20"/>
                <w:lang w:val="fr-CA"/>
              </w:rPr>
              <w:t xml:space="preserve">— </w:t>
            </w:r>
            <w:r w:rsidRPr="000F1B6E">
              <w:rPr>
                <w:rFonts w:eastAsia="Calibri"/>
                <w:sz w:val="20"/>
                <w:lang w:val="fr-CA"/>
              </w:rPr>
              <w:t>Le recours en restitution fondé sur l’equity est-il différent du recours en dommages-intérêts compensatoires?</w:t>
            </w:r>
          </w:p>
        </w:tc>
      </w:tr>
      <w:tr w:rsidR="003D1C23" w:rsidRPr="0025502E" w:rsidTr="003D1C23">
        <w:tc>
          <w:tcPr>
            <w:tcW w:w="5000" w:type="pct"/>
            <w:gridSpan w:val="3"/>
          </w:tcPr>
          <w:p w:rsidR="003D1C23" w:rsidRPr="000F1B6E" w:rsidRDefault="003D1C23" w:rsidP="003D1C23">
            <w:pPr>
              <w:jc w:val="both"/>
              <w:rPr>
                <w:rFonts w:eastAsia="Calibri"/>
                <w:sz w:val="20"/>
                <w:lang w:val="fr-CA"/>
              </w:rPr>
            </w:pPr>
          </w:p>
        </w:tc>
      </w:tr>
      <w:tr w:rsidR="003D1C23" w:rsidRPr="0025502E" w:rsidTr="003D1C23">
        <w:tc>
          <w:tcPr>
            <w:tcW w:w="5000" w:type="pct"/>
            <w:gridSpan w:val="3"/>
          </w:tcPr>
          <w:p w:rsidR="003D1C23" w:rsidRPr="000F1B6E" w:rsidRDefault="003D1C23" w:rsidP="003D1C23">
            <w:pPr>
              <w:tabs>
                <w:tab w:val="left" w:pos="0"/>
              </w:tabs>
              <w:jc w:val="both"/>
              <w:rPr>
                <w:color w:val="000000"/>
                <w:sz w:val="20"/>
                <w:lang w:val="fr-CA"/>
              </w:rPr>
            </w:pPr>
            <w:r w:rsidRPr="000F1B6E">
              <w:rPr>
                <w:color w:val="000000"/>
                <w:sz w:val="20"/>
                <w:lang w:val="fr-CA"/>
              </w:rPr>
              <w:t>L’intimé, Simpson Wigle Law LLP (« Simpson Wigle ») est un cabinet d’avocats assuré en vertu d’une police d’assurance établie par la demanderesse Lawyers’ Professional Indemnity Company (« LawPro »).  La police assurance LawPro a une limite de responsabilité d’un million de dollars par réclamation et une limite globale de 2 millions de dollars.</w:t>
            </w:r>
          </w:p>
          <w:p w:rsidR="003D1C23" w:rsidRPr="000F1B6E" w:rsidRDefault="003D1C23" w:rsidP="003D1C23">
            <w:pPr>
              <w:tabs>
                <w:tab w:val="left" w:pos="0"/>
              </w:tabs>
              <w:jc w:val="both"/>
              <w:rPr>
                <w:color w:val="000000"/>
                <w:sz w:val="20"/>
                <w:lang w:val="fr-CA"/>
              </w:rPr>
            </w:pPr>
          </w:p>
          <w:p w:rsidR="003D1C23" w:rsidRPr="000F1B6E" w:rsidRDefault="003D1C23" w:rsidP="003D1C23">
            <w:pPr>
              <w:tabs>
                <w:tab w:val="left" w:pos="256"/>
              </w:tabs>
              <w:jc w:val="both"/>
              <w:rPr>
                <w:color w:val="000000"/>
                <w:sz w:val="20"/>
                <w:lang w:val="fr-CA"/>
              </w:rPr>
            </w:pPr>
            <w:r w:rsidRPr="000F1B6E">
              <w:rPr>
                <w:color w:val="000000"/>
                <w:sz w:val="20"/>
                <w:lang w:val="fr-CA"/>
              </w:rPr>
              <w:t>Les intimés ont demandé un jugement déclarant que les allégations dans une action sous-jacente intentée contre eux constituaient deux réclamations distinctes aux termes de la police, plutôt qu’une seule réclamation.  Une déclaration et une déclaration modifiée ont été déposées dans l’action sous-jacente.</w:t>
            </w:r>
          </w:p>
          <w:p w:rsidR="003D1C23" w:rsidRPr="000F1B6E" w:rsidRDefault="003D1C23" w:rsidP="003D1C23">
            <w:pPr>
              <w:jc w:val="both"/>
              <w:rPr>
                <w:color w:val="000000"/>
                <w:sz w:val="20"/>
                <w:lang w:val="fr-CA"/>
              </w:rPr>
            </w:pPr>
          </w:p>
          <w:p w:rsidR="003D1C23" w:rsidRPr="000F1B6E" w:rsidRDefault="003D1C23" w:rsidP="003D1C23">
            <w:pPr>
              <w:jc w:val="both"/>
              <w:rPr>
                <w:rFonts w:eastAsia="Calibri"/>
                <w:sz w:val="20"/>
                <w:lang w:val="fr-CA"/>
              </w:rPr>
            </w:pPr>
            <w:r w:rsidRPr="000F1B6E">
              <w:rPr>
                <w:rFonts w:eastAsia="Calibri"/>
                <w:color w:val="000000"/>
                <w:sz w:val="20"/>
                <w:lang w:val="fr-CA"/>
              </w:rPr>
              <w:t>Le juge de première instance a conclu que la déclaration constituait une seule réclamation aux fins de la police.  La Cour d’appel a accueilli l’appel et a statué que la déclaration révélait plus d’une réclamation.</w:t>
            </w:r>
          </w:p>
          <w:p w:rsidR="003D1C23" w:rsidRPr="000F1B6E" w:rsidRDefault="003D1C23" w:rsidP="003D1C23">
            <w:pPr>
              <w:jc w:val="both"/>
              <w:rPr>
                <w:rFonts w:eastAsia="Calibri"/>
                <w:sz w:val="20"/>
                <w:lang w:val="fr-CA"/>
              </w:rPr>
            </w:pPr>
          </w:p>
        </w:tc>
      </w:tr>
      <w:tr w:rsidR="003D1C23" w:rsidRPr="0025502E" w:rsidTr="003D1C23">
        <w:tc>
          <w:tcPr>
            <w:tcW w:w="2427" w:type="pct"/>
          </w:tcPr>
          <w:p w:rsidR="003D1C23" w:rsidRPr="000F1B6E" w:rsidRDefault="003D1C23" w:rsidP="003D1C23">
            <w:pPr>
              <w:jc w:val="both"/>
              <w:rPr>
                <w:rFonts w:eastAsia="Calibri"/>
                <w:sz w:val="20"/>
                <w:lang w:val="fr-CA"/>
              </w:rPr>
            </w:pPr>
            <w:r w:rsidRPr="000F1B6E">
              <w:rPr>
                <w:rFonts w:eastAsia="Calibri"/>
                <w:sz w:val="20"/>
                <w:lang w:val="fr-CA"/>
              </w:rPr>
              <w:t>20 décembre 2013</w:t>
            </w:r>
          </w:p>
          <w:p w:rsidR="003D1C23" w:rsidRPr="000F1B6E" w:rsidRDefault="003D1C23" w:rsidP="003D1C23">
            <w:pPr>
              <w:jc w:val="both"/>
              <w:rPr>
                <w:rFonts w:eastAsia="Calibri"/>
                <w:sz w:val="20"/>
                <w:lang w:val="fr-CA"/>
              </w:rPr>
            </w:pPr>
            <w:r w:rsidRPr="000F1B6E">
              <w:rPr>
                <w:rFonts w:eastAsia="Calibri"/>
                <w:sz w:val="20"/>
                <w:lang w:val="fr-CA"/>
              </w:rPr>
              <w:t>Cour supérieure de justice de l’Ontario</w:t>
            </w:r>
          </w:p>
          <w:p w:rsidR="003D1C23" w:rsidRPr="000F1B6E" w:rsidRDefault="003D1C23" w:rsidP="003D1C23">
            <w:pPr>
              <w:jc w:val="both"/>
              <w:rPr>
                <w:rFonts w:eastAsia="Calibri"/>
                <w:sz w:val="20"/>
                <w:lang w:val="fr-CA"/>
              </w:rPr>
            </w:pPr>
            <w:r w:rsidRPr="000F1B6E">
              <w:rPr>
                <w:rFonts w:eastAsia="Calibri"/>
                <w:sz w:val="20"/>
                <w:lang w:val="fr-CA"/>
              </w:rPr>
              <w:t>(Juge Edwards)</w:t>
            </w:r>
          </w:p>
          <w:p w:rsidR="003D1C23" w:rsidRPr="000F1B6E" w:rsidRDefault="003D1C23" w:rsidP="003D1C23">
            <w:pPr>
              <w:jc w:val="both"/>
              <w:rPr>
                <w:rFonts w:eastAsia="Calibri"/>
                <w:sz w:val="20"/>
                <w:lang w:val="fr-CA"/>
              </w:rPr>
            </w:pPr>
            <w:r w:rsidRPr="000F1B6E">
              <w:rPr>
                <w:rFonts w:eastAsia="Calibri"/>
                <w:sz w:val="20"/>
                <w:lang w:val="fr-CA"/>
              </w:rPr>
              <w:t>2013 ONSC 7766</w:t>
            </w:r>
          </w:p>
          <w:p w:rsidR="003D1C23" w:rsidRPr="000F1B6E" w:rsidRDefault="003D1C23" w:rsidP="003D1C23">
            <w:pPr>
              <w:jc w:val="both"/>
              <w:rPr>
                <w:rFonts w:eastAsia="Calibri"/>
                <w:sz w:val="20"/>
                <w:lang w:val="fr-CA"/>
              </w:rPr>
            </w:pPr>
          </w:p>
        </w:tc>
        <w:tc>
          <w:tcPr>
            <w:tcW w:w="243" w:type="pct"/>
          </w:tcPr>
          <w:p w:rsidR="003D1C23" w:rsidRPr="000F1B6E" w:rsidRDefault="003D1C23" w:rsidP="003D1C23">
            <w:pPr>
              <w:jc w:val="both"/>
              <w:rPr>
                <w:rFonts w:eastAsia="Calibri"/>
                <w:sz w:val="20"/>
                <w:lang w:val="fr-CA"/>
              </w:rPr>
            </w:pPr>
          </w:p>
        </w:tc>
        <w:tc>
          <w:tcPr>
            <w:tcW w:w="2330" w:type="pct"/>
          </w:tcPr>
          <w:p w:rsidR="003D1C23" w:rsidRPr="000F1B6E" w:rsidRDefault="003D1C23" w:rsidP="003D1C23">
            <w:pPr>
              <w:jc w:val="both"/>
              <w:rPr>
                <w:rFonts w:eastAsia="Calibri"/>
                <w:sz w:val="20"/>
                <w:lang w:val="fr-CA"/>
              </w:rPr>
            </w:pPr>
            <w:r w:rsidRPr="000F1B6E">
              <w:rPr>
                <w:rFonts w:eastAsia="Calibri"/>
                <w:sz w:val="20"/>
                <w:lang w:val="fr-CA"/>
              </w:rPr>
              <w:t>Jugement statuant que la déclaration ne renferme qu’une seule réclamation.</w:t>
            </w:r>
          </w:p>
          <w:p w:rsidR="003D1C23" w:rsidRPr="000F1B6E" w:rsidRDefault="003D1C23" w:rsidP="003D1C23">
            <w:pPr>
              <w:jc w:val="both"/>
              <w:rPr>
                <w:rFonts w:eastAsia="Calibri"/>
                <w:sz w:val="20"/>
                <w:lang w:val="fr-CA"/>
              </w:rPr>
            </w:pPr>
          </w:p>
        </w:tc>
      </w:tr>
      <w:tr w:rsidR="003D1C23" w:rsidRPr="000F1B6E" w:rsidTr="003D1C23">
        <w:trPr>
          <w:cantSplit/>
        </w:trPr>
        <w:tc>
          <w:tcPr>
            <w:tcW w:w="2427" w:type="pct"/>
          </w:tcPr>
          <w:p w:rsidR="003D1C23" w:rsidRPr="000F1B6E" w:rsidRDefault="003D1C23" w:rsidP="003D1C23">
            <w:pPr>
              <w:jc w:val="both"/>
              <w:rPr>
                <w:rFonts w:eastAsia="Calibri"/>
                <w:sz w:val="20"/>
                <w:lang w:val="fr-CA"/>
              </w:rPr>
            </w:pPr>
            <w:r w:rsidRPr="000F1B6E">
              <w:rPr>
                <w:rFonts w:eastAsia="Calibri"/>
                <w:sz w:val="20"/>
                <w:lang w:val="fr-CA"/>
              </w:rPr>
              <w:t>25 juin 2014</w:t>
            </w:r>
          </w:p>
          <w:p w:rsidR="003D1C23" w:rsidRPr="000F1B6E" w:rsidRDefault="003D1C23" w:rsidP="003D1C23">
            <w:pPr>
              <w:jc w:val="both"/>
              <w:rPr>
                <w:rFonts w:eastAsia="Calibri"/>
                <w:sz w:val="20"/>
                <w:lang w:val="fr-CA"/>
              </w:rPr>
            </w:pPr>
            <w:r w:rsidRPr="000F1B6E">
              <w:rPr>
                <w:rFonts w:eastAsia="Calibri"/>
                <w:sz w:val="20"/>
                <w:lang w:val="fr-CA"/>
              </w:rPr>
              <w:t xml:space="preserve">Cour d’appel de l’Ontario </w:t>
            </w:r>
          </w:p>
          <w:p w:rsidR="003D1C23" w:rsidRPr="000F1B6E" w:rsidRDefault="003D1C23" w:rsidP="003D1C23">
            <w:pPr>
              <w:jc w:val="both"/>
              <w:rPr>
                <w:rFonts w:eastAsia="Calibri"/>
                <w:sz w:val="20"/>
                <w:lang w:val="fr-CA"/>
              </w:rPr>
            </w:pPr>
            <w:r w:rsidRPr="000F1B6E">
              <w:rPr>
                <w:rFonts w:eastAsia="Calibri"/>
                <w:sz w:val="20"/>
                <w:lang w:val="fr-CA"/>
              </w:rPr>
              <w:t>(Juges Gillese, van Rensburg et Hourigan)</w:t>
            </w:r>
          </w:p>
          <w:p w:rsidR="003D1C23" w:rsidRPr="000F1B6E" w:rsidRDefault="00E42AAB" w:rsidP="003D1C23">
            <w:pPr>
              <w:jc w:val="both"/>
              <w:rPr>
                <w:rFonts w:eastAsia="Calibri"/>
                <w:sz w:val="20"/>
                <w:lang w:val="fr-CA"/>
              </w:rPr>
            </w:pPr>
            <w:hyperlink r:id="rId81" w:history="1">
              <w:r w:rsidR="003D1C23" w:rsidRPr="000F1B6E">
                <w:rPr>
                  <w:rFonts w:eastAsia="Calibri"/>
                  <w:color w:val="0000FF"/>
                  <w:sz w:val="20"/>
                  <w:u w:val="single"/>
                  <w:lang w:val="fr-CA"/>
                </w:rPr>
                <w:t>2014 ONCA 492</w:t>
              </w:r>
            </w:hyperlink>
          </w:p>
          <w:p w:rsidR="003D1C23" w:rsidRPr="000F1B6E" w:rsidRDefault="003D1C23" w:rsidP="003D1C23">
            <w:pPr>
              <w:jc w:val="both"/>
              <w:rPr>
                <w:rFonts w:eastAsia="Calibri"/>
                <w:sz w:val="20"/>
                <w:lang w:val="fr-CA"/>
              </w:rPr>
            </w:pPr>
            <w:r w:rsidRPr="000F1B6E">
              <w:rPr>
                <w:rFonts w:eastAsia="Calibri"/>
                <w:sz w:val="20"/>
                <w:lang w:val="fr-CA"/>
              </w:rPr>
              <w:t>N</w:t>
            </w:r>
            <w:r w:rsidRPr="000F1B6E">
              <w:rPr>
                <w:rFonts w:eastAsia="Calibri"/>
                <w:sz w:val="20"/>
                <w:vertAlign w:val="superscript"/>
                <w:lang w:val="fr-CA"/>
              </w:rPr>
              <w:t>o</w:t>
            </w:r>
            <w:r w:rsidRPr="000F1B6E">
              <w:rPr>
                <w:rFonts w:eastAsia="Calibri"/>
                <w:sz w:val="20"/>
                <w:lang w:val="fr-CA"/>
              </w:rPr>
              <w:t xml:space="preserve"> du greffe C58202</w:t>
            </w:r>
          </w:p>
          <w:p w:rsidR="003D1C23" w:rsidRPr="000F1B6E" w:rsidRDefault="003D1C23" w:rsidP="003D1C23">
            <w:pPr>
              <w:jc w:val="both"/>
              <w:rPr>
                <w:rFonts w:eastAsia="Calibri"/>
                <w:sz w:val="20"/>
                <w:lang w:val="fr-CA"/>
              </w:rPr>
            </w:pPr>
          </w:p>
        </w:tc>
        <w:tc>
          <w:tcPr>
            <w:tcW w:w="243" w:type="pct"/>
          </w:tcPr>
          <w:p w:rsidR="003D1C23" w:rsidRPr="000F1B6E" w:rsidRDefault="003D1C23" w:rsidP="003D1C23">
            <w:pPr>
              <w:jc w:val="both"/>
              <w:rPr>
                <w:rFonts w:eastAsia="Calibri"/>
                <w:sz w:val="20"/>
                <w:lang w:val="fr-CA"/>
              </w:rPr>
            </w:pPr>
          </w:p>
        </w:tc>
        <w:tc>
          <w:tcPr>
            <w:tcW w:w="2330" w:type="pct"/>
          </w:tcPr>
          <w:p w:rsidR="003D1C23" w:rsidRPr="000F1B6E" w:rsidRDefault="003D1C23" w:rsidP="003D1C23">
            <w:pPr>
              <w:jc w:val="both"/>
              <w:rPr>
                <w:rFonts w:eastAsia="Calibri"/>
                <w:sz w:val="20"/>
                <w:lang w:val="fr-CA"/>
              </w:rPr>
            </w:pPr>
            <w:r w:rsidRPr="000F1B6E">
              <w:rPr>
                <w:rFonts w:eastAsia="Calibri"/>
                <w:sz w:val="20"/>
                <w:lang w:val="fr-CA"/>
              </w:rPr>
              <w:t>Jugement accueillant l’appel.  Annulation du jugement du juge Edwards et jugement accueillant la demande de jugement déclaratoire.  Jugement statuant que la déclaration révèle plus d’une réclamation.</w:t>
            </w:r>
          </w:p>
          <w:p w:rsidR="003D1C23" w:rsidRPr="000F1B6E" w:rsidRDefault="003D1C23" w:rsidP="003D1C23">
            <w:pPr>
              <w:jc w:val="both"/>
              <w:rPr>
                <w:rFonts w:eastAsia="Calibri"/>
                <w:sz w:val="20"/>
                <w:lang w:val="fr-CA"/>
              </w:rPr>
            </w:pPr>
          </w:p>
        </w:tc>
      </w:tr>
      <w:tr w:rsidR="003D1C23" w:rsidRPr="0025502E" w:rsidTr="003D1C23">
        <w:trPr>
          <w:cantSplit/>
        </w:trPr>
        <w:tc>
          <w:tcPr>
            <w:tcW w:w="2427" w:type="pct"/>
          </w:tcPr>
          <w:p w:rsidR="003D1C23" w:rsidRPr="000F1B6E" w:rsidRDefault="003D1C23" w:rsidP="003D1C23">
            <w:pPr>
              <w:jc w:val="both"/>
              <w:rPr>
                <w:rFonts w:eastAsia="Calibri"/>
                <w:sz w:val="20"/>
                <w:lang w:val="fr-CA"/>
              </w:rPr>
            </w:pPr>
            <w:r w:rsidRPr="000F1B6E">
              <w:rPr>
                <w:rFonts w:eastAsia="Calibri"/>
                <w:sz w:val="20"/>
                <w:lang w:val="fr-CA"/>
              </w:rPr>
              <w:t>24 septembre 2014</w:t>
            </w:r>
          </w:p>
          <w:p w:rsidR="003D1C23" w:rsidRPr="000F1B6E" w:rsidRDefault="003D1C23" w:rsidP="003D1C23">
            <w:pPr>
              <w:jc w:val="both"/>
              <w:rPr>
                <w:rFonts w:eastAsia="Calibri"/>
                <w:sz w:val="20"/>
                <w:lang w:val="fr-CA"/>
              </w:rPr>
            </w:pPr>
            <w:r w:rsidRPr="000F1B6E">
              <w:rPr>
                <w:rFonts w:eastAsia="Calibri"/>
                <w:sz w:val="20"/>
                <w:lang w:val="fr-CA"/>
              </w:rPr>
              <w:t>Cour suprême du Canada</w:t>
            </w:r>
          </w:p>
        </w:tc>
        <w:tc>
          <w:tcPr>
            <w:tcW w:w="243" w:type="pct"/>
          </w:tcPr>
          <w:p w:rsidR="003D1C23" w:rsidRPr="000F1B6E" w:rsidRDefault="003D1C23" w:rsidP="003D1C23">
            <w:pPr>
              <w:jc w:val="both"/>
              <w:rPr>
                <w:rFonts w:eastAsia="Calibri"/>
                <w:sz w:val="20"/>
                <w:lang w:val="fr-CA"/>
              </w:rPr>
            </w:pPr>
          </w:p>
        </w:tc>
        <w:tc>
          <w:tcPr>
            <w:tcW w:w="2330" w:type="pct"/>
          </w:tcPr>
          <w:p w:rsidR="003D1C23" w:rsidRPr="000F1B6E" w:rsidRDefault="003D1C23" w:rsidP="003D1C23">
            <w:pPr>
              <w:jc w:val="both"/>
              <w:rPr>
                <w:rFonts w:eastAsia="Calibri"/>
                <w:sz w:val="20"/>
                <w:lang w:val="fr-CA"/>
              </w:rPr>
            </w:pPr>
            <w:r w:rsidRPr="000F1B6E">
              <w:rPr>
                <w:rFonts w:eastAsia="Calibri"/>
                <w:sz w:val="20"/>
                <w:lang w:val="fr-CA"/>
              </w:rPr>
              <w:t>Dépôt de la demande d’autorisation d’appel.</w:t>
            </w:r>
          </w:p>
        </w:tc>
      </w:tr>
    </w:tbl>
    <w:p w:rsidR="00124C37" w:rsidRPr="003D1C23" w:rsidRDefault="00124C37" w:rsidP="00124C37">
      <w:pPr>
        <w:rPr>
          <w:sz w:val="20"/>
          <w:szCs w:val="20"/>
          <w:lang w:val="fr-CA"/>
        </w:rPr>
      </w:pPr>
    </w:p>
    <w:p w:rsidR="00124C37" w:rsidRDefault="00E42AAB" w:rsidP="00124C37">
      <w:pPr>
        <w:rPr>
          <w:sz w:val="20"/>
          <w:szCs w:val="20"/>
        </w:rPr>
      </w:pPr>
      <w:r>
        <w:rPr>
          <w:sz w:val="20"/>
          <w:szCs w:val="20"/>
          <w:lang w:val="fr-CA"/>
        </w:rPr>
        <w:pict>
          <v:rect id="_x0000_i1072" style="width:2in;height:1pt" o:hrpct="0" o:hralign="center" o:hrstd="t" o:hrnoshade="t" o:hr="t" fillcolor="black [3213]" stroked="f"/>
        </w:pict>
      </w:r>
    </w:p>
    <w:p w:rsidR="00124C37" w:rsidRDefault="00124C37" w:rsidP="00124C37">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03DFB" w:rsidRPr="00E7075A" w:rsidTr="00C64462">
        <w:trPr>
          <w:cantSplit/>
        </w:trPr>
        <w:tc>
          <w:tcPr>
            <w:tcW w:w="1458" w:type="dxa"/>
          </w:tcPr>
          <w:p w:rsidR="00803DFB" w:rsidRPr="00E7075A" w:rsidRDefault="00803DFB" w:rsidP="00C64462">
            <w:pPr>
              <w:rPr>
                <w:sz w:val="20"/>
                <w:szCs w:val="20"/>
              </w:rPr>
            </w:pPr>
            <w:r w:rsidRPr="00E7075A">
              <w:rPr>
                <w:rStyle w:val="SCCFileNumberChar"/>
                <w:sz w:val="20"/>
                <w:szCs w:val="20"/>
              </w:rPr>
              <w:t>36088</w:t>
            </w:r>
          </w:p>
          <w:p w:rsidR="00803DFB" w:rsidRPr="00E7075A" w:rsidRDefault="00803DFB" w:rsidP="00C64462">
            <w:pPr>
              <w:rPr>
                <w:b/>
                <w:sz w:val="20"/>
                <w:szCs w:val="20"/>
                <w:lang w:val="fr-CA"/>
              </w:rPr>
            </w:pPr>
          </w:p>
        </w:tc>
        <w:tc>
          <w:tcPr>
            <w:tcW w:w="8118" w:type="dxa"/>
          </w:tcPr>
          <w:p w:rsidR="00803DFB" w:rsidRPr="00E7075A" w:rsidRDefault="00803DFB" w:rsidP="00C64462">
            <w:pPr>
              <w:jc w:val="both"/>
              <w:rPr>
                <w:sz w:val="20"/>
                <w:szCs w:val="20"/>
              </w:rPr>
            </w:pPr>
            <w:r w:rsidRPr="00803DFB">
              <w:rPr>
                <w:rStyle w:val="SCCLsocChar"/>
                <w:sz w:val="20"/>
                <w:szCs w:val="20"/>
                <w:lang w:val="en-CA"/>
              </w:rPr>
              <w:t>Noël Ayangma v. Canada Health Infoway Inc.</w:t>
            </w:r>
            <w:r w:rsidR="00801356">
              <w:rPr>
                <w:rStyle w:val="SCCLsocChar"/>
                <w:sz w:val="20"/>
                <w:szCs w:val="20"/>
                <w:lang w:val="en-CA"/>
              </w:rPr>
              <w:t xml:space="preserve"> and</w:t>
            </w:r>
            <w:r w:rsidRPr="00803DFB">
              <w:rPr>
                <w:rStyle w:val="SCCLsocChar"/>
                <w:sz w:val="20"/>
                <w:szCs w:val="20"/>
                <w:lang w:val="en-CA"/>
              </w:rPr>
              <w:t xml:space="preserve"> Anne Nicholson, a Human Rights Panel appointed Pursuant to s. 26 of the </w:t>
            </w:r>
            <w:r w:rsidRPr="00801356">
              <w:rPr>
                <w:rStyle w:val="SCCLsocChar"/>
                <w:i/>
                <w:sz w:val="20"/>
                <w:szCs w:val="20"/>
                <w:lang w:val="en-CA"/>
              </w:rPr>
              <w:t>Human Rights Act</w:t>
            </w:r>
            <w:r w:rsidRPr="00803DFB">
              <w:rPr>
                <w:rStyle w:val="SCCLsocChar"/>
                <w:sz w:val="20"/>
                <w:szCs w:val="20"/>
                <w:lang w:val="en-CA"/>
              </w:rPr>
              <w:t>, R.S.P.E.I. 1988, c. H-12, Prince Edward Island Human Rights Commission</w:t>
            </w:r>
            <w:r w:rsidRPr="00E7075A">
              <w:rPr>
                <w:sz w:val="20"/>
                <w:szCs w:val="20"/>
              </w:rPr>
              <w:t xml:space="preserve"> (P.E.I.) (Civil) (By Leave)</w:t>
            </w:r>
          </w:p>
          <w:p w:rsidR="00803DFB" w:rsidRPr="00E7075A" w:rsidRDefault="00803DFB" w:rsidP="00C64462">
            <w:pPr>
              <w:jc w:val="both"/>
              <w:rPr>
                <w:sz w:val="20"/>
                <w:szCs w:val="20"/>
              </w:rPr>
            </w:pPr>
          </w:p>
        </w:tc>
      </w:tr>
      <w:tr w:rsidR="00803DFB" w:rsidRPr="00E7075A" w:rsidTr="00C64462">
        <w:trPr>
          <w:cantSplit/>
        </w:trPr>
        <w:tc>
          <w:tcPr>
            <w:tcW w:w="1458" w:type="dxa"/>
          </w:tcPr>
          <w:p w:rsidR="00803DFB" w:rsidRPr="00E7075A" w:rsidRDefault="00803DFB" w:rsidP="00C64462">
            <w:pPr>
              <w:rPr>
                <w:sz w:val="20"/>
                <w:szCs w:val="20"/>
              </w:rPr>
            </w:pPr>
            <w:r w:rsidRPr="00E7075A">
              <w:rPr>
                <w:sz w:val="20"/>
                <w:szCs w:val="20"/>
              </w:rPr>
              <w:t>Coram :</w:t>
            </w:r>
          </w:p>
        </w:tc>
        <w:tc>
          <w:tcPr>
            <w:tcW w:w="8118" w:type="dxa"/>
          </w:tcPr>
          <w:p w:rsidR="00803DFB" w:rsidRPr="00E7075A" w:rsidRDefault="00803DFB" w:rsidP="00C64462">
            <w:pPr>
              <w:rPr>
                <w:sz w:val="20"/>
                <w:szCs w:val="20"/>
              </w:rPr>
            </w:pPr>
            <w:r w:rsidRPr="00803DFB">
              <w:rPr>
                <w:rStyle w:val="SCCCoramChar"/>
                <w:sz w:val="20"/>
                <w:szCs w:val="20"/>
                <w:lang w:val="en-CA"/>
              </w:rPr>
              <w:t>Abella, Karakatsanis and Wagner JJ.</w:t>
            </w:r>
          </w:p>
          <w:p w:rsidR="00803DFB" w:rsidRPr="00E7075A" w:rsidRDefault="00803DFB" w:rsidP="00C64462">
            <w:pPr>
              <w:rPr>
                <w:sz w:val="20"/>
                <w:szCs w:val="20"/>
                <w:u w:val="single"/>
              </w:rPr>
            </w:pPr>
          </w:p>
        </w:tc>
      </w:tr>
      <w:tr w:rsidR="00803DFB" w:rsidRPr="0025502E" w:rsidTr="00C64462">
        <w:trPr>
          <w:cantSplit/>
        </w:trPr>
        <w:tc>
          <w:tcPr>
            <w:tcW w:w="9576" w:type="dxa"/>
            <w:gridSpan w:val="2"/>
          </w:tcPr>
          <w:p w:rsidR="00803DFB" w:rsidRPr="00E7075A" w:rsidRDefault="00803DFB" w:rsidP="00C64462">
            <w:pPr>
              <w:pStyle w:val="SCCShortJudgment"/>
              <w:rPr>
                <w:szCs w:val="20"/>
              </w:rPr>
            </w:pPr>
            <w:r w:rsidRPr="00E7075A">
              <w:rPr>
                <w:szCs w:val="20"/>
              </w:rPr>
              <w:lastRenderedPageBreak/>
              <w:t>The application for leave to appeal from the judgment of the Prince Edward Island Court of Appeal, Number S1-CA-1270, 2014 PECA 13, dated July 18, 2014, is dismissed with costs to the respondent Canada Health Infoway Inc.</w:t>
            </w:r>
          </w:p>
          <w:p w:rsidR="00803DFB" w:rsidRPr="00E7075A" w:rsidRDefault="00803DFB" w:rsidP="00C64462">
            <w:pPr>
              <w:pStyle w:val="SCCShortJudgment"/>
              <w:ind w:firstLine="0"/>
              <w:rPr>
                <w:szCs w:val="20"/>
              </w:rPr>
            </w:pPr>
          </w:p>
          <w:p w:rsidR="00803DFB" w:rsidRPr="00E7075A" w:rsidRDefault="00803DFB" w:rsidP="00C64462">
            <w:pPr>
              <w:pStyle w:val="SCCShortJudgment"/>
              <w:rPr>
                <w:szCs w:val="20"/>
                <w:lang w:val="fr-CA"/>
              </w:rPr>
            </w:pPr>
            <w:r w:rsidRPr="00E7075A">
              <w:rPr>
                <w:szCs w:val="20"/>
                <w:lang w:val="fr-CA"/>
              </w:rPr>
              <w:t>La demande d’autorisation d’appel de l’arrêt de la Cour d'appel de l’Île-du-Prince-Édouard, numéro S1-CA-1270, 2014 PECA 13, daté du 18 juillet 2014, est rejetée avec dépens en faveur de l’intimée Inforoute Santé du Canada Inc.</w:t>
            </w:r>
          </w:p>
        </w:tc>
      </w:tr>
    </w:tbl>
    <w:p w:rsidR="00124C37" w:rsidRPr="00803DFB" w:rsidRDefault="00124C37" w:rsidP="000E2959">
      <w:pPr>
        <w:rPr>
          <w:sz w:val="20"/>
          <w:szCs w:val="20"/>
          <w:lang w:val="fr-CA"/>
        </w:rPr>
      </w:pPr>
    </w:p>
    <w:p w:rsidR="00124C37" w:rsidRPr="001B157C" w:rsidRDefault="00124C37" w:rsidP="00124C37">
      <w:pPr>
        <w:rPr>
          <w:sz w:val="20"/>
          <w:szCs w:val="20"/>
          <w:u w:val="single"/>
        </w:rPr>
      </w:pPr>
      <w:r w:rsidRPr="001B157C">
        <w:rPr>
          <w:sz w:val="20"/>
          <w:szCs w:val="20"/>
          <w:u w:val="single"/>
        </w:rPr>
        <w:t>CASE SUMMARY</w:t>
      </w:r>
    </w:p>
    <w:p w:rsidR="00124C37" w:rsidRDefault="00124C37" w:rsidP="00124C3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D1C23" w:rsidRPr="000F1B6E" w:rsidTr="003D1C23">
        <w:tc>
          <w:tcPr>
            <w:tcW w:w="5000" w:type="pct"/>
            <w:gridSpan w:val="3"/>
          </w:tcPr>
          <w:p w:rsidR="003D1C23" w:rsidRPr="000F1B6E" w:rsidRDefault="003D1C23" w:rsidP="003D1C23">
            <w:pPr>
              <w:jc w:val="both"/>
              <w:rPr>
                <w:rFonts w:eastAsia="Calibri"/>
                <w:sz w:val="20"/>
              </w:rPr>
            </w:pPr>
            <w:r w:rsidRPr="000F1B6E">
              <w:rPr>
                <w:rFonts w:eastAsia="Calibri"/>
                <w:sz w:val="20"/>
              </w:rPr>
              <w:t xml:space="preserve">Administrative law — Judicial review — Procedure — Evidence — Prince Edward Island Human Rights Tribunal — Discrimination on the basis of race — </w:t>
            </w:r>
            <w:r w:rsidRPr="000F1B6E">
              <w:rPr>
                <w:rFonts w:eastAsia="Calibri"/>
                <w:i/>
                <w:sz w:val="20"/>
              </w:rPr>
              <w:t>Stare decisis</w:t>
            </w:r>
            <w:r w:rsidRPr="000F1B6E">
              <w:rPr>
                <w:rFonts w:eastAsia="Calibri"/>
                <w:sz w:val="20"/>
              </w:rPr>
              <w:t xml:space="preserve"> — Whether the Court of Appeal required direct evidence of discrimination — Whether the Court of Appeal erred in upholding the decision that the rules of </w:t>
            </w:r>
            <w:r w:rsidRPr="000F1B6E">
              <w:rPr>
                <w:rFonts w:eastAsia="Calibri"/>
                <w:i/>
                <w:sz w:val="20"/>
              </w:rPr>
              <w:t>stare decisis</w:t>
            </w:r>
            <w:r w:rsidRPr="000F1B6E">
              <w:rPr>
                <w:rFonts w:eastAsia="Calibri"/>
                <w:sz w:val="20"/>
              </w:rPr>
              <w:t xml:space="preserve"> do not apply to tribunals dealing with quasi-constitutional issues — Whether the Court of Appeal erred in upholding the judicial review judge’s decision to accept the panel’s decision not to hear Mr. Ayangma on evidence submitted to the panel after the hearing concluded.</w:t>
            </w:r>
          </w:p>
        </w:tc>
      </w:tr>
      <w:tr w:rsidR="003D1C23" w:rsidRPr="000F1B6E" w:rsidTr="003D1C23">
        <w:tc>
          <w:tcPr>
            <w:tcW w:w="5000" w:type="pct"/>
            <w:gridSpan w:val="3"/>
          </w:tcPr>
          <w:p w:rsidR="003D1C23" w:rsidRPr="000F1B6E" w:rsidRDefault="003D1C23" w:rsidP="003D1C23">
            <w:pPr>
              <w:jc w:val="both"/>
              <w:rPr>
                <w:rFonts w:eastAsia="Calibri"/>
                <w:sz w:val="20"/>
              </w:rPr>
            </w:pPr>
          </w:p>
        </w:tc>
      </w:tr>
      <w:tr w:rsidR="003D1C23" w:rsidRPr="000F1B6E" w:rsidTr="003D1C23">
        <w:tc>
          <w:tcPr>
            <w:tcW w:w="5000" w:type="pct"/>
            <w:gridSpan w:val="3"/>
          </w:tcPr>
          <w:p w:rsidR="003D1C23" w:rsidRPr="000F1B6E" w:rsidRDefault="003D1C23" w:rsidP="003D1C23">
            <w:pPr>
              <w:jc w:val="both"/>
              <w:rPr>
                <w:rFonts w:eastAsia="Calibri"/>
                <w:sz w:val="20"/>
              </w:rPr>
            </w:pPr>
            <w:r w:rsidRPr="000F1B6E">
              <w:rPr>
                <w:rFonts w:eastAsia="Calibri"/>
                <w:sz w:val="20"/>
              </w:rPr>
              <w:t>Mr. Ayangma applied for employment for the senior position of Program Director Telehealth with Infoway, a not-for-profit corporation created following a study carried out by the Canadian provincial, territorial and federal first ministers in 2000 to foster an accelerate the development and use of a pan-Canadian electronic health record network.  Although Mr. Ayangma was asked to apply for the position by a search firm, Infoway’s interviewer concluded that Mr. Ayangma was not qualified for the position.</w:t>
            </w:r>
          </w:p>
          <w:p w:rsidR="003D1C23" w:rsidRPr="000F1B6E" w:rsidRDefault="003D1C23" w:rsidP="003D1C23">
            <w:pPr>
              <w:jc w:val="both"/>
              <w:rPr>
                <w:rFonts w:eastAsia="Calibri"/>
                <w:sz w:val="20"/>
              </w:rPr>
            </w:pPr>
          </w:p>
          <w:p w:rsidR="003D1C23" w:rsidRPr="000F1B6E" w:rsidRDefault="003D1C23" w:rsidP="003D1C23">
            <w:pPr>
              <w:jc w:val="both"/>
              <w:rPr>
                <w:rFonts w:eastAsia="Calibri"/>
                <w:sz w:val="20"/>
              </w:rPr>
            </w:pPr>
            <w:r w:rsidRPr="000F1B6E">
              <w:rPr>
                <w:rFonts w:eastAsia="Calibri"/>
                <w:sz w:val="20"/>
              </w:rPr>
              <w:t xml:space="preserve">As Mr. Ayangma is black and the successful candidate is white, Mr. Ayangma filed a complaint with the Prince Edward Island Human Rights Commission alleging that Infoway had discriminated against him in a matter of employment on the basis of his colour and his ethnic or national origin.  After years of interlocutory proceedings regarding jurisdiction, a panel was appointed.  During the hearing, the panel directed Infoway to file documentation on the composition of its workforce.  It filed the information as ordered.  The panel found that Mr. Ayangma had made out a </w:t>
            </w:r>
            <w:r w:rsidRPr="000F1B6E">
              <w:rPr>
                <w:rFonts w:eastAsia="Calibri"/>
                <w:i/>
                <w:sz w:val="20"/>
              </w:rPr>
              <w:t>prima facie</w:t>
            </w:r>
            <w:r w:rsidRPr="000F1B6E">
              <w:rPr>
                <w:rFonts w:eastAsia="Calibri"/>
                <w:sz w:val="20"/>
              </w:rPr>
              <w:t xml:space="preserve"> case, but concluded that Infoway had not hired Mr. Ayangma for the position because he did not have the necessary qualifications, experience with large projects, or skills to carry out that senior position.  Mr. Ayangma did not apply for reconsideration of that decision.  His application for judicial review was dismissed, as was his subsequent appeal.</w:t>
            </w:r>
          </w:p>
          <w:p w:rsidR="003D1C23" w:rsidRPr="000F1B6E" w:rsidRDefault="003D1C23" w:rsidP="003D1C23">
            <w:pPr>
              <w:jc w:val="both"/>
              <w:rPr>
                <w:rFonts w:eastAsia="Calibri"/>
                <w:sz w:val="20"/>
              </w:rPr>
            </w:pPr>
          </w:p>
        </w:tc>
      </w:tr>
      <w:tr w:rsidR="003D1C23" w:rsidRPr="000F1B6E" w:rsidTr="003D1C23">
        <w:tc>
          <w:tcPr>
            <w:tcW w:w="2427" w:type="pct"/>
          </w:tcPr>
          <w:p w:rsidR="003D1C23" w:rsidRPr="000F1B6E" w:rsidRDefault="003D1C23" w:rsidP="003D1C23">
            <w:pPr>
              <w:jc w:val="both"/>
              <w:rPr>
                <w:rFonts w:eastAsia="Calibri"/>
                <w:sz w:val="20"/>
              </w:rPr>
            </w:pPr>
            <w:r w:rsidRPr="000F1B6E">
              <w:rPr>
                <w:rFonts w:eastAsia="Calibri"/>
                <w:sz w:val="20"/>
              </w:rPr>
              <w:t>April 29, 2013</w:t>
            </w:r>
          </w:p>
          <w:p w:rsidR="003D1C23" w:rsidRPr="000F1B6E" w:rsidRDefault="003D1C23" w:rsidP="003D1C23">
            <w:pPr>
              <w:jc w:val="both"/>
              <w:rPr>
                <w:rFonts w:eastAsia="Calibri"/>
                <w:sz w:val="20"/>
              </w:rPr>
            </w:pPr>
            <w:r w:rsidRPr="000F1B6E">
              <w:rPr>
                <w:rFonts w:eastAsia="Calibri"/>
                <w:sz w:val="20"/>
              </w:rPr>
              <w:t>Supreme Court of Prince Edward Island</w:t>
            </w:r>
          </w:p>
          <w:p w:rsidR="003D1C23" w:rsidRPr="000F1B6E" w:rsidRDefault="003D1C23" w:rsidP="003D1C23">
            <w:pPr>
              <w:jc w:val="both"/>
              <w:rPr>
                <w:rFonts w:eastAsia="Calibri"/>
                <w:sz w:val="20"/>
              </w:rPr>
            </w:pPr>
            <w:r w:rsidRPr="000F1B6E">
              <w:rPr>
                <w:rFonts w:eastAsia="Calibri"/>
                <w:sz w:val="20"/>
              </w:rPr>
              <w:t>Trial Division</w:t>
            </w:r>
          </w:p>
          <w:p w:rsidR="003D1C23" w:rsidRPr="000F1B6E" w:rsidRDefault="003D1C23" w:rsidP="003D1C23">
            <w:pPr>
              <w:jc w:val="both"/>
              <w:rPr>
                <w:rFonts w:eastAsia="Calibri"/>
                <w:sz w:val="20"/>
              </w:rPr>
            </w:pPr>
            <w:r w:rsidRPr="000F1B6E">
              <w:rPr>
                <w:rFonts w:eastAsia="Calibri"/>
                <w:sz w:val="20"/>
              </w:rPr>
              <w:t>(Mitchell J.)</w:t>
            </w:r>
          </w:p>
          <w:p w:rsidR="003D1C23" w:rsidRPr="000F1B6E" w:rsidRDefault="00E42AAB" w:rsidP="003D1C23">
            <w:pPr>
              <w:jc w:val="both"/>
              <w:rPr>
                <w:rFonts w:eastAsia="Calibri"/>
                <w:sz w:val="20"/>
              </w:rPr>
            </w:pPr>
            <w:hyperlink r:id="rId82" w:history="1">
              <w:r w:rsidR="003D1C23" w:rsidRPr="000F1B6E">
                <w:rPr>
                  <w:rFonts w:eastAsia="Calibri"/>
                  <w:color w:val="0000FF"/>
                  <w:sz w:val="20"/>
                  <w:u w:val="single"/>
                </w:rPr>
                <w:t>2013 PESC 7</w:t>
              </w:r>
            </w:hyperlink>
          </w:p>
          <w:p w:rsidR="003D1C23" w:rsidRPr="000F1B6E" w:rsidRDefault="003D1C23" w:rsidP="003D1C23">
            <w:pPr>
              <w:jc w:val="both"/>
              <w:rPr>
                <w:rFonts w:eastAsia="Calibri"/>
                <w:sz w:val="20"/>
              </w:rPr>
            </w:pPr>
          </w:p>
        </w:tc>
        <w:tc>
          <w:tcPr>
            <w:tcW w:w="243" w:type="pct"/>
          </w:tcPr>
          <w:p w:rsidR="003D1C23" w:rsidRPr="000F1B6E" w:rsidRDefault="003D1C23" w:rsidP="003D1C23">
            <w:pPr>
              <w:jc w:val="both"/>
              <w:rPr>
                <w:rFonts w:eastAsia="Calibri"/>
                <w:sz w:val="20"/>
              </w:rPr>
            </w:pPr>
          </w:p>
        </w:tc>
        <w:tc>
          <w:tcPr>
            <w:tcW w:w="2330" w:type="pct"/>
          </w:tcPr>
          <w:p w:rsidR="003D1C23" w:rsidRPr="000F1B6E" w:rsidRDefault="003D1C23" w:rsidP="003D1C23">
            <w:pPr>
              <w:jc w:val="both"/>
              <w:rPr>
                <w:rFonts w:eastAsia="Calibri"/>
                <w:sz w:val="20"/>
              </w:rPr>
            </w:pPr>
            <w:r w:rsidRPr="000F1B6E">
              <w:rPr>
                <w:rFonts w:eastAsia="Calibri"/>
                <w:sz w:val="20"/>
              </w:rPr>
              <w:t>Application for judicial review dismissed</w:t>
            </w:r>
          </w:p>
          <w:p w:rsidR="003D1C23" w:rsidRPr="000F1B6E" w:rsidRDefault="003D1C23" w:rsidP="003D1C23">
            <w:pPr>
              <w:jc w:val="both"/>
              <w:rPr>
                <w:rFonts w:eastAsia="Calibri"/>
                <w:sz w:val="20"/>
              </w:rPr>
            </w:pPr>
          </w:p>
        </w:tc>
      </w:tr>
      <w:tr w:rsidR="003D1C23" w:rsidRPr="000F1B6E" w:rsidTr="003D1C23">
        <w:tc>
          <w:tcPr>
            <w:tcW w:w="2427" w:type="pct"/>
          </w:tcPr>
          <w:p w:rsidR="003D1C23" w:rsidRPr="000F1B6E" w:rsidRDefault="003D1C23" w:rsidP="003D1C23">
            <w:pPr>
              <w:jc w:val="both"/>
              <w:rPr>
                <w:rFonts w:eastAsia="Calibri"/>
                <w:sz w:val="20"/>
              </w:rPr>
            </w:pPr>
            <w:r w:rsidRPr="000F1B6E">
              <w:rPr>
                <w:rFonts w:eastAsia="Calibri"/>
                <w:sz w:val="20"/>
              </w:rPr>
              <w:t>July 18, 2014</w:t>
            </w:r>
          </w:p>
          <w:p w:rsidR="003D1C23" w:rsidRPr="000F1B6E" w:rsidRDefault="003D1C23" w:rsidP="003D1C23">
            <w:pPr>
              <w:jc w:val="both"/>
              <w:rPr>
                <w:rFonts w:eastAsia="Calibri"/>
                <w:sz w:val="20"/>
              </w:rPr>
            </w:pPr>
            <w:r w:rsidRPr="000F1B6E">
              <w:rPr>
                <w:rFonts w:eastAsia="Calibri"/>
                <w:sz w:val="20"/>
              </w:rPr>
              <w:t>Prince Edward Island Court of Appeal</w:t>
            </w:r>
          </w:p>
          <w:p w:rsidR="003D1C23" w:rsidRPr="000F1B6E" w:rsidRDefault="003D1C23" w:rsidP="003D1C23">
            <w:pPr>
              <w:jc w:val="both"/>
              <w:rPr>
                <w:rFonts w:eastAsia="Calibri"/>
                <w:sz w:val="20"/>
              </w:rPr>
            </w:pPr>
            <w:r w:rsidRPr="000F1B6E">
              <w:rPr>
                <w:rFonts w:eastAsia="Calibri"/>
                <w:sz w:val="20"/>
              </w:rPr>
              <w:t>(Jenkins, Murphy, Key JJ.A.)</w:t>
            </w:r>
          </w:p>
          <w:p w:rsidR="003D1C23" w:rsidRPr="000F1B6E" w:rsidRDefault="00E42AAB" w:rsidP="003D1C23">
            <w:pPr>
              <w:jc w:val="both"/>
              <w:rPr>
                <w:rFonts w:eastAsia="Calibri"/>
                <w:sz w:val="20"/>
              </w:rPr>
            </w:pPr>
            <w:hyperlink r:id="rId83" w:history="1">
              <w:r w:rsidR="003D1C23" w:rsidRPr="000F1B6E">
                <w:rPr>
                  <w:rFonts w:eastAsia="Calibri"/>
                  <w:color w:val="0000FF"/>
                  <w:sz w:val="20"/>
                  <w:u w:val="single"/>
                </w:rPr>
                <w:t>2014 PECA 13</w:t>
              </w:r>
            </w:hyperlink>
          </w:p>
          <w:p w:rsidR="003D1C23" w:rsidRPr="000F1B6E" w:rsidRDefault="003D1C23" w:rsidP="003D1C23">
            <w:pPr>
              <w:jc w:val="both"/>
              <w:rPr>
                <w:rFonts w:eastAsia="Calibri"/>
                <w:sz w:val="20"/>
              </w:rPr>
            </w:pPr>
          </w:p>
        </w:tc>
        <w:tc>
          <w:tcPr>
            <w:tcW w:w="243" w:type="pct"/>
          </w:tcPr>
          <w:p w:rsidR="003D1C23" w:rsidRPr="000F1B6E" w:rsidRDefault="003D1C23" w:rsidP="003D1C23">
            <w:pPr>
              <w:jc w:val="both"/>
              <w:rPr>
                <w:rFonts w:eastAsia="Calibri"/>
                <w:sz w:val="20"/>
              </w:rPr>
            </w:pPr>
          </w:p>
        </w:tc>
        <w:tc>
          <w:tcPr>
            <w:tcW w:w="2330" w:type="pct"/>
          </w:tcPr>
          <w:p w:rsidR="003D1C23" w:rsidRPr="000F1B6E" w:rsidRDefault="003D1C23" w:rsidP="003D1C23">
            <w:pPr>
              <w:jc w:val="both"/>
              <w:rPr>
                <w:rFonts w:eastAsia="Calibri"/>
                <w:sz w:val="20"/>
              </w:rPr>
            </w:pPr>
            <w:r w:rsidRPr="000F1B6E">
              <w:rPr>
                <w:rFonts w:eastAsia="Calibri"/>
                <w:sz w:val="20"/>
              </w:rPr>
              <w:t>Appeal dismissed</w:t>
            </w:r>
          </w:p>
          <w:p w:rsidR="003D1C23" w:rsidRPr="000F1B6E" w:rsidRDefault="003D1C23" w:rsidP="003D1C23">
            <w:pPr>
              <w:jc w:val="both"/>
              <w:rPr>
                <w:rFonts w:eastAsia="Calibri"/>
                <w:sz w:val="20"/>
              </w:rPr>
            </w:pPr>
          </w:p>
        </w:tc>
      </w:tr>
      <w:tr w:rsidR="003D1C23" w:rsidRPr="000F1B6E" w:rsidTr="003D1C23">
        <w:tc>
          <w:tcPr>
            <w:tcW w:w="2427" w:type="pct"/>
          </w:tcPr>
          <w:p w:rsidR="003D1C23" w:rsidRPr="000F1B6E" w:rsidRDefault="003D1C23" w:rsidP="003D1C23">
            <w:pPr>
              <w:jc w:val="both"/>
              <w:rPr>
                <w:rFonts w:eastAsia="Calibri"/>
                <w:sz w:val="20"/>
              </w:rPr>
            </w:pPr>
            <w:r w:rsidRPr="000F1B6E">
              <w:rPr>
                <w:rFonts w:eastAsia="Calibri"/>
                <w:sz w:val="20"/>
              </w:rPr>
              <w:t>September 24, 2014</w:t>
            </w:r>
          </w:p>
          <w:p w:rsidR="003D1C23" w:rsidRPr="000F1B6E" w:rsidRDefault="003D1C23" w:rsidP="003D1C23">
            <w:pPr>
              <w:jc w:val="both"/>
              <w:rPr>
                <w:rFonts w:eastAsia="Calibri"/>
                <w:sz w:val="20"/>
              </w:rPr>
            </w:pPr>
            <w:r w:rsidRPr="000F1B6E">
              <w:rPr>
                <w:rFonts w:eastAsia="Calibri"/>
                <w:sz w:val="20"/>
              </w:rPr>
              <w:t>Supreme Court of Canada</w:t>
            </w:r>
          </w:p>
        </w:tc>
        <w:tc>
          <w:tcPr>
            <w:tcW w:w="243" w:type="pct"/>
          </w:tcPr>
          <w:p w:rsidR="003D1C23" w:rsidRPr="000F1B6E" w:rsidRDefault="003D1C23" w:rsidP="003D1C23">
            <w:pPr>
              <w:jc w:val="both"/>
              <w:rPr>
                <w:rFonts w:eastAsia="Calibri"/>
                <w:sz w:val="20"/>
              </w:rPr>
            </w:pPr>
          </w:p>
        </w:tc>
        <w:tc>
          <w:tcPr>
            <w:tcW w:w="2330" w:type="pct"/>
          </w:tcPr>
          <w:p w:rsidR="003D1C23" w:rsidRPr="000F1B6E" w:rsidRDefault="003D1C23" w:rsidP="003D1C23">
            <w:pPr>
              <w:jc w:val="both"/>
              <w:rPr>
                <w:rFonts w:eastAsia="Calibri"/>
                <w:sz w:val="20"/>
              </w:rPr>
            </w:pPr>
            <w:r w:rsidRPr="000F1B6E">
              <w:rPr>
                <w:rFonts w:eastAsia="Calibri"/>
                <w:sz w:val="20"/>
              </w:rPr>
              <w:t>Application for leave to appeal filed</w:t>
            </w:r>
          </w:p>
        </w:tc>
      </w:tr>
    </w:tbl>
    <w:p w:rsidR="00124C37" w:rsidRPr="003D1C23" w:rsidRDefault="00124C37" w:rsidP="00124C37">
      <w:pPr>
        <w:rPr>
          <w:sz w:val="20"/>
          <w:szCs w:val="20"/>
        </w:rPr>
      </w:pPr>
    </w:p>
    <w:p w:rsidR="00124C37" w:rsidRPr="00C50A5C" w:rsidRDefault="00E42AAB" w:rsidP="00124C37">
      <w:pPr>
        <w:rPr>
          <w:sz w:val="20"/>
          <w:szCs w:val="20"/>
        </w:rPr>
      </w:pPr>
      <w:r>
        <w:rPr>
          <w:sz w:val="20"/>
          <w:szCs w:val="20"/>
          <w:lang w:val="fr-CA"/>
        </w:rPr>
        <w:pict>
          <v:rect id="_x0000_i1073" style="width:2in;height:1pt" o:hrpct="0" o:hralign="center" o:hrstd="t" o:hrnoshade="t" o:hr="t" fillcolor="black [3213]" stroked="f"/>
        </w:pict>
      </w:r>
    </w:p>
    <w:p w:rsidR="00124C37" w:rsidRDefault="00124C37" w:rsidP="00124C37">
      <w:pPr>
        <w:rPr>
          <w:sz w:val="20"/>
          <w:szCs w:val="20"/>
        </w:rPr>
      </w:pPr>
    </w:p>
    <w:p w:rsidR="00124C37" w:rsidRPr="001B157C" w:rsidRDefault="00124C37" w:rsidP="00124C37">
      <w:pPr>
        <w:rPr>
          <w:sz w:val="20"/>
          <w:szCs w:val="20"/>
          <w:u w:val="single"/>
          <w:lang w:val="fr-CA"/>
        </w:rPr>
      </w:pPr>
      <w:r w:rsidRPr="001B157C">
        <w:rPr>
          <w:sz w:val="20"/>
          <w:szCs w:val="20"/>
          <w:u w:val="single"/>
          <w:lang w:val="fr-CA"/>
        </w:rPr>
        <w:t>RÉSUMÉ DE L’AFFAIRE</w:t>
      </w:r>
    </w:p>
    <w:p w:rsidR="00124C37" w:rsidRDefault="00124C37" w:rsidP="00124C3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D1C23" w:rsidRPr="0025502E" w:rsidTr="003D1C23">
        <w:tc>
          <w:tcPr>
            <w:tcW w:w="5000" w:type="pct"/>
            <w:gridSpan w:val="3"/>
          </w:tcPr>
          <w:p w:rsidR="003D1C23" w:rsidRPr="000F1B6E" w:rsidRDefault="003D1C23" w:rsidP="003D1C23">
            <w:pPr>
              <w:jc w:val="both"/>
              <w:rPr>
                <w:rFonts w:eastAsia="Calibri"/>
                <w:sz w:val="20"/>
                <w:lang w:val="fr-CA"/>
              </w:rPr>
            </w:pPr>
            <w:r w:rsidRPr="000F1B6E">
              <w:rPr>
                <w:rFonts w:eastAsia="Calibri"/>
                <w:sz w:val="20"/>
                <w:lang w:val="fr-CA"/>
              </w:rPr>
              <w:t>Droit administratif — Contrôle judiciaire — Procédure — Preuve — Tribunal des droits de la personne de l’Île</w:t>
            </w:r>
            <w:r w:rsidRPr="000F1B6E">
              <w:rPr>
                <w:rFonts w:eastAsia="Calibri"/>
                <w:smallCaps/>
                <w:sz w:val="20"/>
                <w:lang w:val="fr-CA"/>
              </w:rPr>
              <w:t>-</w:t>
            </w:r>
            <w:r w:rsidRPr="000F1B6E">
              <w:rPr>
                <w:rFonts w:eastAsia="Calibri"/>
                <w:sz w:val="20"/>
                <w:lang w:val="fr-CA"/>
              </w:rPr>
              <w:t>du</w:t>
            </w:r>
            <w:r w:rsidRPr="000F1B6E">
              <w:rPr>
                <w:rFonts w:eastAsia="Calibri"/>
                <w:smallCaps/>
                <w:sz w:val="20"/>
                <w:lang w:val="fr-CA"/>
              </w:rPr>
              <w:t>-</w:t>
            </w:r>
            <w:r w:rsidRPr="000F1B6E">
              <w:rPr>
                <w:rFonts w:eastAsia="Calibri"/>
                <w:sz w:val="20"/>
                <w:lang w:val="fr-CA"/>
              </w:rPr>
              <w:t>Prince</w:t>
            </w:r>
            <w:r w:rsidRPr="000F1B6E">
              <w:rPr>
                <w:rFonts w:eastAsia="Calibri"/>
                <w:smallCaps/>
                <w:sz w:val="20"/>
                <w:lang w:val="fr-CA"/>
              </w:rPr>
              <w:t>-</w:t>
            </w:r>
            <w:r w:rsidRPr="000F1B6E">
              <w:rPr>
                <w:rFonts w:eastAsia="Calibri"/>
                <w:sz w:val="20"/>
                <w:lang w:val="fr-CA"/>
              </w:rPr>
              <w:t xml:space="preserve">Édouard — Discrimination fondée sur la race — </w:t>
            </w:r>
            <w:r w:rsidRPr="000F1B6E">
              <w:rPr>
                <w:rFonts w:eastAsia="Calibri"/>
                <w:i/>
                <w:sz w:val="20"/>
                <w:lang w:val="fr-CA"/>
              </w:rPr>
              <w:t>Stare decisis</w:t>
            </w:r>
            <w:r w:rsidRPr="000F1B6E">
              <w:rPr>
                <w:rFonts w:eastAsia="Calibri"/>
                <w:sz w:val="20"/>
                <w:lang w:val="fr-CA"/>
              </w:rPr>
              <w:t xml:space="preserve"> — La Cour d’appel a</w:t>
            </w:r>
            <w:r w:rsidRPr="000F1B6E">
              <w:rPr>
                <w:rFonts w:eastAsia="Calibri"/>
                <w:smallCaps/>
                <w:sz w:val="20"/>
                <w:lang w:val="fr-CA"/>
              </w:rPr>
              <w:t>-</w:t>
            </w:r>
            <w:r w:rsidRPr="000F1B6E">
              <w:rPr>
                <w:rFonts w:eastAsia="Calibri"/>
                <w:sz w:val="20"/>
                <w:lang w:val="fr-CA"/>
              </w:rPr>
              <w:t>t</w:t>
            </w:r>
            <w:r w:rsidRPr="000F1B6E">
              <w:rPr>
                <w:rFonts w:eastAsia="Calibri"/>
                <w:smallCaps/>
                <w:sz w:val="20"/>
                <w:lang w:val="fr-CA"/>
              </w:rPr>
              <w:t>-</w:t>
            </w:r>
            <w:r w:rsidRPr="000F1B6E">
              <w:rPr>
                <w:rFonts w:eastAsia="Calibri"/>
                <w:sz w:val="20"/>
                <w:lang w:val="fr-CA"/>
              </w:rPr>
              <w:t>elle exigé une preuve directe de discrimination? — La Cour d’appel a</w:t>
            </w:r>
            <w:r w:rsidRPr="000F1B6E">
              <w:rPr>
                <w:rFonts w:eastAsia="Calibri"/>
                <w:smallCaps/>
                <w:sz w:val="20"/>
                <w:lang w:val="fr-CA"/>
              </w:rPr>
              <w:t>-</w:t>
            </w:r>
            <w:r w:rsidRPr="000F1B6E">
              <w:rPr>
                <w:rFonts w:eastAsia="Calibri"/>
                <w:sz w:val="20"/>
                <w:lang w:val="fr-CA"/>
              </w:rPr>
              <w:t>t</w:t>
            </w:r>
            <w:r w:rsidRPr="000F1B6E">
              <w:rPr>
                <w:rFonts w:eastAsia="Calibri"/>
                <w:smallCaps/>
                <w:sz w:val="20"/>
                <w:lang w:val="fr-CA"/>
              </w:rPr>
              <w:t>-</w:t>
            </w:r>
            <w:r w:rsidRPr="000F1B6E">
              <w:rPr>
                <w:rFonts w:eastAsia="Calibri"/>
                <w:sz w:val="20"/>
                <w:lang w:val="fr-CA"/>
              </w:rPr>
              <w:t xml:space="preserve">elle commis une erreur en confirmant la décision selon laquelle les règles du </w:t>
            </w:r>
            <w:r w:rsidRPr="000F1B6E">
              <w:rPr>
                <w:rFonts w:eastAsia="Calibri"/>
                <w:i/>
                <w:sz w:val="20"/>
                <w:lang w:val="fr-CA"/>
              </w:rPr>
              <w:t>stare decisis</w:t>
            </w:r>
            <w:r w:rsidRPr="000F1B6E">
              <w:rPr>
                <w:rFonts w:eastAsia="Calibri"/>
                <w:sz w:val="20"/>
                <w:lang w:val="fr-CA"/>
              </w:rPr>
              <w:t xml:space="preserve"> ne s’appliquent pas aux tribunaux saisis de questions quasi constitutionnelles? — La Cour d’appel a</w:t>
            </w:r>
            <w:r w:rsidRPr="000F1B6E">
              <w:rPr>
                <w:rFonts w:eastAsia="Calibri"/>
                <w:smallCaps/>
                <w:sz w:val="20"/>
                <w:lang w:val="fr-CA"/>
              </w:rPr>
              <w:t>-</w:t>
            </w:r>
            <w:r w:rsidRPr="000F1B6E">
              <w:rPr>
                <w:rFonts w:eastAsia="Calibri"/>
                <w:sz w:val="20"/>
                <w:lang w:val="fr-CA"/>
              </w:rPr>
              <w:t>t</w:t>
            </w:r>
            <w:r w:rsidRPr="000F1B6E">
              <w:rPr>
                <w:rFonts w:eastAsia="Calibri"/>
                <w:smallCaps/>
                <w:sz w:val="20"/>
                <w:lang w:val="fr-CA"/>
              </w:rPr>
              <w:t>-</w:t>
            </w:r>
            <w:r w:rsidRPr="000F1B6E">
              <w:rPr>
                <w:rFonts w:eastAsia="Calibri"/>
                <w:sz w:val="20"/>
                <w:lang w:val="fr-CA"/>
              </w:rPr>
              <w:t>elle commis une erreur en confirmant la décision dans laquelle le juge chargé du contrôle judiciaire souscrit à la décision de la membre instructrice de ne pas entendre M. Ayangma sur le fondement d’une preuve lui ayant été soumise après la clôture de l’audience?</w:t>
            </w:r>
          </w:p>
        </w:tc>
      </w:tr>
      <w:tr w:rsidR="003D1C23" w:rsidRPr="0025502E" w:rsidTr="003D1C23">
        <w:tc>
          <w:tcPr>
            <w:tcW w:w="5000" w:type="pct"/>
            <w:gridSpan w:val="3"/>
          </w:tcPr>
          <w:p w:rsidR="003D1C23" w:rsidRPr="000F1B6E" w:rsidRDefault="003D1C23" w:rsidP="003D1C23">
            <w:pPr>
              <w:jc w:val="both"/>
              <w:rPr>
                <w:rFonts w:eastAsia="Calibri"/>
                <w:sz w:val="20"/>
                <w:lang w:val="fr-CA"/>
              </w:rPr>
            </w:pPr>
          </w:p>
        </w:tc>
      </w:tr>
      <w:tr w:rsidR="003D1C23" w:rsidRPr="0025502E" w:rsidTr="003D1C23">
        <w:tc>
          <w:tcPr>
            <w:tcW w:w="5000" w:type="pct"/>
            <w:gridSpan w:val="3"/>
          </w:tcPr>
          <w:p w:rsidR="003D1C23" w:rsidRPr="000F1B6E" w:rsidRDefault="003D1C23" w:rsidP="003D1C23">
            <w:pPr>
              <w:jc w:val="both"/>
              <w:rPr>
                <w:rFonts w:eastAsia="Calibri"/>
                <w:sz w:val="20"/>
                <w:lang w:val="fr-CA"/>
              </w:rPr>
            </w:pPr>
            <w:r w:rsidRPr="000F1B6E">
              <w:rPr>
                <w:rFonts w:eastAsia="Calibri"/>
                <w:sz w:val="20"/>
                <w:lang w:val="fr-CA"/>
              </w:rPr>
              <w:t>M. Ayangma a soumis sa candidature au poste hiérarchique élevé de directeur de programme, télésanté, auprès d’Inforoute, une société sans but lucratif constituée à la suite d’une étude menée par les premiers ministres du Canada en 2000 en vue de favoriser et d’accélérer l’établissement et l’utilisation d’un réseau national de dossiers de santé électroniques. Bien que ce soit une société de recherche qui ait demandé à M. Ayangma de postuler pour cet emploi, la personne chargée de mener l’entrevue chez Inforoute a conclu qu’il n’était pas qualifié pour le poste.</w:t>
            </w:r>
          </w:p>
          <w:p w:rsidR="003D1C23" w:rsidRPr="000F1B6E" w:rsidRDefault="003D1C23" w:rsidP="003D1C23">
            <w:pPr>
              <w:jc w:val="both"/>
              <w:rPr>
                <w:rFonts w:eastAsia="Calibri"/>
                <w:sz w:val="20"/>
                <w:lang w:val="fr-CA"/>
              </w:rPr>
            </w:pPr>
          </w:p>
          <w:p w:rsidR="003D1C23" w:rsidRPr="000F1B6E" w:rsidRDefault="003D1C23" w:rsidP="003D1C23">
            <w:pPr>
              <w:jc w:val="both"/>
              <w:rPr>
                <w:rFonts w:eastAsia="Calibri"/>
                <w:sz w:val="20"/>
                <w:lang w:val="fr-CA"/>
              </w:rPr>
            </w:pPr>
            <w:r w:rsidRPr="000F1B6E">
              <w:rPr>
                <w:rFonts w:eastAsia="Calibri"/>
                <w:sz w:val="20"/>
                <w:lang w:val="fr-CA"/>
              </w:rPr>
              <w:t>Comme M. Ayangma est de race noire et que le candidat retenu est de race blanche, M. Ayangma a déposé une plainte auprès de la commission des droits de la personne de l’Île</w:t>
            </w:r>
            <w:r w:rsidRPr="000F1B6E">
              <w:rPr>
                <w:rFonts w:eastAsia="Calibri"/>
                <w:smallCaps/>
                <w:sz w:val="20"/>
                <w:lang w:val="fr-CA"/>
              </w:rPr>
              <w:t>-</w:t>
            </w:r>
            <w:r w:rsidRPr="000F1B6E">
              <w:rPr>
                <w:rFonts w:eastAsia="Calibri"/>
                <w:sz w:val="20"/>
                <w:lang w:val="fr-CA"/>
              </w:rPr>
              <w:t>du</w:t>
            </w:r>
            <w:r w:rsidRPr="000F1B6E">
              <w:rPr>
                <w:rFonts w:eastAsia="Calibri"/>
                <w:smallCaps/>
                <w:sz w:val="20"/>
                <w:lang w:val="fr-CA"/>
              </w:rPr>
              <w:t>-</w:t>
            </w:r>
            <w:r w:rsidRPr="000F1B6E">
              <w:rPr>
                <w:rFonts w:eastAsia="Calibri"/>
                <w:sz w:val="20"/>
                <w:lang w:val="fr-CA"/>
              </w:rPr>
              <w:t>Prince</w:t>
            </w:r>
            <w:r w:rsidRPr="000F1B6E">
              <w:rPr>
                <w:rFonts w:eastAsia="Calibri"/>
                <w:smallCaps/>
                <w:sz w:val="20"/>
                <w:lang w:val="fr-CA"/>
              </w:rPr>
              <w:t>-</w:t>
            </w:r>
            <w:r w:rsidRPr="000F1B6E">
              <w:rPr>
                <w:rFonts w:eastAsia="Calibri"/>
                <w:sz w:val="20"/>
                <w:lang w:val="fr-CA"/>
              </w:rPr>
              <w:t>Édouard, alléguant qu’Inforoute a fait preuve envers lui de discrimination en matière d’emploi du fait de sa couleur et de son origine ethnique ou nationale.  Après des années de procédures interlocutoires sur la question de la compétence, une membre instructrice a été nommée.  Durant l’audience, celle</w:t>
            </w:r>
            <w:r w:rsidRPr="000F1B6E">
              <w:rPr>
                <w:rFonts w:eastAsia="Calibri"/>
                <w:smallCaps/>
                <w:sz w:val="20"/>
                <w:lang w:val="fr-CA"/>
              </w:rPr>
              <w:t>-</w:t>
            </w:r>
            <w:r w:rsidRPr="000F1B6E">
              <w:rPr>
                <w:rFonts w:eastAsia="Calibri"/>
                <w:sz w:val="20"/>
                <w:lang w:val="fr-CA"/>
              </w:rPr>
              <w:t xml:space="preserve">ci a ordonné à Inforoute de produire des documents sur la composition de son effectif.  La société a produit les renseignements exigés. La membre instructrice a conclu que M. Ayangma avait établi une preuve </w:t>
            </w:r>
            <w:r w:rsidRPr="000F1B6E">
              <w:rPr>
                <w:rFonts w:eastAsia="Calibri"/>
                <w:i/>
                <w:sz w:val="20"/>
                <w:lang w:val="fr-CA"/>
              </w:rPr>
              <w:t>prima facie</w:t>
            </w:r>
            <w:r w:rsidRPr="000F1B6E">
              <w:rPr>
                <w:rFonts w:eastAsia="Calibri"/>
                <w:sz w:val="20"/>
                <w:lang w:val="fr-CA"/>
              </w:rPr>
              <w:t>, mais qu’Inforoute ne l’avait pas engagé pour les raisons suivantes : il n’avait pas les qualifications nécessaires, il ne possédait aucune expérience dans les projets de grande envergure et il n’avait pas les compétences requises pour occuper ce poste hiérarchique élevé.  M. Ayangma n’a pas sollicité le réexamen de cette décision.  Sa demande de contrôle judiciaire a été rejetée, tout comme son appel subséquent.</w:t>
            </w:r>
          </w:p>
          <w:p w:rsidR="003D1C23" w:rsidRPr="000F1B6E" w:rsidRDefault="003D1C23" w:rsidP="003D1C23">
            <w:pPr>
              <w:jc w:val="both"/>
              <w:rPr>
                <w:rFonts w:eastAsia="Calibri"/>
                <w:sz w:val="20"/>
                <w:lang w:val="fr-CA"/>
              </w:rPr>
            </w:pPr>
          </w:p>
        </w:tc>
      </w:tr>
      <w:tr w:rsidR="003D1C23" w:rsidRPr="0025502E" w:rsidTr="003D1C23">
        <w:tc>
          <w:tcPr>
            <w:tcW w:w="2427" w:type="pct"/>
          </w:tcPr>
          <w:p w:rsidR="003D1C23" w:rsidRPr="000F1B6E" w:rsidRDefault="003D1C23" w:rsidP="003D1C23">
            <w:pPr>
              <w:jc w:val="both"/>
              <w:rPr>
                <w:rFonts w:eastAsia="Calibri"/>
                <w:sz w:val="20"/>
                <w:lang w:val="fr-CA"/>
              </w:rPr>
            </w:pPr>
            <w:r w:rsidRPr="000F1B6E">
              <w:rPr>
                <w:rFonts w:eastAsia="Calibri"/>
                <w:sz w:val="20"/>
                <w:lang w:val="fr-CA"/>
              </w:rPr>
              <w:t>29 avril 2013</w:t>
            </w:r>
          </w:p>
          <w:p w:rsidR="003D1C23" w:rsidRPr="000F1B6E" w:rsidRDefault="003D1C23" w:rsidP="003D1C23">
            <w:pPr>
              <w:jc w:val="both"/>
              <w:rPr>
                <w:rFonts w:eastAsia="Calibri"/>
                <w:sz w:val="20"/>
                <w:lang w:val="fr-CA"/>
              </w:rPr>
            </w:pPr>
            <w:r w:rsidRPr="000F1B6E">
              <w:rPr>
                <w:rFonts w:eastAsia="Calibri"/>
                <w:sz w:val="20"/>
                <w:lang w:val="fr-CA"/>
              </w:rPr>
              <w:t>Cour suprême de l’Île</w:t>
            </w:r>
            <w:r w:rsidRPr="000F1B6E">
              <w:rPr>
                <w:rFonts w:eastAsia="Calibri"/>
                <w:smallCaps/>
                <w:sz w:val="20"/>
                <w:lang w:val="fr-CA"/>
              </w:rPr>
              <w:t>-</w:t>
            </w:r>
            <w:r w:rsidRPr="000F1B6E">
              <w:rPr>
                <w:rFonts w:eastAsia="Calibri"/>
                <w:sz w:val="20"/>
                <w:lang w:val="fr-CA"/>
              </w:rPr>
              <w:t>du</w:t>
            </w:r>
            <w:r w:rsidRPr="000F1B6E">
              <w:rPr>
                <w:rFonts w:eastAsia="Calibri"/>
                <w:smallCaps/>
                <w:sz w:val="20"/>
                <w:lang w:val="fr-CA"/>
              </w:rPr>
              <w:t>-</w:t>
            </w:r>
            <w:r w:rsidRPr="000F1B6E">
              <w:rPr>
                <w:rFonts w:eastAsia="Calibri"/>
                <w:sz w:val="20"/>
                <w:lang w:val="fr-CA"/>
              </w:rPr>
              <w:t>Prince</w:t>
            </w:r>
            <w:r w:rsidRPr="000F1B6E">
              <w:rPr>
                <w:rFonts w:eastAsia="Calibri"/>
                <w:smallCaps/>
                <w:sz w:val="20"/>
                <w:lang w:val="fr-CA"/>
              </w:rPr>
              <w:t>-</w:t>
            </w:r>
            <w:r w:rsidRPr="000F1B6E">
              <w:rPr>
                <w:rFonts w:eastAsia="Calibri"/>
                <w:sz w:val="20"/>
                <w:lang w:val="fr-CA"/>
              </w:rPr>
              <w:t>Édouard</w:t>
            </w:r>
          </w:p>
          <w:p w:rsidR="003D1C23" w:rsidRPr="000F1B6E" w:rsidRDefault="003D1C23" w:rsidP="003D1C23">
            <w:pPr>
              <w:jc w:val="both"/>
              <w:rPr>
                <w:rFonts w:eastAsia="Calibri"/>
                <w:sz w:val="20"/>
                <w:lang w:val="fr-CA"/>
              </w:rPr>
            </w:pPr>
            <w:r w:rsidRPr="000F1B6E">
              <w:rPr>
                <w:rFonts w:eastAsia="Calibri"/>
                <w:sz w:val="20"/>
                <w:lang w:val="fr-CA"/>
              </w:rPr>
              <w:t>Section de première instance</w:t>
            </w:r>
          </w:p>
          <w:p w:rsidR="003D1C23" w:rsidRPr="000F1B6E" w:rsidRDefault="003D1C23" w:rsidP="003D1C23">
            <w:pPr>
              <w:jc w:val="both"/>
              <w:rPr>
                <w:rFonts w:eastAsia="Calibri"/>
                <w:sz w:val="20"/>
                <w:lang w:val="fr-CA"/>
              </w:rPr>
            </w:pPr>
            <w:r w:rsidRPr="000F1B6E">
              <w:rPr>
                <w:rFonts w:eastAsia="Calibri"/>
                <w:sz w:val="20"/>
                <w:lang w:val="fr-CA"/>
              </w:rPr>
              <w:t>(Juge Mitchell)</w:t>
            </w:r>
          </w:p>
          <w:p w:rsidR="003D1C23" w:rsidRPr="000F1B6E" w:rsidRDefault="00E42AAB" w:rsidP="003D1C23">
            <w:pPr>
              <w:jc w:val="both"/>
              <w:rPr>
                <w:rFonts w:eastAsia="Calibri"/>
                <w:sz w:val="20"/>
                <w:lang w:val="fr-CA"/>
              </w:rPr>
            </w:pPr>
            <w:hyperlink r:id="rId84" w:history="1">
              <w:r w:rsidR="003D1C23" w:rsidRPr="000F1B6E">
                <w:rPr>
                  <w:rFonts w:eastAsia="Calibri"/>
                  <w:color w:val="0000FF"/>
                  <w:sz w:val="20"/>
                  <w:u w:val="single"/>
                  <w:lang w:val="fr-CA"/>
                </w:rPr>
                <w:t>2013 PESC 7</w:t>
              </w:r>
            </w:hyperlink>
          </w:p>
          <w:p w:rsidR="003D1C23" w:rsidRPr="000F1B6E" w:rsidRDefault="003D1C23" w:rsidP="003D1C23">
            <w:pPr>
              <w:jc w:val="both"/>
              <w:rPr>
                <w:rFonts w:eastAsia="Calibri"/>
                <w:sz w:val="20"/>
                <w:lang w:val="fr-CA"/>
              </w:rPr>
            </w:pPr>
          </w:p>
        </w:tc>
        <w:tc>
          <w:tcPr>
            <w:tcW w:w="243" w:type="pct"/>
          </w:tcPr>
          <w:p w:rsidR="003D1C23" w:rsidRPr="000F1B6E" w:rsidRDefault="003D1C23" w:rsidP="003D1C23">
            <w:pPr>
              <w:jc w:val="both"/>
              <w:rPr>
                <w:rFonts w:eastAsia="Calibri"/>
                <w:sz w:val="20"/>
                <w:lang w:val="fr-CA"/>
              </w:rPr>
            </w:pPr>
          </w:p>
        </w:tc>
        <w:tc>
          <w:tcPr>
            <w:tcW w:w="2330" w:type="pct"/>
          </w:tcPr>
          <w:p w:rsidR="003D1C23" w:rsidRPr="000F1B6E" w:rsidRDefault="003D1C23" w:rsidP="003D1C23">
            <w:pPr>
              <w:jc w:val="both"/>
              <w:rPr>
                <w:rFonts w:eastAsia="Calibri"/>
                <w:sz w:val="20"/>
                <w:lang w:val="fr-CA"/>
              </w:rPr>
            </w:pPr>
            <w:r w:rsidRPr="000F1B6E">
              <w:rPr>
                <w:rFonts w:eastAsia="Calibri"/>
                <w:sz w:val="20"/>
                <w:lang w:val="fr-CA"/>
              </w:rPr>
              <w:t>Rejet de la demande de contrôle judiciaire</w:t>
            </w:r>
          </w:p>
          <w:p w:rsidR="003D1C23" w:rsidRPr="000F1B6E" w:rsidRDefault="003D1C23" w:rsidP="003D1C23">
            <w:pPr>
              <w:jc w:val="both"/>
              <w:rPr>
                <w:rFonts w:eastAsia="Calibri"/>
                <w:sz w:val="20"/>
                <w:lang w:val="fr-CA"/>
              </w:rPr>
            </w:pPr>
          </w:p>
        </w:tc>
      </w:tr>
      <w:tr w:rsidR="003D1C23" w:rsidRPr="000F1B6E" w:rsidTr="003D1C23">
        <w:trPr>
          <w:cantSplit/>
        </w:trPr>
        <w:tc>
          <w:tcPr>
            <w:tcW w:w="2427" w:type="pct"/>
          </w:tcPr>
          <w:p w:rsidR="003D1C23" w:rsidRPr="000F1B6E" w:rsidRDefault="003D1C23" w:rsidP="003D1C23">
            <w:pPr>
              <w:jc w:val="both"/>
              <w:rPr>
                <w:rFonts w:eastAsia="Calibri"/>
                <w:sz w:val="20"/>
                <w:lang w:val="fr-CA"/>
              </w:rPr>
            </w:pPr>
            <w:r w:rsidRPr="000F1B6E">
              <w:rPr>
                <w:rFonts w:eastAsia="Calibri"/>
                <w:sz w:val="20"/>
                <w:lang w:val="fr-CA"/>
              </w:rPr>
              <w:t>18 juillet 2014</w:t>
            </w:r>
          </w:p>
          <w:p w:rsidR="003D1C23" w:rsidRPr="000F1B6E" w:rsidRDefault="003D1C23" w:rsidP="003D1C23">
            <w:pPr>
              <w:rPr>
                <w:rFonts w:eastAsia="Calibri"/>
                <w:sz w:val="20"/>
                <w:lang w:val="fr-CA"/>
              </w:rPr>
            </w:pPr>
            <w:r w:rsidRPr="000F1B6E">
              <w:rPr>
                <w:rFonts w:eastAsia="Calibri"/>
                <w:sz w:val="20"/>
                <w:lang w:val="fr-CA"/>
              </w:rPr>
              <w:t>Cour d’appel de l’Île</w:t>
            </w:r>
            <w:r w:rsidRPr="000F1B6E">
              <w:rPr>
                <w:rFonts w:eastAsia="Calibri"/>
                <w:smallCaps/>
                <w:sz w:val="20"/>
                <w:lang w:val="fr-CA"/>
              </w:rPr>
              <w:t>-</w:t>
            </w:r>
            <w:r w:rsidRPr="000F1B6E">
              <w:rPr>
                <w:rFonts w:eastAsia="Calibri"/>
                <w:sz w:val="20"/>
                <w:lang w:val="fr-CA"/>
              </w:rPr>
              <w:t>du</w:t>
            </w:r>
            <w:r w:rsidRPr="000F1B6E">
              <w:rPr>
                <w:rFonts w:eastAsia="Calibri"/>
                <w:smallCaps/>
                <w:sz w:val="20"/>
                <w:lang w:val="fr-CA"/>
              </w:rPr>
              <w:t>-</w:t>
            </w:r>
            <w:r w:rsidRPr="000F1B6E">
              <w:rPr>
                <w:rFonts w:eastAsia="Calibri"/>
                <w:sz w:val="20"/>
                <w:lang w:val="fr-CA"/>
              </w:rPr>
              <w:t>Prince</w:t>
            </w:r>
            <w:r w:rsidRPr="000F1B6E">
              <w:rPr>
                <w:rFonts w:eastAsia="Calibri"/>
                <w:smallCaps/>
                <w:sz w:val="20"/>
                <w:lang w:val="fr-CA"/>
              </w:rPr>
              <w:t>-</w:t>
            </w:r>
            <w:r w:rsidRPr="000F1B6E">
              <w:rPr>
                <w:rFonts w:eastAsia="Calibri"/>
                <w:sz w:val="20"/>
                <w:lang w:val="fr-CA"/>
              </w:rPr>
              <w:t>Édouard</w:t>
            </w:r>
          </w:p>
          <w:p w:rsidR="003D1C23" w:rsidRPr="000F1B6E" w:rsidRDefault="003D1C23" w:rsidP="003D1C23">
            <w:pPr>
              <w:rPr>
                <w:rFonts w:eastAsia="Calibri"/>
                <w:sz w:val="20"/>
                <w:lang w:val="fr-CA"/>
              </w:rPr>
            </w:pPr>
            <w:r w:rsidRPr="000F1B6E">
              <w:rPr>
                <w:rFonts w:eastAsia="Calibri"/>
                <w:sz w:val="20"/>
                <w:lang w:val="fr-CA"/>
              </w:rPr>
              <w:t>(Juges Jenkins, Murphy et Key)</w:t>
            </w:r>
          </w:p>
          <w:p w:rsidR="003D1C23" w:rsidRPr="000F1B6E" w:rsidRDefault="00E42AAB" w:rsidP="003D1C23">
            <w:pPr>
              <w:rPr>
                <w:rFonts w:eastAsia="Calibri"/>
                <w:sz w:val="20"/>
                <w:lang w:val="fr-CA"/>
              </w:rPr>
            </w:pPr>
            <w:hyperlink r:id="rId85" w:history="1">
              <w:r w:rsidR="003D1C23" w:rsidRPr="000F1B6E">
                <w:rPr>
                  <w:rFonts w:eastAsia="Calibri"/>
                  <w:color w:val="0000FF"/>
                  <w:sz w:val="20"/>
                  <w:u w:val="single"/>
                  <w:lang w:val="fr-CA"/>
                </w:rPr>
                <w:t>2014 PECA 13</w:t>
              </w:r>
            </w:hyperlink>
          </w:p>
          <w:p w:rsidR="003D1C23" w:rsidRPr="000F1B6E" w:rsidRDefault="003D1C23" w:rsidP="003D1C23">
            <w:pPr>
              <w:jc w:val="both"/>
              <w:rPr>
                <w:rFonts w:eastAsia="Calibri"/>
                <w:sz w:val="20"/>
                <w:lang w:val="fr-CA"/>
              </w:rPr>
            </w:pPr>
          </w:p>
        </w:tc>
        <w:tc>
          <w:tcPr>
            <w:tcW w:w="243" w:type="pct"/>
          </w:tcPr>
          <w:p w:rsidR="003D1C23" w:rsidRPr="000F1B6E" w:rsidRDefault="003D1C23" w:rsidP="003D1C23">
            <w:pPr>
              <w:jc w:val="both"/>
              <w:rPr>
                <w:rFonts w:eastAsia="Calibri"/>
                <w:sz w:val="20"/>
                <w:lang w:val="fr-CA"/>
              </w:rPr>
            </w:pPr>
          </w:p>
        </w:tc>
        <w:tc>
          <w:tcPr>
            <w:tcW w:w="2330" w:type="pct"/>
          </w:tcPr>
          <w:p w:rsidR="003D1C23" w:rsidRPr="000F1B6E" w:rsidRDefault="003D1C23" w:rsidP="003D1C23">
            <w:pPr>
              <w:jc w:val="both"/>
              <w:rPr>
                <w:rFonts w:eastAsia="Calibri"/>
                <w:sz w:val="20"/>
                <w:lang w:val="fr-CA"/>
              </w:rPr>
            </w:pPr>
            <w:r w:rsidRPr="000F1B6E">
              <w:rPr>
                <w:rFonts w:eastAsia="Calibri"/>
                <w:sz w:val="20"/>
                <w:lang w:val="fr-CA"/>
              </w:rPr>
              <w:t>Rejet de l’appel</w:t>
            </w:r>
          </w:p>
          <w:p w:rsidR="003D1C23" w:rsidRPr="000F1B6E" w:rsidRDefault="003D1C23" w:rsidP="003D1C23">
            <w:pPr>
              <w:jc w:val="both"/>
              <w:rPr>
                <w:rFonts w:eastAsia="Calibri"/>
                <w:sz w:val="20"/>
                <w:lang w:val="fr-CA"/>
              </w:rPr>
            </w:pPr>
          </w:p>
        </w:tc>
      </w:tr>
      <w:tr w:rsidR="003D1C23" w:rsidRPr="0025502E" w:rsidTr="003D1C23">
        <w:trPr>
          <w:cantSplit/>
        </w:trPr>
        <w:tc>
          <w:tcPr>
            <w:tcW w:w="2427" w:type="pct"/>
          </w:tcPr>
          <w:p w:rsidR="003D1C23" w:rsidRPr="000F1B6E" w:rsidRDefault="003D1C23" w:rsidP="003D1C23">
            <w:pPr>
              <w:jc w:val="both"/>
              <w:rPr>
                <w:rFonts w:eastAsia="Calibri"/>
                <w:sz w:val="20"/>
                <w:lang w:val="fr-CA"/>
              </w:rPr>
            </w:pPr>
            <w:r w:rsidRPr="000F1B6E">
              <w:rPr>
                <w:rFonts w:eastAsia="Calibri"/>
                <w:sz w:val="20"/>
                <w:lang w:val="fr-CA"/>
              </w:rPr>
              <w:t>24 septembre 2014</w:t>
            </w:r>
          </w:p>
          <w:p w:rsidR="003D1C23" w:rsidRPr="000F1B6E" w:rsidRDefault="003D1C23" w:rsidP="003D1C23">
            <w:pPr>
              <w:jc w:val="both"/>
              <w:rPr>
                <w:rFonts w:eastAsia="Calibri"/>
                <w:sz w:val="20"/>
                <w:lang w:val="fr-CA"/>
              </w:rPr>
            </w:pPr>
            <w:r w:rsidRPr="000F1B6E">
              <w:rPr>
                <w:rFonts w:eastAsia="Calibri"/>
                <w:sz w:val="20"/>
                <w:lang w:val="fr-CA"/>
              </w:rPr>
              <w:t>Cour suprême du Canada</w:t>
            </w:r>
          </w:p>
        </w:tc>
        <w:tc>
          <w:tcPr>
            <w:tcW w:w="243" w:type="pct"/>
          </w:tcPr>
          <w:p w:rsidR="003D1C23" w:rsidRPr="000F1B6E" w:rsidRDefault="003D1C23" w:rsidP="003D1C23">
            <w:pPr>
              <w:jc w:val="both"/>
              <w:rPr>
                <w:rFonts w:eastAsia="Calibri"/>
                <w:sz w:val="20"/>
                <w:lang w:val="fr-CA"/>
              </w:rPr>
            </w:pPr>
          </w:p>
        </w:tc>
        <w:tc>
          <w:tcPr>
            <w:tcW w:w="2330" w:type="pct"/>
          </w:tcPr>
          <w:p w:rsidR="003D1C23" w:rsidRPr="000F1B6E" w:rsidRDefault="003D1C23" w:rsidP="003D1C23">
            <w:pPr>
              <w:jc w:val="both"/>
              <w:rPr>
                <w:rFonts w:eastAsia="Calibri"/>
                <w:sz w:val="20"/>
                <w:lang w:val="fr-CA"/>
              </w:rPr>
            </w:pPr>
            <w:r w:rsidRPr="000F1B6E">
              <w:rPr>
                <w:rFonts w:eastAsia="Calibri"/>
                <w:sz w:val="20"/>
                <w:lang w:val="fr-CA"/>
              </w:rPr>
              <w:t>Dépôt de la demande d’autorisation d’appel</w:t>
            </w:r>
          </w:p>
        </w:tc>
      </w:tr>
    </w:tbl>
    <w:p w:rsidR="00124C37" w:rsidRPr="003D1C23" w:rsidRDefault="00124C37" w:rsidP="00124C37">
      <w:pPr>
        <w:rPr>
          <w:sz w:val="20"/>
          <w:szCs w:val="20"/>
          <w:lang w:val="fr-CA"/>
        </w:rPr>
      </w:pPr>
    </w:p>
    <w:p w:rsidR="00124C37" w:rsidRDefault="00E42AAB" w:rsidP="00124C37">
      <w:pPr>
        <w:rPr>
          <w:sz w:val="20"/>
          <w:szCs w:val="20"/>
        </w:rPr>
      </w:pPr>
      <w:r>
        <w:rPr>
          <w:sz w:val="20"/>
          <w:szCs w:val="20"/>
          <w:lang w:val="fr-CA"/>
        </w:rPr>
        <w:pict>
          <v:rect id="_x0000_i1074" style="width:2in;height:1pt" o:hrpct="0" o:hralign="center" o:hrstd="t" o:hrnoshade="t" o:hr="t" fillcolor="black [3213]" stroked="f"/>
        </w:pict>
      </w:r>
    </w:p>
    <w:p w:rsidR="00124C37" w:rsidRDefault="00124C37" w:rsidP="00124C37">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03DFB" w:rsidRPr="00E7075A" w:rsidTr="00C64462">
        <w:trPr>
          <w:cantSplit/>
        </w:trPr>
        <w:tc>
          <w:tcPr>
            <w:tcW w:w="1458" w:type="dxa"/>
          </w:tcPr>
          <w:p w:rsidR="00803DFB" w:rsidRPr="00E7075A" w:rsidRDefault="00803DFB" w:rsidP="00C64462">
            <w:pPr>
              <w:rPr>
                <w:sz w:val="20"/>
                <w:szCs w:val="20"/>
              </w:rPr>
            </w:pPr>
            <w:r w:rsidRPr="00E7075A">
              <w:rPr>
                <w:rStyle w:val="SCCFileNumberChar"/>
                <w:sz w:val="20"/>
                <w:szCs w:val="20"/>
              </w:rPr>
              <w:lastRenderedPageBreak/>
              <w:t>36089</w:t>
            </w:r>
          </w:p>
          <w:p w:rsidR="00803DFB" w:rsidRPr="00E7075A" w:rsidRDefault="00803DFB" w:rsidP="00C64462">
            <w:pPr>
              <w:rPr>
                <w:b/>
                <w:sz w:val="20"/>
                <w:szCs w:val="20"/>
                <w:lang w:val="fr-CA"/>
              </w:rPr>
            </w:pPr>
          </w:p>
        </w:tc>
        <w:tc>
          <w:tcPr>
            <w:tcW w:w="8118" w:type="dxa"/>
          </w:tcPr>
          <w:p w:rsidR="00803DFB" w:rsidRPr="00E7075A" w:rsidRDefault="00803DFB" w:rsidP="00C64462">
            <w:pPr>
              <w:jc w:val="both"/>
              <w:rPr>
                <w:sz w:val="20"/>
                <w:szCs w:val="20"/>
              </w:rPr>
            </w:pPr>
            <w:r w:rsidRPr="00803DFB">
              <w:rPr>
                <w:rStyle w:val="SCCLsocChar"/>
                <w:sz w:val="20"/>
                <w:szCs w:val="20"/>
                <w:lang w:val="en-CA"/>
              </w:rPr>
              <w:t xml:space="preserve">Noël Ayangma v. Public Service Alliance of Canada, </w:t>
            </w:r>
            <w:r w:rsidR="00DA5B93">
              <w:rPr>
                <w:rStyle w:val="SCCLsocChar"/>
                <w:sz w:val="20"/>
                <w:szCs w:val="20"/>
                <w:lang w:val="en-CA"/>
              </w:rPr>
              <w:t xml:space="preserve">and </w:t>
            </w:r>
            <w:r w:rsidRPr="00803DFB">
              <w:rPr>
                <w:rStyle w:val="SCCLsocChar"/>
                <w:sz w:val="20"/>
                <w:szCs w:val="20"/>
                <w:lang w:val="en-CA"/>
              </w:rPr>
              <w:t>Prince Edward Island Human Rights Commission</w:t>
            </w:r>
            <w:r w:rsidRPr="00E7075A">
              <w:rPr>
                <w:sz w:val="20"/>
                <w:szCs w:val="20"/>
              </w:rPr>
              <w:t xml:space="preserve"> (P.E.I.) (Civil) (By Leave)</w:t>
            </w:r>
          </w:p>
          <w:p w:rsidR="00803DFB" w:rsidRPr="00E7075A" w:rsidRDefault="00803DFB" w:rsidP="00C64462">
            <w:pPr>
              <w:jc w:val="both"/>
              <w:rPr>
                <w:sz w:val="20"/>
                <w:szCs w:val="20"/>
              </w:rPr>
            </w:pPr>
          </w:p>
        </w:tc>
      </w:tr>
      <w:tr w:rsidR="00803DFB" w:rsidRPr="00E7075A" w:rsidTr="00C64462">
        <w:trPr>
          <w:cantSplit/>
        </w:trPr>
        <w:tc>
          <w:tcPr>
            <w:tcW w:w="1458" w:type="dxa"/>
          </w:tcPr>
          <w:p w:rsidR="00803DFB" w:rsidRPr="00E7075A" w:rsidRDefault="00803DFB" w:rsidP="00C64462">
            <w:pPr>
              <w:rPr>
                <w:sz w:val="20"/>
                <w:szCs w:val="20"/>
              </w:rPr>
            </w:pPr>
            <w:r w:rsidRPr="00E7075A">
              <w:rPr>
                <w:sz w:val="20"/>
                <w:szCs w:val="20"/>
              </w:rPr>
              <w:t>Coram :</w:t>
            </w:r>
          </w:p>
        </w:tc>
        <w:tc>
          <w:tcPr>
            <w:tcW w:w="8118" w:type="dxa"/>
          </w:tcPr>
          <w:p w:rsidR="00803DFB" w:rsidRPr="00E7075A" w:rsidRDefault="00803DFB" w:rsidP="00C64462">
            <w:pPr>
              <w:rPr>
                <w:sz w:val="20"/>
                <w:szCs w:val="20"/>
              </w:rPr>
            </w:pPr>
            <w:r w:rsidRPr="00803DFB">
              <w:rPr>
                <w:rStyle w:val="SCCCoramChar"/>
                <w:sz w:val="20"/>
                <w:szCs w:val="20"/>
                <w:lang w:val="en-CA"/>
              </w:rPr>
              <w:t>Abella, Karakatsanis and Wagner JJ.</w:t>
            </w:r>
          </w:p>
          <w:p w:rsidR="00803DFB" w:rsidRPr="00E7075A" w:rsidRDefault="00803DFB" w:rsidP="00C64462">
            <w:pPr>
              <w:rPr>
                <w:sz w:val="20"/>
                <w:szCs w:val="20"/>
                <w:u w:val="single"/>
              </w:rPr>
            </w:pPr>
          </w:p>
        </w:tc>
      </w:tr>
      <w:tr w:rsidR="00803DFB" w:rsidRPr="0025502E" w:rsidTr="00C64462">
        <w:trPr>
          <w:cantSplit/>
        </w:trPr>
        <w:tc>
          <w:tcPr>
            <w:tcW w:w="9576" w:type="dxa"/>
            <w:gridSpan w:val="2"/>
          </w:tcPr>
          <w:p w:rsidR="00803DFB" w:rsidRPr="00E7075A" w:rsidRDefault="00803DFB" w:rsidP="00C64462">
            <w:pPr>
              <w:pStyle w:val="SCCShortJudgment"/>
              <w:rPr>
                <w:szCs w:val="20"/>
              </w:rPr>
            </w:pPr>
            <w:r w:rsidRPr="00E7075A">
              <w:rPr>
                <w:szCs w:val="20"/>
              </w:rPr>
              <w:t>The application for leave to appeal from the judgment of the Prince Edward Island Court of Appeal, Number S1-CA-1287, 2014 PECA 15, dated July 23, 2014, is dismissed with costs to the respondent Public Service Alliance of Canada.</w:t>
            </w:r>
          </w:p>
          <w:p w:rsidR="00803DFB" w:rsidRPr="00E7075A" w:rsidRDefault="00803DFB" w:rsidP="00C64462">
            <w:pPr>
              <w:pStyle w:val="SCCShortJudgment"/>
              <w:ind w:firstLine="0"/>
              <w:rPr>
                <w:szCs w:val="20"/>
              </w:rPr>
            </w:pPr>
          </w:p>
          <w:p w:rsidR="00803DFB" w:rsidRPr="00E7075A" w:rsidRDefault="00803DFB" w:rsidP="00C64462">
            <w:pPr>
              <w:pStyle w:val="SCCShortJudgment"/>
              <w:rPr>
                <w:szCs w:val="20"/>
                <w:lang w:val="fr-CA"/>
              </w:rPr>
            </w:pPr>
            <w:r w:rsidRPr="00E7075A">
              <w:rPr>
                <w:szCs w:val="20"/>
                <w:lang w:val="fr-CA"/>
              </w:rPr>
              <w:t>La demande d’autorisation d’appel de l’arrêt de la Cour d'appel de l’Île-du-Prince-Édouard, numéro S1-CA-1287, 2014 PECA 15, daté du 23 juillet 2014, est rejetée avec dépens en faveur de l’intimée Alliance de la fonction publique du Canada.</w:t>
            </w:r>
          </w:p>
        </w:tc>
      </w:tr>
    </w:tbl>
    <w:p w:rsidR="00124C37" w:rsidRPr="00803DFB" w:rsidRDefault="00124C37" w:rsidP="000E2959">
      <w:pPr>
        <w:rPr>
          <w:sz w:val="20"/>
          <w:szCs w:val="20"/>
          <w:lang w:val="fr-CA"/>
        </w:rPr>
      </w:pPr>
    </w:p>
    <w:p w:rsidR="00124C37" w:rsidRPr="001B157C" w:rsidRDefault="00124C37" w:rsidP="00124C37">
      <w:pPr>
        <w:rPr>
          <w:sz w:val="20"/>
          <w:szCs w:val="20"/>
          <w:u w:val="single"/>
        </w:rPr>
      </w:pPr>
      <w:r w:rsidRPr="001B157C">
        <w:rPr>
          <w:sz w:val="20"/>
          <w:szCs w:val="20"/>
          <w:u w:val="single"/>
        </w:rPr>
        <w:t>CASE SUMMARY</w:t>
      </w:r>
    </w:p>
    <w:p w:rsidR="00124C37" w:rsidRDefault="00124C37" w:rsidP="00124C3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D1C23" w:rsidRPr="000F1B6E" w:rsidTr="003D1C23">
        <w:tc>
          <w:tcPr>
            <w:tcW w:w="5000" w:type="pct"/>
            <w:gridSpan w:val="3"/>
          </w:tcPr>
          <w:p w:rsidR="003D1C23" w:rsidRPr="000F1B6E" w:rsidRDefault="003D1C23" w:rsidP="003D1C23">
            <w:pPr>
              <w:jc w:val="both"/>
              <w:rPr>
                <w:rFonts w:eastAsia="Calibri"/>
                <w:sz w:val="20"/>
              </w:rPr>
            </w:pPr>
            <w:r w:rsidRPr="000F1B6E">
              <w:rPr>
                <w:rFonts w:eastAsia="Calibri"/>
                <w:sz w:val="20"/>
              </w:rPr>
              <w:t xml:space="preserve">Administrative law — Judicial review — Prince Edward Island Human Rights Tribunal — Discrimination in employment based on colour, race, and ethnic or national origin — </w:t>
            </w:r>
            <w:r w:rsidRPr="000F1B6E">
              <w:rPr>
                <w:rFonts w:eastAsia="Calibri"/>
                <w:i/>
                <w:sz w:val="20"/>
              </w:rPr>
              <w:t>Stare decisis</w:t>
            </w:r>
            <w:r w:rsidRPr="000F1B6E">
              <w:rPr>
                <w:rFonts w:eastAsia="Calibri"/>
                <w:sz w:val="20"/>
              </w:rPr>
              <w:t xml:space="preserve"> — Whether the Court of Appeal erred in law, seriously departed from the well-established rules of law and jurisprudence, and has repeatedly exceeded its jurisdiction in upholding the decision on judicial review, which affirmed the Chairperson’s decision, which concurred with the Executive Director’s decision, which clearly ignored the law dealing with discrimination and the evidence before him — Whether it also erred and exceeded its jurisdiction when it upheld the decision on judicial review, which clearly usurped the selection committee’s authority to set out the passing or qualifying mark or marks for any given selection process — Whether the Court of Appeal departed from the settled jurisprudence and thereby exceeded its jurisdiction by weighing and resolving conflicting evidence in favour of the Employer — Whether the Court of Appeal departed from the settled jurisprudence and thereby exceeded its jurisdiction in awarding unjustified punitive costs against the Applicant.</w:t>
            </w:r>
          </w:p>
        </w:tc>
      </w:tr>
      <w:tr w:rsidR="003D1C23" w:rsidRPr="000F1B6E" w:rsidTr="003D1C23">
        <w:tc>
          <w:tcPr>
            <w:tcW w:w="5000" w:type="pct"/>
            <w:gridSpan w:val="3"/>
          </w:tcPr>
          <w:p w:rsidR="003D1C23" w:rsidRPr="000F1B6E" w:rsidRDefault="003D1C23" w:rsidP="003D1C23">
            <w:pPr>
              <w:jc w:val="both"/>
              <w:rPr>
                <w:rFonts w:eastAsia="Calibri"/>
                <w:sz w:val="20"/>
              </w:rPr>
            </w:pPr>
          </w:p>
        </w:tc>
      </w:tr>
      <w:tr w:rsidR="003D1C23" w:rsidRPr="000F1B6E" w:rsidTr="003D1C23">
        <w:tc>
          <w:tcPr>
            <w:tcW w:w="5000" w:type="pct"/>
            <w:gridSpan w:val="3"/>
          </w:tcPr>
          <w:p w:rsidR="003D1C23" w:rsidRPr="000F1B6E" w:rsidRDefault="003D1C23" w:rsidP="003D1C23">
            <w:pPr>
              <w:jc w:val="both"/>
              <w:rPr>
                <w:rFonts w:eastAsia="Calibri"/>
                <w:sz w:val="20"/>
              </w:rPr>
            </w:pPr>
            <w:r w:rsidRPr="000F1B6E">
              <w:rPr>
                <w:rFonts w:eastAsia="Calibri"/>
                <w:sz w:val="20"/>
              </w:rPr>
              <w:t>Mr. Ayangma applied for six advertised vacancies with the union employer the Public Service Alliance of Canada.  PSAC conducted an interview process and concluded that Mr. Ayangma did not qualify for any of the positions. It filled three of the positions internally, and, for the other three positions, his test results were not adequate and he did not perform well in the facilitation exercise.  Mr. Ayangma filed a human rights complaint with the Prince Edward Island Human Rights Commission alleging discrimination in employment based on colour, race, and ethnic or national origin.</w:t>
            </w:r>
          </w:p>
          <w:p w:rsidR="003D1C23" w:rsidRPr="000F1B6E" w:rsidRDefault="003D1C23" w:rsidP="003D1C23">
            <w:pPr>
              <w:jc w:val="both"/>
              <w:rPr>
                <w:rFonts w:eastAsia="Calibri"/>
                <w:sz w:val="20"/>
              </w:rPr>
            </w:pPr>
          </w:p>
          <w:p w:rsidR="003D1C23" w:rsidRPr="000F1B6E" w:rsidRDefault="003D1C23" w:rsidP="003D1C23">
            <w:pPr>
              <w:jc w:val="both"/>
              <w:rPr>
                <w:rFonts w:eastAsia="Calibri"/>
                <w:sz w:val="20"/>
              </w:rPr>
            </w:pPr>
            <w:r w:rsidRPr="000F1B6E">
              <w:rPr>
                <w:rFonts w:eastAsia="Calibri"/>
                <w:sz w:val="20"/>
              </w:rPr>
              <w:t>The Commission dismissed the complaint and confirmed that decision on review.  Mr. Ayangma’s application for judicial review was dismissed, as was his subsequent appeal.</w:t>
            </w:r>
          </w:p>
          <w:p w:rsidR="003D1C23" w:rsidRPr="000F1B6E" w:rsidRDefault="003D1C23" w:rsidP="003D1C23">
            <w:pPr>
              <w:jc w:val="both"/>
              <w:rPr>
                <w:rFonts w:eastAsia="Calibri"/>
                <w:sz w:val="20"/>
              </w:rPr>
            </w:pPr>
          </w:p>
        </w:tc>
      </w:tr>
      <w:tr w:rsidR="003D1C23" w:rsidRPr="000F1B6E" w:rsidTr="003D1C23">
        <w:trPr>
          <w:cantSplit/>
        </w:trPr>
        <w:tc>
          <w:tcPr>
            <w:tcW w:w="2427" w:type="pct"/>
          </w:tcPr>
          <w:p w:rsidR="003D1C23" w:rsidRPr="000F1B6E" w:rsidRDefault="003D1C23" w:rsidP="003D1C23">
            <w:pPr>
              <w:jc w:val="both"/>
              <w:rPr>
                <w:rFonts w:eastAsia="Calibri"/>
                <w:sz w:val="20"/>
              </w:rPr>
            </w:pPr>
            <w:r w:rsidRPr="000F1B6E">
              <w:rPr>
                <w:rFonts w:eastAsia="Calibri"/>
                <w:sz w:val="20"/>
              </w:rPr>
              <w:t>November 19, 2013</w:t>
            </w:r>
          </w:p>
          <w:p w:rsidR="003D1C23" w:rsidRPr="000F1B6E" w:rsidRDefault="003D1C23" w:rsidP="003D1C23">
            <w:pPr>
              <w:jc w:val="both"/>
              <w:rPr>
                <w:rFonts w:eastAsia="Calibri"/>
                <w:sz w:val="20"/>
              </w:rPr>
            </w:pPr>
            <w:r w:rsidRPr="000F1B6E">
              <w:rPr>
                <w:rFonts w:eastAsia="Calibri"/>
                <w:sz w:val="20"/>
              </w:rPr>
              <w:t>Supreme Court of Prince Edward Island, Trial Division</w:t>
            </w:r>
          </w:p>
          <w:p w:rsidR="003D1C23" w:rsidRPr="000F1B6E" w:rsidRDefault="003D1C23" w:rsidP="003D1C23">
            <w:pPr>
              <w:jc w:val="both"/>
              <w:rPr>
                <w:rFonts w:eastAsia="Calibri"/>
                <w:sz w:val="20"/>
              </w:rPr>
            </w:pPr>
            <w:r w:rsidRPr="000F1B6E">
              <w:rPr>
                <w:rFonts w:eastAsia="Calibri"/>
                <w:sz w:val="20"/>
              </w:rPr>
              <w:t>(Campbell J.)</w:t>
            </w:r>
          </w:p>
          <w:p w:rsidR="003D1C23" w:rsidRPr="000F1B6E" w:rsidRDefault="00E42AAB" w:rsidP="003D1C23">
            <w:pPr>
              <w:jc w:val="both"/>
              <w:rPr>
                <w:rFonts w:eastAsia="Calibri"/>
                <w:sz w:val="20"/>
              </w:rPr>
            </w:pPr>
            <w:hyperlink r:id="rId86" w:history="1">
              <w:r w:rsidR="003D1C23" w:rsidRPr="000F1B6E">
                <w:rPr>
                  <w:rFonts w:eastAsia="Calibri"/>
                  <w:color w:val="0000FF"/>
                  <w:sz w:val="20"/>
                  <w:u w:val="single"/>
                </w:rPr>
                <w:t>2013 PESC 26</w:t>
              </w:r>
            </w:hyperlink>
          </w:p>
          <w:p w:rsidR="003D1C23" w:rsidRPr="000F1B6E" w:rsidRDefault="003D1C23" w:rsidP="003D1C23">
            <w:pPr>
              <w:jc w:val="both"/>
              <w:rPr>
                <w:rFonts w:eastAsia="Calibri"/>
                <w:sz w:val="20"/>
              </w:rPr>
            </w:pPr>
          </w:p>
        </w:tc>
        <w:tc>
          <w:tcPr>
            <w:tcW w:w="243" w:type="pct"/>
          </w:tcPr>
          <w:p w:rsidR="003D1C23" w:rsidRPr="000F1B6E" w:rsidRDefault="003D1C23" w:rsidP="003D1C23">
            <w:pPr>
              <w:jc w:val="both"/>
              <w:rPr>
                <w:rFonts w:eastAsia="Calibri"/>
                <w:sz w:val="20"/>
              </w:rPr>
            </w:pPr>
          </w:p>
        </w:tc>
        <w:tc>
          <w:tcPr>
            <w:tcW w:w="2330" w:type="pct"/>
          </w:tcPr>
          <w:p w:rsidR="003D1C23" w:rsidRPr="000F1B6E" w:rsidRDefault="003D1C23" w:rsidP="003D1C23">
            <w:pPr>
              <w:jc w:val="both"/>
              <w:rPr>
                <w:rFonts w:eastAsia="Calibri"/>
                <w:sz w:val="20"/>
              </w:rPr>
            </w:pPr>
            <w:r w:rsidRPr="000F1B6E">
              <w:rPr>
                <w:rFonts w:eastAsia="Calibri"/>
                <w:sz w:val="20"/>
              </w:rPr>
              <w:t>Application for judicial review dismissed</w:t>
            </w:r>
          </w:p>
          <w:p w:rsidR="003D1C23" w:rsidRPr="000F1B6E" w:rsidRDefault="003D1C23" w:rsidP="003D1C23">
            <w:pPr>
              <w:jc w:val="both"/>
              <w:rPr>
                <w:rFonts w:eastAsia="Calibri"/>
                <w:sz w:val="20"/>
              </w:rPr>
            </w:pPr>
          </w:p>
        </w:tc>
      </w:tr>
      <w:tr w:rsidR="003D1C23" w:rsidRPr="000F1B6E" w:rsidTr="003D1C23">
        <w:trPr>
          <w:cantSplit/>
        </w:trPr>
        <w:tc>
          <w:tcPr>
            <w:tcW w:w="2427" w:type="pct"/>
          </w:tcPr>
          <w:p w:rsidR="003D1C23" w:rsidRPr="000F1B6E" w:rsidRDefault="003D1C23" w:rsidP="003D1C23">
            <w:pPr>
              <w:jc w:val="both"/>
              <w:rPr>
                <w:rFonts w:eastAsia="Calibri"/>
                <w:sz w:val="20"/>
              </w:rPr>
            </w:pPr>
            <w:r w:rsidRPr="000F1B6E">
              <w:rPr>
                <w:rFonts w:eastAsia="Calibri"/>
                <w:sz w:val="20"/>
              </w:rPr>
              <w:lastRenderedPageBreak/>
              <w:t>July 23, 2014</w:t>
            </w:r>
          </w:p>
          <w:p w:rsidR="003D1C23" w:rsidRPr="000F1B6E" w:rsidRDefault="003D1C23" w:rsidP="003D1C23">
            <w:pPr>
              <w:jc w:val="both"/>
              <w:rPr>
                <w:rFonts w:eastAsia="Calibri"/>
                <w:sz w:val="20"/>
              </w:rPr>
            </w:pPr>
            <w:r w:rsidRPr="000F1B6E">
              <w:rPr>
                <w:rFonts w:eastAsia="Calibri"/>
                <w:sz w:val="20"/>
              </w:rPr>
              <w:t>Prince Edward Island Court of Appeal</w:t>
            </w:r>
          </w:p>
          <w:p w:rsidR="003D1C23" w:rsidRPr="000F1B6E" w:rsidRDefault="003D1C23" w:rsidP="003D1C23">
            <w:pPr>
              <w:jc w:val="both"/>
              <w:rPr>
                <w:rFonts w:eastAsia="Calibri"/>
                <w:sz w:val="20"/>
              </w:rPr>
            </w:pPr>
            <w:r w:rsidRPr="000F1B6E">
              <w:rPr>
                <w:rFonts w:eastAsia="Calibri"/>
                <w:sz w:val="20"/>
              </w:rPr>
              <w:t>(Jenkins, Murphy, Mitchell JJ.A.)</w:t>
            </w:r>
          </w:p>
          <w:p w:rsidR="003D1C23" w:rsidRPr="000F1B6E" w:rsidRDefault="00E42AAB" w:rsidP="003D1C23">
            <w:pPr>
              <w:jc w:val="both"/>
              <w:rPr>
                <w:rFonts w:eastAsia="Calibri"/>
                <w:sz w:val="20"/>
              </w:rPr>
            </w:pPr>
            <w:hyperlink r:id="rId87" w:history="1">
              <w:r w:rsidR="003D1C23" w:rsidRPr="000F1B6E">
                <w:rPr>
                  <w:rFonts w:eastAsia="Calibri"/>
                  <w:color w:val="0000FF"/>
                  <w:sz w:val="20"/>
                  <w:u w:val="single"/>
                </w:rPr>
                <w:t>2014 PECA 15</w:t>
              </w:r>
            </w:hyperlink>
          </w:p>
          <w:p w:rsidR="003D1C23" w:rsidRPr="000F1B6E" w:rsidRDefault="003D1C23" w:rsidP="003D1C23">
            <w:pPr>
              <w:jc w:val="both"/>
              <w:rPr>
                <w:rFonts w:eastAsia="Calibri"/>
                <w:sz w:val="20"/>
              </w:rPr>
            </w:pPr>
          </w:p>
        </w:tc>
        <w:tc>
          <w:tcPr>
            <w:tcW w:w="243" w:type="pct"/>
          </w:tcPr>
          <w:p w:rsidR="003D1C23" w:rsidRPr="000F1B6E" w:rsidRDefault="003D1C23" w:rsidP="003D1C23">
            <w:pPr>
              <w:jc w:val="both"/>
              <w:rPr>
                <w:rFonts w:eastAsia="Calibri"/>
                <w:sz w:val="20"/>
              </w:rPr>
            </w:pPr>
          </w:p>
        </w:tc>
        <w:tc>
          <w:tcPr>
            <w:tcW w:w="2330" w:type="pct"/>
          </w:tcPr>
          <w:p w:rsidR="003D1C23" w:rsidRPr="000F1B6E" w:rsidRDefault="003D1C23" w:rsidP="003D1C23">
            <w:pPr>
              <w:jc w:val="both"/>
              <w:rPr>
                <w:rFonts w:eastAsia="Calibri"/>
                <w:sz w:val="20"/>
              </w:rPr>
            </w:pPr>
            <w:r w:rsidRPr="000F1B6E">
              <w:rPr>
                <w:rFonts w:eastAsia="Calibri"/>
                <w:sz w:val="20"/>
              </w:rPr>
              <w:t>Appeal dismissed</w:t>
            </w:r>
          </w:p>
          <w:p w:rsidR="003D1C23" w:rsidRPr="000F1B6E" w:rsidRDefault="003D1C23" w:rsidP="003D1C23">
            <w:pPr>
              <w:jc w:val="both"/>
              <w:rPr>
                <w:rFonts w:eastAsia="Calibri"/>
                <w:sz w:val="20"/>
              </w:rPr>
            </w:pPr>
          </w:p>
        </w:tc>
      </w:tr>
      <w:tr w:rsidR="003D1C23" w:rsidRPr="000F1B6E" w:rsidTr="003D1C23">
        <w:trPr>
          <w:cantSplit/>
        </w:trPr>
        <w:tc>
          <w:tcPr>
            <w:tcW w:w="2427" w:type="pct"/>
          </w:tcPr>
          <w:p w:rsidR="003D1C23" w:rsidRPr="000F1B6E" w:rsidRDefault="003D1C23" w:rsidP="003D1C23">
            <w:pPr>
              <w:jc w:val="both"/>
              <w:rPr>
                <w:rFonts w:eastAsia="Calibri"/>
                <w:sz w:val="20"/>
              </w:rPr>
            </w:pPr>
            <w:r w:rsidRPr="000F1B6E">
              <w:rPr>
                <w:rFonts w:eastAsia="Calibri"/>
                <w:sz w:val="20"/>
              </w:rPr>
              <w:t>September 24, 2014</w:t>
            </w:r>
          </w:p>
          <w:p w:rsidR="003D1C23" w:rsidRPr="000F1B6E" w:rsidRDefault="003D1C23" w:rsidP="003D1C23">
            <w:pPr>
              <w:jc w:val="both"/>
              <w:rPr>
                <w:rFonts w:eastAsia="Calibri"/>
                <w:sz w:val="20"/>
              </w:rPr>
            </w:pPr>
            <w:r w:rsidRPr="000F1B6E">
              <w:rPr>
                <w:rFonts w:eastAsia="Calibri"/>
                <w:sz w:val="20"/>
              </w:rPr>
              <w:t>Supreme Court of Canada</w:t>
            </w:r>
          </w:p>
        </w:tc>
        <w:tc>
          <w:tcPr>
            <w:tcW w:w="243" w:type="pct"/>
          </w:tcPr>
          <w:p w:rsidR="003D1C23" w:rsidRPr="000F1B6E" w:rsidRDefault="003D1C23" w:rsidP="003D1C23">
            <w:pPr>
              <w:jc w:val="both"/>
              <w:rPr>
                <w:rFonts w:eastAsia="Calibri"/>
                <w:sz w:val="20"/>
              </w:rPr>
            </w:pPr>
          </w:p>
        </w:tc>
        <w:tc>
          <w:tcPr>
            <w:tcW w:w="2330" w:type="pct"/>
          </w:tcPr>
          <w:p w:rsidR="003D1C23" w:rsidRPr="000F1B6E" w:rsidRDefault="003D1C23" w:rsidP="003D1C23">
            <w:pPr>
              <w:jc w:val="both"/>
              <w:rPr>
                <w:rFonts w:eastAsia="Calibri"/>
                <w:sz w:val="20"/>
              </w:rPr>
            </w:pPr>
            <w:r w:rsidRPr="000F1B6E">
              <w:rPr>
                <w:rFonts w:eastAsia="Calibri"/>
                <w:sz w:val="20"/>
              </w:rPr>
              <w:t>Application for leave to appeal filed</w:t>
            </w:r>
          </w:p>
          <w:p w:rsidR="003D1C23" w:rsidRPr="000F1B6E" w:rsidRDefault="003D1C23" w:rsidP="003D1C23">
            <w:pPr>
              <w:jc w:val="both"/>
              <w:rPr>
                <w:rFonts w:eastAsia="Calibri"/>
                <w:sz w:val="20"/>
              </w:rPr>
            </w:pPr>
          </w:p>
        </w:tc>
      </w:tr>
    </w:tbl>
    <w:p w:rsidR="00124C37" w:rsidRPr="003D1C23" w:rsidRDefault="00124C37" w:rsidP="00124C37">
      <w:pPr>
        <w:rPr>
          <w:sz w:val="20"/>
          <w:szCs w:val="20"/>
        </w:rPr>
      </w:pPr>
    </w:p>
    <w:p w:rsidR="00124C37" w:rsidRPr="00C50A5C" w:rsidRDefault="00E42AAB" w:rsidP="00124C37">
      <w:pPr>
        <w:rPr>
          <w:sz w:val="20"/>
          <w:szCs w:val="20"/>
        </w:rPr>
      </w:pPr>
      <w:r>
        <w:rPr>
          <w:sz w:val="20"/>
          <w:szCs w:val="20"/>
          <w:lang w:val="fr-CA"/>
        </w:rPr>
        <w:pict>
          <v:rect id="_x0000_i1075" style="width:2in;height:1pt" o:hrpct="0" o:hralign="center" o:hrstd="t" o:hrnoshade="t" o:hr="t" fillcolor="black [3213]" stroked="f"/>
        </w:pict>
      </w:r>
    </w:p>
    <w:p w:rsidR="00124C37" w:rsidRDefault="00124C37" w:rsidP="00124C37">
      <w:pPr>
        <w:rPr>
          <w:sz w:val="20"/>
          <w:szCs w:val="20"/>
        </w:rPr>
      </w:pPr>
    </w:p>
    <w:p w:rsidR="00124C37" w:rsidRPr="001B157C" w:rsidRDefault="00124C37" w:rsidP="00124C37">
      <w:pPr>
        <w:rPr>
          <w:sz w:val="20"/>
          <w:szCs w:val="20"/>
          <w:u w:val="single"/>
          <w:lang w:val="fr-CA"/>
        </w:rPr>
      </w:pPr>
      <w:r w:rsidRPr="001B157C">
        <w:rPr>
          <w:sz w:val="20"/>
          <w:szCs w:val="20"/>
          <w:u w:val="single"/>
          <w:lang w:val="fr-CA"/>
        </w:rPr>
        <w:t>RÉSUMÉ DE L’AFFAIRE</w:t>
      </w:r>
    </w:p>
    <w:p w:rsidR="00124C37" w:rsidRDefault="00124C37" w:rsidP="00124C3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D1C23" w:rsidRPr="0025502E" w:rsidTr="003D1C23">
        <w:tc>
          <w:tcPr>
            <w:tcW w:w="5000" w:type="pct"/>
            <w:gridSpan w:val="3"/>
          </w:tcPr>
          <w:p w:rsidR="003D1C23" w:rsidRPr="000F1B6E" w:rsidRDefault="003D1C23" w:rsidP="003D1C23">
            <w:pPr>
              <w:jc w:val="both"/>
              <w:rPr>
                <w:rFonts w:eastAsia="Calibri"/>
                <w:sz w:val="20"/>
                <w:lang w:val="fr-CA"/>
              </w:rPr>
            </w:pPr>
            <w:r w:rsidRPr="000F1B6E">
              <w:rPr>
                <w:rFonts w:eastAsia="Calibri"/>
                <w:sz w:val="20"/>
                <w:lang w:val="fr-CA"/>
              </w:rPr>
              <w:t>Droit administratif — Contrôle judiciaire— Tribunal des droits de la personne de l’Île</w:t>
            </w:r>
            <w:r w:rsidRPr="000F1B6E">
              <w:rPr>
                <w:rFonts w:eastAsia="Calibri"/>
                <w:smallCaps/>
                <w:sz w:val="20"/>
                <w:lang w:val="fr-CA"/>
              </w:rPr>
              <w:t>-</w:t>
            </w:r>
            <w:r w:rsidRPr="000F1B6E">
              <w:rPr>
                <w:rFonts w:eastAsia="Calibri"/>
                <w:sz w:val="20"/>
                <w:lang w:val="fr-CA"/>
              </w:rPr>
              <w:t>du</w:t>
            </w:r>
            <w:r w:rsidRPr="000F1B6E">
              <w:rPr>
                <w:rFonts w:eastAsia="Calibri"/>
                <w:smallCaps/>
                <w:sz w:val="20"/>
                <w:lang w:val="fr-CA"/>
              </w:rPr>
              <w:t>-</w:t>
            </w:r>
            <w:r w:rsidRPr="000F1B6E">
              <w:rPr>
                <w:rFonts w:eastAsia="Calibri"/>
                <w:sz w:val="20"/>
                <w:lang w:val="fr-CA"/>
              </w:rPr>
              <w:t>Prince</w:t>
            </w:r>
            <w:r w:rsidRPr="000F1B6E">
              <w:rPr>
                <w:rFonts w:eastAsia="Calibri"/>
                <w:smallCaps/>
                <w:sz w:val="20"/>
                <w:lang w:val="fr-CA"/>
              </w:rPr>
              <w:t>-</w:t>
            </w:r>
            <w:r w:rsidRPr="000F1B6E">
              <w:rPr>
                <w:rFonts w:eastAsia="Calibri"/>
                <w:sz w:val="20"/>
                <w:lang w:val="fr-CA"/>
              </w:rPr>
              <w:t xml:space="preserve">Édouard — Discrimination en matière d’emploi fondée sur la couleur, la race et l’origine ethnique ou nationale — </w:t>
            </w:r>
            <w:r w:rsidRPr="000F1B6E">
              <w:rPr>
                <w:rFonts w:eastAsia="Calibri"/>
                <w:i/>
                <w:sz w:val="20"/>
                <w:lang w:val="fr-CA"/>
              </w:rPr>
              <w:t>Stare decisis</w:t>
            </w:r>
            <w:r w:rsidRPr="000F1B6E">
              <w:rPr>
                <w:rFonts w:eastAsia="Calibri"/>
                <w:sz w:val="20"/>
                <w:lang w:val="fr-CA"/>
              </w:rPr>
              <w:t xml:space="preserve"> — La Cour d’appel a</w:t>
            </w:r>
            <w:r w:rsidRPr="000F1B6E">
              <w:rPr>
                <w:rFonts w:eastAsia="Calibri"/>
                <w:smallCaps/>
                <w:sz w:val="20"/>
                <w:lang w:val="fr-CA"/>
              </w:rPr>
              <w:t>-</w:t>
            </w:r>
            <w:r w:rsidRPr="000F1B6E">
              <w:rPr>
                <w:rFonts w:eastAsia="Calibri"/>
                <w:sz w:val="20"/>
                <w:lang w:val="fr-CA"/>
              </w:rPr>
              <w:t>t</w:t>
            </w:r>
            <w:r w:rsidRPr="000F1B6E">
              <w:rPr>
                <w:rFonts w:eastAsia="Calibri"/>
                <w:smallCaps/>
                <w:sz w:val="20"/>
                <w:lang w:val="fr-CA"/>
              </w:rPr>
              <w:t>-</w:t>
            </w:r>
            <w:r w:rsidRPr="000F1B6E">
              <w:rPr>
                <w:rFonts w:eastAsia="Calibri"/>
                <w:sz w:val="20"/>
                <w:lang w:val="fr-CA"/>
              </w:rPr>
              <w:t>elle commis une erreur de droit, sérieusement dérogé aux règles juridiques et jurisprudentielles bien établies et outrepassé à plusieurs reprises sa compétence en confirmant la décision rendue en contrôle judiciaire, laquelle confirme la décision du président de souscrire à la conclusion du directeur administratif, celui</w:t>
            </w:r>
            <w:r w:rsidRPr="000F1B6E">
              <w:rPr>
                <w:rFonts w:eastAsia="Calibri"/>
                <w:smallCaps/>
                <w:sz w:val="20"/>
                <w:lang w:val="fr-CA"/>
              </w:rPr>
              <w:t>-</w:t>
            </w:r>
            <w:r w:rsidRPr="000F1B6E">
              <w:rPr>
                <w:rFonts w:eastAsia="Calibri"/>
                <w:sz w:val="20"/>
                <w:lang w:val="fr-CA"/>
              </w:rPr>
              <w:t>ci n’ayant clairement pas tenu compte des règles de droit relatives à la discrimination et de la preuve dont il disposait? — La Cour d’appel a</w:t>
            </w:r>
            <w:r w:rsidRPr="000F1B6E">
              <w:rPr>
                <w:rFonts w:eastAsia="Calibri"/>
                <w:smallCaps/>
                <w:sz w:val="20"/>
                <w:lang w:val="fr-CA"/>
              </w:rPr>
              <w:t>-</w:t>
            </w:r>
            <w:r w:rsidRPr="000F1B6E">
              <w:rPr>
                <w:rFonts w:eastAsia="Calibri"/>
                <w:sz w:val="20"/>
                <w:lang w:val="fr-CA"/>
              </w:rPr>
              <w:t>t</w:t>
            </w:r>
            <w:r w:rsidRPr="000F1B6E">
              <w:rPr>
                <w:rFonts w:eastAsia="Calibri"/>
                <w:smallCaps/>
                <w:sz w:val="20"/>
                <w:lang w:val="fr-CA"/>
              </w:rPr>
              <w:t>-</w:t>
            </w:r>
            <w:r w:rsidRPr="000F1B6E">
              <w:rPr>
                <w:rFonts w:eastAsia="Calibri"/>
                <w:sz w:val="20"/>
                <w:lang w:val="fr-CA"/>
              </w:rPr>
              <w:t>elle également commis une erreur et outrepassé sa compétence en confirmant la décision rendue en contrôle judiciaire, laquelle usurpe clairement le pouvoir du comité de sélection d’établir la ou les notes d’admissibilité ou de passage dans un processus de sélection donné? — La Cour d’appel a</w:t>
            </w:r>
            <w:r w:rsidRPr="000F1B6E">
              <w:rPr>
                <w:rFonts w:eastAsia="Calibri"/>
                <w:smallCaps/>
                <w:sz w:val="20"/>
                <w:lang w:val="fr-CA"/>
              </w:rPr>
              <w:t>-</w:t>
            </w:r>
            <w:r w:rsidRPr="000F1B6E">
              <w:rPr>
                <w:rFonts w:eastAsia="Calibri"/>
                <w:sz w:val="20"/>
                <w:lang w:val="fr-CA"/>
              </w:rPr>
              <w:t>t</w:t>
            </w:r>
            <w:r w:rsidRPr="000F1B6E">
              <w:rPr>
                <w:rFonts w:eastAsia="Calibri"/>
                <w:smallCaps/>
                <w:sz w:val="20"/>
                <w:lang w:val="fr-CA"/>
              </w:rPr>
              <w:t>-</w:t>
            </w:r>
            <w:r w:rsidRPr="000F1B6E">
              <w:rPr>
                <w:rFonts w:eastAsia="Calibri"/>
                <w:sz w:val="20"/>
                <w:lang w:val="fr-CA"/>
              </w:rPr>
              <w:t>elle dérogé à la jurisprudence établie et de ce fait outrepassé sa compétence en appréciant des éléments de preuve contradictoires et en se prononçant sur ceux</w:t>
            </w:r>
            <w:r w:rsidRPr="000F1B6E">
              <w:rPr>
                <w:rFonts w:eastAsia="Calibri"/>
                <w:smallCaps/>
                <w:sz w:val="20"/>
                <w:lang w:val="fr-CA"/>
              </w:rPr>
              <w:t>-</w:t>
            </w:r>
            <w:r w:rsidRPr="000F1B6E">
              <w:rPr>
                <w:rFonts w:eastAsia="Calibri"/>
                <w:sz w:val="20"/>
                <w:lang w:val="fr-CA"/>
              </w:rPr>
              <w:t>ci de manière favorable à l’employeur? — La Cour d’appel a</w:t>
            </w:r>
            <w:r w:rsidRPr="000F1B6E">
              <w:rPr>
                <w:rFonts w:eastAsia="Calibri"/>
                <w:smallCaps/>
                <w:sz w:val="20"/>
                <w:lang w:val="fr-CA"/>
              </w:rPr>
              <w:t>-</w:t>
            </w:r>
            <w:r w:rsidRPr="000F1B6E">
              <w:rPr>
                <w:rFonts w:eastAsia="Calibri"/>
                <w:sz w:val="20"/>
                <w:lang w:val="fr-CA"/>
              </w:rPr>
              <w:t>t</w:t>
            </w:r>
            <w:r w:rsidRPr="000F1B6E">
              <w:rPr>
                <w:rFonts w:eastAsia="Calibri"/>
                <w:smallCaps/>
                <w:sz w:val="20"/>
                <w:lang w:val="fr-CA"/>
              </w:rPr>
              <w:t>-</w:t>
            </w:r>
            <w:r w:rsidRPr="000F1B6E">
              <w:rPr>
                <w:rFonts w:eastAsia="Calibri"/>
                <w:sz w:val="20"/>
                <w:lang w:val="fr-CA"/>
              </w:rPr>
              <w:t>elle dérogé à la jurisprudence établie et de ce fait outrepassé sa compétence en condamnant le demandeur à des dépens punitifs injustifiés?</w:t>
            </w:r>
          </w:p>
        </w:tc>
      </w:tr>
      <w:tr w:rsidR="003D1C23" w:rsidRPr="0025502E" w:rsidTr="003D1C23">
        <w:tc>
          <w:tcPr>
            <w:tcW w:w="5000" w:type="pct"/>
            <w:gridSpan w:val="3"/>
          </w:tcPr>
          <w:p w:rsidR="003D1C23" w:rsidRPr="000F1B6E" w:rsidRDefault="003D1C23" w:rsidP="003D1C23">
            <w:pPr>
              <w:jc w:val="both"/>
              <w:rPr>
                <w:rFonts w:eastAsia="Calibri"/>
                <w:sz w:val="20"/>
                <w:lang w:val="fr-CA"/>
              </w:rPr>
            </w:pPr>
          </w:p>
        </w:tc>
      </w:tr>
      <w:tr w:rsidR="003D1C23" w:rsidRPr="0025502E" w:rsidTr="003D1C23">
        <w:tc>
          <w:tcPr>
            <w:tcW w:w="5000" w:type="pct"/>
            <w:gridSpan w:val="3"/>
          </w:tcPr>
          <w:p w:rsidR="003D1C23" w:rsidRPr="000F1B6E" w:rsidRDefault="003D1C23" w:rsidP="003D1C23">
            <w:pPr>
              <w:jc w:val="both"/>
              <w:rPr>
                <w:rFonts w:eastAsia="Calibri"/>
                <w:sz w:val="20"/>
                <w:lang w:val="fr-CA"/>
              </w:rPr>
            </w:pPr>
            <w:r w:rsidRPr="000F1B6E">
              <w:rPr>
                <w:rFonts w:eastAsia="Calibri"/>
                <w:sz w:val="20"/>
                <w:lang w:val="fr-CA"/>
              </w:rPr>
              <w:t>M. Ayangma a posé sa candidature à six postes vacants annoncés du syndicat employeur l’Alliance de la Fonction publique du Canada (l’AFPC).  Après lui avoir fait passer une entrevue, l’AFPC a conclu que M. Ayangma n’était qualifié pour aucun de ces postes.  Elle a doté trois des postes à l’interne; pour ce qui est des trois autres postes, ses résultats d’examen n’étaient pas satisfaisants et il n’avait pas obtenu de bons résultats dans l’exercice de facilitation.  M. Ayangma a déposé une plainte concernant les droits de la personne auprès de la commission des droits de la personne de l’Île</w:t>
            </w:r>
            <w:r w:rsidRPr="000F1B6E">
              <w:rPr>
                <w:rFonts w:eastAsia="Calibri"/>
                <w:smallCaps/>
                <w:sz w:val="20"/>
                <w:lang w:val="fr-CA"/>
              </w:rPr>
              <w:t>-</w:t>
            </w:r>
            <w:r w:rsidRPr="000F1B6E">
              <w:rPr>
                <w:rFonts w:eastAsia="Calibri"/>
                <w:sz w:val="20"/>
                <w:lang w:val="fr-CA"/>
              </w:rPr>
              <w:t>du</w:t>
            </w:r>
            <w:r w:rsidRPr="000F1B6E">
              <w:rPr>
                <w:rFonts w:eastAsia="Calibri"/>
                <w:smallCaps/>
                <w:sz w:val="20"/>
                <w:lang w:val="fr-CA"/>
              </w:rPr>
              <w:t>-</w:t>
            </w:r>
            <w:r w:rsidRPr="000F1B6E">
              <w:rPr>
                <w:rFonts w:eastAsia="Calibri"/>
                <w:sz w:val="20"/>
                <w:lang w:val="fr-CA"/>
              </w:rPr>
              <w:t>Prince</w:t>
            </w:r>
            <w:r w:rsidRPr="000F1B6E">
              <w:rPr>
                <w:rFonts w:eastAsia="Calibri"/>
                <w:smallCaps/>
                <w:sz w:val="20"/>
                <w:lang w:val="fr-CA"/>
              </w:rPr>
              <w:t>-</w:t>
            </w:r>
            <w:r w:rsidRPr="000F1B6E">
              <w:rPr>
                <w:rFonts w:eastAsia="Calibri"/>
                <w:sz w:val="20"/>
                <w:lang w:val="fr-CA"/>
              </w:rPr>
              <w:t>Édouard, alléguant avoir été victime de discrimination en matière d’emploi du fait de sa couleur, de sa race et de son origine ethnique ou nationale.</w:t>
            </w:r>
          </w:p>
          <w:p w:rsidR="003D1C23" w:rsidRPr="000F1B6E" w:rsidRDefault="003D1C23" w:rsidP="003D1C23">
            <w:pPr>
              <w:jc w:val="both"/>
              <w:rPr>
                <w:rFonts w:eastAsia="Calibri"/>
                <w:sz w:val="20"/>
                <w:lang w:val="fr-CA"/>
              </w:rPr>
            </w:pPr>
          </w:p>
          <w:p w:rsidR="003D1C23" w:rsidRPr="000F1B6E" w:rsidRDefault="003D1C23" w:rsidP="003D1C23">
            <w:pPr>
              <w:jc w:val="both"/>
              <w:rPr>
                <w:rFonts w:eastAsia="Calibri"/>
                <w:sz w:val="20"/>
                <w:lang w:val="fr-CA"/>
              </w:rPr>
            </w:pPr>
            <w:r w:rsidRPr="000F1B6E">
              <w:rPr>
                <w:rFonts w:eastAsia="Calibri"/>
                <w:sz w:val="20"/>
                <w:lang w:val="fr-CA"/>
              </w:rPr>
              <w:t>La Commission a rejeté la plainte et confirmé la décision après examen de celle</w:t>
            </w:r>
            <w:r w:rsidRPr="000F1B6E">
              <w:rPr>
                <w:rFonts w:eastAsia="Calibri"/>
                <w:smallCaps/>
                <w:sz w:val="20"/>
                <w:lang w:val="fr-CA"/>
              </w:rPr>
              <w:t>-</w:t>
            </w:r>
            <w:r w:rsidRPr="000F1B6E">
              <w:rPr>
                <w:rFonts w:eastAsia="Calibri"/>
                <w:sz w:val="20"/>
                <w:lang w:val="fr-CA"/>
              </w:rPr>
              <w:t>ci.  La demande de contrôle judiciaire de M. Ayangma a été rejetée, tout comme son appel subséquent.</w:t>
            </w:r>
          </w:p>
          <w:p w:rsidR="003D1C23" w:rsidRPr="000F1B6E" w:rsidRDefault="003D1C23" w:rsidP="003D1C23">
            <w:pPr>
              <w:jc w:val="both"/>
              <w:rPr>
                <w:rFonts w:eastAsia="Calibri"/>
                <w:sz w:val="20"/>
                <w:lang w:val="fr-CA"/>
              </w:rPr>
            </w:pPr>
          </w:p>
        </w:tc>
      </w:tr>
      <w:tr w:rsidR="003D1C23" w:rsidRPr="0025502E" w:rsidTr="003D1C23">
        <w:tc>
          <w:tcPr>
            <w:tcW w:w="2427" w:type="pct"/>
          </w:tcPr>
          <w:p w:rsidR="003D1C23" w:rsidRPr="000F1B6E" w:rsidRDefault="003D1C23" w:rsidP="003D1C23">
            <w:pPr>
              <w:jc w:val="both"/>
              <w:rPr>
                <w:rFonts w:eastAsia="Calibri"/>
                <w:sz w:val="20"/>
                <w:lang w:val="fr-CA"/>
              </w:rPr>
            </w:pPr>
            <w:r w:rsidRPr="000F1B6E">
              <w:rPr>
                <w:rFonts w:eastAsia="Calibri"/>
                <w:sz w:val="20"/>
                <w:lang w:val="fr-CA"/>
              </w:rPr>
              <w:t>19 novembre 2013</w:t>
            </w:r>
          </w:p>
          <w:p w:rsidR="003D1C23" w:rsidRPr="000F1B6E" w:rsidRDefault="003D1C23" w:rsidP="003D1C23">
            <w:pPr>
              <w:jc w:val="both"/>
              <w:rPr>
                <w:rFonts w:eastAsia="Calibri"/>
                <w:sz w:val="20"/>
                <w:lang w:val="fr-CA"/>
              </w:rPr>
            </w:pPr>
            <w:r w:rsidRPr="000F1B6E">
              <w:rPr>
                <w:rFonts w:eastAsia="Calibri"/>
                <w:sz w:val="20"/>
                <w:lang w:val="fr-CA"/>
              </w:rPr>
              <w:t>Cour suprême de l’Île</w:t>
            </w:r>
            <w:r w:rsidRPr="000F1B6E">
              <w:rPr>
                <w:rFonts w:eastAsia="Calibri"/>
                <w:smallCaps/>
                <w:sz w:val="20"/>
                <w:lang w:val="fr-CA"/>
              </w:rPr>
              <w:t>-</w:t>
            </w:r>
            <w:r w:rsidRPr="000F1B6E">
              <w:rPr>
                <w:rFonts w:eastAsia="Calibri"/>
                <w:sz w:val="20"/>
                <w:lang w:val="fr-CA"/>
              </w:rPr>
              <w:t>du</w:t>
            </w:r>
            <w:r w:rsidRPr="000F1B6E">
              <w:rPr>
                <w:rFonts w:eastAsia="Calibri"/>
                <w:smallCaps/>
                <w:sz w:val="20"/>
                <w:lang w:val="fr-CA"/>
              </w:rPr>
              <w:t>-</w:t>
            </w:r>
            <w:r w:rsidRPr="000F1B6E">
              <w:rPr>
                <w:rFonts w:eastAsia="Calibri"/>
                <w:sz w:val="20"/>
                <w:lang w:val="fr-CA"/>
              </w:rPr>
              <w:t>Prince</w:t>
            </w:r>
            <w:r w:rsidRPr="000F1B6E">
              <w:rPr>
                <w:rFonts w:eastAsia="Calibri"/>
                <w:smallCaps/>
                <w:sz w:val="20"/>
                <w:lang w:val="fr-CA"/>
              </w:rPr>
              <w:t>-</w:t>
            </w:r>
            <w:r w:rsidRPr="000F1B6E">
              <w:rPr>
                <w:rFonts w:eastAsia="Calibri"/>
                <w:sz w:val="20"/>
                <w:lang w:val="fr-CA"/>
              </w:rPr>
              <w:t>Édouard Section de première instance</w:t>
            </w:r>
          </w:p>
          <w:p w:rsidR="003D1C23" w:rsidRPr="000F1B6E" w:rsidRDefault="003D1C23" w:rsidP="003D1C23">
            <w:pPr>
              <w:jc w:val="both"/>
              <w:rPr>
                <w:rFonts w:eastAsia="Calibri"/>
                <w:sz w:val="20"/>
                <w:lang w:val="fr-CA"/>
              </w:rPr>
            </w:pPr>
            <w:r w:rsidRPr="000F1B6E">
              <w:rPr>
                <w:rFonts w:eastAsia="Calibri"/>
                <w:sz w:val="20"/>
                <w:lang w:val="fr-CA"/>
              </w:rPr>
              <w:t>(Juge Campbell)</w:t>
            </w:r>
          </w:p>
          <w:p w:rsidR="003D1C23" w:rsidRPr="000F1B6E" w:rsidRDefault="00E42AAB" w:rsidP="003D1C23">
            <w:pPr>
              <w:jc w:val="both"/>
              <w:rPr>
                <w:rFonts w:eastAsia="Calibri"/>
                <w:sz w:val="20"/>
                <w:lang w:val="fr-CA"/>
              </w:rPr>
            </w:pPr>
            <w:hyperlink r:id="rId88" w:history="1">
              <w:r w:rsidR="003D1C23" w:rsidRPr="000F1B6E">
                <w:rPr>
                  <w:rFonts w:eastAsia="Calibri"/>
                  <w:color w:val="0000FF"/>
                  <w:sz w:val="20"/>
                  <w:u w:val="single"/>
                  <w:lang w:val="fr-CA"/>
                </w:rPr>
                <w:t>2013 PESC 26</w:t>
              </w:r>
            </w:hyperlink>
          </w:p>
          <w:p w:rsidR="003D1C23" w:rsidRPr="000F1B6E" w:rsidRDefault="003D1C23" w:rsidP="003D1C23">
            <w:pPr>
              <w:jc w:val="both"/>
              <w:rPr>
                <w:rFonts w:eastAsia="Calibri"/>
                <w:sz w:val="20"/>
                <w:lang w:val="fr-CA"/>
              </w:rPr>
            </w:pPr>
          </w:p>
        </w:tc>
        <w:tc>
          <w:tcPr>
            <w:tcW w:w="243" w:type="pct"/>
          </w:tcPr>
          <w:p w:rsidR="003D1C23" w:rsidRPr="000F1B6E" w:rsidRDefault="003D1C23" w:rsidP="003D1C23">
            <w:pPr>
              <w:jc w:val="both"/>
              <w:rPr>
                <w:rFonts w:eastAsia="Calibri"/>
                <w:sz w:val="20"/>
                <w:lang w:val="fr-CA"/>
              </w:rPr>
            </w:pPr>
          </w:p>
        </w:tc>
        <w:tc>
          <w:tcPr>
            <w:tcW w:w="2330" w:type="pct"/>
          </w:tcPr>
          <w:p w:rsidR="003D1C23" w:rsidRPr="000F1B6E" w:rsidRDefault="003D1C23" w:rsidP="003D1C23">
            <w:pPr>
              <w:jc w:val="both"/>
              <w:rPr>
                <w:rFonts w:eastAsia="Calibri"/>
                <w:sz w:val="20"/>
                <w:lang w:val="fr-CA"/>
              </w:rPr>
            </w:pPr>
            <w:r w:rsidRPr="000F1B6E">
              <w:rPr>
                <w:rFonts w:eastAsia="Calibri"/>
                <w:sz w:val="20"/>
                <w:lang w:val="fr-CA"/>
              </w:rPr>
              <w:t>Rejet de la demande de contrôle judiciaire</w:t>
            </w:r>
          </w:p>
          <w:p w:rsidR="003D1C23" w:rsidRPr="000F1B6E" w:rsidRDefault="003D1C23" w:rsidP="003D1C23">
            <w:pPr>
              <w:jc w:val="both"/>
              <w:rPr>
                <w:rFonts w:eastAsia="Calibri"/>
                <w:sz w:val="20"/>
                <w:lang w:val="fr-CA"/>
              </w:rPr>
            </w:pPr>
          </w:p>
        </w:tc>
      </w:tr>
      <w:tr w:rsidR="003D1C23" w:rsidRPr="000F1B6E" w:rsidTr="003D1C23">
        <w:tc>
          <w:tcPr>
            <w:tcW w:w="2427" w:type="pct"/>
          </w:tcPr>
          <w:p w:rsidR="003D1C23" w:rsidRPr="000F1B6E" w:rsidRDefault="003D1C23" w:rsidP="003D1C23">
            <w:pPr>
              <w:jc w:val="both"/>
              <w:rPr>
                <w:rFonts w:eastAsia="Calibri"/>
                <w:sz w:val="20"/>
                <w:lang w:val="fr-CA"/>
              </w:rPr>
            </w:pPr>
            <w:r w:rsidRPr="000F1B6E">
              <w:rPr>
                <w:rFonts w:eastAsia="Calibri"/>
                <w:sz w:val="20"/>
                <w:lang w:val="fr-CA"/>
              </w:rPr>
              <w:t>23 juillet 2014</w:t>
            </w:r>
          </w:p>
          <w:p w:rsidR="003D1C23" w:rsidRPr="000F1B6E" w:rsidRDefault="003D1C23" w:rsidP="003D1C23">
            <w:pPr>
              <w:jc w:val="both"/>
              <w:rPr>
                <w:rFonts w:eastAsia="Calibri"/>
                <w:sz w:val="20"/>
                <w:lang w:val="fr-CA"/>
              </w:rPr>
            </w:pPr>
            <w:r w:rsidRPr="000F1B6E">
              <w:rPr>
                <w:rFonts w:eastAsia="Calibri"/>
                <w:sz w:val="20"/>
                <w:lang w:val="fr-CA"/>
              </w:rPr>
              <w:t>Cour d’appel de l’Île</w:t>
            </w:r>
            <w:r w:rsidRPr="000F1B6E">
              <w:rPr>
                <w:rFonts w:eastAsia="Calibri"/>
                <w:smallCaps/>
                <w:sz w:val="20"/>
                <w:lang w:val="fr-CA"/>
              </w:rPr>
              <w:t>-</w:t>
            </w:r>
            <w:r w:rsidRPr="000F1B6E">
              <w:rPr>
                <w:rFonts w:eastAsia="Calibri"/>
                <w:sz w:val="20"/>
                <w:lang w:val="fr-CA"/>
              </w:rPr>
              <w:t>du</w:t>
            </w:r>
            <w:r w:rsidRPr="000F1B6E">
              <w:rPr>
                <w:rFonts w:eastAsia="Calibri"/>
                <w:smallCaps/>
                <w:sz w:val="20"/>
                <w:lang w:val="fr-CA"/>
              </w:rPr>
              <w:t>-</w:t>
            </w:r>
            <w:r w:rsidRPr="000F1B6E">
              <w:rPr>
                <w:rFonts w:eastAsia="Calibri"/>
                <w:sz w:val="20"/>
                <w:lang w:val="fr-CA"/>
              </w:rPr>
              <w:t>Prince</w:t>
            </w:r>
            <w:r w:rsidRPr="000F1B6E">
              <w:rPr>
                <w:rFonts w:eastAsia="Calibri"/>
                <w:smallCaps/>
                <w:sz w:val="20"/>
                <w:lang w:val="fr-CA"/>
              </w:rPr>
              <w:t>-</w:t>
            </w:r>
            <w:r w:rsidRPr="000F1B6E">
              <w:rPr>
                <w:rFonts w:eastAsia="Calibri"/>
                <w:sz w:val="20"/>
                <w:lang w:val="fr-CA"/>
              </w:rPr>
              <w:t>Édouard</w:t>
            </w:r>
          </w:p>
          <w:p w:rsidR="003D1C23" w:rsidRPr="000F1B6E" w:rsidRDefault="003D1C23" w:rsidP="003D1C23">
            <w:pPr>
              <w:jc w:val="both"/>
              <w:rPr>
                <w:rFonts w:eastAsia="Calibri"/>
                <w:sz w:val="20"/>
                <w:lang w:val="fr-CA"/>
              </w:rPr>
            </w:pPr>
            <w:r w:rsidRPr="000F1B6E">
              <w:rPr>
                <w:rFonts w:eastAsia="Calibri"/>
                <w:sz w:val="20"/>
                <w:lang w:val="fr-CA"/>
              </w:rPr>
              <w:t>(Juges Jenkins, Murphy et Mitchell)</w:t>
            </w:r>
          </w:p>
          <w:p w:rsidR="003D1C23" w:rsidRPr="000F1B6E" w:rsidRDefault="00E42AAB" w:rsidP="003D1C23">
            <w:pPr>
              <w:jc w:val="both"/>
              <w:rPr>
                <w:rFonts w:eastAsia="Calibri"/>
                <w:sz w:val="20"/>
                <w:lang w:val="fr-CA"/>
              </w:rPr>
            </w:pPr>
            <w:hyperlink r:id="rId89" w:history="1">
              <w:r w:rsidR="003D1C23" w:rsidRPr="000F1B6E">
                <w:rPr>
                  <w:rFonts w:eastAsia="Calibri"/>
                  <w:color w:val="0000FF"/>
                  <w:sz w:val="20"/>
                  <w:u w:val="single"/>
                  <w:lang w:val="fr-CA"/>
                </w:rPr>
                <w:t>2014 PECA 15</w:t>
              </w:r>
            </w:hyperlink>
          </w:p>
          <w:p w:rsidR="003D1C23" w:rsidRPr="000F1B6E" w:rsidRDefault="003D1C23" w:rsidP="003D1C23">
            <w:pPr>
              <w:jc w:val="both"/>
              <w:rPr>
                <w:rFonts w:eastAsia="Calibri"/>
                <w:sz w:val="20"/>
                <w:lang w:val="fr-CA"/>
              </w:rPr>
            </w:pPr>
          </w:p>
        </w:tc>
        <w:tc>
          <w:tcPr>
            <w:tcW w:w="243" w:type="pct"/>
          </w:tcPr>
          <w:p w:rsidR="003D1C23" w:rsidRPr="000F1B6E" w:rsidRDefault="003D1C23" w:rsidP="003D1C23">
            <w:pPr>
              <w:jc w:val="both"/>
              <w:rPr>
                <w:rFonts w:eastAsia="Calibri"/>
                <w:sz w:val="20"/>
                <w:lang w:val="fr-CA"/>
              </w:rPr>
            </w:pPr>
          </w:p>
        </w:tc>
        <w:tc>
          <w:tcPr>
            <w:tcW w:w="2330" w:type="pct"/>
          </w:tcPr>
          <w:p w:rsidR="003D1C23" w:rsidRPr="000F1B6E" w:rsidRDefault="003D1C23" w:rsidP="003D1C23">
            <w:pPr>
              <w:jc w:val="both"/>
              <w:rPr>
                <w:rFonts w:eastAsia="Calibri"/>
                <w:sz w:val="20"/>
                <w:lang w:val="fr-CA"/>
              </w:rPr>
            </w:pPr>
            <w:r w:rsidRPr="000F1B6E">
              <w:rPr>
                <w:rFonts w:eastAsia="Calibri"/>
                <w:sz w:val="20"/>
                <w:lang w:val="fr-CA"/>
              </w:rPr>
              <w:t>Rejet de l’appel</w:t>
            </w:r>
          </w:p>
          <w:p w:rsidR="003D1C23" w:rsidRPr="000F1B6E" w:rsidRDefault="003D1C23" w:rsidP="003D1C23">
            <w:pPr>
              <w:jc w:val="both"/>
              <w:rPr>
                <w:rFonts w:eastAsia="Calibri"/>
                <w:sz w:val="20"/>
                <w:lang w:val="fr-CA"/>
              </w:rPr>
            </w:pPr>
          </w:p>
        </w:tc>
      </w:tr>
      <w:tr w:rsidR="003D1C23" w:rsidRPr="0025502E" w:rsidTr="003D1C23">
        <w:tc>
          <w:tcPr>
            <w:tcW w:w="2427" w:type="pct"/>
          </w:tcPr>
          <w:p w:rsidR="003D1C23" w:rsidRPr="000F1B6E" w:rsidRDefault="003D1C23" w:rsidP="003D1C23">
            <w:pPr>
              <w:jc w:val="both"/>
              <w:rPr>
                <w:rFonts w:eastAsia="Calibri"/>
                <w:sz w:val="20"/>
                <w:lang w:val="fr-CA"/>
              </w:rPr>
            </w:pPr>
            <w:r w:rsidRPr="000F1B6E">
              <w:rPr>
                <w:rFonts w:eastAsia="Calibri"/>
                <w:sz w:val="20"/>
                <w:lang w:val="fr-CA"/>
              </w:rPr>
              <w:lastRenderedPageBreak/>
              <w:t>24 septembre 2014</w:t>
            </w:r>
          </w:p>
          <w:p w:rsidR="003D1C23" w:rsidRPr="000F1B6E" w:rsidRDefault="003D1C23" w:rsidP="003D1C23">
            <w:pPr>
              <w:jc w:val="both"/>
              <w:rPr>
                <w:rFonts w:eastAsia="Calibri"/>
                <w:sz w:val="20"/>
                <w:lang w:val="fr-CA"/>
              </w:rPr>
            </w:pPr>
            <w:r w:rsidRPr="000F1B6E">
              <w:rPr>
                <w:rFonts w:eastAsia="Calibri"/>
                <w:sz w:val="20"/>
                <w:lang w:val="fr-CA"/>
              </w:rPr>
              <w:t>Cour suprême du Canada</w:t>
            </w:r>
          </w:p>
        </w:tc>
        <w:tc>
          <w:tcPr>
            <w:tcW w:w="243" w:type="pct"/>
          </w:tcPr>
          <w:p w:rsidR="003D1C23" w:rsidRPr="000F1B6E" w:rsidRDefault="003D1C23" w:rsidP="003D1C23">
            <w:pPr>
              <w:jc w:val="both"/>
              <w:rPr>
                <w:rFonts w:eastAsia="Calibri"/>
                <w:sz w:val="20"/>
                <w:lang w:val="fr-CA"/>
              </w:rPr>
            </w:pPr>
          </w:p>
        </w:tc>
        <w:tc>
          <w:tcPr>
            <w:tcW w:w="2330" w:type="pct"/>
          </w:tcPr>
          <w:p w:rsidR="003D1C23" w:rsidRPr="000F1B6E" w:rsidRDefault="003D1C23" w:rsidP="003D1C23">
            <w:pPr>
              <w:jc w:val="both"/>
              <w:rPr>
                <w:rFonts w:eastAsia="Calibri"/>
                <w:sz w:val="20"/>
                <w:lang w:val="fr-CA"/>
              </w:rPr>
            </w:pPr>
            <w:r w:rsidRPr="000F1B6E">
              <w:rPr>
                <w:rFonts w:eastAsia="Calibri"/>
                <w:sz w:val="20"/>
                <w:lang w:val="fr-CA"/>
              </w:rPr>
              <w:t>Dépôt de la demande d’autorisation d’appel</w:t>
            </w:r>
          </w:p>
          <w:p w:rsidR="003D1C23" w:rsidRPr="000F1B6E" w:rsidRDefault="003D1C23" w:rsidP="003D1C23">
            <w:pPr>
              <w:jc w:val="both"/>
              <w:rPr>
                <w:rFonts w:eastAsia="Calibri"/>
                <w:sz w:val="20"/>
                <w:lang w:val="fr-CA"/>
              </w:rPr>
            </w:pPr>
          </w:p>
        </w:tc>
      </w:tr>
    </w:tbl>
    <w:p w:rsidR="00124C37" w:rsidRPr="003D1C23" w:rsidRDefault="00124C37" w:rsidP="00124C37">
      <w:pPr>
        <w:rPr>
          <w:sz w:val="20"/>
          <w:szCs w:val="20"/>
          <w:lang w:val="fr-CA"/>
        </w:rPr>
      </w:pPr>
    </w:p>
    <w:p w:rsidR="00124C37" w:rsidRDefault="00E42AAB" w:rsidP="00124C37">
      <w:pPr>
        <w:rPr>
          <w:sz w:val="20"/>
          <w:szCs w:val="20"/>
        </w:rPr>
      </w:pPr>
      <w:r>
        <w:rPr>
          <w:sz w:val="20"/>
          <w:szCs w:val="20"/>
          <w:lang w:val="fr-CA"/>
        </w:rPr>
        <w:pict>
          <v:rect id="_x0000_i1076" style="width:2in;height:1pt" o:hrpct="0" o:hralign="center" o:hrstd="t" o:hrnoshade="t" o:hr="t" fillcolor="black [3213]" stroked="f"/>
        </w:pict>
      </w:r>
    </w:p>
    <w:p w:rsidR="00124C37" w:rsidRDefault="00124C37" w:rsidP="00124C37">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03DFB" w:rsidRPr="00E7075A" w:rsidTr="00C64462">
        <w:trPr>
          <w:cantSplit/>
        </w:trPr>
        <w:tc>
          <w:tcPr>
            <w:tcW w:w="1458" w:type="dxa"/>
          </w:tcPr>
          <w:p w:rsidR="00803DFB" w:rsidRPr="00E7075A" w:rsidRDefault="00803DFB" w:rsidP="00C64462">
            <w:pPr>
              <w:rPr>
                <w:sz w:val="20"/>
                <w:szCs w:val="20"/>
              </w:rPr>
            </w:pPr>
            <w:r w:rsidRPr="00E7075A">
              <w:rPr>
                <w:rStyle w:val="SCCFileNumberChar"/>
                <w:sz w:val="20"/>
                <w:szCs w:val="20"/>
              </w:rPr>
              <w:t>36091</w:t>
            </w:r>
          </w:p>
          <w:p w:rsidR="00803DFB" w:rsidRPr="00E7075A" w:rsidRDefault="00803DFB" w:rsidP="00C64462">
            <w:pPr>
              <w:rPr>
                <w:b/>
                <w:sz w:val="20"/>
                <w:szCs w:val="20"/>
                <w:lang w:val="fr-CA"/>
              </w:rPr>
            </w:pPr>
          </w:p>
        </w:tc>
        <w:tc>
          <w:tcPr>
            <w:tcW w:w="8118" w:type="dxa"/>
          </w:tcPr>
          <w:p w:rsidR="00803DFB" w:rsidRPr="00E7075A" w:rsidRDefault="00803DFB" w:rsidP="00C64462">
            <w:pPr>
              <w:rPr>
                <w:sz w:val="20"/>
                <w:szCs w:val="20"/>
              </w:rPr>
            </w:pPr>
            <w:r w:rsidRPr="00803DFB">
              <w:rPr>
                <w:rStyle w:val="SCCLsocChar"/>
                <w:sz w:val="20"/>
                <w:szCs w:val="20"/>
                <w:lang w:val="en-CA"/>
              </w:rPr>
              <w:t>Shiv Chopra</w:t>
            </w:r>
            <w:r w:rsidR="006D3D8A">
              <w:rPr>
                <w:rStyle w:val="SCCLsocChar"/>
                <w:sz w:val="20"/>
                <w:szCs w:val="20"/>
                <w:lang w:val="en-CA"/>
              </w:rPr>
              <w:t xml:space="preserve"> and</w:t>
            </w:r>
            <w:r w:rsidRPr="00803DFB">
              <w:rPr>
                <w:rStyle w:val="SCCLsocChar"/>
                <w:sz w:val="20"/>
                <w:szCs w:val="20"/>
                <w:lang w:val="en-CA"/>
              </w:rPr>
              <w:t xml:space="preserve"> Margaret Haydon v. Attorney General of Canada</w:t>
            </w:r>
            <w:r w:rsidRPr="00E7075A">
              <w:rPr>
                <w:sz w:val="20"/>
                <w:szCs w:val="20"/>
              </w:rPr>
              <w:t xml:space="preserve"> (F.C.) (Civil) (By Leave)</w:t>
            </w:r>
          </w:p>
          <w:p w:rsidR="00803DFB" w:rsidRPr="00E7075A" w:rsidRDefault="00803DFB" w:rsidP="00C64462">
            <w:pPr>
              <w:rPr>
                <w:sz w:val="20"/>
                <w:szCs w:val="20"/>
              </w:rPr>
            </w:pPr>
          </w:p>
        </w:tc>
      </w:tr>
      <w:tr w:rsidR="00803DFB" w:rsidRPr="00E7075A" w:rsidTr="00C64462">
        <w:trPr>
          <w:cantSplit/>
        </w:trPr>
        <w:tc>
          <w:tcPr>
            <w:tcW w:w="1458" w:type="dxa"/>
          </w:tcPr>
          <w:p w:rsidR="00803DFB" w:rsidRPr="00E7075A" w:rsidRDefault="00803DFB" w:rsidP="00C64462">
            <w:pPr>
              <w:rPr>
                <w:sz w:val="20"/>
                <w:szCs w:val="20"/>
              </w:rPr>
            </w:pPr>
            <w:r w:rsidRPr="00E7075A">
              <w:rPr>
                <w:sz w:val="20"/>
                <w:szCs w:val="20"/>
              </w:rPr>
              <w:t>Coram :</w:t>
            </w:r>
          </w:p>
        </w:tc>
        <w:tc>
          <w:tcPr>
            <w:tcW w:w="8118" w:type="dxa"/>
          </w:tcPr>
          <w:p w:rsidR="00803DFB" w:rsidRPr="00E7075A" w:rsidRDefault="00803DFB" w:rsidP="00C64462">
            <w:pPr>
              <w:rPr>
                <w:sz w:val="20"/>
                <w:szCs w:val="20"/>
              </w:rPr>
            </w:pPr>
            <w:r w:rsidRPr="00803DFB">
              <w:rPr>
                <w:rStyle w:val="SCCCoramChar"/>
                <w:sz w:val="20"/>
                <w:szCs w:val="20"/>
                <w:lang w:val="en-CA"/>
              </w:rPr>
              <w:t>Rothstein, Cromwell and Moldaver JJ.</w:t>
            </w:r>
          </w:p>
          <w:p w:rsidR="00803DFB" w:rsidRPr="00E7075A" w:rsidRDefault="00803DFB" w:rsidP="00C64462">
            <w:pPr>
              <w:rPr>
                <w:sz w:val="20"/>
                <w:szCs w:val="20"/>
                <w:u w:val="single"/>
              </w:rPr>
            </w:pPr>
          </w:p>
        </w:tc>
      </w:tr>
      <w:tr w:rsidR="00803DFB" w:rsidRPr="0025502E" w:rsidTr="00C64462">
        <w:trPr>
          <w:cantSplit/>
        </w:trPr>
        <w:tc>
          <w:tcPr>
            <w:tcW w:w="9576" w:type="dxa"/>
            <w:gridSpan w:val="2"/>
          </w:tcPr>
          <w:p w:rsidR="00803DFB" w:rsidRPr="00E7075A" w:rsidRDefault="00803DFB" w:rsidP="00C64462">
            <w:pPr>
              <w:pStyle w:val="SCCShortJudgment"/>
              <w:rPr>
                <w:szCs w:val="20"/>
              </w:rPr>
            </w:pPr>
            <w:r w:rsidRPr="00E7075A">
              <w:rPr>
                <w:szCs w:val="20"/>
              </w:rPr>
              <w:t>The application for leave to appeal from the judgment of the Federal Court of Appeal, Number A-239-13, 2014 FCA 179, dated July 17, 2014, is dismissed with costs.</w:t>
            </w:r>
          </w:p>
          <w:p w:rsidR="00803DFB" w:rsidRPr="00E7075A" w:rsidRDefault="00803DFB" w:rsidP="00C64462">
            <w:pPr>
              <w:pStyle w:val="SCCShortJudgment"/>
              <w:ind w:firstLine="0"/>
              <w:rPr>
                <w:szCs w:val="20"/>
              </w:rPr>
            </w:pPr>
          </w:p>
          <w:p w:rsidR="00803DFB" w:rsidRPr="00E7075A" w:rsidRDefault="00803DFB" w:rsidP="00C64462">
            <w:pPr>
              <w:pStyle w:val="SCCShortJudgment"/>
              <w:rPr>
                <w:szCs w:val="20"/>
                <w:lang w:val="fr-CA"/>
              </w:rPr>
            </w:pPr>
            <w:r w:rsidRPr="00E7075A">
              <w:rPr>
                <w:szCs w:val="20"/>
                <w:lang w:val="fr-CA"/>
              </w:rPr>
              <w:t>La demande d’autorisation d’appel de l’arrêt de la Cour d’appel fédérale, numéro A-239-13, 2014 FCA 179, daté du 17 juillet 2014, est rejetée avec dépens.</w:t>
            </w:r>
          </w:p>
        </w:tc>
      </w:tr>
    </w:tbl>
    <w:p w:rsidR="00124C37" w:rsidRPr="00803DFB" w:rsidRDefault="00124C37" w:rsidP="000E2959">
      <w:pPr>
        <w:rPr>
          <w:sz w:val="20"/>
          <w:szCs w:val="20"/>
          <w:lang w:val="fr-CA"/>
        </w:rPr>
      </w:pPr>
    </w:p>
    <w:p w:rsidR="00124C37" w:rsidRPr="001B157C" w:rsidRDefault="00124C37" w:rsidP="00124C37">
      <w:pPr>
        <w:rPr>
          <w:sz w:val="20"/>
          <w:szCs w:val="20"/>
          <w:u w:val="single"/>
        </w:rPr>
      </w:pPr>
      <w:r w:rsidRPr="001B157C">
        <w:rPr>
          <w:sz w:val="20"/>
          <w:szCs w:val="20"/>
          <w:u w:val="single"/>
        </w:rPr>
        <w:t>CASE SUMMARY</w:t>
      </w:r>
    </w:p>
    <w:p w:rsidR="00124C37" w:rsidRDefault="00124C37" w:rsidP="00124C3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725BF" w:rsidRPr="000F1B6E" w:rsidTr="002C385E">
        <w:tc>
          <w:tcPr>
            <w:tcW w:w="5000" w:type="pct"/>
            <w:gridSpan w:val="3"/>
          </w:tcPr>
          <w:p w:rsidR="003725BF" w:rsidRPr="000F1B6E" w:rsidRDefault="003725BF" w:rsidP="002C385E">
            <w:pPr>
              <w:jc w:val="both"/>
              <w:rPr>
                <w:rFonts w:eastAsia="Calibri"/>
                <w:sz w:val="20"/>
              </w:rPr>
            </w:pPr>
            <w:r w:rsidRPr="000F1B6E">
              <w:rPr>
                <w:rFonts w:eastAsia="Calibri"/>
                <w:sz w:val="20"/>
              </w:rPr>
              <w:t xml:space="preserve">Administrative law – Judicial review – Boards and tribunals – Office of the Public Sector Integrity Commissioner – Legislation – Interpretation – What principles of statutory interpretation apply to the </w:t>
            </w:r>
            <w:r w:rsidRPr="000F1B6E">
              <w:rPr>
                <w:rFonts w:eastAsia="Calibri"/>
                <w:i/>
                <w:sz w:val="20"/>
              </w:rPr>
              <w:t>Public Servants Disclosure Protection Act</w:t>
            </w:r>
            <w:r w:rsidRPr="000F1B6E">
              <w:rPr>
                <w:rFonts w:eastAsia="Calibri"/>
                <w:sz w:val="20"/>
              </w:rPr>
              <w:t>, S.C. 2005, c. 46 (“</w:t>
            </w:r>
            <w:r w:rsidRPr="000F1B6E">
              <w:rPr>
                <w:rFonts w:eastAsia="Calibri"/>
                <w:i/>
                <w:sz w:val="20"/>
              </w:rPr>
              <w:t>PSDPA</w:t>
            </w:r>
            <w:r w:rsidRPr="000F1B6E">
              <w:rPr>
                <w:rFonts w:eastAsia="Calibri"/>
                <w:sz w:val="20"/>
              </w:rPr>
              <w:t xml:space="preserve">”) – Can the exercise of discretion by a Minister under regulatory legislation constitute wrongdoing under the </w:t>
            </w:r>
            <w:r w:rsidRPr="000F1B6E">
              <w:rPr>
                <w:rFonts w:eastAsia="Calibri"/>
                <w:i/>
                <w:sz w:val="20"/>
              </w:rPr>
              <w:t>PSDPA</w:t>
            </w:r>
            <w:r w:rsidRPr="000F1B6E">
              <w:rPr>
                <w:rFonts w:eastAsia="Calibri"/>
                <w:sz w:val="20"/>
              </w:rPr>
              <w:t xml:space="preserve"> – What is the proper interpretation of paragraph 24(1)(e) of the </w:t>
            </w:r>
            <w:r w:rsidRPr="000F1B6E">
              <w:rPr>
                <w:rFonts w:eastAsia="Calibri"/>
                <w:i/>
                <w:sz w:val="20"/>
              </w:rPr>
              <w:t>PSDPA</w:t>
            </w:r>
            <w:r w:rsidRPr="000F1B6E">
              <w:rPr>
                <w:rFonts w:eastAsia="Calibri"/>
                <w:sz w:val="20"/>
              </w:rPr>
              <w:t xml:space="preserve"> – What is the role of the public interest when the Office of the Public Sector Integrity Commissioner (the “Commissioner”) decides whether to investigate a disclosure of wrongdoing or an allegation of reprisal under the </w:t>
            </w:r>
            <w:r w:rsidRPr="000F1B6E">
              <w:rPr>
                <w:rFonts w:eastAsia="Calibri"/>
                <w:i/>
                <w:sz w:val="20"/>
              </w:rPr>
              <w:t>PSDPA</w:t>
            </w:r>
            <w:r w:rsidRPr="000F1B6E">
              <w:rPr>
                <w:rFonts w:eastAsia="Calibri"/>
                <w:sz w:val="20"/>
              </w:rPr>
              <w:t>.</w:t>
            </w:r>
          </w:p>
        </w:tc>
      </w:tr>
      <w:tr w:rsidR="003725BF" w:rsidRPr="000F1B6E" w:rsidTr="002C385E">
        <w:tc>
          <w:tcPr>
            <w:tcW w:w="5000" w:type="pct"/>
            <w:gridSpan w:val="3"/>
          </w:tcPr>
          <w:p w:rsidR="003725BF" w:rsidRPr="000F1B6E" w:rsidRDefault="003725BF" w:rsidP="002C385E">
            <w:pPr>
              <w:jc w:val="both"/>
              <w:rPr>
                <w:rFonts w:eastAsia="Calibri"/>
                <w:sz w:val="20"/>
              </w:rPr>
            </w:pPr>
          </w:p>
        </w:tc>
      </w:tr>
      <w:tr w:rsidR="003725BF" w:rsidRPr="000F1B6E" w:rsidTr="002C385E">
        <w:tc>
          <w:tcPr>
            <w:tcW w:w="5000" w:type="pct"/>
            <w:gridSpan w:val="3"/>
          </w:tcPr>
          <w:p w:rsidR="003725BF" w:rsidRPr="000F1B6E" w:rsidRDefault="003725BF" w:rsidP="002C385E">
            <w:pPr>
              <w:jc w:val="both"/>
              <w:rPr>
                <w:rFonts w:eastAsia="Calibri"/>
                <w:sz w:val="20"/>
              </w:rPr>
            </w:pPr>
            <w:r w:rsidRPr="000F1B6E">
              <w:rPr>
                <w:rFonts w:eastAsia="Calibri"/>
                <w:sz w:val="20"/>
              </w:rPr>
              <w:t xml:space="preserve">The applicants were drug evaluators at Health Canada, evaluating drug submissions filed by manufacturers applying for Notices of Compliance (“NOCs”) to market veterinary drug products in accordance with the </w:t>
            </w:r>
            <w:r w:rsidRPr="000F1B6E">
              <w:rPr>
                <w:rFonts w:eastAsia="Calibri"/>
                <w:i/>
                <w:sz w:val="20"/>
              </w:rPr>
              <w:t>Food and Drugs Act</w:t>
            </w:r>
            <w:r w:rsidRPr="000F1B6E">
              <w:rPr>
                <w:rFonts w:eastAsia="Calibri"/>
                <w:sz w:val="20"/>
              </w:rPr>
              <w:t>, R.S.C. 1985, c. F-27 (the “</w:t>
            </w:r>
            <w:r w:rsidRPr="000F1B6E">
              <w:rPr>
                <w:rFonts w:eastAsia="Calibri"/>
                <w:i/>
                <w:sz w:val="20"/>
              </w:rPr>
              <w:t>FDA</w:t>
            </w:r>
            <w:r w:rsidRPr="000F1B6E">
              <w:rPr>
                <w:rFonts w:eastAsia="Calibri"/>
                <w:sz w:val="20"/>
              </w:rPr>
              <w:t xml:space="preserve">”) and </w:t>
            </w:r>
            <w:r w:rsidRPr="000F1B6E">
              <w:rPr>
                <w:rFonts w:eastAsia="Calibri"/>
                <w:i/>
                <w:sz w:val="20"/>
              </w:rPr>
              <w:t>Food and Drug Regulations</w:t>
            </w:r>
            <w:r w:rsidRPr="000F1B6E">
              <w:rPr>
                <w:rFonts w:eastAsia="Calibri"/>
                <w:sz w:val="20"/>
              </w:rPr>
              <w:t>, C.R.C. c. 870 (the “</w:t>
            </w:r>
            <w:r w:rsidRPr="000F1B6E">
              <w:rPr>
                <w:rFonts w:eastAsia="Calibri"/>
                <w:i/>
                <w:sz w:val="20"/>
              </w:rPr>
              <w:t>Regulations</w:t>
            </w:r>
            <w:r w:rsidRPr="000F1B6E">
              <w:rPr>
                <w:rFonts w:eastAsia="Calibri"/>
                <w:sz w:val="20"/>
              </w:rPr>
              <w:t xml:space="preserve">”). In 2002, the applicants filed a complaint against their employer with the Public Service Integrity Officer alleging that:  1) NOCs for eight products were issued without human safety data, contrary to the </w:t>
            </w:r>
            <w:r w:rsidRPr="000F1B6E">
              <w:rPr>
                <w:rFonts w:eastAsia="Calibri"/>
                <w:i/>
                <w:sz w:val="20"/>
              </w:rPr>
              <w:t>FDA</w:t>
            </w:r>
            <w:r w:rsidRPr="000F1B6E">
              <w:rPr>
                <w:rFonts w:eastAsia="Calibri"/>
                <w:sz w:val="20"/>
              </w:rPr>
              <w:t xml:space="preserve"> and the </w:t>
            </w:r>
            <w:r w:rsidRPr="000F1B6E">
              <w:rPr>
                <w:rFonts w:eastAsia="Calibri"/>
                <w:i/>
                <w:sz w:val="20"/>
              </w:rPr>
              <w:t>Regulations</w:t>
            </w:r>
            <w:r w:rsidRPr="000F1B6E">
              <w:rPr>
                <w:rFonts w:eastAsia="Calibri"/>
                <w:sz w:val="20"/>
              </w:rPr>
              <w:t xml:space="preserve">; 2) drug evaluators were pressured by supervisors to pass or maintain veterinary drugs without required human safety data; and 3) drug evaluators faced disciplinary action if they did not follow management’s instructions to favour the pharmaceutical lobby in the approval process.  An investigator concluded that the allegations were unfounded.  In a reconsideration of that decision rendered in October 2009, the Commissioner determined that since “all three allegations relate to a scientific, societal and public policy debate”, the most appropriate course was to cease the investigation pursuant to para. 24(1)(e) of the </w:t>
            </w:r>
            <w:r w:rsidRPr="000F1B6E">
              <w:rPr>
                <w:rFonts w:eastAsia="Calibri"/>
                <w:i/>
                <w:sz w:val="20"/>
              </w:rPr>
              <w:t>PSDPA</w:t>
            </w:r>
            <w:r w:rsidRPr="000F1B6E">
              <w:rPr>
                <w:rFonts w:eastAsia="Calibri"/>
                <w:sz w:val="20"/>
              </w:rPr>
              <w:t>.  That provision enables the Commissioner to cease an investigation if she is of the opinion that its subject matter “relates to a matter that results from a balanced and informed decision-making process on a public policy issue”.  As part of an overall review of files a new Commissioner decided in January 2012 not to reopen the applicants’ file as his predecessor had acted reasonably.  The Federal Court dismissed an application for judicial review of the January 2012 Decision, and the Federal Court of Appeal dismissed the appeal.</w:t>
            </w:r>
          </w:p>
          <w:p w:rsidR="003725BF" w:rsidRPr="000F1B6E" w:rsidRDefault="003725BF" w:rsidP="002C385E">
            <w:pPr>
              <w:jc w:val="both"/>
              <w:rPr>
                <w:rFonts w:eastAsia="Calibri"/>
                <w:sz w:val="20"/>
              </w:rPr>
            </w:pPr>
          </w:p>
        </w:tc>
      </w:tr>
      <w:tr w:rsidR="003725BF" w:rsidRPr="000F1B6E" w:rsidTr="002C385E">
        <w:tc>
          <w:tcPr>
            <w:tcW w:w="2427" w:type="pct"/>
          </w:tcPr>
          <w:p w:rsidR="003725BF" w:rsidRPr="000F1B6E" w:rsidRDefault="003725BF" w:rsidP="002C385E">
            <w:pPr>
              <w:jc w:val="both"/>
              <w:rPr>
                <w:rFonts w:eastAsia="Calibri"/>
                <w:sz w:val="20"/>
              </w:rPr>
            </w:pPr>
            <w:r w:rsidRPr="000F1B6E">
              <w:rPr>
                <w:rFonts w:eastAsia="Calibri"/>
                <w:sz w:val="20"/>
              </w:rPr>
              <w:t>June 12, 2013</w:t>
            </w:r>
          </w:p>
          <w:p w:rsidR="003725BF" w:rsidRPr="000F1B6E" w:rsidRDefault="003725BF" w:rsidP="002C385E">
            <w:pPr>
              <w:jc w:val="both"/>
              <w:rPr>
                <w:rFonts w:eastAsia="Calibri"/>
                <w:sz w:val="20"/>
              </w:rPr>
            </w:pPr>
            <w:r w:rsidRPr="000F1B6E">
              <w:rPr>
                <w:rFonts w:eastAsia="Calibri"/>
                <w:sz w:val="20"/>
              </w:rPr>
              <w:t>Federal Court</w:t>
            </w:r>
          </w:p>
          <w:p w:rsidR="003725BF" w:rsidRPr="000F1B6E" w:rsidRDefault="003725BF" w:rsidP="002C385E">
            <w:pPr>
              <w:jc w:val="both"/>
              <w:rPr>
                <w:rFonts w:eastAsia="Calibri"/>
                <w:sz w:val="20"/>
              </w:rPr>
            </w:pPr>
            <w:r w:rsidRPr="000F1B6E">
              <w:rPr>
                <w:rFonts w:eastAsia="Calibri"/>
                <w:sz w:val="20"/>
              </w:rPr>
              <w:t>(Scott J.)</w:t>
            </w:r>
          </w:p>
          <w:p w:rsidR="003725BF" w:rsidRPr="000F1B6E" w:rsidRDefault="00E42AAB" w:rsidP="002C385E">
            <w:pPr>
              <w:jc w:val="both"/>
              <w:rPr>
                <w:rFonts w:eastAsia="Calibri"/>
                <w:sz w:val="20"/>
              </w:rPr>
            </w:pPr>
            <w:hyperlink r:id="rId90" w:history="1">
              <w:r w:rsidR="003725BF" w:rsidRPr="000F1B6E">
                <w:rPr>
                  <w:rFonts w:eastAsia="Calibri"/>
                  <w:color w:val="0000FF"/>
                  <w:sz w:val="20"/>
                  <w:u w:val="single"/>
                </w:rPr>
                <w:t>2013 FC 644</w:t>
              </w:r>
            </w:hyperlink>
          </w:p>
          <w:p w:rsidR="003725BF" w:rsidRPr="000F1B6E" w:rsidRDefault="003725BF" w:rsidP="002C385E">
            <w:pPr>
              <w:jc w:val="both"/>
              <w:rPr>
                <w:rFonts w:eastAsia="Calibri"/>
                <w:sz w:val="20"/>
              </w:rPr>
            </w:pPr>
          </w:p>
        </w:tc>
        <w:tc>
          <w:tcPr>
            <w:tcW w:w="243" w:type="pct"/>
          </w:tcPr>
          <w:p w:rsidR="003725BF" w:rsidRPr="000F1B6E" w:rsidRDefault="003725BF" w:rsidP="002C385E">
            <w:pPr>
              <w:jc w:val="both"/>
              <w:rPr>
                <w:rFonts w:eastAsia="Calibri"/>
                <w:sz w:val="20"/>
              </w:rPr>
            </w:pPr>
          </w:p>
        </w:tc>
        <w:tc>
          <w:tcPr>
            <w:tcW w:w="2330" w:type="pct"/>
          </w:tcPr>
          <w:p w:rsidR="003725BF" w:rsidRPr="000F1B6E" w:rsidRDefault="003725BF" w:rsidP="002C385E">
            <w:pPr>
              <w:jc w:val="both"/>
              <w:rPr>
                <w:rFonts w:eastAsia="Calibri"/>
                <w:sz w:val="20"/>
              </w:rPr>
            </w:pPr>
            <w:r w:rsidRPr="000F1B6E">
              <w:rPr>
                <w:rFonts w:eastAsia="Calibri"/>
                <w:sz w:val="20"/>
              </w:rPr>
              <w:t>Application for judicial review of January 31, 2012 decision of the Public Sector Integrity Commissioner, dismissed</w:t>
            </w:r>
          </w:p>
          <w:p w:rsidR="003725BF" w:rsidRPr="000F1B6E" w:rsidRDefault="003725BF" w:rsidP="002C385E">
            <w:pPr>
              <w:jc w:val="both"/>
              <w:rPr>
                <w:rFonts w:eastAsia="Calibri"/>
                <w:sz w:val="20"/>
              </w:rPr>
            </w:pPr>
          </w:p>
        </w:tc>
      </w:tr>
      <w:tr w:rsidR="003725BF" w:rsidRPr="000F1B6E" w:rsidTr="003725BF">
        <w:trPr>
          <w:cantSplit/>
        </w:trPr>
        <w:tc>
          <w:tcPr>
            <w:tcW w:w="2427" w:type="pct"/>
          </w:tcPr>
          <w:p w:rsidR="003725BF" w:rsidRPr="000F1B6E" w:rsidRDefault="003725BF" w:rsidP="002C385E">
            <w:pPr>
              <w:jc w:val="both"/>
              <w:rPr>
                <w:rFonts w:eastAsia="Calibri"/>
                <w:sz w:val="20"/>
              </w:rPr>
            </w:pPr>
            <w:r w:rsidRPr="000F1B6E">
              <w:rPr>
                <w:rFonts w:eastAsia="Calibri"/>
                <w:sz w:val="20"/>
              </w:rPr>
              <w:lastRenderedPageBreak/>
              <w:t>July 17, 2014</w:t>
            </w:r>
          </w:p>
          <w:p w:rsidR="003725BF" w:rsidRPr="000F1B6E" w:rsidRDefault="003725BF" w:rsidP="002C385E">
            <w:pPr>
              <w:jc w:val="both"/>
              <w:rPr>
                <w:rFonts w:eastAsia="Calibri"/>
                <w:sz w:val="20"/>
              </w:rPr>
            </w:pPr>
            <w:r w:rsidRPr="000F1B6E">
              <w:rPr>
                <w:rFonts w:eastAsia="Calibri"/>
                <w:sz w:val="20"/>
              </w:rPr>
              <w:t>Federal Court of Appeal</w:t>
            </w:r>
          </w:p>
          <w:p w:rsidR="003725BF" w:rsidRPr="000F1B6E" w:rsidRDefault="003725BF" w:rsidP="002C385E">
            <w:pPr>
              <w:jc w:val="both"/>
              <w:rPr>
                <w:rFonts w:eastAsia="Calibri"/>
                <w:sz w:val="20"/>
              </w:rPr>
            </w:pPr>
            <w:r w:rsidRPr="000F1B6E">
              <w:rPr>
                <w:rFonts w:eastAsia="Calibri"/>
                <w:sz w:val="20"/>
              </w:rPr>
              <w:t>(Dawson, Trudel and Near JJ.A.)</w:t>
            </w:r>
          </w:p>
          <w:p w:rsidR="003725BF" w:rsidRPr="000F1B6E" w:rsidRDefault="00E42AAB" w:rsidP="002C385E">
            <w:pPr>
              <w:jc w:val="both"/>
              <w:rPr>
                <w:rFonts w:eastAsia="Calibri"/>
                <w:sz w:val="20"/>
              </w:rPr>
            </w:pPr>
            <w:hyperlink r:id="rId91" w:history="1">
              <w:r w:rsidR="003725BF" w:rsidRPr="000F1B6E">
                <w:rPr>
                  <w:rFonts w:eastAsia="Calibri"/>
                  <w:color w:val="0000FF"/>
                  <w:sz w:val="20"/>
                  <w:u w:val="single"/>
                </w:rPr>
                <w:t>2014 FCA 179</w:t>
              </w:r>
            </w:hyperlink>
            <w:r w:rsidR="003725BF" w:rsidRPr="000F1B6E">
              <w:rPr>
                <w:rFonts w:eastAsia="Calibri"/>
                <w:sz w:val="20"/>
              </w:rPr>
              <w:t>; A-239-13</w:t>
            </w:r>
          </w:p>
          <w:p w:rsidR="003725BF" w:rsidRPr="000F1B6E" w:rsidRDefault="003725BF" w:rsidP="002C385E">
            <w:pPr>
              <w:jc w:val="both"/>
              <w:rPr>
                <w:rFonts w:eastAsia="Calibri"/>
                <w:sz w:val="20"/>
              </w:rPr>
            </w:pPr>
          </w:p>
        </w:tc>
        <w:tc>
          <w:tcPr>
            <w:tcW w:w="243" w:type="pct"/>
          </w:tcPr>
          <w:p w:rsidR="003725BF" w:rsidRPr="000F1B6E" w:rsidRDefault="003725BF" w:rsidP="002C385E">
            <w:pPr>
              <w:jc w:val="both"/>
              <w:rPr>
                <w:rFonts w:eastAsia="Calibri"/>
                <w:sz w:val="20"/>
              </w:rPr>
            </w:pPr>
          </w:p>
        </w:tc>
        <w:tc>
          <w:tcPr>
            <w:tcW w:w="2330" w:type="pct"/>
          </w:tcPr>
          <w:p w:rsidR="003725BF" w:rsidRPr="000F1B6E" w:rsidRDefault="003725BF" w:rsidP="002C385E">
            <w:pPr>
              <w:jc w:val="both"/>
              <w:rPr>
                <w:rFonts w:eastAsia="Calibri"/>
                <w:sz w:val="20"/>
              </w:rPr>
            </w:pPr>
            <w:r w:rsidRPr="000F1B6E">
              <w:rPr>
                <w:rFonts w:eastAsia="Calibri"/>
                <w:sz w:val="20"/>
              </w:rPr>
              <w:t>Appeal dismissed</w:t>
            </w:r>
          </w:p>
          <w:p w:rsidR="003725BF" w:rsidRPr="000F1B6E" w:rsidRDefault="003725BF" w:rsidP="002C385E">
            <w:pPr>
              <w:jc w:val="both"/>
              <w:rPr>
                <w:rFonts w:eastAsia="Calibri"/>
                <w:sz w:val="20"/>
              </w:rPr>
            </w:pPr>
          </w:p>
        </w:tc>
      </w:tr>
      <w:tr w:rsidR="003725BF" w:rsidRPr="000F1B6E" w:rsidTr="003725BF">
        <w:trPr>
          <w:cantSplit/>
        </w:trPr>
        <w:tc>
          <w:tcPr>
            <w:tcW w:w="2427" w:type="pct"/>
          </w:tcPr>
          <w:p w:rsidR="003725BF" w:rsidRPr="000F1B6E" w:rsidRDefault="003725BF" w:rsidP="002C385E">
            <w:pPr>
              <w:jc w:val="both"/>
              <w:rPr>
                <w:rFonts w:eastAsia="Calibri"/>
                <w:sz w:val="20"/>
              </w:rPr>
            </w:pPr>
            <w:r w:rsidRPr="000F1B6E">
              <w:rPr>
                <w:rFonts w:eastAsia="Calibri"/>
                <w:sz w:val="20"/>
              </w:rPr>
              <w:t>September 26, 2014</w:t>
            </w:r>
          </w:p>
          <w:p w:rsidR="003725BF" w:rsidRPr="000F1B6E" w:rsidRDefault="003725BF" w:rsidP="002C385E">
            <w:pPr>
              <w:jc w:val="both"/>
              <w:rPr>
                <w:rFonts w:eastAsia="Calibri"/>
                <w:sz w:val="20"/>
              </w:rPr>
            </w:pPr>
            <w:r w:rsidRPr="000F1B6E">
              <w:rPr>
                <w:rFonts w:eastAsia="Calibri"/>
                <w:sz w:val="20"/>
              </w:rPr>
              <w:t>Supreme Court of Canada</w:t>
            </w:r>
          </w:p>
        </w:tc>
        <w:tc>
          <w:tcPr>
            <w:tcW w:w="243" w:type="pct"/>
          </w:tcPr>
          <w:p w:rsidR="003725BF" w:rsidRPr="000F1B6E" w:rsidRDefault="003725BF" w:rsidP="002C385E">
            <w:pPr>
              <w:jc w:val="both"/>
              <w:rPr>
                <w:rFonts w:eastAsia="Calibri"/>
                <w:sz w:val="20"/>
              </w:rPr>
            </w:pPr>
          </w:p>
        </w:tc>
        <w:tc>
          <w:tcPr>
            <w:tcW w:w="2330" w:type="pct"/>
          </w:tcPr>
          <w:p w:rsidR="003725BF" w:rsidRPr="000F1B6E" w:rsidRDefault="003725BF" w:rsidP="002C385E">
            <w:pPr>
              <w:jc w:val="both"/>
              <w:rPr>
                <w:rFonts w:eastAsia="Calibri"/>
                <w:sz w:val="20"/>
              </w:rPr>
            </w:pPr>
            <w:r w:rsidRPr="000F1B6E">
              <w:rPr>
                <w:rFonts w:eastAsia="Calibri"/>
                <w:sz w:val="20"/>
              </w:rPr>
              <w:t>Application for leave to appeal filed</w:t>
            </w:r>
          </w:p>
        </w:tc>
      </w:tr>
    </w:tbl>
    <w:p w:rsidR="00124C37" w:rsidRPr="003725BF" w:rsidRDefault="00124C37" w:rsidP="00124C37">
      <w:pPr>
        <w:rPr>
          <w:sz w:val="20"/>
          <w:szCs w:val="20"/>
        </w:rPr>
      </w:pPr>
    </w:p>
    <w:p w:rsidR="00124C37" w:rsidRPr="00C50A5C" w:rsidRDefault="00E42AAB" w:rsidP="00124C37">
      <w:pPr>
        <w:rPr>
          <w:sz w:val="20"/>
          <w:szCs w:val="20"/>
        </w:rPr>
      </w:pPr>
      <w:r>
        <w:rPr>
          <w:sz w:val="20"/>
          <w:szCs w:val="20"/>
          <w:lang w:val="fr-CA"/>
        </w:rPr>
        <w:pict>
          <v:rect id="_x0000_i1077" style="width:2in;height:1pt" o:hrpct="0" o:hralign="center" o:hrstd="t" o:hrnoshade="t" o:hr="t" fillcolor="black [3213]" stroked="f"/>
        </w:pict>
      </w:r>
    </w:p>
    <w:p w:rsidR="00124C37" w:rsidRDefault="00124C37" w:rsidP="00124C37">
      <w:pPr>
        <w:rPr>
          <w:sz w:val="20"/>
          <w:szCs w:val="20"/>
        </w:rPr>
      </w:pPr>
    </w:p>
    <w:p w:rsidR="00124C37" w:rsidRPr="001B157C" w:rsidRDefault="00124C37" w:rsidP="00124C37">
      <w:pPr>
        <w:rPr>
          <w:sz w:val="20"/>
          <w:szCs w:val="20"/>
          <w:u w:val="single"/>
          <w:lang w:val="fr-CA"/>
        </w:rPr>
      </w:pPr>
      <w:r w:rsidRPr="001B157C">
        <w:rPr>
          <w:sz w:val="20"/>
          <w:szCs w:val="20"/>
          <w:u w:val="single"/>
          <w:lang w:val="fr-CA"/>
        </w:rPr>
        <w:t>RÉSUMÉ DE L’AFFAIRE</w:t>
      </w:r>
    </w:p>
    <w:p w:rsidR="00124C37" w:rsidRDefault="00124C37" w:rsidP="00124C3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725BF" w:rsidRPr="0025502E" w:rsidTr="002C385E">
        <w:tc>
          <w:tcPr>
            <w:tcW w:w="5000" w:type="pct"/>
            <w:gridSpan w:val="3"/>
          </w:tcPr>
          <w:p w:rsidR="003725BF" w:rsidRPr="000F1B6E" w:rsidRDefault="003725BF" w:rsidP="002C385E">
            <w:pPr>
              <w:jc w:val="both"/>
              <w:rPr>
                <w:rFonts w:eastAsia="Calibri"/>
                <w:sz w:val="20"/>
                <w:lang w:val="fr-CA"/>
              </w:rPr>
            </w:pPr>
            <w:r w:rsidRPr="000F1B6E">
              <w:rPr>
                <w:rFonts w:eastAsia="Calibri"/>
                <w:sz w:val="20"/>
                <w:lang w:val="fr-CA"/>
              </w:rPr>
              <w:t xml:space="preserve">Droit administratif – Contrôle judiciaire – Organismes et tribunaux administratifs – Commissariat à l’intégrité du secteur public  – Législation – Interprétation – Quels principes d’interprétation des lois s’appliquent à la </w:t>
            </w:r>
            <w:r w:rsidRPr="000F1B6E">
              <w:rPr>
                <w:rFonts w:eastAsia="Calibri"/>
                <w:bCs/>
                <w:i/>
                <w:sz w:val="20"/>
                <w:lang w:val="fr-CA"/>
              </w:rPr>
              <w:t>Loi sur la protection des fonctionnaires divulgateurs d'actes répréhensibles</w:t>
            </w:r>
            <w:r w:rsidRPr="000F1B6E">
              <w:rPr>
                <w:rFonts w:eastAsia="Calibri"/>
                <w:sz w:val="20"/>
                <w:lang w:val="fr-CA"/>
              </w:rPr>
              <w:t>, L.C. 2005, ch. 46 (« </w:t>
            </w:r>
            <w:r w:rsidRPr="000F1B6E">
              <w:rPr>
                <w:rFonts w:eastAsia="Calibri"/>
                <w:i/>
                <w:sz w:val="20"/>
                <w:lang w:val="fr-CA"/>
              </w:rPr>
              <w:t>LPFDAR</w:t>
            </w:r>
            <w:r w:rsidRPr="000F1B6E">
              <w:rPr>
                <w:rFonts w:eastAsia="Calibri"/>
                <w:sz w:val="20"/>
                <w:lang w:val="fr-CA"/>
              </w:rPr>
              <w:t xml:space="preserve"> »)? – L’exercice d’un pouvoir discrétionnaire par un ministre en application d’une loi de réglementation constitue-t-il un acte répréhensible au sens de la </w:t>
            </w:r>
            <w:r w:rsidRPr="000F1B6E">
              <w:rPr>
                <w:rFonts w:eastAsia="Calibri"/>
                <w:i/>
                <w:sz w:val="20"/>
                <w:lang w:val="fr-CA"/>
              </w:rPr>
              <w:t>LPFDAR</w:t>
            </w:r>
            <w:r w:rsidRPr="000F1B6E">
              <w:rPr>
                <w:rFonts w:eastAsia="Calibri"/>
                <w:sz w:val="20"/>
                <w:lang w:val="fr-CA"/>
              </w:rPr>
              <w:t>? – Comment faut-il interpréter l’alinéa 24(1)</w:t>
            </w:r>
            <w:r w:rsidRPr="000F1B6E">
              <w:rPr>
                <w:rFonts w:eastAsia="Calibri"/>
                <w:i/>
                <w:sz w:val="20"/>
                <w:lang w:val="fr-CA"/>
              </w:rPr>
              <w:t>e)</w:t>
            </w:r>
            <w:r w:rsidRPr="000F1B6E">
              <w:rPr>
                <w:rFonts w:eastAsia="Calibri"/>
                <w:sz w:val="20"/>
                <w:lang w:val="fr-CA"/>
              </w:rPr>
              <w:t xml:space="preserve"> de la </w:t>
            </w:r>
            <w:r w:rsidRPr="000F1B6E">
              <w:rPr>
                <w:rFonts w:eastAsia="Calibri"/>
                <w:i/>
                <w:sz w:val="20"/>
                <w:lang w:val="fr-CA"/>
              </w:rPr>
              <w:t>LPFDAR</w:t>
            </w:r>
            <w:r w:rsidRPr="000F1B6E">
              <w:rPr>
                <w:rFonts w:eastAsia="Calibri"/>
                <w:sz w:val="20"/>
                <w:lang w:val="fr-CA"/>
              </w:rPr>
              <w:t xml:space="preserve">? – Quel rôle joue l’intérêt public lorsque le commissaire à l’intégrité du secteur public (le « commissaire ») décide, sous le régime de la </w:t>
            </w:r>
            <w:r w:rsidRPr="000F1B6E">
              <w:rPr>
                <w:rFonts w:eastAsia="Calibri"/>
                <w:i/>
                <w:sz w:val="20"/>
                <w:lang w:val="fr-CA"/>
              </w:rPr>
              <w:t>LPFDAR</w:t>
            </w:r>
            <w:r w:rsidRPr="000F1B6E">
              <w:rPr>
                <w:rFonts w:eastAsia="Calibri"/>
                <w:sz w:val="20"/>
                <w:lang w:val="fr-CA"/>
              </w:rPr>
              <w:t>, de faire enquête sur une divulgation d’acte répréhensible ou une allégation de représailles?</w:t>
            </w:r>
          </w:p>
        </w:tc>
      </w:tr>
      <w:tr w:rsidR="003725BF" w:rsidRPr="0025502E" w:rsidTr="002C385E">
        <w:tc>
          <w:tcPr>
            <w:tcW w:w="5000" w:type="pct"/>
            <w:gridSpan w:val="3"/>
          </w:tcPr>
          <w:p w:rsidR="003725BF" w:rsidRPr="000F1B6E" w:rsidRDefault="003725BF" w:rsidP="002C385E">
            <w:pPr>
              <w:jc w:val="both"/>
              <w:rPr>
                <w:rFonts w:eastAsia="Calibri"/>
                <w:sz w:val="20"/>
                <w:lang w:val="fr-CA"/>
              </w:rPr>
            </w:pPr>
          </w:p>
        </w:tc>
      </w:tr>
      <w:tr w:rsidR="003725BF" w:rsidRPr="0025502E" w:rsidTr="002C385E">
        <w:tc>
          <w:tcPr>
            <w:tcW w:w="5000" w:type="pct"/>
            <w:gridSpan w:val="3"/>
          </w:tcPr>
          <w:p w:rsidR="003725BF" w:rsidRPr="000F1B6E" w:rsidRDefault="003725BF" w:rsidP="002C385E">
            <w:pPr>
              <w:jc w:val="both"/>
              <w:rPr>
                <w:rFonts w:eastAsia="Calibri"/>
                <w:sz w:val="20"/>
                <w:lang w:val="fr-CA"/>
              </w:rPr>
            </w:pPr>
            <w:r w:rsidRPr="000F1B6E">
              <w:rPr>
                <w:rFonts w:eastAsia="Calibri"/>
                <w:sz w:val="20"/>
                <w:lang w:val="fr-CA"/>
              </w:rPr>
              <w:t>Les demandeurs étaient évaluateurs de médicaments à Santé Canada, chargés de l’évaluation des présentations de médicaments déposées par les fabricants qui demandent des avis de conformité (« AC ») pour commercialiser des médicaments vétérinaires, conformément à la </w:t>
            </w:r>
            <w:r w:rsidRPr="000F1B6E">
              <w:rPr>
                <w:rFonts w:eastAsia="Calibri"/>
                <w:i/>
                <w:iCs/>
                <w:sz w:val="20"/>
                <w:lang w:val="fr-CA"/>
              </w:rPr>
              <w:t>Loi sur les aliments et drogues</w:t>
            </w:r>
            <w:r w:rsidRPr="000F1B6E">
              <w:rPr>
                <w:rFonts w:eastAsia="Calibri"/>
                <w:sz w:val="20"/>
                <w:lang w:val="fr-CA"/>
              </w:rPr>
              <w:t>, L.R.C. 1985, ch. F</w:t>
            </w:r>
            <w:r w:rsidRPr="000F1B6E">
              <w:rPr>
                <w:rFonts w:eastAsia="Calibri"/>
                <w:sz w:val="20"/>
                <w:lang w:val="fr-CA"/>
              </w:rPr>
              <w:noBreakHyphen/>
              <w:t>27 (la « </w:t>
            </w:r>
            <w:r w:rsidRPr="000F1B6E">
              <w:rPr>
                <w:rFonts w:eastAsia="Calibri"/>
                <w:i/>
                <w:sz w:val="20"/>
                <w:lang w:val="fr-CA"/>
              </w:rPr>
              <w:t>LAD</w:t>
            </w:r>
            <w:r w:rsidRPr="000F1B6E">
              <w:rPr>
                <w:rFonts w:eastAsia="Calibri"/>
                <w:sz w:val="20"/>
                <w:lang w:val="fr-CA"/>
              </w:rPr>
              <w:t> ») et au </w:t>
            </w:r>
            <w:r w:rsidRPr="000F1B6E">
              <w:rPr>
                <w:rFonts w:eastAsia="Calibri"/>
                <w:i/>
                <w:iCs/>
                <w:sz w:val="20"/>
                <w:lang w:val="fr-CA"/>
              </w:rPr>
              <w:t>Règlement sur les aliments et drogues, </w:t>
            </w:r>
            <w:r w:rsidRPr="000F1B6E">
              <w:rPr>
                <w:rFonts w:eastAsia="Calibri"/>
                <w:sz w:val="20"/>
                <w:lang w:val="fr-CA"/>
              </w:rPr>
              <w:t>C.R.C., ch. 870 (le « </w:t>
            </w:r>
            <w:r w:rsidRPr="000F1B6E">
              <w:rPr>
                <w:rFonts w:eastAsia="Calibri"/>
                <w:i/>
                <w:sz w:val="20"/>
                <w:lang w:val="fr-CA"/>
              </w:rPr>
              <w:t>Règlement</w:t>
            </w:r>
            <w:r w:rsidRPr="000F1B6E">
              <w:rPr>
                <w:rFonts w:eastAsia="Calibri"/>
                <w:sz w:val="20"/>
                <w:lang w:val="fr-CA"/>
              </w:rPr>
              <w:t> »). En 2002, les demandeurs ont déposé contre leur employeur, devant l’agent de l’intégrité de la fonction publique, une plainte basée sur les allégations suivantes :  1) les AC pour huit produits ont été délivrés en l’absence de données sur l’innocuité pour les humains, contrairement aux dispositions de la </w:t>
            </w:r>
            <w:r w:rsidRPr="000F1B6E">
              <w:rPr>
                <w:rFonts w:eastAsia="Calibri"/>
                <w:i/>
                <w:sz w:val="20"/>
                <w:lang w:val="fr-CA"/>
              </w:rPr>
              <w:t>LAD</w:t>
            </w:r>
            <w:r w:rsidRPr="000F1B6E">
              <w:rPr>
                <w:rFonts w:eastAsia="Calibri"/>
                <w:sz w:val="20"/>
                <w:lang w:val="fr-CA"/>
              </w:rPr>
              <w:t xml:space="preserve"> et du </w:t>
            </w:r>
            <w:r w:rsidRPr="000F1B6E">
              <w:rPr>
                <w:rFonts w:eastAsia="Calibri"/>
                <w:i/>
                <w:sz w:val="20"/>
                <w:lang w:val="fr-CA"/>
              </w:rPr>
              <w:t>Règlement</w:t>
            </w:r>
            <w:r w:rsidRPr="000F1B6E">
              <w:rPr>
                <w:rFonts w:eastAsia="Calibri"/>
                <w:sz w:val="20"/>
                <w:lang w:val="fr-CA"/>
              </w:rPr>
              <w:t>; 2) des évaluateurs de médicaments subissaient les pressions des superviseurs qui voulaient approuver ou laisser sur le marché des médicaments vétérinaires en l’absence des données requises sur l’innocuité pour les humains; 3) des évaluateurs de médicaments risquaient de se voir imposer des mesures disciplinaires s’ils ne suivaient pas les instructions de la direction pour favoriser le lobby pharmaceutique dans le cadre du processus d’approbation.  Un enquêteur a conclu qu’aucune de ces allégations n’était fondée. Dans un réexamen de cette décision rendue en octobre 2009, la commissaire a conclu que, parce que [</w:t>
            </w:r>
            <w:r w:rsidRPr="000F1B6E">
              <w:rPr>
                <w:rFonts w:eastAsia="Calibri"/>
                <w:smallCaps/>
                <w:sz w:val="20"/>
                <w:lang w:val="fr-CA"/>
              </w:rPr>
              <w:t>traduction</w:t>
            </w:r>
            <w:r w:rsidRPr="000F1B6E">
              <w:rPr>
                <w:rFonts w:eastAsia="Calibri"/>
                <w:sz w:val="20"/>
                <w:lang w:val="fr-CA"/>
              </w:rPr>
              <w:t>] « les trois allégations avaient toutes trait à un débat scientifique, sociétal et d’orientation », il valait mieux mettre fin à l’enquête en application de l’al. 24(1)</w:t>
            </w:r>
            <w:r w:rsidRPr="000F1B6E">
              <w:rPr>
                <w:rFonts w:eastAsia="Calibri"/>
                <w:i/>
                <w:sz w:val="20"/>
                <w:lang w:val="fr-CA"/>
              </w:rPr>
              <w:t>e)</w:t>
            </w:r>
            <w:r w:rsidRPr="000F1B6E">
              <w:rPr>
                <w:rFonts w:eastAsia="Calibri"/>
                <w:sz w:val="20"/>
                <w:lang w:val="fr-CA"/>
              </w:rPr>
              <w:t xml:space="preserve"> de la </w:t>
            </w:r>
            <w:r w:rsidRPr="000F1B6E">
              <w:rPr>
                <w:rFonts w:eastAsia="Calibri"/>
                <w:i/>
                <w:sz w:val="20"/>
                <w:lang w:val="fr-CA"/>
              </w:rPr>
              <w:t>LPFDAR</w:t>
            </w:r>
            <w:r w:rsidRPr="000F1B6E">
              <w:rPr>
                <w:rFonts w:eastAsia="Calibri"/>
                <w:sz w:val="20"/>
                <w:lang w:val="fr-CA"/>
              </w:rPr>
              <w:t>. Cette disposition permet au commissaire de ne pas poursuivre une enquête s’il est d’avis « que les faits visés par la divulgation ou l’enquête résultent de la mise en application d’un processus décisionnel équilibré et informé ». Dans le cadre d’un examen général des dossiers, un commissaire différent a décidé en janvier 2012 de ne pas rouvrir le dossier des demandeurs, puisque sa prédécesseure avait agi raisonnablement. La Cour fédérale a rejeté la demande de contrôle judiciaire de la décision rendue en janvier 2012 et la Cour d’appel fédérale a rejeté l’appel.</w:t>
            </w:r>
          </w:p>
          <w:p w:rsidR="003725BF" w:rsidRPr="000F1B6E" w:rsidRDefault="003725BF" w:rsidP="002C385E">
            <w:pPr>
              <w:jc w:val="both"/>
              <w:rPr>
                <w:rFonts w:eastAsia="Calibri"/>
                <w:sz w:val="20"/>
                <w:lang w:val="fr-CA"/>
              </w:rPr>
            </w:pPr>
          </w:p>
        </w:tc>
      </w:tr>
      <w:tr w:rsidR="003725BF" w:rsidRPr="0025502E" w:rsidTr="002C385E">
        <w:tc>
          <w:tcPr>
            <w:tcW w:w="2427" w:type="pct"/>
          </w:tcPr>
          <w:p w:rsidR="003725BF" w:rsidRPr="000F1B6E" w:rsidRDefault="003725BF" w:rsidP="002C385E">
            <w:pPr>
              <w:jc w:val="both"/>
              <w:rPr>
                <w:rFonts w:eastAsia="Calibri"/>
                <w:sz w:val="20"/>
                <w:lang w:val="fr-CA"/>
              </w:rPr>
            </w:pPr>
            <w:r w:rsidRPr="000F1B6E">
              <w:rPr>
                <w:rFonts w:eastAsia="Calibri"/>
                <w:sz w:val="20"/>
                <w:lang w:val="fr-CA"/>
              </w:rPr>
              <w:t>12 juin 2013</w:t>
            </w:r>
          </w:p>
          <w:p w:rsidR="003725BF" w:rsidRPr="000F1B6E" w:rsidRDefault="003725BF" w:rsidP="002C385E">
            <w:pPr>
              <w:jc w:val="both"/>
              <w:rPr>
                <w:rFonts w:eastAsia="Calibri"/>
                <w:sz w:val="20"/>
                <w:lang w:val="fr-CA"/>
              </w:rPr>
            </w:pPr>
            <w:r w:rsidRPr="000F1B6E">
              <w:rPr>
                <w:rFonts w:eastAsia="Calibri"/>
                <w:sz w:val="20"/>
                <w:lang w:val="fr-CA"/>
              </w:rPr>
              <w:t xml:space="preserve">Cour fédérale </w:t>
            </w:r>
          </w:p>
          <w:p w:rsidR="003725BF" w:rsidRPr="000F1B6E" w:rsidRDefault="003725BF" w:rsidP="002C385E">
            <w:pPr>
              <w:jc w:val="both"/>
              <w:rPr>
                <w:rFonts w:eastAsia="Calibri"/>
                <w:sz w:val="20"/>
                <w:lang w:val="fr-CA"/>
              </w:rPr>
            </w:pPr>
            <w:r w:rsidRPr="000F1B6E">
              <w:rPr>
                <w:rFonts w:eastAsia="Calibri"/>
                <w:sz w:val="20"/>
                <w:lang w:val="fr-CA"/>
              </w:rPr>
              <w:t>(Juge Scott)</w:t>
            </w:r>
          </w:p>
          <w:p w:rsidR="003725BF" w:rsidRPr="000F1B6E" w:rsidRDefault="00E42AAB" w:rsidP="002C385E">
            <w:pPr>
              <w:jc w:val="both"/>
              <w:rPr>
                <w:rFonts w:eastAsia="Calibri"/>
                <w:sz w:val="20"/>
                <w:lang w:val="fr-CA"/>
              </w:rPr>
            </w:pPr>
            <w:hyperlink r:id="rId92" w:history="1">
              <w:r w:rsidR="003725BF" w:rsidRPr="000F1B6E">
                <w:rPr>
                  <w:rFonts w:eastAsia="Calibri"/>
                  <w:color w:val="0000FF"/>
                  <w:sz w:val="20"/>
                  <w:u w:val="single"/>
                  <w:lang w:val="fr-CA"/>
                </w:rPr>
                <w:t>2013 FC 644</w:t>
              </w:r>
            </w:hyperlink>
          </w:p>
          <w:p w:rsidR="003725BF" w:rsidRPr="000F1B6E" w:rsidRDefault="003725BF" w:rsidP="002C385E">
            <w:pPr>
              <w:jc w:val="both"/>
              <w:rPr>
                <w:rFonts w:eastAsia="Calibri"/>
                <w:sz w:val="20"/>
                <w:lang w:val="fr-CA"/>
              </w:rPr>
            </w:pPr>
          </w:p>
        </w:tc>
        <w:tc>
          <w:tcPr>
            <w:tcW w:w="243" w:type="pct"/>
          </w:tcPr>
          <w:p w:rsidR="003725BF" w:rsidRPr="000F1B6E" w:rsidRDefault="003725BF" w:rsidP="002C385E">
            <w:pPr>
              <w:jc w:val="both"/>
              <w:rPr>
                <w:rFonts w:eastAsia="Calibri"/>
                <w:sz w:val="20"/>
                <w:lang w:val="fr-CA"/>
              </w:rPr>
            </w:pPr>
          </w:p>
        </w:tc>
        <w:tc>
          <w:tcPr>
            <w:tcW w:w="2330" w:type="pct"/>
          </w:tcPr>
          <w:p w:rsidR="003725BF" w:rsidRPr="000F1B6E" w:rsidRDefault="003725BF" w:rsidP="002C385E">
            <w:pPr>
              <w:jc w:val="both"/>
              <w:rPr>
                <w:rFonts w:eastAsia="Calibri"/>
                <w:sz w:val="20"/>
                <w:lang w:val="fr-CA"/>
              </w:rPr>
            </w:pPr>
            <w:r w:rsidRPr="000F1B6E">
              <w:rPr>
                <w:rFonts w:eastAsia="Calibri"/>
                <w:sz w:val="20"/>
                <w:lang w:val="fr-CA"/>
              </w:rPr>
              <w:t>Rejet de la demande de contrôle judiciaire de la décision rendue le 31 janvier 2012 par le commissaire à l’intégrité du secteur public </w:t>
            </w:r>
          </w:p>
          <w:p w:rsidR="003725BF" w:rsidRPr="000F1B6E" w:rsidRDefault="003725BF" w:rsidP="002C385E">
            <w:pPr>
              <w:jc w:val="both"/>
              <w:rPr>
                <w:rFonts w:eastAsia="Calibri"/>
                <w:sz w:val="20"/>
                <w:lang w:val="fr-CA"/>
              </w:rPr>
            </w:pPr>
          </w:p>
        </w:tc>
      </w:tr>
      <w:tr w:rsidR="003725BF" w:rsidRPr="000F1B6E" w:rsidTr="002C385E">
        <w:tc>
          <w:tcPr>
            <w:tcW w:w="2427" w:type="pct"/>
          </w:tcPr>
          <w:p w:rsidR="003725BF" w:rsidRPr="000F1B6E" w:rsidRDefault="003725BF" w:rsidP="002C385E">
            <w:pPr>
              <w:jc w:val="both"/>
              <w:rPr>
                <w:rFonts w:eastAsia="Calibri"/>
                <w:sz w:val="20"/>
                <w:lang w:val="fr-CA"/>
              </w:rPr>
            </w:pPr>
            <w:r w:rsidRPr="000F1B6E">
              <w:rPr>
                <w:rFonts w:eastAsia="Calibri"/>
                <w:sz w:val="20"/>
                <w:lang w:val="fr-CA"/>
              </w:rPr>
              <w:lastRenderedPageBreak/>
              <w:t>17 juillet 2014</w:t>
            </w:r>
          </w:p>
          <w:p w:rsidR="003725BF" w:rsidRPr="000F1B6E" w:rsidRDefault="003725BF" w:rsidP="002C385E">
            <w:pPr>
              <w:jc w:val="both"/>
              <w:rPr>
                <w:rFonts w:eastAsia="Calibri"/>
                <w:sz w:val="20"/>
                <w:lang w:val="fr-CA"/>
              </w:rPr>
            </w:pPr>
            <w:r w:rsidRPr="000F1B6E">
              <w:rPr>
                <w:rFonts w:eastAsia="Calibri"/>
                <w:sz w:val="20"/>
                <w:lang w:val="fr-CA"/>
              </w:rPr>
              <w:t xml:space="preserve">Cour d’appel fédérale </w:t>
            </w:r>
          </w:p>
          <w:p w:rsidR="003725BF" w:rsidRPr="000F1B6E" w:rsidRDefault="003725BF" w:rsidP="002C385E">
            <w:pPr>
              <w:jc w:val="both"/>
              <w:rPr>
                <w:rFonts w:eastAsia="Calibri"/>
                <w:sz w:val="20"/>
                <w:lang w:val="fr-CA"/>
              </w:rPr>
            </w:pPr>
            <w:r w:rsidRPr="000F1B6E">
              <w:rPr>
                <w:rFonts w:eastAsia="Calibri"/>
                <w:sz w:val="20"/>
                <w:lang w:val="fr-CA"/>
              </w:rPr>
              <w:t>(Juges Dawson, Trudel et Near)</w:t>
            </w:r>
          </w:p>
          <w:p w:rsidR="003725BF" w:rsidRPr="000F1B6E" w:rsidRDefault="00E42AAB" w:rsidP="002C385E">
            <w:pPr>
              <w:jc w:val="both"/>
              <w:rPr>
                <w:rFonts w:eastAsia="Calibri"/>
                <w:sz w:val="20"/>
                <w:lang w:val="fr-CA"/>
              </w:rPr>
            </w:pPr>
            <w:hyperlink r:id="rId93" w:history="1">
              <w:r w:rsidR="003725BF" w:rsidRPr="000F1B6E">
                <w:rPr>
                  <w:rFonts w:eastAsia="Calibri"/>
                  <w:color w:val="0000FF"/>
                  <w:sz w:val="20"/>
                  <w:u w:val="single"/>
                  <w:lang w:val="fr-CA"/>
                </w:rPr>
                <w:t>2014 FCA 179</w:t>
              </w:r>
            </w:hyperlink>
            <w:r w:rsidR="003725BF" w:rsidRPr="000F1B6E">
              <w:rPr>
                <w:rFonts w:eastAsia="Calibri"/>
                <w:sz w:val="20"/>
                <w:lang w:val="fr-CA"/>
              </w:rPr>
              <w:t>; A-239-13</w:t>
            </w:r>
          </w:p>
          <w:p w:rsidR="003725BF" w:rsidRPr="000F1B6E" w:rsidRDefault="003725BF" w:rsidP="002C385E">
            <w:pPr>
              <w:jc w:val="both"/>
              <w:rPr>
                <w:rFonts w:eastAsia="Calibri"/>
                <w:sz w:val="20"/>
                <w:lang w:val="fr-CA"/>
              </w:rPr>
            </w:pPr>
          </w:p>
        </w:tc>
        <w:tc>
          <w:tcPr>
            <w:tcW w:w="243" w:type="pct"/>
          </w:tcPr>
          <w:p w:rsidR="003725BF" w:rsidRPr="000F1B6E" w:rsidRDefault="003725BF" w:rsidP="002C385E">
            <w:pPr>
              <w:jc w:val="both"/>
              <w:rPr>
                <w:rFonts w:eastAsia="Calibri"/>
                <w:sz w:val="20"/>
                <w:lang w:val="fr-CA"/>
              </w:rPr>
            </w:pPr>
          </w:p>
        </w:tc>
        <w:tc>
          <w:tcPr>
            <w:tcW w:w="2330" w:type="pct"/>
          </w:tcPr>
          <w:p w:rsidR="003725BF" w:rsidRPr="000F1B6E" w:rsidRDefault="003725BF" w:rsidP="002C385E">
            <w:pPr>
              <w:jc w:val="both"/>
              <w:rPr>
                <w:rFonts w:eastAsia="Calibri"/>
                <w:sz w:val="20"/>
                <w:lang w:val="fr-CA"/>
              </w:rPr>
            </w:pPr>
            <w:r w:rsidRPr="000F1B6E">
              <w:rPr>
                <w:rFonts w:eastAsia="Calibri"/>
                <w:sz w:val="20"/>
                <w:lang w:val="fr-CA"/>
              </w:rPr>
              <w:t>Rejet de l’appel</w:t>
            </w:r>
          </w:p>
          <w:p w:rsidR="003725BF" w:rsidRPr="000F1B6E" w:rsidRDefault="003725BF" w:rsidP="002C385E">
            <w:pPr>
              <w:jc w:val="both"/>
              <w:rPr>
                <w:rFonts w:eastAsia="Calibri"/>
                <w:sz w:val="20"/>
                <w:lang w:val="fr-CA"/>
              </w:rPr>
            </w:pPr>
          </w:p>
        </w:tc>
      </w:tr>
      <w:tr w:rsidR="003725BF" w:rsidRPr="0025502E" w:rsidTr="003725BF">
        <w:trPr>
          <w:cantSplit/>
        </w:trPr>
        <w:tc>
          <w:tcPr>
            <w:tcW w:w="2427" w:type="pct"/>
          </w:tcPr>
          <w:p w:rsidR="003725BF" w:rsidRPr="000F1B6E" w:rsidRDefault="003725BF" w:rsidP="002C385E">
            <w:pPr>
              <w:jc w:val="both"/>
              <w:rPr>
                <w:rFonts w:eastAsia="Calibri"/>
                <w:sz w:val="20"/>
                <w:lang w:val="fr-CA"/>
              </w:rPr>
            </w:pPr>
            <w:r w:rsidRPr="000F1B6E">
              <w:rPr>
                <w:rFonts w:eastAsia="Calibri"/>
                <w:sz w:val="20"/>
                <w:lang w:val="fr-CA"/>
              </w:rPr>
              <w:t>26 septembre 2014</w:t>
            </w:r>
          </w:p>
          <w:p w:rsidR="003725BF" w:rsidRPr="000F1B6E" w:rsidRDefault="003725BF" w:rsidP="002C385E">
            <w:pPr>
              <w:jc w:val="both"/>
              <w:rPr>
                <w:rFonts w:eastAsia="Calibri"/>
                <w:sz w:val="20"/>
                <w:lang w:val="fr-CA"/>
              </w:rPr>
            </w:pPr>
            <w:r w:rsidRPr="000F1B6E">
              <w:rPr>
                <w:rFonts w:eastAsia="Calibri"/>
                <w:sz w:val="20"/>
                <w:lang w:val="fr-CA"/>
              </w:rPr>
              <w:t>Cour suprême du Canada</w:t>
            </w:r>
          </w:p>
        </w:tc>
        <w:tc>
          <w:tcPr>
            <w:tcW w:w="243" w:type="pct"/>
          </w:tcPr>
          <w:p w:rsidR="003725BF" w:rsidRPr="000F1B6E" w:rsidRDefault="003725BF" w:rsidP="002C385E">
            <w:pPr>
              <w:jc w:val="both"/>
              <w:rPr>
                <w:rFonts w:eastAsia="Calibri"/>
                <w:sz w:val="20"/>
                <w:lang w:val="fr-CA"/>
              </w:rPr>
            </w:pPr>
          </w:p>
        </w:tc>
        <w:tc>
          <w:tcPr>
            <w:tcW w:w="2330" w:type="pct"/>
          </w:tcPr>
          <w:p w:rsidR="003725BF" w:rsidRPr="000F1B6E" w:rsidRDefault="003725BF" w:rsidP="002C385E">
            <w:pPr>
              <w:jc w:val="both"/>
              <w:rPr>
                <w:rFonts w:eastAsia="Calibri"/>
                <w:sz w:val="20"/>
                <w:lang w:val="fr-CA"/>
              </w:rPr>
            </w:pPr>
            <w:r w:rsidRPr="000F1B6E">
              <w:rPr>
                <w:rFonts w:eastAsia="Calibri"/>
                <w:sz w:val="20"/>
                <w:lang w:val="fr-CA"/>
              </w:rPr>
              <w:t>Dépôt de la demande d’autorisation d’appel</w:t>
            </w:r>
          </w:p>
        </w:tc>
      </w:tr>
    </w:tbl>
    <w:p w:rsidR="00124C37" w:rsidRPr="003725BF" w:rsidRDefault="00124C37" w:rsidP="00124C37">
      <w:pPr>
        <w:rPr>
          <w:sz w:val="20"/>
          <w:szCs w:val="20"/>
          <w:lang w:val="fr-CA"/>
        </w:rPr>
      </w:pPr>
    </w:p>
    <w:p w:rsidR="00124C37" w:rsidRDefault="00E42AAB" w:rsidP="00124C37">
      <w:pPr>
        <w:rPr>
          <w:sz w:val="20"/>
          <w:szCs w:val="20"/>
        </w:rPr>
      </w:pPr>
      <w:r>
        <w:rPr>
          <w:sz w:val="20"/>
          <w:szCs w:val="20"/>
          <w:lang w:val="fr-CA"/>
        </w:rPr>
        <w:pict>
          <v:rect id="_x0000_i1078" style="width:2in;height:1pt" o:hrpct="0" o:hralign="center" o:hrstd="t" o:hrnoshade="t" o:hr="t" fillcolor="black [3213]" stroked="f"/>
        </w:pict>
      </w:r>
    </w:p>
    <w:p w:rsidR="00124C37" w:rsidRDefault="00124C37" w:rsidP="00124C37">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03DFB" w:rsidRPr="0025502E" w:rsidTr="00C64462">
        <w:trPr>
          <w:cantSplit/>
        </w:trPr>
        <w:tc>
          <w:tcPr>
            <w:tcW w:w="1458" w:type="dxa"/>
          </w:tcPr>
          <w:p w:rsidR="00803DFB" w:rsidRPr="00E7075A" w:rsidRDefault="00803DFB" w:rsidP="00C64462">
            <w:pPr>
              <w:rPr>
                <w:sz w:val="20"/>
                <w:szCs w:val="20"/>
              </w:rPr>
            </w:pPr>
            <w:r w:rsidRPr="00E7075A">
              <w:rPr>
                <w:rStyle w:val="SCCFileNumberChar"/>
                <w:sz w:val="20"/>
                <w:szCs w:val="20"/>
              </w:rPr>
              <w:t>36097</w:t>
            </w:r>
          </w:p>
          <w:p w:rsidR="00803DFB" w:rsidRPr="00E7075A" w:rsidRDefault="00803DFB" w:rsidP="00C64462">
            <w:pPr>
              <w:rPr>
                <w:b/>
                <w:sz w:val="20"/>
                <w:szCs w:val="20"/>
                <w:lang w:val="fr-CA"/>
              </w:rPr>
            </w:pPr>
          </w:p>
        </w:tc>
        <w:tc>
          <w:tcPr>
            <w:tcW w:w="8118" w:type="dxa"/>
          </w:tcPr>
          <w:p w:rsidR="00803DFB" w:rsidRPr="00E7075A" w:rsidRDefault="00803DFB" w:rsidP="00C64462">
            <w:pPr>
              <w:jc w:val="both"/>
              <w:rPr>
                <w:sz w:val="20"/>
                <w:szCs w:val="20"/>
                <w:lang w:val="fr-CA"/>
              </w:rPr>
            </w:pPr>
            <w:r w:rsidRPr="00E7075A">
              <w:rPr>
                <w:rStyle w:val="SCCLsocChar"/>
                <w:sz w:val="20"/>
                <w:szCs w:val="20"/>
              </w:rPr>
              <w:t>Boutique du Foyer de Saint-Hyacinthe Inc. c. Promutuel Bagot, Société mutuelle d'assurance générale, Diane Villeneuve et André Beauregard</w:t>
            </w:r>
            <w:r w:rsidRPr="00E7075A">
              <w:rPr>
                <w:sz w:val="20"/>
                <w:szCs w:val="20"/>
                <w:lang w:val="fr-CA"/>
              </w:rPr>
              <w:t xml:space="preserve"> (Qc) (Civile) (Autorisation)</w:t>
            </w:r>
          </w:p>
          <w:p w:rsidR="00803DFB" w:rsidRPr="00E7075A" w:rsidRDefault="00803DFB" w:rsidP="00C64462">
            <w:pPr>
              <w:jc w:val="both"/>
              <w:rPr>
                <w:sz w:val="20"/>
                <w:szCs w:val="20"/>
                <w:lang w:val="fr-CA"/>
              </w:rPr>
            </w:pPr>
          </w:p>
        </w:tc>
      </w:tr>
      <w:tr w:rsidR="00803DFB" w:rsidRPr="0025502E" w:rsidTr="00C64462">
        <w:trPr>
          <w:cantSplit/>
        </w:trPr>
        <w:tc>
          <w:tcPr>
            <w:tcW w:w="1458" w:type="dxa"/>
          </w:tcPr>
          <w:p w:rsidR="00803DFB" w:rsidRPr="00E7075A" w:rsidRDefault="00803DFB" w:rsidP="00C64462">
            <w:pPr>
              <w:rPr>
                <w:sz w:val="20"/>
                <w:szCs w:val="20"/>
              </w:rPr>
            </w:pPr>
            <w:r w:rsidRPr="00E7075A">
              <w:rPr>
                <w:sz w:val="20"/>
                <w:szCs w:val="20"/>
              </w:rPr>
              <w:t>Coram :</w:t>
            </w:r>
          </w:p>
        </w:tc>
        <w:tc>
          <w:tcPr>
            <w:tcW w:w="8118" w:type="dxa"/>
          </w:tcPr>
          <w:p w:rsidR="00803DFB" w:rsidRPr="00E7075A" w:rsidRDefault="00803DFB" w:rsidP="00C64462">
            <w:pPr>
              <w:rPr>
                <w:sz w:val="20"/>
                <w:szCs w:val="20"/>
                <w:lang w:val="fr-CA"/>
              </w:rPr>
            </w:pPr>
            <w:r w:rsidRPr="00E7075A">
              <w:rPr>
                <w:rStyle w:val="SCCCoramChar"/>
                <w:sz w:val="20"/>
                <w:szCs w:val="20"/>
              </w:rPr>
              <w:t>Les juges Abella, Karakatsanis et Wagner</w:t>
            </w:r>
          </w:p>
          <w:p w:rsidR="00803DFB" w:rsidRPr="00E7075A" w:rsidRDefault="00803DFB" w:rsidP="00C64462">
            <w:pPr>
              <w:rPr>
                <w:sz w:val="20"/>
                <w:szCs w:val="20"/>
                <w:u w:val="single"/>
                <w:lang w:val="fr-CA"/>
              </w:rPr>
            </w:pPr>
          </w:p>
        </w:tc>
      </w:tr>
      <w:tr w:rsidR="00803DFB" w:rsidRPr="00E7075A" w:rsidTr="00C64462">
        <w:trPr>
          <w:cantSplit/>
        </w:trPr>
        <w:tc>
          <w:tcPr>
            <w:tcW w:w="9576" w:type="dxa"/>
            <w:gridSpan w:val="2"/>
          </w:tcPr>
          <w:p w:rsidR="00803DFB" w:rsidRPr="00E7075A" w:rsidRDefault="00803DFB" w:rsidP="00C64462">
            <w:pPr>
              <w:pStyle w:val="SCCShortJudgment"/>
              <w:rPr>
                <w:szCs w:val="20"/>
                <w:lang w:val="fr-CA"/>
              </w:rPr>
            </w:pPr>
            <w:r w:rsidRPr="00E7075A">
              <w:rPr>
                <w:szCs w:val="20"/>
                <w:lang w:val="fr-CA"/>
              </w:rPr>
              <w:t>La demande d’autorisation d’appel de l’arrêt de la Cour d’appel du Québec (Montréal), numéro 500-09-023196-124, 2014 QCCA 1314, daté du 4 juillet 2014, est rejetée sans dépens.</w:t>
            </w:r>
          </w:p>
          <w:p w:rsidR="00803DFB" w:rsidRPr="00E7075A" w:rsidRDefault="00803DFB" w:rsidP="00C64462">
            <w:pPr>
              <w:pStyle w:val="SCCShortJudgment"/>
              <w:ind w:firstLine="0"/>
              <w:rPr>
                <w:szCs w:val="20"/>
                <w:lang w:val="fr-CA"/>
              </w:rPr>
            </w:pPr>
          </w:p>
          <w:p w:rsidR="00803DFB" w:rsidRPr="00E7075A" w:rsidRDefault="00803DFB" w:rsidP="00C64462">
            <w:pPr>
              <w:pStyle w:val="SCCShortJudgment"/>
              <w:rPr>
                <w:szCs w:val="20"/>
              </w:rPr>
            </w:pPr>
            <w:r w:rsidRPr="00E7075A">
              <w:rPr>
                <w:szCs w:val="20"/>
              </w:rPr>
              <w:t>The application for leave to appeal from the judgment of the Court of Appeal of Quebec (Montréal), Number 500-09-023196-124, 2014 QCCA 1314, dated July 4, 2014, is dismissed without costs.</w:t>
            </w:r>
          </w:p>
        </w:tc>
      </w:tr>
    </w:tbl>
    <w:p w:rsidR="00124C37" w:rsidRDefault="00124C37" w:rsidP="000E2959">
      <w:pPr>
        <w:rPr>
          <w:sz w:val="20"/>
          <w:szCs w:val="20"/>
        </w:rPr>
      </w:pPr>
    </w:p>
    <w:p w:rsidR="00124C37" w:rsidRPr="001B157C" w:rsidRDefault="00124C37" w:rsidP="00124C37">
      <w:pPr>
        <w:rPr>
          <w:sz w:val="20"/>
          <w:szCs w:val="20"/>
          <w:u w:val="single"/>
        </w:rPr>
      </w:pPr>
      <w:r w:rsidRPr="001B157C">
        <w:rPr>
          <w:sz w:val="20"/>
          <w:szCs w:val="20"/>
          <w:u w:val="single"/>
        </w:rPr>
        <w:t>CASE SUMMARY</w:t>
      </w:r>
    </w:p>
    <w:p w:rsidR="00124C37" w:rsidRDefault="00124C37" w:rsidP="00124C3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725BF" w:rsidRPr="000F1B6E" w:rsidTr="002C385E">
        <w:tc>
          <w:tcPr>
            <w:tcW w:w="5000" w:type="pct"/>
            <w:gridSpan w:val="3"/>
          </w:tcPr>
          <w:p w:rsidR="003725BF" w:rsidRPr="000F1B6E" w:rsidRDefault="003725BF" w:rsidP="002C385E">
            <w:pPr>
              <w:jc w:val="both"/>
              <w:rPr>
                <w:rFonts w:eastAsia="Calibri"/>
                <w:sz w:val="20"/>
              </w:rPr>
            </w:pPr>
            <w:r w:rsidRPr="000F1B6E">
              <w:rPr>
                <w:rFonts w:eastAsia="Calibri"/>
                <w:sz w:val="20"/>
              </w:rPr>
              <w:t xml:space="preserve">Insurance law – Liability insurance – Causal link – Presumption of causation applicable under </w:t>
            </w:r>
            <w:r w:rsidRPr="000F1B6E">
              <w:rPr>
                <w:rFonts w:eastAsia="Calibri"/>
                <w:i/>
                <w:sz w:val="20"/>
              </w:rPr>
              <w:t>Morin v. Blais</w:t>
            </w:r>
            <w:r w:rsidRPr="000F1B6E">
              <w:rPr>
                <w:rFonts w:eastAsia="Calibri"/>
                <w:sz w:val="20"/>
              </w:rPr>
              <w:t>, [1997] 1 S.C.R. 570, where breach of elementary standard of care is immediately followed by accident which standard was expressly designed to prevent – Fire occurring nearly two years after breach of standard in question – Whether Court of Appeal erred in concluding that breach was “immediately followed” by damage.</w:t>
            </w:r>
          </w:p>
        </w:tc>
      </w:tr>
      <w:tr w:rsidR="003725BF" w:rsidRPr="000F1B6E" w:rsidTr="002C385E">
        <w:tc>
          <w:tcPr>
            <w:tcW w:w="5000" w:type="pct"/>
            <w:gridSpan w:val="3"/>
          </w:tcPr>
          <w:p w:rsidR="003725BF" w:rsidRPr="000F1B6E" w:rsidRDefault="003725BF" w:rsidP="002C385E">
            <w:pPr>
              <w:jc w:val="both"/>
              <w:rPr>
                <w:rFonts w:eastAsia="Calibri"/>
                <w:sz w:val="20"/>
              </w:rPr>
            </w:pPr>
          </w:p>
        </w:tc>
      </w:tr>
      <w:tr w:rsidR="003725BF" w:rsidRPr="000F1B6E" w:rsidTr="002C385E">
        <w:tc>
          <w:tcPr>
            <w:tcW w:w="5000" w:type="pct"/>
            <w:gridSpan w:val="3"/>
          </w:tcPr>
          <w:p w:rsidR="003725BF" w:rsidRPr="000F1B6E" w:rsidRDefault="003725BF" w:rsidP="002C385E">
            <w:pPr>
              <w:jc w:val="both"/>
              <w:rPr>
                <w:rFonts w:eastAsia="Calibri"/>
                <w:sz w:val="20"/>
              </w:rPr>
            </w:pPr>
            <w:r w:rsidRPr="000F1B6E">
              <w:rPr>
                <w:rFonts w:eastAsia="Calibri"/>
                <w:sz w:val="20"/>
              </w:rPr>
              <w:t>In 2004, the respondents Ms. Villeneuve and Mr. Beauregard hired Boutique du foyer de Saint</w:t>
            </w:r>
            <w:r w:rsidRPr="000F1B6E">
              <w:rPr>
                <w:rFonts w:eastAsia="Calibri"/>
                <w:sz w:val="20"/>
              </w:rPr>
              <w:noBreakHyphen/>
              <w:t>Hyacinthe Inc. (the applicant) to install a chimney and slow combustion fireplace in their residence.  In 2006, a fire destroyed the immovable.  After indemnifying the respondents Ms. Villeneuve and Mr. Beauregard, the respondent Promutuel Bagot brought an action in subrogation against the applicant.  The respondents argued that the applicant was responsible for the fire because it had breached an elementary standard of care when installing the fireplace, namely the standard requiring two inches of clearance between a chimney and combustible materials.  The applicant argued that the fire was instead attributable to a short circuit in one of the electrical cables in the attic.</w:t>
            </w:r>
          </w:p>
          <w:p w:rsidR="003725BF" w:rsidRPr="000F1B6E" w:rsidRDefault="003725BF" w:rsidP="002C385E">
            <w:pPr>
              <w:jc w:val="both"/>
              <w:rPr>
                <w:rFonts w:eastAsia="Calibri"/>
                <w:sz w:val="20"/>
              </w:rPr>
            </w:pPr>
          </w:p>
          <w:p w:rsidR="003725BF" w:rsidRPr="000F1B6E" w:rsidRDefault="003725BF" w:rsidP="002C385E">
            <w:pPr>
              <w:jc w:val="both"/>
              <w:rPr>
                <w:rFonts w:eastAsia="Calibri"/>
                <w:sz w:val="20"/>
              </w:rPr>
            </w:pPr>
            <w:r w:rsidRPr="000F1B6E">
              <w:rPr>
                <w:rFonts w:eastAsia="Calibri"/>
                <w:sz w:val="20"/>
              </w:rPr>
              <w:t xml:space="preserve">The Superior Court dismissed the action.  Morrison J. found that the applicant had committed a fault by breaching an elementary standard of care but that the evidence did not make it possible to determine the source of the fire and therefore to link the fire to the applicant’s fault.  He found that the presumption of causation recognized in </w:t>
            </w:r>
            <w:r w:rsidRPr="000F1B6E">
              <w:rPr>
                <w:rFonts w:eastAsia="Calibri"/>
                <w:i/>
                <w:sz w:val="20"/>
              </w:rPr>
              <w:t>Morin</w:t>
            </w:r>
            <w:r w:rsidRPr="000F1B6E">
              <w:rPr>
                <w:rFonts w:eastAsia="Calibri"/>
                <w:sz w:val="20"/>
              </w:rPr>
              <w:t xml:space="preserve"> did not apply.  The Court of Appeal allowed the appeal, finding that the presumption of causation applied and that the expression “immediately followed” used in </w:t>
            </w:r>
            <w:r w:rsidRPr="000F1B6E">
              <w:rPr>
                <w:rFonts w:eastAsia="Calibri"/>
                <w:i/>
                <w:sz w:val="20"/>
              </w:rPr>
              <w:t>Morin</w:t>
            </w:r>
            <w:r w:rsidRPr="000F1B6E">
              <w:rPr>
                <w:rFonts w:eastAsia="Calibri"/>
                <w:sz w:val="20"/>
              </w:rPr>
              <w:t xml:space="preserve"> meant that the injury had to be “an immediate and direct consequence” of the fault within the meaning of art. 1607 C.C.Q.  The fact that the fire occurred two years after the installation of the fireplace had no impact on the presumed causal link in this case, and the evidence required the trial judge to conclude that the fire would not have occurred without the applicant’s fault.</w:t>
            </w:r>
          </w:p>
          <w:p w:rsidR="003725BF" w:rsidRPr="000F1B6E" w:rsidRDefault="003725BF" w:rsidP="002C385E">
            <w:pPr>
              <w:jc w:val="both"/>
              <w:rPr>
                <w:rFonts w:eastAsia="Calibri"/>
                <w:sz w:val="20"/>
              </w:rPr>
            </w:pPr>
          </w:p>
        </w:tc>
      </w:tr>
      <w:tr w:rsidR="003725BF" w:rsidRPr="000F1B6E" w:rsidTr="002C385E">
        <w:tc>
          <w:tcPr>
            <w:tcW w:w="2427" w:type="pct"/>
          </w:tcPr>
          <w:p w:rsidR="003725BF" w:rsidRPr="000F1B6E" w:rsidRDefault="003725BF" w:rsidP="002C385E">
            <w:pPr>
              <w:jc w:val="both"/>
              <w:rPr>
                <w:rFonts w:eastAsia="Calibri"/>
                <w:sz w:val="20"/>
              </w:rPr>
            </w:pPr>
            <w:r w:rsidRPr="000F1B6E">
              <w:rPr>
                <w:rFonts w:eastAsia="Calibri"/>
                <w:sz w:val="20"/>
              </w:rPr>
              <w:lastRenderedPageBreak/>
              <w:t>November 9, 2012</w:t>
            </w:r>
          </w:p>
          <w:p w:rsidR="003725BF" w:rsidRPr="000F1B6E" w:rsidRDefault="003725BF" w:rsidP="002C385E">
            <w:pPr>
              <w:jc w:val="both"/>
              <w:rPr>
                <w:rFonts w:eastAsia="Calibri"/>
                <w:sz w:val="20"/>
              </w:rPr>
            </w:pPr>
            <w:r w:rsidRPr="000F1B6E">
              <w:rPr>
                <w:rFonts w:eastAsia="Calibri"/>
                <w:sz w:val="20"/>
              </w:rPr>
              <w:t>Quebec Superior Court</w:t>
            </w:r>
          </w:p>
          <w:p w:rsidR="003725BF" w:rsidRPr="000F1B6E" w:rsidRDefault="003725BF" w:rsidP="002C385E">
            <w:pPr>
              <w:jc w:val="both"/>
              <w:rPr>
                <w:rFonts w:eastAsia="Calibri"/>
                <w:sz w:val="20"/>
              </w:rPr>
            </w:pPr>
            <w:r w:rsidRPr="000F1B6E">
              <w:rPr>
                <w:rFonts w:eastAsia="Calibri"/>
                <w:sz w:val="20"/>
              </w:rPr>
              <w:t>(Morrison J.)</w:t>
            </w:r>
          </w:p>
          <w:p w:rsidR="003725BF" w:rsidRPr="000F1B6E" w:rsidRDefault="00E42AAB" w:rsidP="002C385E">
            <w:pPr>
              <w:jc w:val="both"/>
              <w:rPr>
                <w:rFonts w:eastAsia="Calibri"/>
                <w:sz w:val="20"/>
              </w:rPr>
            </w:pPr>
            <w:hyperlink r:id="rId94" w:history="1">
              <w:r w:rsidR="003725BF" w:rsidRPr="000F1B6E">
                <w:rPr>
                  <w:rFonts w:eastAsia="Calibri"/>
                  <w:color w:val="0000FF"/>
                  <w:sz w:val="20"/>
                  <w:u w:val="single"/>
                </w:rPr>
                <w:t>2012 QCCS 5629</w:t>
              </w:r>
            </w:hyperlink>
          </w:p>
          <w:p w:rsidR="003725BF" w:rsidRPr="000F1B6E" w:rsidRDefault="003725BF" w:rsidP="002C385E">
            <w:pPr>
              <w:jc w:val="both"/>
              <w:rPr>
                <w:rFonts w:eastAsia="Calibri"/>
                <w:sz w:val="20"/>
              </w:rPr>
            </w:pPr>
          </w:p>
        </w:tc>
        <w:tc>
          <w:tcPr>
            <w:tcW w:w="243" w:type="pct"/>
          </w:tcPr>
          <w:p w:rsidR="003725BF" w:rsidRPr="000F1B6E" w:rsidRDefault="003725BF" w:rsidP="002C385E">
            <w:pPr>
              <w:jc w:val="both"/>
              <w:rPr>
                <w:rFonts w:eastAsia="Calibri"/>
                <w:sz w:val="20"/>
              </w:rPr>
            </w:pPr>
          </w:p>
        </w:tc>
        <w:tc>
          <w:tcPr>
            <w:tcW w:w="2330" w:type="pct"/>
          </w:tcPr>
          <w:p w:rsidR="003725BF" w:rsidRPr="000F1B6E" w:rsidRDefault="003725BF" w:rsidP="002C385E">
            <w:pPr>
              <w:jc w:val="both"/>
              <w:rPr>
                <w:rFonts w:eastAsia="Calibri"/>
                <w:sz w:val="20"/>
              </w:rPr>
            </w:pPr>
            <w:r w:rsidRPr="000F1B6E">
              <w:rPr>
                <w:rFonts w:eastAsia="Calibri"/>
                <w:sz w:val="20"/>
              </w:rPr>
              <w:t>Motion to institute proceedings dismissed</w:t>
            </w:r>
          </w:p>
        </w:tc>
      </w:tr>
      <w:tr w:rsidR="003725BF" w:rsidRPr="000F1B6E" w:rsidTr="002C385E">
        <w:tc>
          <w:tcPr>
            <w:tcW w:w="2427" w:type="pct"/>
          </w:tcPr>
          <w:p w:rsidR="003725BF" w:rsidRPr="000F1B6E" w:rsidRDefault="003725BF" w:rsidP="002C385E">
            <w:pPr>
              <w:jc w:val="both"/>
              <w:rPr>
                <w:rFonts w:eastAsia="Calibri"/>
                <w:sz w:val="20"/>
              </w:rPr>
            </w:pPr>
            <w:r w:rsidRPr="000F1B6E">
              <w:rPr>
                <w:rFonts w:eastAsia="Calibri"/>
                <w:sz w:val="20"/>
              </w:rPr>
              <w:t>July 4, 2014</w:t>
            </w:r>
          </w:p>
          <w:p w:rsidR="003725BF" w:rsidRPr="000F1B6E" w:rsidRDefault="003725BF" w:rsidP="002C385E">
            <w:pPr>
              <w:jc w:val="both"/>
              <w:rPr>
                <w:rFonts w:eastAsia="Calibri"/>
                <w:sz w:val="20"/>
              </w:rPr>
            </w:pPr>
            <w:r w:rsidRPr="000F1B6E">
              <w:rPr>
                <w:rFonts w:eastAsia="Calibri"/>
                <w:sz w:val="20"/>
              </w:rPr>
              <w:t>Quebec Court of Appeal (Montréal)</w:t>
            </w:r>
          </w:p>
          <w:p w:rsidR="003725BF" w:rsidRPr="000F1B6E" w:rsidRDefault="003725BF" w:rsidP="002C385E">
            <w:pPr>
              <w:jc w:val="both"/>
              <w:rPr>
                <w:rFonts w:eastAsia="Calibri"/>
                <w:sz w:val="20"/>
              </w:rPr>
            </w:pPr>
            <w:r w:rsidRPr="000F1B6E">
              <w:rPr>
                <w:rFonts w:eastAsia="Calibri"/>
                <w:sz w:val="20"/>
              </w:rPr>
              <w:t>(Dalphond, Bouchard and Vauclair JJ.A.)</w:t>
            </w:r>
          </w:p>
          <w:p w:rsidR="003725BF" w:rsidRPr="000F1B6E" w:rsidRDefault="00E42AAB" w:rsidP="002C385E">
            <w:pPr>
              <w:jc w:val="both"/>
              <w:rPr>
                <w:rFonts w:eastAsia="Calibri"/>
                <w:sz w:val="20"/>
              </w:rPr>
            </w:pPr>
            <w:hyperlink r:id="rId95" w:history="1">
              <w:r w:rsidR="003725BF" w:rsidRPr="000F1B6E">
                <w:rPr>
                  <w:rFonts w:eastAsia="Calibri"/>
                  <w:color w:val="0000FF"/>
                  <w:sz w:val="20"/>
                  <w:u w:val="single"/>
                </w:rPr>
                <w:t>2014 QCCA 1314</w:t>
              </w:r>
            </w:hyperlink>
            <w:r w:rsidR="003725BF" w:rsidRPr="000F1B6E">
              <w:rPr>
                <w:rFonts w:eastAsia="Calibri"/>
                <w:sz w:val="20"/>
              </w:rPr>
              <w:t>; 500-09-023196-124</w:t>
            </w:r>
          </w:p>
          <w:p w:rsidR="003725BF" w:rsidRPr="000F1B6E" w:rsidRDefault="003725BF" w:rsidP="002C385E">
            <w:pPr>
              <w:jc w:val="both"/>
              <w:rPr>
                <w:rFonts w:eastAsia="Calibri"/>
                <w:sz w:val="20"/>
              </w:rPr>
            </w:pPr>
          </w:p>
        </w:tc>
        <w:tc>
          <w:tcPr>
            <w:tcW w:w="243" w:type="pct"/>
          </w:tcPr>
          <w:p w:rsidR="003725BF" w:rsidRPr="000F1B6E" w:rsidRDefault="003725BF" w:rsidP="002C385E">
            <w:pPr>
              <w:jc w:val="both"/>
              <w:rPr>
                <w:rFonts w:eastAsia="Calibri"/>
                <w:sz w:val="20"/>
              </w:rPr>
            </w:pPr>
          </w:p>
        </w:tc>
        <w:tc>
          <w:tcPr>
            <w:tcW w:w="2330" w:type="pct"/>
          </w:tcPr>
          <w:p w:rsidR="003725BF" w:rsidRPr="000F1B6E" w:rsidRDefault="003725BF" w:rsidP="002C385E">
            <w:pPr>
              <w:jc w:val="both"/>
              <w:rPr>
                <w:rFonts w:eastAsia="Calibri"/>
                <w:sz w:val="20"/>
              </w:rPr>
            </w:pPr>
            <w:r w:rsidRPr="000F1B6E">
              <w:rPr>
                <w:rFonts w:eastAsia="Calibri"/>
                <w:sz w:val="20"/>
              </w:rPr>
              <w:t>Appeal allowed</w:t>
            </w:r>
          </w:p>
        </w:tc>
      </w:tr>
      <w:tr w:rsidR="003725BF" w:rsidRPr="000F1B6E" w:rsidTr="002C385E">
        <w:tc>
          <w:tcPr>
            <w:tcW w:w="2427" w:type="pct"/>
          </w:tcPr>
          <w:p w:rsidR="003725BF" w:rsidRPr="000F1B6E" w:rsidRDefault="003725BF" w:rsidP="002C385E">
            <w:pPr>
              <w:jc w:val="both"/>
              <w:rPr>
                <w:rFonts w:eastAsia="Calibri"/>
                <w:sz w:val="20"/>
              </w:rPr>
            </w:pPr>
            <w:r w:rsidRPr="000F1B6E">
              <w:rPr>
                <w:rFonts w:eastAsia="Calibri"/>
                <w:sz w:val="20"/>
              </w:rPr>
              <w:t>September 30, 2014</w:t>
            </w:r>
          </w:p>
          <w:p w:rsidR="003725BF" w:rsidRPr="000F1B6E" w:rsidRDefault="003725BF" w:rsidP="002C385E">
            <w:pPr>
              <w:jc w:val="both"/>
              <w:rPr>
                <w:rFonts w:eastAsia="Calibri"/>
                <w:sz w:val="20"/>
              </w:rPr>
            </w:pPr>
            <w:r w:rsidRPr="000F1B6E">
              <w:rPr>
                <w:rFonts w:eastAsia="Calibri"/>
                <w:sz w:val="20"/>
              </w:rPr>
              <w:t>Supreme Court of Canada</w:t>
            </w:r>
          </w:p>
        </w:tc>
        <w:tc>
          <w:tcPr>
            <w:tcW w:w="243" w:type="pct"/>
          </w:tcPr>
          <w:p w:rsidR="003725BF" w:rsidRPr="000F1B6E" w:rsidRDefault="003725BF" w:rsidP="002C385E">
            <w:pPr>
              <w:jc w:val="both"/>
              <w:rPr>
                <w:rFonts w:eastAsia="Calibri"/>
                <w:sz w:val="20"/>
              </w:rPr>
            </w:pPr>
          </w:p>
        </w:tc>
        <w:tc>
          <w:tcPr>
            <w:tcW w:w="2330" w:type="pct"/>
          </w:tcPr>
          <w:p w:rsidR="003725BF" w:rsidRPr="000F1B6E" w:rsidRDefault="003725BF" w:rsidP="002C385E">
            <w:pPr>
              <w:jc w:val="both"/>
              <w:rPr>
                <w:rFonts w:eastAsia="Calibri"/>
                <w:sz w:val="20"/>
              </w:rPr>
            </w:pPr>
            <w:r w:rsidRPr="000F1B6E">
              <w:rPr>
                <w:rFonts w:eastAsia="Calibri"/>
                <w:sz w:val="20"/>
              </w:rPr>
              <w:t>Application for leave to appeal filed</w:t>
            </w:r>
          </w:p>
        </w:tc>
      </w:tr>
    </w:tbl>
    <w:p w:rsidR="00124C37" w:rsidRPr="003725BF" w:rsidRDefault="00124C37" w:rsidP="00124C37">
      <w:pPr>
        <w:rPr>
          <w:sz w:val="20"/>
          <w:szCs w:val="20"/>
        </w:rPr>
      </w:pPr>
    </w:p>
    <w:p w:rsidR="00124C37" w:rsidRPr="00C50A5C" w:rsidRDefault="00E42AAB" w:rsidP="00124C37">
      <w:pPr>
        <w:rPr>
          <w:sz w:val="20"/>
          <w:szCs w:val="20"/>
        </w:rPr>
      </w:pPr>
      <w:r>
        <w:rPr>
          <w:sz w:val="20"/>
          <w:szCs w:val="20"/>
          <w:lang w:val="fr-CA"/>
        </w:rPr>
        <w:pict>
          <v:rect id="_x0000_i1079" style="width:2in;height:1pt" o:hrpct="0" o:hralign="center" o:hrstd="t" o:hrnoshade="t" o:hr="t" fillcolor="black [3213]" stroked="f"/>
        </w:pict>
      </w:r>
    </w:p>
    <w:p w:rsidR="00124C37" w:rsidRDefault="00124C37" w:rsidP="00124C37">
      <w:pPr>
        <w:rPr>
          <w:sz w:val="20"/>
          <w:szCs w:val="20"/>
        </w:rPr>
      </w:pPr>
    </w:p>
    <w:p w:rsidR="00124C37" w:rsidRPr="001B157C" w:rsidRDefault="00124C37" w:rsidP="00124C37">
      <w:pPr>
        <w:rPr>
          <w:sz w:val="20"/>
          <w:szCs w:val="20"/>
          <w:u w:val="single"/>
          <w:lang w:val="fr-CA"/>
        </w:rPr>
      </w:pPr>
      <w:r w:rsidRPr="001B157C">
        <w:rPr>
          <w:sz w:val="20"/>
          <w:szCs w:val="20"/>
          <w:u w:val="single"/>
          <w:lang w:val="fr-CA"/>
        </w:rPr>
        <w:t>RÉSUMÉ DE L’AFFAIRE</w:t>
      </w:r>
    </w:p>
    <w:p w:rsidR="00124C37" w:rsidRDefault="00124C37" w:rsidP="00124C3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725BF" w:rsidRPr="0025502E" w:rsidTr="002C385E">
        <w:tc>
          <w:tcPr>
            <w:tcW w:w="5000" w:type="pct"/>
            <w:gridSpan w:val="3"/>
          </w:tcPr>
          <w:p w:rsidR="003725BF" w:rsidRPr="000F1B6E" w:rsidRDefault="003725BF" w:rsidP="002C385E">
            <w:pPr>
              <w:jc w:val="both"/>
              <w:rPr>
                <w:rFonts w:eastAsia="Calibri"/>
                <w:sz w:val="20"/>
                <w:lang w:val="fr-CA"/>
              </w:rPr>
            </w:pPr>
            <w:r w:rsidRPr="000F1B6E">
              <w:rPr>
                <w:rFonts w:eastAsia="Calibri"/>
                <w:sz w:val="20"/>
                <w:lang w:val="fr-CA"/>
              </w:rPr>
              <w:t xml:space="preserve">Droit des assurances – Assurance responsabilité – Lien de causalité – Présomption de causalité applicable en vertu de l’arrêt </w:t>
            </w:r>
            <w:r w:rsidRPr="000F1B6E">
              <w:rPr>
                <w:rFonts w:eastAsia="Calibri"/>
                <w:i/>
                <w:sz w:val="20"/>
                <w:lang w:val="fr-CA"/>
              </w:rPr>
              <w:t>Morin c. Blais</w:t>
            </w:r>
            <w:r w:rsidRPr="000F1B6E">
              <w:rPr>
                <w:rFonts w:eastAsia="Calibri"/>
                <w:sz w:val="20"/>
                <w:lang w:val="fr-CA"/>
              </w:rPr>
              <w:t>, [1997] 1 R.C.S. 570, lorsque la contravention à une norme élémentaire de prudence est immédiatement suivie d’un accident dommageable que la norme avait justement pour but de prévenir – Incendie survenu près de deux ans après la contravention à la norme en question – La Cour d’appel a-t-elle eu tort de conclure que la contravention avait été « immédiatement suivie » par le dommage?</w:t>
            </w:r>
          </w:p>
        </w:tc>
      </w:tr>
      <w:tr w:rsidR="003725BF" w:rsidRPr="0025502E" w:rsidTr="002C385E">
        <w:tc>
          <w:tcPr>
            <w:tcW w:w="5000" w:type="pct"/>
            <w:gridSpan w:val="3"/>
          </w:tcPr>
          <w:p w:rsidR="003725BF" w:rsidRPr="000F1B6E" w:rsidRDefault="003725BF" w:rsidP="002C385E">
            <w:pPr>
              <w:jc w:val="both"/>
              <w:rPr>
                <w:rFonts w:eastAsia="Calibri"/>
                <w:sz w:val="20"/>
                <w:lang w:val="fr-CA"/>
              </w:rPr>
            </w:pPr>
          </w:p>
        </w:tc>
      </w:tr>
      <w:tr w:rsidR="003725BF" w:rsidRPr="0025502E" w:rsidTr="002C385E">
        <w:tc>
          <w:tcPr>
            <w:tcW w:w="5000" w:type="pct"/>
            <w:gridSpan w:val="3"/>
          </w:tcPr>
          <w:p w:rsidR="003725BF" w:rsidRPr="000F1B6E" w:rsidRDefault="003725BF" w:rsidP="002C385E">
            <w:pPr>
              <w:jc w:val="both"/>
              <w:rPr>
                <w:rFonts w:eastAsia="Calibri"/>
                <w:sz w:val="20"/>
                <w:lang w:val="fr-CA"/>
              </w:rPr>
            </w:pPr>
            <w:r w:rsidRPr="000F1B6E">
              <w:rPr>
                <w:rFonts w:eastAsia="Calibri"/>
                <w:sz w:val="20"/>
                <w:lang w:val="fr-CA"/>
              </w:rPr>
              <w:t>En 2004, les intimés Villeneuve et Beauregard retiennent les services de Boutique du foyer de Saint-Hyacinthe Inc. (la demanderesse) afin qu’elle installe une cheminée et un foyer à combustion lente dans leur résidence.  En 2006, un incendie ravage l’immeuble.  Après avoir indemnisé les intimés Villeneuve et Beauregard, l’intimé Promutuel Bagot exerce un recours subrogatoire contre la demanderesse.  Les intimés plaident que la demanderesse est responsable de l’incendie, car elle n’a pas respecté une norme élémentaire de prudence lors de l’installation du foyer.  Selon cette norme, il doit y avoir un dégagement de deux pouces entre une cheminée et des matériaux combustibles.  La demanderesse soutient plutôt que l’incendie est attribuable à un court-circuit dans l’un des câbles électriques de l’entretoit.</w:t>
            </w:r>
          </w:p>
          <w:p w:rsidR="003725BF" w:rsidRPr="000F1B6E" w:rsidRDefault="003725BF" w:rsidP="002C385E">
            <w:pPr>
              <w:jc w:val="both"/>
              <w:rPr>
                <w:rFonts w:eastAsia="Calibri"/>
                <w:sz w:val="20"/>
                <w:lang w:val="fr-CA"/>
              </w:rPr>
            </w:pPr>
          </w:p>
          <w:p w:rsidR="003725BF" w:rsidRPr="000F1B6E" w:rsidRDefault="003725BF" w:rsidP="002C385E">
            <w:pPr>
              <w:jc w:val="both"/>
              <w:rPr>
                <w:rFonts w:eastAsia="Calibri"/>
                <w:sz w:val="20"/>
                <w:lang w:val="fr-CA"/>
              </w:rPr>
            </w:pPr>
            <w:r w:rsidRPr="000F1B6E">
              <w:rPr>
                <w:rFonts w:eastAsia="Calibri"/>
                <w:sz w:val="20"/>
                <w:lang w:val="fr-CA"/>
              </w:rPr>
              <w:t xml:space="preserve">La Cour supérieure rejette le recours.  Le juge Morrison reconnaît que la demanderesse a commis une faute en contrevenant à une norme élémentaire de prudence.  Toutefois, il considère que la preuve ne permet pas de déterminer la source de l’incendie, et par conséquent, de relier celle-ci à la faute de la demanderesse.  Il considère que la présomption de causalité reconnue dans l’arrêt </w:t>
            </w:r>
            <w:r w:rsidRPr="000F1B6E">
              <w:rPr>
                <w:rFonts w:eastAsia="Calibri"/>
                <w:i/>
                <w:sz w:val="20"/>
                <w:lang w:val="fr-CA"/>
              </w:rPr>
              <w:t>Morin</w:t>
            </w:r>
            <w:r w:rsidRPr="000F1B6E">
              <w:rPr>
                <w:rFonts w:eastAsia="Calibri"/>
                <w:sz w:val="20"/>
                <w:lang w:val="fr-CA"/>
              </w:rPr>
              <w:t xml:space="preserve"> ne s’applique pas.  La Cour d’appel accueille l’appel.  La Cour d’appel considère que la présomption de causalité s’applique, et que l’expression « immédiatement suivie » employée dans l’arrêt </w:t>
            </w:r>
            <w:r w:rsidRPr="000F1B6E">
              <w:rPr>
                <w:rFonts w:eastAsia="Calibri"/>
                <w:i/>
                <w:sz w:val="20"/>
                <w:lang w:val="fr-CA"/>
              </w:rPr>
              <w:t>Morin</w:t>
            </w:r>
            <w:r w:rsidRPr="000F1B6E">
              <w:rPr>
                <w:rFonts w:eastAsia="Calibri"/>
                <w:sz w:val="20"/>
                <w:lang w:val="fr-CA"/>
              </w:rPr>
              <w:t xml:space="preserve"> signifie que le préjudice doit être « une suite immédiate et directe » de la faute au sens de l’art. 1607 C.c.Q.  Le fait que l’incendie ait eu lieu deux ans après l’installation du foyer n’a aucun impact sur le lien de causalité présumé en l’espèce, et la preuve obligeait le première juge à conclure que l'incendie ne serait pas survenu en l'absence de la faute de la demanderesse.</w:t>
            </w:r>
          </w:p>
          <w:p w:rsidR="003725BF" w:rsidRPr="000F1B6E" w:rsidRDefault="003725BF" w:rsidP="002C385E">
            <w:pPr>
              <w:jc w:val="both"/>
              <w:rPr>
                <w:rFonts w:eastAsia="Calibri"/>
                <w:sz w:val="20"/>
                <w:lang w:val="fr-CA"/>
              </w:rPr>
            </w:pPr>
          </w:p>
        </w:tc>
      </w:tr>
      <w:tr w:rsidR="003725BF" w:rsidRPr="000F1B6E" w:rsidTr="002C385E">
        <w:tc>
          <w:tcPr>
            <w:tcW w:w="2427" w:type="pct"/>
          </w:tcPr>
          <w:p w:rsidR="003725BF" w:rsidRPr="000F1B6E" w:rsidRDefault="003725BF" w:rsidP="002C385E">
            <w:pPr>
              <w:jc w:val="both"/>
              <w:rPr>
                <w:rFonts w:eastAsia="Calibri"/>
                <w:sz w:val="20"/>
                <w:lang w:val="fr-CA"/>
              </w:rPr>
            </w:pPr>
            <w:r w:rsidRPr="000F1B6E">
              <w:rPr>
                <w:rFonts w:eastAsia="Calibri"/>
                <w:sz w:val="20"/>
                <w:lang w:val="fr-CA"/>
              </w:rPr>
              <w:t>Le 9 novembre 2012</w:t>
            </w:r>
          </w:p>
          <w:p w:rsidR="003725BF" w:rsidRPr="000F1B6E" w:rsidRDefault="003725BF" w:rsidP="002C385E">
            <w:pPr>
              <w:jc w:val="both"/>
              <w:rPr>
                <w:rFonts w:eastAsia="Calibri"/>
                <w:sz w:val="20"/>
                <w:lang w:val="fr-CA"/>
              </w:rPr>
            </w:pPr>
            <w:r w:rsidRPr="000F1B6E">
              <w:rPr>
                <w:rFonts w:eastAsia="Calibri"/>
                <w:sz w:val="20"/>
                <w:lang w:val="fr-CA"/>
              </w:rPr>
              <w:t>Cour supérieure du Québec</w:t>
            </w:r>
          </w:p>
          <w:p w:rsidR="003725BF" w:rsidRPr="000F1B6E" w:rsidRDefault="003725BF" w:rsidP="002C385E">
            <w:pPr>
              <w:jc w:val="both"/>
              <w:rPr>
                <w:rFonts w:eastAsia="Calibri"/>
                <w:sz w:val="20"/>
                <w:lang w:val="fr-CA"/>
              </w:rPr>
            </w:pPr>
            <w:r w:rsidRPr="000F1B6E">
              <w:rPr>
                <w:rFonts w:eastAsia="Calibri"/>
                <w:sz w:val="20"/>
                <w:lang w:val="fr-CA"/>
              </w:rPr>
              <w:lastRenderedPageBreak/>
              <w:t>(Le juge Morrison)</w:t>
            </w:r>
          </w:p>
          <w:p w:rsidR="003725BF" w:rsidRPr="000F1B6E" w:rsidRDefault="00E42AAB" w:rsidP="002C385E">
            <w:pPr>
              <w:jc w:val="both"/>
              <w:rPr>
                <w:rFonts w:eastAsia="Calibri"/>
                <w:sz w:val="20"/>
                <w:lang w:val="fr-CA"/>
              </w:rPr>
            </w:pPr>
            <w:hyperlink r:id="rId96" w:history="1">
              <w:r w:rsidR="003725BF" w:rsidRPr="000F1B6E">
                <w:rPr>
                  <w:rFonts w:eastAsia="Calibri"/>
                  <w:color w:val="0000FF"/>
                  <w:sz w:val="20"/>
                  <w:u w:val="single"/>
                  <w:lang w:val="fr-CA"/>
                </w:rPr>
                <w:t>2012 QCCS 5629</w:t>
              </w:r>
            </w:hyperlink>
          </w:p>
          <w:p w:rsidR="003725BF" w:rsidRPr="000F1B6E" w:rsidRDefault="003725BF" w:rsidP="002C385E">
            <w:pPr>
              <w:jc w:val="both"/>
              <w:rPr>
                <w:rFonts w:eastAsia="Calibri"/>
                <w:sz w:val="20"/>
                <w:lang w:val="fr-CA"/>
              </w:rPr>
            </w:pPr>
          </w:p>
        </w:tc>
        <w:tc>
          <w:tcPr>
            <w:tcW w:w="243" w:type="pct"/>
          </w:tcPr>
          <w:p w:rsidR="003725BF" w:rsidRPr="000F1B6E" w:rsidRDefault="003725BF" w:rsidP="002C385E">
            <w:pPr>
              <w:jc w:val="both"/>
              <w:rPr>
                <w:rFonts w:eastAsia="Calibri"/>
                <w:sz w:val="20"/>
                <w:lang w:val="fr-CA"/>
              </w:rPr>
            </w:pPr>
          </w:p>
        </w:tc>
        <w:tc>
          <w:tcPr>
            <w:tcW w:w="2330" w:type="pct"/>
          </w:tcPr>
          <w:p w:rsidR="003725BF" w:rsidRPr="000F1B6E" w:rsidRDefault="003725BF" w:rsidP="002C385E">
            <w:pPr>
              <w:jc w:val="both"/>
              <w:rPr>
                <w:rFonts w:eastAsia="Calibri"/>
                <w:sz w:val="20"/>
                <w:lang w:val="fr-CA"/>
              </w:rPr>
            </w:pPr>
            <w:r w:rsidRPr="000F1B6E">
              <w:rPr>
                <w:rFonts w:eastAsia="Calibri"/>
                <w:sz w:val="20"/>
                <w:lang w:val="fr-CA"/>
              </w:rPr>
              <w:t>Requête introductive d’instance rejetée</w:t>
            </w:r>
          </w:p>
        </w:tc>
      </w:tr>
      <w:tr w:rsidR="003725BF" w:rsidRPr="000F1B6E" w:rsidTr="002C385E">
        <w:tc>
          <w:tcPr>
            <w:tcW w:w="2427" w:type="pct"/>
          </w:tcPr>
          <w:p w:rsidR="003725BF" w:rsidRPr="000F1B6E" w:rsidRDefault="003725BF" w:rsidP="002C385E">
            <w:pPr>
              <w:jc w:val="both"/>
              <w:rPr>
                <w:rFonts w:eastAsia="Calibri"/>
                <w:sz w:val="20"/>
                <w:lang w:val="fr-CA"/>
              </w:rPr>
            </w:pPr>
            <w:r w:rsidRPr="000F1B6E">
              <w:rPr>
                <w:rFonts w:eastAsia="Calibri"/>
                <w:sz w:val="20"/>
                <w:lang w:val="fr-CA"/>
              </w:rPr>
              <w:lastRenderedPageBreak/>
              <w:t>Le 4 juillet 2014</w:t>
            </w:r>
          </w:p>
          <w:p w:rsidR="003725BF" w:rsidRPr="000F1B6E" w:rsidRDefault="003725BF" w:rsidP="002C385E">
            <w:pPr>
              <w:jc w:val="both"/>
              <w:rPr>
                <w:rFonts w:eastAsia="Calibri"/>
                <w:sz w:val="20"/>
                <w:lang w:val="fr-CA"/>
              </w:rPr>
            </w:pPr>
            <w:r w:rsidRPr="000F1B6E">
              <w:rPr>
                <w:rFonts w:eastAsia="Calibri"/>
                <w:sz w:val="20"/>
                <w:lang w:val="fr-CA"/>
              </w:rPr>
              <w:t>Cour d’appel du Québec (Montréal)</w:t>
            </w:r>
          </w:p>
          <w:p w:rsidR="003725BF" w:rsidRPr="000F1B6E" w:rsidRDefault="003725BF" w:rsidP="002C385E">
            <w:pPr>
              <w:jc w:val="both"/>
              <w:rPr>
                <w:rFonts w:eastAsia="Calibri"/>
                <w:sz w:val="20"/>
                <w:lang w:val="fr-CA"/>
              </w:rPr>
            </w:pPr>
            <w:r w:rsidRPr="000F1B6E">
              <w:rPr>
                <w:rFonts w:eastAsia="Calibri"/>
                <w:sz w:val="20"/>
                <w:lang w:val="fr-CA"/>
              </w:rPr>
              <w:t>(Les juges Dalphond, Bouchard et Vauclair)</w:t>
            </w:r>
          </w:p>
          <w:p w:rsidR="003725BF" w:rsidRPr="000F1B6E" w:rsidRDefault="00E42AAB" w:rsidP="002C385E">
            <w:pPr>
              <w:jc w:val="both"/>
              <w:rPr>
                <w:rFonts w:eastAsia="Calibri"/>
                <w:sz w:val="20"/>
                <w:lang w:val="fr-CA"/>
              </w:rPr>
            </w:pPr>
            <w:hyperlink r:id="rId97" w:history="1">
              <w:r w:rsidR="003725BF" w:rsidRPr="000F1B6E">
                <w:rPr>
                  <w:rFonts w:eastAsia="Calibri"/>
                  <w:color w:val="0000FF"/>
                  <w:sz w:val="20"/>
                  <w:u w:val="single"/>
                  <w:lang w:val="fr-CA"/>
                </w:rPr>
                <w:t>2014 QCCA 1314</w:t>
              </w:r>
            </w:hyperlink>
            <w:r w:rsidR="003725BF" w:rsidRPr="000F1B6E">
              <w:rPr>
                <w:rFonts w:eastAsia="Calibri"/>
                <w:sz w:val="20"/>
                <w:lang w:val="fr-CA"/>
              </w:rPr>
              <w:t>; 500-09-023196-124</w:t>
            </w:r>
          </w:p>
          <w:p w:rsidR="003725BF" w:rsidRPr="000F1B6E" w:rsidRDefault="003725BF" w:rsidP="002C385E">
            <w:pPr>
              <w:jc w:val="both"/>
              <w:rPr>
                <w:rFonts w:eastAsia="Calibri"/>
                <w:sz w:val="20"/>
                <w:lang w:val="fr-CA"/>
              </w:rPr>
            </w:pPr>
          </w:p>
        </w:tc>
        <w:tc>
          <w:tcPr>
            <w:tcW w:w="243" w:type="pct"/>
          </w:tcPr>
          <w:p w:rsidR="003725BF" w:rsidRPr="000F1B6E" w:rsidRDefault="003725BF" w:rsidP="002C385E">
            <w:pPr>
              <w:jc w:val="both"/>
              <w:rPr>
                <w:rFonts w:eastAsia="Calibri"/>
                <w:sz w:val="20"/>
                <w:lang w:val="fr-CA"/>
              </w:rPr>
            </w:pPr>
          </w:p>
        </w:tc>
        <w:tc>
          <w:tcPr>
            <w:tcW w:w="2330" w:type="pct"/>
          </w:tcPr>
          <w:p w:rsidR="003725BF" w:rsidRPr="000F1B6E" w:rsidRDefault="003725BF" w:rsidP="002C385E">
            <w:pPr>
              <w:jc w:val="both"/>
              <w:rPr>
                <w:rFonts w:eastAsia="Calibri"/>
                <w:sz w:val="20"/>
                <w:lang w:val="fr-CA"/>
              </w:rPr>
            </w:pPr>
            <w:r w:rsidRPr="000F1B6E">
              <w:rPr>
                <w:rFonts w:eastAsia="Calibri"/>
                <w:sz w:val="20"/>
                <w:lang w:val="fr-CA"/>
              </w:rPr>
              <w:t>Appel accueilli</w:t>
            </w:r>
          </w:p>
        </w:tc>
      </w:tr>
      <w:tr w:rsidR="003725BF" w:rsidRPr="000F1B6E" w:rsidTr="002C385E">
        <w:tc>
          <w:tcPr>
            <w:tcW w:w="2427" w:type="pct"/>
          </w:tcPr>
          <w:p w:rsidR="003725BF" w:rsidRPr="000F1B6E" w:rsidRDefault="003725BF" w:rsidP="002C385E">
            <w:pPr>
              <w:jc w:val="both"/>
              <w:rPr>
                <w:rFonts w:eastAsia="Calibri"/>
                <w:sz w:val="20"/>
                <w:lang w:val="fr-CA"/>
              </w:rPr>
            </w:pPr>
            <w:r w:rsidRPr="000F1B6E">
              <w:rPr>
                <w:rFonts w:eastAsia="Calibri"/>
                <w:sz w:val="20"/>
                <w:lang w:val="fr-CA"/>
              </w:rPr>
              <w:t>Le 30 septembre 2014</w:t>
            </w:r>
          </w:p>
          <w:p w:rsidR="003725BF" w:rsidRPr="000F1B6E" w:rsidRDefault="003725BF" w:rsidP="002C385E">
            <w:pPr>
              <w:jc w:val="both"/>
              <w:rPr>
                <w:rFonts w:eastAsia="Calibri"/>
                <w:sz w:val="20"/>
                <w:lang w:val="fr-CA"/>
              </w:rPr>
            </w:pPr>
            <w:r w:rsidRPr="000F1B6E">
              <w:rPr>
                <w:rFonts w:eastAsia="Calibri"/>
                <w:sz w:val="20"/>
                <w:lang w:val="fr-CA"/>
              </w:rPr>
              <w:t>Cour suprême du Canada</w:t>
            </w:r>
          </w:p>
        </w:tc>
        <w:tc>
          <w:tcPr>
            <w:tcW w:w="243" w:type="pct"/>
          </w:tcPr>
          <w:p w:rsidR="003725BF" w:rsidRPr="000F1B6E" w:rsidRDefault="003725BF" w:rsidP="002C385E">
            <w:pPr>
              <w:jc w:val="both"/>
              <w:rPr>
                <w:rFonts w:eastAsia="Calibri"/>
                <w:sz w:val="20"/>
                <w:lang w:val="fr-CA"/>
              </w:rPr>
            </w:pPr>
          </w:p>
        </w:tc>
        <w:tc>
          <w:tcPr>
            <w:tcW w:w="2330" w:type="pct"/>
          </w:tcPr>
          <w:p w:rsidR="003725BF" w:rsidRPr="000F1B6E" w:rsidRDefault="003725BF" w:rsidP="002C385E">
            <w:pPr>
              <w:jc w:val="both"/>
              <w:rPr>
                <w:rFonts w:eastAsia="Calibri"/>
                <w:sz w:val="20"/>
                <w:lang w:val="fr-CA"/>
              </w:rPr>
            </w:pPr>
            <w:r w:rsidRPr="000F1B6E">
              <w:rPr>
                <w:rFonts w:eastAsia="Calibri"/>
                <w:sz w:val="20"/>
                <w:lang w:val="fr-CA"/>
              </w:rPr>
              <w:t>Demande d'autorisation d'appel déposée</w:t>
            </w:r>
          </w:p>
        </w:tc>
      </w:tr>
    </w:tbl>
    <w:p w:rsidR="00124C37" w:rsidRDefault="00124C37" w:rsidP="00124C37">
      <w:pPr>
        <w:rPr>
          <w:sz w:val="20"/>
          <w:szCs w:val="20"/>
        </w:rPr>
      </w:pPr>
    </w:p>
    <w:p w:rsidR="00124C37" w:rsidRDefault="00E42AAB" w:rsidP="00124C37">
      <w:pPr>
        <w:rPr>
          <w:sz w:val="20"/>
          <w:szCs w:val="20"/>
        </w:rPr>
      </w:pPr>
      <w:r>
        <w:rPr>
          <w:sz w:val="20"/>
          <w:szCs w:val="20"/>
          <w:lang w:val="fr-CA"/>
        </w:rPr>
        <w:pict>
          <v:rect id="_x0000_i1080" style="width:2in;height:1pt" o:hrpct="0" o:hralign="center" o:hrstd="t" o:hrnoshade="t" o:hr="t" fillcolor="black [3213]" stroked="f"/>
        </w:pict>
      </w:r>
    </w:p>
    <w:p w:rsidR="003725BF" w:rsidRDefault="003725BF">
      <w:pPr>
        <w:rPr>
          <w:sz w:val="20"/>
          <w:szCs w:val="20"/>
        </w:rPr>
      </w:pPr>
    </w:p>
    <w:p w:rsidR="003725BF" w:rsidRDefault="003725BF">
      <w:pPr>
        <w:rPr>
          <w:sz w:val="20"/>
          <w:szCs w:val="20"/>
        </w:rPr>
      </w:pPr>
      <w:r>
        <w:rPr>
          <w:sz w:val="20"/>
          <w:szCs w:val="20"/>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03DFB" w:rsidRPr="00E7075A" w:rsidTr="00C64462">
        <w:trPr>
          <w:cantSplit/>
        </w:trPr>
        <w:tc>
          <w:tcPr>
            <w:tcW w:w="1458" w:type="dxa"/>
          </w:tcPr>
          <w:p w:rsidR="00803DFB" w:rsidRPr="00E7075A" w:rsidRDefault="00803DFB" w:rsidP="00C64462">
            <w:pPr>
              <w:rPr>
                <w:sz w:val="20"/>
                <w:szCs w:val="20"/>
              </w:rPr>
            </w:pPr>
            <w:r w:rsidRPr="00E7075A">
              <w:rPr>
                <w:rStyle w:val="SCCFileNumberChar"/>
                <w:sz w:val="20"/>
                <w:szCs w:val="20"/>
              </w:rPr>
              <w:lastRenderedPageBreak/>
              <w:t>36103</w:t>
            </w:r>
          </w:p>
          <w:p w:rsidR="00803DFB" w:rsidRPr="00E7075A" w:rsidRDefault="00803DFB" w:rsidP="00C64462">
            <w:pPr>
              <w:rPr>
                <w:b/>
                <w:sz w:val="20"/>
                <w:szCs w:val="20"/>
                <w:lang w:val="fr-CA"/>
              </w:rPr>
            </w:pPr>
          </w:p>
        </w:tc>
        <w:tc>
          <w:tcPr>
            <w:tcW w:w="8118" w:type="dxa"/>
          </w:tcPr>
          <w:p w:rsidR="00803DFB" w:rsidRPr="00E7075A" w:rsidRDefault="00803DFB" w:rsidP="00C64462">
            <w:pPr>
              <w:jc w:val="both"/>
              <w:rPr>
                <w:sz w:val="20"/>
                <w:szCs w:val="20"/>
              </w:rPr>
            </w:pPr>
            <w:r w:rsidRPr="00803DFB">
              <w:rPr>
                <w:rStyle w:val="SCCLsocChar"/>
                <w:sz w:val="20"/>
                <w:szCs w:val="20"/>
                <w:lang w:val="en-CA"/>
              </w:rPr>
              <w:t>Steven Boone v. Ministry of Community Safety and Correctional Services</w:t>
            </w:r>
            <w:r w:rsidR="00DC2609">
              <w:rPr>
                <w:rStyle w:val="SCCLsocChar"/>
                <w:sz w:val="20"/>
                <w:szCs w:val="20"/>
                <w:lang w:val="en-CA"/>
              </w:rPr>
              <w:t xml:space="preserve"> and</w:t>
            </w:r>
            <w:r w:rsidRPr="00803DFB">
              <w:rPr>
                <w:rStyle w:val="SCCLsocChar"/>
                <w:sz w:val="20"/>
                <w:szCs w:val="20"/>
                <w:lang w:val="en-CA"/>
              </w:rPr>
              <w:t xml:space="preserve"> Her Majesty the Queen</w:t>
            </w:r>
            <w:r w:rsidRPr="00E7075A">
              <w:rPr>
                <w:sz w:val="20"/>
                <w:szCs w:val="20"/>
              </w:rPr>
              <w:t xml:space="preserve"> (Ont.) (Civil) (By Leave)</w:t>
            </w:r>
          </w:p>
          <w:p w:rsidR="00803DFB" w:rsidRPr="00E7075A" w:rsidRDefault="00803DFB" w:rsidP="00C64462">
            <w:pPr>
              <w:jc w:val="both"/>
              <w:rPr>
                <w:sz w:val="20"/>
                <w:szCs w:val="20"/>
              </w:rPr>
            </w:pPr>
          </w:p>
        </w:tc>
      </w:tr>
      <w:tr w:rsidR="00803DFB" w:rsidRPr="00E7075A" w:rsidTr="00C64462">
        <w:trPr>
          <w:cantSplit/>
        </w:trPr>
        <w:tc>
          <w:tcPr>
            <w:tcW w:w="1458" w:type="dxa"/>
          </w:tcPr>
          <w:p w:rsidR="00803DFB" w:rsidRPr="00E7075A" w:rsidRDefault="00803DFB" w:rsidP="00C64462">
            <w:pPr>
              <w:rPr>
                <w:sz w:val="20"/>
                <w:szCs w:val="20"/>
              </w:rPr>
            </w:pPr>
            <w:r w:rsidRPr="00E7075A">
              <w:rPr>
                <w:sz w:val="20"/>
                <w:szCs w:val="20"/>
              </w:rPr>
              <w:t>Coram :</w:t>
            </w:r>
          </w:p>
        </w:tc>
        <w:tc>
          <w:tcPr>
            <w:tcW w:w="8118" w:type="dxa"/>
          </w:tcPr>
          <w:p w:rsidR="00803DFB" w:rsidRPr="00E7075A" w:rsidRDefault="00803DFB" w:rsidP="00C64462">
            <w:pPr>
              <w:rPr>
                <w:sz w:val="20"/>
                <w:szCs w:val="20"/>
              </w:rPr>
            </w:pPr>
            <w:r w:rsidRPr="00803DFB">
              <w:rPr>
                <w:rStyle w:val="SCCCoramChar"/>
                <w:sz w:val="20"/>
                <w:szCs w:val="20"/>
                <w:lang w:val="en-CA"/>
              </w:rPr>
              <w:t>Rothstein, Cromwell and Moldaver JJ.</w:t>
            </w:r>
          </w:p>
          <w:p w:rsidR="00803DFB" w:rsidRPr="00E7075A" w:rsidRDefault="00803DFB" w:rsidP="00C64462">
            <w:pPr>
              <w:rPr>
                <w:sz w:val="20"/>
                <w:szCs w:val="20"/>
                <w:u w:val="single"/>
              </w:rPr>
            </w:pPr>
          </w:p>
        </w:tc>
      </w:tr>
      <w:tr w:rsidR="00803DFB" w:rsidRPr="0025502E" w:rsidTr="00C64462">
        <w:trPr>
          <w:cantSplit/>
        </w:trPr>
        <w:tc>
          <w:tcPr>
            <w:tcW w:w="9576" w:type="dxa"/>
            <w:gridSpan w:val="2"/>
          </w:tcPr>
          <w:p w:rsidR="00803DFB" w:rsidRPr="00E7075A" w:rsidRDefault="00803DFB" w:rsidP="00C64462">
            <w:pPr>
              <w:pStyle w:val="SCCShortJudgment"/>
              <w:rPr>
                <w:szCs w:val="20"/>
              </w:rPr>
            </w:pPr>
            <w:r w:rsidRPr="00E7075A">
              <w:rPr>
                <w:szCs w:val="20"/>
              </w:rPr>
              <w:t>The application for leave to appeal from the judgment of the Court of Appeal for Ontario, Number C58393, 2014 ONCA 515, dated July 3, 2014, is dismissed without costs.</w:t>
            </w:r>
          </w:p>
          <w:p w:rsidR="00803DFB" w:rsidRPr="00E7075A" w:rsidRDefault="00803DFB" w:rsidP="00C64462">
            <w:pPr>
              <w:pStyle w:val="SCCShortJudgment"/>
              <w:ind w:firstLine="0"/>
              <w:rPr>
                <w:szCs w:val="20"/>
              </w:rPr>
            </w:pPr>
          </w:p>
          <w:p w:rsidR="00803DFB" w:rsidRPr="00E7075A" w:rsidRDefault="00803DFB" w:rsidP="00C64462">
            <w:pPr>
              <w:pStyle w:val="SCCShortJudgment"/>
              <w:rPr>
                <w:szCs w:val="20"/>
                <w:lang w:val="fr-CA"/>
              </w:rPr>
            </w:pPr>
            <w:r w:rsidRPr="00E7075A">
              <w:rPr>
                <w:szCs w:val="20"/>
                <w:lang w:val="fr-CA"/>
              </w:rPr>
              <w:t>La demande d’autorisation d’appel de l’arrêt de la Cour d’appel de l’Ontario, numéro C58393, 2014 ONCA 515, daté du 3 juillet 2014, est rejetée sans dépens.</w:t>
            </w:r>
          </w:p>
        </w:tc>
      </w:tr>
    </w:tbl>
    <w:p w:rsidR="00124C37" w:rsidRPr="00803DFB" w:rsidRDefault="00124C37" w:rsidP="000E2959">
      <w:pPr>
        <w:rPr>
          <w:sz w:val="20"/>
          <w:szCs w:val="20"/>
          <w:lang w:val="fr-CA"/>
        </w:rPr>
      </w:pPr>
    </w:p>
    <w:p w:rsidR="00124C37" w:rsidRPr="001B157C" w:rsidRDefault="00124C37" w:rsidP="00124C37">
      <w:pPr>
        <w:rPr>
          <w:sz w:val="20"/>
          <w:szCs w:val="20"/>
          <w:u w:val="single"/>
        </w:rPr>
      </w:pPr>
      <w:r w:rsidRPr="001B157C">
        <w:rPr>
          <w:sz w:val="20"/>
          <w:szCs w:val="20"/>
          <w:u w:val="single"/>
        </w:rPr>
        <w:t>CASE SUMMARY</w:t>
      </w:r>
    </w:p>
    <w:p w:rsidR="00124C37" w:rsidRDefault="00124C37" w:rsidP="00124C3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725BF" w:rsidRPr="000F1B6E" w:rsidTr="002C385E">
        <w:tc>
          <w:tcPr>
            <w:tcW w:w="5000" w:type="pct"/>
            <w:gridSpan w:val="3"/>
          </w:tcPr>
          <w:p w:rsidR="003725BF" w:rsidRPr="000F1B6E" w:rsidRDefault="003725BF" w:rsidP="002C385E">
            <w:pPr>
              <w:jc w:val="both"/>
              <w:rPr>
                <w:rFonts w:eastAsia="Calibri"/>
                <w:sz w:val="20"/>
              </w:rPr>
            </w:pPr>
            <w:r w:rsidRPr="000F1B6E">
              <w:rPr>
                <w:rFonts w:eastAsia="Calibri"/>
                <w:sz w:val="20"/>
              </w:rPr>
              <w:t xml:space="preserve">Administrative law — Prisons — Procedural fairness — </w:t>
            </w:r>
            <w:r w:rsidRPr="000F1B6E">
              <w:rPr>
                <w:rFonts w:eastAsia="Calibri"/>
                <w:i/>
                <w:iCs/>
                <w:sz w:val="20"/>
              </w:rPr>
              <w:t xml:space="preserve">Habeas corpus </w:t>
            </w:r>
            <w:r w:rsidRPr="000F1B6E">
              <w:rPr>
                <w:rFonts w:eastAsia="Calibri"/>
                <w:sz w:val="20"/>
              </w:rPr>
              <w:t xml:space="preserve">— </w:t>
            </w:r>
            <w:r w:rsidRPr="000F1B6E">
              <w:rPr>
                <w:rFonts w:eastAsia="Calibri"/>
                <w:i/>
                <w:sz w:val="20"/>
              </w:rPr>
              <w:t>Ministry of Correctional Services Act</w:t>
            </w:r>
            <w:r w:rsidRPr="000F1B6E">
              <w:rPr>
                <w:rFonts w:eastAsia="Calibri"/>
                <w:sz w:val="20"/>
              </w:rPr>
              <w:t>,</w:t>
            </w:r>
            <w:r w:rsidRPr="000F1B6E">
              <w:rPr>
                <w:rFonts w:eastAsia="Calibri"/>
                <w:i/>
                <w:sz w:val="20"/>
              </w:rPr>
              <w:t xml:space="preserve"> </w:t>
            </w:r>
            <w:r w:rsidRPr="000F1B6E">
              <w:rPr>
                <w:rFonts w:eastAsia="Calibri"/>
                <w:sz w:val="20"/>
              </w:rPr>
              <w:t xml:space="preserve">R.R.O. 1990, Reg. 778 — Prior to placing a prisoner in segregation due to the risk of transmitting HIV, do correctional authorities have a duty to consult with medical staff and assess the individual’s degree of infectiousness? — What rights to procedural fairness does a prisoner have in respect of segregation decisions and reviews? — When can court overlook procedural fairness violations in the context of a </w:t>
            </w:r>
            <w:r w:rsidRPr="000F1B6E">
              <w:rPr>
                <w:rFonts w:eastAsia="Calibri"/>
                <w:i/>
                <w:sz w:val="20"/>
              </w:rPr>
              <w:t>habeas corpus</w:t>
            </w:r>
            <w:r w:rsidRPr="000F1B6E">
              <w:rPr>
                <w:rFonts w:eastAsia="Calibri"/>
                <w:sz w:val="20"/>
              </w:rPr>
              <w:t xml:space="preserve"> application brought by an inmate held in segregation? — Regulation 778, R.R.O. 1990, s. 34.</w:t>
            </w:r>
          </w:p>
          <w:p w:rsidR="003725BF" w:rsidRPr="000F1B6E" w:rsidRDefault="003725BF" w:rsidP="002C385E">
            <w:pPr>
              <w:jc w:val="both"/>
              <w:rPr>
                <w:rFonts w:eastAsia="Calibri"/>
                <w:sz w:val="20"/>
              </w:rPr>
            </w:pPr>
          </w:p>
        </w:tc>
      </w:tr>
      <w:tr w:rsidR="003725BF" w:rsidRPr="000F1B6E" w:rsidTr="002C385E">
        <w:tc>
          <w:tcPr>
            <w:tcW w:w="5000" w:type="pct"/>
            <w:gridSpan w:val="3"/>
          </w:tcPr>
          <w:p w:rsidR="003725BF" w:rsidRPr="000F1B6E" w:rsidRDefault="003725BF" w:rsidP="002C385E">
            <w:pPr>
              <w:jc w:val="both"/>
              <w:rPr>
                <w:rFonts w:eastAsia="Calibri"/>
                <w:sz w:val="20"/>
              </w:rPr>
            </w:pPr>
            <w:r w:rsidRPr="000F1B6E">
              <w:rPr>
                <w:rFonts w:eastAsia="Calibri"/>
                <w:sz w:val="20"/>
              </w:rPr>
              <w:t xml:space="preserve">The applicant is incarcerated at the Ottawa Carleton Detention Centre while he waits sentencing on attempted murder and other convictions.  He has been held in segregation since the end of May 2013, and has brought an application for </w:t>
            </w:r>
            <w:r w:rsidRPr="000F1B6E">
              <w:rPr>
                <w:rFonts w:eastAsia="Calibri"/>
                <w:i/>
                <w:sz w:val="20"/>
              </w:rPr>
              <w:t>habeas corpus</w:t>
            </w:r>
            <w:r w:rsidRPr="000F1B6E">
              <w:rPr>
                <w:rFonts w:eastAsia="Calibri"/>
                <w:sz w:val="20"/>
              </w:rPr>
              <w:t xml:space="preserve"> asking to be placed in the general prison population with a cellmate.  The institution justified the segregation on the basis that the applicant, who is HIV positive, posed a security risk.  The application judge found that the applicant had been denied procedural fairness in the manner in which the segregation was established and maintained, but denied the remedy sought, and ordered the Superintendent to continue to offer the proposals.  The Court of Appeal dismissed the appeal. </w:t>
            </w:r>
          </w:p>
          <w:p w:rsidR="003725BF" w:rsidRPr="000F1B6E" w:rsidRDefault="003725BF" w:rsidP="002C385E">
            <w:pPr>
              <w:jc w:val="both"/>
              <w:rPr>
                <w:rFonts w:eastAsia="Calibri"/>
                <w:sz w:val="20"/>
              </w:rPr>
            </w:pPr>
          </w:p>
        </w:tc>
      </w:tr>
      <w:tr w:rsidR="003725BF" w:rsidRPr="000F1B6E" w:rsidTr="002C385E">
        <w:tc>
          <w:tcPr>
            <w:tcW w:w="2427" w:type="pct"/>
          </w:tcPr>
          <w:p w:rsidR="003725BF" w:rsidRPr="000F1B6E" w:rsidRDefault="003725BF" w:rsidP="002C385E">
            <w:pPr>
              <w:jc w:val="both"/>
              <w:rPr>
                <w:rFonts w:eastAsia="Calibri"/>
                <w:sz w:val="20"/>
              </w:rPr>
            </w:pPr>
            <w:r w:rsidRPr="000F1B6E">
              <w:rPr>
                <w:rFonts w:eastAsia="Calibri"/>
                <w:sz w:val="20"/>
              </w:rPr>
              <w:t>January 16, 2014</w:t>
            </w:r>
          </w:p>
          <w:p w:rsidR="003725BF" w:rsidRPr="000F1B6E" w:rsidRDefault="003725BF" w:rsidP="002C385E">
            <w:pPr>
              <w:jc w:val="both"/>
              <w:rPr>
                <w:rFonts w:eastAsia="Calibri"/>
                <w:sz w:val="20"/>
              </w:rPr>
            </w:pPr>
            <w:r w:rsidRPr="000F1B6E">
              <w:rPr>
                <w:rFonts w:eastAsia="Calibri"/>
                <w:sz w:val="20"/>
              </w:rPr>
              <w:t>Ontario Superior Court of Justice</w:t>
            </w:r>
          </w:p>
          <w:p w:rsidR="003725BF" w:rsidRPr="000F1B6E" w:rsidRDefault="003725BF" w:rsidP="002C385E">
            <w:pPr>
              <w:jc w:val="both"/>
              <w:rPr>
                <w:rFonts w:eastAsia="Calibri"/>
                <w:sz w:val="20"/>
              </w:rPr>
            </w:pPr>
            <w:r w:rsidRPr="000F1B6E">
              <w:rPr>
                <w:rFonts w:eastAsia="Calibri"/>
                <w:sz w:val="20"/>
              </w:rPr>
              <w:t>(Smith J.)</w:t>
            </w:r>
          </w:p>
          <w:p w:rsidR="003725BF" w:rsidRPr="000F1B6E" w:rsidRDefault="003725BF" w:rsidP="002C385E">
            <w:pPr>
              <w:jc w:val="both"/>
              <w:rPr>
                <w:rFonts w:eastAsia="Calibri"/>
                <w:sz w:val="20"/>
              </w:rPr>
            </w:pPr>
            <w:r w:rsidRPr="000F1B6E">
              <w:rPr>
                <w:rFonts w:eastAsia="Calibri"/>
                <w:sz w:val="20"/>
              </w:rPr>
              <w:t xml:space="preserve">Neutral citation: </w:t>
            </w:r>
            <w:hyperlink r:id="rId98" w:history="1">
              <w:r w:rsidRPr="000F1B6E">
                <w:rPr>
                  <w:rFonts w:eastAsia="Calibri"/>
                  <w:color w:val="0000FF"/>
                  <w:sz w:val="20"/>
                  <w:u w:val="single"/>
                </w:rPr>
                <w:t>2014 ONSC 370</w:t>
              </w:r>
            </w:hyperlink>
          </w:p>
          <w:p w:rsidR="003725BF" w:rsidRPr="000F1B6E" w:rsidRDefault="003725BF" w:rsidP="002C385E">
            <w:pPr>
              <w:jc w:val="both"/>
              <w:rPr>
                <w:rFonts w:eastAsia="Calibri"/>
                <w:sz w:val="20"/>
              </w:rPr>
            </w:pPr>
          </w:p>
        </w:tc>
        <w:tc>
          <w:tcPr>
            <w:tcW w:w="243" w:type="pct"/>
          </w:tcPr>
          <w:p w:rsidR="003725BF" w:rsidRPr="000F1B6E" w:rsidRDefault="003725BF" w:rsidP="002C385E">
            <w:pPr>
              <w:jc w:val="both"/>
              <w:rPr>
                <w:rFonts w:eastAsia="Calibri"/>
                <w:sz w:val="20"/>
              </w:rPr>
            </w:pPr>
          </w:p>
        </w:tc>
        <w:tc>
          <w:tcPr>
            <w:tcW w:w="2330" w:type="pct"/>
          </w:tcPr>
          <w:p w:rsidR="003725BF" w:rsidRPr="000F1B6E" w:rsidRDefault="003725BF" w:rsidP="002C385E">
            <w:pPr>
              <w:jc w:val="both"/>
              <w:rPr>
                <w:rFonts w:eastAsia="Calibri"/>
                <w:sz w:val="20"/>
              </w:rPr>
            </w:pPr>
            <w:r w:rsidRPr="000F1B6E">
              <w:rPr>
                <w:rFonts w:eastAsia="Calibri"/>
                <w:sz w:val="20"/>
              </w:rPr>
              <w:t xml:space="preserve">Application for </w:t>
            </w:r>
            <w:r w:rsidRPr="000F1B6E">
              <w:rPr>
                <w:rFonts w:eastAsia="Calibri"/>
                <w:i/>
                <w:sz w:val="20"/>
              </w:rPr>
              <w:t xml:space="preserve">habeas corpus </w:t>
            </w:r>
            <w:r w:rsidRPr="000F1B6E">
              <w:rPr>
                <w:rFonts w:eastAsia="Calibri"/>
                <w:sz w:val="20"/>
              </w:rPr>
              <w:t>dismissed</w:t>
            </w:r>
          </w:p>
          <w:p w:rsidR="003725BF" w:rsidRPr="000F1B6E" w:rsidRDefault="003725BF" w:rsidP="002C385E">
            <w:pPr>
              <w:jc w:val="both"/>
              <w:rPr>
                <w:rFonts w:eastAsia="Calibri"/>
                <w:sz w:val="20"/>
              </w:rPr>
            </w:pPr>
          </w:p>
        </w:tc>
      </w:tr>
      <w:tr w:rsidR="003725BF" w:rsidRPr="000F1B6E" w:rsidTr="002C385E">
        <w:tc>
          <w:tcPr>
            <w:tcW w:w="2427" w:type="pct"/>
          </w:tcPr>
          <w:p w:rsidR="003725BF" w:rsidRPr="000F1B6E" w:rsidRDefault="003725BF" w:rsidP="002C385E">
            <w:pPr>
              <w:jc w:val="both"/>
              <w:rPr>
                <w:rFonts w:eastAsia="Calibri"/>
                <w:sz w:val="20"/>
              </w:rPr>
            </w:pPr>
            <w:r w:rsidRPr="000F1B6E">
              <w:rPr>
                <w:rFonts w:eastAsia="Calibri"/>
                <w:sz w:val="20"/>
              </w:rPr>
              <w:t>July 3, 2014</w:t>
            </w:r>
          </w:p>
          <w:p w:rsidR="003725BF" w:rsidRPr="000F1B6E" w:rsidRDefault="003725BF" w:rsidP="002C385E">
            <w:pPr>
              <w:jc w:val="both"/>
              <w:rPr>
                <w:rFonts w:eastAsia="Calibri"/>
                <w:sz w:val="20"/>
              </w:rPr>
            </w:pPr>
            <w:r w:rsidRPr="000F1B6E">
              <w:rPr>
                <w:rFonts w:eastAsia="Calibri"/>
                <w:sz w:val="20"/>
              </w:rPr>
              <w:t>Court of Appeal for Ontario</w:t>
            </w:r>
          </w:p>
          <w:p w:rsidR="003725BF" w:rsidRPr="000F1B6E" w:rsidRDefault="003725BF" w:rsidP="002C385E">
            <w:pPr>
              <w:jc w:val="both"/>
              <w:rPr>
                <w:rFonts w:eastAsia="Calibri"/>
                <w:sz w:val="20"/>
              </w:rPr>
            </w:pPr>
            <w:r w:rsidRPr="000F1B6E">
              <w:rPr>
                <w:rFonts w:eastAsia="Calibri"/>
                <w:sz w:val="20"/>
              </w:rPr>
              <w:t>(MacPherson, Blair and Pepall JJ.A.)</w:t>
            </w:r>
          </w:p>
          <w:p w:rsidR="003725BF" w:rsidRPr="000F1B6E" w:rsidRDefault="003725BF" w:rsidP="002C385E">
            <w:pPr>
              <w:jc w:val="both"/>
              <w:rPr>
                <w:rFonts w:eastAsia="Calibri"/>
                <w:sz w:val="20"/>
              </w:rPr>
            </w:pPr>
            <w:r w:rsidRPr="000F1B6E">
              <w:rPr>
                <w:rFonts w:eastAsia="Calibri"/>
                <w:sz w:val="20"/>
              </w:rPr>
              <w:t xml:space="preserve">Neutral citation: </w:t>
            </w:r>
            <w:hyperlink r:id="rId99" w:history="1">
              <w:r w:rsidRPr="000F1B6E">
                <w:rPr>
                  <w:rFonts w:eastAsia="Calibri"/>
                  <w:color w:val="0000FF"/>
                  <w:sz w:val="20"/>
                  <w:u w:val="single"/>
                </w:rPr>
                <w:t>2014 ONCA 515</w:t>
              </w:r>
            </w:hyperlink>
          </w:p>
          <w:p w:rsidR="003725BF" w:rsidRPr="000F1B6E" w:rsidRDefault="003725BF" w:rsidP="002C385E">
            <w:pPr>
              <w:jc w:val="both"/>
              <w:rPr>
                <w:rFonts w:eastAsia="Calibri"/>
                <w:sz w:val="20"/>
              </w:rPr>
            </w:pPr>
          </w:p>
        </w:tc>
        <w:tc>
          <w:tcPr>
            <w:tcW w:w="243" w:type="pct"/>
          </w:tcPr>
          <w:p w:rsidR="003725BF" w:rsidRPr="000F1B6E" w:rsidRDefault="003725BF" w:rsidP="002C385E">
            <w:pPr>
              <w:jc w:val="both"/>
              <w:rPr>
                <w:rFonts w:eastAsia="Calibri"/>
                <w:sz w:val="20"/>
              </w:rPr>
            </w:pPr>
          </w:p>
        </w:tc>
        <w:tc>
          <w:tcPr>
            <w:tcW w:w="2330" w:type="pct"/>
          </w:tcPr>
          <w:p w:rsidR="003725BF" w:rsidRPr="000F1B6E" w:rsidRDefault="003725BF" w:rsidP="002C385E">
            <w:pPr>
              <w:jc w:val="both"/>
              <w:rPr>
                <w:rFonts w:eastAsia="Calibri"/>
                <w:sz w:val="20"/>
              </w:rPr>
            </w:pPr>
            <w:r w:rsidRPr="000F1B6E">
              <w:rPr>
                <w:rFonts w:eastAsia="Calibri"/>
                <w:sz w:val="20"/>
              </w:rPr>
              <w:t>Appeal dismissed</w:t>
            </w:r>
          </w:p>
          <w:p w:rsidR="003725BF" w:rsidRPr="000F1B6E" w:rsidRDefault="003725BF" w:rsidP="002C385E">
            <w:pPr>
              <w:jc w:val="both"/>
              <w:rPr>
                <w:rFonts w:eastAsia="Calibri"/>
                <w:sz w:val="20"/>
              </w:rPr>
            </w:pPr>
          </w:p>
        </w:tc>
      </w:tr>
      <w:tr w:rsidR="003725BF" w:rsidRPr="000F1B6E" w:rsidTr="002C385E">
        <w:tc>
          <w:tcPr>
            <w:tcW w:w="2427" w:type="pct"/>
          </w:tcPr>
          <w:p w:rsidR="003725BF" w:rsidRPr="000F1B6E" w:rsidRDefault="003725BF" w:rsidP="002C385E">
            <w:pPr>
              <w:jc w:val="both"/>
              <w:rPr>
                <w:rFonts w:eastAsia="Calibri"/>
                <w:sz w:val="20"/>
              </w:rPr>
            </w:pPr>
            <w:r w:rsidRPr="000F1B6E">
              <w:rPr>
                <w:rFonts w:eastAsia="Calibri"/>
                <w:sz w:val="20"/>
              </w:rPr>
              <w:t>September 29, 2014</w:t>
            </w:r>
          </w:p>
          <w:p w:rsidR="003725BF" w:rsidRPr="000F1B6E" w:rsidRDefault="003725BF" w:rsidP="002C385E">
            <w:pPr>
              <w:jc w:val="both"/>
              <w:rPr>
                <w:rFonts w:eastAsia="Calibri"/>
                <w:sz w:val="20"/>
              </w:rPr>
            </w:pPr>
            <w:r w:rsidRPr="000F1B6E">
              <w:rPr>
                <w:rFonts w:eastAsia="Calibri"/>
                <w:sz w:val="20"/>
              </w:rPr>
              <w:t>Supreme Court of Canada</w:t>
            </w:r>
          </w:p>
        </w:tc>
        <w:tc>
          <w:tcPr>
            <w:tcW w:w="243" w:type="pct"/>
          </w:tcPr>
          <w:p w:rsidR="003725BF" w:rsidRPr="000F1B6E" w:rsidRDefault="003725BF" w:rsidP="002C385E">
            <w:pPr>
              <w:jc w:val="both"/>
              <w:rPr>
                <w:rFonts w:eastAsia="Calibri"/>
                <w:sz w:val="20"/>
              </w:rPr>
            </w:pPr>
          </w:p>
        </w:tc>
        <w:tc>
          <w:tcPr>
            <w:tcW w:w="2330" w:type="pct"/>
          </w:tcPr>
          <w:p w:rsidR="003725BF" w:rsidRPr="000F1B6E" w:rsidRDefault="003725BF" w:rsidP="002C385E">
            <w:pPr>
              <w:jc w:val="both"/>
              <w:rPr>
                <w:rFonts w:eastAsia="Calibri"/>
                <w:sz w:val="20"/>
              </w:rPr>
            </w:pPr>
            <w:r w:rsidRPr="000F1B6E">
              <w:rPr>
                <w:rFonts w:eastAsia="Calibri"/>
                <w:sz w:val="20"/>
              </w:rPr>
              <w:t>Application for leave to appeal filed</w:t>
            </w:r>
          </w:p>
          <w:p w:rsidR="003725BF" w:rsidRPr="000F1B6E" w:rsidRDefault="003725BF" w:rsidP="002C385E">
            <w:pPr>
              <w:jc w:val="both"/>
              <w:rPr>
                <w:rFonts w:eastAsia="Calibri"/>
                <w:sz w:val="20"/>
              </w:rPr>
            </w:pPr>
          </w:p>
        </w:tc>
      </w:tr>
    </w:tbl>
    <w:p w:rsidR="00124C37" w:rsidRPr="003725BF" w:rsidRDefault="00124C37" w:rsidP="00124C37">
      <w:pPr>
        <w:rPr>
          <w:sz w:val="20"/>
          <w:szCs w:val="20"/>
        </w:rPr>
      </w:pPr>
    </w:p>
    <w:p w:rsidR="00124C37" w:rsidRPr="00C50A5C" w:rsidRDefault="00E42AAB" w:rsidP="00124C37">
      <w:pPr>
        <w:rPr>
          <w:sz w:val="20"/>
          <w:szCs w:val="20"/>
        </w:rPr>
      </w:pPr>
      <w:r>
        <w:rPr>
          <w:sz w:val="20"/>
          <w:szCs w:val="20"/>
          <w:lang w:val="fr-CA"/>
        </w:rPr>
        <w:pict>
          <v:rect id="_x0000_i1081" style="width:2in;height:1pt" o:hrpct="0" o:hralign="center" o:hrstd="t" o:hrnoshade="t" o:hr="t" fillcolor="black [3213]" stroked="f"/>
        </w:pict>
      </w:r>
    </w:p>
    <w:p w:rsidR="00124C37" w:rsidRDefault="00124C37" w:rsidP="00124C37">
      <w:pPr>
        <w:rPr>
          <w:sz w:val="20"/>
          <w:szCs w:val="20"/>
        </w:rPr>
      </w:pPr>
    </w:p>
    <w:p w:rsidR="00124C37" w:rsidRPr="001B157C" w:rsidRDefault="00124C37" w:rsidP="00124C37">
      <w:pPr>
        <w:rPr>
          <w:sz w:val="20"/>
          <w:szCs w:val="20"/>
          <w:u w:val="single"/>
          <w:lang w:val="fr-CA"/>
        </w:rPr>
      </w:pPr>
      <w:r w:rsidRPr="001B157C">
        <w:rPr>
          <w:sz w:val="20"/>
          <w:szCs w:val="20"/>
          <w:u w:val="single"/>
          <w:lang w:val="fr-CA"/>
        </w:rPr>
        <w:t>RÉSUMÉ DE L’AFFAIRE</w:t>
      </w:r>
    </w:p>
    <w:p w:rsidR="00124C37" w:rsidRDefault="00124C37" w:rsidP="00124C3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725BF" w:rsidRPr="0025502E" w:rsidTr="002C385E">
        <w:tc>
          <w:tcPr>
            <w:tcW w:w="5000" w:type="pct"/>
            <w:gridSpan w:val="3"/>
          </w:tcPr>
          <w:p w:rsidR="003725BF" w:rsidRPr="000F1B6E" w:rsidRDefault="003725BF" w:rsidP="002C385E">
            <w:pPr>
              <w:jc w:val="both"/>
              <w:rPr>
                <w:rFonts w:eastAsia="Calibri"/>
                <w:sz w:val="20"/>
                <w:lang w:val="fr-CA"/>
              </w:rPr>
            </w:pPr>
            <w:r w:rsidRPr="000F1B6E">
              <w:rPr>
                <w:rFonts w:eastAsia="Calibri"/>
                <w:sz w:val="20"/>
                <w:lang w:val="fr-CA"/>
              </w:rPr>
              <w:lastRenderedPageBreak/>
              <w:t xml:space="preserve">Droit administratif — Prisons — Équité procédurale — </w:t>
            </w:r>
            <w:r w:rsidRPr="000F1B6E">
              <w:rPr>
                <w:rFonts w:eastAsia="Calibri"/>
                <w:i/>
                <w:iCs/>
                <w:sz w:val="20"/>
                <w:lang w:val="fr-CA"/>
              </w:rPr>
              <w:t xml:space="preserve">Habeas corpus </w:t>
            </w:r>
            <w:r w:rsidRPr="000F1B6E">
              <w:rPr>
                <w:rFonts w:eastAsia="Calibri"/>
                <w:sz w:val="20"/>
                <w:lang w:val="fr-CA"/>
              </w:rPr>
              <w:t xml:space="preserve">— </w:t>
            </w:r>
            <w:r w:rsidRPr="000F1B6E">
              <w:rPr>
                <w:rFonts w:eastAsia="Calibri"/>
                <w:i/>
                <w:sz w:val="20"/>
                <w:lang w:val="fr-CA"/>
              </w:rPr>
              <w:t>Loi sur le ministère des Services correctionnels</w:t>
            </w:r>
            <w:r w:rsidRPr="000F1B6E">
              <w:rPr>
                <w:rFonts w:eastAsia="Calibri"/>
                <w:sz w:val="20"/>
                <w:lang w:val="fr-CA"/>
              </w:rPr>
              <w:t>, L.R.O. 1990, Règl. 778 — Les autorités correctionnelles ont-elles l’obligation de consulter le personnel médical et de faire évaluer le degré d’infectiosité d’un prisonnier avant de le placer en isolement à cause du risque de transmission du VIH? — Quel est le droit d’un prisonnier à l’équité procédurale concernant les décisions et contrôles en matière d’isolement? — Quand le tribunal peut-il faire abstraction des entorses à l’équité procédurale dans le contexte d’une demande d’</w:t>
            </w:r>
            <w:r w:rsidRPr="000F1B6E">
              <w:rPr>
                <w:rFonts w:eastAsia="Calibri"/>
                <w:i/>
                <w:sz w:val="20"/>
                <w:lang w:val="fr-CA"/>
              </w:rPr>
              <w:t>habeas corpus</w:t>
            </w:r>
            <w:r w:rsidRPr="000F1B6E">
              <w:rPr>
                <w:rFonts w:eastAsia="Calibri"/>
                <w:sz w:val="20"/>
                <w:lang w:val="fr-CA"/>
              </w:rPr>
              <w:t xml:space="preserve"> présentée par un détenu placé en isolement? — </w:t>
            </w:r>
            <w:r w:rsidRPr="000F1B6E">
              <w:rPr>
                <w:rFonts w:eastAsia="Calibri"/>
                <w:i/>
                <w:sz w:val="20"/>
                <w:lang w:val="fr-CA"/>
              </w:rPr>
              <w:t>Règlement</w:t>
            </w:r>
            <w:r w:rsidRPr="000F1B6E">
              <w:rPr>
                <w:rFonts w:eastAsia="Calibri"/>
                <w:sz w:val="20"/>
                <w:lang w:val="fr-CA"/>
              </w:rPr>
              <w:t xml:space="preserve"> </w:t>
            </w:r>
            <w:r w:rsidRPr="000F1B6E">
              <w:rPr>
                <w:rFonts w:eastAsia="Calibri"/>
                <w:i/>
                <w:sz w:val="20"/>
                <w:lang w:val="fr-CA"/>
              </w:rPr>
              <w:t>778</w:t>
            </w:r>
            <w:r w:rsidRPr="000F1B6E">
              <w:rPr>
                <w:rFonts w:eastAsia="Calibri"/>
                <w:sz w:val="20"/>
                <w:lang w:val="fr-CA"/>
              </w:rPr>
              <w:t>, R.R.O. 1990, art. 34.</w:t>
            </w:r>
          </w:p>
          <w:p w:rsidR="003725BF" w:rsidRPr="000F1B6E" w:rsidRDefault="003725BF" w:rsidP="002C385E">
            <w:pPr>
              <w:jc w:val="both"/>
              <w:rPr>
                <w:rFonts w:eastAsia="Calibri"/>
                <w:sz w:val="20"/>
                <w:lang w:val="fr-CA"/>
              </w:rPr>
            </w:pPr>
          </w:p>
        </w:tc>
      </w:tr>
      <w:tr w:rsidR="003725BF" w:rsidRPr="000F1B6E" w:rsidTr="002C385E">
        <w:tc>
          <w:tcPr>
            <w:tcW w:w="5000" w:type="pct"/>
            <w:gridSpan w:val="3"/>
          </w:tcPr>
          <w:p w:rsidR="003725BF" w:rsidRPr="000F1B6E" w:rsidRDefault="003725BF" w:rsidP="002C385E">
            <w:pPr>
              <w:jc w:val="both"/>
              <w:rPr>
                <w:rFonts w:eastAsia="Calibri"/>
                <w:sz w:val="20"/>
                <w:lang w:val="fr-CA"/>
              </w:rPr>
            </w:pPr>
            <w:r w:rsidRPr="000F1B6E">
              <w:rPr>
                <w:rFonts w:eastAsia="Calibri"/>
                <w:sz w:val="20"/>
                <w:lang w:val="fr-CA"/>
              </w:rPr>
              <w:t>Le demandeur est incarcéré au Centre de détention d’Ottawa-Carleton en attendant sa sentence pour tentative de meurtre et d’autres infractions dont il a été déclaré coupable.  Il est en isolement depuis la fin mai 2013 et il a présenté une demande d’</w:t>
            </w:r>
            <w:r w:rsidRPr="000F1B6E">
              <w:rPr>
                <w:rFonts w:eastAsia="Calibri"/>
                <w:i/>
                <w:sz w:val="20"/>
                <w:lang w:val="fr-CA"/>
              </w:rPr>
              <w:t>habeas corpus</w:t>
            </w:r>
            <w:r w:rsidRPr="000F1B6E">
              <w:rPr>
                <w:rFonts w:eastAsia="Calibri"/>
                <w:sz w:val="20"/>
                <w:lang w:val="fr-CA"/>
              </w:rPr>
              <w:t xml:space="preserve"> en vue d’être réuni avec ses pairs et d’avoir un compagnon de cellule.  L’institution a justifié l’isolement en soutenant que le demandeur, séropositif, constitue un danger pour la sécurité.  Le juge saisi de la demande a conclu que le demandeur n’avait pas bénéficié de l’équité procédurale compte tenu de la manière dont l’isolement avait été décrété et maintenu, mais il lui a refusé la réparation sollicitée et ordonné au surintendant de continuer à offrir les propositions.  La Cour d’appel a rejeté l’appel. </w:t>
            </w:r>
          </w:p>
          <w:p w:rsidR="003725BF" w:rsidRPr="000F1B6E" w:rsidRDefault="003725BF" w:rsidP="002C385E">
            <w:pPr>
              <w:jc w:val="both"/>
              <w:rPr>
                <w:rFonts w:eastAsia="Calibri"/>
                <w:sz w:val="20"/>
                <w:lang w:val="fr-CA"/>
              </w:rPr>
            </w:pPr>
          </w:p>
        </w:tc>
      </w:tr>
      <w:tr w:rsidR="003725BF" w:rsidRPr="0025502E" w:rsidTr="002C385E">
        <w:tc>
          <w:tcPr>
            <w:tcW w:w="2427" w:type="pct"/>
          </w:tcPr>
          <w:p w:rsidR="003725BF" w:rsidRPr="000F1B6E" w:rsidRDefault="003725BF" w:rsidP="002C385E">
            <w:pPr>
              <w:jc w:val="both"/>
              <w:rPr>
                <w:rFonts w:eastAsia="Calibri"/>
                <w:sz w:val="20"/>
                <w:lang w:val="fr-CA"/>
              </w:rPr>
            </w:pPr>
            <w:r w:rsidRPr="000F1B6E">
              <w:rPr>
                <w:rFonts w:eastAsia="Calibri"/>
                <w:sz w:val="20"/>
                <w:lang w:val="fr-CA"/>
              </w:rPr>
              <w:t>16 janvier 2014</w:t>
            </w:r>
          </w:p>
          <w:p w:rsidR="003725BF" w:rsidRPr="000F1B6E" w:rsidRDefault="003725BF" w:rsidP="002C385E">
            <w:pPr>
              <w:jc w:val="both"/>
              <w:rPr>
                <w:rFonts w:eastAsia="Calibri"/>
                <w:sz w:val="20"/>
                <w:lang w:val="fr-CA"/>
              </w:rPr>
            </w:pPr>
            <w:r w:rsidRPr="000F1B6E">
              <w:rPr>
                <w:rFonts w:eastAsia="Calibri"/>
                <w:sz w:val="20"/>
                <w:lang w:val="fr-CA"/>
              </w:rPr>
              <w:t xml:space="preserve">Cour supérieure de justice de l’Ontario </w:t>
            </w:r>
          </w:p>
          <w:p w:rsidR="003725BF" w:rsidRPr="000F1B6E" w:rsidRDefault="003725BF" w:rsidP="002C385E">
            <w:pPr>
              <w:jc w:val="both"/>
              <w:rPr>
                <w:rFonts w:eastAsia="Calibri"/>
                <w:sz w:val="20"/>
                <w:lang w:val="fr-CA"/>
              </w:rPr>
            </w:pPr>
            <w:r w:rsidRPr="000F1B6E">
              <w:rPr>
                <w:rFonts w:eastAsia="Calibri"/>
                <w:sz w:val="20"/>
                <w:lang w:val="fr-CA"/>
              </w:rPr>
              <w:t>(Juge Smith)</w:t>
            </w:r>
          </w:p>
          <w:p w:rsidR="003725BF" w:rsidRPr="000F1B6E" w:rsidRDefault="003725BF" w:rsidP="002C385E">
            <w:pPr>
              <w:jc w:val="both"/>
              <w:rPr>
                <w:rFonts w:eastAsia="Calibri"/>
                <w:sz w:val="20"/>
                <w:lang w:val="fr-CA"/>
              </w:rPr>
            </w:pPr>
            <w:r w:rsidRPr="000F1B6E">
              <w:rPr>
                <w:rFonts w:eastAsia="Calibri"/>
                <w:sz w:val="20"/>
                <w:lang w:val="fr-CA"/>
              </w:rPr>
              <w:t xml:space="preserve">Référence neutre : </w:t>
            </w:r>
            <w:hyperlink r:id="rId100" w:history="1">
              <w:r w:rsidRPr="000F1B6E">
                <w:rPr>
                  <w:rFonts w:eastAsia="Calibri"/>
                  <w:color w:val="0000FF"/>
                  <w:sz w:val="20"/>
                  <w:u w:val="single"/>
                  <w:lang w:val="fr-CA"/>
                </w:rPr>
                <w:t>2014 ONSC 370</w:t>
              </w:r>
            </w:hyperlink>
          </w:p>
          <w:p w:rsidR="003725BF" w:rsidRPr="000F1B6E" w:rsidRDefault="003725BF" w:rsidP="002C385E">
            <w:pPr>
              <w:jc w:val="both"/>
              <w:rPr>
                <w:rFonts w:eastAsia="Calibri"/>
                <w:sz w:val="20"/>
                <w:lang w:val="fr-CA"/>
              </w:rPr>
            </w:pPr>
          </w:p>
        </w:tc>
        <w:tc>
          <w:tcPr>
            <w:tcW w:w="243" w:type="pct"/>
          </w:tcPr>
          <w:p w:rsidR="003725BF" w:rsidRPr="000F1B6E" w:rsidRDefault="003725BF" w:rsidP="002C385E">
            <w:pPr>
              <w:jc w:val="both"/>
              <w:rPr>
                <w:rFonts w:eastAsia="Calibri"/>
                <w:sz w:val="20"/>
                <w:lang w:val="fr-CA"/>
              </w:rPr>
            </w:pPr>
          </w:p>
        </w:tc>
        <w:tc>
          <w:tcPr>
            <w:tcW w:w="2330" w:type="pct"/>
          </w:tcPr>
          <w:p w:rsidR="003725BF" w:rsidRPr="000F1B6E" w:rsidRDefault="003725BF" w:rsidP="002C385E">
            <w:pPr>
              <w:jc w:val="both"/>
              <w:rPr>
                <w:rFonts w:eastAsia="Calibri"/>
                <w:sz w:val="20"/>
                <w:lang w:val="fr-CA"/>
              </w:rPr>
            </w:pPr>
            <w:r w:rsidRPr="000F1B6E">
              <w:rPr>
                <w:rFonts w:eastAsia="Calibri"/>
                <w:sz w:val="20"/>
                <w:lang w:val="fr-CA"/>
              </w:rPr>
              <w:t>Rejet de la demande d’</w:t>
            </w:r>
            <w:r w:rsidRPr="000F1B6E">
              <w:rPr>
                <w:rFonts w:eastAsia="Calibri"/>
                <w:i/>
                <w:sz w:val="20"/>
                <w:lang w:val="fr-CA"/>
              </w:rPr>
              <w:t xml:space="preserve">habeas corpus </w:t>
            </w:r>
          </w:p>
          <w:p w:rsidR="003725BF" w:rsidRPr="000F1B6E" w:rsidRDefault="003725BF" w:rsidP="002C385E">
            <w:pPr>
              <w:jc w:val="both"/>
              <w:rPr>
                <w:rFonts w:eastAsia="Calibri"/>
                <w:sz w:val="20"/>
                <w:lang w:val="fr-CA"/>
              </w:rPr>
            </w:pPr>
          </w:p>
        </w:tc>
      </w:tr>
      <w:tr w:rsidR="003725BF" w:rsidRPr="000F1B6E" w:rsidTr="002C385E">
        <w:tc>
          <w:tcPr>
            <w:tcW w:w="2427" w:type="pct"/>
          </w:tcPr>
          <w:p w:rsidR="003725BF" w:rsidRPr="000F1B6E" w:rsidRDefault="003725BF" w:rsidP="002C385E">
            <w:pPr>
              <w:jc w:val="both"/>
              <w:rPr>
                <w:rFonts w:eastAsia="Calibri"/>
                <w:sz w:val="20"/>
                <w:lang w:val="fr-CA"/>
              </w:rPr>
            </w:pPr>
            <w:r w:rsidRPr="000F1B6E">
              <w:rPr>
                <w:rFonts w:eastAsia="Calibri"/>
                <w:sz w:val="20"/>
                <w:lang w:val="fr-CA"/>
              </w:rPr>
              <w:t>3 juillet 2014</w:t>
            </w:r>
          </w:p>
          <w:p w:rsidR="003725BF" w:rsidRPr="000F1B6E" w:rsidRDefault="003725BF" w:rsidP="002C385E">
            <w:pPr>
              <w:jc w:val="both"/>
              <w:rPr>
                <w:rFonts w:eastAsia="Calibri"/>
                <w:sz w:val="20"/>
                <w:lang w:val="fr-CA"/>
              </w:rPr>
            </w:pPr>
            <w:r w:rsidRPr="000F1B6E">
              <w:rPr>
                <w:rFonts w:eastAsia="Calibri"/>
                <w:sz w:val="20"/>
                <w:lang w:val="fr-CA"/>
              </w:rPr>
              <w:t>Cour d’appel de l’Ontario</w:t>
            </w:r>
          </w:p>
          <w:p w:rsidR="003725BF" w:rsidRPr="000F1B6E" w:rsidRDefault="003725BF" w:rsidP="002C385E">
            <w:pPr>
              <w:jc w:val="both"/>
              <w:rPr>
                <w:rFonts w:eastAsia="Calibri"/>
                <w:sz w:val="20"/>
                <w:lang w:val="fr-CA"/>
              </w:rPr>
            </w:pPr>
            <w:r w:rsidRPr="000F1B6E">
              <w:rPr>
                <w:rFonts w:eastAsia="Calibri"/>
                <w:sz w:val="20"/>
                <w:lang w:val="fr-CA"/>
              </w:rPr>
              <w:t>(Juges MacPherson, Blair et Pepall)</w:t>
            </w:r>
          </w:p>
          <w:p w:rsidR="003725BF" w:rsidRPr="000F1B6E" w:rsidRDefault="003725BF" w:rsidP="002C385E">
            <w:pPr>
              <w:jc w:val="both"/>
              <w:rPr>
                <w:rFonts w:eastAsia="Calibri"/>
                <w:sz w:val="20"/>
              </w:rPr>
            </w:pPr>
            <w:r w:rsidRPr="000F1B6E">
              <w:rPr>
                <w:rFonts w:eastAsia="Calibri"/>
                <w:sz w:val="20"/>
                <w:lang w:val="fr-CA"/>
              </w:rPr>
              <w:t>Référence neutre </w:t>
            </w:r>
            <w:r w:rsidRPr="000F1B6E">
              <w:rPr>
                <w:rFonts w:eastAsia="Calibri"/>
                <w:sz w:val="20"/>
              </w:rPr>
              <w:t xml:space="preserve">: </w:t>
            </w:r>
            <w:hyperlink r:id="rId101" w:history="1">
              <w:r w:rsidRPr="000F1B6E">
                <w:rPr>
                  <w:rFonts w:eastAsia="Calibri"/>
                  <w:color w:val="0000FF"/>
                  <w:sz w:val="20"/>
                  <w:u w:val="single"/>
                </w:rPr>
                <w:t>2014 ONCA 515</w:t>
              </w:r>
            </w:hyperlink>
          </w:p>
          <w:p w:rsidR="003725BF" w:rsidRPr="000F1B6E" w:rsidRDefault="003725BF" w:rsidP="002C385E">
            <w:pPr>
              <w:jc w:val="both"/>
              <w:rPr>
                <w:rFonts w:eastAsia="Calibri"/>
                <w:sz w:val="20"/>
              </w:rPr>
            </w:pPr>
          </w:p>
        </w:tc>
        <w:tc>
          <w:tcPr>
            <w:tcW w:w="243" w:type="pct"/>
          </w:tcPr>
          <w:p w:rsidR="003725BF" w:rsidRPr="000F1B6E" w:rsidRDefault="003725BF" w:rsidP="002C385E">
            <w:pPr>
              <w:jc w:val="both"/>
              <w:rPr>
                <w:rFonts w:eastAsia="Calibri"/>
                <w:sz w:val="20"/>
              </w:rPr>
            </w:pPr>
          </w:p>
        </w:tc>
        <w:tc>
          <w:tcPr>
            <w:tcW w:w="2330" w:type="pct"/>
          </w:tcPr>
          <w:p w:rsidR="003725BF" w:rsidRPr="000F1B6E" w:rsidRDefault="003725BF" w:rsidP="002C385E">
            <w:pPr>
              <w:jc w:val="both"/>
              <w:rPr>
                <w:rFonts w:eastAsia="Calibri"/>
                <w:sz w:val="20"/>
              </w:rPr>
            </w:pPr>
            <w:r w:rsidRPr="000F1B6E">
              <w:rPr>
                <w:rFonts w:eastAsia="Calibri"/>
                <w:sz w:val="20"/>
              </w:rPr>
              <w:t>Rejet de l’appel</w:t>
            </w:r>
          </w:p>
          <w:p w:rsidR="003725BF" w:rsidRPr="000F1B6E" w:rsidRDefault="003725BF" w:rsidP="002C385E">
            <w:pPr>
              <w:jc w:val="both"/>
              <w:rPr>
                <w:rFonts w:eastAsia="Calibri"/>
                <w:sz w:val="20"/>
              </w:rPr>
            </w:pPr>
          </w:p>
        </w:tc>
      </w:tr>
      <w:tr w:rsidR="003725BF" w:rsidRPr="0025502E" w:rsidTr="002C385E">
        <w:tc>
          <w:tcPr>
            <w:tcW w:w="2427" w:type="pct"/>
          </w:tcPr>
          <w:p w:rsidR="003725BF" w:rsidRPr="000F1B6E" w:rsidRDefault="003725BF" w:rsidP="002C385E">
            <w:pPr>
              <w:jc w:val="both"/>
              <w:rPr>
                <w:rFonts w:eastAsia="Calibri"/>
                <w:sz w:val="20"/>
                <w:lang w:val="fr-CA"/>
              </w:rPr>
            </w:pPr>
            <w:r w:rsidRPr="000F1B6E">
              <w:rPr>
                <w:rFonts w:eastAsia="Calibri"/>
                <w:sz w:val="20"/>
                <w:lang w:val="fr-CA"/>
              </w:rPr>
              <w:t>29 septembre 2014</w:t>
            </w:r>
          </w:p>
          <w:p w:rsidR="003725BF" w:rsidRPr="000F1B6E" w:rsidRDefault="003725BF" w:rsidP="002C385E">
            <w:pPr>
              <w:jc w:val="both"/>
              <w:rPr>
                <w:rFonts w:eastAsia="Calibri"/>
                <w:sz w:val="20"/>
                <w:lang w:val="fr-CA"/>
              </w:rPr>
            </w:pPr>
            <w:r w:rsidRPr="000F1B6E">
              <w:rPr>
                <w:rFonts w:eastAsia="Calibri"/>
                <w:sz w:val="20"/>
                <w:lang w:val="fr-CA"/>
              </w:rPr>
              <w:t>Cour suprême du Canada</w:t>
            </w:r>
          </w:p>
        </w:tc>
        <w:tc>
          <w:tcPr>
            <w:tcW w:w="243" w:type="pct"/>
          </w:tcPr>
          <w:p w:rsidR="003725BF" w:rsidRPr="000F1B6E" w:rsidRDefault="003725BF" w:rsidP="002C385E">
            <w:pPr>
              <w:jc w:val="both"/>
              <w:rPr>
                <w:rFonts w:eastAsia="Calibri"/>
                <w:sz w:val="20"/>
                <w:lang w:val="fr-CA"/>
              </w:rPr>
            </w:pPr>
          </w:p>
        </w:tc>
        <w:tc>
          <w:tcPr>
            <w:tcW w:w="2330" w:type="pct"/>
          </w:tcPr>
          <w:p w:rsidR="003725BF" w:rsidRPr="000F1B6E" w:rsidRDefault="003725BF" w:rsidP="002C385E">
            <w:pPr>
              <w:jc w:val="both"/>
              <w:rPr>
                <w:rFonts w:eastAsia="Calibri"/>
                <w:sz w:val="20"/>
                <w:lang w:val="fr-CA"/>
              </w:rPr>
            </w:pPr>
            <w:r w:rsidRPr="000F1B6E">
              <w:rPr>
                <w:rFonts w:eastAsia="Calibri"/>
                <w:sz w:val="20"/>
                <w:lang w:val="fr-CA"/>
              </w:rPr>
              <w:t xml:space="preserve">Dépôt de la demande d’autorisation d’appel </w:t>
            </w:r>
          </w:p>
          <w:p w:rsidR="003725BF" w:rsidRPr="000F1B6E" w:rsidRDefault="003725BF" w:rsidP="002C385E">
            <w:pPr>
              <w:jc w:val="both"/>
              <w:rPr>
                <w:rFonts w:eastAsia="Calibri"/>
                <w:sz w:val="20"/>
                <w:lang w:val="fr-CA"/>
              </w:rPr>
            </w:pPr>
          </w:p>
        </w:tc>
      </w:tr>
    </w:tbl>
    <w:p w:rsidR="00124C37" w:rsidRPr="003725BF" w:rsidRDefault="00124C37" w:rsidP="00124C37">
      <w:pPr>
        <w:rPr>
          <w:sz w:val="20"/>
          <w:szCs w:val="20"/>
          <w:lang w:val="fr-CA"/>
        </w:rPr>
      </w:pPr>
    </w:p>
    <w:p w:rsidR="00124C37" w:rsidRDefault="00E42AAB" w:rsidP="00124C37">
      <w:pPr>
        <w:rPr>
          <w:sz w:val="20"/>
          <w:szCs w:val="20"/>
        </w:rPr>
      </w:pPr>
      <w:r>
        <w:rPr>
          <w:sz w:val="20"/>
          <w:szCs w:val="20"/>
          <w:lang w:val="fr-CA"/>
        </w:rPr>
        <w:pict>
          <v:rect id="_x0000_i1082" style="width:2in;height:1pt" o:hrpct="0" o:hralign="center" o:hrstd="t" o:hrnoshade="t" o:hr="t" fillcolor="black [3213]" stroked="f"/>
        </w:pict>
      </w:r>
    </w:p>
    <w:p w:rsidR="00124C37" w:rsidRDefault="00124C37" w:rsidP="00124C37">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03DFB" w:rsidRPr="00E7075A" w:rsidTr="00C64462">
        <w:trPr>
          <w:cantSplit/>
        </w:trPr>
        <w:tc>
          <w:tcPr>
            <w:tcW w:w="1458" w:type="dxa"/>
          </w:tcPr>
          <w:p w:rsidR="00803DFB" w:rsidRPr="00E7075A" w:rsidRDefault="00803DFB" w:rsidP="00C64462">
            <w:pPr>
              <w:rPr>
                <w:sz w:val="20"/>
                <w:szCs w:val="20"/>
              </w:rPr>
            </w:pPr>
            <w:r w:rsidRPr="00E7075A">
              <w:rPr>
                <w:rStyle w:val="SCCFileNumberChar"/>
                <w:sz w:val="20"/>
                <w:szCs w:val="20"/>
              </w:rPr>
              <w:t>36110</w:t>
            </w:r>
          </w:p>
          <w:p w:rsidR="00803DFB" w:rsidRPr="00E7075A" w:rsidRDefault="00803DFB" w:rsidP="00C64462">
            <w:pPr>
              <w:rPr>
                <w:b/>
                <w:sz w:val="20"/>
                <w:szCs w:val="20"/>
                <w:lang w:val="fr-CA"/>
              </w:rPr>
            </w:pPr>
          </w:p>
        </w:tc>
        <w:tc>
          <w:tcPr>
            <w:tcW w:w="8118" w:type="dxa"/>
          </w:tcPr>
          <w:p w:rsidR="00803DFB" w:rsidRPr="00E7075A" w:rsidRDefault="00803DFB" w:rsidP="00C64462">
            <w:pPr>
              <w:rPr>
                <w:sz w:val="20"/>
                <w:szCs w:val="20"/>
                <w:lang w:val="fr-CA"/>
              </w:rPr>
            </w:pPr>
            <w:r w:rsidRPr="00E7075A">
              <w:rPr>
                <w:rStyle w:val="SCCLsocChar"/>
                <w:sz w:val="20"/>
                <w:szCs w:val="20"/>
              </w:rPr>
              <w:t>Gandhi Jean Pierre c. Agence des services frontaliers du Canada</w:t>
            </w:r>
            <w:r w:rsidRPr="00E7075A">
              <w:rPr>
                <w:sz w:val="20"/>
                <w:szCs w:val="20"/>
                <w:lang w:val="fr-CA"/>
              </w:rPr>
              <w:t xml:space="preserve"> (C.F.) (Civile) (Autorisation)</w:t>
            </w:r>
          </w:p>
          <w:p w:rsidR="00803DFB" w:rsidRPr="00E7075A" w:rsidRDefault="00803DFB" w:rsidP="00C64462">
            <w:pPr>
              <w:rPr>
                <w:sz w:val="20"/>
                <w:szCs w:val="20"/>
                <w:lang w:val="fr-CA"/>
              </w:rPr>
            </w:pPr>
          </w:p>
        </w:tc>
      </w:tr>
      <w:tr w:rsidR="00803DFB" w:rsidRPr="0025502E" w:rsidTr="00C64462">
        <w:trPr>
          <w:cantSplit/>
        </w:trPr>
        <w:tc>
          <w:tcPr>
            <w:tcW w:w="1458" w:type="dxa"/>
          </w:tcPr>
          <w:p w:rsidR="00803DFB" w:rsidRPr="00E7075A" w:rsidRDefault="00803DFB" w:rsidP="00C64462">
            <w:pPr>
              <w:rPr>
                <w:sz w:val="20"/>
                <w:szCs w:val="20"/>
              </w:rPr>
            </w:pPr>
            <w:r w:rsidRPr="00E7075A">
              <w:rPr>
                <w:sz w:val="20"/>
                <w:szCs w:val="20"/>
              </w:rPr>
              <w:t>Coram :</w:t>
            </w:r>
          </w:p>
        </w:tc>
        <w:tc>
          <w:tcPr>
            <w:tcW w:w="8118" w:type="dxa"/>
          </w:tcPr>
          <w:p w:rsidR="00803DFB" w:rsidRPr="00E7075A" w:rsidRDefault="00803DFB" w:rsidP="00C64462">
            <w:pPr>
              <w:rPr>
                <w:sz w:val="20"/>
                <w:szCs w:val="20"/>
                <w:lang w:val="fr-CA"/>
              </w:rPr>
            </w:pPr>
            <w:r w:rsidRPr="00E7075A">
              <w:rPr>
                <w:rStyle w:val="SCCCoramChar"/>
                <w:sz w:val="20"/>
                <w:szCs w:val="20"/>
              </w:rPr>
              <w:t>Les juges Abella, Karakatsanis et Wagner</w:t>
            </w:r>
          </w:p>
          <w:p w:rsidR="00803DFB" w:rsidRPr="00E7075A" w:rsidRDefault="00803DFB" w:rsidP="00C64462">
            <w:pPr>
              <w:rPr>
                <w:sz w:val="20"/>
                <w:szCs w:val="20"/>
                <w:u w:val="single"/>
                <w:lang w:val="fr-CA"/>
              </w:rPr>
            </w:pPr>
          </w:p>
        </w:tc>
      </w:tr>
      <w:tr w:rsidR="00803DFB" w:rsidRPr="00E7075A" w:rsidTr="00C64462">
        <w:trPr>
          <w:cantSplit/>
        </w:trPr>
        <w:tc>
          <w:tcPr>
            <w:tcW w:w="9576" w:type="dxa"/>
            <w:gridSpan w:val="2"/>
          </w:tcPr>
          <w:p w:rsidR="00803DFB" w:rsidRPr="00E7075A" w:rsidRDefault="00803DFB" w:rsidP="00C64462">
            <w:pPr>
              <w:pStyle w:val="SCCShortJudgment"/>
              <w:rPr>
                <w:szCs w:val="20"/>
                <w:lang w:val="fr-CA"/>
              </w:rPr>
            </w:pPr>
            <w:r w:rsidRPr="00E7075A">
              <w:rPr>
                <w:szCs w:val="20"/>
                <w:lang w:val="fr-CA"/>
              </w:rPr>
              <w:t>La demande d’autorisation d’appel de l’arrêt de la Cour d’appel fédérale, numéro 14-A-49, daté du 1</w:t>
            </w:r>
            <w:r w:rsidRPr="00D529CB">
              <w:rPr>
                <w:szCs w:val="20"/>
                <w:vertAlign w:val="superscript"/>
                <w:lang w:val="fr-CA"/>
              </w:rPr>
              <w:t>er</w:t>
            </w:r>
            <w:r w:rsidRPr="00E7075A">
              <w:rPr>
                <w:szCs w:val="20"/>
                <w:lang w:val="fr-CA"/>
              </w:rPr>
              <w:t xml:space="preserve"> août 2014, est rejetée avec dépens.</w:t>
            </w:r>
          </w:p>
          <w:p w:rsidR="00803DFB" w:rsidRPr="00E7075A" w:rsidRDefault="00803DFB" w:rsidP="00C64462">
            <w:pPr>
              <w:pStyle w:val="SCCShortJudgment"/>
              <w:ind w:firstLine="0"/>
              <w:rPr>
                <w:szCs w:val="20"/>
                <w:lang w:val="fr-CA"/>
              </w:rPr>
            </w:pPr>
          </w:p>
          <w:p w:rsidR="00803DFB" w:rsidRPr="00E7075A" w:rsidRDefault="00803DFB" w:rsidP="00C64462">
            <w:pPr>
              <w:pStyle w:val="SCCShortJudgment"/>
              <w:rPr>
                <w:szCs w:val="20"/>
              </w:rPr>
            </w:pPr>
            <w:r w:rsidRPr="00E7075A">
              <w:rPr>
                <w:szCs w:val="20"/>
              </w:rPr>
              <w:t>The application for leave to appeal from the judgment of the Federal Court of Appeal, Number 14-A-49, dated August 1, 2014, is dismissed with costs.</w:t>
            </w:r>
          </w:p>
        </w:tc>
      </w:tr>
    </w:tbl>
    <w:p w:rsidR="00124C37" w:rsidRDefault="00124C37" w:rsidP="000E2959">
      <w:pPr>
        <w:rPr>
          <w:sz w:val="20"/>
          <w:szCs w:val="20"/>
        </w:rPr>
      </w:pPr>
    </w:p>
    <w:p w:rsidR="00124C37" w:rsidRPr="001B157C" w:rsidRDefault="00124C37" w:rsidP="00124C37">
      <w:pPr>
        <w:rPr>
          <w:sz w:val="20"/>
          <w:szCs w:val="20"/>
          <w:u w:val="single"/>
        </w:rPr>
      </w:pPr>
      <w:r w:rsidRPr="001B157C">
        <w:rPr>
          <w:sz w:val="20"/>
          <w:szCs w:val="20"/>
          <w:u w:val="single"/>
        </w:rPr>
        <w:t>CASE SUMMARY</w:t>
      </w:r>
    </w:p>
    <w:p w:rsidR="00124C37" w:rsidRDefault="00124C37" w:rsidP="00124C3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725BF" w:rsidRPr="000F1B6E" w:rsidTr="002C385E">
        <w:tc>
          <w:tcPr>
            <w:tcW w:w="5000" w:type="pct"/>
            <w:gridSpan w:val="3"/>
          </w:tcPr>
          <w:p w:rsidR="003725BF" w:rsidRPr="000F1B6E" w:rsidRDefault="003725BF" w:rsidP="002C385E">
            <w:pPr>
              <w:jc w:val="both"/>
              <w:rPr>
                <w:rFonts w:eastAsia="Calibri"/>
                <w:sz w:val="20"/>
              </w:rPr>
            </w:pPr>
            <w:r w:rsidRPr="000F1B6E">
              <w:rPr>
                <w:rFonts w:eastAsia="Calibri"/>
                <w:sz w:val="20"/>
              </w:rPr>
              <w:t>Civil procedure – Appeal – Time – Extension – Whether Court of Appeal erred in refusing to grant applicant extension of time for appealing.</w:t>
            </w:r>
          </w:p>
        </w:tc>
      </w:tr>
      <w:tr w:rsidR="003725BF" w:rsidRPr="000F1B6E" w:rsidTr="002C385E">
        <w:tc>
          <w:tcPr>
            <w:tcW w:w="5000" w:type="pct"/>
            <w:gridSpan w:val="3"/>
          </w:tcPr>
          <w:p w:rsidR="003725BF" w:rsidRPr="000F1B6E" w:rsidRDefault="003725BF" w:rsidP="002C385E">
            <w:pPr>
              <w:jc w:val="both"/>
              <w:rPr>
                <w:rFonts w:eastAsia="Calibri"/>
                <w:sz w:val="20"/>
              </w:rPr>
            </w:pPr>
          </w:p>
        </w:tc>
      </w:tr>
      <w:tr w:rsidR="003725BF" w:rsidRPr="000F1B6E" w:rsidTr="002C385E">
        <w:tc>
          <w:tcPr>
            <w:tcW w:w="5000" w:type="pct"/>
            <w:gridSpan w:val="3"/>
          </w:tcPr>
          <w:p w:rsidR="003725BF" w:rsidRPr="000F1B6E" w:rsidRDefault="003725BF" w:rsidP="002C385E">
            <w:pPr>
              <w:jc w:val="both"/>
              <w:rPr>
                <w:rFonts w:eastAsia="Calibri"/>
                <w:sz w:val="20"/>
              </w:rPr>
            </w:pPr>
            <w:r w:rsidRPr="000F1B6E">
              <w:rPr>
                <w:rFonts w:eastAsia="Calibri"/>
                <w:sz w:val="20"/>
              </w:rPr>
              <w:t xml:space="preserve">After participating unsuccessfully in an advertised internal appointment process for a position at the respondent Agency, Mr. Jean Pierre filed a complaint with the Public Service Staffing Tribunal of Canada.  The Tribunal dismissed the complaint, and Mr. Jean Pierre then applied to the Federal Court for judicial review.  In March 2014, he filed two motions under Rule 369 of the </w:t>
            </w:r>
            <w:r w:rsidRPr="000F1B6E">
              <w:rPr>
                <w:rFonts w:eastAsia="Calibri"/>
                <w:i/>
                <w:sz w:val="20"/>
              </w:rPr>
              <w:t>Federal Courts Rules</w:t>
            </w:r>
            <w:r w:rsidRPr="000F1B6E">
              <w:rPr>
                <w:rFonts w:eastAsia="Calibri"/>
                <w:sz w:val="20"/>
              </w:rPr>
              <w:t>, seeking a transcript of the testimony and argument before the Tribunal and the disclosure of certain documents.  Prothonotary Morneau dismissed both motions.  Mr. Jean Pierre appealed both decisions, but his appeals were out of time.  Locke J. of the Federal Court granted an extension of time but dismissed the appeals, finding that the Prothonotary’s decision did not deal with a question that was vital to the outcome of the application for leave to appeal and that Mr. Jean Pierre had not shown that the Prothonotary had misapprehended the facts or relied on a wrong principle.</w:t>
            </w:r>
          </w:p>
          <w:p w:rsidR="003725BF" w:rsidRPr="000F1B6E" w:rsidRDefault="003725BF" w:rsidP="002C385E">
            <w:pPr>
              <w:jc w:val="both"/>
              <w:rPr>
                <w:rFonts w:eastAsia="Calibri"/>
                <w:sz w:val="20"/>
              </w:rPr>
            </w:pPr>
          </w:p>
          <w:p w:rsidR="003725BF" w:rsidRPr="000F1B6E" w:rsidRDefault="003725BF" w:rsidP="002C385E">
            <w:pPr>
              <w:jc w:val="both"/>
              <w:rPr>
                <w:rFonts w:eastAsia="Calibri"/>
                <w:sz w:val="20"/>
              </w:rPr>
            </w:pPr>
            <w:r w:rsidRPr="000F1B6E">
              <w:rPr>
                <w:rFonts w:eastAsia="Calibri"/>
                <w:sz w:val="20"/>
              </w:rPr>
              <w:t xml:space="preserve">Scott J.A. of the Federal Court of Appeal refused to extend the time for appealing the two decisions, applying the principles outlined in </w:t>
            </w:r>
            <w:r w:rsidRPr="000F1B6E">
              <w:rPr>
                <w:rFonts w:eastAsia="Calibri"/>
                <w:i/>
                <w:sz w:val="20"/>
              </w:rPr>
              <w:t>Pharmascience Inc. v. Canada (Minister of Health)</w:t>
            </w:r>
            <w:r w:rsidRPr="000F1B6E">
              <w:rPr>
                <w:rFonts w:eastAsia="Calibri"/>
                <w:sz w:val="20"/>
              </w:rPr>
              <w:t xml:space="preserve">, 2003 FCA 333.  He found that Mr. Jean Pierre’s affidavit and written representations did not establish that there was an arguable case on appeal or that the special circumstances relied on to justify the delay in commencing the appeal had actually prevented the applicant from acting within the allotted time. </w:t>
            </w:r>
          </w:p>
          <w:p w:rsidR="003725BF" w:rsidRPr="000F1B6E" w:rsidRDefault="003725BF" w:rsidP="002C385E">
            <w:pPr>
              <w:jc w:val="both"/>
              <w:rPr>
                <w:rFonts w:eastAsia="Calibri"/>
                <w:sz w:val="20"/>
              </w:rPr>
            </w:pPr>
          </w:p>
        </w:tc>
      </w:tr>
      <w:tr w:rsidR="003725BF" w:rsidRPr="000F1B6E" w:rsidTr="002C385E">
        <w:tc>
          <w:tcPr>
            <w:tcW w:w="2427" w:type="pct"/>
          </w:tcPr>
          <w:p w:rsidR="003725BF" w:rsidRPr="000F1B6E" w:rsidRDefault="003725BF" w:rsidP="002C385E">
            <w:pPr>
              <w:jc w:val="both"/>
              <w:rPr>
                <w:rFonts w:eastAsia="Calibri"/>
                <w:sz w:val="20"/>
              </w:rPr>
            </w:pPr>
            <w:r w:rsidRPr="000F1B6E">
              <w:rPr>
                <w:rFonts w:eastAsia="Calibri"/>
                <w:sz w:val="20"/>
              </w:rPr>
              <w:t>June 27, 2014</w:t>
            </w:r>
          </w:p>
          <w:p w:rsidR="003725BF" w:rsidRPr="000F1B6E" w:rsidRDefault="003725BF" w:rsidP="002C385E">
            <w:pPr>
              <w:jc w:val="both"/>
              <w:rPr>
                <w:rFonts w:eastAsia="Calibri"/>
                <w:sz w:val="20"/>
              </w:rPr>
            </w:pPr>
            <w:r w:rsidRPr="000F1B6E">
              <w:rPr>
                <w:rFonts w:eastAsia="Calibri"/>
                <w:sz w:val="20"/>
              </w:rPr>
              <w:t>Federal Court</w:t>
            </w:r>
          </w:p>
          <w:p w:rsidR="003725BF" w:rsidRPr="000F1B6E" w:rsidRDefault="003725BF" w:rsidP="002C385E">
            <w:pPr>
              <w:jc w:val="both"/>
              <w:rPr>
                <w:rFonts w:eastAsia="Calibri"/>
                <w:sz w:val="20"/>
              </w:rPr>
            </w:pPr>
            <w:r w:rsidRPr="000F1B6E">
              <w:rPr>
                <w:rFonts w:eastAsia="Calibri"/>
                <w:sz w:val="20"/>
              </w:rPr>
              <w:t>(Locke J.)</w:t>
            </w:r>
          </w:p>
          <w:p w:rsidR="003725BF" w:rsidRPr="000F1B6E" w:rsidRDefault="003725BF" w:rsidP="002C385E">
            <w:pPr>
              <w:jc w:val="both"/>
              <w:rPr>
                <w:rFonts w:eastAsia="Calibri"/>
                <w:sz w:val="20"/>
              </w:rPr>
            </w:pPr>
            <w:r w:rsidRPr="000F1B6E">
              <w:rPr>
                <w:rFonts w:eastAsia="Calibri"/>
                <w:sz w:val="20"/>
              </w:rPr>
              <w:t>T-1582-13; 2014 FC 636</w:t>
            </w:r>
          </w:p>
          <w:p w:rsidR="003725BF" w:rsidRPr="000F1B6E" w:rsidRDefault="003725BF" w:rsidP="002C385E">
            <w:pPr>
              <w:jc w:val="both"/>
              <w:rPr>
                <w:rFonts w:eastAsia="Calibri"/>
                <w:sz w:val="20"/>
              </w:rPr>
            </w:pPr>
          </w:p>
        </w:tc>
        <w:tc>
          <w:tcPr>
            <w:tcW w:w="243" w:type="pct"/>
          </w:tcPr>
          <w:p w:rsidR="003725BF" w:rsidRPr="000F1B6E" w:rsidRDefault="003725BF" w:rsidP="002C385E">
            <w:pPr>
              <w:jc w:val="both"/>
              <w:rPr>
                <w:rFonts w:eastAsia="Calibri"/>
                <w:sz w:val="20"/>
              </w:rPr>
            </w:pPr>
          </w:p>
        </w:tc>
        <w:tc>
          <w:tcPr>
            <w:tcW w:w="2330" w:type="pct"/>
          </w:tcPr>
          <w:p w:rsidR="003725BF" w:rsidRPr="000F1B6E" w:rsidRDefault="003725BF" w:rsidP="002C385E">
            <w:pPr>
              <w:jc w:val="both"/>
              <w:rPr>
                <w:rFonts w:eastAsia="Calibri"/>
                <w:sz w:val="20"/>
              </w:rPr>
            </w:pPr>
            <w:r w:rsidRPr="000F1B6E">
              <w:rPr>
                <w:rFonts w:eastAsia="Calibri"/>
                <w:sz w:val="20"/>
              </w:rPr>
              <w:t>Motion to appeal Prothonotary’s decision accepted for filing but dismissed</w:t>
            </w:r>
          </w:p>
        </w:tc>
      </w:tr>
      <w:tr w:rsidR="003725BF" w:rsidRPr="000F1B6E" w:rsidTr="002C385E">
        <w:tc>
          <w:tcPr>
            <w:tcW w:w="2427" w:type="pct"/>
          </w:tcPr>
          <w:p w:rsidR="003725BF" w:rsidRPr="000F1B6E" w:rsidRDefault="003725BF" w:rsidP="002C385E">
            <w:pPr>
              <w:jc w:val="both"/>
              <w:rPr>
                <w:rFonts w:eastAsia="Calibri"/>
                <w:sz w:val="20"/>
              </w:rPr>
            </w:pPr>
            <w:r w:rsidRPr="000F1B6E">
              <w:rPr>
                <w:rFonts w:eastAsia="Calibri"/>
                <w:sz w:val="20"/>
              </w:rPr>
              <w:t xml:space="preserve">June 27, 2014 </w:t>
            </w:r>
          </w:p>
          <w:p w:rsidR="003725BF" w:rsidRPr="000F1B6E" w:rsidRDefault="003725BF" w:rsidP="002C385E">
            <w:pPr>
              <w:jc w:val="both"/>
              <w:rPr>
                <w:rFonts w:eastAsia="Calibri"/>
                <w:sz w:val="20"/>
              </w:rPr>
            </w:pPr>
            <w:r w:rsidRPr="000F1B6E">
              <w:rPr>
                <w:rFonts w:eastAsia="Calibri"/>
                <w:sz w:val="20"/>
              </w:rPr>
              <w:t>Federal Court</w:t>
            </w:r>
          </w:p>
          <w:p w:rsidR="003725BF" w:rsidRPr="000F1B6E" w:rsidRDefault="003725BF" w:rsidP="002C385E">
            <w:pPr>
              <w:jc w:val="both"/>
              <w:rPr>
                <w:rFonts w:eastAsia="Calibri"/>
                <w:sz w:val="20"/>
              </w:rPr>
            </w:pPr>
            <w:r w:rsidRPr="000F1B6E">
              <w:rPr>
                <w:rFonts w:eastAsia="Calibri"/>
                <w:sz w:val="20"/>
              </w:rPr>
              <w:t>(Locke J.)</w:t>
            </w:r>
          </w:p>
          <w:p w:rsidR="003725BF" w:rsidRPr="000F1B6E" w:rsidRDefault="003725BF" w:rsidP="002C385E">
            <w:pPr>
              <w:jc w:val="both"/>
              <w:rPr>
                <w:rFonts w:eastAsia="Calibri"/>
                <w:sz w:val="20"/>
              </w:rPr>
            </w:pPr>
            <w:r w:rsidRPr="000F1B6E">
              <w:rPr>
                <w:rFonts w:eastAsia="Calibri"/>
                <w:sz w:val="20"/>
              </w:rPr>
              <w:t>T-1582-13; 2014 FC 637</w:t>
            </w:r>
          </w:p>
          <w:p w:rsidR="003725BF" w:rsidRPr="000F1B6E" w:rsidRDefault="003725BF" w:rsidP="002C385E">
            <w:pPr>
              <w:jc w:val="both"/>
              <w:rPr>
                <w:rFonts w:eastAsia="Calibri"/>
                <w:sz w:val="20"/>
              </w:rPr>
            </w:pPr>
          </w:p>
        </w:tc>
        <w:tc>
          <w:tcPr>
            <w:tcW w:w="243" w:type="pct"/>
          </w:tcPr>
          <w:p w:rsidR="003725BF" w:rsidRPr="000F1B6E" w:rsidRDefault="003725BF" w:rsidP="002C385E">
            <w:pPr>
              <w:jc w:val="both"/>
              <w:rPr>
                <w:rFonts w:eastAsia="Calibri"/>
                <w:sz w:val="20"/>
              </w:rPr>
            </w:pPr>
          </w:p>
        </w:tc>
        <w:tc>
          <w:tcPr>
            <w:tcW w:w="2330" w:type="pct"/>
          </w:tcPr>
          <w:p w:rsidR="003725BF" w:rsidRPr="000F1B6E" w:rsidRDefault="003725BF" w:rsidP="002C385E">
            <w:pPr>
              <w:jc w:val="both"/>
              <w:rPr>
                <w:rFonts w:eastAsia="Calibri"/>
                <w:sz w:val="20"/>
              </w:rPr>
            </w:pPr>
            <w:r w:rsidRPr="000F1B6E">
              <w:rPr>
                <w:rFonts w:eastAsia="Calibri"/>
                <w:sz w:val="20"/>
              </w:rPr>
              <w:t xml:space="preserve">Motion to appeal Prothonotary’s decision dismissed </w:t>
            </w:r>
          </w:p>
        </w:tc>
      </w:tr>
      <w:tr w:rsidR="003725BF" w:rsidRPr="000F1B6E" w:rsidTr="002C385E">
        <w:tc>
          <w:tcPr>
            <w:tcW w:w="2427" w:type="pct"/>
          </w:tcPr>
          <w:p w:rsidR="003725BF" w:rsidRPr="000F1B6E" w:rsidRDefault="003725BF" w:rsidP="002C385E">
            <w:pPr>
              <w:jc w:val="both"/>
              <w:rPr>
                <w:rFonts w:eastAsia="Calibri"/>
                <w:sz w:val="20"/>
              </w:rPr>
            </w:pPr>
            <w:r w:rsidRPr="000F1B6E">
              <w:rPr>
                <w:rFonts w:eastAsia="Calibri"/>
                <w:sz w:val="20"/>
              </w:rPr>
              <w:t>August 1, 2014</w:t>
            </w:r>
          </w:p>
          <w:p w:rsidR="003725BF" w:rsidRPr="000F1B6E" w:rsidRDefault="003725BF" w:rsidP="002C385E">
            <w:pPr>
              <w:jc w:val="both"/>
              <w:rPr>
                <w:rFonts w:eastAsia="Calibri"/>
                <w:sz w:val="20"/>
              </w:rPr>
            </w:pPr>
            <w:r w:rsidRPr="000F1B6E">
              <w:rPr>
                <w:rFonts w:eastAsia="Calibri"/>
                <w:sz w:val="20"/>
              </w:rPr>
              <w:t>Federal Court of Appeal</w:t>
            </w:r>
          </w:p>
          <w:p w:rsidR="003725BF" w:rsidRPr="000F1B6E" w:rsidRDefault="003725BF" w:rsidP="002C385E">
            <w:pPr>
              <w:jc w:val="both"/>
              <w:rPr>
                <w:rFonts w:eastAsia="Calibri"/>
                <w:sz w:val="20"/>
              </w:rPr>
            </w:pPr>
            <w:r w:rsidRPr="000F1B6E">
              <w:rPr>
                <w:rFonts w:eastAsia="Calibri"/>
                <w:sz w:val="20"/>
              </w:rPr>
              <w:t>(Scott J.A.)</w:t>
            </w:r>
          </w:p>
          <w:p w:rsidR="003725BF" w:rsidRPr="000F1B6E" w:rsidRDefault="003725BF" w:rsidP="002C385E">
            <w:pPr>
              <w:jc w:val="both"/>
              <w:rPr>
                <w:rFonts w:eastAsia="Calibri"/>
                <w:sz w:val="20"/>
              </w:rPr>
            </w:pPr>
            <w:r w:rsidRPr="000F1B6E">
              <w:rPr>
                <w:rFonts w:eastAsia="Calibri"/>
                <w:sz w:val="20"/>
              </w:rPr>
              <w:t xml:space="preserve">14-A-49; </w:t>
            </w:r>
          </w:p>
          <w:p w:rsidR="003725BF" w:rsidRPr="000F1B6E" w:rsidRDefault="003725BF" w:rsidP="002C385E">
            <w:pPr>
              <w:jc w:val="both"/>
              <w:rPr>
                <w:rFonts w:eastAsia="Calibri"/>
                <w:sz w:val="20"/>
              </w:rPr>
            </w:pPr>
          </w:p>
        </w:tc>
        <w:tc>
          <w:tcPr>
            <w:tcW w:w="243" w:type="pct"/>
          </w:tcPr>
          <w:p w:rsidR="003725BF" w:rsidRPr="000F1B6E" w:rsidRDefault="003725BF" w:rsidP="002C385E">
            <w:pPr>
              <w:jc w:val="both"/>
              <w:rPr>
                <w:rFonts w:eastAsia="Calibri"/>
                <w:sz w:val="20"/>
              </w:rPr>
            </w:pPr>
          </w:p>
        </w:tc>
        <w:tc>
          <w:tcPr>
            <w:tcW w:w="2330" w:type="pct"/>
          </w:tcPr>
          <w:p w:rsidR="003725BF" w:rsidRPr="000F1B6E" w:rsidRDefault="003725BF" w:rsidP="002C385E">
            <w:pPr>
              <w:jc w:val="both"/>
              <w:rPr>
                <w:rFonts w:eastAsia="Calibri"/>
                <w:sz w:val="20"/>
              </w:rPr>
            </w:pPr>
            <w:r w:rsidRPr="000F1B6E">
              <w:rPr>
                <w:rFonts w:eastAsia="Calibri"/>
                <w:sz w:val="20"/>
              </w:rPr>
              <w:t>Motion for extension of time dismissed</w:t>
            </w:r>
          </w:p>
          <w:p w:rsidR="003725BF" w:rsidRPr="000F1B6E" w:rsidRDefault="003725BF" w:rsidP="002C385E">
            <w:pPr>
              <w:jc w:val="both"/>
              <w:rPr>
                <w:rFonts w:eastAsia="Calibri"/>
                <w:sz w:val="20"/>
              </w:rPr>
            </w:pPr>
          </w:p>
        </w:tc>
      </w:tr>
      <w:tr w:rsidR="003725BF" w:rsidRPr="000F1B6E" w:rsidTr="002C385E">
        <w:tc>
          <w:tcPr>
            <w:tcW w:w="2427" w:type="pct"/>
          </w:tcPr>
          <w:p w:rsidR="003725BF" w:rsidRPr="000F1B6E" w:rsidRDefault="003725BF" w:rsidP="002C385E">
            <w:pPr>
              <w:jc w:val="both"/>
              <w:rPr>
                <w:rFonts w:eastAsia="Calibri"/>
                <w:sz w:val="20"/>
              </w:rPr>
            </w:pPr>
            <w:r w:rsidRPr="000F1B6E">
              <w:rPr>
                <w:rFonts w:eastAsia="Calibri"/>
                <w:sz w:val="20"/>
              </w:rPr>
              <w:t>September 29, 2014</w:t>
            </w:r>
          </w:p>
          <w:p w:rsidR="003725BF" w:rsidRPr="000F1B6E" w:rsidRDefault="003725BF" w:rsidP="002C385E">
            <w:pPr>
              <w:jc w:val="both"/>
              <w:rPr>
                <w:rFonts w:eastAsia="Calibri"/>
                <w:sz w:val="20"/>
              </w:rPr>
            </w:pPr>
            <w:r w:rsidRPr="000F1B6E">
              <w:rPr>
                <w:rFonts w:eastAsia="Calibri"/>
                <w:sz w:val="20"/>
              </w:rPr>
              <w:t>Supreme Court of Canada</w:t>
            </w:r>
          </w:p>
        </w:tc>
        <w:tc>
          <w:tcPr>
            <w:tcW w:w="243" w:type="pct"/>
          </w:tcPr>
          <w:p w:rsidR="003725BF" w:rsidRPr="000F1B6E" w:rsidRDefault="003725BF" w:rsidP="002C385E">
            <w:pPr>
              <w:jc w:val="both"/>
              <w:rPr>
                <w:rFonts w:eastAsia="Calibri"/>
                <w:sz w:val="20"/>
              </w:rPr>
            </w:pPr>
          </w:p>
        </w:tc>
        <w:tc>
          <w:tcPr>
            <w:tcW w:w="2330" w:type="pct"/>
          </w:tcPr>
          <w:p w:rsidR="003725BF" w:rsidRPr="000F1B6E" w:rsidRDefault="003725BF" w:rsidP="002C385E">
            <w:pPr>
              <w:jc w:val="both"/>
              <w:rPr>
                <w:rFonts w:eastAsia="Calibri"/>
                <w:sz w:val="20"/>
              </w:rPr>
            </w:pPr>
            <w:r w:rsidRPr="000F1B6E">
              <w:rPr>
                <w:rFonts w:eastAsia="Calibri"/>
                <w:sz w:val="20"/>
              </w:rPr>
              <w:t>Application for leave to appeal filed</w:t>
            </w:r>
          </w:p>
          <w:p w:rsidR="003725BF" w:rsidRPr="000F1B6E" w:rsidRDefault="003725BF" w:rsidP="002C385E">
            <w:pPr>
              <w:jc w:val="both"/>
              <w:rPr>
                <w:rFonts w:eastAsia="Calibri"/>
                <w:sz w:val="20"/>
              </w:rPr>
            </w:pPr>
          </w:p>
        </w:tc>
      </w:tr>
    </w:tbl>
    <w:p w:rsidR="00124C37" w:rsidRPr="003725BF" w:rsidRDefault="00124C37" w:rsidP="00124C37">
      <w:pPr>
        <w:rPr>
          <w:sz w:val="20"/>
          <w:szCs w:val="20"/>
        </w:rPr>
      </w:pPr>
    </w:p>
    <w:p w:rsidR="00124C37" w:rsidRPr="00C50A5C" w:rsidRDefault="00E42AAB" w:rsidP="00124C37">
      <w:pPr>
        <w:rPr>
          <w:sz w:val="20"/>
          <w:szCs w:val="20"/>
        </w:rPr>
      </w:pPr>
      <w:r>
        <w:rPr>
          <w:sz w:val="20"/>
          <w:szCs w:val="20"/>
          <w:lang w:val="fr-CA"/>
        </w:rPr>
        <w:pict>
          <v:rect id="_x0000_i1083" style="width:2in;height:1pt" o:hrpct="0" o:hralign="center" o:hrstd="t" o:hrnoshade="t" o:hr="t" fillcolor="black [3213]" stroked="f"/>
        </w:pict>
      </w:r>
    </w:p>
    <w:p w:rsidR="00124C37" w:rsidRDefault="00124C37" w:rsidP="00124C37">
      <w:pPr>
        <w:rPr>
          <w:sz w:val="20"/>
          <w:szCs w:val="20"/>
        </w:rPr>
      </w:pPr>
    </w:p>
    <w:p w:rsidR="00124C37" w:rsidRPr="001B157C" w:rsidRDefault="00124C37" w:rsidP="00124C37">
      <w:pPr>
        <w:rPr>
          <w:sz w:val="20"/>
          <w:szCs w:val="20"/>
          <w:u w:val="single"/>
          <w:lang w:val="fr-CA"/>
        </w:rPr>
      </w:pPr>
      <w:r w:rsidRPr="001B157C">
        <w:rPr>
          <w:sz w:val="20"/>
          <w:szCs w:val="20"/>
          <w:u w:val="single"/>
          <w:lang w:val="fr-CA"/>
        </w:rPr>
        <w:t>RÉSUMÉ DE L’AFFAIRE</w:t>
      </w:r>
    </w:p>
    <w:p w:rsidR="00124C37" w:rsidRDefault="00124C37" w:rsidP="00124C3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725BF" w:rsidRPr="0025502E" w:rsidTr="002C385E">
        <w:tc>
          <w:tcPr>
            <w:tcW w:w="5000" w:type="pct"/>
            <w:gridSpan w:val="3"/>
          </w:tcPr>
          <w:p w:rsidR="003725BF" w:rsidRPr="000F1B6E" w:rsidRDefault="003725BF" w:rsidP="002C385E">
            <w:pPr>
              <w:jc w:val="both"/>
              <w:rPr>
                <w:rFonts w:eastAsia="Calibri"/>
                <w:sz w:val="20"/>
                <w:lang w:val="fr-CA"/>
              </w:rPr>
            </w:pPr>
            <w:r w:rsidRPr="000F1B6E">
              <w:rPr>
                <w:rFonts w:eastAsia="Calibri"/>
                <w:sz w:val="20"/>
                <w:lang w:val="fr-CA"/>
              </w:rPr>
              <w:t>Procédure civile – Appel – Délai – Prorogation – La Cour d’appel a-t-elle eu tort de refuser au demandeur une prorogation du délai pour porter sa cause en appel?</w:t>
            </w:r>
          </w:p>
        </w:tc>
      </w:tr>
      <w:tr w:rsidR="003725BF" w:rsidRPr="0025502E" w:rsidTr="002C385E">
        <w:tc>
          <w:tcPr>
            <w:tcW w:w="5000" w:type="pct"/>
            <w:gridSpan w:val="3"/>
          </w:tcPr>
          <w:p w:rsidR="003725BF" w:rsidRPr="000F1B6E" w:rsidRDefault="003725BF" w:rsidP="002C385E">
            <w:pPr>
              <w:jc w:val="both"/>
              <w:rPr>
                <w:rFonts w:eastAsia="Calibri"/>
                <w:sz w:val="20"/>
                <w:lang w:val="fr-CA"/>
              </w:rPr>
            </w:pPr>
          </w:p>
        </w:tc>
      </w:tr>
      <w:tr w:rsidR="003725BF" w:rsidRPr="0025502E" w:rsidTr="002C385E">
        <w:tc>
          <w:tcPr>
            <w:tcW w:w="5000" w:type="pct"/>
            <w:gridSpan w:val="3"/>
          </w:tcPr>
          <w:p w:rsidR="003725BF" w:rsidRPr="000F1B6E" w:rsidRDefault="003725BF" w:rsidP="002C385E">
            <w:pPr>
              <w:jc w:val="both"/>
              <w:rPr>
                <w:rFonts w:eastAsia="Calibri"/>
                <w:sz w:val="20"/>
                <w:lang w:val="fr-CA"/>
              </w:rPr>
            </w:pPr>
            <w:r w:rsidRPr="000F1B6E">
              <w:rPr>
                <w:rFonts w:eastAsia="Calibri"/>
                <w:sz w:val="20"/>
                <w:lang w:val="fr-CA"/>
              </w:rPr>
              <w:t xml:space="preserve">Après avoir participé sans succès à un processus de nomination interne annoncé pour un poste à l’Agence intimée, M. Jean Pierre dépose une plainte devant le Tribunal de la dotation de la fonction publique du Canada.  Le Tribunal rejette la plainte, et M. Jean Pierre demande alors la révision judiciaire par la Cour fédérale.  En mars 2014, il dépose deux requêtes en vertu de la règle 369 des </w:t>
            </w:r>
            <w:r w:rsidRPr="000F1B6E">
              <w:rPr>
                <w:rFonts w:eastAsia="Calibri"/>
                <w:i/>
                <w:sz w:val="20"/>
                <w:lang w:val="fr-CA"/>
              </w:rPr>
              <w:t>Règles des Cours fédérales</w:t>
            </w:r>
            <w:r w:rsidRPr="000F1B6E">
              <w:rPr>
                <w:rFonts w:eastAsia="Calibri"/>
                <w:sz w:val="20"/>
                <w:lang w:val="fr-CA"/>
              </w:rPr>
              <w:t xml:space="preserve">, afin d’obtenir une transcription des témoignages et plaidoiries devant le Tribunal, ainsi que la communication de certains documents.  Le protonotaire Morneau rejette ces deux requêtes.  M. Jean Pierre porte les deux décisions en appel, mais après l’expiration du délai prescrit pour ce faire.  Le juge Locke de la Cour fédérale accorde une prorogation de délai, mais rejette les appels.  Il estime que la décision du protonotaire ne portait pas sur une question ayant une influence déterminante sur l’issue de </w:t>
            </w:r>
            <w:r w:rsidRPr="000F1B6E">
              <w:rPr>
                <w:rFonts w:eastAsia="Calibri"/>
                <w:sz w:val="20"/>
                <w:lang w:val="fr-CA"/>
              </w:rPr>
              <w:lastRenderedPageBreak/>
              <w:t>la demande d’autorisation d’appel et que M. Jean Pierre n’avait pas démontré que le protonotaire avait mal apprécié les faits ou qu’il s’était fondé sur un mauvais principe.</w:t>
            </w:r>
          </w:p>
          <w:p w:rsidR="003725BF" w:rsidRPr="000F1B6E" w:rsidRDefault="003725BF" w:rsidP="002C385E">
            <w:pPr>
              <w:jc w:val="both"/>
              <w:rPr>
                <w:rFonts w:eastAsia="Calibri"/>
                <w:sz w:val="20"/>
                <w:lang w:val="fr-CA"/>
              </w:rPr>
            </w:pPr>
          </w:p>
          <w:p w:rsidR="003725BF" w:rsidRPr="000F1B6E" w:rsidRDefault="003725BF" w:rsidP="002C385E">
            <w:pPr>
              <w:jc w:val="both"/>
              <w:rPr>
                <w:rFonts w:eastAsia="Calibri"/>
                <w:sz w:val="20"/>
                <w:lang w:val="fr-CA"/>
              </w:rPr>
            </w:pPr>
            <w:r w:rsidRPr="000F1B6E">
              <w:rPr>
                <w:rFonts w:eastAsia="Calibri"/>
                <w:sz w:val="20"/>
                <w:lang w:val="fr-CA"/>
              </w:rPr>
              <w:t xml:space="preserve">Le juge Scott de la Cour d’appel fédérale refuse de proroger le délai pour en appeler des deux décisions, en application des principes dégagés dans l’arrêt </w:t>
            </w:r>
            <w:r w:rsidRPr="000F1B6E">
              <w:rPr>
                <w:rFonts w:eastAsia="Calibri"/>
                <w:i/>
                <w:sz w:val="20"/>
                <w:lang w:val="fr-CA"/>
              </w:rPr>
              <w:t>Pharmascience Inc. c. Canada (Ministre de la Santé)</w:t>
            </w:r>
            <w:r w:rsidRPr="000F1B6E">
              <w:rPr>
                <w:rFonts w:eastAsia="Calibri"/>
                <w:sz w:val="20"/>
                <w:lang w:val="fr-CA"/>
              </w:rPr>
              <w:t xml:space="preserve">, 2003 CAF 333.  Il estime que l’affidavit de M. Jean Pierre et ses représentations écrites « n’établissent pas qu’il existe une question défendable à présenter en appel ou que les circonstances particulières soulevées pour justifier le non respect du délai d’appel empêchaient véritablement le demandeur d’agir dans le délai imparti ». </w:t>
            </w:r>
          </w:p>
          <w:p w:rsidR="003725BF" w:rsidRPr="000F1B6E" w:rsidRDefault="003725BF" w:rsidP="002C385E">
            <w:pPr>
              <w:jc w:val="both"/>
              <w:rPr>
                <w:rFonts w:eastAsia="Calibri"/>
                <w:sz w:val="20"/>
                <w:lang w:val="fr-CA"/>
              </w:rPr>
            </w:pPr>
          </w:p>
        </w:tc>
      </w:tr>
      <w:tr w:rsidR="003725BF" w:rsidRPr="0025502E" w:rsidTr="002C385E">
        <w:tc>
          <w:tcPr>
            <w:tcW w:w="2427" w:type="pct"/>
          </w:tcPr>
          <w:p w:rsidR="003725BF" w:rsidRPr="000F1B6E" w:rsidRDefault="003725BF" w:rsidP="002C385E">
            <w:pPr>
              <w:jc w:val="both"/>
              <w:rPr>
                <w:rFonts w:eastAsia="Calibri"/>
                <w:sz w:val="20"/>
                <w:lang w:val="fr-CA"/>
              </w:rPr>
            </w:pPr>
            <w:r w:rsidRPr="000F1B6E">
              <w:rPr>
                <w:rFonts w:eastAsia="Calibri"/>
                <w:sz w:val="20"/>
                <w:lang w:val="fr-CA"/>
              </w:rPr>
              <w:lastRenderedPageBreak/>
              <w:t>Le 27 juin 2014</w:t>
            </w:r>
          </w:p>
          <w:p w:rsidR="003725BF" w:rsidRPr="000F1B6E" w:rsidRDefault="003725BF" w:rsidP="002C385E">
            <w:pPr>
              <w:jc w:val="both"/>
              <w:rPr>
                <w:rFonts w:eastAsia="Calibri"/>
                <w:sz w:val="20"/>
                <w:lang w:val="fr-CA"/>
              </w:rPr>
            </w:pPr>
            <w:r w:rsidRPr="000F1B6E">
              <w:rPr>
                <w:rFonts w:eastAsia="Calibri"/>
                <w:sz w:val="20"/>
                <w:lang w:val="fr-CA"/>
              </w:rPr>
              <w:t>Cour fédérale</w:t>
            </w:r>
          </w:p>
          <w:p w:rsidR="003725BF" w:rsidRPr="000F1B6E" w:rsidRDefault="003725BF" w:rsidP="002C385E">
            <w:pPr>
              <w:jc w:val="both"/>
              <w:rPr>
                <w:rFonts w:eastAsia="Calibri"/>
                <w:sz w:val="20"/>
                <w:lang w:val="fr-CA"/>
              </w:rPr>
            </w:pPr>
            <w:r w:rsidRPr="000F1B6E">
              <w:rPr>
                <w:rFonts w:eastAsia="Calibri"/>
                <w:sz w:val="20"/>
                <w:lang w:val="fr-CA"/>
              </w:rPr>
              <w:t>(Le juge Locke)</w:t>
            </w:r>
          </w:p>
          <w:p w:rsidR="003725BF" w:rsidRPr="000F1B6E" w:rsidRDefault="003725BF" w:rsidP="002C385E">
            <w:pPr>
              <w:jc w:val="both"/>
              <w:rPr>
                <w:rFonts w:eastAsia="Calibri"/>
                <w:sz w:val="20"/>
                <w:lang w:val="fr-CA"/>
              </w:rPr>
            </w:pPr>
            <w:r w:rsidRPr="000F1B6E">
              <w:rPr>
                <w:rFonts w:eastAsia="Calibri"/>
                <w:sz w:val="20"/>
                <w:lang w:val="fr-CA"/>
              </w:rPr>
              <w:t>T-1582-13; 2014 CF 636</w:t>
            </w:r>
          </w:p>
          <w:p w:rsidR="003725BF" w:rsidRPr="000F1B6E" w:rsidRDefault="003725BF" w:rsidP="002C385E">
            <w:pPr>
              <w:jc w:val="both"/>
              <w:rPr>
                <w:rFonts w:eastAsia="Calibri"/>
                <w:sz w:val="20"/>
                <w:lang w:val="fr-CA"/>
              </w:rPr>
            </w:pPr>
          </w:p>
        </w:tc>
        <w:tc>
          <w:tcPr>
            <w:tcW w:w="243" w:type="pct"/>
          </w:tcPr>
          <w:p w:rsidR="003725BF" w:rsidRPr="000F1B6E" w:rsidRDefault="003725BF" w:rsidP="002C385E">
            <w:pPr>
              <w:jc w:val="both"/>
              <w:rPr>
                <w:rFonts w:eastAsia="Calibri"/>
                <w:sz w:val="20"/>
                <w:lang w:val="fr-CA"/>
              </w:rPr>
            </w:pPr>
          </w:p>
        </w:tc>
        <w:tc>
          <w:tcPr>
            <w:tcW w:w="2330" w:type="pct"/>
          </w:tcPr>
          <w:p w:rsidR="003725BF" w:rsidRPr="000F1B6E" w:rsidRDefault="003725BF" w:rsidP="002C385E">
            <w:pPr>
              <w:jc w:val="both"/>
              <w:rPr>
                <w:rFonts w:eastAsia="Calibri"/>
                <w:sz w:val="20"/>
                <w:lang w:val="fr-CA"/>
              </w:rPr>
            </w:pPr>
            <w:r w:rsidRPr="000F1B6E">
              <w:rPr>
                <w:rFonts w:eastAsia="Calibri"/>
                <w:sz w:val="20"/>
                <w:lang w:val="fr-CA"/>
              </w:rPr>
              <w:t>Requête en appel d’une décision du protonotaire acceptée pour dépôt, mais rejetée</w:t>
            </w:r>
          </w:p>
        </w:tc>
      </w:tr>
      <w:tr w:rsidR="003725BF" w:rsidRPr="0025502E" w:rsidTr="002C385E">
        <w:tc>
          <w:tcPr>
            <w:tcW w:w="2427" w:type="pct"/>
          </w:tcPr>
          <w:p w:rsidR="003725BF" w:rsidRPr="000F1B6E" w:rsidRDefault="003725BF" w:rsidP="002C385E">
            <w:pPr>
              <w:jc w:val="both"/>
              <w:rPr>
                <w:rFonts w:eastAsia="Calibri"/>
                <w:sz w:val="20"/>
                <w:lang w:val="fr-CA"/>
              </w:rPr>
            </w:pPr>
            <w:r w:rsidRPr="000F1B6E">
              <w:rPr>
                <w:rFonts w:eastAsia="Calibri"/>
                <w:sz w:val="20"/>
                <w:lang w:val="fr-CA"/>
              </w:rPr>
              <w:t xml:space="preserve">Le 27 juin 2014 </w:t>
            </w:r>
          </w:p>
          <w:p w:rsidR="003725BF" w:rsidRPr="000F1B6E" w:rsidRDefault="003725BF" w:rsidP="002C385E">
            <w:pPr>
              <w:jc w:val="both"/>
              <w:rPr>
                <w:rFonts w:eastAsia="Calibri"/>
                <w:sz w:val="20"/>
                <w:lang w:val="fr-CA"/>
              </w:rPr>
            </w:pPr>
            <w:r w:rsidRPr="000F1B6E">
              <w:rPr>
                <w:rFonts w:eastAsia="Calibri"/>
                <w:sz w:val="20"/>
                <w:lang w:val="fr-CA"/>
              </w:rPr>
              <w:t>Cour fédérale</w:t>
            </w:r>
          </w:p>
          <w:p w:rsidR="003725BF" w:rsidRPr="000F1B6E" w:rsidRDefault="003725BF" w:rsidP="002C385E">
            <w:pPr>
              <w:jc w:val="both"/>
              <w:rPr>
                <w:rFonts w:eastAsia="Calibri"/>
                <w:sz w:val="20"/>
                <w:lang w:val="fr-CA"/>
              </w:rPr>
            </w:pPr>
            <w:r w:rsidRPr="000F1B6E">
              <w:rPr>
                <w:rFonts w:eastAsia="Calibri"/>
                <w:sz w:val="20"/>
                <w:lang w:val="fr-CA"/>
              </w:rPr>
              <w:t>(Le juge Locke)</w:t>
            </w:r>
          </w:p>
          <w:p w:rsidR="003725BF" w:rsidRPr="000F1B6E" w:rsidRDefault="003725BF" w:rsidP="002C385E">
            <w:pPr>
              <w:jc w:val="both"/>
              <w:rPr>
                <w:rFonts w:eastAsia="Calibri"/>
                <w:sz w:val="20"/>
                <w:lang w:val="fr-CA"/>
              </w:rPr>
            </w:pPr>
            <w:r w:rsidRPr="000F1B6E">
              <w:rPr>
                <w:rFonts w:eastAsia="Calibri"/>
                <w:sz w:val="20"/>
                <w:lang w:val="fr-CA"/>
              </w:rPr>
              <w:t>T-1582-13; 2014 CF 637</w:t>
            </w:r>
          </w:p>
          <w:p w:rsidR="003725BF" w:rsidRPr="000F1B6E" w:rsidRDefault="003725BF" w:rsidP="002C385E">
            <w:pPr>
              <w:jc w:val="both"/>
              <w:rPr>
                <w:rFonts w:eastAsia="Calibri"/>
                <w:sz w:val="20"/>
                <w:lang w:val="fr-CA"/>
              </w:rPr>
            </w:pPr>
          </w:p>
        </w:tc>
        <w:tc>
          <w:tcPr>
            <w:tcW w:w="243" w:type="pct"/>
          </w:tcPr>
          <w:p w:rsidR="003725BF" w:rsidRPr="000F1B6E" w:rsidRDefault="003725BF" w:rsidP="002C385E">
            <w:pPr>
              <w:jc w:val="both"/>
              <w:rPr>
                <w:rFonts w:eastAsia="Calibri"/>
                <w:sz w:val="20"/>
                <w:lang w:val="fr-CA"/>
              </w:rPr>
            </w:pPr>
          </w:p>
        </w:tc>
        <w:tc>
          <w:tcPr>
            <w:tcW w:w="2330" w:type="pct"/>
          </w:tcPr>
          <w:p w:rsidR="003725BF" w:rsidRPr="000F1B6E" w:rsidRDefault="003725BF" w:rsidP="002C385E">
            <w:pPr>
              <w:jc w:val="both"/>
              <w:rPr>
                <w:rFonts w:eastAsia="Calibri"/>
                <w:sz w:val="20"/>
                <w:lang w:val="fr-CA"/>
              </w:rPr>
            </w:pPr>
            <w:r w:rsidRPr="000F1B6E">
              <w:rPr>
                <w:rFonts w:eastAsia="Calibri"/>
                <w:sz w:val="20"/>
                <w:lang w:val="fr-CA"/>
              </w:rPr>
              <w:t xml:space="preserve">Requête en appel d’une décision du protonotaire rejetée </w:t>
            </w:r>
          </w:p>
        </w:tc>
      </w:tr>
      <w:tr w:rsidR="003725BF" w:rsidRPr="0025502E" w:rsidTr="002C385E">
        <w:tc>
          <w:tcPr>
            <w:tcW w:w="2427" w:type="pct"/>
          </w:tcPr>
          <w:p w:rsidR="003725BF" w:rsidRPr="000F1B6E" w:rsidRDefault="003725BF" w:rsidP="002C385E">
            <w:pPr>
              <w:jc w:val="both"/>
              <w:rPr>
                <w:rFonts w:eastAsia="Calibri"/>
                <w:sz w:val="20"/>
                <w:lang w:val="fr-CA"/>
              </w:rPr>
            </w:pPr>
            <w:r w:rsidRPr="000F1B6E">
              <w:rPr>
                <w:rFonts w:eastAsia="Calibri"/>
                <w:sz w:val="20"/>
                <w:lang w:val="fr-CA"/>
              </w:rPr>
              <w:t>Le 1</w:t>
            </w:r>
            <w:r w:rsidRPr="000F1B6E">
              <w:rPr>
                <w:rFonts w:eastAsia="Calibri"/>
                <w:sz w:val="20"/>
                <w:vertAlign w:val="superscript"/>
                <w:lang w:val="fr-CA"/>
              </w:rPr>
              <w:t>er</w:t>
            </w:r>
            <w:r w:rsidRPr="000F1B6E">
              <w:rPr>
                <w:rFonts w:eastAsia="Calibri"/>
                <w:sz w:val="20"/>
                <w:lang w:val="fr-CA"/>
              </w:rPr>
              <w:t xml:space="preserve"> août 2014</w:t>
            </w:r>
          </w:p>
          <w:p w:rsidR="003725BF" w:rsidRPr="000F1B6E" w:rsidRDefault="003725BF" w:rsidP="002C385E">
            <w:pPr>
              <w:jc w:val="both"/>
              <w:rPr>
                <w:rFonts w:eastAsia="Calibri"/>
                <w:sz w:val="20"/>
                <w:lang w:val="fr-CA"/>
              </w:rPr>
            </w:pPr>
            <w:r w:rsidRPr="000F1B6E">
              <w:rPr>
                <w:rFonts w:eastAsia="Calibri"/>
                <w:sz w:val="20"/>
                <w:lang w:val="fr-CA"/>
              </w:rPr>
              <w:t>Cour d’appel fédérale</w:t>
            </w:r>
          </w:p>
          <w:p w:rsidR="003725BF" w:rsidRPr="000F1B6E" w:rsidRDefault="003725BF" w:rsidP="002C385E">
            <w:pPr>
              <w:jc w:val="both"/>
              <w:rPr>
                <w:rFonts w:eastAsia="Calibri"/>
                <w:sz w:val="20"/>
                <w:lang w:val="fr-CA"/>
              </w:rPr>
            </w:pPr>
            <w:r w:rsidRPr="000F1B6E">
              <w:rPr>
                <w:rFonts w:eastAsia="Calibri"/>
                <w:sz w:val="20"/>
                <w:lang w:val="fr-CA"/>
              </w:rPr>
              <w:t>(Le juge Scott)</w:t>
            </w:r>
          </w:p>
          <w:p w:rsidR="003725BF" w:rsidRPr="000F1B6E" w:rsidRDefault="003725BF" w:rsidP="002C385E">
            <w:pPr>
              <w:jc w:val="both"/>
              <w:rPr>
                <w:rFonts w:eastAsia="Calibri"/>
                <w:sz w:val="20"/>
                <w:lang w:val="fr-CA"/>
              </w:rPr>
            </w:pPr>
            <w:r w:rsidRPr="000F1B6E">
              <w:rPr>
                <w:rFonts w:eastAsia="Calibri"/>
                <w:sz w:val="20"/>
                <w:lang w:val="fr-CA"/>
              </w:rPr>
              <w:t xml:space="preserve">14-A-49; </w:t>
            </w:r>
          </w:p>
          <w:p w:rsidR="003725BF" w:rsidRPr="000F1B6E" w:rsidRDefault="003725BF" w:rsidP="002C385E">
            <w:pPr>
              <w:jc w:val="both"/>
              <w:rPr>
                <w:rFonts w:eastAsia="Calibri"/>
                <w:sz w:val="20"/>
                <w:lang w:val="fr-CA"/>
              </w:rPr>
            </w:pPr>
          </w:p>
        </w:tc>
        <w:tc>
          <w:tcPr>
            <w:tcW w:w="243" w:type="pct"/>
          </w:tcPr>
          <w:p w:rsidR="003725BF" w:rsidRPr="000F1B6E" w:rsidRDefault="003725BF" w:rsidP="002C385E">
            <w:pPr>
              <w:jc w:val="both"/>
              <w:rPr>
                <w:rFonts w:eastAsia="Calibri"/>
                <w:sz w:val="20"/>
                <w:lang w:val="fr-CA"/>
              </w:rPr>
            </w:pPr>
          </w:p>
        </w:tc>
        <w:tc>
          <w:tcPr>
            <w:tcW w:w="2330" w:type="pct"/>
          </w:tcPr>
          <w:p w:rsidR="003725BF" w:rsidRPr="000F1B6E" w:rsidRDefault="003725BF" w:rsidP="002C385E">
            <w:pPr>
              <w:jc w:val="both"/>
              <w:rPr>
                <w:rFonts w:eastAsia="Calibri"/>
                <w:sz w:val="20"/>
                <w:lang w:val="fr-CA"/>
              </w:rPr>
            </w:pPr>
            <w:r w:rsidRPr="000F1B6E">
              <w:rPr>
                <w:rFonts w:eastAsia="Calibri"/>
                <w:sz w:val="20"/>
                <w:lang w:val="fr-CA"/>
              </w:rPr>
              <w:t>Requête pour prorogation de délai rejetée</w:t>
            </w:r>
          </w:p>
          <w:p w:rsidR="003725BF" w:rsidRPr="000F1B6E" w:rsidRDefault="003725BF" w:rsidP="002C385E">
            <w:pPr>
              <w:jc w:val="both"/>
              <w:rPr>
                <w:rFonts w:eastAsia="Calibri"/>
                <w:sz w:val="20"/>
                <w:lang w:val="fr-CA"/>
              </w:rPr>
            </w:pPr>
          </w:p>
        </w:tc>
      </w:tr>
      <w:tr w:rsidR="003725BF" w:rsidRPr="000F1B6E" w:rsidTr="002C385E">
        <w:tc>
          <w:tcPr>
            <w:tcW w:w="2427" w:type="pct"/>
          </w:tcPr>
          <w:p w:rsidR="003725BF" w:rsidRPr="000F1B6E" w:rsidRDefault="003725BF" w:rsidP="002C385E">
            <w:pPr>
              <w:jc w:val="both"/>
              <w:rPr>
                <w:rFonts w:eastAsia="Calibri"/>
                <w:sz w:val="20"/>
                <w:lang w:val="fr-CA"/>
              </w:rPr>
            </w:pPr>
            <w:r w:rsidRPr="000F1B6E">
              <w:rPr>
                <w:rFonts w:eastAsia="Calibri"/>
                <w:sz w:val="20"/>
                <w:lang w:val="fr-CA"/>
              </w:rPr>
              <w:t>Le 29 septembre 2014</w:t>
            </w:r>
          </w:p>
          <w:p w:rsidR="003725BF" w:rsidRPr="000F1B6E" w:rsidRDefault="003725BF" w:rsidP="002C385E">
            <w:pPr>
              <w:jc w:val="both"/>
              <w:rPr>
                <w:rFonts w:eastAsia="Calibri"/>
                <w:sz w:val="20"/>
                <w:lang w:val="fr-CA"/>
              </w:rPr>
            </w:pPr>
            <w:r w:rsidRPr="000F1B6E">
              <w:rPr>
                <w:rFonts w:eastAsia="Calibri"/>
                <w:sz w:val="20"/>
                <w:lang w:val="fr-CA"/>
              </w:rPr>
              <w:t>Cour suprême du Canada</w:t>
            </w:r>
          </w:p>
        </w:tc>
        <w:tc>
          <w:tcPr>
            <w:tcW w:w="243" w:type="pct"/>
          </w:tcPr>
          <w:p w:rsidR="003725BF" w:rsidRPr="000F1B6E" w:rsidRDefault="003725BF" w:rsidP="002C385E">
            <w:pPr>
              <w:jc w:val="both"/>
              <w:rPr>
                <w:rFonts w:eastAsia="Calibri"/>
                <w:sz w:val="20"/>
                <w:lang w:val="fr-CA"/>
              </w:rPr>
            </w:pPr>
          </w:p>
        </w:tc>
        <w:tc>
          <w:tcPr>
            <w:tcW w:w="2330" w:type="pct"/>
          </w:tcPr>
          <w:p w:rsidR="003725BF" w:rsidRPr="000F1B6E" w:rsidRDefault="003725BF" w:rsidP="002C385E">
            <w:pPr>
              <w:jc w:val="both"/>
              <w:rPr>
                <w:rFonts w:eastAsia="Calibri"/>
                <w:sz w:val="20"/>
                <w:lang w:val="fr-CA"/>
              </w:rPr>
            </w:pPr>
            <w:r w:rsidRPr="000F1B6E">
              <w:rPr>
                <w:rFonts w:eastAsia="Calibri"/>
                <w:sz w:val="20"/>
                <w:lang w:val="fr-CA"/>
              </w:rPr>
              <w:t>Demande d’autorisation d’appel déposée</w:t>
            </w:r>
          </w:p>
          <w:p w:rsidR="003725BF" w:rsidRPr="000F1B6E" w:rsidRDefault="003725BF" w:rsidP="002C385E">
            <w:pPr>
              <w:jc w:val="both"/>
              <w:rPr>
                <w:rFonts w:eastAsia="Calibri"/>
                <w:sz w:val="20"/>
                <w:lang w:val="fr-CA"/>
              </w:rPr>
            </w:pPr>
          </w:p>
        </w:tc>
      </w:tr>
    </w:tbl>
    <w:p w:rsidR="00124C37" w:rsidRDefault="00124C37" w:rsidP="00124C37">
      <w:pPr>
        <w:rPr>
          <w:sz w:val="20"/>
          <w:szCs w:val="20"/>
        </w:rPr>
      </w:pPr>
    </w:p>
    <w:p w:rsidR="00124C37" w:rsidRDefault="00E42AAB" w:rsidP="00124C37">
      <w:pPr>
        <w:rPr>
          <w:sz w:val="20"/>
          <w:szCs w:val="20"/>
        </w:rPr>
      </w:pPr>
      <w:r>
        <w:rPr>
          <w:sz w:val="20"/>
          <w:szCs w:val="20"/>
          <w:lang w:val="fr-CA"/>
        </w:rPr>
        <w:pict>
          <v:rect id="_x0000_i1084" style="width:2in;height:1pt" o:hrpct="0" o:hralign="center" o:hrstd="t" o:hrnoshade="t" o:hr="t" fillcolor="black [3213]" stroked="f"/>
        </w:pict>
      </w:r>
    </w:p>
    <w:p w:rsidR="00124C37" w:rsidRDefault="00124C37" w:rsidP="00124C37">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03DFB" w:rsidRPr="00E7075A" w:rsidTr="00C64462">
        <w:trPr>
          <w:cantSplit/>
        </w:trPr>
        <w:tc>
          <w:tcPr>
            <w:tcW w:w="1458" w:type="dxa"/>
          </w:tcPr>
          <w:p w:rsidR="00803DFB" w:rsidRPr="00E7075A" w:rsidRDefault="00803DFB" w:rsidP="00C64462">
            <w:pPr>
              <w:rPr>
                <w:sz w:val="20"/>
                <w:szCs w:val="20"/>
              </w:rPr>
            </w:pPr>
            <w:r w:rsidRPr="00E7075A">
              <w:rPr>
                <w:rStyle w:val="SCCFileNumberChar"/>
                <w:sz w:val="20"/>
                <w:szCs w:val="20"/>
              </w:rPr>
              <w:t>36112</w:t>
            </w:r>
          </w:p>
          <w:p w:rsidR="00803DFB" w:rsidRPr="00E7075A" w:rsidRDefault="00803DFB" w:rsidP="00C64462">
            <w:pPr>
              <w:rPr>
                <w:b/>
                <w:sz w:val="20"/>
                <w:szCs w:val="20"/>
                <w:lang w:val="fr-CA"/>
              </w:rPr>
            </w:pPr>
          </w:p>
        </w:tc>
        <w:tc>
          <w:tcPr>
            <w:tcW w:w="8118" w:type="dxa"/>
          </w:tcPr>
          <w:p w:rsidR="00803DFB" w:rsidRPr="00E7075A" w:rsidRDefault="00803DFB" w:rsidP="00C64462">
            <w:pPr>
              <w:rPr>
                <w:sz w:val="20"/>
                <w:szCs w:val="20"/>
              </w:rPr>
            </w:pPr>
            <w:r w:rsidRPr="00803DFB">
              <w:rPr>
                <w:rStyle w:val="SCCLsocChar"/>
                <w:sz w:val="20"/>
                <w:szCs w:val="20"/>
                <w:lang w:val="en-CA"/>
              </w:rPr>
              <w:t>Her Majesty the Queen v. Kenneth Gavin Williamson</w:t>
            </w:r>
            <w:r w:rsidRPr="00E7075A">
              <w:rPr>
                <w:sz w:val="20"/>
                <w:szCs w:val="20"/>
              </w:rPr>
              <w:t xml:space="preserve"> (Ont.) (Criminal) (By Leave)</w:t>
            </w:r>
          </w:p>
          <w:p w:rsidR="00803DFB" w:rsidRPr="00E7075A" w:rsidRDefault="00803DFB" w:rsidP="00C64462">
            <w:pPr>
              <w:rPr>
                <w:sz w:val="20"/>
                <w:szCs w:val="20"/>
              </w:rPr>
            </w:pPr>
          </w:p>
        </w:tc>
      </w:tr>
      <w:tr w:rsidR="00803DFB" w:rsidRPr="00E7075A" w:rsidTr="00C64462">
        <w:trPr>
          <w:cantSplit/>
        </w:trPr>
        <w:tc>
          <w:tcPr>
            <w:tcW w:w="1458" w:type="dxa"/>
          </w:tcPr>
          <w:p w:rsidR="00803DFB" w:rsidRPr="00E7075A" w:rsidRDefault="00803DFB" w:rsidP="00C64462">
            <w:pPr>
              <w:rPr>
                <w:sz w:val="20"/>
                <w:szCs w:val="20"/>
              </w:rPr>
            </w:pPr>
            <w:r w:rsidRPr="00E7075A">
              <w:rPr>
                <w:sz w:val="20"/>
                <w:szCs w:val="20"/>
              </w:rPr>
              <w:t>Coram :</w:t>
            </w:r>
          </w:p>
        </w:tc>
        <w:tc>
          <w:tcPr>
            <w:tcW w:w="8118" w:type="dxa"/>
          </w:tcPr>
          <w:p w:rsidR="00803DFB" w:rsidRPr="00E7075A" w:rsidRDefault="00803DFB" w:rsidP="00C64462">
            <w:pPr>
              <w:rPr>
                <w:sz w:val="20"/>
                <w:szCs w:val="20"/>
              </w:rPr>
            </w:pPr>
            <w:r w:rsidRPr="00803DFB">
              <w:rPr>
                <w:rStyle w:val="SCCCoramChar"/>
                <w:sz w:val="20"/>
                <w:szCs w:val="20"/>
                <w:lang w:val="en-CA"/>
              </w:rPr>
              <w:t>McLachlin C.J. and Wagner and Gascon JJ.</w:t>
            </w:r>
          </w:p>
          <w:p w:rsidR="00803DFB" w:rsidRPr="00E7075A" w:rsidRDefault="00803DFB" w:rsidP="00C64462">
            <w:pPr>
              <w:rPr>
                <w:sz w:val="20"/>
                <w:szCs w:val="20"/>
                <w:u w:val="single"/>
              </w:rPr>
            </w:pPr>
          </w:p>
        </w:tc>
      </w:tr>
      <w:tr w:rsidR="00803DFB" w:rsidRPr="00E7075A" w:rsidTr="00C64462">
        <w:trPr>
          <w:cantSplit/>
        </w:trPr>
        <w:tc>
          <w:tcPr>
            <w:tcW w:w="9576" w:type="dxa"/>
            <w:gridSpan w:val="2"/>
          </w:tcPr>
          <w:p w:rsidR="00803DFB" w:rsidRPr="00E7075A" w:rsidRDefault="00803DFB" w:rsidP="00C64462">
            <w:pPr>
              <w:pStyle w:val="SCCShortJudgment"/>
              <w:rPr>
                <w:szCs w:val="20"/>
                <w:lang w:val="fr-CA"/>
              </w:rPr>
            </w:pPr>
            <w:r w:rsidRPr="00E7075A">
              <w:rPr>
                <w:szCs w:val="20"/>
              </w:rPr>
              <w:t xml:space="preserve">The application for leave to cross-appeal is dismissed without costs. The application for leave to appeal from the judgment of the Court of Appeal for Ontario, Number C55167, 2014 ONCA 598, dated August 19, 2014, is granted without costs.  </w:t>
            </w:r>
            <w:r w:rsidRPr="00E7075A">
              <w:rPr>
                <w:szCs w:val="20"/>
                <w:lang w:val="fr-CA"/>
              </w:rPr>
              <w:t xml:space="preserve">The appeal will be heard with </w:t>
            </w:r>
            <w:r w:rsidRPr="00773DD5">
              <w:rPr>
                <w:i/>
                <w:szCs w:val="20"/>
                <w:lang w:val="fr-CA"/>
              </w:rPr>
              <w:t>R. v. Jordan</w:t>
            </w:r>
            <w:r w:rsidRPr="00E7075A">
              <w:rPr>
                <w:szCs w:val="20"/>
                <w:lang w:val="fr-CA"/>
              </w:rPr>
              <w:t xml:space="preserve"> (36068).  </w:t>
            </w:r>
          </w:p>
          <w:p w:rsidR="00803DFB" w:rsidRPr="00E7075A" w:rsidRDefault="00803DFB" w:rsidP="00C64462">
            <w:pPr>
              <w:pStyle w:val="SCCShortJudgment"/>
              <w:ind w:firstLine="0"/>
              <w:rPr>
                <w:szCs w:val="20"/>
                <w:lang w:val="fr-CA"/>
              </w:rPr>
            </w:pPr>
          </w:p>
          <w:p w:rsidR="00803DFB" w:rsidRPr="00E7075A" w:rsidRDefault="00803DFB" w:rsidP="00C64462">
            <w:pPr>
              <w:pStyle w:val="SCCShortJudgment"/>
              <w:rPr>
                <w:szCs w:val="20"/>
              </w:rPr>
            </w:pPr>
            <w:r w:rsidRPr="00E7075A">
              <w:rPr>
                <w:szCs w:val="20"/>
                <w:lang w:val="fr-CA"/>
              </w:rPr>
              <w:t xml:space="preserve">La demande d’autorisation d’appel incident est rejetée sans dépens. La demande d’autorisation d’appel de l’arrêt de la Cour d’appel de l’Ontario, numéro C55167, 2014 ONCA 598, daté du 19 août 2014, est accueillie sans dépens.  </w:t>
            </w:r>
            <w:r w:rsidRPr="00E7075A">
              <w:rPr>
                <w:szCs w:val="20"/>
              </w:rPr>
              <w:t xml:space="preserve">Cet appel sera entendu avec </w:t>
            </w:r>
            <w:r w:rsidRPr="00773DD5">
              <w:rPr>
                <w:i/>
                <w:szCs w:val="20"/>
              </w:rPr>
              <w:t>R. v. Jordan</w:t>
            </w:r>
            <w:r w:rsidRPr="00E7075A">
              <w:rPr>
                <w:szCs w:val="20"/>
              </w:rPr>
              <w:t xml:space="preserve"> (36068).</w:t>
            </w:r>
          </w:p>
        </w:tc>
      </w:tr>
    </w:tbl>
    <w:p w:rsidR="00124C37" w:rsidRDefault="00124C37" w:rsidP="000E2959">
      <w:pPr>
        <w:rPr>
          <w:sz w:val="20"/>
          <w:szCs w:val="20"/>
        </w:rPr>
      </w:pPr>
    </w:p>
    <w:p w:rsidR="00124C37" w:rsidRPr="001B157C" w:rsidRDefault="00124C37" w:rsidP="00124C37">
      <w:pPr>
        <w:rPr>
          <w:sz w:val="20"/>
          <w:szCs w:val="20"/>
          <w:u w:val="single"/>
        </w:rPr>
      </w:pPr>
      <w:r w:rsidRPr="001B157C">
        <w:rPr>
          <w:sz w:val="20"/>
          <w:szCs w:val="20"/>
          <w:u w:val="single"/>
        </w:rPr>
        <w:t>CASE SUMMARY</w:t>
      </w:r>
    </w:p>
    <w:p w:rsidR="00124C37" w:rsidRDefault="00124C37" w:rsidP="00124C3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D24B9" w:rsidRPr="000F1B6E" w:rsidTr="00BC5EAA">
        <w:tc>
          <w:tcPr>
            <w:tcW w:w="5000" w:type="pct"/>
            <w:gridSpan w:val="3"/>
          </w:tcPr>
          <w:p w:rsidR="009D24B9" w:rsidRPr="000F1B6E" w:rsidRDefault="009D24B9" w:rsidP="00BC5EAA">
            <w:pPr>
              <w:jc w:val="both"/>
              <w:rPr>
                <w:rFonts w:eastAsia="Calibri"/>
                <w:i/>
                <w:smallCaps/>
                <w:sz w:val="20"/>
              </w:rPr>
            </w:pPr>
            <w:r w:rsidRPr="000F1B6E">
              <w:rPr>
                <w:rFonts w:eastAsia="Calibri"/>
                <w:smallCaps/>
                <w:sz w:val="20"/>
              </w:rPr>
              <w:t xml:space="preserve">(Publication </w:t>
            </w:r>
            <w:r>
              <w:rPr>
                <w:rFonts w:eastAsia="Calibri"/>
                <w:smallCaps/>
                <w:sz w:val="20"/>
              </w:rPr>
              <w:t>B</w:t>
            </w:r>
            <w:r w:rsidRPr="000F1B6E">
              <w:rPr>
                <w:rFonts w:eastAsia="Calibri"/>
                <w:smallCaps/>
                <w:sz w:val="20"/>
              </w:rPr>
              <w:t xml:space="preserve">an in </w:t>
            </w:r>
            <w:r>
              <w:rPr>
                <w:rFonts w:eastAsia="Calibri"/>
                <w:smallCaps/>
                <w:sz w:val="20"/>
              </w:rPr>
              <w:t>C</w:t>
            </w:r>
            <w:r w:rsidRPr="000F1B6E">
              <w:rPr>
                <w:rFonts w:eastAsia="Calibri"/>
                <w:smallCaps/>
                <w:sz w:val="20"/>
              </w:rPr>
              <w:t>ase)</w:t>
            </w:r>
            <w:r w:rsidRPr="000F1B6E">
              <w:rPr>
                <w:rFonts w:eastAsia="Calibri"/>
                <w:i/>
                <w:smallCaps/>
                <w:sz w:val="20"/>
              </w:rPr>
              <w:t xml:space="preserve"> </w:t>
            </w:r>
          </w:p>
          <w:p w:rsidR="009D24B9" w:rsidRPr="000F1B6E" w:rsidRDefault="009D24B9" w:rsidP="00BC5EAA">
            <w:pPr>
              <w:jc w:val="both"/>
              <w:rPr>
                <w:rFonts w:eastAsia="Calibri"/>
                <w:i/>
                <w:smallCaps/>
                <w:sz w:val="20"/>
              </w:rPr>
            </w:pPr>
          </w:p>
          <w:p w:rsidR="009D24B9" w:rsidRPr="000F1B6E" w:rsidRDefault="009D24B9" w:rsidP="00BC5EAA">
            <w:pPr>
              <w:jc w:val="both"/>
              <w:rPr>
                <w:rFonts w:eastAsia="Calibri"/>
                <w:smallCaps/>
                <w:sz w:val="20"/>
              </w:rPr>
            </w:pPr>
            <w:r w:rsidRPr="000F1B6E">
              <w:rPr>
                <w:rFonts w:eastAsia="Calibri"/>
                <w:i/>
                <w:sz w:val="20"/>
              </w:rPr>
              <w:t xml:space="preserve">Canadian Charter of Rights and Freedoms, </w:t>
            </w:r>
            <w:r w:rsidRPr="000F1B6E">
              <w:rPr>
                <w:rFonts w:eastAsia="Calibri"/>
                <w:sz w:val="20"/>
              </w:rPr>
              <w:t>s. 11b – Criminal law – Procedural rights – Trial within a reasonable delay – Whether the Court of Appeal erred in law by finding that the Respondent’s constitutional right to be tried within a reasonable time was infringed; more particularly, in:  (1) its approach to the taking of judicial notice, and (2) in its approach to the assessment of prejudice to the Respondent’s liberty, security and fair trial interests.</w:t>
            </w:r>
          </w:p>
        </w:tc>
      </w:tr>
      <w:tr w:rsidR="009D24B9" w:rsidRPr="000F1B6E" w:rsidTr="00BC5EAA">
        <w:tc>
          <w:tcPr>
            <w:tcW w:w="5000" w:type="pct"/>
            <w:gridSpan w:val="3"/>
          </w:tcPr>
          <w:p w:rsidR="009D24B9" w:rsidRPr="000F1B6E" w:rsidRDefault="009D24B9" w:rsidP="00BC5EAA">
            <w:pPr>
              <w:jc w:val="both"/>
              <w:rPr>
                <w:rFonts w:eastAsia="Calibri"/>
                <w:sz w:val="20"/>
              </w:rPr>
            </w:pPr>
          </w:p>
        </w:tc>
      </w:tr>
      <w:tr w:rsidR="009D24B9" w:rsidRPr="000F1B6E" w:rsidTr="00BC5EAA">
        <w:tc>
          <w:tcPr>
            <w:tcW w:w="5000" w:type="pct"/>
            <w:gridSpan w:val="3"/>
          </w:tcPr>
          <w:p w:rsidR="009D24B9" w:rsidRPr="000F1B6E" w:rsidRDefault="009D24B9" w:rsidP="00BC5EAA">
            <w:pPr>
              <w:jc w:val="both"/>
              <w:rPr>
                <w:rFonts w:eastAsia="Calibri"/>
                <w:color w:val="000000"/>
                <w:sz w:val="20"/>
              </w:rPr>
            </w:pPr>
            <w:r w:rsidRPr="000F1B6E">
              <w:rPr>
                <w:rFonts w:eastAsia="Calibri"/>
                <w:color w:val="000000"/>
                <w:sz w:val="20"/>
              </w:rPr>
              <w:lastRenderedPageBreak/>
              <w:t>The Respondent was charged with sexual offences against a young boy committed over thirty years ago.  He was arrested at the school where he taught on January 6, 2009.  The Information, charging the Respondent, was sworn the following day.  He was held in custody until January 12, 2009, when he was released on bail.  He elected for a trial by judge and jury in the Superior Court of Justice, which was scheduled to commence on December 12, 2011.  The record of the case indicated that the preliminary inquiry was adjourned once because another matter took precedence and a second time because the presiding judge and investigating officer were not available.  The accused and his lawyer travelled from Ottawa on both of these dates without prior notice that the proceedings would be adjourned.  On August 4, 2010, the judicial pre-trial conference in the Superior Court was adjourned because the assigned Crown counsel was not present. Although earlier dates were available, there was no evidence about whether Crown counsel was available earlier than September 29, 2010, when Crown counsel attended and the pre-trial conference took place.  The matter was then adjourned to the assignment court on October 22, 2010, when the pre-trial applications and jury trial were scheduled.  The record also disclosed that the Crown delayed in providing full disclosure, resulting in four months of delay.  A number of pre-trial applications were brought by both the Crown and defence.  The jury trial began on December 12, 2011 and ended on December 20, 2011.</w:t>
            </w:r>
          </w:p>
          <w:p w:rsidR="009D24B9" w:rsidRPr="000F1B6E" w:rsidRDefault="009D24B9" w:rsidP="00BC5EAA">
            <w:pPr>
              <w:jc w:val="both"/>
              <w:rPr>
                <w:rFonts w:eastAsia="Calibri"/>
                <w:color w:val="000000"/>
                <w:sz w:val="20"/>
              </w:rPr>
            </w:pPr>
          </w:p>
        </w:tc>
      </w:tr>
      <w:tr w:rsidR="009D24B9" w:rsidRPr="000F1B6E" w:rsidTr="00BC5EAA">
        <w:tc>
          <w:tcPr>
            <w:tcW w:w="2427" w:type="pct"/>
          </w:tcPr>
          <w:p w:rsidR="009D24B9" w:rsidRPr="000F1B6E" w:rsidRDefault="009D24B9" w:rsidP="00BC5EAA">
            <w:pPr>
              <w:jc w:val="both"/>
              <w:rPr>
                <w:rFonts w:eastAsia="Calibri"/>
                <w:sz w:val="20"/>
              </w:rPr>
            </w:pPr>
            <w:r w:rsidRPr="000F1B6E">
              <w:rPr>
                <w:rFonts w:eastAsia="Calibri"/>
                <w:sz w:val="20"/>
              </w:rPr>
              <w:t>October 7, 2011</w:t>
            </w:r>
          </w:p>
          <w:p w:rsidR="009D24B9" w:rsidRPr="000F1B6E" w:rsidRDefault="009D24B9" w:rsidP="00BC5EAA">
            <w:pPr>
              <w:jc w:val="both"/>
              <w:rPr>
                <w:rFonts w:eastAsia="Calibri"/>
                <w:sz w:val="20"/>
              </w:rPr>
            </w:pPr>
            <w:r w:rsidRPr="000F1B6E">
              <w:rPr>
                <w:rFonts w:eastAsia="Calibri"/>
                <w:sz w:val="20"/>
              </w:rPr>
              <w:t>Ontario Superior Court of Justice</w:t>
            </w:r>
          </w:p>
          <w:p w:rsidR="009D24B9" w:rsidRPr="000F1B6E" w:rsidRDefault="009D24B9" w:rsidP="00BC5EAA">
            <w:pPr>
              <w:jc w:val="both"/>
              <w:rPr>
                <w:rFonts w:eastAsia="Calibri"/>
                <w:sz w:val="20"/>
              </w:rPr>
            </w:pPr>
            <w:r w:rsidRPr="000F1B6E">
              <w:rPr>
                <w:rFonts w:eastAsia="Calibri"/>
                <w:sz w:val="20"/>
              </w:rPr>
              <w:t>(Tranmer J.)</w:t>
            </w:r>
          </w:p>
          <w:p w:rsidR="009D24B9" w:rsidRPr="000F1B6E" w:rsidRDefault="009D24B9" w:rsidP="00BC5EAA">
            <w:pPr>
              <w:jc w:val="both"/>
              <w:rPr>
                <w:rFonts w:eastAsia="Calibri"/>
                <w:sz w:val="20"/>
              </w:rPr>
            </w:pPr>
          </w:p>
        </w:tc>
        <w:tc>
          <w:tcPr>
            <w:tcW w:w="243" w:type="pct"/>
          </w:tcPr>
          <w:p w:rsidR="009D24B9" w:rsidRPr="000F1B6E" w:rsidRDefault="009D24B9" w:rsidP="00BC5EAA">
            <w:pPr>
              <w:jc w:val="both"/>
              <w:rPr>
                <w:rFonts w:eastAsia="Calibri"/>
                <w:sz w:val="20"/>
              </w:rPr>
            </w:pPr>
          </w:p>
        </w:tc>
        <w:tc>
          <w:tcPr>
            <w:tcW w:w="2330" w:type="pct"/>
          </w:tcPr>
          <w:p w:rsidR="009D24B9" w:rsidRPr="000F1B6E" w:rsidRDefault="009D24B9" w:rsidP="00BC5EAA">
            <w:pPr>
              <w:jc w:val="both"/>
              <w:rPr>
                <w:rFonts w:eastAsia="Calibri"/>
                <w:color w:val="1F497D"/>
                <w:sz w:val="20"/>
              </w:rPr>
            </w:pPr>
          </w:p>
          <w:p w:rsidR="009D24B9" w:rsidRPr="000F1B6E" w:rsidRDefault="009D24B9" w:rsidP="00BC5EAA">
            <w:pPr>
              <w:jc w:val="both"/>
              <w:rPr>
                <w:rFonts w:eastAsia="Calibri"/>
                <w:sz w:val="20"/>
              </w:rPr>
            </w:pPr>
            <w:r w:rsidRPr="000F1B6E">
              <w:rPr>
                <w:rFonts w:eastAsia="Calibri"/>
                <w:sz w:val="20"/>
              </w:rPr>
              <w:t>Application for stay of proceedings dismissed</w:t>
            </w:r>
          </w:p>
          <w:p w:rsidR="009D24B9" w:rsidRPr="000F1B6E" w:rsidRDefault="009D24B9" w:rsidP="00BC5EAA">
            <w:pPr>
              <w:jc w:val="both"/>
              <w:rPr>
                <w:rFonts w:eastAsia="Calibri"/>
                <w:sz w:val="20"/>
              </w:rPr>
            </w:pPr>
          </w:p>
          <w:p w:rsidR="009D24B9" w:rsidRPr="000F1B6E" w:rsidRDefault="009D24B9" w:rsidP="00BC5EAA">
            <w:pPr>
              <w:jc w:val="both"/>
              <w:rPr>
                <w:rFonts w:eastAsia="Calibri"/>
                <w:sz w:val="20"/>
              </w:rPr>
            </w:pPr>
          </w:p>
        </w:tc>
      </w:tr>
      <w:tr w:rsidR="009D24B9" w:rsidRPr="000F1B6E" w:rsidTr="00BC5EAA">
        <w:tc>
          <w:tcPr>
            <w:tcW w:w="2427" w:type="pct"/>
          </w:tcPr>
          <w:p w:rsidR="009D24B9" w:rsidRPr="000F1B6E" w:rsidRDefault="009D24B9" w:rsidP="00BC5EAA">
            <w:pPr>
              <w:jc w:val="both"/>
              <w:rPr>
                <w:rFonts w:eastAsia="Calibri"/>
                <w:sz w:val="20"/>
              </w:rPr>
            </w:pPr>
            <w:r w:rsidRPr="000F1B6E">
              <w:rPr>
                <w:rFonts w:eastAsia="Calibri"/>
                <w:sz w:val="20"/>
              </w:rPr>
              <w:t>August 19, 2014</w:t>
            </w:r>
          </w:p>
          <w:p w:rsidR="009D24B9" w:rsidRPr="000F1B6E" w:rsidRDefault="009D24B9" w:rsidP="00BC5EAA">
            <w:pPr>
              <w:jc w:val="both"/>
              <w:rPr>
                <w:rFonts w:eastAsia="Calibri"/>
                <w:sz w:val="20"/>
              </w:rPr>
            </w:pPr>
            <w:r w:rsidRPr="000F1B6E">
              <w:rPr>
                <w:rFonts w:eastAsia="Calibri"/>
                <w:sz w:val="20"/>
              </w:rPr>
              <w:t>Court of Appeal for Ontario</w:t>
            </w:r>
          </w:p>
          <w:p w:rsidR="009D24B9" w:rsidRPr="000F1B6E" w:rsidRDefault="009D24B9" w:rsidP="00BC5EAA">
            <w:pPr>
              <w:jc w:val="both"/>
              <w:rPr>
                <w:rFonts w:eastAsia="Calibri"/>
                <w:sz w:val="20"/>
              </w:rPr>
            </w:pPr>
            <w:r w:rsidRPr="000F1B6E">
              <w:rPr>
                <w:rFonts w:eastAsia="Calibri"/>
                <w:sz w:val="20"/>
              </w:rPr>
              <w:t>(Rosenberg, MacPherson and Lauwers JJ.A.)</w:t>
            </w:r>
          </w:p>
          <w:p w:rsidR="009D24B9" w:rsidRPr="000F1B6E" w:rsidRDefault="009D24B9" w:rsidP="00BC5EAA">
            <w:pPr>
              <w:jc w:val="both"/>
              <w:rPr>
                <w:rFonts w:eastAsia="Calibri"/>
                <w:sz w:val="20"/>
              </w:rPr>
            </w:pPr>
          </w:p>
        </w:tc>
        <w:tc>
          <w:tcPr>
            <w:tcW w:w="243" w:type="pct"/>
          </w:tcPr>
          <w:p w:rsidR="009D24B9" w:rsidRPr="000F1B6E" w:rsidRDefault="009D24B9" w:rsidP="00BC5EAA">
            <w:pPr>
              <w:jc w:val="both"/>
              <w:rPr>
                <w:rFonts w:eastAsia="Calibri"/>
                <w:sz w:val="20"/>
              </w:rPr>
            </w:pPr>
          </w:p>
        </w:tc>
        <w:tc>
          <w:tcPr>
            <w:tcW w:w="2330" w:type="pct"/>
          </w:tcPr>
          <w:p w:rsidR="009D24B9" w:rsidRPr="000F1B6E" w:rsidRDefault="009D24B9" w:rsidP="00BC5EAA">
            <w:pPr>
              <w:jc w:val="both"/>
              <w:rPr>
                <w:rFonts w:eastAsia="Calibri"/>
                <w:sz w:val="20"/>
              </w:rPr>
            </w:pPr>
            <w:r w:rsidRPr="000F1B6E">
              <w:rPr>
                <w:rFonts w:eastAsia="Calibri"/>
                <w:sz w:val="20"/>
              </w:rPr>
              <w:t>Appeal allowed: stay of execution granted</w:t>
            </w:r>
          </w:p>
          <w:p w:rsidR="009D24B9" w:rsidRPr="000F1B6E" w:rsidRDefault="009D24B9" w:rsidP="00BC5EAA">
            <w:pPr>
              <w:jc w:val="both"/>
              <w:rPr>
                <w:rFonts w:eastAsia="Calibri"/>
                <w:sz w:val="20"/>
              </w:rPr>
            </w:pPr>
          </w:p>
          <w:p w:rsidR="009D24B9" w:rsidRPr="000F1B6E" w:rsidRDefault="009D24B9" w:rsidP="00BC5EAA">
            <w:pPr>
              <w:jc w:val="both"/>
              <w:rPr>
                <w:rFonts w:eastAsia="Calibri"/>
                <w:sz w:val="20"/>
              </w:rPr>
            </w:pPr>
          </w:p>
        </w:tc>
      </w:tr>
      <w:tr w:rsidR="009D24B9" w:rsidRPr="000F1B6E" w:rsidTr="00BC5EAA">
        <w:tc>
          <w:tcPr>
            <w:tcW w:w="2427" w:type="pct"/>
          </w:tcPr>
          <w:p w:rsidR="009D24B9" w:rsidRPr="000F1B6E" w:rsidRDefault="009D24B9" w:rsidP="00BC5EAA">
            <w:pPr>
              <w:jc w:val="both"/>
              <w:rPr>
                <w:rFonts w:eastAsia="Calibri"/>
                <w:sz w:val="20"/>
              </w:rPr>
            </w:pPr>
            <w:r w:rsidRPr="000F1B6E">
              <w:rPr>
                <w:rFonts w:eastAsia="Calibri"/>
                <w:sz w:val="20"/>
              </w:rPr>
              <w:t>October 3, 2014</w:t>
            </w:r>
          </w:p>
          <w:p w:rsidR="009D24B9" w:rsidRPr="000F1B6E" w:rsidRDefault="009D24B9" w:rsidP="00BC5EAA">
            <w:pPr>
              <w:jc w:val="both"/>
              <w:rPr>
                <w:rFonts w:eastAsia="Calibri"/>
                <w:sz w:val="20"/>
              </w:rPr>
            </w:pPr>
            <w:r w:rsidRPr="000F1B6E">
              <w:rPr>
                <w:rFonts w:eastAsia="Calibri"/>
                <w:sz w:val="20"/>
              </w:rPr>
              <w:t>Supreme Court of Canada</w:t>
            </w:r>
          </w:p>
          <w:p w:rsidR="009D24B9" w:rsidRPr="000F1B6E" w:rsidRDefault="009D24B9" w:rsidP="00BC5EAA">
            <w:pPr>
              <w:jc w:val="both"/>
              <w:rPr>
                <w:rFonts w:eastAsia="Calibri"/>
                <w:sz w:val="20"/>
              </w:rPr>
            </w:pPr>
          </w:p>
        </w:tc>
        <w:tc>
          <w:tcPr>
            <w:tcW w:w="243" w:type="pct"/>
          </w:tcPr>
          <w:p w:rsidR="009D24B9" w:rsidRPr="000F1B6E" w:rsidRDefault="009D24B9" w:rsidP="00BC5EAA">
            <w:pPr>
              <w:jc w:val="both"/>
              <w:rPr>
                <w:rFonts w:eastAsia="Calibri"/>
                <w:sz w:val="20"/>
              </w:rPr>
            </w:pPr>
          </w:p>
        </w:tc>
        <w:tc>
          <w:tcPr>
            <w:tcW w:w="2330" w:type="pct"/>
          </w:tcPr>
          <w:p w:rsidR="009D24B9" w:rsidRPr="000F1B6E" w:rsidRDefault="009D24B9" w:rsidP="00BC5EAA">
            <w:pPr>
              <w:jc w:val="both"/>
              <w:rPr>
                <w:rFonts w:eastAsia="Calibri"/>
                <w:sz w:val="20"/>
              </w:rPr>
            </w:pPr>
            <w:r w:rsidRPr="000F1B6E">
              <w:rPr>
                <w:rFonts w:eastAsia="Calibri"/>
                <w:sz w:val="20"/>
              </w:rPr>
              <w:t>Application for leave to appeal filed</w:t>
            </w:r>
          </w:p>
          <w:p w:rsidR="009D24B9" w:rsidRPr="000F1B6E" w:rsidRDefault="009D24B9" w:rsidP="00BC5EAA">
            <w:pPr>
              <w:jc w:val="both"/>
              <w:rPr>
                <w:rFonts w:eastAsia="Calibri"/>
                <w:sz w:val="20"/>
              </w:rPr>
            </w:pPr>
          </w:p>
        </w:tc>
      </w:tr>
      <w:tr w:rsidR="009D24B9" w:rsidRPr="000F1B6E" w:rsidTr="00BC5EAA">
        <w:tc>
          <w:tcPr>
            <w:tcW w:w="2427" w:type="pct"/>
          </w:tcPr>
          <w:p w:rsidR="009D24B9" w:rsidRPr="000F1B6E" w:rsidRDefault="009D24B9" w:rsidP="00BC5EAA">
            <w:pPr>
              <w:jc w:val="both"/>
              <w:rPr>
                <w:rFonts w:eastAsia="Calibri"/>
                <w:sz w:val="20"/>
              </w:rPr>
            </w:pPr>
            <w:r w:rsidRPr="000F1B6E">
              <w:rPr>
                <w:rFonts w:eastAsia="Calibri"/>
                <w:sz w:val="20"/>
              </w:rPr>
              <w:t>November 3, 2014</w:t>
            </w:r>
          </w:p>
          <w:p w:rsidR="009D24B9" w:rsidRPr="000F1B6E" w:rsidRDefault="009D24B9" w:rsidP="00BC5EAA">
            <w:pPr>
              <w:jc w:val="both"/>
              <w:rPr>
                <w:rFonts w:eastAsia="Calibri"/>
                <w:sz w:val="20"/>
              </w:rPr>
            </w:pPr>
            <w:r w:rsidRPr="000F1B6E">
              <w:rPr>
                <w:rFonts w:eastAsia="Calibri"/>
                <w:sz w:val="20"/>
              </w:rPr>
              <w:t>Supreme Court of Canada</w:t>
            </w:r>
          </w:p>
        </w:tc>
        <w:tc>
          <w:tcPr>
            <w:tcW w:w="243" w:type="pct"/>
          </w:tcPr>
          <w:p w:rsidR="009D24B9" w:rsidRPr="000F1B6E" w:rsidRDefault="009D24B9" w:rsidP="00BC5EAA">
            <w:pPr>
              <w:jc w:val="both"/>
              <w:rPr>
                <w:rFonts w:eastAsia="Calibri"/>
                <w:sz w:val="20"/>
              </w:rPr>
            </w:pPr>
          </w:p>
        </w:tc>
        <w:tc>
          <w:tcPr>
            <w:tcW w:w="2330" w:type="pct"/>
          </w:tcPr>
          <w:p w:rsidR="009D24B9" w:rsidRPr="000F1B6E" w:rsidRDefault="009D24B9" w:rsidP="00BC5EAA">
            <w:pPr>
              <w:jc w:val="both"/>
              <w:rPr>
                <w:rFonts w:eastAsia="Calibri"/>
                <w:sz w:val="20"/>
              </w:rPr>
            </w:pPr>
            <w:r w:rsidRPr="000F1B6E">
              <w:rPr>
                <w:rFonts w:eastAsia="Calibri"/>
                <w:sz w:val="20"/>
              </w:rPr>
              <w:t>Application for leave to cross- appeal filed in Respondent’s response</w:t>
            </w:r>
          </w:p>
        </w:tc>
      </w:tr>
    </w:tbl>
    <w:p w:rsidR="00124C37" w:rsidRPr="009D24B9" w:rsidRDefault="00124C37" w:rsidP="00124C37">
      <w:pPr>
        <w:rPr>
          <w:sz w:val="20"/>
          <w:szCs w:val="20"/>
        </w:rPr>
      </w:pPr>
    </w:p>
    <w:p w:rsidR="00124C37" w:rsidRPr="00C50A5C" w:rsidRDefault="00E42AAB" w:rsidP="00124C37">
      <w:pPr>
        <w:rPr>
          <w:sz w:val="20"/>
          <w:szCs w:val="20"/>
        </w:rPr>
      </w:pPr>
      <w:r>
        <w:rPr>
          <w:sz w:val="20"/>
          <w:szCs w:val="20"/>
          <w:lang w:val="fr-CA"/>
        </w:rPr>
        <w:pict>
          <v:rect id="_x0000_i1085" style="width:2in;height:1pt" o:hrpct="0" o:hralign="center" o:hrstd="t" o:hrnoshade="t" o:hr="t" fillcolor="black [3213]" stroked="f"/>
        </w:pict>
      </w:r>
    </w:p>
    <w:p w:rsidR="00124C37" w:rsidRDefault="00124C37" w:rsidP="00124C37">
      <w:pPr>
        <w:rPr>
          <w:sz w:val="20"/>
          <w:szCs w:val="20"/>
        </w:rPr>
      </w:pPr>
    </w:p>
    <w:p w:rsidR="00124C37" w:rsidRPr="001B157C" w:rsidRDefault="00124C37" w:rsidP="00124C37">
      <w:pPr>
        <w:rPr>
          <w:sz w:val="20"/>
          <w:szCs w:val="20"/>
          <w:u w:val="single"/>
          <w:lang w:val="fr-CA"/>
        </w:rPr>
      </w:pPr>
      <w:r w:rsidRPr="001B157C">
        <w:rPr>
          <w:sz w:val="20"/>
          <w:szCs w:val="20"/>
          <w:u w:val="single"/>
          <w:lang w:val="fr-CA"/>
        </w:rPr>
        <w:t>RÉSUMÉ DE L’AFFAIRE</w:t>
      </w:r>
    </w:p>
    <w:p w:rsidR="00124C37" w:rsidRDefault="00124C37" w:rsidP="00124C3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D24B9" w:rsidRPr="0025502E" w:rsidTr="00BC5EAA">
        <w:tc>
          <w:tcPr>
            <w:tcW w:w="5000" w:type="pct"/>
            <w:gridSpan w:val="3"/>
          </w:tcPr>
          <w:p w:rsidR="009D24B9" w:rsidRPr="000F1B6E" w:rsidRDefault="009D24B9" w:rsidP="00BC5EAA">
            <w:pPr>
              <w:jc w:val="both"/>
              <w:rPr>
                <w:rFonts w:eastAsia="Calibri"/>
                <w:i/>
                <w:smallCaps/>
                <w:sz w:val="20"/>
                <w:lang w:val="fr-CA"/>
              </w:rPr>
            </w:pPr>
            <w:r w:rsidRPr="000F1B6E">
              <w:rPr>
                <w:rFonts w:eastAsia="Calibri"/>
                <w:smallCaps/>
                <w:sz w:val="20"/>
                <w:lang w:val="fr-CA"/>
              </w:rPr>
              <w:t>(Ordonnance de non-publication dans le dossier)</w:t>
            </w:r>
            <w:r w:rsidRPr="000F1B6E">
              <w:rPr>
                <w:rFonts w:eastAsia="Calibri"/>
                <w:i/>
                <w:smallCaps/>
                <w:sz w:val="20"/>
                <w:lang w:val="fr-CA"/>
              </w:rPr>
              <w:t xml:space="preserve"> </w:t>
            </w:r>
          </w:p>
          <w:p w:rsidR="009D24B9" w:rsidRPr="000F1B6E" w:rsidRDefault="009D24B9" w:rsidP="00BC5EAA">
            <w:pPr>
              <w:jc w:val="both"/>
              <w:rPr>
                <w:rFonts w:eastAsia="Calibri"/>
                <w:i/>
                <w:smallCaps/>
                <w:sz w:val="20"/>
                <w:lang w:val="fr-CA"/>
              </w:rPr>
            </w:pPr>
          </w:p>
          <w:p w:rsidR="009D24B9" w:rsidRPr="000F1B6E" w:rsidRDefault="009D24B9" w:rsidP="00BC5EAA">
            <w:pPr>
              <w:jc w:val="both"/>
              <w:rPr>
                <w:rFonts w:eastAsia="Calibri"/>
                <w:smallCaps/>
                <w:sz w:val="20"/>
                <w:lang w:val="fr-CA"/>
              </w:rPr>
            </w:pPr>
            <w:r w:rsidRPr="000F1B6E">
              <w:rPr>
                <w:rFonts w:eastAsia="Calibri"/>
                <w:i/>
                <w:sz w:val="20"/>
                <w:lang w:val="fr-CA"/>
              </w:rPr>
              <w:t>Charte canadienne des droits et libertés</w:t>
            </w:r>
            <w:r w:rsidRPr="000F1B6E">
              <w:rPr>
                <w:rFonts w:eastAsia="Calibri"/>
                <w:sz w:val="20"/>
                <w:lang w:val="fr-CA"/>
              </w:rPr>
              <w:t>,</w:t>
            </w:r>
            <w:r w:rsidRPr="000F1B6E">
              <w:rPr>
                <w:rFonts w:eastAsia="Calibri"/>
                <w:i/>
                <w:sz w:val="20"/>
                <w:lang w:val="fr-CA"/>
              </w:rPr>
              <w:t xml:space="preserve"> </w:t>
            </w:r>
            <w:r w:rsidRPr="000F1B6E">
              <w:rPr>
                <w:rFonts w:eastAsia="Calibri"/>
                <w:sz w:val="20"/>
                <w:lang w:val="fr-CA"/>
              </w:rPr>
              <w:t>al. 11</w:t>
            </w:r>
            <w:r w:rsidRPr="000F1B6E">
              <w:rPr>
                <w:rFonts w:eastAsia="Calibri"/>
                <w:i/>
                <w:sz w:val="20"/>
                <w:lang w:val="fr-CA"/>
              </w:rPr>
              <w:t>b)</w:t>
            </w:r>
            <w:r w:rsidRPr="000F1B6E">
              <w:rPr>
                <w:rFonts w:eastAsia="Calibri"/>
                <w:sz w:val="20"/>
                <w:lang w:val="fr-CA"/>
              </w:rPr>
              <w:t xml:space="preserve"> – Droit criminel – Droits procéduraux – Procès dans un délai raisonnable – La Cour d’appel a-t-elle commis une erreur de droit en concluant que le droit constitutionnel de l’intimé à un procès dans un délai raisonnable avait été violé, plus particulièrement (1) en ce qui a trait à la connaissance d’office et (2) en ce qui a trait à l’appréciation du préjudice causé aux droits de l’intimé à la liberté, à la sécurité et à un procès équitable?</w:t>
            </w:r>
          </w:p>
        </w:tc>
      </w:tr>
      <w:tr w:rsidR="009D24B9" w:rsidRPr="0025502E" w:rsidTr="00BC5EAA">
        <w:tc>
          <w:tcPr>
            <w:tcW w:w="5000" w:type="pct"/>
            <w:gridSpan w:val="3"/>
          </w:tcPr>
          <w:p w:rsidR="009D24B9" w:rsidRPr="000F1B6E" w:rsidRDefault="009D24B9" w:rsidP="00BC5EAA">
            <w:pPr>
              <w:jc w:val="both"/>
              <w:rPr>
                <w:rFonts w:eastAsia="Calibri"/>
                <w:sz w:val="20"/>
                <w:lang w:val="fr-CA"/>
              </w:rPr>
            </w:pPr>
          </w:p>
        </w:tc>
      </w:tr>
      <w:tr w:rsidR="009D24B9" w:rsidRPr="0025502E" w:rsidTr="00BC5EAA">
        <w:tc>
          <w:tcPr>
            <w:tcW w:w="5000" w:type="pct"/>
            <w:gridSpan w:val="3"/>
          </w:tcPr>
          <w:p w:rsidR="009D24B9" w:rsidRPr="000F1B6E" w:rsidRDefault="009D24B9" w:rsidP="00BC5EAA">
            <w:pPr>
              <w:jc w:val="both"/>
              <w:rPr>
                <w:rFonts w:eastAsia="Calibri"/>
                <w:color w:val="000000"/>
                <w:sz w:val="20"/>
                <w:lang w:val="fr-CA"/>
              </w:rPr>
            </w:pPr>
            <w:r w:rsidRPr="000F1B6E">
              <w:rPr>
                <w:rFonts w:eastAsia="Calibri"/>
                <w:color w:val="000000"/>
                <w:sz w:val="20"/>
                <w:lang w:val="fr-CA"/>
              </w:rPr>
              <w:t xml:space="preserve">L’intimé a été accusé d’infractions à caractère sexuel commises à l’égard d’un jeune garçon il y a plus de trente ans.  L’intimé a été arrêté à l’école où il enseignait le 6 janvier 2009.  La dénonciation accusant l’intimé a été établie sous serment le lendemain.  L’intimé a été détenu jusqu’au 12 janvier 2009, lorsqu’il a été libéré sous caution.  Il a choisi de subir son procès devant juge et jury en Cour supérieure de justice et la date de son procès a été fixée au 12 décembre 2011.  Il ressort du dossier que l’enquête préliminaire a été ajournée une fois parce qu’une autre affaire devait être instruite en priorité et une deuxième fois parce que le juge président et un enquêteur n’étaient pas disponibles.  L’accusé et son avocat ont voyagé d’Ottawa à chacune de ces dates sans avoir été préalablement informés de ces ajournements.  Le 4 août 2010, la conférence préparatoire en Cour supérieure a été ajournée parce que l’avocat du ministère public affecté au dossier n’était pas présent.  Même si des dates antérieures étaient disponibles, il n’y avait aucune preuve sur la question de savoir si des avocats du ministère public étaient disponibles avant le </w:t>
            </w:r>
            <w:r w:rsidRPr="000F1B6E">
              <w:rPr>
                <w:rFonts w:eastAsia="Calibri"/>
                <w:color w:val="000000"/>
                <w:sz w:val="20"/>
                <w:lang w:val="fr-CA"/>
              </w:rPr>
              <w:lastRenderedPageBreak/>
              <w:t>29 septembre 2010, lorsque l’avocat du ministère public a comparu et que la conférence préparatoire a eu lieu.  L’affaire a alors été ajournée à l’audience de mise au rôle le 22 octobre 2010, lorsque les dates des demandes avant le procès et la date du procès devant jury ont été fixées.  Il ressortait en outre du dossier que le ministère public avait tardé à divulguer toute la preuve, ce qui a entraîné un délai de quatre mois.  Un certain nombre de demandes avant le procès ont été présentées par le ministère public et la défense.  Le procès devant jury a commencé le 12 décembre 2011 et a pris fin le 20 décembre 2011.</w:t>
            </w:r>
          </w:p>
          <w:p w:rsidR="009D24B9" w:rsidRPr="000F1B6E" w:rsidRDefault="009D24B9" w:rsidP="00BC5EAA">
            <w:pPr>
              <w:jc w:val="both"/>
              <w:rPr>
                <w:rFonts w:eastAsia="Calibri"/>
                <w:color w:val="000000"/>
                <w:sz w:val="20"/>
                <w:lang w:val="fr-CA"/>
              </w:rPr>
            </w:pPr>
          </w:p>
        </w:tc>
      </w:tr>
      <w:tr w:rsidR="009D24B9" w:rsidRPr="0025502E" w:rsidTr="004D462D">
        <w:trPr>
          <w:cantSplit/>
        </w:trPr>
        <w:tc>
          <w:tcPr>
            <w:tcW w:w="2427" w:type="pct"/>
          </w:tcPr>
          <w:p w:rsidR="009D24B9" w:rsidRPr="000F1B6E" w:rsidRDefault="009D24B9" w:rsidP="00BC5EAA">
            <w:pPr>
              <w:jc w:val="both"/>
              <w:rPr>
                <w:rFonts w:eastAsia="Calibri"/>
                <w:sz w:val="20"/>
                <w:lang w:val="fr-CA"/>
              </w:rPr>
            </w:pPr>
            <w:r w:rsidRPr="000F1B6E">
              <w:rPr>
                <w:rFonts w:eastAsia="Calibri"/>
                <w:sz w:val="20"/>
                <w:lang w:val="fr-CA"/>
              </w:rPr>
              <w:lastRenderedPageBreak/>
              <w:t>7 octobre 2011</w:t>
            </w:r>
          </w:p>
          <w:p w:rsidR="009D24B9" w:rsidRPr="000F1B6E" w:rsidRDefault="009D24B9" w:rsidP="00BC5EAA">
            <w:pPr>
              <w:jc w:val="both"/>
              <w:rPr>
                <w:rFonts w:eastAsia="Calibri"/>
                <w:sz w:val="20"/>
                <w:lang w:val="fr-CA"/>
              </w:rPr>
            </w:pPr>
            <w:r w:rsidRPr="000F1B6E">
              <w:rPr>
                <w:rFonts w:eastAsia="Calibri"/>
                <w:sz w:val="20"/>
                <w:lang w:val="fr-CA"/>
              </w:rPr>
              <w:t>Cour supérieure de justice de l’Ontario</w:t>
            </w:r>
          </w:p>
          <w:p w:rsidR="009D24B9" w:rsidRPr="000F1B6E" w:rsidRDefault="009D24B9" w:rsidP="00BC5EAA">
            <w:pPr>
              <w:jc w:val="both"/>
              <w:rPr>
                <w:rFonts w:eastAsia="Calibri"/>
                <w:sz w:val="20"/>
                <w:lang w:val="fr-CA"/>
              </w:rPr>
            </w:pPr>
            <w:r w:rsidRPr="000F1B6E">
              <w:rPr>
                <w:rFonts w:eastAsia="Calibri"/>
                <w:sz w:val="20"/>
                <w:lang w:val="fr-CA"/>
              </w:rPr>
              <w:t>(Juge Tranmer)</w:t>
            </w:r>
          </w:p>
          <w:p w:rsidR="009D24B9" w:rsidRPr="000F1B6E" w:rsidRDefault="009D24B9" w:rsidP="00BC5EAA">
            <w:pPr>
              <w:jc w:val="both"/>
              <w:rPr>
                <w:rFonts w:eastAsia="Calibri"/>
                <w:sz w:val="20"/>
                <w:lang w:val="fr-CA"/>
              </w:rPr>
            </w:pPr>
          </w:p>
        </w:tc>
        <w:tc>
          <w:tcPr>
            <w:tcW w:w="243" w:type="pct"/>
          </w:tcPr>
          <w:p w:rsidR="009D24B9" w:rsidRPr="000F1B6E" w:rsidRDefault="009D24B9" w:rsidP="00BC5EAA">
            <w:pPr>
              <w:jc w:val="both"/>
              <w:rPr>
                <w:rFonts w:eastAsia="Calibri"/>
                <w:sz w:val="20"/>
                <w:lang w:val="fr-CA"/>
              </w:rPr>
            </w:pPr>
          </w:p>
        </w:tc>
        <w:tc>
          <w:tcPr>
            <w:tcW w:w="2330" w:type="pct"/>
          </w:tcPr>
          <w:p w:rsidR="009D24B9" w:rsidRPr="000F1B6E" w:rsidRDefault="009D24B9" w:rsidP="00BC5EAA">
            <w:pPr>
              <w:jc w:val="both"/>
              <w:rPr>
                <w:rFonts w:eastAsia="Calibri"/>
                <w:sz w:val="20"/>
                <w:lang w:val="fr-CA"/>
              </w:rPr>
            </w:pPr>
            <w:r w:rsidRPr="000F1B6E">
              <w:rPr>
                <w:rFonts w:eastAsia="Calibri"/>
                <w:sz w:val="20"/>
                <w:lang w:val="fr-CA"/>
              </w:rPr>
              <w:t xml:space="preserve">Rejet de la demande d’arrêt des procédures </w:t>
            </w:r>
          </w:p>
          <w:p w:rsidR="009D24B9" w:rsidRPr="000F1B6E" w:rsidRDefault="009D24B9" w:rsidP="00BC5EAA">
            <w:pPr>
              <w:jc w:val="both"/>
              <w:rPr>
                <w:rFonts w:eastAsia="Calibri"/>
                <w:sz w:val="20"/>
                <w:lang w:val="fr-CA"/>
              </w:rPr>
            </w:pPr>
          </w:p>
        </w:tc>
      </w:tr>
      <w:tr w:rsidR="009D24B9" w:rsidRPr="0025502E" w:rsidTr="004D462D">
        <w:trPr>
          <w:cantSplit/>
        </w:trPr>
        <w:tc>
          <w:tcPr>
            <w:tcW w:w="2427" w:type="pct"/>
          </w:tcPr>
          <w:p w:rsidR="009D24B9" w:rsidRPr="000F1B6E" w:rsidRDefault="009D24B9" w:rsidP="00BC5EAA">
            <w:pPr>
              <w:jc w:val="both"/>
              <w:rPr>
                <w:rFonts w:eastAsia="Calibri"/>
                <w:sz w:val="20"/>
                <w:lang w:val="fr-CA"/>
              </w:rPr>
            </w:pPr>
            <w:r w:rsidRPr="000F1B6E">
              <w:rPr>
                <w:rFonts w:eastAsia="Calibri"/>
                <w:sz w:val="20"/>
                <w:lang w:val="fr-CA"/>
              </w:rPr>
              <w:t>19 août 2014</w:t>
            </w:r>
          </w:p>
          <w:p w:rsidR="009D24B9" w:rsidRPr="000F1B6E" w:rsidRDefault="009D24B9" w:rsidP="00BC5EAA">
            <w:pPr>
              <w:jc w:val="both"/>
              <w:rPr>
                <w:rFonts w:eastAsia="Calibri"/>
                <w:sz w:val="20"/>
                <w:lang w:val="fr-CA"/>
              </w:rPr>
            </w:pPr>
            <w:r w:rsidRPr="000F1B6E">
              <w:rPr>
                <w:rFonts w:eastAsia="Calibri"/>
                <w:sz w:val="20"/>
                <w:lang w:val="fr-CA"/>
              </w:rPr>
              <w:t>Cour d’appel de l’Ontario</w:t>
            </w:r>
          </w:p>
          <w:p w:rsidR="009D24B9" w:rsidRPr="000F1B6E" w:rsidRDefault="009D24B9" w:rsidP="00BC5EAA">
            <w:pPr>
              <w:jc w:val="both"/>
              <w:rPr>
                <w:rFonts w:eastAsia="Calibri"/>
                <w:sz w:val="20"/>
                <w:lang w:val="fr-CA"/>
              </w:rPr>
            </w:pPr>
            <w:r w:rsidRPr="000F1B6E">
              <w:rPr>
                <w:rFonts w:eastAsia="Calibri"/>
                <w:sz w:val="20"/>
                <w:lang w:val="fr-CA"/>
              </w:rPr>
              <w:t>(Juges Rosenberg, MacPherson et Lauwers)</w:t>
            </w:r>
          </w:p>
          <w:p w:rsidR="009D24B9" w:rsidRPr="000F1B6E" w:rsidRDefault="009D24B9" w:rsidP="00BC5EAA">
            <w:pPr>
              <w:jc w:val="both"/>
              <w:rPr>
                <w:rFonts w:eastAsia="Calibri"/>
                <w:sz w:val="20"/>
                <w:lang w:val="fr-CA"/>
              </w:rPr>
            </w:pPr>
          </w:p>
        </w:tc>
        <w:tc>
          <w:tcPr>
            <w:tcW w:w="243" w:type="pct"/>
          </w:tcPr>
          <w:p w:rsidR="009D24B9" w:rsidRPr="000F1B6E" w:rsidRDefault="009D24B9" w:rsidP="00BC5EAA">
            <w:pPr>
              <w:jc w:val="both"/>
              <w:rPr>
                <w:rFonts w:eastAsia="Calibri"/>
                <w:sz w:val="20"/>
                <w:lang w:val="fr-CA"/>
              </w:rPr>
            </w:pPr>
          </w:p>
        </w:tc>
        <w:tc>
          <w:tcPr>
            <w:tcW w:w="2330" w:type="pct"/>
          </w:tcPr>
          <w:p w:rsidR="009D24B9" w:rsidRPr="000F1B6E" w:rsidRDefault="009D24B9" w:rsidP="00BC5EAA">
            <w:pPr>
              <w:jc w:val="both"/>
              <w:rPr>
                <w:rFonts w:eastAsia="Calibri"/>
                <w:sz w:val="20"/>
                <w:lang w:val="fr-CA"/>
              </w:rPr>
            </w:pPr>
            <w:r w:rsidRPr="000F1B6E">
              <w:rPr>
                <w:rFonts w:eastAsia="Calibri"/>
                <w:sz w:val="20"/>
                <w:lang w:val="fr-CA"/>
              </w:rPr>
              <w:t>Jugement accueillant l’appel et ordonnant l’arrêt des procédures</w:t>
            </w:r>
          </w:p>
          <w:p w:rsidR="009D24B9" w:rsidRPr="000F1B6E" w:rsidRDefault="009D24B9" w:rsidP="00BC5EAA">
            <w:pPr>
              <w:jc w:val="both"/>
              <w:rPr>
                <w:rFonts w:eastAsia="Calibri"/>
                <w:sz w:val="20"/>
                <w:lang w:val="fr-CA"/>
              </w:rPr>
            </w:pPr>
          </w:p>
        </w:tc>
      </w:tr>
      <w:tr w:rsidR="009D24B9" w:rsidRPr="0025502E" w:rsidTr="004D462D">
        <w:trPr>
          <w:cantSplit/>
        </w:trPr>
        <w:tc>
          <w:tcPr>
            <w:tcW w:w="2427" w:type="pct"/>
          </w:tcPr>
          <w:p w:rsidR="009D24B9" w:rsidRPr="000F1B6E" w:rsidRDefault="009D24B9" w:rsidP="00BC5EAA">
            <w:pPr>
              <w:jc w:val="both"/>
              <w:rPr>
                <w:rFonts w:eastAsia="Calibri"/>
                <w:sz w:val="20"/>
                <w:lang w:val="fr-CA"/>
              </w:rPr>
            </w:pPr>
            <w:r w:rsidRPr="000F1B6E">
              <w:rPr>
                <w:rFonts w:eastAsia="Calibri"/>
                <w:sz w:val="20"/>
                <w:lang w:val="fr-CA"/>
              </w:rPr>
              <w:t>3 octobre 2014</w:t>
            </w:r>
          </w:p>
          <w:p w:rsidR="009D24B9" w:rsidRPr="000F1B6E" w:rsidRDefault="009D24B9" w:rsidP="00BC5EAA">
            <w:pPr>
              <w:jc w:val="both"/>
              <w:rPr>
                <w:rFonts w:eastAsia="Calibri"/>
                <w:sz w:val="20"/>
                <w:lang w:val="fr-CA"/>
              </w:rPr>
            </w:pPr>
            <w:r w:rsidRPr="000F1B6E">
              <w:rPr>
                <w:rFonts w:eastAsia="Calibri"/>
                <w:sz w:val="20"/>
                <w:lang w:val="fr-CA"/>
              </w:rPr>
              <w:t>Cour suprême du Canada</w:t>
            </w:r>
          </w:p>
          <w:p w:rsidR="009D24B9" w:rsidRPr="000F1B6E" w:rsidRDefault="009D24B9" w:rsidP="00BC5EAA">
            <w:pPr>
              <w:jc w:val="both"/>
              <w:rPr>
                <w:rFonts w:eastAsia="Calibri"/>
                <w:sz w:val="20"/>
                <w:lang w:val="fr-CA"/>
              </w:rPr>
            </w:pPr>
          </w:p>
        </w:tc>
        <w:tc>
          <w:tcPr>
            <w:tcW w:w="243" w:type="pct"/>
          </w:tcPr>
          <w:p w:rsidR="009D24B9" w:rsidRPr="000F1B6E" w:rsidRDefault="009D24B9" w:rsidP="00BC5EAA">
            <w:pPr>
              <w:jc w:val="both"/>
              <w:rPr>
                <w:rFonts w:eastAsia="Calibri"/>
                <w:sz w:val="20"/>
                <w:lang w:val="fr-CA"/>
              </w:rPr>
            </w:pPr>
          </w:p>
        </w:tc>
        <w:tc>
          <w:tcPr>
            <w:tcW w:w="2330" w:type="pct"/>
          </w:tcPr>
          <w:p w:rsidR="009D24B9" w:rsidRPr="000F1B6E" w:rsidRDefault="009D24B9" w:rsidP="00BC5EAA">
            <w:pPr>
              <w:jc w:val="both"/>
              <w:rPr>
                <w:rFonts w:eastAsia="Calibri"/>
                <w:sz w:val="20"/>
                <w:lang w:val="fr-CA"/>
              </w:rPr>
            </w:pPr>
            <w:r w:rsidRPr="000F1B6E">
              <w:rPr>
                <w:rFonts w:eastAsia="Calibri"/>
                <w:sz w:val="20"/>
                <w:lang w:val="fr-CA"/>
              </w:rPr>
              <w:t>Dépôt de la demande d’autorisation d’appel</w:t>
            </w:r>
          </w:p>
          <w:p w:rsidR="009D24B9" w:rsidRPr="000F1B6E" w:rsidRDefault="009D24B9" w:rsidP="00BC5EAA">
            <w:pPr>
              <w:jc w:val="both"/>
              <w:rPr>
                <w:rFonts w:eastAsia="Calibri"/>
                <w:sz w:val="20"/>
                <w:lang w:val="fr-CA"/>
              </w:rPr>
            </w:pPr>
          </w:p>
        </w:tc>
      </w:tr>
      <w:tr w:rsidR="009D24B9" w:rsidRPr="0025502E" w:rsidTr="004D462D">
        <w:trPr>
          <w:cantSplit/>
        </w:trPr>
        <w:tc>
          <w:tcPr>
            <w:tcW w:w="2427" w:type="pct"/>
          </w:tcPr>
          <w:p w:rsidR="009D24B9" w:rsidRPr="000F1B6E" w:rsidRDefault="009D24B9" w:rsidP="00BC5EAA">
            <w:pPr>
              <w:jc w:val="both"/>
              <w:rPr>
                <w:rFonts w:eastAsia="Calibri"/>
                <w:sz w:val="20"/>
                <w:lang w:val="fr-CA"/>
              </w:rPr>
            </w:pPr>
            <w:r w:rsidRPr="000F1B6E">
              <w:rPr>
                <w:rFonts w:eastAsia="Calibri"/>
                <w:sz w:val="20"/>
                <w:lang w:val="fr-CA"/>
              </w:rPr>
              <w:t>3 novembre 2014</w:t>
            </w:r>
          </w:p>
          <w:p w:rsidR="009D24B9" w:rsidRPr="000F1B6E" w:rsidRDefault="009D24B9" w:rsidP="00BC5EAA">
            <w:pPr>
              <w:jc w:val="both"/>
              <w:rPr>
                <w:rFonts w:eastAsia="Calibri"/>
                <w:sz w:val="20"/>
                <w:lang w:val="fr-CA"/>
              </w:rPr>
            </w:pPr>
            <w:r w:rsidRPr="000F1B6E">
              <w:rPr>
                <w:rFonts w:eastAsia="Calibri"/>
                <w:sz w:val="20"/>
                <w:lang w:val="fr-CA"/>
              </w:rPr>
              <w:t>Cour suprême du Canada</w:t>
            </w:r>
          </w:p>
        </w:tc>
        <w:tc>
          <w:tcPr>
            <w:tcW w:w="243" w:type="pct"/>
          </w:tcPr>
          <w:p w:rsidR="009D24B9" w:rsidRPr="000F1B6E" w:rsidRDefault="009D24B9" w:rsidP="00BC5EAA">
            <w:pPr>
              <w:jc w:val="both"/>
              <w:rPr>
                <w:rFonts w:eastAsia="Calibri"/>
                <w:sz w:val="20"/>
                <w:lang w:val="fr-CA"/>
              </w:rPr>
            </w:pPr>
          </w:p>
        </w:tc>
        <w:tc>
          <w:tcPr>
            <w:tcW w:w="2330" w:type="pct"/>
          </w:tcPr>
          <w:p w:rsidR="009D24B9" w:rsidRPr="000F1B6E" w:rsidRDefault="009D24B9" w:rsidP="00BC5EAA">
            <w:pPr>
              <w:jc w:val="both"/>
              <w:rPr>
                <w:rFonts w:eastAsia="Calibri"/>
                <w:sz w:val="20"/>
                <w:lang w:val="fr-CA"/>
              </w:rPr>
            </w:pPr>
            <w:r w:rsidRPr="000F1B6E">
              <w:rPr>
                <w:rFonts w:eastAsia="Calibri"/>
                <w:sz w:val="20"/>
                <w:lang w:val="fr-CA"/>
              </w:rPr>
              <w:t>Dépôt de la demande d’autorisation d’appel incident dans la réponse de l’intimé</w:t>
            </w:r>
          </w:p>
        </w:tc>
      </w:tr>
    </w:tbl>
    <w:p w:rsidR="00124C37" w:rsidRPr="009D24B9" w:rsidRDefault="00124C37" w:rsidP="00124C37">
      <w:pPr>
        <w:rPr>
          <w:sz w:val="20"/>
          <w:szCs w:val="20"/>
          <w:lang w:val="fr-CA"/>
        </w:rPr>
      </w:pPr>
    </w:p>
    <w:p w:rsidR="00124C37" w:rsidRDefault="00E42AAB" w:rsidP="00124C37">
      <w:pPr>
        <w:rPr>
          <w:sz w:val="20"/>
          <w:szCs w:val="20"/>
        </w:rPr>
      </w:pPr>
      <w:r>
        <w:rPr>
          <w:sz w:val="20"/>
          <w:szCs w:val="20"/>
          <w:lang w:val="fr-CA"/>
        </w:rPr>
        <w:pict>
          <v:rect id="_x0000_i1086" style="width:2in;height:1pt" o:hrpct="0" o:hralign="center" o:hrstd="t" o:hrnoshade="t" o:hr="t" fillcolor="black [3213]" stroked="f"/>
        </w:pict>
      </w:r>
    </w:p>
    <w:p w:rsidR="00124C37" w:rsidRDefault="00124C37" w:rsidP="00124C37">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03DFB" w:rsidRPr="00E7075A" w:rsidTr="00C64462">
        <w:trPr>
          <w:cantSplit/>
        </w:trPr>
        <w:tc>
          <w:tcPr>
            <w:tcW w:w="1458" w:type="dxa"/>
          </w:tcPr>
          <w:p w:rsidR="00803DFB" w:rsidRPr="00E7075A" w:rsidRDefault="00803DFB" w:rsidP="00C64462">
            <w:pPr>
              <w:rPr>
                <w:sz w:val="20"/>
                <w:szCs w:val="20"/>
              </w:rPr>
            </w:pPr>
            <w:r w:rsidRPr="00E7075A">
              <w:rPr>
                <w:rStyle w:val="SCCFileNumberChar"/>
                <w:sz w:val="20"/>
                <w:szCs w:val="20"/>
              </w:rPr>
              <w:t>36130</w:t>
            </w:r>
          </w:p>
          <w:p w:rsidR="00803DFB" w:rsidRPr="00E7075A" w:rsidRDefault="00803DFB" w:rsidP="00C64462">
            <w:pPr>
              <w:rPr>
                <w:b/>
                <w:sz w:val="20"/>
                <w:szCs w:val="20"/>
                <w:lang w:val="fr-CA"/>
              </w:rPr>
            </w:pPr>
          </w:p>
        </w:tc>
        <w:tc>
          <w:tcPr>
            <w:tcW w:w="8118" w:type="dxa"/>
          </w:tcPr>
          <w:p w:rsidR="00803DFB" w:rsidRPr="00E7075A" w:rsidRDefault="00803DFB" w:rsidP="00C64462">
            <w:pPr>
              <w:rPr>
                <w:sz w:val="20"/>
                <w:szCs w:val="20"/>
              </w:rPr>
            </w:pPr>
            <w:r w:rsidRPr="00803DFB">
              <w:rPr>
                <w:rStyle w:val="SCCLsocChar"/>
                <w:sz w:val="20"/>
                <w:szCs w:val="20"/>
                <w:lang w:val="en-CA"/>
              </w:rPr>
              <w:t>Charles Eli Kembo v. Her Majesty the Queen</w:t>
            </w:r>
            <w:r w:rsidRPr="00E7075A">
              <w:rPr>
                <w:sz w:val="20"/>
                <w:szCs w:val="20"/>
              </w:rPr>
              <w:t xml:space="preserve"> (B.C.) (Criminal) (By Leave)</w:t>
            </w:r>
          </w:p>
          <w:p w:rsidR="00803DFB" w:rsidRPr="00E7075A" w:rsidRDefault="00803DFB" w:rsidP="00C64462">
            <w:pPr>
              <w:rPr>
                <w:sz w:val="20"/>
                <w:szCs w:val="20"/>
              </w:rPr>
            </w:pPr>
          </w:p>
        </w:tc>
      </w:tr>
      <w:tr w:rsidR="00803DFB" w:rsidRPr="00E7075A" w:rsidTr="00C64462">
        <w:trPr>
          <w:cantSplit/>
        </w:trPr>
        <w:tc>
          <w:tcPr>
            <w:tcW w:w="1458" w:type="dxa"/>
          </w:tcPr>
          <w:p w:rsidR="00803DFB" w:rsidRPr="00E7075A" w:rsidRDefault="00803DFB" w:rsidP="00C64462">
            <w:pPr>
              <w:rPr>
                <w:sz w:val="20"/>
                <w:szCs w:val="20"/>
              </w:rPr>
            </w:pPr>
            <w:r w:rsidRPr="00E7075A">
              <w:rPr>
                <w:sz w:val="20"/>
                <w:szCs w:val="20"/>
              </w:rPr>
              <w:t>Coram :</w:t>
            </w:r>
          </w:p>
        </w:tc>
        <w:tc>
          <w:tcPr>
            <w:tcW w:w="8118" w:type="dxa"/>
          </w:tcPr>
          <w:p w:rsidR="00803DFB" w:rsidRPr="00E7075A" w:rsidRDefault="00803DFB" w:rsidP="00C64462">
            <w:pPr>
              <w:rPr>
                <w:sz w:val="20"/>
                <w:szCs w:val="20"/>
              </w:rPr>
            </w:pPr>
            <w:r w:rsidRPr="00803DFB">
              <w:rPr>
                <w:rStyle w:val="SCCCoramChar"/>
                <w:sz w:val="20"/>
                <w:szCs w:val="20"/>
                <w:lang w:val="en-CA"/>
              </w:rPr>
              <w:t>McLachlin C.J. and Wagner and Gascon JJ.</w:t>
            </w:r>
          </w:p>
          <w:p w:rsidR="00803DFB" w:rsidRPr="00E7075A" w:rsidRDefault="00803DFB" w:rsidP="00C64462">
            <w:pPr>
              <w:rPr>
                <w:sz w:val="20"/>
                <w:szCs w:val="20"/>
                <w:u w:val="single"/>
              </w:rPr>
            </w:pPr>
          </w:p>
        </w:tc>
      </w:tr>
      <w:tr w:rsidR="00803DFB" w:rsidRPr="0025502E" w:rsidTr="00C64462">
        <w:trPr>
          <w:cantSplit/>
        </w:trPr>
        <w:tc>
          <w:tcPr>
            <w:tcW w:w="9576" w:type="dxa"/>
            <w:gridSpan w:val="2"/>
          </w:tcPr>
          <w:p w:rsidR="00803DFB" w:rsidRPr="00E7075A" w:rsidRDefault="00803DFB" w:rsidP="00C64462">
            <w:pPr>
              <w:pStyle w:val="SCCShortJudgment"/>
              <w:rPr>
                <w:szCs w:val="20"/>
              </w:rPr>
            </w:pPr>
            <w:r w:rsidRPr="00E7075A">
              <w:rPr>
                <w:szCs w:val="20"/>
              </w:rPr>
              <w:t>The motion for an extension of time to serve and file the application for leave to appeal is granted.  The application for leave to appeal from the judgment of the Court of Appeal for British Columbia (Vancouver), Number CA038217, 2014 BCCA 307, dated July 31, 2014, is dismissed without costs.</w:t>
            </w:r>
          </w:p>
          <w:p w:rsidR="00803DFB" w:rsidRPr="00E7075A" w:rsidRDefault="00803DFB" w:rsidP="00C64462">
            <w:pPr>
              <w:pStyle w:val="SCCShortJudgment"/>
              <w:ind w:firstLine="0"/>
              <w:rPr>
                <w:szCs w:val="20"/>
              </w:rPr>
            </w:pPr>
          </w:p>
          <w:p w:rsidR="00803DFB" w:rsidRPr="00E7075A" w:rsidRDefault="00803DFB" w:rsidP="00C64462">
            <w:pPr>
              <w:pStyle w:val="SCCShortJudgment"/>
              <w:rPr>
                <w:szCs w:val="20"/>
                <w:lang w:val="fr-CA"/>
              </w:rPr>
            </w:pPr>
            <w:r w:rsidRPr="00E7075A">
              <w:rPr>
                <w:szCs w:val="20"/>
                <w:lang w:val="fr-CA"/>
              </w:rPr>
              <w:t>La requête en prorogation du délai de signification et de dépôt de la demande d’autorisation d’appel est accueillie. La demande d’autorisation d’appel de l’arrêt de la Cour d’appel de la Colombie-Britannique (Vancouver), numéro CA038217, 2014 BCCA 307, daté du 31 juillet 2014, est rejetée sans dépens.</w:t>
            </w:r>
          </w:p>
        </w:tc>
      </w:tr>
    </w:tbl>
    <w:p w:rsidR="00124C37" w:rsidRPr="00803DFB" w:rsidRDefault="00124C37" w:rsidP="000E2959">
      <w:pPr>
        <w:rPr>
          <w:sz w:val="20"/>
          <w:szCs w:val="20"/>
          <w:lang w:val="fr-CA"/>
        </w:rPr>
      </w:pPr>
    </w:p>
    <w:p w:rsidR="00124C37" w:rsidRPr="001B157C" w:rsidRDefault="00124C37" w:rsidP="00124C37">
      <w:pPr>
        <w:rPr>
          <w:sz w:val="20"/>
          <w:szCs w:val="20"/>
          <w:u w:val="single"/>
        </w:rPr>
      </w:pPr>
      <w:r w:rsidRPr="001B157C">
        <w:rPr>
          <w:sz w:val="20"/>
          <w:szCs w:val="20"/>
          <w:u w:val="single"/>
        </w:rPr>
        <w:t>CASE SUMMARY</w:t>
      </w:r>
    </w:p>
    <w:p w:rsidR="00124C37" w:rsidRDefault="00124C37" w:rsidP="00124C3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D24B9" w:rsidRPr="000F1B6E" w:rsidTr="00BC5EAA">
        <w:tc>
          <w:tcPr>
            <w:tcW w:w="5000" w:type="pct"/>
            <w:gridSpan w:val="3"/>
          </w:tcPr>
          <w:p w:rsidR="009D24B9" w:rsidRPr="000F1B6E" w:rsidRDefault="009D24B9" w:rsidP="00BC5EAA">
            <w:pPr>
              <w:jc w:val="both"/>
              <w:rPr>
                <w:rFonts w:eastAsia="Calibri"/>
                <w:smallCaps/>
                <w:sz w:val="20"/>
              </w:rPr>
            </w:pPr>
            <w:r w:rsidRPr="000F1B6E">
              <w:rPr>
                <w:rFonts w:eastAsia="Calibri"/>
                <w:smallCaps/>
                <w:sz w:val="20"/>
              </w:rPr>
              <w:t xml:space="preserve">(Publication </w:t>
            </w:r>
            <w:r>
              <w:rPr>
                <w:rFonts w:eastAsia="Calibri"/>
                <w:smallCaps/>
                <w:sz w:val="20"/>
              </w:rPr>
              <w:t>B</w:t>
            </w:r>
            <w:r w:rsidRPr="000F1B6E">
              <w:rPr>
                <w:rFonts w:eastAsia="Calibri"/>
                <w:smallCaps/>
                <w:sz w:val="20"/>
              </w:rPr>
              <w:t xml:space="preserve">an in </w:t>
            </w:r>
            <w:r>
              <w:rPr>
                <w:rFonts w:eastAsia="Calibri"/>
                <w:smallCaps/>
                <w:sz w:val="20"/>
              </w:rPr>
              <w:t>C</w:t>
            </w:r>
            <w:r w:rsidRPr="000F1B6E">
              <w:rPr>
                <w:rFonts w:eastAsia="Calibri"/>
                <w:smallCaps/>
                <w:sz w:val="20"/>
              </w:rPr>
              <w:t>ase)</w:t>
            </w:r>
          </w:p>
          <w:p w:rsidR="009D24B9" w:rsidRPr="000F1B6E" w:rsidRDefault="009D24B9" w:rsidP="00BC5EAA">
            <w:pPr>
              <w:jc w:val="both"/>
              <w:rPr>
                <w:rFonts w:eastAsia="Calibri"/>
                <w:sz w:val="20"/>
              </w:rPr>
            </w:pPr>
          </w:p>
          <w:p w:rsidR="009D24B9" w:rsidRPr="000F1B6E" w:rsidRDefault="009D24B9" w:rsidP="00BC5EAA">
            <w:pPr>
              <w:jc w:val="both"/>
              <w:rPr>
                <w:rFonts w:eastAsia="Calibri"/>
                <w:sz w:val="20"/>
              </w:rPr>
            </w:pPr>
            <w:r w:rsidRPr="000F1B6E">
              <w:rPr>
                <w:rFonts w:eastAsia="Calibri"/>
                <w:sz w:val="20"/>
              </w:rPr>
              <w:t xml:space="preserve">Criminal law – Similar fact evidence – Identity – Charge to the jury – Whether the Court of Appeal erred by approving the trial judge’s instructions to the jury that it could link the accused’s identity across four counts at step one of the test set out in </w:t>
            </w:r>
            <w:r w:rsidRPr="000F1B6E">
              <w:rPr>
                <w:rFonts w:eastAsia="Calibri"/>
                <w:i/>
                <w:sz w:val="20"/>
              </w:rPr>
              <w:t>R. v. Arp</w:t>
            </w:r>
            <w:r w:rsidRPr="000F1B6E">
              <w:rPr>
                <w:rFonts w:eastAsia="Calibri"/>
                <w:sz w:val="20"/>
              </w:rPr>
              <w:t xml:space="preserve">, [1998] 3 S.C.R. 339, and in further instructions that it could conflate evidence across the counts if considering each count on an isolated basis, contrary to the guidance in </w:t>
            </w:r>
            <w:r w:rsidRPr="000F1B6E">
              <w:rPr>
                <w:rFonts w:eastAsia="Calibri"/>
                <w:i/>
                <w:sz w:val="20"/>
              </w:rPr>
              <w:t>Arp</w:t>
            </w:r>
            <w:r w:rsidRPr="000F1B6E">
              <w:rPr>
                <w:rFonts w:eastAsia="Calibri"/>
                <w:sz w:val="20"/>
              </w:rPr>
              <w:t xml:space="preserve"> and </w:t>
            </w:r>
            <w:r w:rsidRPr="000F1B6E">
              <w:rPr>
                <w:rFonts w:eastAsia="Calibri"/>
                <w:i/>
                <w:sz w:val="20"/>
              </w:rPr>
              <w:t>R. v. Rarru</w:t>
            </w:r>
            <w:r w:rsidRPr="000F1B6E">
              <w:rPr>
                <w:rFonts w:eastAsia="Calibri"/>
                <w:sz w:val="20"/>
              </w:rPr>
              <w:t>, [1996] 2 S.C.R. 165.</w:t>
            </w:r>
          </w:p>
        </w:tc>
      </w:tr>
      <w:tr w:rsidR="009D24B9" w:rsidRPr="000F1B6E" w:rsidTr="00BC5EAA">
        <w:tc>
          <w:tcPr>
            <w:tcW w:w="5000" w:type="pct"/>
            <w:gridSpan w:val="3"/>
          </w:tcPr>
          <w:p w:rsidR="009D24B9" w:rsidRPr="000F1B6E" w:rsidRDefault="009D24B9" w:rsidP="00BC5EAA">
            <w:pPr>
              <w:jc w:val="both"/>
              <w:rPr>
                <w:rFonts w:eastAsia="Calibri"/>
                <w:sz w:val="20"/>
              </w:rPr>
            </w:pPr>
          </w:p>
        </w:tc>
      </w:tr>
      <w:tr w:rsidR="009D24B9" w:rsidRPr="000F1B6E" w:rsidTr="00BC5EAA">
        <w:tc>
          <w:tcPr>
            <w:tcW w:w="5000" w:type="pct"/>
            <w:gridSpan w:val="3"/>
          </w:tcPr>
          <w:p w:rsidR="009D24B9" w:rsidRPr="000F1B6E" w:rsidRDefault="009D24B9" w:rsidP="00BC5EAA">
            <w:pPr>
              <w:jc w:val="both"/>
              <w:rPr>
                <w:rFonts w:eastAsia="Calibri"/>
                <w:sz w:val="20"/>
              </w:rPr>
            </w:pPr>
            <w:r w:rsidRPr="000F1B6E">
              <w:rPr>
                <w:rFonts w:eastAsia="Calibri"/>
                <w:sz w:val="20"/>
              </w:rPr>
              <w:t xml:space="preserve">The applicant, Mr. Kembo, was convicted on four counts of first degree murder.  The victims were murdered over a two and a half year period. They were Mr. Kembo’s wife, two friends of his and his step-daughter.  The Crown’s theory was that Mr. Kembo developed close relationships with each of the victims in order to reap from them financial gain.  At trial, the Crown sought to prove that the applicant was the perpetrator of all four crimes by adducing evidence about the homicides on a similar fact basis.  The trial judge ruled that the evidence was admissible.  She </w:t>
            </w:r>
            <w:r w:rsidRPr="000F1B6E">
              <w:rPr>
                <w:rFonts w:eastAsia="Calibri"/>
                <w:sz w:val="20"/>
              </w:rPr>
              <w:lastRenderedPageBreak/>
              <w:t xml:space="preserve">found, among other things, that “[t]he distinctive pattern or abnormal propensity [was] largely in the cultivation and exploitation of relationships’” and that the “pattern [was] so similar in each case that, viewed objectively, it [gave] rise to an improbability of coincidence”.  Mr. Kembo appealed his convictions.  Among his grounds of appeal was one relating to the trial judge’s admission and use of similar fact evidence.  Essentially, he submitted that because he had close personal relationships with each of the victims, it was unduly prejudicial to use the two-step approach set out in </w:t>
            </w:r>
            <w:r w:rsidRPr="000F1B6E">
              <w:rPr>
                <w:rFonts w:eastAsia="Calibri"/>
                <w:i/>
                <w:sz w:val="20"/>
              </w:rPr>
              <w:t>R. v. Arp</w:t>
            </w:r>
            <w:r w:rsidRPr="000F1B6E">
              <w:rPr>
                <w:rFonts w:eastAsia="Calibri"/>
                <w:sz w:val="20"/>
              </w:rPr>
              <w:t>, [1998] 3 S.C.R. 339.  Mr. Kembo also argued that the trial judge conflated the evidence on the counts and did not sufficiently segregate the evidence for the jury on a count by count basis.  The Court of Appeal unanimously dismissed the appeal.</w:t>
            </w:r>
          </w:p>
          <w:p w:rsidR="009D24B9" w:rsidRPr="000F1B6E" w:rsidRDefault="009D24B9" w:rsidP="00BC5EAA">
            <w:pPr>
              <w:jc w:val="both"/>
              <w:rPr>
                <w:rFonts w:eastAsia="Calibri"/>
                <w:sz w:val="20"/>
              </w:rPr>
            </w:pPr>
          </w:p>
        </w:tc>
      </w:tr>
      <w:tr w:rsidR="009D24B9" w:rsidRPr="000F1B6E" w:rsidTr="00BC5EAA">
        <w:tc>
          <w:tcPr>
            <w:tcW w:w="2427" w:type="pct"/>
          </w:tcPr>
          <w:p w:rsidR="009D24B9" w:rsidRPr="000F1B6E" w:rsidRDefault="009D24B9" w:rsidP="00BC5EAA">
            <w:pPr>
              <w:jc w:val="both"/>
              <w:rPr>
                <w:rFonts w:eastAsia="Calibri"/>
                <w:sz w:val="20"/>
              </w:rPr>
            </w:pPr>
            <w:r w:rsidRPr="000F1B6E">
              <w:rPr>
                <w:rFonts w:eastAsia="Calibri"/>
                <w:sz w:val="20"/>
              </w:rPr>
              <w:lastRenderedPageBreak/>
              <w:t>May 10, 2010</w:t>
            </w:r>
          </w:p>
          <w:p w:rsidR="009D24B9" w:rsidRPr="000F1B6E" w:rsidRDefault="009D24B9" w:rsidP="00BC5EAA">
            <w:pPr>
              <w:jc w:val="both"/>
              <w:rPr>
                <w:rFonts w:eastAsia="Calibri"/>
                <w:sz w:val="20"/>
              </w:rPr>
            </w:pPr>
            <w:r w:rsidRPr="000F1B6E">
              <w:rPr>
                <w:rFonts w:eastAsia="Calibri"/>
                <w:sz w:val="20"/>
              </w:rPr>
              <w:t>Supreme Court of British Columbia</w:t>
            </w:r>
          </w:p>
          <w:p w:rsidR="009D24B9" w:rsidRPr="000F1B6E" w:rsidRDefault="009D24B9" w:rsidP="00BC5EAA">
            <w:pPr>
              <w:jc w:val="both"/>
              <w:rPr>
                <w:rFonts w:eastAsia="Calibri"/>
                <w:sz w:val="20"/>
              </w:rPr>
            </w:pPr>
            <w:r w:rsidRPr="000F1B6E">
              <w:rPr>
                <w:rFonts w:eastAsia="Calibri"/>
                <w:sz w:val="20"/>
              </w:rPr>
              <w:t>(Stromberg-Stein J.)</w:t>
            </w:r>
          </w:p>
          <w:p w:rsidR="009D24B9" w:rsidRPr="000F1B6E" w:rsidRDefault="00E42AAB" w:rsidP="00BC5EAA">
            <w:pPr>
              <w:jc w:val="both"/>
              <w:rPr>
                <w:rFonts w:eastAsia="Calibri"/>
                <w:sz w:val="20"/>
              </w:rPr>
            </w:pPr>
            <w:hyperlink r:id="rId102" w:history="1">
              <w:r w:rsidR="009D24B9" w:rsidRPr="000F1B6E">
                <w:rPr>
                  <w:rFonts w:eastAsia="Calibri"/>
                  <w:color w:val="0000FF"/>
                  <w:sz w:val="20"/>
                  <w:u w:val="single"/>
                </w:rPr>
                <w:t>2010 BCSC 914</w:t>
              </w:r>
            </w:hyperlink>
          </w:p>
          <w:p w:rsidR="009D24B9" w:rsidRPr="000F1B6E" w:rsidRDefault="009D24B9" w:rsidP="00BC5EAA">
            <w:pPr>
              <w:jc w:val="both"/>
              <w:rPr>
                <w:rFonts w:eastAsia="Calibri"/>
                <w:sz w:val="20"/>
              </w:rPr>
            </w:pPr>
          </w:p>
        </w:tc>
        <w:tc>
          <w:tcPr>
            <w:tcW w:w="243" w:type="pct"/>
          </w:tcPr>
          <w:p w:rsidR="009D24B9" w:rsidRPr="000F1B6E" w:rsidRDefault="009D24B9" w:rsidP="00BC5EAA">
            <w:pPr>
              <w:jc w:val="both"/>
              <w:rPr>
                <w:rFonts w:eastAsia="Calibri"/>
                <w:sz w:val="20"/>
              </w:rPr>
            </w:pPr>
          </w:p>
        </w:tc>
        <w:tc>
          <w:tcPr>
            <w:tcW w:w="2330" w:type="pct"/>
          </w:tcPr>
          <w:p w:rsidR="009D24B9" w:rsidRPr="000F1B6E" w:rsidRDefault="009D24B9" w:rsidP="00BC5EAA">
            <w:pPr>
              <w:jc w:val="both"/>
              <w:rPr>
                <w:rFonts w:eastAsia="Calibri"/>
                <w:sz w:val="20"/>
              </w:rPr>
            </w:pPr>
            <w:r w:rsidRPr="000F1B6E">
              <w:rPr>
                <w:rFonts w:eastAsia="Calibri"/>
                <w:sz w:val="20"/>
              </w:rPr>
              <w:t>Similar fact evidence admitted</w:t>
            </w:r>
          </w:p>
          <w:p w:rsidR="009D24B9" w:rsidRPr="000F1B6E" w:rsidRDefault="009D24B9" w:rsidP="00BC5EAA">
            <w:pPr>
              <w:jc w:val="both"/>
              <w:rPr>
                <w:rFonts w:eastAsia="Calibri"/>
                <w:sz w:val="20"/>
              </w:rPr>
            </w:pPr>
          </w:p>
          <w:p w:rsidR="009D24B9" w:rsidRPr="000F1B6E" w:rsidRDefault="009D24B9" w:rsidP="00BC5EAA">
            <w:pPr>
              <w:jc w:val="both"/>
              <w:rPr>
                <w:rFonts w:eastAsia="Calibri"/>
                <w:sz w:val="20"/>
              </w:rPr>
            </w:pPr>
          </w:p>
          <w:p w:rsidR="009D24B9" w:rsidRPr="000F1B6E" w:rsidRDefault="009D24B9" w:rsidP="00BC5EAA">
            <w:pPr>
              <w:jc w:val="both"/>
              <w:rPr>
                <w:rFonts w:eastAsia="Calibri"/>
                <w:sz w:val="20"/>
              </w:rPr>
            </w:pPr>
          </w:p>
        </w:tc>
      </w:tr>
      <w:tr w:rsidR="009D24B9" w:rsidRPr="000F1B6E" w:rsidTr="00BC5EAA">
        <w:tc>
          <w:tcPr>
            <w:tcW w:w="2427" w:type="pct"/>
          </w:tcPr>
          <w:p w:rsidR="009D24B9" w:rsidRPr="000F1B6E" w:rsidRDefault="009D24B9" w:rsidP="00BC5EAA">
            <w:pPr>
              <w:jc w:val="both"/>
              <w:rPr>
                <w:rFonts w:eastAsia="Calibri"/>
                <w:sz w:val="20"/>
              </w:rPr>
            </w:pPr>
            <w:r w:rsidRPr="000F1B6E">
              <w:rPr>
                <w:rFonts w:eastAsia="Calibri"/>
                <w:sz w:val="20"/>
              </w:rPr>
              <w:t>June 11, 2010</w:t>
            </w:r>
          </w:p>
          <w:p w:rsidR="009D24B9" w:rsidRPr="000F1B6E" w:rsidRDefault="009D24B9" w:rsidP="00BC5EAA">
            <w:pPr>
              <w:jc w:val="both"/>
              <w:rPr>
                <w:rFonts w:eastAsia="Calibri"/>
                <w:sz w:val="20"/>
              </w:rPr>
            </w:pPr>
            <w:r w:rsidRPr="000F1B6E">
              <w:rPr>
                <w:rFonts w:eastAsia="Calibri"/>
                <w:sz w:val="20"/>
              </w:rPr>
              <w:t>Supreme Court of British Columbia</w:t>
            </w:r>
          </w:p>
          <w:p w:rsidR="009D24B9" w:rsidRPr="000F1B6E" w:rsidRDefault="009D24B9" w:rsidP="00BC5EAA">
            <w:pPr>
              <w:jc w:val="both"/>
              <w:rPr>
                <w:rFonts w:eastAsia="Calibri"/>
                <w:sz w:val="20"/>
              </w:rPr>
            </w:pPr>
            <w:r w:rsidRPr="000F1B6E">
              <w:rPr>
                <w:rFonts w:eastAsia="Calibri"/>
                <w:sz w:val="20"/>
              </w:rPr>
              <w:t>(Stromberg-Stein J.)</w:t>
            </w:r>
          </w:p>
          <w:p w:rsidR="009D24B9" w:rsidRPr="000F1B6E" w:rsidRDefault="009D24B9" w:rsidP="00BC5EAA">
            <w:pPr>
              <w:jc w:val="both"/>
              <w:rPr>
                <w:rFonts w:eastAsia="Calibri"/>
                <w:sz w:val="20"/>
              </w:rPr>
            </w:pPr>
          </w:p>
        </w:tc>
        <w:tc>
          <w:tcPr>
            <w:tcW w:w="243" w:type="pct"/>
          </w:tcPr>
          <w:p w:rsidR="009D24B9" w:rsidRPr="000F1B6E" w:rsidRDefault="009D24B9" w:rsidP="00BC5EAA">
            <w:pPr>
              <w:jc w:val="both"/>
              <w:rPr>
                <w:rFonts w:eastAsia="Calibri"/>
                <w:sz w:val="20"/>
              </w:rPr>
            </w:pPr>
          </w:p>
        </w:tc>
        <w:tc>
          <w:tcPr>
            <w:tcW w:w="2330" w:type="pct"/>
          </w:tcPr>
          <w:p w:rsidR="009D24B9" w:rsidRPr="000F1B6E" w:rsidRDefault="009D24B9" w:rsidP="00BC5EAA">
            <w:pPr>
              <w:jc w:val="both"/>
              <w:rPr>
                <w:rFonts w:eastAsia="Calibri"/>
                <w:sz w:val="20"/>
              </w:rPr>
            </w:pPr>
            <w:r w:rsidRPr="000F1B6E">
              <w:rPr>
                <w:rFonts w:eastAsia="Calibri"/>
                <w:sz w:val="20"/>
              </w:rPr>
              <w:t>Applicant convicted on four counts of first degree murder</w:t>
            </w:r>
          </w:p>
        </w:tc>
      </w:tr>
      <w:tr w:rsidR="009D24B9" w:rsidRPr="000F1B6E" w:rsidTr="00BC5EAA">
        <w:tc>
          <w:tcPr>
            <w:tcW w:w="2427" w:type="pct"/>
          </w:tcPr>
          <w:p w:rsidR="009D24B9" w:rsidRPr="000F1B6E" w:rsidRDefault="009D24B9" w:rsidP="00BC5EAA">
            <w:pPr>
              <w:jc w:val="both"/>
              <w:rPr>
                <w:rFonts w:eastAsia="Calibri"/>
                <w:sz w:val="20"/>
              </w:rPr>
            </w:pPr>
            <w:r w:rsidRPr="000F1B6E">
              <w:rPr>
                <w:rFonts w:eastAsia="Calibri"/>
                <w:sz w:val="20"/>
              </w:rPr>
              <w:t>July 31, 2014</w:t>
            </w:r>
          </w:p>
          <w:p w:rsidR="009D24B9" w:rsidRPr="000F1B6E" w:rsidRDefault="009D24B9" w:rsidP="00BC5EAA">
            <w:pPr>
              <w:jc w:val="both"/>
              <w:rPr>
                <w:rFonts w:eastAsia="Calibri"/>
                <w:sz w:val="20"/>
              </w:rPr>
            </w:pPr>
            <w:r w:rsidRPr="000F1B6E">
              <w:rPr>
                <w:rFonts w:eastAsia="Calibri"/>
                <w:sz w:val="20"/>
              </w:rPr>
              <w:t xml:space="preserve">Court of Appeal for British Columbia </w:t>
            </w:r>
          </w:p>
          <w:p w:rsidR="009D24B9" w:rsidRPr="000F1B6E" w:rsidRDefault="009D24B9" w:rsidP="00BC5EAA">
            <w:pPr>
              <w:jc w:val="both"/>
              <w:rPr>
                <w:rFonts w:eastAsia="Calibri"/>
                <w:sz w:val="20"/>
              </w:rPr>
            </w:pPr>
            <w:r w:rsidRPr="000F1B6E">
              <w:rPr>
                <w:rFonts w:eastAsia="Calibri"/>
                <w:sz w:val="20"/>
              </w:rPr>
              <w:t>(Hall, Chiasson and Neilson JJ.A.)</w:t>
            </w:r>
          </w:p>
          <w:p w:rsidR="009D24B9" w:rsidRPr="000F1B6E" w:rsidRDefault="00E42AAB" w:rsidP="00BC5EAA">
            <w:pPr>
              <w:jc w:val="both"/>
              <w:rPr>
                <w:rFonts w:eastAsia="Calibri"/>
                <w:sz w:val="20"/>
              </w:rPr>
            </w:pPr>
            <w:hyperlink r:id="rId103" w:history="1">
              <w:r w:rsidR="009D24B9" w:rsidRPr="000F1B6E">
                <w:rPr>
                  <w:rFonts w:eastAsia="Calibri"/>
                  <w:color w:val="0000FF"/>
                  <w:sz w:val="20"/>
                  <w:u w:val="single"/>
                </w:rPr>
                <w:t>2014 BCCA 307</w:t>
              </w:r>
            </w:hyperlink>
          </w:p>
          <w:p w:rsidR="009D24B9" w:rsidRPr="000F1B6E" w:rsidRDefault="009D24B9" w:rsidP="00BC5EAA">
            <w:pPr>
              <w:jc w:val="both"/>
              <w:rPr>
                <w:rFonts w:eastAsia="Calibri"/>
                <w:sz w:val="20"/>
              </w:rPr>
            </w:pPr>
          </w:p>
        </w:tc>
        <w:tc>
          <w:tcPr>
            <w:tcW w:w="243" w:type="pct"/>
          </w:tcPr>
          <w:p w:rsidR="009D24B9" w:rsidRPr="000F1B6E" w:rsidRDefault="009D24B9" w:rsidP="00BC5EAA">
            <w:pPr>
              <w:jc w:val="both"/>
              <w:rPr>
                <w:rFonts w:eastAsia="Calibri"/>
                <w:sz w:val="20"/>
              </w:rPr>
            </w:pPr>
          </w:p>
        </w:tc>
        <w:tc>
          <w:tcPr>
            <w:tcW w:w="2330" w:type="pct"/>
          </w:tcPr>
          <w:p w:rsidR="009D24B9" w:rsidRPr="000F1B6E" w:rsidRDefault="009D24B9" w:rsidP="00BC5EAA">
            <w:pPr>
              <w:jc w:val="both"/>
              <w:rPr>
                <w:rFonts w:eastAsia="Calibri"/>
                <w:sz w:val="20"/>
              </w:rPr>
            </w:pPr>
            <w:r w:rsidRPr="000F1B6E">
              <w:rPr>
                <w:rFonts w:eastAsia="Calibri"/>
                <w:sz w:val="20"/>
              </w:rPr>
              <w:t>Appeal dismissed</w:t>
            </w:r>
          </w:p>
          <w:p w:rsidR="009D24B9" w:rsidRPr="000F1B6E" w:rsidRDefault="009D24B9" w:rsidP="00BC5EAA">
            <w:pPr>
              <w:jc w:val="both"/>
              <w:rPr>
                <w:rFonts w:eastAsia="Calibri"/>
                <w:sz w:val="20"/>
              </w:rPr>
            </w:pPr>
          </w:p>
        </w:tc>
      </w:tr>
      <w:tr w:rsidR="009D24B9" w:rsidRPr="000F1B6E" w:rsidTr="00BC5EAA">
        <w:tc>
          <w:tcPr>
            <w:tcW w:w="2427" w:type="pct"/>
          </w:tcPr>
          <w:p w:rsidR="009D24B9" w:rsidRPr="000F1B6E" w:rsidRDefault="009D24B9" w:rsidP="00BC5EAA">
            <w:pPr>
              <w:jc w:val="both"/>
              <w:rPr>
                <w:rFonts w:eastAsia="Calibri"/>
                <w:sz w:val="20"/>
              </w:rPr>
            </w:pPr>
            <w:r w:rsidRPr="000F1B6E">
              <w:rPr>
                <w:rFonts w:eastAsia="Calibri"/>
                <w:sz w:val="20"/>
              </w:rPr>
              <w:t>October 15, 2014</w:t>
            </w:r>
          </w:p>
          <w:p w:rsidR="009D24B9" w:rsidRPr="000F1B6E" w:rsidRDefault="009D24B9" w:rsidP="00BC5EAA">
            <w:pPr>
              <w:jc w:val="both"/>
              <w:rPr>
                <w:rFonts w:eastAsia="Calibri"/>
                <w:sz w:val="20"/>
              </w:rPr>
            </w:pPr>
            <w:r w:rsidRPr="000F1B6E">
              <w:rPr>
                <w:rFonts w:eastAsia="Calibri"/>
                <w:sz w:val="20"/>
              </w:rPr>
              <w:t>Supreme Court of Canada</w:t>
            </w:r>
          </w:p>
        </w:tc>
        <w:tc>
          <w:tcPr>
            <w:tcW w:w="243" w:type="pct"/>
          </w:tcPr>
          <w:p w:rsidR="009D24B9" w:rsidRPr="000F1B6E" w:rsidRDefault="009D24B9" w:rsidP="00BC5EAA">
            <w:pPr>
              <w:jc w:val="both"/>
              <w:rPr>
                <w:rFonts w:eastAsia="Calibri"/>
                <w:sz w:val="20"/>
              </w:rPr>
            </w:pPr>
          </w:p>
        </w:tc>
        <w:tc>
          <w:tcPr>
            <w:tcW w:w="2330" w:type="pct"/>
          </w:tcPr>
          <w:p w:rsidR="009D24B9" w:rsidRPr="000F1B6E" w:rsidRDefault="009D24B9" w:rsidP="00BC5EAA">
            <w:pPr>
              <w:jc w:val="both"/>
              <w:rPr>
                <w:rFonts w:eastAsia="Calibri"/>
                <w:sz w:val="20"/>
              </w:rPr>
            </w:pPr>
            <w:r w:rsidRPr="000F1B6E">
              <w:rPr>
                <w:rFonts w:eastAsia="Calibri"/>
                <w:sz w:val="20"/>
              </w:rPr>
              <w:t xml:space="preserve">Motion for extension of time to serve and file leave application and application for leave to appeal filed </w:t>
            </w:r>
          </w:p>
        </w:tc>
      </w:tr>
    </w:tbl>
    <w:p w:rsidR="00124C37" w:rsidRPr="009D24B9" w:rsidRDefault="00124C37" w:rsidP="00124C37">
      <w:pPr>
        <w:rPr>
          <w:sz w:val="20"/>
          <w:szCs w:val="20"/>
        </w:rPr>
      </w:pPr>
    </w:p>
    <w:p w:rsidR="00124C37" w:rsidRPr="00C50A5C" w:rsidRDefault="00E42AAB" w:rsidP="00124C37">
      <w:pPr>
        <w:rPr>
          <w:sz w:val="20"/>
          <w:szCs w:val="20"/>
        </w:rPr>
      </w:pPr>
      <w:r>
        <w:rPr>
          <w:sz w:val="20"/>
          <w:szCs w:val="20"/>
          <w:lang w:val="fr-CA"/>
        </w:rPr>
        <w:pict>
          <v:rect id="_x0000_i1087" style="width:2in;height:1pt" o:hrpct="0" o:hralign="center" o:hrstd="t" o:hrnoshade="t" o:hr="t" fillcolor="black [3213]" stroked="f"/>
        </w:pict>
      </w:r>
    </w:p>
    <w:p w:rsidR="00124C37" w:rsidRDefault="00124C37" w:rsidP="00124C37">
      <w:pPr>
        <w:rPr>
          <w:sz w:val="20"/>
          <w:szCs w:val="20"/>
        </w:rPr>
      </w:pPr>
    </w:p>
    <w:p w:rsidR="00124C37" w:rsidRPr="001B157C" w:rsidRDefault="00124C37" w:rsidP="00124C37">
      <w:pPr>
        <w:rPr>
          <w:sz w:val="20"/>
          <w:szCs w:val="20"/>
          <w:u w:val="single"/>
          <w:lang w:val="fr-CA"/>
        </w:rPr>
      </w:pPr>
      <w:r w:rsidRPr="001B157C">
        <w:rPr>
          <w:sz w:val="20"/>
          <w:szCs w:val="20"/>
          <w:u w:val="single"/>
          <w:lang w:val="fr-CA"/>
        </w:rPr>
        <w:t>RÉSUMÉ DE L’AFFAIRE</w:t>
      </w:r>
    </w:p>
    <w:p w:rsidR="00124C37" w:rsidRDefault="00124C37" w:rsidP="00124C3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D24B9" w:rsidRPr="0025502E" w:rsidTr="00BC5EAA">
        <w:tc>
          <w:tcPr>
            <w:tcW w:w="5000" w:type="pct"/>
            <w:gridSpan w:val="3"/>
          </w:tcPr>
          <w:p w:rsidR="009D24B9" w:rsidRPr="000F1B6E" w:rsidRDefault="009D24B9" w:rsidP="00BC5EAA">
            <w:pPr>
              <w:jc w:val="both"/>
              <w:rPr>
                <w:rFonts w:eastAsia="Calibri"/>
                <w:smallCaps/>
                <w:sz w:val="20"/>
                <w:lang w:val="fr-CA"/>
              </w:rPr>
            </w:pPr>
            <w:r w:rsidRPr="000F1B6E">
              <w:rPr>
                <w:rFonts w:eastAsia="Calibri"/>
                <w:smallCaps/>
                <w:sz w:val="20"/>
                <w:lang w:val="fr-CA"/>
              </w:rPr>
              <w:t>(Ordonnance de non-publication dans le dossier)</w:t>
            </w:r>
          </w:p>
          <w:p w:rsidR="009D24B9" w:rsidRPr="000F1B6E" w:rsidRDefault="009D24B9" w:rsidP="00BC5EAA">
            <w:pPr>
              <w:jc w:val="both"/>
              <w:rPr>
                <w:rFonts w:eastAsia="Calibri"/>
                <w:sz w:val="20"/>
                <w:lang w:val="fr-CA"/>
              </w:rPr>
            </w:pPr>
          </w:p>
          <w:p w:rsidR="009D24B9" w:rsidRPr="000F1B6E" w:rsidRDefault="009D24B9" w:rsidP="00BC5EAA">
            <w:pPr>
              <w:jc w:val="both"/>
              <w:rPr>
                <w:rFonts w:eastAsia="Calibri"/>
                <w:sz w:val="20"/>
                <w:lang w:val="fr-CA"/>
              </w:rPr>
            </w:pPr>
            <w:r w:rsidRPr="000F1B6E">
              <w:rPr>
                <w:rFonts w:eastAsia="Calibri"/>
                <w:sz w:val="20"/>
                <w:lang w:val="fr-CA"/>
              </w:rPr>
              <w:t xml:space="preserve">Droit criminel – Preuve de faits similaires – Identité – Exposé du juge au jury – Est-ce que la Cour d’appel a commis une erreur en approuvant les directives données par la juge du procès au jury lui indiquant qu’il pouvait lier l’identité de l’accusé aux quatre accusations à la première étape du test établi dans l’arrêt </w:t>
            </w:r>
            <w:r w:rsidRPr="000F1B6E">
              <w:rPr>
                <w:rFonts w:eastAsia="Calibri"/>
                <w:i/>
                <w:sz w:val="20"/>
                <w:lang w:val="fr-CA"/>
              </w:rPr>
              <w:t>R. c. Arp</w:t>
            </w:r>
            <w:r w:rsidRPr="000F1B6E">
              <w:rPr>
                <w:rFonts w:eastAsia="Calibri"/>
                <w:sz w:val="20"/>
                <w:lang w:val="fr-CA"/>
              </w:rPr>
              <w:t xml:space="preserve">, [1998] 3 R.C.S. 339, et d’autres directives dans lesquelles la juge a indiqué que le jury pouvait combiner la preuve relative à tous les chefs d’accusation s’il examinait chaque accusation de manière isolée, ce qui est contraire aux enseignements de cette cour dans l’arrêt </w:t>
            </w:r>
            <w:r w:rsidRPr="000F1B6E">
              <w:rPr>
                <w:rFonts w:eastAsia="Calibri"/>
                <w:i/>
                <w:sz w:val="20"/>
                <w:lang w:val="fr-CA"/>
              </w:rPr>
              <w:t>Arp</w:t>
            </w:r>
            <w:r w:rsidRPr="000F1B6E">
              <w:rPr>
                <w:rFonts w:eastAsia="Calibri"/>
                <w:sz w:val="20"/>
                <w:lang w:val="fr-CA"/>
              </w:rPr>
              <w:t xml:space="preserve"> et l’arrêt </w:t>
            </w:r>
            <w:r w:rsidRPr="000F1B6E">
              <w:rPr>
                <w:rFonts w:eastAsia="Calibri"/>
                <w:i/>
                <w:sz w:val="20"/>
                <w:lang w:val="fr-CA"/>
              </w:rPr>
              <w:t>R. c. Rarru</w:t>
            </w:r>
            <w:r w:rsidRPr="000F1B6E">
              <w:rPr>
                <w:rFonts w:eastAsia="Calibri"/>
                <w:sz w:val="20"/>
                <w:lang w:val="fr-CA"/>
              </w:rPr>
              <w:t>, [1996] 2 R.C.S. 165?</w:t>
            </w:r>
          </w:p>
        </w:tc>
      </w:tr>
      <w:tr w:rsidR="009D24B9" w:rsidRPr="0025502E" w:rsidTr="00BC5EAA">
        <w:tc>
          <w:tcPr>
            <w:tcW w:w="5000" w:type="pct"/>
            <w:gridSpan w:val="3"/>
          </w:tcPr>
          <w:p w:rsidR="009D24B9" w:rsidRPr="000F1B6E" w:rsidRDefault="009D24B9" w:rsidP="00BC5EAA">
            <w:pPr>
              <w:jc w:val="both"/>
              <w:rPr>
                <w:rFonts w:eastAsia="Calibri"/>
                <w:sz w:val="20"/>
                <w:lang w:val="fr-CA"/>
              </w:rPr>
            </w:pPr>
          </w:p>
        </w:tc>
      </w:tr>
      <w:tr w:rsidR="009D24B9" w:rsidRPr="000F1B6E" w:rsidTr="00BC5EAA">
        <w:tc>
          <w:tcPr>
            <w:tcW w:w="5000" w:type="pct"/>
            <w:gridSpan w:val="3"/>
          </w:tcPr>
          <w:p w:rsidR="009D24B9" w:rsidRPr="000F1B6E" w:rsidRDefault="009D24B9" w:rsidP="00BC5EAA">
            <w:pPr>
              <w:jc w:val="both"/>
              <w:rPr>
                <w:rFonts w:eastAsia="Calibri"/>
                <w:sz w:val="20"/>
                <w:lang w:val="fr-CA"/>
              </w:rPr>
            </w:pPr>
            <w:r w:rsidRPr="000F1B6E">
              <w:rPr>
                <w:rFonts w:eastAsia="Calibri"/>
                <w:sz w:val="20"/>
                <w:lang w:val="fr-CA"/>
              </w:rPr>
              <w:t xml:space="preserve">Le demandeur, Monsieur Kembo, a été déclaré coupable de quatre chefs d’accusation de meurtre au premier degré.  Les victimes ont été tuées sur une période de deux ans et demi.  Les victimes étaient l’épouse de Monsieur Kembo, deux de ses amis et sa belle-fille.  La théorie du ministère public était que Monsieur Kembo a établi des liens étroits avec chacune des victimes afin d’en tirer des avantages financiers.  Au procès, le ministère public a voulu prouver que le demandeur était l’auteur des quatre crimes en présentant de la preuve de faits similaires relativement aux homicides.  La juge du procès a déterminé que la preuve était admissible.  Elle a notamment trouvé que « le modèle particulier ou la propension anormale [était] d’établir et d’exploiter les liens » et que le « modèle [était] si similaire dans chaque cas </w:t>
            </w:r>
            <w:r w:rsidRPr="000F1B6E">
              <w:rPr>
                <w:rFonts w:eastAsia="Calibri"/>
                <w:sz w:val="20"/>
                <w:lang w:val="fr-CA"/>
              </w:rPr>
              <w:lastRenderedPageBreak/>
              <w:t xml:space="preserve">que, considéré objectivement, il [avait donné] lieu à l’improbabilité d’une coïncidence ».  Monsieur Kembo a interjeté appel des déclarations de culpabilité.  Parmi ses motifs d’appel se trouvait la décision de la juge du procès d’admettre la preuve et l’utilisation de la preuve de faits similaires. Essentiellement, il a prétendu que parce qu’il avait une relation étroite avec chacune des victimes, l’utilisation de l’approche des deux étapes établie dans l’arrêt </w:t>
            </w:r>
            <w:r w:rsidRPr="000F1B6E">
              <w:rPr>
                <w:rFonts w:eastAsia="Calibri"/>
                <w:i/>
                <w:sz w:val="20"/>
                <w:lang w:val="fr-CA"/>
              </w:rPr>
              <w:t>R. c. Arp</w:t>
            </w:r>
            <w:r w:rsidRPr="000F1B6E">
              <w:rPr>
                <w:rFonts w:eastAsia="Calibri"/>
                <w:sz w:val="20"/>
                <w:lang w:val="fr-CA"/>
              </w:rPr>
              <w:t xml:space="preserve">, [1998] 3 R.C.S. 339 lui était indûment préjudiciable.  Monsieur Kembo a aussi allégué que la juge du procès a combiné la preuve relative à tous les chefs d’accusation et qu’elle n’a pas suffisamment séparé la preuve relative à chacun des chefs d’accusation individuellement pour le jury.  La Cour d’appel a rejeté l’appel à l’unanimité. </w:t>
            </w:r>
          </w:p>
          <w:p w:rsidR="009D24B9" w:rsidRPr="000F1B6E" w:rsidRDefault="009D24B9" w:rsidP="00BC5EAA">
            <w:pPr>
              <w:jc w:val="both"/>
              <w:rPr>
                <w:rFonts w:eastAsia="Calibri"/>
                <w:sz w:val="20"/>
                <w:lang w:val="fr-CA"/>
              </w:rPr>
            </w:pPr>
          </w:p>
        </w:tc>
      </w:tr>
      <w:tr w:rsidR="009D24B9" w:rsidRPr="0025502E" w:rsidTr="00334546">
        <w:tc>
          <w:tcPr>
            <w:tcW w:w="2427" w:type="pct"/>
          </w:tcPr>
          <w:p w:rsidR="009D24B9" w:rsidRPr="000F1B6E" w:rsidRDefault="009D24B9" w:rsidP="00BC5EAA">
            <w:pPr>
              <w:jc w:val="both"/>
              <w:rPr>
                <w:rFonts w:eastAsia="Calibri"/>
                <w:sz w:val="20"/>
                <w:lang w:val="fr-CA"/>
              </w:rPr>
            </w:pPr>
            <w:r w:rsidRPr="000F1B6E">
              <w:rPr>
                <w:rFonts w:eastAsia="Calibri"/>
                <w:sz w:val="20"/>
                <w:lang w:val="fr-CA"/>
              </w:rPr>
              <w:lastRenderedPageBreak/>
              <w:t>10 mai 2010</w:t>
            </w:r>
          </w:p>
          <w:p w:rsidR="009D24B9" w:rsidRPr="000F1B6E" w:rsidRDefault="009D24B9" w:rsidP="00BC5EAA">
            <w:pPr>
              <w:jc w:val="both"/>
              <w:rPr>
                <w:rFonts w:eastAsia="Calibri"/>
                <w:sz w:val="20"/>
                <w:lang w:val="fr-CA"/>
              </w:rPr>
            </w:pPr>
            <w:r w:rsidRPr="000F1B6E">
              <w:rPr>
                <w:rFonts w:eastAsia="Calibri"/>
                <w:sz w:val="20"/>
                <w:lang w:val="fr-CA"/>
              </w:rPr>
              <w:t>Cour suprême de la Colombie-Britannique</w:t>
            </w:r>
          </w:p>
          <w:p w:rsidR="009D24B9" w:rsidRPr="000F1B6E" w:rsidRDefault="009D24B9" w:rsidP="00BC5EAA">
            <w:pPr>
              <w:jc w:val="both"/>
              <w:rPr>
                <w:rFonts w:eastAsia="Calibri"/>
                <w:sz w:val="20"/>
              </w:rPr>
            </w:pPr>
            <w:r w:rsidRPr="000F1B6E">
              <w:rPr>
                <w:rFonts w:eastAsia="Calibri"/>
                <w:sz w:val="20"/>
              </w:rPr>
              <w:t>(Juge Stromberg-Stein)</w:t>
            </w:r>
          </w:p>
          <w:p w:rsidR="009D24B9" w:rsidRPr="000F1B6E" w:rsidRDefault="00E42AAB" w:rsidP="00BC5EAA">
            <w:pPr>
              <w:jc w:val="both"/>
              <w:rPr>
                <w:rFonts w:eastAsia="Calibri"/>
                <w:sz w:val="20"/>
              </w:rPr>
            </w:pPr>
            <w:hyperlink r:id="rId104" w:history="1">
              <w:r w:rsidR="009D24B9" w:rsidRPr="000F1B6E">
                <w:rPr>
                  <w:rFonts w:eastAsia="Calibri"/>
                  <w:color w:val="0000FF"/>
                  <w:sz w:val="20"/>
                  <w:u w:val="single"/>
                </w:rPr>
                <w:t>2010 BCSC 914</w:t>
              </w:r>
            </w:hyperlink>
          </w:p>
          <w:p w:rsidR="009D24B9" w:rsidRPr="000F1B6E" w:rsidRDefault="009D24B9" w:rsidP="00BC5EAA">
            <w:pPr>
              <w:jc w:val="both"/>
              <w:rPr>
                <w:rFonts w:eastAsia="Calibri"/>
                <w:sz w:val="20"/>
              </w:rPr>
            </w:pPr>
          </w:p>
        </w:tc>
        <w:tc>
          <w:tcPr>
            <w:tcW w:w="243" w:type="pct"/>
          </w:tcPr>
          <w:p w:rsidR="009D24B9" w:rsidRPr="000F1B6E" w:rsidRDefault="009D24B9" w:rsidP="00BC5EAA">
            <w:pPr>
              <w:jc w:val="both"/>
              <w:rPr>
                <w:rFonts w:eastAsia="Calibri"/>
                <w:sz w:val="20"/>
              </w:rPr>
            </w:pPr>
          </w:p>
        </w:tc>
        <w:tc>
          <w:tcPr>
            <w:tcW w:w="2330" w:type="pct"/>
          </w:tcPr>
          <w:p w:rsidR="009D24B9" w:rsidRPr="000F1B6E" w:rsidRDefault="009D24B9" w:rsidP="00BC5EAA">
            <w:pPr>
              <w:jc w:val="both"/>
              <w:rPr>
                <w:rFonts w:eastAsia="Calibri"/>
                <w:sz w:val="20"/>
                <w:lang w:val="fr-CA"/>
              </w:rPr>
            </w:pPr>
            <w:r w:rsidRPr="000F1B6E">
              <w:rPr>
                <w:rFonts w:eastAsia="Calibri"/>
                <w:sz w:val="20"/>
                <w:lang w:val="fr-CA"/>
              </w:rPr>
              <w:t xml:space="preserve">Admission de la preuve de faits similaires </w:t>
            </w:r>
          </w:p>
          <w:p w:rsidR="009D24B9" w:rsidRPr="000F1B6E" w:rsidRDefault="009D24B9" w:rsidP="00BC5EAA">
            <w:pPr>
              <w:jc w:val="both"/>
              <w:rPr>
                <w:rFonts w:eastAsia="Calibri"/>
                <w:sz w:val="20"/>
                <w:lang w:val="fr-CA"/>
              </w:rPr>
            </w:pPr>
          </w:p>
          <w:p w:rsidR="009D24B9" w:rsidRPr="000F1B6E" w:rsidRDefault="009D24B9" w:rsidP="00BC5EAA">
            <w:pPr>
              <w:jc w:val="both"/>
              <w:rPr>
                <w:rFonts w:eastAsia="Calibri"/>
                <w:sz w:val="20"/>
                <w:lang w:val="fr-CA"/>
              </w:rPr>
            </w:pPr>
          </w:p>
          <w:p w:rsidR="009D24B9" w:rsidRPr="000F1B6E" w:rsidRDefault="009D24B9" w:rsidP="00BC5EAA">
            <w:pPr>
              <w:jc w:val="both"/>
              <w:rPr>
                <w:rFonts w:eastAsia="Calibri"/>
                <w:sz w:val="20"/>
                <w:lang w:val="fr-CA"/>
              </w:rPr>
            </w:pPr>
          </w:p>
        </w:tc>
      </w:tr>
      <w:tr w:rsidR="009D24B9" w:rsidRPr="0025502E" w:rsidTr="003725BF">
        <w:trPr>
          <w:cantSplit/>
        </w:trPr>
        <w:tc>
          <w:tcPr>
            <w:tcW w:w="2427" w:type="pct"/>
          </w:tcPr>
          <w:p w:rsidR="009D24B9" w:rsidRPr="000F1B6E" w:rsidRDefault="009D24B9" w:rsidP="00BC5EAA">
            <w:pPr>
              <w:jc w:val="both"/>
              <w:rPr>
                <w:rFonts w:eastAsia="Calibri"/>
                <w:sz w:val="20"/>
                <w:lang w:val="fr-CA"/>
              </w:rPr>
            </w:pPr>
            <w:r w:rsidRPr="000F1B6E">
              <w:rPr>
                <w:rFonts w:eastAsia="Calibri"/>
                <w:sz w:val="20"/>
                <w:lang w:val="fr-CA"/>
              </w:rPr>
              <w:t>11 juin 2010</w:t>
            </w:r>
          </w:p>
          <w:p w:rsidR="009D24B9" w:rsidRPr="000F1B6E" w:rsidRDefault="009D24B9" w:rsidP="00BC5EAA">
            <w:pPr>
              <w:jc w:val="both"/>
              <w:rPr>
                <w:rFonts w:eastAsia="Calibri"/>
                <w:sz w:val="20"/>
                <w:lang w:val="fr-CA"/>
              </w:rPr>
            </w:pPr>
            <w:r w:rsidRPr="000F1B6E">
              <w:rPr>
                <w:rFonts w:eastAsia="Calibri"/>
                <w:sz w:val="20"/>
                <w:lang w:val="fr-CA"/>
              </w:rPr>
              <w:t xml:space="preserve">Cour suprême de la Colombie-Britannique </w:t>
            </w:r>
          </w:p>
          <w:p w:rsidR="009D24B9" w:rsidRPr="000F1B6E" w:rsidRDefault="009D24B9" w:rsidP="00BC5EAA">
            <w:pPr>
              <w:jc w:val="both"/>
              <w:rPr>
                <w:rFonts w:eastAsia="Calibri"/>
                <w:sz w:val="20"/>
              </w:rPr>
            </w:pPr>
            <w:r w:rsidRPr="000F1B6E">
              <w:rPr>
                <w:rFonts w:eastAsia="Calibri"/>
                <w:sz w:val="20"/>
              </w:rPr>
              <w:t>(Juge Stromberg-Stein)</w:t>
            </w:r>
          </w:p>
          <w:p w:rsidR="009D24B9" w:rsidRPr="000F1B6E" w:rsidRDefault="009D24B9" w:rsidP="00BC5EAA">
            <w:pPr>
              <w:jc w:val="both"/>
              <w:rPr>
                <w:rFonts w:eastAsia="Calibri"/>
                <w:sz w:val="20"/>
              </w:rPr>
            </w:pPr>
          </w:p>
        </w:tc>
        <w:tc>
          <w:tcPr>
            <w:tcW w:w="243" w:type="pct"/>
          </w:tcPr>
          <w:p w:rsidR="009D24B9" w:rsidRPr="000F1B6E" w:rsidRDefault="009D24B9" w:rsidP="00BC5EAA">
            <w:pPr>
              <w:jc w:val="both"/>
              <w:rPr>
                <w:rFonts w:eastAsia="Calibri"/>
                <w:sz w:val="20"/>
              </w:rPr>
            </w:pPr>
          </w:p>
        </w:tc>
        <w:tc>
          <w:tcPr>
            <w:tcW w:w="2330" w:type="pct"/>
          </w:tcPr>
          <w:p w:rsidR="009D24B9" w:rsidRPr="000F1B6E" w:rsidRDefault="009D24B9" w:rsidP="00BC5EAA">
            <w:pPr>
              <w:jc w:val="both"/>
              <w:rPr>
                <w:rFonts w:eastAsia="Calibri"/>
                <w:sz w:val="20"/>
                <w:lang w:val="fr-CA"/>
              </w:rPr>
            </w:pPr>
            <w:r w:rsidRPr="000F1B6E">
              <w:rPr>
                <w:rFonts w:eastAsia="Calibri"/>
                <w:sz w:val="20"/>
                <w:lang w:val="fr-CA"/>
              </w:rPr>
              <w:t xml:space="preserve">Demandeur est déclaré coupable relativement à quatre chefs d’accusation de meurtre au premier degré </w:t>
            </w:r>
          </w:p>
        </w:tc>
      </w:tr>
      <w:tr w:rsidR="009D24B9" w:rsidRPr="000F1B6E" w:rsidTr="003725BF">
        <w:trPr>
          <w:cantSplit/>
        </w:trPr>
        <w:tc>
          <w:tcPr>
            <w:tcW w:w="2427" w:type="pct"/>
          </w:tcPr>
          <w:p w:rsidR="009D24B9" w:rsidRPr="000F1B6E" w:rsidRDefault="009D24B9" w:rsidP="00BC5EAA">
            <w:pPr>
              <w:jc w:val="both"/>
              <w:rPr>
                <w:rFonts w:eastAsia="Calibri"/>
                <w:sz w:val="20"/>
                <w:lang w:val="fr-CA"/>
              </w:rPr>
            </w:pPr>
            <w:r w:rsidRPr="000F1B6E">
              <w:rPr>
                <w:rFonts w:eastAsia="Calibri"/>
                <w:sz w:val="20"/>
                <w:lang w:val="fr-CA"/>
              </w:rPr>
              <w:t>31 juillet 2014</w:t>
            </w:r>
          </w:p>
          <w:p w:rsidR="009D24B9" w:rsidRPr="000F1B6E" w:rsidRDefault="009D24B9" w:rsidP="00BC5EAA">
            <w:pPr>
              <w:jc w:val="both"/>
              <w:rPr>
                <w:rFonts w:eastAsia="Calibri"/>
                <w:sz w:val="20"/>
                <w:lang w:val="fr-CA"/>
              </w:rPr>
            </w:pPr>
            <w:r w:rsidRPr="000F1B6E">
              <w:rPr>
                <w:rFonts w:eastAsia="Calibri"/>
                <w:sz w:val="20"/>
                <w:lang w:val="fr-CA"/>
              </w:rPr>
              <w:t xml:space="preserve">Cour d’appel de la Colombie-Britannique  </w:t>
            </w:r>
          </w:p>
          <w:p w:rsidR="009D24B9" w:rsidRPr="000F1B6E" w:rsidRDefault="009D24B9" w:rsidP="00BC5EAA">
            <w:pPr>
              <w:jc w:val="both"/>
              <w:rPr>
                <w:rFonts w:eastAsia="Calibri"/>
                <w:sz w:val="20"/>
                <w:lang w:val="fr-CA"/>
              </w:rPr>
            </w:pPr>
            <w:r w:rsidRPr="000F1B6E">
              <w:rPr>
                <w:rFonts w:eastAsia="Calibri"/>
                <w:sz w:val="20"/>
                <w:lang w:val="fr-CA"/>
              </w:rPr>
              <w:t>(Juges Hall, Chiasson et Neilson)</w:t>
            </w:r>
          </w:p>
          <w:p w:rsidR="009D24B9" w:rsidRPr="000F1B6E" w:rsidRDefault="00E42AAB" w:rsidP="00BC5EAA">
            <w:pPr>
              <w:jc w:val="both"/>
              <w:rPr>
                <w:rFonts w:eastAsia="Calibri"/>
                <w:sz w:val="20"/>
              </w:rPr>
            </w:pPr>
            <w:hyperlink r:id="rId105" w:history="1">
              <w:r w:rsidR="009D24B9" w:rsidRPr="000F1B6E">
                <w:rPr>
                  <w:rFonts w:eastAsia="Calibri"/>
                  <w:color w:val="0000FF"/>
                  <w:sz w:val="20"/>
                  <w:u w:val="single"/>
                </w:rPr>
                <w:t>2014 BCCA 307</w:t>
              </w:r>
            </w:hyperlink>
          </w:p>
          <w:p w:rsidR="009D24B9" w:rsidRPr="000F1B6E" w:rsidRDefault="009D24B9" w:rsidP="00BC5EAA">
            <w:pPr>
              <w:jc w:val="both"/>
              <w:rPr>
                <w:rFonts w:eastAsia="Calibri"/>
                <w:sz w:val="20"/>
              </w:rPr>
            </w:pPr>
          </w:p>
        </w:tc>
        <w:tc>
          <w:tcPr>
            <w:tcW w:w="243" w:type="pct"/>
          </w:tcPr>
          <w:p w:rsidR="009D24B9" w:rsidRPr="000F1B6E" w:rsidRDefault="009D24B9" w:rsidP="00BC5EAA">
            <w:pPr>
              <w:jc w:val="both"/>
              <w:rPr>
                <w:rFonts w:eastAsia="Calibri"/>
                <w:sz w:val="20"/>
              </w:rPr>
            </w:pPr>
          </w:p>
        </w:tc>
        <w:tc>
          <w:tcPr>
            <w:tcW w:w="2330" w:type="pct"/>
          </w:tcPr>
          <w:p w:rsidR="009D24B9" w:rsidRPr="000F1B6E" w:rsidRDefault="009D24B9" w:rsidP="00BC5EAA">
            <w:pPr>
              <w:jc w:val="both"/>
              <w:rPr>
                <w:rFonts w:eastAsia="Calibri"/>
                <w:sz w:val="20"/>
              </w:rPr>
            </w:pPr>
            <w:r w:rsidRPr="000F1B6E">
              <w:rPr>
                <w:rFonts w:eastAsia="Calibri"/>
                <w:sz w:val="20"/>
              </w:rPr>
              <w:t>Appel rejeté</w:t>
            </w:r>
          </w:p>
          <w:p w:rsidR="009D24B9" w:rsidRPr="000F1B6E" w:rsidRDefault="009D24B9" w:rsidP="00BC5EAA">
            <w:pPr>
              <w:jc w:val="both"/>
              <w:rPr>
                <w:rFonts w:eastAsia="Calibri"/>
                <w:sz w:val="20"/>
              </w:rPr>
            </w:pPr>
          </w:p>
        </w:tc>
      </w:tr>
      <w:tr w:rsidR="009D24B9" w:rsidRPr="0025502E" w:rsidTr="003725BF">
        <w:trPr>
          <w:cantSplit/>
        </w:trPr>
        <w:tc>
          <w:tcPr>
            <w:tcW w:w="2427" w:type="pct"/>
          </w:tcPr>
          <w:p w:rsidR="009D24B9" w:rsidRPr="000F1B6E" w:rsidRDefault="009D24B9" w:rsidP="00BC5EAA">
            <w:pPr>
              <w:jc w:val="both"/>
              <w:rPr>
                <w:rFonts w:eastAsia="Calibri"/>
                <w:sz w:val="20"/>
                <w:lang w:val="fr-CA"/>
              </w:rPr>
            </w:pPr>
            <w:r w:rsidRPr="000F1B6E">
              <w:rPr>
                <w:rFonts w:eastAsia="Calibri"/>
                <w:sz w:val="20"/>
                <w:lang w:val="fr-CA"/>
              </w:rPr>
              <w:t>15 octobre 2014</w:t>
            </w:r>
          </w:p>
          <w:p w:rsidR="009D24B9" w:rsidRPr="000F1B6E" w:rsidRDefault="009D24B9" w:rsidP="00BC5EAA">
            <w:pPr>
              <w:jc w:val="both"/>
              <w:rPr>
                <w:rFonts w:eastAsia="Calibri"/>
                <w:sz w:val="20"/>
                <w:lang w:val="fr-CA"/>
              </w:rPr>
            </w:pPr>
            <w:r w:rsidRPr="000F1B6E">
              <w:rPr>
                <w:rFonts w:eastAsia="Calibri"/>
                <w:sz w:val="20"/>
                <w:lang w:val="fr-CA"/>
              </w:rPr>
              <w:t>Cour suprême du Canada</w:t>
            </w:r>
          </w:p>
        </w:tc>
        <w:tc>
          <w:tcPr>
            <w:tcW w:w="243" w:type="pct"/>
          </w:tcPr>
          <w:p w:rsidR="009D24B9" w:rsidRPr="000F1B6E" w:rsidRDefault="009D24B9" w:rsidP="00BC5EAA">
            <w:pPr>
              <w:jc w:val="both"/>
              <w:rPr>
                <w:rFonts w:eastAsia="Calibri"/>
                <w:sz w:val="20"/>
                <w:lang w:val="fr-CA"/>
              </w:rPr>
            </w:pPr>
          </w:p>
        </w:tc>
        <w:tc>
          <w:tcPr>
            <w:tcW w:w="2330" w:type="pct"/>
          </w:tcPr>
          <w:p w:rsidR="009D24B9" w:rsidRPr="000F1B6E" w:rsidRDefault="009D24B9" w:rsidP="00BC5EAA">
            <w:pPr>
              <w:jc w:val="both"/>
              <w:rPr>
                <w:rFonts w:eastAsia="Calibri"/>
                <w:sz w:val="20"/>
                <w:lang w:val="fr-CA"/>
              </w:rPr>
            </w:pPr>
            <w:r w:rsidRPr="000F1B6E">
              <w:rPr>
                <w:rFonts w:eastAsia="Calibri"/>
                <w:sz w:val="20"/>
                <w:lang w:val="fr-CA"/>
              </w:rPr>
              <w:t xml:space="preserve">Requête en prorogation du délai pour signifier et déposer la demande d’autorisation d’appel et demande d’autorisation d’appel déposées </w:t>
            </w:r>
          </w:p>
        </w:tc>
      </w:tr>
    </w:tbl>
    <w:p w:rsidR="00124C37" w:rsidRPr="009D24B9" w:rsidRDefault="00124C37" w:rsidP="00124C37">
      <w:pPr>
        <w:rPr>
          <w:sz w:val="20"/>
          <w:szCs w:val="20"/>
          <w:lang w:val="fr-CA"/>
        </w:rPr>
      </w:pPr>
    </w:p>
    <w:p w:rsidR="00124C37" w:rsidRDefault="00E42AAB" w:rsidP="00124C37">
      <w:pPr>
        <w:rPr>
          <w:sz w:val="20"/>
          <w:szCs w:val="20"/>
        </w:rPr>
      </w:pPr>
      <w:r>
        <w:rPr>
          <w:sz w:val="20"/>
          <w:szCs w:val="20"/>
          <w:lang w:val="fr-CA"/>
        </w:rPr>
        <w:pict>
          <v:rect id="_x0000_i1088" style="width:2in;height:1pt" o:hrpct="0" o:hralign="center" o:hrstd="t" o:hrnoshade="t" o:hr="t" fillcolor="black [3213]" stroked="f"/>
        </w:pict>
      </w:r>
    </w:p>
    <w:p w:rsidR="00124C37" w:rsidRDefault="00124C37" w:rsidP="00124C37">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03DFB" w:rsidRPr="00E7075A" w:rsidTr="00C64462">
        <w:trPr>
          <w:cantSplit/>
        </w:trPr>
        <w:tc>
          <w:tcPr>
            <w:tcW w:w="1458" w:type="dxa"/>
          </w:tcPr>
          <w:p w:rsidR="00803DFB" w:rsidRPr="00E7075A" w:rsidRDefault="00803DFB" w:rsidP="00C64462">
            <w:pPr>
              <w:rPr>
                <w:sz w:val="20"/>
                <w:szCs w:val="20"/>
              </w:rPr>
            </w:pPr>
            <w:r w:rsidRPr="00E7075A">
              <w:rPr>
                <w:rStyle w:val="SCCFileNumberChar"/>
                <w:sz w:val="20"/>
                <w:szCs w:val="20"/>
              </w:rPr>
              <w:t>36138</w:t>
            </w:r>
          </w:p>
          <w:p w:rsidR="00803DFB" w:rsidRPr="00E7075A" w:rsidRDefault="00803DFB" w:rsidP="00C64462">
            <w:pPr>
              <w:rPr>
                <w:b/>
                <w:sz w:val="20"/>
                <w:szCs w:val="20"/>
                <w:lang w:val="fr-CA"/>
              </w:rPr>
            </w:pPr>
          </w:p>
        </w:tc>
        <w:tc>
          <w:tcPr>
            <w:tcW w:w="8118" w:type="dxa"/>
          </w:tcPr>
          <w:p w:rsidR="00803DFB" w:rsidRPr="00E7075A" w:rsidRDefault="00803DFB" w:rsidP="00C64462">
            <w:pPr>
              <w:rPr>
                <w:sz w:val="20"/>
                <w:szCs w:val="20"/>
              </w:rPr>
            </w:pPr>
            <w:r w:rsidRPr="00803DFB">
              <w:rPr>
                <w:rStyle w:val="SCCLsocChar"/>
                <w:sz w:val="20"/>
                <w:szCs w:val="20"/>
                <w:lang w:val="en-CA"/>
              </w:rPr>
              <w:t>G.S. v. L.S.</w:t>
            </w:r>
            <w:r w:rsidRPr="00E7075A">
              <w:rPr>
                <w:sz w:val="20"/>
                <w:szCs w:val="20"/>
              </w:rPr>
              <w:t xml:space="preserve"> (B.C.) (Civil) (By Leave)</w:t>
            </w:r>
          </w:p>
          <w:p w:rsidR="00803DFB" w:rsidRPr="00E7075A" w:rsidRDefault="00803DFB" w:rsidP="00C64462">
            <w:pPr>
              <w:rPr>
                <w:sz w:val="20"/>
                <w:szCs w:val="20"/>
              </w:rPr>
            </w:pPr>
          </w:p>
        </w:tc>
      </w:tr>
      <w:tr w:rsidR="00803DFB" w:rsidRPr="00E7075A" w:rsidTr="00C64462">
        <w:trPr>
          <w:cantSplit/>
        </w:trPr>
        <w:tc>
          <w:tcPr>
            <w:tcW w:w="1458" w:type="dxa"/>
          </w:tcPr>
          <w:p w:rsidR="00803DFB" w:rsidRPr="00E7075A" w:rsidRDefault="00803DFB" w:rsidP="00C64462">
            <w:pPr>
              <w:rPr>
                <w:sz w:val="20"/>
                <w:szCs w:val="20"/>
              </w:rPr>
            </w:pPr>
            <w:r w:rsidRPr="00E7075A">
              <w:rPr>
                <w:sz w:val="20"/>
                <w:szCs w:val="20"/>
              </w:rPr>
              <w:t>Coram :</w:t>
            </w:r>
          </w:p>
        </w:tc>
        <w:tc>
          <w:tcPr>
            <w:tcW w:w="8118" w:type="dxa"/>
          </w:tcPr>
          <w:p w:rsidR="00803DFB" w:rsidRPr="00E7075A" w:rsidRDefault="00803DFB" w:rsidP="00C64462">
            <w:pPr>
              <w:rPr>
                <w:sz w:val="20"/>
                <w:szCs w:val="20"/>
              </w:rPr>
            </w:pPr>
            <w:r w:rsidRPr="00803DFB">
              <w:rPr>
                <w:rStyle w:val="SCCCoramChar"/>
                <w:sz w:val="20"/>
                <w:szCs w:val="20"/>
                <w:lang w:val="en-CA"/>
              </w:rPr>
              <w:t>McLachlin C.J. and Wagner and Gascon JJ.</w:t>
            </w:r>
          </w:p>
          <w:p w:rsidR="00803DFB" w:rsidRPr="00E7075A" w:rsidRDefault="00803DFB" w:rsidP="00C64462">
            <w:pPr>
              <w:rPr>
                <w:sz w:val="20"/>
                <w:szCs w:val="20"/>
                <w:u w:val="single"/>
              </w:rPr>
            </w:pPr>
          </w:p>
        </w:tc>
      </w:tr>
      <w:tr w:rsidR="00803DFB" w:rsidRPr="0025502E" w:rsidTr="00C64462">
        <w:trPr>
          <w:cantSplit/>
        </w:trPr>
        <w:tc>
          <w:tcPr>
            <w:tcW w:w="9576" w:type="dxa"/>
            <w:gridSpan w:val="2"/>
          </w:tcPr>
          <w:p w:rsidR="00803DFB" w:rsidRPr="00E7075A" w:rsidRDefault="00803DFB" w:rsidP="00C64462">
            <w:pPr>
              <w:pStyle w:val="SCCShortJudgment"/>
              <w:rPr>
                <w:szCs w:val="20"/>
              </w:rPr>
            </w:pPr>
            <w:r w:rsidRPr="00E7075A">
              <w:rPr>
                <w:szCs w:val="20"/>
              </w:rPr>
              <w:t>The application for leave to appeal from the judgment of the Court of Appeal for British Columbia (Vancouver), Numbers  CA041472 and CA041638, 2014 BCCA 334, dated August 25, 2014, is dismissed with costs.</w:t>
            </w:r>
          </w:p>
          <w:p w:rsidR="00803DFB" w:rsidRPr="00E7075A" w:rsidRDefault="00803DFB" w:rsidP="00C64462">
            <w:pPr>
              <w:pStyle w:val="SCCShortJudgment"/>
              <w:ind w:firstLine="0"/>
              <w:rPr>
                <w:szCs w:val="20"/>
              </w:rPr>
            </w:pPr>
          </w:p>
          <w:p w:rsidR="00803DFB" w:rsidRPr="00E7075A" w:rsidRDefault="00803DFB" w:rsidP="00C64462">
            <w:pPr>
              <w:pStyle w:val="SCCShortJudgment"/>
              <w:rPr>
                <w:szCs w:val="20"/>
                <w:lang w:val="fr-CA"/>
              </w:rPr>
            </w:pPr>
            <w:r w:rsidRPr="00E7075A">
              <w:rPr>
                <w:szCs w:val="20"/>
                <w:lang w:val="fr-CA"/>
              </w:rPr>
              <w:t>La demande d’autorisation d’appel de l’arrêt de la Cour d’appel de la Colombie-Britannique (Vancouver), numéros CA041472 et CA041638, 2014 BCCA 334, daté du 25 août 2014, est rejetée avec dépens.</w:t>
            </w:r>
          </w:p>
        </w:tc>
      </w:tr>
    </w:tbl>
    <w:p w:rsidR="00124C37" w:rsidRPr="00803DFB" w:rsidRDefault="00124C37" w:rsidP="00124C37">
      <w:pPr>
        <w:rPr>
          <w:sz w:val="20"/>
          <w:szCs w:val="20"/>
          <w:lang w:val="fr-CA"/>
        </w:rPr>
      </w:pPr>
    </w:p>
    <w:p w:rsidR="00124C37" w:rsidRPr="001B157C" w:rsidRDefault="00124C37" w:rsidP="00124C37">
      <w:pPr>
        <w:rPr>
          <w:sz w:val="20"/>
          <w:szCs w:val="20"/>
          <w:u w:val="single"/>
        </w:rPr>
      </w:pPr>
      <w:r w:rsidRPr="001B157C">
        <w:rPr>
          <w:sz w:val="20"/>
          <w:szCs w:val="20"/>
          <w:u w:val="single"/>
        </w:rPr>
        <w:t>CASE SUMMARY</w:t>
      </w:r>
    </w:p>
    <w:p w:rsidR="00124C37" w:rsidRDefault="00124C37" w:rsidP="00124C3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D24B9" w:rsidRPr="000F1B6E" w:rsidTr="00BC5EAA">
        <w:tc>
          <w:tcPr>
            <w:tcW w:w="5000" w:type="pct"/>
            <w:gridSpan w:val="3"/>
          </w:tcPr>
          <w:p w:rsidR="009D24B9" w:rsidRPr="000F1B6E" w:rsidRDefault="009D24B9" w:rsidP="00BC5EAA">
            <w:pPr>
              <w:jc w:val="both"/>
              <w:rPr>
                <w:rFonts w:eastAsia="Calibri"/>
                <w:smallCaps/>
                <w:sz w:val="20"/>
              </w:rPr>
            </w:pPr>
            <w:r w:rsidRPr="000F1B6E">
              <w:rPr>
                <w:rFonts w:eastAsia="Calibri"/>
                <w:smallCaps/>
                <w:sz w:val="20"/>
              </w:rPr>
              <w:t xml:space="preserve">(Publication </w:t>
            </w:r>
            <w:r>
              <w:rPr>
                <w:rFonts w:eastAsia="Calibri"/>
                <w:smallCaps/>
                <w:sz w:val="20"/>
              </w:rPr>
              <w:t>B</w:t>
            </w:r>
            <w:r w:rsidRPr="000F1B6E">
              <w:rPr>
                <w:rFonts w:eastAsia="Calibri"/>
                <w:smallCaps/>
                <w:sz w:val="20"/>
              </w:rPr>
              <w:t xml:space="preserve">an in </w:t>
            </w:r>
            <w:r>
              <w:rPr>
                <w:rFonts w:eastAsia="Calibri"/>
                <w:smallCaps/>
                <w:sz w:val="20"/>
              </w:rPr>
              <w:t>C</w:t>
            </w:r>
            <w:r w:rsidRPr="000F1B6E">
              <w:rPr>
                <w:rFonts w:eastAsia="Calibri"/>
                <w:smallCaps/>
                <w:sz w:val="20"/>
              </w:rPr>
              <w:t xml:space="preserve">ase) (Publication </w:t>
            </w:r>
            <w:r>
              <w:rPr>
                <w:rFonts w:eastAsia="Calibri"/>
                <w:smallCaps/>
                <w:sz w:val="20"/>
              </w:rPr>
              <w:t>B</w:t>
            </w:r>
            <w:r w:rsidRPr="000F1B6E">
              <w:rPr>
                <w:rFonts w:eastAsia="Calibri"/>
                <w:smallCaps/>
                <w:sz w:val="20"/>
              </w:rPr>
              <w:t xml:space="preserve">an on </w:t>
            </w:r>
            <w:r>
              <w:rPr>
                <w:rFonts w:eastAsia="Calibri"/>
                <w:smallCaps/>
                <w:sz w:val="20"/>
              </w:rPr>
              <w:t>P</w:t>
            </w:r>
            <w:r w:rsidRPr="000F1B6E">
              <w:rPr>
                <w:rFonts w:eastAsia="Calibri"/>
                <w:smallCaps/>
                <w:sz w:val="20"/>
              </w:rPr>
              <w:t xml:space="preserve">arty) (Court </w:t>
            </w:r>
            <w:r>
              <w:rPr>
                <w:rFonts w:eastAsia="Calibri"/>
                <w:smallCaps/>
                <w:sz w:val="20"/>
              </w:rPr>
              <w:t>F</w:t>
            </w:r>
            <w:r w:rsidRPr="000F1B6E">
              <w:rPr>
                <w:rFonts w:eastAsia="Calibri"/>
                <w:smallCaps/>
                <w:sz w:val="20"/>
              </w:rPr>
              <w:t xml:space="preserve">ile </w:t>
            </w:r>
            <w:r>
              <w:rPr>
                <w:rFonts w:eastAsia="Calibri"/>
                <w:smallCaps/>
                <w:sz w:val="20"/>
              </w:rPr>
              <w:t>C</w:t>
            </w:r>
            <w:r w:rsidRPr="000F1B6E">
              <w:rPr>
                <w:rFonts w:eastAsia="Calibri"/>
                <w:smallCaps/>
                <w:sz w:val="20"/>
              </w:rPr>
              <w:t xml:space="preserve">ontains </w:t>
            </w:r>
            <w:r>
              <w:rPr>
                <w:rFonts w:eastAsia="Calibri"/>
                <w:smallCaps/>
                <w:sz w:val="20"/>
              </w:rPr>
              <w:t>I</w:t>
            </w:r>
            <w:r w:rsidRPr="000F1B6E">
              <w:rPr>
                <w:rFonts w:eastAsia="Calibri"/>
                <w:smallCaps/>
                <w:sz w:val="20"/>
              </w:rPr>
              <w:t xml:space="preserve">nformation that is not </w:t>
            </w:r>
            <w:r>
              <w:rPr>
                <w:rFonts w:eastAsia="Calibri"/>
                <w:smallCaps/>
                <w:sz w:val="20"/>
              </w:rPr>
              <w:t>A</w:t>
            </w:r>
            <w:r w:rsidRPr="000F1B6E">
              <w:rPr>
                <w:rFonts w:eastAsia="Calibri"/>
                <w:smallCaps/>
                <w:sz w:val="20"/>
              </w:rPr>
              <w:t xml:space="preserve">vailable for </w:t>
            </w:r>
            <w:r>
              <w:rPr>
                <w:rFonts w:eastAsia="Calibri"/>
                <w:smallCaps/>
                <w:sz w:val="20"/>
              </w:rPr>
              <w:t>I</w:t>
            </w:r>
            <w:r w:rsidRPr="000F1B6E">
              <w:rPr>
                <w:rFonts w:eastAsia="Calibri"/>
                <w:smallCaps/>
                <w:sz w:val="20"/>
              </w:rPr>
              <w:t xml:space="preserve">nspection by the </w:t>
            </w:r>
            <w:r>
              <w:rPr>
                <w:rFonts w:eastAsia="Calibri"/>
                <w:smallCaps/>
                <w:sz w:val="20"/>
              </w:rPr>
              <w:t>P</w:t>
            </w:r>
            <w:r w:rsidRPr="000F1B6E">
              <w:rPr>
                <w:rFonts w:eastAsia="Calibri"/>
                <w:smallCaps/>
                <w:sz w:val="20"/>
              </w:rPr>
              <w:t xml:space="preserve">ublic) </w:t>
            </w:r>
          </w:p>
          <w:p w:rsidR="009D24B9" w:rsidRPr="000F1B6E" w:rsidRDefault="009D24B9" w:rsidP="00BC5EAA">
            <w:pPr>
              <w:jc w:val="both"/>
              <w:rPr>
                <w:rFonts w:eastAsia="Calibri"/>
                <w:smallCaps/>
                <w:sz w:val="20"/>
              </w:rPr>
            </w:pPr>
          </w:p>
          <w:p w:rsidR="009D24B9" w:rsidRPr="000F1B6E" w:rsidRDefault="009D24B9" w:rsidP="00BC5EAA">
            <w:pPr>
              <w:jc w:val="both"/>
              <w:rPr>
                <w:rFonts w:eastAsia="Calibri"/>
                <w:sz w:val="20"/>
              </w:rPr>
            </w:pPr>
            <w:r w:rsidRPr="000F1B6E">
              <w:rPr>
                <w:rFonts w:eastAsia="Calibri"/>
                <w:sz w:val="20"/>
              </w:rPr>
              <w:t xml:space="preserve">Family law – Custody – Shared parenting – Whether abduction or wrongful retention of children, as referred to in </w:t>
            </w:r>
            <w:r w:rsidRPr="000F1B6E">
              <w:rPr>
                <w:rFonts w:eastAsia="Calibri"/>
                <w:i/>
                <w:sz w:val="20"/>
              </w:rPr>
              <w:t>Hague Convention</w:t>
            </w:r>
            <w:r w:rsidRPr="000F1B6E">
              <w:rPr>
                <w:rFonts w:eastAsia="Calibri"/>
                <w:sz w:val="20"/>
              </w:rPr>
              <w:t xml:space="preserve">, amount to “child abuse” and “family violence” as defined in the </w:t>
            </w:r>
            <w:r w:rsidRPr="000F1B6E">
              <w:rPr>
                <w:rFonts w:eastAsia="Calibri"/>
                <w:i/>
                <w:sz w:val="20"/>
              </w:rPr>
              <w:t>Family Law Act</w:t>
            </w:r>
            <w:r w:rsidRPr="000F1B6E">
              <w:rPr>
                <w:rFonts w:eastAsia="Calibri"/>
                <w:sz w:val="20"/>
              </w:rPr>
              <w:t>,</w:t>
            </w:r>
            <w:r w:rsidRPr="000F1B6E">
              <w:rPr>
                <w:rFonts w:eastAsia="Calibri"/>
                <w:i/>
                <w:sz w:val="20"/>
              </w:rPr>
              <w:t xml:space="preserve"> </w:t>
            </w:r>
            <w:r w:rsidRPr="000F1B6E">
              <w:rPr>
                <w:rFonts w:eastAsia="Calibri"/>
                <w:sz w:val="20"/>
              </w:rPr>
              <w:t xml:space="preserve">S.B.C., c. 25 – </w:t>
            </w:r>
            <w:r w:rsidRPr="000F1B6E">
              <w:rPr>
                <w:rFonts w:eastAsia="Calibri"/>
                <w:sz w:val="20"/>
              </w:rPr>
              <w:lastRenderedPageBreak/>
              <w:t xml:space="preserve">Does a court have jurisdiction under </w:t>
            </w:r>
            <w:r w:rsidRPr="000F1B6E">
              <w:rPr>
                <w:rFonts w:eastAsia="Calibri"/>
                <w:i/>
                <w:sz w:val="20"/>
              </w:rPr>
              <w:t>Family Law Act</w:t>
            </w:r>
            <w:r w:rsidRPr="000F1B6E">
              <w:rPr>
                <w:rFonts w:eastAsia="Calibri"/>
                <w:sz w:val="20"/>
              </w:rPr>
              <w:t xml:space="preserve"> to entertain variation application that requests to vary the “parenting time” and/or the “parenting responsibility” rights of parents? – Whether “wrongful retention” of children as referred to in </w:t>
            </w:r>
            <w:r w:rsidRPr="000F1B6E">
              <w:rPr>
                <w:rFonts w:eastAsia="Calibri"/>
                <w:i/>
                <w:sz w:val="20"/>
              </w:rPr>
              <w:t>Hague Convention</w:t>
            </w:r>
            <w:r w:rsidRPr="000F1B6E">
              <w:rPr>
                <w:rFonts w:eastAsia="Calibri"/>
                <w:sz w:val="20"/>
              </w:rPr>
              <w:t xml:space="preserve"> amounts to “parenting time denial” as defined in the </w:t>
            </w:r>
            <w:r w:rsidRPr="000F1B6E">
              <w:rPr>
                <w:rFonts w:eastAsia="Calibri"/>
                <w:i/>
                <w:sz w:val="20"/>
              </w:rPr>
              <w:t>Family Law Act</w:t>
            </w:r>
          </w:p>
        </w:tc>
      </w:tr>
      <w:tr w:rsidR="009D24B9" w:rsidRPr="000F1B6E" w:rsidTr="00BC5EAA">
        <w:tc>
          <w:tcPr>
            <w:tcW w:w="5000" w:type="pct"/>
            <w:gridSpan w:val="3"/>
          </w:tcPr>
          <w:p w:rsidR="009D24B9" w:rsidRPr="000F1B6E" w:rsidRDefault="009D24B9" w:rsidP="00BC5EAA">
            <w:pPr>
              <w:jc w:val="both"/>
              <w:rPr>
                <w:rFonts w:eastAsia="Calibri"/>
                <w:sz w:val="20"/>
              </w:rPr>
            </w:pPr>
          </w:p>
        </w:tc>
      </w:tr>
      <w:tr w:rsidR="009D24B9" w:rsidRPr="000F1B6E" w:rsidTr="00BC5EAA">
        <w:tc>
          <w:tcPr>
            <w:tcW w:w="5000" w:type="pct"/>
            <w:gridSpan w:val="3"/>
          </w:tcPr>
          <w:p w:rsidR="009D24B9" w:rsidRPr="000F1B6E" w:rsidRDefault="009D24B9" w:rsidP="00BC5EAA">
            <w:pPr>
              <w:jc w:val="both"/>
              <w:rPr>
                <w:rFonts w:eastAsia="Calibri"/>
                <w:sz w:val="20"/>
              </w:rPr>
            </w:pPr>
            <w:r w:rsidRPr="000F1B6E">
              <w:rPr>
                <w:rFonts w:eastAsia="Calibri"/>
                <w:sz w:val="20"/>
              </w:rPr>
              <w:t xml:space="preserve">The parties were married in Israel in 1995, and moved to Vancouver in 2002.  They have three children.  The parties separated in 2005 but continued to live in the family home, sharing parenting of the children.  In 2011, the wife obtained a court order allowing her to take the children with her to Israel to live.  She moved with them to Israel and the father followed them there.  The mobility decision was overturned on appeal in April, 2012 and the wife was ordered to return the children to British Columbia.  The court of appeal further ordered that the parties had joint custody with the primary residence to be with the father with access to the mother on a shared parenting basis, under the </w:t>
            </w:r>
            <w:r w:rsidRPr="000F1B6E">
              <w:rPr>
                <w:rFonts w:eastAsia="Calibri"/>
                <w:i/>
                <w:sz w:val="20"/>
              </w:rPr>
              <w:t>Divorce Act</w:t>
            </w:r>
            <w:r w:rsidRPr="000F1B6E">
              <w:rPr>
                <w:rFonts w:eastAsia="Calibri"/>
                <w:sz w:val="20"/>
              </w:rPr>
              <w:t>, R.S.C. 1985, c.3 (2</w:t>
            </w:r>
            <w:r w:rsidRPr="000F1B6E">
              <w:rPr>
                <w:rFonts w:eastAsia="Calibri"/>
                <w:sz w:val="20"/>
                <w:vertAlign w:val="superscript"/>
              </w:rPr>
              <w:t>nd</w:t>
            </w:r>
            <w:r w:rsidRPr="000F1B6E">
              <w:rPr>
                <w:rFonts w:eastAsia="Calibri"/>
                <w:sz w:val="20"/>
              </w:rPr>
              <w:t xml:space="preserve"> Supp.) and joint guardianship under the </w:t>
            </w:r>
            <w:r w:rsidRPr="000F1B6E">
              <w:rPr>
                <w:rFonts w:eastAsia="Calibri"/>
                <w:i/>
                <w:sz w:val="20"/>
              </w:rPr>
              <w:t>Family Relations Act</w:t>
            </w:r>
            <w:r w:rsidRPr="000F1B6E">
              <w:rPr>
                <w:rFonts w:eastAsia="Calibri"/>
                <w:sz w:val="20"/>
              </w:rPr>
              <w:t xml:space="preserve">, R.S.B.C. 1996, c. 128.  The mother did not comply with the April, 2012 order until November, 2012, four months after the date specified by the court of appeal.  The family all returned to British Columbia where the access order was varied to provide for equal parenting on a seven day rotation.  On September 19, 2013, the father obtained an order that the mother had been in contempt of the April 2012 order.  The access order was varied a few times. The father brought several applications under the </w:t>
            </w:r>
            <w:r w:rsidRPr="000F1B6E">
              <w:rPr>
                <w:rFonts w:eastAsia="Calibri"/>
                <w:i/>
                <w:sz w:val="20"/>
              </w:rPr>
              <w:t>Family Law Act</w:t>
            </w:r>
            <w:r w:rsidRPr="000F1B6E">
              <w:rPr>
                <w:rFonts w:eastAsia="Calibri"/>
                <w:sz w:val="20"/>
              </w:rPr>
              <w:t xml:space="preserve">, S.B.C., c. 25 based on the mother’s failure to return the children to British Columbia in accordance with the April 2012 order.  He sought a declaration that mother’s conduct constituted “family violence” and denial of parenting time under the </w:t>
            </w:r>
            <w:r w:rsidRPr="000F1B6E">
              <w:rPr>
                <w:rFonts w:eastAsia="Calibri"/>
                <w:i/>
                <w:sz w:val="20"/>
              </w:rPr>
              <w:t>Family Law Act</w:t>
            </w:r>
            <w:r w:rsidRPr="000F1B6E">
              <w:rPr>
                <w:rFonts w:eastAsia="Calibri"/>
                <w:sz w:val="20"/>
              </w:rPr>
              <w:t>, that she was in contempt of a previous costs award made against her and that he was entitled to a payment from her of $90,000 for the expenses he incurred while the parties were in Israel.</w:t>
            </w:r>
          </w:p>
          <w:p w:rsidR="009D24B9" w:rsidRPr="000F1B6E" w:rsidRDefault="009D24B9" w:rsidP="00BC5EAA">
            <w:pPr>
              <w:jc w:val="both"/>
              <w:rPr>
                <w:rFonts w:eastAsia="Calibri"/>
                <w:sz w:val="20"/>
              </w:rPr>
            </w:pPr>
          </w:p>
        </w:tc>
      </w:tr>
      <w:tr w:rsidR="009D24B9" w:rsidRPr="000F1B6E" w:rsidTr="00BC5EAA">
        <w:tc>
          <w:tcPr>
            <w:tcW w:w="2427" w:type="pct"/>
          </w:tcPr>
          <w:p w:rsidR="009D24B9" w:rsidRPr="000F1B6E" w:rsidRDefault="009D24B9" w:rsidP="00BC5EAA">
            <w:pPr>
              <w:jc w:val="both"/>
              <w:rPr>
                <w:rFonts w:eastAsia="Calibri"/>
                <w:sz w:val="20"/>
              </w:rPr>
            </w:pPr>
            <w:r w:rsidRPr="000F1B6E">
              <w:rPr>
                <w:rFonts w:eastAsia="Calibri"/>
                <w:sz w:val="20"/>
              </w:rPr>
              <w:t>February 5, 2014</w:t>
            </w:r>
          </w:p>
          <w:p w:rsidR="009D24B9" w:rsidRPr="000F1B6E" w:rsidRDefault="009D24B9" w:rsidP="00BC5EAA">
            <w:pPr>
              <w:jc w:val="both"/>
              <w:rPr>
                <w:rFonts w:eastAsia="Calibri"/>
                <w:sz w:val="20"/>
              </w:rPr>
            </w:pPr>
            <w:r w:rsidRPr="000F1B6E">
              <w:rPr>
                <w:rFonts w:eastAsia="Calibri"/>
                <w:sz w:val="20"/>
              </w:rPr>
              <w:t>Supreme Court of British Columbia</w:t>
            </w:r>
          </w:p>
          <w:p w:rsidR="009D24B9" w:rsidRPr="000F1B6E" w:rsidRDefault="009D24B9" w:rsidP="00BC5EAA">
            <w:pPr>
              <w:jc w:val="both"/>
              <w:rPr>
                <w:rFonts w:eastAsia="Calibri"/>
                <w:sz w:val="20"/>
              </w:rPr>
            </w:pPr>
            <w:r w:rsidRPr="000F1B6E">
              <w:rPr>
                <w:rFonts w:eastAsia="Calibri"/>
                <w:sz w:val="20"/>
              </w:rPr>
              <w:t>(Smith J.)</w:t>
            </w:r>
          </w:p>
          <w:p w:rsidR="009D24B9" w:rsidRPr="000F1B6E" w:rsidRDefault="00E42AAB" w:rsidP="00BC5EAA">
            <w:pPr>
              <w:jc w:val="both"/>
              <w:rPr>
                <w:rFonts w:eastAsia="Calibri"/>
                <w:sz w:val="20"/>
              </w:rPr>
            </w:pPr>
            <w:hyperlink r:id="rId106" w:history="1">
              <w:r w:rsidR="009D24B9" w:rsidRPr="000F1B6E">
                <w:rPr>
                  <w:rFonts w:eastAsia="Calibri"/>
                  <w:color w:val="0000FF"/>
                  <w:sz w:val="20"/>
                  <w:u w:val="single"/>
                </w:rPr>
                <w:t>2014 BCSC 187</w:t>
              </w:r>
            </w:hyperlink>
            <w:r w:rsidR="009D24B9" w:rsidRPr="000F1B6E">
              <w:rPr>
                <w:rFonts w:eastAsia="Calibri"/>
                <w:sz w:val="20"/>
              </w:rPr>
              <w:t xml:space="preserve"> </w:t>
            </w:r>
          </w:p>
          <w:p w:rsidR="009D24B9" w:rsidRPr="000F1B6E" w:rsidRDefault="009D24B9" w:rsidP="00BC5EAA">
            <w:pPr>
              <w:jc w:val="both"/>
              <w:rPr>
                <w:rFonts w:eastAsia="Calibri"/>
                <w:sz w:val="20"/>
              </w:rPr>
            </w:pPr>
          </w:p>
        </w:tc>
        <w:tc>
          <w:tcPr>
            <w:tcW w:w="243" w:type="pct"/>
          </w:tcPr>
          <w:p w:rsidR="009D24B9" w:rsidRPr="000F1B6E" w:rsidRDefault="009D24B9" w:rsidP="00BC5EAA">
            <w:pPr>
              <w:jc w:val="both"/>
              <w:rPr>
                <w:rFonts w:eastAsia="Calibri"/>
                <w:sz w:val="20"/>
              </w:rPr>
            </w:pPr>
          </w:p>
        </w:tc>
        <w:tc>
          <w:tcPr>
            <w:tcW w:w="2330" w:type="pct"/>
          </w:tcPr>
          <w:p w:rsidR="009D24B9" w:rsidRPr="000F1B6E" w:rsidRDefault="009D24B9" w:rsidP="00BC5EAA">
            <w:pPr>
              <w:jc w:val="both"/>
              <w:rPr>
                <w:rFonts w:eastAsia="Calibri"/>
                <w:sz w:val="20"/>
              </w:rPr>
            </w:pPr>
            <w:r w:rsidRPr="000F1B6E">
              <w:rPr>
                <w:rFonts w:eastAsia="Calibri"/>
                <w:sz w:val="20"/>
              </w:rPr>
              <w:t>Father’s application dismissed</w:t>
            </w:r>
          </w:p>
          <w:p w:rsidR="009D24B9" w:rsidRPr="000F1B6E" w:rsidRDefault="009D24B9" w:rsidP="00BC5EAA">
            <w:pPr>
              <w:jc w:val="both"/>
              <w:rPr>
                <w:rFonts w:eastAsia="Calibri"/>
                <w:sz w:val="20"/>
              </w:rPr>
            </w:pPr>
          </w:p>
        </w:tc>
      </w:tr>
      <w:tr w:rsidR="009D24B9" w:rsidRPr="000F1B6E" w:rsidTr="00BC5EAA">
        <w:tc>
          <w:tcPr>
            <w:tcW w:w="2427" w:type="pct"/>
          </w:tcPr>
          <w:p w:rsidR="009D24B9" w:rsidRPr="000F1B6E" w:rsidRDefault="009D24B9" w:rsidP="00BC5EAA">
            <w:pPr>
              <w:jc w:val="both"/>
              <w:rPr>
                <w:rFonts w:eastAsia="Calibri"/>
                <w:sz w:val="20"/>
              </w:rPr>
            </w:pPr>
            <w:r w:rsidRPr="000F1B6E">
              <w:rPr>
                <w:rFonts w:eastAsia="Calibri"/>
                <w:sz w:val="20"/>
              </w:rPr>
              <w:t>August 25, 2014</w:t>
            </w:r>
          </w:p>
          <w:p w:rsidR="009D24B9" w:rsidRPr="000F1B6E" w:rsidRDefault="009D24B9" w:rsidP="00BC5EAA">
            <w:pPr>
              <w:jc w:val="both"/>
              <w:rPr>
                <w:rFonts w:eastAsia="Calibri"/>
                <w:sz w:val="20"/>
              </w:rPr>
            </w:pPr>
            <w:r w:rsidRPr="000F1B6E">
              <w:rPr>
                <w:rFonts w:eastAsia="Calibri"/>
                <w:sz w:val="20"/>
              </w:rPr>
              <w:t xml:space="preserve">Court of Appeal for British Columbia </w:t>
            </w:r>
          </w:p>
          <w:p w:rsidR="009D24B9" w:rsidRPr="000F1B6E" w:rsidRDefault="009D24B9" w:rsidP="00BC5EAA">
            <w:pPr>
              <w:jc w:val="both"/>
              <w:rPr>
                <w:rFonts w:eastAsia="Calibri"/>
                <w:sz w:val="20"/>
              </w:rPr>
            </w:pPr>
            <w:r w:rsidRPr="000F1B6E">
              <w:rPr>
                <w:rFonts w:eastAsia="Calibri"/>
                <w:sz w:val="20"/>
              </w:rPr>
              <w:t>(Vancouver)</w:t>
            </w:r>
          </w:p>
          <w:p w:rsidR="009D24B9" w:rsidRPr="000F1B6E" w:rsidRDefault="009D24B9" w:rsidP="00BC5EAA">
            <w:pPr>
              <w:jc w:val="both"/>
              <w:rPr>
                <w:rFonts w:eastAsia="Calibri"/>
                <w:sz w:val="20"/>
              </w:rPr>
            </w:pPr>
            <w:r w:rsidRPr="000F1B6E">
              <w:rPr>
                <w:rFonts w:eastAsia="Calibri"/>
                <w:sz w:val="20"/>
              </w:rPr>
              <w:t>(Bauman, Smith and MacKenzie JJ.A.)</w:t>
            </w:r>
          </w:p>
          <w:p w:rsidR="009D24B9" w:rsidRPr="000F1B6E" w:rsidRDefault="00E42AAB" w:rsidP="00BC5EAA">
            <w:pPr>
              <w:jc w:val="both"/>
              <w:rPr>
                <w:rFonts w:eastAsia="Calibri"/>
                <w:sz w:val="20"/>
              </w:rPr>
            </w:pPr>
            <w:hyperlink r:id="rId107" w:history="1">
              <w:r w:rsidR="009D24B9" w:rsidRPr="000F1B6E">
                <w:rPr>
                  <w:rFonts w:eastAsia="Calibri"/>
                  <w:color w:val="0000FF"/>
                  <w:sz w:val="20"/>
                  <w:u w:val="single"/>
                </w:rPr>
                <w:t>2014 BCCA 334</w:t>
              </w:r>
            </w:hyperlink>
            <w:r w:rsidR="009D24B9" w:rsidRPr="000F1B6E">
              <w:rPr>
                <w:rFonts w:eastAsia="Calibri"/>
                <w:sz w:val="20"/>
              </w:rPr>
              <w:t xml:space="preserve"> </w:t>
            </w:r>
          </w:p>
          <w:p w:rsidR="009D24B9" w:rsidRPr="000F1B6E" w:rsidRDefault="009D24B9" w:rsidP="00BC5EAA">
            <w:pPr>
              <w:jc w:val="both"/>
              <w:rPr>
                <w:rFonts w:eastAsia="Calibri"/>
                <w:sz w:val="20"/>
              </w:rPr>
            </w:pPr>
          </w:p>
        </w:tc>
        <w:tc>
          <w:tcPr>
            <w:tcW w:w="243" w:type="pct"/>
          </w:tcPr>
          <w:p w:rsidR="009D24B9" w:rsidRPr="000F1B6E" w:rsidRDefault="009D24B9" w:rsidP="00BC5EAA">
            <w:pPr>
              <w:jc w:val="both"/>
              <w:rPr>
                <w:rFonts w:eastAsia="Calibri"/>
                <w:sz w:val="20"/>
              </w:rPr>
            </w:pPr>
          </w:p>
        </w:tc>
        <w:tc>
          <w:tcPr>
            <w:tcW w:w="2330" w:type="pct"/>
          </w:tcPr>
          <w:p w:rsidR="009D24B9" w:rsidRPr="000F1B6E" w:rsidRDefault="009D24B9" w:rsidP="00BC5EAA">
            <w:pPr>
              <w:jc w:val="both"/>
              <w:rPr>
                <w:rFonts w:eastAsia="Calibri"/>
                <w:sz w:val="20"/>
              </w:rPr>
            </w:pPr>
            <w:r w:rsidRPr="000F1B6E">
              <w:rPr>
                <w:rFonts w:eastAsia="Calibri"/>
                <w:sz w:val="20"/>
              </w:rPr>
              <w:t>Appeals dismissed</w:t>
            </w:r>
          </w:p>
          <w:p w:rsidR="009D24B9" w:rsidRPr="000F1B6E" w:rsidRDefault="009D24B9" w:rsidP="00BC5EAA">
            <w:pPr>
              <w:jc w:val="both"/>
              <w:rPr>
                <w:rFonts w:eastAsia="Calibri"/>
                <w:sz w:val="20"/>
              </w:rPr>
            </w:pPr>
          </w:p>
        </w:tc>
      </w:tr>
      <w:tr w:rsidR="009D24B9" w:rsidRPr="000F1B6E" w:rsidTr="00BC5EAA">
        <w:tc>
          <w:tcPr>
            <w:tcW w:w="2427" w:type="pct"/>
          </w:tcPr>
          <w:p w:rsidR="009D24B9" w:rsidRPr="000F1B6E" w:rsidRDefault="009D24B9" w:rsidP="00BC5EAA">
            <w:pPr>
              <w:jc w:val="both"/>
              <w:rPr>
                <w:rFonts w:eastAsia="Calibri"/>
                <w:sz w:val="20"/>
              </w:rPr>
            </w:pPr>
            <w:r w:rsidRPr="000F1B6E">
              <w:rPr>
                <w:rFonts w:eastAsia="Calibri"/>
                <w:sz w:val="20"/>
              </w:rPr>
              <w:t>October 20, 2014</w:t>
            </w:r>
          </w:p>
          <w:p w:rsidR="009D24B9" w:rsidRPr="000F1B6E" w:rsidRDefault="009D24B9" w:rsidP="00BC5EAA">
            <w:pPr>
              <w:jc w:val="both"/>
              <w:rPr>
                <w:rFonts w:eastAsia="Calibri"/>
                <w:sz w:val="20"/>
              </w:rPr>
            </w:pPr>
            <w:r w:rsidRPr="000F1B6E">
              <w:rPr>
                <w:rFonts w:eastAsia="Calibri"/>
                <w:sz w:val="20"/>
              </w:rPr>
              <w:t>Supreme Court of Canada</w:t>
            </w:r>
          </w:p>
        </w:tc>
        <w:tc>
          <w:tcPr>
            <w:tcW w:w="243" w:type="pct"/>
          </w:tcPr>
          <w:p w:rsidR="009D24B9" w:rsidRPr="000F1B6E" w:rsidRDefault="009D24B9" w:rsidP="00BC5EAA">
            <w:pPr>
              <w:jc w:val="both"/>
              <w:rPr>
                <w:rFonts w:eastAsia="Calibri"/>
                <w:sz w:val="20"/>
              </w:rPr>
            </w:pPr>
          </w:p>
        </w:tc>
        <w:tc>
          <w:tcPr>
            <w:tcW w:w="2330" w:type="pct"/>
          </w:tcPr>
          <w:p w:rsidR="009D24B9" w:rsidRPr="000F1B6E" w:rsidRDefault="009D24B9" w:rsidP="00BC5EAA">
            <w:pPr>
              <w:jc w:val="both"/>
              <w:rPr>
                <w:rFonts w:eastAsia="Calibri"/>
                <w:sz w:val="20"/>
              </w:rPr>
            </w:pPr>
            <w:r w:rsidRPr="000F1B6E">
              <w:rPr>
                <w:rFonts w:eastAsia="Calibri"/>
                <w:sz w:val="20"/>
              </w:rPr>
              <w:t>Application for leave to appeal filed</w:t>
            </w:r>
          </w:p>
        </w:tc>
      </w:tr>
    </w:tbl>
    <w:p w:rsidR="00124C37" w:rsidRPr="009D24B9" w:rsidRDefault="00124C37" w:rsidP="00124C37">
      <w:pPr>
        <w:rPr>
          <w:sz w:val="20"/>
          <w:szCs w:val="20"/>
        </w:rPr>
      </w:pPr>
    </w:p>
    <w:p w:rsidR="00124C37" w:rsidRPr="00C50A5C" w:rsidRDefault="00E42AAB" w:rsidP="00124C37">
      <w:pPr>
        <w:rPr>
          <w:sz w:val="20"/>
          <w:szCs w:val="20"/>
        </w:rPr>
      </w:pPr>
      <w:r>
        <w:rPr>
          <w:sz w:val="20"/>
          <w:szCs w:val="20"/>
          <w:lang w:val="fr-CA"/>
        </w:rPr>
        <w:pict>
          <v:rect id="_x0000_i1089" style="width:2in;height:1pt" o:hrpct="0" o:hralign="center" o:hrstd="t" o:hrnoshade="t" o:hr="t" fillcolor="black [3213]" stroked="f"/>
        </w:pict>
      </w:r>
    </w:p>
    <w:p w:rsidR="00124C37" w:rsidRDefault="00124C37" w:rsidP="00124C37">
      <w:pPr>
        <w:rPr>
          <w:sz w:val="20"/>
          <w:szCs w:val="20"/>
        </w:rPr>
      </w:pPr>
    </w:p>
    <w:p w:rsidR="00124C37" w:rsidRPr="001B157C" w:rsidRDefault="00124C37" w:rsidP="00124C37">
      <w:pPr>
        <w:rPr>
          <w:sz w:val="20"/>
          <w:szCs w:val="20"/>
          <w:u w:val="single"/>
          <w:lang w:val="fr-CA"/>
        </w:rPr>
      </w:pPr>
      <w:r w:rsidRPr="001B157C">
        <w:rPr>
          <w:sz w:val="20"/>
          <w:szCs w:val="20"/>
          <w:u w:val="single"/>
          <w:lang w:val="fr-CA"/>
        </w:rPr>
        <w:t>RÉSUMÉ DE L’AFFAIRE</w:t>
      </w:r>
    </w:p>
    <w:p w:rsidR="00124C37" w:rsidRDefault="00124C37" w:rsidP="00124C3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D24B9" w:rsidRPr="0025502E" w:rsidTr="00BC5EAA">
        <w:tc>
          <w:tcPr>
            <w:tcW w:w="5000" w:type="pct"/>
            <w:gridSpan w:val="3"/>
          </w:tcPr>
          <w:p w:rsidR="009D24B9" w:rsidRPr="000F1B6E" w:rsidRDefault="009D24B9" w:rsidP="00BC5EAA">
            <w:pPr>
              <w:jc w:val="both"/>
              <w:rPr>
                <w:rFonts w:eastAsia="Calibri"/>
                <w:smallCaps/>
                <w:sz w:val="20"/>
                <w:lang w:val="fr-CA"/>
              </w:rPr>
            </w:pPr>
            <w:r w:rsidRPr="000F1B6E">
              <w:rPr>
                <w:rFonts w:eastAsia="Calibri"/>
                <w:smallCaps/>
                <w:sz w:val="20"/>
                <w:lang w:val="fr-CA"/>
              </w:rPr>
              <w:t>(</w:t>
            </w:r>
            <w:r>
              <w:rPr>
                <w:rFonts w:eastAsia="Calibri"/>
                <w:smallCaps/>
                <w:sz w:val="20"/>
                <w:lang w:val="fr-CA"/>
              </w:rPr>
              <w:t>O</w:t>
            </w:r>
            <w:r w:rsidRPr="000F1B6E">
              <w:rPr>
                <w:rFonts w:eastAsia="Calibri"/>
                <w:smallCaps/>
                <w:sz w:val="20"/>
                <w:lang w:val="fr-CA"/>
              </w:rPr>
              <w:t>rdonnance de non-publication dans le dossier) (</w:t>
            </w:r>
            <w:r>
              <w:rPr>
                <w:rFonts w:eastAsia="Calibri"/>
                <w:smallCaps/>
                <w:sz w:val="20"/>
                <w:lang w:val="fr-CA"/>
              </w:rPr>
              <w:t>O</w:t>
            </w:r>
            <w:r w:rsidRPr="000F1B6E">
              <w:rPr>
                <w:rFonts w:eastAsia="Calibri"/>
                <w:smallCaps/>
                <w:sz w:val="20"/>
                <w:lang w:val="fr-CA"/>
              </w:rPr>
              <w:t>rdonnance de non-publication visant une partie) (</w:t>
            </w:r>
            <w:r>
              <w:rPr>
                <w:rFonts w:eastAsia="Calibri"/>
                <w:smallCaps/>
                <w:sz w:val="20"/>
                <w:lang w:val="fr-CA"/>
              </w:rPr>
              <w:t>L</w:t>
            </w:r>
            <w:r w:rsidRPr="000F1B6E">
              <w:rPr>
                <w:rFonts w:eastAsia="Calibri"/>
                <w:smallCaps/>
                <w:sz w:val="20"/>
                <w:lang w:val="fr-CA"/>
              </w:rPr>
              <w:t xml:space="preserve">e dossier de la cour renferme des données que le public n’est pas autorisé à consulter) </w:t>
            </w:r>
          </w:p>
          <w:p w:rsidR="009D24B9" w:rsidRPr="000F1B6E" w:rsidRDefault="009D24B9" w:rsidP="00BC5EAA">
            <w:pPr>
              <w:jc w:val="both"/>
              <w:rPr>
                <w:rFonts w:eastAsia="Calibri"/>
                <w:smallCaps/>
                <w:sz w:val="20"/>
                <w:lang w:val="fr-CA"/>
              </w:rPr>
            </w:pPr>
          </w:p>
          <w:p w:rsidR="009D24B9" w:rsidRPr="000F1B6E" w:rsidRDefault="009D24B9" w:rsidP="00BC5EAA">
            <w:pPr>
              <w:jc w:val="both"/>
              <w:rPr>
                <w:rFonts w:eastAsia="Calibri"/>
                <w:sz w:val="20"/>
                <w:lang w:val="fr-CA"/>
              </w:rPr>
            </w:pPr>
            <w:r w:rsidRPr="000F1B6E">
              <w:rPr>
                <w:rFonts w:eastAsia="Calibri"/>
                <w:sz w:val="20"/>
                <w:lang w:val="fr-CA"/>
              </w:rPr>
              <w:t xml:space="preserve">Droit de la famille – Garde – Garde partagée – L’enlèvement ou la rétention illicite d’enfant dont il est question dans la </w:t>
            </w:r>
            <w:r w:rsidRPr="000F1B6E">
              <w:rPr>
                <w:rFonts w:eastAsia="Calibri"/>
                <w:i/>
                <w:sz w:val="20"/>
                <w:lang w:val="fr-CA"/>
              </w:rPr>
              <w:t>Convention de La Haye</w:t>
            </w:r>
            <w:r w:rsidRPr="000F1B6E">
              <w:rPr>
                <w:rFonts w:eastAsia="Calibri"/>
                <w:sz w:val="20"/>
                <w:lang w:val="fr-CA"/>
              </w:rPr>
              <w:t xml:space="preserve"> sont-ils assimilables à de « mauvais traitements infligés à un enfant » et à de la « violence familiale » au sens de la </w:t>
            </w:r>
            <w:r w:rsidRPr="000F1B6E">
              <w:rPr>
                <w:rFonts w:eastAsia="Calibri"/>
                <w:i/>
                <w:sz w:val="20"/>
                <w:lang w:val="fr-CA"/>
              </w:rPr>
              <w:t>Family Law Act</w:t>
            </w:r>
            <w:r w:rsidRPr="000F1B6E">
              <w:rPr>
                <w:rFonts w:eastAsia="Calibri"/>
                <w:sz w:val="20"/>
                <w:lang w:val="fr-CA"/>
              </w:rPr>
              <w:t>,</w:t>
            </w:r>
            <w:r w:rsidRPr="000F1B6E">
              <w:rPr>
                <w:rFonts w:eastAsia="Calibri"/>
                <w:i/>
                <w:sz w:val="20"/>
                <w:lang w:val="fr-CA"/>
              </w:rPr>
              <w:t xml:space="preserve"> </w:t>
            </w:r>
            <w:r w:rsidRPr="000F1B6E">
              <w:rPr>
                <w:rFonts w:eastAsia="Calibri"/>
                <w:sz w:val="20"/>
                <w:lang w:val="fr-CA"/>
              </w:rPr>
              <w:t xml:space="preserve">S.B.C., ch. 25? – Un tribunal est-il compétent en vertu de la </w:t>
            </w:r>
            <w:r w:rsidRPr="000F1B6E">
              <w:rPr>
                <w:rFonts w:eastAsia="Calibri"/>
                <w:i/>
                <w:sz w:val="20"/>
                <w:lang w:val="fr-CA"/>
              </w:rPr>
              <w:t>Family Law Act</w:t>
            </w:r>
            <w:r w:rsidRPr="000F1B6E">
              <w:rPr>
                <w:rFonts w:eastAsia="Calibri"/>
                <w:sz w:val="20"/>
                <w:lang w:val="fr-CA"/>
              </w:rPr>
              <w:t xml:space="preserve"> pour connaître d’une demande visant à faire modifier le « temps passé par le parent avec l’enfant » ou le droit des parents d’exercer leur « responsabilité parentale »? – La « rétention illicite » d’enfant dont il est question dans la </w:t>
            </w:r>
            <w:r w:rsidRPr="000F1B6E">
              <w:rPr>
                <w:rFonts w:eastAsia="Calibri"/>
                <w:i/>
                <w:sz w:val="20"/>
                <w:lang w:val="fr-CA"/>
              </w:rPr>
              <w:t>Convention de La</w:t>
            </w:r>
            <w:r w:rsidRPr="000F1B6E">
              <w:rPr>
                <w:rFonts w:eastAsia="Calibri"/>
                <w:sz w:val="20"/>
                <w:lang w:val="fr-CA"/>
              </w:rPr>
              <w:t xml:space="preserve"> </w:t>
            </w:r>
            <w:r w:rsidRPr="000F1B6E">
              <w:rPr>
                <w:rFonts w:eastAsia="Calibri"/>
                <w:i/>
                <w:sz w:val="20"/>
                <w:lang w:val="fr-CA"/>
              </w:rPr>
              <w:t>Haye</w:t>
            </w:r>
            <w:r w:rsidRPr="000F1B6E">
              <w:rPr>
                <w:rFonts w:eastAsia="Calibri"/>
                <w:sz w:val="20"/>
                <w:lang w:val="fr-CA"/>
              </w:rPr>
              <w:t xml:space="preserve"> est-elle assimilable à une « négation du droit du parent de passer du temps avec l’enfant » au sens de la </w:t>
            </w:r>
            <w:r w:rsidRPr="000F1B6E">
              <w:rPr>
                <w:rFonts w:eastAsia="Calibri"/>
                <w:i/>
                <w:sz w:val="20"/>
                <w:lang w:val="fr-CA"/>
              </w:rPr>
              <w:t>Family Law Act</w:t>
            </w:r>
            <w:r w:rsidRPr="000F1B6E">
              <w:rPr>
                <w:rFonts w:eastAsia="Calibri"/>
                <w:sz w:val="20"/>
                <w:lang w:val="fr-CA"/>
              </w:rPr>
              <w:t>?</w:t>
            </w:r>
          </w:p>
        </w:tc>
      </w:tr>
      <w:tr w:rsidR="009D24B9" w:rsidRPr="0025502E" w:rsidTr="00BC5EAA">
        <w:tc>
          <w:tcPr>
            <w:tcW w:w="5000" w:type="pct"/>
            <w:gridSpan w:val="3"/>
          </w:tcPr>
          <w:p w:rsidR="009D24B9" w:rsidRPr="000F1B6E" w:rsidRDefault="009D24B9" w:rsidP="00BC5EAA">
            <w:pPr>
              <w:jc w:val="both"/>
              <w:rPr>
                <w:rFonts w:eastAsia="Calibri"/>
                <w:sz w:val="20"/>
                <w:lang w:val="fr-CA"/>
              </w:rPr>
            </w:pPr>
          </w:p>
        </w:tc>
      </w:tr>
      <w:tr w:rsidR="009D24B9" w:rsidRPr="0025502E" w:rsidTr="00BC5EAA">
        <w:tc>
          <w:tcPr>
            <w:tcW w:w="5000" w:type="pct"/>
            <w:gridSpan w:val="3"/>
          </w:tcPr>
          <w:p w:rsidR="009D24B9" w:rsidRPr="000F1B6E" w:rsidRDefault="009D24B9" w:rsidP="00BC5EAA">
            <w:pPr>
              <w:jc w:val="both"/>
              <w:rPr>
                <w:rFonts w:eastAsia="Calibri"/>
                <w:sz w:val="20"/>
                <w:lang w:val="fr-CA"/>
              </w:rPr>
            </w:pPr>
            <w:r w:rsidRPr="000F1B6E">
              <w:rPr>
                <w:rFonts w:eastAsia="Calibri"/>
                <w:sz w:val="20"/>
                <w:lang w:val="fr-CA"/>
              </w:rPr>
              <w:lastRenderedPageBreak/>
              <w:t xml:space="preserve">Les parties se sont mariées en Israël en 1995 et ont déménagé à Vancouver en 2002.  Ils ont trois enfants.  Les parties se sont séparées en 2005 mais ont continué d’habiter le domicile familial et de s’occuper conjointement des enfants.  En 2011, l’épouse a obtenu une ordonnance judiciaire l’autorisant à vivre en Israël avec les enfants.  Elle y a déménagé avec eux et le père les a suivis. Cette décision a été annulée en appel en avril 2012 et l’épouse s’est vu ordonner de ramener les enfants en Colombie-Britannique.  La cour d’appel a aussi accordé la garde conjointe aux parties et décrété que les enfants vivraient principalement chez leur père, que la mère serait en contact avec eux par parentage partagé en vertu de la </w:t>
            </w:r>
            <w:r w:rsidRPr="000F1B6E">
              <w:rPr>
                <w:rFonts w:eastAsia="Calibri"/>
                <w:i/>
                <w:sz w:val="20"/>
                <w:lang w:val="fr-CA"/>
              </w:rPr>
              <w:t>Loi sur le divorce</w:t>
            </w:r>
            <w:r w:rsidRPr="000F1B6E">
              <w:rPr>
                <w:rFonts w:eastAsia="Calibri"/>
                <w:sz w:val="20"/>
                <w:lang w:val="fr-CA"/>
              </w:rPr>
              <w:t>, L.R.C. 1985 (2</w:t>
            </w:r>
            <w:r w:rsidRPr="000F1B6E">
              <w:rPr>
                <w:rFonts w:eastAsia="Calibri"/>
                <w:sz w:val="20"/>
                <w:vertAlign w:val="superscript"/>
                <w:lang w:val="fr-CA"/>
              </w:rPr>
              <w:t>e</w:t>
            </w:r>
            <w:r w:rsidRPr="000F1B6E">
              <w:rPr>
                <w:rFonts w:eastAsia="Calibri"/>
                <w:sz w:val="20"/>
                <w:lang w:val="fr-CA"/>
              </w:rPr>
              <w:t xml:space="preserve"> suppl.), ch. 3, et qu’elle s’en occuperait conjointement avec le père au titre de la </w:t>
            </w:r>
            <w:r w:rsidRPr="000F1B6E">
              <w:rPr>
                <w:rFonts w:eastAsia="Calibri"/>
                <w:i/>
                <w:sz w:val="20"/>
                <w:lang w:val="fr-CA"/>
              </w:rPr>
              <w:t>Family Relations Act</w:t>
            </w:r>
            <w:r w:rsidRPr="000F1B6E">
              <w:rPr>
                <w:rFonts w:eastAsia="Calibri"/>
                <w:sz w:val="20"/>
                <w:lang w:val="fr-CA"/>
              </w:rPr>
              <w:t xml:space="preserve">, R.S.B.C. 1996, ch. 128.  La mère ne s’est conformée à l’ordonnance d’avril 2012 qu’en novembre de cette année-là, soit quatre mois après la date fixée par la cour d’appel.  Toute la famille est revenue en Colombie-Britannique, où l’ordonnance relative au droit d’accès a été modifiée pour prévoir une garde égale selon une rotation de sept jours.  Le 19 septembre 2013, le père a obtenu une ordonnance portant que la mère n’avait pas respecté l’ordonnance d’avril 2012.  L’ordonnance relative au droit d’accès a été modifiée à quelques reprises.  Le père a présenté plusieurs demandes en vertu de la </w:t>
            </w:r>
            <w:r w:rsidRPr="000F1B6E">
              <w:rPr>
                <w:rFonts w:eastAsia="Calibri"/>
                <w:i/>
                <w:sz w:val="20"/>
                <w:lang w:val="fr-CA"/>
              </w:rPr>
              <w:t>Family Law Act</w:t>
            </w:r>
            <w:r w:rsidRPr="000F1B6E">
              <w:rPr>
                <w:rFonts w:eastAsia="Calibri"/>
                <w:sz w:val="20"/>
                <w:lang w:val="fr-CA"/>
              </w:rPr>
              <w:t xml:space="preserve">, S.B.C., ch. 25, compte tenu de l’omission de la mère de ramener les enfants en Colombie-Britannique conformément à l’ordonnance d’avril 2012.  Il a sollicité un jugement déclarant que la conduite de la mère constituait de la « violence familiale » et une négation du droit du père de passer du temps avec les enfants en vertu de la </w:t>
            </w:r>
            <w:r w:rsidRPr="000F1B6E">
              <w:rPr>
                <w:rFonts w:eastAsia="Calibri"/>
                <w:i/>
                <w:sz w:val="20"/>
                <w:lang w:val="fr-CA"/>
              </w:rPr>
              <w:t>Family Law Act</w:t>
            </w:r>
            <w:r w:rsidRPr="000F1B6E">
              <w:rPr>
                <w:rFonts w:eastAsia="Calibri"/>
                <w:sz w:val="20"/>
                <w:lang w:val="fr-CA"/>
              </w:rPr>
              <w:t>, qu’elle ne respectait pas une ordonnance antérieure la condamnant aux dépens et qu’elle lui devait 90 000 $ pour les dépenses qu’il a engagées alors que les parties se trouvaient en Israël.</w:t>
            </w:r>
          </w:p>
          <w:p w:rsidR="009D24B9" w:rsidRPr="000F1B6E" w:rsidRDefault="009D24B9" w:rsidP="00BC5EAA">
            <w:pPr>
              <w:jc w:val="both"/>
              <w:rPr>
                <w:rFonts w:eastAsia="Calibri"/>
                <w:sz w:val="20"/>
                <w:lang w:val="fr-CA"/>
              </w:rPr>
            </w:pPr>
          </w:p>
        </w:tc>
      </w:tr>
      <w:tr w:rsidR="009D24B9" w:rsidRPr="000F1B6E" w:rsidTr="00BC5EAA">
        <w:tc>
          <w:tcPr>
            <w:tcW w:w="2427" w:type="pct"/>
          </w:tcPr>
          <w:p w:rsidR="009D24B9" w:rsidRPr="000F1B6E" w:rsidRDefault="009D24B9" w:rsidP="00BC5EAA">
            <w:pPr>
              <w:jc w:val="both"/>
              <w:rPr>
                <w:rFonts w:eastAsia="Calibri"/>
                <w:sz w:val="20"/>
                <w:lang w:val="fr-CA"/>
              </w:rPr>
            </w:pPr>
            <w:r w:rsidRPr="000F1B6E">
              <w:rPr>
                <w:rFonts w:eastAsia="Calibri"/>
                <w:sz w:val="20"/>
                <w:lang w:val="fr-CA"/>
              </w:rPr>
              <w:t>5 février 2014</w:t>
            </w:r>
          </w:p>
          <w:p w:rsidR="009D24B9" w:rsidRPr="000F1B6E" w:rsidRDefault="009D24B9" w:rsidP="00BC5EAA">
            <w:pPr>
              <w:jc w:val="both"/>
              <w:rPr>
                <w:rFonts w:eastAsia="Calibri"/>
                <w:sz w:val="20"/>
                <w:lang w:val="fr-CA"/>
              </w:rPr>
            </w:pPr>
            <w:r w:rsidRPr="000F1B6E">
              <w:rPr>
                <w:rFonts w:eastAsia="Calibri"/>
                <w:sz w:val="20"/>
                <w:lang w:val="fr-CA"/>
              </w:rPr>
              <w:t>Cour suprême de la Colombie-Britannique</w:t>
            </w:r>
          </w:p>
          <w:p w:rsidR="009D24B9" w:rsidRPr="000F1B6E" w:rsidRDefault="009D24B9" w:rsidP="00BC5EAA">
            <w:pPr>
              <w:jc w:val="both"/>
              <w:rPr>
                <w:rFonts w:eastAsia="Calibri"/>
                <w:sz w:val="20"/>
              </w:rPr>
            </w:pPr>
            <w:r w:rsidRPr="000F1B6E">
              <w:rPr>
                <w:rFonts w:eastAsia="Calibri"/>
                <w:sz w:val="20"/>
              </w:rPr>
              <w:t>(Juge Smith)</w:t>
            </w:r>
          </w:p>
          <w:p w:rsidR="009D24B9" w:rsidRPr="000F1B6E" w:rsidRDefault="00E42AAB" w:rsidP="00BC5EAA">
            <w:pPr>
              <w:jc w:val="both"/>
              <w:rPr>
                <w:rFonts w:eastAsia="Calibri"/>
                <w:sz w:val="20"/>
              </w:rPr>
            </w:pPr>
            <w:hyperlink r:id="rId108" w:history="1">
              <w:r w:rsidR="009D24B9" w:rsidRPr="000F1B6E">
                <w:rPr>
                  <w:rFonts w:eastAsia="Calibri"/>
                  <w:color w:val="0000FF"/>
                  <w:sz w:val="20"/>
                  <w:u w:val="single"/>
                </w:rPr>
                <w:t>2014 BCSC 187</w:t>
              </w:r>
            </w:hyperlink>
            <w:r w:rsidR="009D24B9" w:rsidRPr="000F1B6E">
              <w:rPr>
                <w:rFonts w:eastAsia="Calibri"/>
                <w:sz w:val="20"/>
              </w:rPr>
              <w:t xml:space="preserve"> </w:t>
            </w:r>
          </w:p>
          <w:p w:rsidR="009D24B9" w:rsidRPr="000F1B6E" w:rsidRDefault="009D24B9" w:rsidP="00BC5EAA">
            <w:pPr>
              <w:jc w:val="both"/>
              <w:rPr>
                <w:rFonts w:eastAsia="Calibri"/>
                <w:sz w:val="20"/>
              </w:rPr>
            </w:pPr>
          </w:p>
        </w:tc>
        <w:tc>
          <w:tcPr>
            <w:tcW w:w="243" w:type="pct"/>
          </w:tcPr>
          <w:p w:rsidR="009D24B9" w:rsidRPr="000F1B6E" w:rsidRDefault="009D24B9" w:rsidP="00BC5EAA">
            <w:pPr>
              <w:jc w:val="both"/>
              <w:rPr>
                <w:rFonts w:eastAsia="Calibri"/>
                <w:sz w:val="20"/>
              </w:rPr>
            </w:pPr>
          </w:p>
        </w:tc>
        <w:tc>
          <w:tcPr>
            <w:tcW w:w="2330" w:type="pct"/>
          </w:tcPr>
          <w:p w:rsidR="009D24B9" w:rsidRPr="000F1B6E" w:rsidRDefault="009D24B9" w:rsidP="00BC5EAA">
            <w:pPr>
              <w:jc w:val="both"/>
              <w:rPr>
                <w:rFonts w:eastAsia="Calibri"/>
                <w:sz w:val="20"/>
              </w:rPr>
            </w:pPr>
            <w:r w:rsidRPr="000F1B6E">
              <w:rPr>
                <w:rFonts w:eastAsia="Calibri"/>
                <w:sz w:val="20"/>
              </w:rPr>
              <w:t>Demande du père rejetée</w:t>
            </w:r>
          </w:p>
          <w:p w:rsidR="009D24B9" w:rsidRPr="000F1B6E" w:rsidRDefault="009D24B9" w:rsidP="00BC5EAA">
            <w:pPr>
              <w:jc w:val="both"/>
              <w:rPr>
                <w:rFonts w:eastAsia="Calibri"/>
                <w:sz w:val="20"/>
              </w:rPr>
            </w:pPr>
          </w:p>
        </w:tc>
      </w:tr>
      <w:tr w:rsidR="009D24B9" w:rsidRPr="000F1B6E" w:rsidTr="00BC5EAA">
        <w:tc>
          <w:tcPr>
            <w:tcW w:w="2427" w:type="pct"/>
          </w:tcPr>
          <w:p w:rsidR="009D24B9" w:rsidRPr="000F1B6E" w:rsidRDefault="009D24B9" w:rsidP="00BC5EAA">
            <w:pPr>
              <w:jc w:val="both"/>
              <w:rPr>
                <w:rFonts w:eastAsia="Calibri"/>
                <w:sz w:val="20"/>
                <w:lang w:val="fr-CA"/>
              </w:rPr>
            </w:pPr>
            <w:r w:rsidRPr="000F1B6E">
              <w:rPr>
                <w:rFonts w:eastAsia="Calibri"/>
                <w:sz w:val="20"/>
                <w:lang w:val="fr-CA"/>
              </w:rPr>
              <w:t>25 août 2014</w:t>
            </w:r>
          </w:p>
          <w:p w:rsidR="009D24B9" w:rsidRPr="000F1B6E" w:rsidRDefault="009D24B9" w:rsidP="00BC5EAA">
            <w:pPr>
              <w:jc w:val="both"/>
              <w:rPr>
                <w:rFonts w:eastAsia="Calibri"/>
                <w:sz w:val="20"/>
                <w:lang w:val="fr-CA"/>
              </w:rPr>
            </w:pPr>
            <w:r w:rsidRPr="000F1B6E">
              <w:rPr>
                <w:rFonts w:eastAsia="Calibri"/>
                <w:sz w:val="20"/>
                <w:lang w:val="fr-CA"/>
              </w:rPr>
              <w:t xml:space="preserve">Cour d’appel de la Colombie-Britannique  </w:t>
            </w:r>
          </w:p>
          <w:p w:rsidR="009D24B9" w:rsidRPr="000F1B6E" w:rsidRDefault="009D24B9" w:rsidP="00BC5EAA">
            <w:pPr>
              <w:jc w:val="both"/>
              <w:rPr>
                <w:rFonts w:eastAsia="Calibri"/>
                <w:sz w:val="20"/>
                <w:lang w:val="fr-CA"/>
              </w:rPr>
            </w:pPr>
            <w:r w:rsidRPr="000F1B6E">
              <w:rPr>
                <w:rFonts w:eastAsia="Calibri"/>
                <w:sz w:val="20"/>
                <w:lang w:val="fr-CA"/>
              </w:rPr>
              <w:t>(Vancouver)</w:t>
            </w:r>
          </w:p>
          <w:p w:rsidR="009D24B9" w:rsidRPr="000F1B6E" w:rsidRDefault="009D24B9" w:rsidP="00BC5EAA">
            <w:pPr>
              <w:jc w:val="both"/>
              <w:rPr>
                <w:rFonts w:eastAsia="Calibri"/>
                <w:sz w:val="20"/>
                <w:lang w:val="fr-CA"/>
              </w:rPr>
            </w:pPr>
            <w:r w:rsidRPr="000F1B6E">
              <w:rPr>
                <w:rFonts w:eastAsia="Calibri"/>
                <w:sz w:val="20"/>
                <w:lang w:val="fr-CA"/>
              </w:rPr>
              <w:t>(Juges Bauman, Smith et MacKenzie)</w:t>
            </w:r>
          </w:p>
          <w:p w:rsidR="009D24B9" w:rsidRPr="000F1B6E" w:rsidRDefault="00E42AAB" w:rsidP="00BC5EAA">
            <w:pPr>
              <w:jc w:val="both"/>
              <w:rPr>
                <w:rFonts w:eastAsia="Calibri"/>
                <w:sz w:val="20"/>
              </w:rPr>
            </w:pPr>
            <w:hyperlink r:id="rId109" w:history="1">
              <w:r w:rsidR="009D24B9" w:rsidRPr="000F1B6E">
                <w:rPr>
                  <w:rFonts w:eastAsia="Calibri"/>
                  <w:color w:val="0000FF"/>
                  <w:sz w:val="20"/>
                  <w:u w:val="single"/>
                </w:rPr>
                <w:t>2014 BCCA 334</w:t>
              </w:r>
            </w:hyperlink>
            <w:r w:rsidR="009D24B9" w:rsidRPr="000F1B6E">
              <w:rPr>
                <w:rFonts w:eastAsia="Calibri"/>
                <w:sz w:val="20"/>
              </w:rPr>
              <w:t xml:space="preserve"> </w:t>
            </w:r>
          </w:p>
          <w:p w:rsidR="009D24B9" w:rsidRPr="000F1B6E" w:rsidRDefault="009D24B9" w:rsidP="00BC5EAA">
            <w:pPr>
              <w:jc w:val="both"/>
              <w:rPr>
                <w:rFonts w:eastAsia="Calibri"/>
                <w:sz w:val="20"/>
              </w:rPr>
            </w:pPr>
          </w:p>
        </w:tc>
        <w:tc>
          <w:tcPr>
            <w:tcW w:w="243" w:type="pct"/>
          </w:tcPr>
          <w:p w:rsidR="009D24B9" w:rsidRPr="000F1B6E" w:rsidRDefault="009D24B9" w:rsidP="00BC5EAA">
            <w:pPr>
              <w:jc w:val="both"/>
              <w:rPr>
                <w:rFonts w:eastAsia="Calibri"/>
                <w:sz w:val="20"/>
              </w:rPr>
            </w:pPr>
          </w:p>
        </w:tc>
        <w:tc>
          <w:tcPr>
            <w:tcW w:w="2330" w:type="pct"/>
          </w:tcPr>
          <w:p w:rsidR="009D24B9" w:rsidRPr="000F1B6E" w:rsidRDefault="009D24B9" w:rsidP="00BC5EAA">
            <w:pPr>
              <w:jc w:val="both"/>
              <w:rPr>
                <w:rFonts w:eastAsia="Calibri"/>
                <w:sz w:val="20"/>
              </w:rPr>
            </w:pPr>
            <w:r w:rsidRPr="000F1B6E">
              <w:rPr>
                <w:rFonts w:eastAsia="Calibri"/>
                <w:sz w:val="20"/>
              </w:rPr>
              <w:t>Appels rejetés</w:t>
            </w:r>
          </w:p>
          <w:p w:rsidR="009D24B9" w:rsidRPr="000F1B6E" w:rsidRDefault="009D24B9" w:rsidP="00BC5EAA">
            <w:pPr>
              <w:jc w:val="both"/>
              <w:rPr>
                <w:rFonts w:eastAsia="Calibri"/>
                <w:sz w:val="20"/>
              </w:rPr>
            </w:pPr>
          </w:p>
        </w:tc>
      </w:tr>
      <w:tr w:rsidR="009D24B9" w:rsidRPr="000F1B6E" w:rsidTr="00BC5EAA">
        <w:tc>
          <w:tcPr>
            <w:tcW w:w="2427" w:type="pct"/>
          </w:tcPr>
          <w:p w:rsidR="009D24B9" w:rsidRPr="000F1B6E" w:rsidRDefault="009D24B9" w:rsidP="00BC5EAA">
            <w:pPr>
              <w:jc w:val="both"/>
              <w:rPr>
                <w:rFonts w:eastAsia="Calibri"/>
                <w:sz w:val="20"/>
                <w:lang w:val="fr-CA"/>
              </w:rPr>
            </w:pPr>
            <w:r w:rsidRPr="000F1B6E">
              <w:rPr>
                <w:rFonts w:eastAsia="Calibri"/>
                <w:sz w:val="20"/>
                <w:lang w:val="fr-CA"/>
              </w:rPr>
              <w:t>20 octobre 2014</w:t>
            </w:r>
          </w:p>
          <w:p w:rsidR="009D24B9" w:rsidRPr="000F1B6E" w:rsidRDefault="009D24B9" w:rsidP="00BC5EAA">
            <w:pPr>
              <w:jc w:val="both"/>
              <w:rPr>
                <w:rFonts w:eastAsia="Calibri"/>
                <w:sz w:val="20"/>
                <w:lang w:val="fr-CA"/>
              </w:rPr>
            </w:pPr>
            <w:r w:rsidRPr="000F1B6E">
              <w:rPr>
                <w:rFonts w:eastAsia="Calibri"/>
                <w:sz w:val="20"/>
                <w:lang w:val="fr-CA"/>
              </w:rPr>
              <w:t>Cour suprême du Canada</w:t>
            </w:r>
          </w:p>
        </w:tc>
        <w:tc>
          <w:tcPr>
            <w:tcW w:w="243" w:type="pct"/>
          </w:tcPr>
          <w:p w:rsidR="009D24B9" w:rsidRPr="000F1B6E" w:rsidRDefault="009D24B9" w:rsidP="00BC5EAA">
            <w:pPr>
              <w:jc w:val="both"/>
              <w:rPr>
                <w:rFonts w:eastAsia="Calibri"/>
                <w:sz w:val="20"/>
                <w:lang w:val="fr-CA"/>
              </w:rPr>
            </w:pPr>
          </w:p>
        </w:tc>
        <w:tc>
          <w:tcPr>
            <w:tcW w:w="2330" w:type="pct"/>
          </w:tcPr>
          <w:p w:rsidR="009D24B9" w:rsidRPr="000F1B6E" w:rsidRDefault="009D24B9" w:rsidP="00BC5EAA">
            <w:pPr>
              <w:jc w:val="both"/>
              <w:rPr>
                <w:rFonts w:eastAsia="Calibri"/>
                <w:sz w:val="20"/>
              </w:rPr>
            </w:pPr>
            <w:r w:rsidRPr="000F1B6E">
              <w:rPr>
                <w:rFonts w:eastAsia="Calibri"/>
                <w:sz w:val="20"/>
                <w:lang w:val="fr-CA"/>
              </w:rPr>
              <w:t xml:space="preserve">Demande d’autorisation d’appel déposée </w:t>
            </w:r>
          </w:p>
        </w:tc>
      </w:tr>
    </w:tbl>
    <w:p w:rsidR="00124C37" w:rsidRDefault="00124C37" w:rsidP="00124C37">
      <w:pPr>
        <w:rPr>
          <w:sz w:val="20"/>
          <w:szCs w:val="20"/>
        </w:rPr>
      </w:pPr>
    </w:p>
    <w:p w:rsidR="00124C37" w:rsidRDefault="00E42AAB" w:rsidP="00124C37">
      <w:pPr>
        <w:rPr>
          <w:sz w:val="20"/>
          <w:szCs w:val="20"/>
        </w:rPr>
      </w:pPr>
      <w:r>
        <w:rPr>
          <w:sz w:val="20"/>
          <w:szCs w:val="20"/>
          <w:lang w:val="fr-CA"/>
        </w:rPr>
        <w:pict>
          <v:rect id="_x0000_i1090" style="width:2in;height:1pt" o:hrpct="0" o:hralign="center" o:hrstd="t" o:hrnoshade="t" o:hr="t" fillcolor="black [3213]" stroked="f"/>
        </w:pict>
      </w:r>
    </w:p>
    <w:p w:rsidR="00124C37" w:rsidRDefault="00124C37" w:rsidP="00124C37">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03DFB" w:rsidRPr="00E7075A" w:rsidTr="00C64462">
        <w:trPr>
          <w:cantSplit/>
        </w:trPr>
        <w:tc>
          <w:tcPr>
            <w:tcW w:w="1458" w:type="dxa"/>
          </w:tcPr>
          <w:p w:rsidR="00803DFB" w:rsidRPr="00E7075A" w:rsidRDefault="00803DFB" w:rsidP="00C64462">
            <w:pPr>
              <w:rPr>
                <w:sz w:val="20"/>
                <w:szCs w:val="20"/>
              </w:rPr>
            </w:pPr>
            <w:r w:rsidRPr="00E7075A">
              <w:rPr>
                <w:rStyle w:val="SCCFileNumberChar"/>
                <w:sz w:val="20"/>
                <w:szCs w:val="20"/>
              </w:rPr>
              <w:t>36155</w:t>
            </w:r>
          </w:p>
          <w:p w:rsidR="00803DFB" w:rsidRPr="00E7075A" w:rsidRDefault="00803DFB" w:rsidP="00C64462">
            <w:pPr>
              <w:rPr>
                <w:b/>
                <w:sz w:val="20"/>
                <w:szCs w:val="20"/>
                <w:lang w:val="fr-CA"/>
              </w:rPr>
            </w:pPr>
          </w:p>
        </w:tc>
        <w:tc>
          <w:tcPr>
            <w:tcW w:w="8118" w:type="dxa"/>
          </w:tcPr>
          <w:p w:rsidR="00803DFB" w:rsidRPr="00E7075A" w:rsidRDefault="00803DFB" w:rsidP="00C64462">
            <w:pPr>
              <w:rPr>
                <w:sz w:val="20"/>
                <w:szCs w:val="20"/>
              </w:rPr>
            </w:pPr>
            <w:r w:rsidRPr="00803DFB">
              <w:rPr>
                <w:rStyle w:val="SCCLsocChar"/>
                <w:sz w:val="20"/>
                <w:szCs w:val="20"/>
                <w:lang w:val="en-CA"/>
              </w:rPr>
              <w:t>Chuang Ma v. City of Gatineau</w:t>
            </w:r>
            <w:r w:rsidRPr="00E7075A">
              <w:rPr>
                <w:sz w:val="20"/>
                <w:szCs w:val="20"/>
              </w:rPr>
              <w:t xml:space="preserve"> (Que.) (Civil) (By Leave)</w:t>
            </w:r>
          </w:p>
          <w:p w:rsidR="00803DFB" w:rsidRPr="00E7075A" w:rsidRDefault="00803DFB" w:rsidP="00C64462">
            <w:pPr>
              <w:rPr>
                <w:sz w:val="20"/>
                <w:szCs w:val="20"/>
              </w:rPr>
            </w:pPr>
          </w:p>
        </w:tc>
      </w:tr>
      <w:tr w:rsidR="00803DFB" w:rsidRPr="00E7075A" w:rsidTr="00C64462">
        <w:trPr>
          <w:cantSplit/>
        </w:trPr>
        <w:tc>
          <w:tcPr>
            <w:tcW w:w="1458" w:type="dxa"/>
          </w:tcPr>
          <w:p w:rsidR="00803DFB" w:rsidRPr="00E7075A" w:rsidRDefault="00803DFB" w:rsidP="00C64462">
            <w:pPr>
              <w:rPr>
                <w:sz w:val="20"/>
                <w:szCs w:val="20"/>
              </w:rPr>
            </w:pPr>
            <w:r w:rsidRPr="00E7075A">
              <w:rPr>
                <w:sz w:val="20"/>
                <w:szCs w:val="20"/>
              </w:rPr>
              <w:t>Coram :</w:t>
            </w:r>
          </w:p>
        </w:tc>
        <w:tc>
          <w:tcPr>
            <w:tcW w:w="8118" w:type="dxa"/>
          </w:tcPr>
          <w:p w:rsidR="00803DFB" w:rsidRPr="00E7075A" w:rsidRDefault="00803DFB" w:rsidP="00C64462">
            <w:pPr>
              <w:rPr>
                <w:sz w:val="20"/>
                <w:szCs w:val="20"/>
              </w:rPr>
            </w:pPr>
            <w:r w:rsidRPr="00803DFB">
              <w:rPr>
                <w:rStyle w:val="SCCCoramChar"/>
                <w:sz w:val="20"/>
                <w:szCs w:val="20"/>
                <w:lang w:val="en-CA"/>
              </w:rPr>
              <w:t>Rothstein, Cromwell and Moldaver JJ.</w:t>
            </w:r>
          </w:p>
          <w:p w:rsidR="00803DFB" w:rsidRPr="00E7075A" w:rsidRDefault="00803DFB" w:rsidP="00C64462">
            <w:pPr>
              <w:rPr>
                <w:sz w:val="20"/>
                <w:szCs w:val="20"/>
                <w:u w:val="single"/>
              </w:rPr>
            </w:pPr>
          </w:p>
        </w:tc>
      </w:tr>
      <w:tr w:rsidR="00803DFB" w:rsidRPr="0025502E" w:rsidTr="00C64462">
        <w:trPr>
          <w:cantSplit/>
        </w:trPr>
        <w:tc>
          <w:tcPr>
            <w:tcW w:w="9576" w:type="dxa"/>
            <w:gridSpan w:val="2"/>
          </w:tcPr>
          <w:p w:rsidR="00803DFB" w:rsidRPr="00E7075A" w:rsidRDefault="00803DFB" w:rsidP="00C64462">
            <w:pPr>
              <w:pStyle w:val="SCCShortJudgment"/>
              <w:rPr>
                <w:szCs w:val="20"/>
              </w:rPr>
            </w:pPr>
            <w:r w:rsidRPr="00E7075A">
              <w:rPr>
                <w:szCs w:val="20"/>
              </w:rPr>
              <w:t>The motion for an extension of time to serve and file the respondent’s response to the application for leave to appeal is granted. The application for leave to appeal from the judgment of the Court of Appeal of Quebec (Québec), Number 500-10-0055667-140, dated August 6, 2014, is dismissed without costs.</w:t>
            </w:r>
          </w:p>
          <w:p w:rsidR="00803DFB" w:rsidRPr="00E7075A" w:rsidRDefault="00803DFB" w:rsidP="00C64462">
            <w:pPr>
              <w:pStyle w:val="SCCShortJudgment"/>
              <w:ind w:firstLine="0"/>
              <w:rPr>
                <w:szCs w:val="20"/>
              </w:rPr>
            </w:pPr>
          </w:p>
          <w:p w:rsidR="00803DFB" w:rsidRPr="00E7075A" w:rsidRDefault="00803DFB" w:rsidP="00C64462">
            <w:pPr>
              <w:pStyle w:val="SCCShortJudgment"/>
              <w:rPr>
                <w:szCs w:val="20"/>
                <w:lang w:val="fr-CA"/>
              </w:rPr>
            </w:pPr>
            <w:r w:rsidRPr="00E7075A">
              <w:rPr>
                <w:szCs w:val="20"/>
                <w:lang w:val="fr-CA"/>
              </w:rPr>
              <w:t>La requête en prorogation du délai de signification et de dépôt de la réponse de l’intimée à la demande d’autorisation d’appel est accueillie. La demande d’autorisation d’appel de l’arrêt de la Cour d’appel du Québec (Québec), numéro 500-10-0055667-140, daté du 6 août 2014, est rejetée sans dépens.</w:t>
            </w:r>
          </w:p>
        </w:tc>
      </w:tr>
    </w:tbl>
    <w:p w:rsidR="00124C37" w:rsidRPr="00803DFB" w:rsidRDefault="00124C37" w:rsidP="000E2959">
      <w:pPr>
        <w:rPr>
          <w:sz w:val="20"/>
          <w:szCs w:val="20"/>
          <w:lang w:val="fr-CA"/>
        </w:rPr>
      </w:pPr>
    </w:p>
    <w:p w:rsidR="00124C37" w:rsidRPr="001B157C" w:rsidRDefault="00124C37" w:rsidP="00124C37">
      <w:pPr>
        <w:rPr>
          <w:sz w:val="20"/>
          <w:szCs w:val="20"/>
          <w:u w:val="single"/>
        </w:rPr>
      </w:pPr>
      <w:r w:rsidRPr="001B157C">
        <w:rPr>
          <w:sz w:val="20"/>
          <w:szCs w:val="20"/>
          <w:u w:val="single"/>
        </w:rPr>
        <w:t>CASE SUMMARY</w:t>
      </w:r>
    </w:p>
    <w:p w:rsidR="00124C37" w:rsidRDefault="00124C37" w:rsidP="00124C3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D24B9" w:rsidRPr="000F1B6E" w:rsidTr="00BC5EAA">
        <w:tc>
          <w:tcPr>
            <w:tcW w:w="5000" w:type="pct"/>
            <w:gridSpan w:val="3"/>
          </w:tcPr>
          <w:p w:rsidR="009D24B9" w:rsidRPr="000F1B6E" w:rsidRDefault="009D24B9" w:rsidP="00BC5EAA">
            <w:pPr>
              <w:jc w:val="both"/>
              <w:rPr>
                <w:rFonts w:eastAsia="Calibri"/>
                <w:sz w:val="20"/>
              </w:rPr>
            </w:pPr>
            <w:r w:rsidRPr="000F1B6E">
              <w:rPr>
                <w:rFonts w:eastAsia="Calibri"/>
                <w:sz w:val="20"/>
              </w:rPr>
              <w:t>Evidence – Highway safety code violation – Whether application for leave raises an issue of national importance.</w:t>
            </w:r>
          </w:p>
        </w:tc>
      </w:tr>
      <w:tr w:rsidR="009D24B9" w:rsidRPr="000F1B6E" w:rsidTr="00BC5EAA">
        <w:tc>
          <w:tcPr>
            <w:tcW w:w="5000" w:type="pct"/>
            <w:gridSpan w:val="3"/>
          </w:tcPr>
          <w:p w:rsidR="009D24B9" w:rsidRPr="000F1B6E" w:rsidRDefault="009D24B9" w:rsidP="00BC5EAA">
            <w:pPr>
              <w:jc w:val="both"/>
              <w:rPr>
                <w:rFonts w:eastAsia="Calibri"/>
                <w:sz w:val="20"/>
              </w:rPr>
            </w:pPr>
          </w:p>
        </w:tc>
      </w:tr>
      <w:tr w:rsidR="009D24B9" w:rsidRPr="000F1B6E" w:rsidTr="00BC5EAA">
        <w:tc>
          <w:tcPr>
            <w:tcW w:w="5000" w:type="pct"/>
            <w:gridSpan w:val="3"/>
          </w:tcPr>
          <w:p w:rsidR="009D24B9" w:rsidRPr="000F1B6E" w:rsidRDefault="009D24B9" w:rsidP="00BC5EAA">
            <w:pPr>
              <w:jc w:val="both"/>
              <w:rPr>
                <w:rFonts w:eastAsia="Calibri"/>
                <w:sz w:val="20"/>
              </w:rPr>
            </w:pPr>
            <w:r w:rsidRPr="000F1B6E">
              <w:rPr>
                <w:rFonts w:eastAsia="Calibri"/>
                <w:sz w:val="20"/>
              </w:rPr>
              <w:t xml:space="preserve">In June 2012, the Applicant was stopped for speeding in violation of s. 328 of the </w:t>
            </w:r>
            <w:r w:rsidRPr="000F1B6E">
              <w:rPr>
                <w:rFonts w:eastAsia="Calibri"/>
                <w:i/>
                <w:sz w:val="20"/>
              </w:rPr>
              <w:t>Highway Safety Code</w:t>
            </w:r>
            <w:r w:rsidRPr="000F1B6E">
              <w:rPr>
                <w:rFonts w:eastAsia="Calibri"/>
                <w:sz w:val="20"/>
              </w:rPr>
              <w:t xml:space="preserve">, CQLR c. C-24.2.  On 23 January 2014, the Applicant was found guilty of having contravened s. 328 of the </w:t>
            </w:r>
            <w:r w:rsidRPr="000F1B6E">
              <w:rPr>
                <w:rFonts w:eastAsia="Calibri"/>
                <w:i/>
                <w:sz w:val="20"/>
              </w:rPr>
              <w:t>Highway Safety Code</w:t>
            </w:r>
            <w:r w:rsidRPr="000F1B6E">
              <w:rPr>
                <w:rFonts w:eastAsia="Calibri"/>
                <w:sz w:val="20"/>
              </w:rPr>
              <w:t xml:space="preserve"> by a municipal court justice.  The Applicant subsequently sought to appeal his conviction before the Superior Court, alleging lack of evidence and police conspiracy.</w:t>
            </w:r>
          </w:p>
          <w:p w:rsidR="009D24B9" w:rsidRPr="000F1B6E" w:rsidRDefault="009D24B9" w:rsidP="00BC5EAA">
            <w:pPr>
              <w:jc w:val="both"/>
              <w:rPr>
                <w:rFonts w:eastAsia="Calibri"/>
                <w:sz w:val="20"/>
              </w:rPr>
            </w:pPr>
          </w:p>
        </w:tc>
      </w:tr>
      <w:tr w:rsidR="009D24B9" w:rsidRPr="000F1B6E" w:rsidTr="00BC5EAA">
        <w:tc>
          <w:tcPr>
            <w:tcW w:w="2427" w:type="pct"/>
          </w:tcPr>
          <w:p w:rsidR="009D24B9" w:rsidRPr="000F1B6E" w:rsidRDefault="009D24B9" w:rsidP="00BC5EAA">
            <w:pPr>
              <w:jc w:val="both"/>
              <w:rPr>
                <w:rFonts w:eastAsia="Calibri"/>
                <w:sz w:val="20"/>
              </w:rPr>
            </w:pPr>
            <w:r w:rsidRPr="000F1B6E">
              <w:rPr>
                <w:rFonts w:eastAsia="Calibri"/>
                <w:sz w:val="20"/>
              </w:rPr>
              <w:t>May 12, 2014</w:t>
            </w:r>
          </w:p>
          <w:p w:rsidR="009D24B9" w:rsidRPr="000F1B6E" w:rsidRDefault="009D24B9" w:rsidP="00BC5EAA">
            <w:pPr>
              <w:jc w:val="both"/>
              <w:rPr>
                <w:rFonts w:eastAsia="Calibri"/>
                <w:sz w:val="20"/>
              </w:rPr>
            </w:pPr>
            <w:r w:rsidRPr="000F1B6E">
              <w:rPr>
                <w:rFonts w:eastAsia="Calibri"/>
                <w:sz w:val="20"/>
              </w:rPr>
              <w:t>Superior Court of Quebec</w:t>
            </w:r>
          </w:p>
          <w:p w:rsidR="009D24B9" w:rsidRPr="000F1B6E" w:rsidRDefault="009D24B9" w:rsidP="00BC5EAA">
            <w:pPr>
              <w:jc w:val="both"/>
              <w:rPr>
                <w:rFonts w:eastAsia="Calibri"/>
                <w:sz w:val="20"/>
              </w:rPr>
            </w:pPr>
            <w:r w:rsidRPr="000F1B6E">
              <w:rPr>
                <w:rFonts w:eastAsia="Calibri"/>
                <w:sz w:val="20"/>
              </w:rPr>
              <w:t>(Goulet J.)</w:t>
            </w:r>
          </w:p>
          <w:p w:rsidR="009D24B9" w:rsidRPr="000F1B6E" w:rsidRDefault="009D24B9" w:rsidP="00BC5EAA">
            <w:pPr>
              <w:jc w:val="both"/>
              <w:rPr>
                <w:rFonts w:eastAsia="Calibri"/>
                <w:sz w:val="20"/>
              </w:rPr>
            </w:pPr>
            <w:r w:rsidRPr="000F1B6E">
              <w:rPr>
                <w:rFonts w:eastAsia="Calibri"/>
                <w:sz w:val="20"/>
              </w:rPr>
              <w:t>No. 550-36-000003-143</w:t>
            </w:r>
          </w:p>
          <w:p w:rsidR="009D24B9" w:rsidRPr="000F1B6E" w:rsidRDefault="009D24B9" w:rsidP="00BC5EAA">
            <w:pPr>
              <w:jc w:val="both"/>
              <w:rPr>
                <w:rFonts w:eastAsia="Calibri"/>
                <w:sz w:val="20"/>
              </w:rPr>
            </w:pPr>
          </w:p>
        </w:tc>
        <w:tc>
          <w:tcPr>
            <w:tcW w:w="243" w:type="pct"/>
          </w:tcPr>
          <w:p w:rsidR="009D24B9" w:rsidRPr="000F1B6E" w:rsidRDefault="009D24B9" w:rsidP="00BC5EAA">
            <w:pPr>
              <w:jc w:val="both"/>
              <w:rPr>
                <w:rFonts w:eastAsia="Calibri"/>
                <w:sz w:val="20"/>
              </w:rPr>
            </w:pPr>
          </w:p>
        </w:tc>
        <w:tc>
          <w:tcPr>
            <w:tcW w:w="2330" w:type="pct"/>
          </w:tcPr>
          <w:p w:rsidR="009D24B9" w:rsidRPr="000F1B6E" w:rsidRDefault="009D24B9" w:rsidP="00BC5EAA">
            <w:pPr>
              <w:jc w:val="both"/>
              <w:rPr>
                <w:rFonts w:eastAsia="Calibri"/>
                <w:sz w:val="20"/>
              </w:rPr>
            </w:pPr>
            <w:r w:rsidRPr="000F1B6E">
              <w:rPr>
                <w:rFonts w:eastAsia="Calibri"/>
                <w:sz w:val="20"/>
              </w:rPr>
              <w:t>Respondent’s application for dismissal of appeal granted.</w:t>
            </w:r>
          </w:p>
          <w:p w:rsidR="009D24B9" w:rsidRPr="000F1B6E" w:rsidRDefault="009D24B9" w:rsidP="00BC5EAA">
            <w:pPr>
              <w:jc w:val="both"/>
              <w:rPr>
                <w:rFonts w:eastAsia="Calibri"/>
                <w:sz w:val="20"/>
              </w:rPr>
            </w:pPr>
          </w:p>
        </w:tc>
      </w:tr>
      <w:tr w:rsidR="009D24B9" w:rsidRPr="000F1B6E" w:rsidTr="003725BF">
        <w:trPr>
          <w:cantSplit/>
        </w:trPr>
        <w:tc>
          <w:tcPr>
            <w:tcW w:w="2427" w:type="pct"/>
          </w:tcPr>
          <w:p w:rsidR="009D24B9" w:rsidRPr="000F1B6E" w:rsidRDefault="009D24B9" w:rsidP="00BC5EAA">
            <w:pPr>
              <w:jc w:val="both"/>
              <w:rPr>
                <w:rFonts w:eastAsia="Calibri"/>
                <w:sz w:val="20"/>
              </w:rPr>
            </w:pPr>
            <w:r w:rsidRPr="000F1B6E">
              <w:rPr>
                <w:rFonts w:eastAsia="Calibri"/>
                <w:sz w:val="20"/>
              </w:rPr>
              <w:t>August 6, 2014</w:t>
            </w:r>
          </w:p>
          <w:p w:rsidR="009D24B9" w:rsidRPr="000F1B6E" w:rsidRDefault="009D24B9" w:rsidP="00BC5EAA">
            <w:pPr>
              <w:jc w:val="both"/>
              <w:rPr>
                <w:rFonts w:eastAsia="Calibri"/>
                <w:sz w:val="20"/>
              </w:rPr>
            </w:pPr>
            <w:r w:rsidRPr="000F1B6E">
              <w:rPr>
                <w:rFonts w:eastAsia="Calibri"/>
                <w:sz w:val="20"/>
              </w:rPr>
              <w:t>Court of Appeal of Quebec (Québec)</w:t>
            </w:r>
          </w:p>
          <w:p w:rsidR="009D24B9" w:rsidRPr="000F1B6E" w:rsidRDefault="009D24B9" w:rsidP="00BC5EAA">
            <w:pPr>
              <w:jc w:val="both"/>
              <w:rPr>
                <w:rFonts w:eastAsia="Calibri"/>
                <w:sz w:val="20"/>
              </w:rPr>
            </w:pPr>
            <w:r w:rsidRPr="000F1B6E">
              <w:rPr>
                <w:rFonts w:eastAsia="Calibri"/>
                <w:sz w:val="20"/>
              </w:rPr>
              <w:t>(Doyon J.)</w:t>
            </w:r>
          </w:p>
          <w:p w:rsidR="009D24B9" w:rsidRPr="000F1B6E" w:rsidRDefault="009D24B9" w:rsidP="00BC5EAA">
            <w:pPr>
              <w:jc w:val="both"/>
              <w:rPr>
                <w:rFonts w:eastAsia="Calibri"/>
                <w:sz w:val="20"/>
              </w:rPr>
            </w:pPr>
            <w:r w:rsidRPr="000F1B6E">
              <w:rPr>
                <w:rFonts w:eastAsia="Calibri"/>
                <w:sz w:val="20"/>
              </w:rPr>
              <w:t>No. 500-10-005667-140</w:t>
            </w:r>
          </w:p>
          <w:p w:rsidR="009D24B9" w:rsidRPr="000F1B6E" w:rsidRDefault="009D24B9" w:rsidP="00BC5EAA">
            <w:pPr>
              <w:jc w:val="both"/>
              <w:rPr>
                <w:rFonts w:eastAsia="Calibri"/>
                <w:sz w:val="20"/>
              </w:rPr>
            </w:pPr>
          </w:p>
        </w:tc>
        <w:tc>
          <w:tcPr>
            <w:tcW w:w="243" w:type="pct"/>
          </w:tcPr>
          <w:p w:rsidR="009D24B9" w:rsidRPr="000F1B6E" w:rsidRDefault="009D24B9" w:rsidP="00BC5EAA">
            <w:pPr>
              <w:jc w:val="both"/>
              <w:rPr>
                <w:rFonts w:eastAsia="Calibri"/>
                <w:sz w:val="20"/>
              </w:rPr>
            </w:pPr>
          </w:p>
        </w:tc>
        <w:tc>
          <w:tcPr>
            <w:tcW w:w="2330" w:type="pct"/>
          </w:tcPr>
          <w:p w:rsidR="009D24B9" w:rsidRPr="000F1B6E" w:rsidRDefault="009D24B9" w:rsidP="00BC5EAA">
            <w:pPr>
              <w:jc w:val="both"/>
              <w:rPr>
                <w:rFonts w:eastAsia="Calibri"/>
                <w:sz w:val="20"/>
              </w:rPr>
            </w:pPr>
            <w:r w:rsidRPr="000F1B6E">
              <w:rPr>
                <w:rFonts w:eastAsia="Calibri"/>
                <w:sz w:val="20"/>
              </w:rPr>
              <w:t>Applicant’s application for leave to appeal dismissed.</w:t>
            </w:r>
          </w:p>
        </w:tc>
      </w:tr>
      <w:tr w:rsidR="009D24B9" w:rsidRPr="000F1B6E" w:rsidTr="003725BF">
        <w:trPr>
          <w:cantSplit/>
        </w:trPr>
        <w:tc>
          <w:tcPr>
            <w:tcW w:w="2427" w:type="pct"/>
          </w:tcPr>
          <w:p w:rsidR="009D24B9" w:rsidRPr="000F1B6E" w:rsidRDefault="009D24B9" w:rsidP="00BC5EAA">
            <w:pPr>
              <w:jc w:val="both"/>
              <w:rPr>
                <w:rFonts w:eastAsia="Calibri"/>
                <w:sz w:val="20"/>
              </w:rPr>
            </w:pPr>
            <w:r w:rsidRPr="000F1B6E">
              <w:rPr>
                <w:rFonts w:eastAsia="Calibri"/>
                <w:sz w:val="20"/>
              </w:rPr>
              <w:t>October 3, 2014</w:t>
            </w:r>
          </w:p>
          <w:p w:rsidR="009D24B9" w:rsidRPr="000F1B6E" w:rsidRDefault="009D24B9" w:rsidP="00334546">
            <w:pPr>
              <w:jc w:val="both"/>
              <w:rPr>
                <w:rFonts w:eastAsia="Calibri"/>
                <w:sz w:val="20"/>
              </w:rPr>
            </w:pPr>
            <w:r w:rsidRPr="000F1B6E">
              <w:rPr>
                <w:rFonts w:eastAsia="Calibri"/>
                <w:sz w:val="20"/>
              </w:rPr>
              <w:t>Supreme Court of Canada</w:t>
            </w:r>
          </w:p>
        </w:tc>
        <w:tc>
          <w:tcPr>
            <w:tcW w:w="243" w:type="pct"/>
          </w:tcPr>
          <w:p w:rsidR="009D24B9" w:rsidRPr="000F1B6E" w:rsidRDefault="009D24B9" w:rsidP="00BC5EAA">
            <w:pPr>
              <w:jc w:val="both"/>
              <w:rPr>
                <w:rFonts w:eastAsia="Calibri"/>
                <w:sz w:val="20"/>
              </w:rPr>
            </w:pPr>
          </w:p>
        </w:tc>
        <w:tc>
          <w:tcPr>
            <w:tcW w:w="2330" w:type="pct"/>
          </w:tcPr>
          <w:p w:rsidR="009D24B9" w:rsidRPr="000F1B6E" w:rsidRDefault="009D24B9" w:rsidP="00BC5EAA">
            <w:pPr>
              <w:jc w:val="both"/>
              <w:rPr>
                <w:rFonts w:eastAsia="Calibri"/>
                <w:sz w:val="20"/>
              </w:rPr>
            </w:pPr>
            <w:r w:rsidRPr="000F1B6E">
              <w:rPr>
                <w:rFonts w:eastAsia="Calibri"/>
                <w:sz w:val="20"/>
              </w:rPr>
              <w:t>Application for leave to appeal filed.</w:t>
            </w:r>
          </w:p>
          <w:p w:rsidR="009D24B9" w:rsidRPr="000F1B6E" w:rsidRDefault="009D24B9" w:rsidP="00BC5EAA">
            <w:pPr>
              <w:jc w:val="both"/>
              <w:rPr>
                <w:rFonts w:eastAsia="Calibri"/>
                <w:sz w:val="20"/>
              </w:rPr>
            </w:pPr>
          </w:p>
        </w:tc>
      </w:tr>
    </w:tbl>
    <w:p w:rsidR="00124C37" w:rsidRPr="009D24B9" w:rsidRDefault="00124C37" w:rsidP="00124C37">
      <w:pPr>
        <w:rPr>
          <w:sz w:val="20"/>
          <w:szCs w:val="20"/>
        </w:rPr>
      </w:pPr>
    </w:p>
    <w:p w:rsidR="00124C37" w:rsidRPr="00C50A5C" w:rsidRDefault="00E42AAB" w:rsidP="00124C37">
      <w:pPr>
        <w:rPr>
          <w:sz w:val="20"/>
          <w:szCs w:val="20"/>
        </w:rPr>
      </w:pPr>
      <w:r>
        <w:rPr>
          <w:sz w:val="20"/>
          <w:szCs w:val="20"/>
          <w:lang w:val="fr-CA"/>
        </w:rPr>
        <w:pict>
          <v:rect id="_x0000_i1091" style="width:2in;height:1pt" o:hrpct="0" o:hralign="center" o:hrstd="t" o:hrnoshade="t" o:hr="t" fillcolor="black [3213]" stroked="f"/>
        </w:pict>
      </w:r>
    </w:p>
    <w:p w:rsidR="00124C37" w:rsidRDefault="00124C37" w:rsidP="00124C37">
      <w:pPr>
        <w:rPr>
          <w:sz w:val="20"/>
          <w:szCs w:val="20"/>
        </w:rPr>
      </w:pPr>
    </w:p>
    <w:p w:rsidR="00124C37" w:rsidRPr="001B157C" w:rsidRDefault="00124C37" w:rsidP="00124C37">
      <w:pPr>
        <w:rPr>
          <w:sz w:val="20"/>
          <w:szCs w:val="20"/>
          <w:u w:val="single"/>
          <w:lang w:val="fr-CA"/>
        </w:rPr>
      </w:pPr>
      <w:r w:rsidRPr="001B157C">
        <w:rPr>
          <w:sz w:val="20"/>
          <w:szCs w:val="20"/>
          <w:u w:val="single"/>
          <w:lang w:val="fr-CA"/>
        </w:rPr>
        <w:t>RÉSUMÉ DE L’AFFAIRE</w:t>
      </w:r>
    </w:p>
    <w:p w:rsidR="00124C37" w:rsidRDefault="00124C37" w:rsidP="00124C3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D24B9" w:rsidRPr="0025502E" w:rsidTr="00BC5EAA">
        <w:tc>
          <w:tcPr>
            <w:tcW w:w="5000" w:type="pct"/>
            <w:gridSpan w:val="3"/>
          </w:tcPr>
          <w:p w:rsidR="009D24B9" w:rsidRPr="000F1B6E" w:rsidRDefault="009D24B9" w:rsidP="00BC5EAA">
            <w:pPr>
              <w:jc w:val="both"/>
              <w:rPr>
                <w:rFonts w:eastAsia="Calibri"/>
                <w:sz w:val="20"/>
                <w:lang w:val="fr-CA"/>
              </w:rPr>
            </w:pPr>
            <w:r w:rsidRPr="000F1B6E">
              <w:rPr>
                <w:rFonts w:eastAsia="Calibri"/>
                <w:sz w:val="20"/>
                <w:lang w:val="fr-CA"/>
              </w:rPr>
              <w:t xml:space="preserve">Preuve – Violation du </w:t>
            </w:r>
            <w:r w:rsidRPr="000F1B6E">
              <w:rPr>
                <w:rFonts w:eastAsia="Calibri"/>
                <w:i/>
                <w:sz w:val="20"/>
                <w:lang w:val="fr-CA"/>
              </w:rPr>
              <w:t>Code de la sécurité routière</w:t>
            </w:r>
            <w:r w:rsidRPr="000F1B6E">
              <w:rPr>
                <w:rFonts w:eastAsia="Calibri"/>
                <w:sz w:val="20"/>
                <w:lang w:val="fr-CA"/>
              </w:rPr>
              <w:t xml:space="preserve"> – La demande d’autorisation d’appel soulève-t-elle une question d’importance nationale?</w:t>
            </w:r>
          </w:p>
        </w:tc>
      </w:tr>
      <w:tr w:rsidR="009D24B9" w:rsidRPr="0025502E" w:rsidTr="00BC5EAA">
        <w:tc>
          <w:tcPr>
            <w:tcW w:w="5000" w:type="pct"/>
            <w:gridSpan w:val="3"/>
          </w:tcPr>
          <w:p w:rsidR="009D24B9" w:rsidRPr="000F1B6E" w:rsidRDefault="009D24B9" w:rsidP="00BC5EAA">
            <w:pPr>
              <w:jc w:val="both"/>
              <w:rPr>
                <w:rFonts w:eastAsia="Calibri"/>
                <w:sz w:val="20"/>
                <w:lang w:val="fr-CA"/>
              </w:rPr>
            </w:pPr>
          </w:p>
        </w:tc>
      </w:tr>
      <w:tr w:rsidR="009D24B9" w:rsidRPr="0025502E" w:rsidTr="00BC5EAA">
        <w:tc>
          <w:tcPr>
            <w:tcW w:w="5000" w:type="pct"/>
            <w:gridSpan w:val="3"/>
          </w:tcPr>
          <w:p w:rsidR="009D24B9" w:rsidRPr="000F1B6E" w:rsidRDefault="009D24B9" w:rsidP="00BC5EAA">
            <w:pPr>
              <w:jc w:val="both"/>
              <w:rPr>
                <w:rFonts w:eastAsia="Calibri"/>
                <w:sz w:val="20"/>
                <w:lang w:val="fr-CA"/>
              </w:rPr>
            </w:pPr>
            <w:r w:rsidRPr="000F1B6E">
              <w:rPr>
                <w:rFonts w:eastAsia="Calibri"/>
                <w:sz w:val="20"/>
                <w:lang w:val="fr-CA"/>
              </w:rPr>
              <w:t xml:space="preserve">En juin 2012, le demandeur a été intercepté pour excès de vitesse en violation de l’art. 328 du the </w:t>
            </w:r>
            <w:r w:rsidRPr="000F1B6E">
              <w:rPr>
                <w:rFonts w:eastAsia="Calibri"/>
                <w:i/>
                <w:sz w:val="20"/>
                <w:lang w:val="fr-CA"/>
              </w:rPr>
              <w:t>Code de la sécurité routière</w:t>
            </w:r>
            <w:r w:rsidRPr="000F1B6E">
              <w:rPr>
                <w:rFonts w:eastAsia="Calibri"/>
                <w:sz w:val="20"/>
                <w:lang w:val="fr-CA"/>
              </w:rPr>
              <w:t>, RLRQ ch. C-24.2.  Le 23 janvier 2014, un juge de la cour municipale a déclaré le demandeur coupable d’avoir contrevenu à l’art. 328 du</w:t>
            </w:r>
            <w:r w:rsidRPr="000F1B6E">
              <w:rPr>
                <w:rFonts w:eastAsia="Calibri"/>
                <w:i/>
                <w:sz w:val="20"/>
                <w:lang w:val="fr-CA"/>
              </w:rPr>
              <w:t xml:space="preserve"> Code de la sécurité routière</w:t>
            </w:r>
            <w:r w:rsidRPr="000F1B6E">
              <w:rPr>
                <w:rFonts w:eastAsia="Calibri"/>
                <w:sz w:val="20"/>
                <w:lang w:val="fr-CA"/>
              </w:rPr>
              <w:t>.  Le demandeur a subséquemment voulu en appeler de sa déclaration de culpabilité devant la Cour supérieure, alléguant un manque de preuve et un complot policier.</w:t>
            </w:r>
          </w:p>
          <w:p w:rsidR="009D24B9" w:rsidRPr="000F1B6E" w:rsidRDefault="009D24B9" w:rsidP="00BC5EAA">
            <w:pPr>
              <w:jc w:val="both"/>
              <w:rPr>
                <w:rFonts w:eastAsia="Calibri"/>
                <w:sz w:val="20"/>
                <w:lang w:val="fr-CA"/>
              </w:rPr>
            </w:pPr>
          </w:p>
        </w:tc>
      </w:tr>
      <w:tr w:rsidR="009D24B9" w:rsidRPr="0025502E" w:rsidTr="00BC5EAA">
        <w:tc>
          <w:tcPr>
            <w:tcW w:w="2427" w:type="pct"/>
          </w:tcPr>
          <w:p w:rsidR="009D24B9" w:rsidRPr="000F1B6E" w:rsidRDefault="009D24B9" w:rsidP="00BC5EAA">
            <w:pPr>
              <w:jc w:val="both"/>
              <w:rPr>
                <w:rFonts w:eastAsia="Calibri"/>
                <w:sz w:val="20"/>
                <w:lang w:val="fr-CA"/>
              </w:rPr>
            </w:pPr>
            <w:r w:rsidRPr="000F1B6E">
              <w:rPr>
                <w:rFonts w:eastAsia="Calibri"/>
                <w:sz w:val="20"/>
                <w:lang w:val="fr-CA"/>
              </w:rPr>
              <w:t>12 mai 2014</w:t>
            </w:r>
          </w:p>
          <w:p w:rsidR="009D24B9" w:rsidRPr="000F1B6E" w:rsidRDefault="009D24B9" w:rsidP="00BC5EAA">
            <w:pPr>
              <w:jc w:val="both"/>
              <w:rPr>
                <w:rFonts w:eastAsia="Calibri"/>
                <w:sz w:val="20"/>
                <w:lang w:val="fr-CA"/>
              </w:rPr>
            </w:pPr>
            <w:r w:rsidRPr="000F1B6E">
              <w:rPr>
                <w:rFonts w:eastAsia="Calibri"/>
                <w:sz w:val="20"/>
                <w:lang w:val="fr-CA"/>
              </w:rPr>
              <w:t xml:space="preserve">Cour supérieure du Québec </w:t>
            </w:r>
          </w:p>
          <w:p w:rsidR="009D24B9" w:rsidRPr="000F1B6E" w:rsidRDefault="009D24B9" w:rsidP="00BC5EAA">
            <w:pPr>
              <w:jc w:val="both"/>
              <w:rPr>
                <w:rFonts w:eastAsia="Calibri"/>
                <w:sz w:val="20"/>
                <w:lang w:val="fr-CA"/>
              </w:rPr>
            </w:pPr>
            <w:r w:rsidRPr="000F1B6E">
              <w:rPr>
                <w:rFonts w:eastAsia="Calibri"/>
                <w:sz w:val="20"/>
                <w:lang w:val="fr-CA"/>
              </w:rPr>
              <w:t>(Juge Goulet)</w:t>
            </w:r>
          </w:p>
          <w:p w:rsidR="009D24B9" w:rsidRPr="000F1B6E" w:rsidRDefault="009D24B9" w:rsidP="00BC5EAA">
            <w:pPr>
              <w:jc w:val="both"/>
              <w:rPr>
                <w:rFonts w:eastAsia="Calibri"/>
                <w:sz w:val="20"/>
                <w:lang w:val="fr-CA"/>
              </w:rPr>
            </w:pPr>
            <w:r w:rsidRPr="000F1B6E">
              <w:rPr>
                <w:rFonts w:eastAsia="Calibri"/>
                <w:sz w:val="20"/>
                <w:lang w:val="fr-CA"/>
              </w:rPr>
              <w:t>N</w:t>
            </w:r>
            <w:r w:rsidRPr="000F1B6E">
              <w:rPr>
                <w:rFonts w:eastAsia="Calibri"/>
                <w:sz w:val="20"/>
                <w:vertAlign w:val="superscript"/>
                <w:lang w:val="fr-CA"/>
              </w:rPr>
              <w:t>o</w:t>
            </w:r>
            <w:r w:rsidRPr="000F1B6E">
              <w:rPr>
                <w:rFonts w:eastAsia="Calibri"/>
                <w:sz w:val="20"/>
                <w:lang w:val="fr-CA"/>
              </w:rPr>
              <w:t xml:space="preserve"> 550-36-000003-143</w:t>
            </w:r>
          </w:p>
          <w:p w:rsidR="009D24B9" w:rsidRPr="000F1B6E" w:rsidRDefault="009D24B9" w:rsidP="00BC5EAA">
            <w:pPr>
              <w:jc w:val="both"/>
              <w:rPr>
                <w:rFonts w:eastAsia="Calibri"/>
                <w:sz w:val="20"/>
                <w:lang w:val="fr-CA"/>
              </w:rPr>
            </w:pPr>
          </w:p>
        </w:tc>
        <w:tc>
          <w:tcPr>
            <w:tcW w:w="243" w:type="pct"/>
          </w:tcPr>
          <w:p w:rsidR="009D24B9" w:rsidRPr="000F1B6E" w:rsidRDefault="009D24B9" w:rsidP="00BC5EAA">
            <w:pPr>
              <w:jc w:val="both"/>
              <w:rPr>
                <w:rFonts w:eastAsia="Calibri"/>
                <w:sz w:val="20"/>
                <w:lang w:val="fr-CA"/>
              </w:rPr>
            </w:pPr>
          </w:p>
        </w:tc>
        <w:tc>
          <w:tcPr>
            <w:tcW w:w="2330" w:type="pct"/>
          </w:tcPr>
          <w:p w:rsidR="009D24B9" w:rsidRPr="000F1B6E" w:rsidRDefault="009D24B9" w:rsidP="00BC5EAA">
            <w:pPr>
              <w:jc w:val="both"/>
              <w:rPr>
                <w:rFonts w:eastAsia="Calibri"/>
                <w:sz w:val="20"/>
                <w:lang w:val="fr-CA"/>
              </w:rPr>
            </w:pPr>
            <w:r w:rsidRPr="000F1B6E">
              <w:rPr>
                <w:rFonts w:eastAsia="Calibri"/>
                <w:sz w:val="20"/>
                <w:lang w:val="fr-CA"/>
              </w:rPr>
              <w:t>Jugement accueillant la demande de l’intimée en rejet de l’appel.</w:t>
            </w:r>
          </w:p>
          <w:p w:rsidR="009D24B9" w:rsidRPr="000F1B6E" w:rsidRDefault="009D24B9" w:rsidP="00BC5EAA">
            <w:pPr>
              <w:jc w:val="both"/>
              <w:rPr>
                <w:rFonts w:eastAsia="Calibri"/>
                <w:sz w:val="20"/>
                <w:lang w:val="fr-CA"/>
              </w:rPr>
            </w:pPr>
          </w:p>
        </w:tc>
      </w:tr>
      <w:tr w:rsidR="009D24B9" w:rsidRPr="0025502E" w:rsidTr="00BC5EAA">
        <w:tc>
          <w:tcPr>
            <w:tcW w:w="2427" w:type="pct"/>
          </w:tcPr>
          <w:p w:rsidR="009D24B9" w:rsidRPr="000F1B6E" w:rsidRDefault="009D24B9" w:rsidP="00BC5EAA">
            <w:pPr>
              <w:jc w:val="both"/>
              <w:rPr>
                <w:rFonts w:eastAsia="Calibri"/>
                <w:sz w:val="20"/>
                <w:lang w:val="fr-CA"/>
              </w:rPr>
            </w:pPr>
            <w:r w:rsidRPr="000F1B6E">
              <w:rPr>
                <w:rFonts w:eastAsia="Calibri"/>
                <w:sz w:val="20"/>
                <w:lang w:val="fr-CA"/>
              </w:rPr>
              <w:t>6 août 2014</w:t>
            </w:r>
          </w:p>
          <w:p w:rsidR="009D24B9" w:rsidRPr="000F1B6E" w:rsidRDefault="009D24B9" w:rsidP="00BC5EAA">
            <w:pPr>
              <w:jc w:val="both"/>
              <w:rPr>
                <w:rFonts w:eastAsia="Calibri"/>
                <w:sz w:val="20"/>
                <w:lang w:val="fr-CA"/>
              </w:rPr>
            </w:pPr>
            <w:r w:rsidRPr="000F1B6E">
              <w:rPr>
                <w:rFonts w:eastAsia="Calibri"/>
                <w:sz w:val="20"/>
                <w:lang w:val="fr-CA"/>
              </w:rPr>
              <w:t>Cour d’appel du Québec (Québec)</w:t>
            </w:r>
          </w:p>
          <w:p w:rsidR="009D24B9" w:rsidRPr="000F1B6E" w:rsidRDefault="009D24B9" w:rsidP="00BC5EAA">
            <w:pPr>
              <w:jc w:val="both"/>
              <w:rPr>
                <w:rFonts w:eastAsia="Calibri"/>
                <w:sz w:val="20"/>
                <w:lang w:val="fr-CA"/>
              </w:rPr>
            </w:pPr>
            <w:r w:rsidRPr="000F1B6E">
              <w:rPr>
                <w:rFonts w:eastAsia="Calibri"/>
                <w:sz w:val="20"/>
                <w:lang w:val="fr-CA"/>
              </w:rPr>
              <w:t>(Juge Doyon)</w:t>
            </w:r>
          </w:p>
          <w:p w:rsidR="009D24B9" w:rsidRPr="000F1B6E" w:rsidRDefault="009D24B9" w:rsidP="00BC5EAA">
            <w:pPr>
              <w:jc w:val="both"/>
              <w:rPr>
                <w:rFonts w:eastAsia="Calibri"/>
                <w:sz w:val="20"/>
                <w:lang w:val="fr-CA"/>
              </w:rPr>
            </w:pPr>
            <w:r w:rsidRPr="000F1B6E">
              <w:rPr>
                <w:rFonts w:eastAsia="Calibri"/>
                <w:sz w:val="20"/>
                <w:lang w:val="fr-CA"/>
              </w:rPr>
              <w:t>N</w:t>
            </w:r>
            <w:r w:rsidRPr="000F1B6E">
              <w:rPr>
                <w:rFonts w:eastAsia="Calibri"/>
                <w:sz w:val="20"/>
                <w:vertAlign w:val="superscript"/>
                <w:lang w:val="fr-CA"/>
              </w:rPr>
              <w:t>o</w:t>
            </w:r>
            <w:r w:rsidRPr="000F1B6E">
              <w:rPr>
                <w:rFonts w:eastAsia="Calibri"/>
                <w:sz w:val="20"/>
                <w:lang w:val="fr-CA"/>
              </w:rPr>
              <w:t xml:space="preserve"> 500-10-005667-140</w:t>
            </w:r>
          </w:p>
          <w:p w:rsidR="009D24B9" w:rsidRPr="000F1B6E" w:rsidRDefault="009D24B9" w:rsidP="00BC5EAA">
            <w:pPr>
              <w:jc w:val="both"/>
              <w:rPr>
                <w:rFonts w:eastAsia="Calibri"/>
                <w:sz w:val="20"/>
                <w:lang w:val="fr-CA"/>
              </w:rPr>
            </w:pPr>
          </w:p>
        </w:tc>
        <w:tc>
          <w:tcPr>
            <w:tcW w:w="243" w:type="pct"/>
          </w:tcPr>
          <w:p w:rsidR="009D24B9" w:rsidRPr="000F1B6E" w:rsidRDefault="009D24B9" w:rsidP="00BC5EAA">
            <w:pPr>
              <w:jc w:val="both"/>
              <w:rPr>
                <w:rFonts w:eastAsia="Calibri"/>
                <w:sz w:val="20"/>
                <w:lang w:val="fr-CA"/>
              </w:rPr>
            </w:pPr>
          </w:p>
        </w:tc>
        <w:tc>
          <w:tcPr>
            <w:tcW w:w="2330" w:type="pct"/>
          </w:tcPr>
          <w:p w:rsidR="009D24B9" w:rsidRPr="000F1B6E" w:rsidRDefault="009D24B9" w:rsidP="00BC5EAA">
            <w:pPr>
              <w:jc w:val="both"/>
              <w:rPr>
                <w:rFonts w:eastAsia="Calibri"/>
                <w:sz w:val="20"/>
                <w:lang w:val="fr-CA"/>
              </w:rPr>
            </w:pPr>
            <w:r w:rsidRPr="000F1B6E">
              <w:rPr>
                <w:rFonts w:eastAsia="Calibri"/>
                <w:sz w:val="20"/>
                <w:lang w:val="fr-CA"/>
              </w:rPr>
              <w:t>Rejet de la demande d’autorisation d’appel du demandeur.</w:t>
            </w:r>
          </w:p>
        </w:tc>
      </w:tr>
      <w:tr w:rsidR="009D24B9" w:rsidRPr="0025502E" w:rsidTr="00BC5EAA">
        <w:tc>
          <w:tcPr>
            <w:tcW w:w="2427" w:type="pct"/>
          </w:tcPr>
          <w:p w:rsidR="009D24B9" w:rsidRPr="000F1B6E" w:rsidRDefault="009D24B9" w:rsidP="00BC5EAA">
            <w:pPr>
              <w:jc w:val="both"/>
              <w:rPr>
                <w:rFonts w:eastAsia="Calibri"/>
                <w:sz w:val="20"/>
                <w:lang w:val="fr-CA"/>
              </w:rPr>
            </w:pPr>
            <w:r w:rsidRPr="000F1B6E">
              <w:rPr>
                <w:rFonts w:eastAsia="Calibri"/>
                <w:sz w:val="20"/>
                <w:lang w:val="fr-CA"/>
              </w:rPr>
              <w:t>3 octobre 2014</w:t>
            </w:r>
          </w:p>
          <w:p w:rsidR="009D24B9" w:rsidRPr="000F1B6E" w:rsidRDefault="009D24B9" w:rsidP="00BC5EAA">
            <w:pPr>
              <w:jc w:val="both"/>
              <w:rPr>
                <w:rFonts w:eastAsia="Calibri"/>
                <w:sz w:val="20"/>
                <w:lang w:val="fr-CA"/>
              </w:rPr>
            </w:pPr>
            <w:r w:rsidRPr="000F1B6E">
              <w:rPr>
                <w:rFonts w:eastAsia="Calibri"/>
                <w:sz w:val="20"/>
                <w:lang w:val="fr-CA"/>
              </w:rPr>
              <w:t>Cour suprême du Canada</w:t>
            </w:r>
          </w:p>
          <w:p w:rsidR="009D24B9" w:rsidRPr="000F1B6E" w:rsidRDefault="009D24B9" w:rsidP="00BC5EAA">
            <w:pPr>
              <w:jc w:val="both"/>
              <w:rPr>
                <w:rFonts w:eastAsia="Calibri"/>
                <w:sz w:val="20"/>
                <w:lang w:val="fr-CA"/>
              </w:rPr>
            </w:pPr>
          </w:p>
        </w:tc>
        <w:tc>
          <w:tcPr>
            <w:tcW w:w="243" w:type="pct"/>
          </w:tcPr>
          <w:p w:rsidR="009D24B9" w:rsidRPr="000F1B6E" w:rsidRDefault="009D24B9" w:rsidP="00BC5EAA">
            <w:pPr>
              <w:jc w:val="both"/>
              <w:rPr>
                <w:rFonts w:eastAsia="Calibri"/>
                <w:sz w:val="20"/>
                <w:lang w:val="fr-CA"/>
              </w:rPr>
            </w:pPr>
          </w:p>
        </w:tc>
        <w:tc>
          <w:tcPr>
            <w:tcW w:w="2330" w:type="pct"/>
          </w:tcPr>
          <w:p w:rsidR="009D24B9" w:rsidRPr="000F1B6E" w:rsidRDefault="009D24B9" w:rsidP="00BC5EAA">
            <w:pPr>
              <w:jc w:val="both"/>
              <w:rPr>
                <w:rFonts w:eastAsia="Calibri"/>
                <w:sz w:val="20"/>
                <w:lang w:val="fr-CA"/>
              </w:rPr>
            </w:pPr>
            <w:r w:rsidRPr="000F1B6E">
              <w:rPr>
                <w:rFonts w:eastAsia="Calibri"/>
                <w:sz w:val="20"/>
                <w:lang w:val="fr-CA"/>
              </w:rPr>
              <w:t>Dépôt de la demande d’autorisation d’appel.</w:t>
            </w:r>
          </w:p>
          <w:p w:rsidR="009D24B9" w:rsidRPr="000F1B6E" w:rsidRDefault="009D24B9" w:rsidP="00BC5EAA">
            <w:pPr>
              <w:jc w:val="both"/>
              <w:rPr>
                <w:rFonts w:eastAsia="Calibri"/>
                <w:sz w:val="20"/>
                <w:lang w:val="fr-CA"/>
              </w:rPr>
            </w:pPr>
          </w:p>
        </w:tc>
      </w:tr>
    </w:tbl>
    <w:p w:rsidR="00124C37" w:rsidRPr="009D24B9" w:rsidRDefault="00124C37" w:rsidP="00124C37">
      <w:pPr>
        <w:rPr>
          <w:sz w:val="20"/>
          <w:szCs w:val="20"/>
          <w:lang w:val="fr-CA"/>
        </w:rPr>
      </w:pPr>
    </w:p>
    <w:p w:rsidR="00124C37" w:rsidRDefault="00E42AAB" w:rsidP="00124C37">
      <w:pPr>
        <w:rPr>
          <w:sz w:val="20"/>
          <w:szCs w:val="20"/>
        </w:rPr>
      </w:pPr>
      <w:r>
        <w:rPr>
          <w:sz w:val="20"/>
          <w:szCs w:val="20"/>
          <w:lang w:val="fr-CA"/>
        </w:rPr>
        <w:pict>
          <v:rect id="_x0000_i1092" style="width:2in;height:1pt" o:hrpct="0" o:hralign="center" o:hrstd="t" o:hrnoshade="t" o:hr="t" fillcolor="black [3213]" stroked="f"/>
        </w:pict>
      </w:r>
    </w:p>
    <w:p w:rsidR="00124C37" w:rsidRDefault="00124C37" w:rsidP="00124C37">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03DFB" w:rsidRPr="00E7075A" w:rsidTr="00C64462">
        <w:trPr>
          <w:cantSplit/>
        </w:trPr>
        <w:tc>
          <w:tcPr>
            <w:tcW w:w="1458" w:type="dxa"/>
          </w:tcPr>
          <w:p w:rsidR="00803DFB" w:rsidRPr="00E7075A" w:rsidRDefault="00803DFB" w:rsidP="00C64462">
            <w:pPr>
              <w:rPr>
                <w:sz w:val="20"/>
                <w:szCs w:val="20"/>
              </w:rPr>
            </w:pPr>
            <w:r w:rsidRPr="00E7075A">
              <w:rPr>
                <w:rStyle w:val="SCCFileNumberChar"/>
                <w:sz w:val="20"/>
                <w:szCs w:val="20"/>
              </w:rPr>
              <w:lastRenderedPageBreak/>
              <w:t>36175</w:t>
            </w:r>
          </w:p>
          <w:p w:rsidR="00803DFB" w:rsidRPr="00E7075A" w:rsidRDefault="00803DFB" w:rsidP="00C64462">
            <w:pPr>
              <w:rPr>
                <w:b/>
                <w:sz w:val="20"/>
                <w:szCs w:val="20"/>
                <w:lang w:val="fr-CA"/>
              </w:rPr>
            </w:pPr>
          </w:p>
        </w:tc>
        <w:tc>
          <w:tcPr>
            <w:tcW w:w="8118" w:type="dxa"/>
          </w:tcPr>
          <w:p w:rsidR="00803DFB" w:rsidRPr="00E7075A" w:rsidRDefault="00803DFB" w:rsidP="00C64462">
            <w:pPr>
              <w:jc w:val="both"/>
              <w:rPr>
                <w:sz w:val="20"/>
                <w:szCs w:val="20"/>
              </w:rPr>
            </w:pPr>
            <w:r w:rsidRPr="00E7075A">
              <w:rPr>
                <w:rStyle w:val="SCCLsocChar"/>
                <w:sz w:val="20"/>
                <w:szCs w:val="20"/>
              </w:rPr>
              <w:t>Tim Ching Mou Chou</w:t>
            </w:r>
            <w:r w:rsidR="00462D21">
              <w:rPr>
                <w:rStyle w:val="SCCLsocChar"/>
                <w:sz w:val="20"/>
                <w:szCs w:val="20"/>
              </w:rPr>
              <w:t>and</w:t>
            </w:r>
            <w:r w:rsidRPr="00E7075A">
              <w:rPr>
                <w:rStyle w:val="SCCLsocChar"/>
                <w:sz w:val="20"/>
                <w:szCs w:val="20"/>
              </w:rPr>
              <w:t xml:space="preserve"> Grace Su Jing Chang v. Fréchette Constructions Inc.</w:t>
            </w:r>
            <w:r w:rsidRPr="00E7075A">
              <w:rPr>
                <w:sz w:val="20"/>
                <w:szCs w:val="20"/>
                <w:lang w:val="fr-CA"/>
              </w:rPr>
              <w:t xml:space="preserve"> </w:t>
            </w:r>
            <w:r w:rsidRPr="00E7075A">
              <w:rPr>
                <w:sz w:val="20"/>
                <w:szCs w:val="20"/>
              </w:rPr>
              <w:t>(Que.) (Civil) (By Leave)</w:t>
            </w:r>
          </w:p>
          <w:p w:rsidR="00803DFB" w:rsidRPr="00E7075A" w:rsidRDefault="00803DFB" w:rsidP="00C64462">
            <w:pPr>
              <w:jc w:val="both"/>
              <w:rPr>
                <w:sz w:val="20"/>
                <w:szCs w:val="20"/>
              </w:rPr>
            </w:pPr>
          </w:p>
        </w:tc>
      </w:tr>
      <w:tr w:rsidR="00803DFB" w:rsidRPr="00E7075A" w:rsidTr="00C64462">
        <w:trPr>
          <w:cantSplit/>
        </w:trPr>
        <w:tc>
          <w:tcPr>
            <w:tcW w:w="1458" w:type="dxa"/>
          </w:tcPr>
          <w:p w:rsidR="00803DFB" w:rsidRPr="00E7075A" w:rsidRDefault="00803DFB" w:rsidP="00C64462">
            <w:pPr>
              <w:rPr>
                <w:sz w:val="20"/>
                <w:szCs w:val="20"/>
              </w:rPr>
            </w:pPr>
            <w:r w:rsidRPr="00E7075A">
              <w:rPr>
                <w:sz w:val="20"/>
                <w:szCs w:val="20"/>
              </w:rPr>
              <w:t>Coram :</w:t>
            </w:r>
          </w:p>
        </w:tc>
        <w:tc>
          <w:tcPr>
            <w:tcW w:w="8118" w:type="dxa"/>
          </w:tcPr>
          <w:p w:rsidR="00803DFB" w:rsidRPr="00E7075A" w:rsidRDefault="00803DFB" w:rsidP="00C64462">
            <w:pPr>
              <w:rPr>
                <w:sz w:val="20"/>
                <w:szCs w:val="20"/>
              </w:rPr>
            </w:pPr>
            <w:r w:rsidRPr="00803DFB">
              <w:rPr>
                <w:rStyle w:val="SCCCoramChar"/>
                <w:sz w:val="20"/>
                <w:szCs w:val="20"/>
                <w:lang w:val="en-CA"/>
              </w:rPr>
              <w:t>Abella, Karakatsanis and Wagner JJ.</w:t>
            </w:r>
          </w:p>
          <w:p w:rsidR="00803DFB" w:rsidRPr="00E7075A" w:rsidRDefault="00803DFB" w:rsidP="00C64462">
            <w:pPr>
              <w:rPr>
                <w:sz w:val="20"/>
                <w:szCs w:val="20"/>
                <w:u w:val="single"/>
              </w:rPr>
            </w:pPr>
          </w:p>
        </w:tc>
      </w:tr>
      <w:tr w:rsidR="00803DFB" w:rsidRPr="0025502E" w:rsidTr="00C64462">
        <w:trPr>
          <w:cantSplit/>
        </w:trPr>
        <w:tc>
          <w:tcPr>
            <w:tcW w:w="9576" w:type="dxa"/>
            <w:gridSpan w:val="2"/>
          </w:tcPr>
          <w:p w:rsidR="00803DFB" w:rsidRPr="00E7075A" w:rsidRDefault="00803DFB" w:rsidP="00C64462">
            <w:pPr>
              <w:pStyle w:val="SCCShortJudgment"/>
              <w:rPr>
                <w:szCs w:val="20"/>
              </w:rPr>
            </w:pPr>
            <w:r w:rsidRPr="00E7075A">
              <w:rPr>
                <w:szCs w:val="20"/>
              </w:rPr>
              <w:t>The motion to adduce new evidence is dismissed. The application for leave to appeal from the judgment of the Court of Appeal of Quebec (Montréal), Number 500-09-024466-146, 2014 QCCA 1744, dated September 19, 2014, is dismissed without costs.</w:t>
            </w:r>
          </w:p>
          <w:p w:rsidR="00803DFB" w:rsidRPr="00E7075A" w:rsidRDefault="00803DFB" w:rsidP="00C64462">
            <w:pPr>
              <w:pStyle w:val="SCCShortJudgment"/>
              <w:ind w:firstLine="0"/>
              <w:rPr>
                <w:szCs w:val="20"/>
              </w:rPr>
            </w:pPr>
          </w:p>
          <w:p w:rsidR="00803DFB" w:rsidRPr="00E7075A" w:rsidRDefault="00803DFB" w:rsidP="00C64462">
            <w:pPr>
              <w:pStyle w:val="SCCShortJudgment"/>
              <w:rPr>
                <w:szCs w:val="20"/>
                <w:lang w:val="fr-CA"/>
              </w:rPr>
            </w:pPr>
            <w:r w:rsidRPr="00E7075A">
              <w:rPr>
                <w:szCs w:val="20"/>
                <w:lang w:val="fr-CA"/>
              </w:rPr>
              <w:t>La requête pour déposer de nouveaux éléments de preuve est rejetée. La demande d’autorisation d’appel de l’arrêt de la Cour d’appel du Québec (Montréal), numéro 500-09-024466-146, 2014 QCCA 1744, daté du 19 septembre 2014, est rejetée sans dépens.</w:t>
            </w:r>
          </w:p>
        </w:tc>
      </w:tr>
    </w:tbl>
    <w:p w:rsidR="00124C37" w:rsidRPr="00803DFB" w:rsidRDefault="00124C37" w:rsidP="00124C37">
      <w:pPr>
        <w:rPr>
          <w:sz w:val="20"/>
          <w:szCs w:val="20"/>
          <w:lang w:val="fr-CA"/>
        </w:rPr>
      </w:pPr>
    </w:p>
    <w:p w:rsidR="00124C37" w:rsidRPr="001B157C" w:rsidRDefault="00124C37" w:rsidP="00124C37">
      <w:pPr>
        <w:rPr>
          <w:sz w:val="20"/>
          <w:szCs w:val="20"/>
          <w:u w:val="single"/>
        </w:rPr>
      </w:pPr>
      <w:r w:rsidRPr="001B157C">
        <w:rPr>
          <w:sz w:val="20"/>
          <w:szCs w:val="20"/>
          <w:u w:val="single"/>
        </w:rPr>
        <w:t>CASE SUMMARY</w:t>
      </w:r>
    </w:p>
    <w:p w:rsidR="00124C37" w:rsidRDefault="00124C37" w:rsidP="00124C3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C5EAA" w:rsidRPr="000F1B6E" w:rsidTr="00BC5EAA">
        <w:tc>
          <w:tcPr>
            <w:tcW w:w="5000" w:type="pct"/>
            <w:gridSpan w:val="3"/>
          </w:tcPr>
          <w:p w:rsidR="00BC5EAA" w:rsidRPr="000F1B6E" w:rsidRDefault="00BC5EAA" w:rsidP="00BC5EAA">
            <w:pPr>
              <w:jc w:val="both"/>
              <w:rPr>
                <w:rFonts w:eastAsia="Calibri"/>
                <w:sz w:val="20"/>
              </w:rPr>
            </w:pPr>
            <w:r w:rsidRPr="000F1B6E">
              <w:rPr>
                <w:rFonts w:eastAsia="Calibri"/>
                <w:sz w:val="20"/>
              </w:rPr>
              <w:t>Contracts – Contract of enterprise or for services – Construction of immovable – Payment for work done – Action by builder of immovable against owners allowed – Owners’ cross demand allowed in part – Motion to dismiss appeal allowed and owners’ appeal dismissed – Whether courts below erred.</w:t>
            </w:r>
          </w:p>
        </w:tc>
      </w:tr>
      <w:tr w:rsidR="00BC5EAA" w:rsidRPr="000F1B6E" w:rsidTr="00BC5EAA">
        <w:tc>
          <w:tcPr>
            <w:tcW w:w="5000" w:type="pct"/>
            <w:gridSpan w:val="3"/>
          </w:tcPr>
          <w:p w:rsidR="00BC5EAA" w:rsidRPr="000F1B6E" w:rsidRDefault="00BC5EAA" w:rsidP="00BC5EAA">
            <w:pPr>
              <w:jc w:val="both"/>
              <w:rPr>
                <w:rFonts w:eastAsia="Calibri"/>
                <w:sz w:val="20"/>
              </w:rPr>
            </w:pPr>
          </w:p>
        </w:tc>
      </w:tr>
      <w:tr w:rsidR="00BC5EAA" w:rsidRPr="000F1B6E" w:rsidTr="00BC5EAA">
        <w:tc>
          <w:tcPr>
            <w:tcW w:w="5000" w:type="pct"/>
            <w:gridSpan w:val="3"/>
          </w:tcPr>
          <w:p w:rsidR="00BC5EAA" w:rsidRPr="000F1B6E" w:rsidRDefault="00BC5EAA" w:rsidP="00BC5EAA">
            <w:pPr>
              <w:jc w:val="both"/>
              <w:rPr>
                <w:rFonts w:eastAsia="Calibri"/>
                <w:sz w:val="20"/>
              </w:rPr>
            </w:pPr>
            <w:r w:rsidRPr="000F1B6E">
              <w:rPr>
                <w:rFonts w:eastAsia="Calibri"/>
                <w:sz w:val="20"/>
              </w:rPr>
              <w:t xml:space="preserve">Mr. Chou and Ms. Chang (“the owners”) hired Fréchette Constructions Inc. (“the builder”) to do some construction work on their property.  However, the work was suspended during the course of the contract.  The builder, which was not paid, brought an action in the Superior Court claiming $149,128.98.  In a cross demand, the owners claimed $275,598.58, alleging, </w:t>
            </w:r>
            <w:r w:rsidRPr="000F1B6E">
              <w:rPr>
                <w:rFonts w:eastAsia="Calibri"/>
                <w:i/>
                <w:sz w:val="20"/>
              </w:rPr>
              <w:t>inter alia</w:t>
            </w:r>
            <w:r w:rsidRPr="000F1B6E">
              <w:rPr>
                <w:rFonts w:eastAsia="Calibri"/>
                <w:sz w:val="20"/>
              </w:rPr>
              <w:t>, faulty performance of the contract and bad faith by the builder.</w:t>
            </w:r>
          </w:p>
          <w:p w:rsidR="00BC5EAA" w:rsidRPr="000F1B6E" w:rsidRDefault="00BC5EAA" w:rsidP="00BC5EAA">
            <w:pPr>
              <w:jc w:val="both"/>
              <w:rPr>
                <w:rFonts w:eastAsia="Calibri"/>
                <w:sz w:val="20"/>
              </w:rPr>
            </w:pPr>
          </w:p>
          <w:p w:rsidR="00BC5EAA" w:rsidRPr="000F1B6E" w:rsidRDefault="00BC5EAA" w:rsidP="00BC5EAA">
            <w:pPr>
              <w:jc w:val="both"/>
              <w:rPr>
                <w:rFonts w:eastAsia="Calibri"/>
                <w:sz w:val="20"/>
              </w:rPr>
            </w:pPr>
            <w:r w:rsidRPr="000F1B6E">
              <w:rPr>
                <w:rFonts w:eastAsia="Calibri"/>
                <w:sz w:val="20"/>
              </w:rPr>
              <w:t>The Superior Court allowed the builder’s claim.  Mayer J. found that, in the circumstances, the builder was entitled to be paid for the work done.  Mayer J. also allowed the owners’ cross demand, but only in part.  He awarded them $3,500 as compensation for a problem involving cracks in the concrete garage floor, structural and framing problems and a contact problem between the supporting wall and the concrete in the basement.  The Quebec Court of Appeal dismissed the appeal at a preliminary stage on the ground that it was bound to fail.</w:t>
            </w:r>
          </w:p>
          <w:p w:rsidR="00BC5EAA" w:rsidRPr="000F1B6E" w:rsidRDefault="00BC5EAA" w:rsidP="00BC5EAA">
            <w:pPr>
              <w:jc w:val="both"/>
              <w:rPr>
                <w:rFonts w:eastAsia="Calibri"/>
                <w:sz w:val="20"/>
              </w:rPr>
            </w:pPr>
          </w:p>
        </w:tc>
      </w:tr>
      <w:tr w:rsidR="00BC5EAA" w:rsidRPr="000F1B6E" w:rsidTr="00BC5EAA">
        <w:tc>
          <w:tcPr>
            <w:tcW w:w="2427" w:type="pct"/>
          </w:tcPr>
          <w:p w:rsidR="00BC5EAA" w:rsidRPr="000F1B6E" w:rsidRDefault="00BC5EAA" w:rsidP="00BC5EAA">
            <w:pPr>
              <w:jc w:val="both"/>
              <w:rPr>
                <w:rFonts w:eastAsia="Calibri"/>
                <w:sz w:val="20"/>
              </w:rPr>
            </w:pPr>
            <w:r w:rsidRPr="000F1B6E">
              <w:rPr>
                <w:rFonts w:eastAsia="Calibri"/>
                <w:sz w:val="20"/>
              </w:rPr>
              <w:t>April 30, 2014</w:t>
            </w:r>
          </w:p>
          <w:p w:rsidR="00BC5EAA" w:rsidRPr="000F1B6E" w:rsidRDefault="00BC5EAA" w:rsidP="00BC5EAA">
            <w:pPr>
              <w:jc w:val="both"/>
              <w:rPr>
                <w:rFonts w:eastAsia="Calibri"/>
                <w:sz w:val="20"/>
              </w:rPr>
            </w:pPr>
            <w:r w:rsidRPr="000F1B6E">
              <w:rPr>
                <w:rFonts w:eastAsia="Calibri"/>
                <w:sz w:val="20"/>
              </w:rPr>
              <w:t>Quebec Superior Court</w:t>
            </w:r>
          </w:p>
          <w:p w:rsidR="00BC5EAA" w:rsidRPr="000F1B6E" w:rsidRDefault="00BC5EAA" w:rsidP="00BC5EAA">
            <w:pPr>
              <w:jc w:val="both"/>
              <w:rPr>
                <w:rFonts w:eastAsia="Calibri"/>
                <w:sz w:val="20"/>
              </w:rPr>
            </w:pPr>
            <w:r w:rsidRPr="000F1B6E">
              <w:rPr>
                <w:rFonts w:eastAsia="Calibri"/>
                <w:sz w:val="20"/>
              </w:rPr>
              <w:t>(Mayer J.)</w:t>
            </w:r>
          </w:p>
          <w:p w:rsidR="00BC5EAA" w:rsidRPr="000F1B6E" w:rsidRDefault="00BC5EAA" w:rsidP="00BC5EAA">
            <w:pPr>
              <w:jc w:val="both"/>
              <w:rPr>
                <w:rFonts w:eastAsia="Calibri"/>
                <w:sz w:val="20"/>
              </w:rPr>
            </w:pPr>
            <w:r w:rsidRPr="000F1B6E">
              <w:rPr>
                <w:rFonts w:eastAsia="Calibri"/>
                <w:sz w:val="20"/>
              </w:rPr>
              <w:t>760-17-002758-111</w:t>
            </w:r>
          </w:p>
          <w:p w:rsidR="00BC5EAA" w:rsidRPr="000F1B6E" w:rsidRDefault="00BC5EAA" w:rsidP="00BC5EAA">
            <w:pPr>
              <w:jc w:val="both"/>
              <w:rPr>
                <w:rFonts w:eastAsia="Calibri"/>
                <w:sz w:val="20"/>
              </w:rPr>
            </w:pPr>
          </w:p>
        </w:tc>
        <w:tc>
          <w:tcPr>
            <w:tcW w:w="243" w:type="pct"/>
          </w:tcPr>
          <w:p w:rsidR="00BC5EAA" w:rsidRPr="000F1B6E" w:rsidRDefault="00BC5EAA" w:rsidP="00BC5EAA">
            <w:pPr>
              <w:jc w:val="both"/>
              <w:rPr>
                <w:rFonts w:eastAsia="Calibri"/>
                <w:sz w:val="20"/>
              </w:rPr>
            </w:pPr>
          </w:p>
        </w:tc>
        <w:tc>
          <w:tcPr>
            <w:tcW w:w="2330" w:type="pct"/>
          </w:tcPr>
          <w:p w:rsidR="00BC5EAA" w:rsidRPr="000F1B6E" w:rsidRDefault="00BC5EAA" w:rsidP="00BC5EAA">
            <w:pPr>
              <w:jc w:val="both"/>
              <w:rPr>
                <w:rFonts w:eastAsia="Calibri"/>
                <w:sz w:val="20"/>
              </w:rPr>
            </w:pPr>
            <w:r w:rsidRPr="000F1B6E">
              <w:rPr>
                <w:rFonts w:eastAsia="Calibri"/>
                <w:sz w:val="20"/>
              </w:rPr>
              <w:t>Motion to institute proceedings allowed; cross demand allowed in part</w:t>
            </w:r>
          </w:p>
          <w:p w:rsidR="00BC5EAA" w:rsidRPr="000F1B6E" w:rsidRDefault="00BC5EAA" w:rsidP="00BC5EAA">
            <w:pPr>
              <w:jc w:val="both"/>
              <w:rPr>
                <w:rFonts w:eastAsia="Calibri"/>
                <w:sz w:val="20"/>
              </w:rPr>
            </w:pPr>
          </w:p>
        </w:tc>
      </w:tr>
      <w:tr w:rsidR="00BC5EAA" w:rsidRPr="000F1B6E" w:rsidTr="00BC5EAA">
        <w:tc>
          <w:tcPr>
            <w:tcW w:w="2427" w:type="pct"/>
          </w:tcPr>
          <w:p w:rsidR="00BC5EAA" w:rsidRPr="000F1B6E" w:rsidRDefault="00BC5EAA" w:rsidP="00BC5EAA">
            <w:pPr>
              <w:jc w:val="both"/>
              <w:rPr>
                <w:rFonts w:eastAsia="Calibri"/>
                <w:sz w:val="20"/>
              </w:rPr>
            </w:pPr>
            <w:r w:rsidRPr="000F1B6E">
              <w:rPr>
                <w:rFonts w:eastAsia="Calibri"/>
                <w:sz w:val="20"/>
              </w:rPr>
              <w:t>September 19, 2014</w:t>
            </w:r>
          </w:p>
          <w:p w:rsidR="00BC5EAA" w:rsidRPr="000F1B6E" w:rsidRDefault="00BC5EAA" w:rsidP="00BC5EAA">
            <w:pPr>
              <w:jc w:val="both"/>
              <w:rPr>
                <w:rFonts w:eastAsia="Calibri"/>
                <w:sz w:val="20"/>
              </w:rPr>
            </w:pPr>
            <w:r w:rsidRPr="000F1B6E">
              <w:rPr>
                <w:rFonts w:eastAsia="Calibri"/>
                <w:sz w:val="20"/>
              </w:rPr>
              <w:t>Quebec Court of Appeal (Montréal)</w:t>
            </w:r>
          </w:p>
          <w:p w:rsidR="00BC5EAA" w:rsidRPr="000F1B6E" w:rsidRDefault="00BC5EAA" w:rsidP="00BC5EAA">
            <w:pPr>
              <w:jc w:val="both"/>
              <w:rPr>
                <w:rFonts w:eastAsia="Calibri"/>
                <w:sz w:val="20"/>
              </w:rPr>
            </w:pPr>
            <w:r w:rsidRPr="000F1B6E">
              <w:rPr>
                <w:rFonts w:eastAsia="Calibri"/>
                <w:sz w:val="20"/>
              </w:rPr>
              <w:t>(Rochette, Doyon and Bouchard JJ.A.)</w:t>
            </w:r>
          </w:p>
          <w:p w:rsidR="00BC5EAA" w:rsidRPr="000F1B6E" w:rsidRDefault="00E42AAB" w:rsidP="00BC5EAA">
            <w:pPr>
              <w:jc w:val="both"/>
              <w:rPr>
                <w:rFonts w:eastAsia="Calibri"/>
                <w:sz w:val="20"/>
              </w:rPr>
            </w:pPr>
            <w:hyperlink r:id="rId110" w:history="1">
              <w:r w:rsidR="00BC5EAA" w:rsidRPr="000F1B6E">
                <w:rPr>
                  <w:rFonts w:eastAsia="Calibri"/>
                  <w:color w:val="0000FF"/>
                  <w:sz w:val="20"/>
                  <w:u w:val="single"/>
                </w:rPr>
                <w:t>2014 QCCA 1744</w:t>
              </w:r>
            </w:hyperlink>
            <w:r w:rsidR="00BC5EAA" w:rsidRPr="000F1B6E">
              <w:rPr>
                <w:rFonts w:eastAsia="Calibri"/>
                <w:sz w:val="20"/>
              </w:rPr>
              <w:t>; 500-09-024466-146</w:t>
            </w:r>
          </w:p>
          <w:p w:rsidR="00BC5EAA" w:rsidRPr="000F1B6E" w:rsidRDefault="00BC5EAA" w:rsidP="00BC5EAA">
            <w:pPr>
              <w:jc w:val="both"/>
              <w:rPr>
                <w:rFonts w:eastAsia="Calibri"/>
                <w:sz w:val="20"/>
              </w:rPr>
            </w:pPr>
          </w:p>
        </w:tc>
        <w:tc>
          <w:tcPr>
            <w:tcW w:w="243" w:type="pct"/>
          </w:tcPr>
          <w:p w:rsidR="00BC5EAA" w:rsidRPr="000F1B6E" w:rsidRDefault="00BC5EAA" w:rsidP="00BC5EAA">
            <w:pPr>
              <w:jc w:val="both"/>
              <w:rPr>
                <w:rFonts w:eastAsia="Calibri"/>
                <w:sz w:val="20"/>
              </w:rPr>
            </w:pPr>
          </w:p>
        </w:tc>
        <w:tc>
          <w:tcPr>
            <w:tcW w:w="2330" w:type="pct"/>
          </w:tcPr>
          <w:p w:rsidR="00BC5EAA" w:rsidRPr="000F1B6E" w:rsidRDefault="00BC5EAA" w:rsidP="00BC5EAA">
            <w:pPr>
              <w:jc w:val="both"/>
              <w:rPr>
                <w:rFonts w:eastAsia="Calibri"/>
                <w:sz w:val="20"/>
              </w:rPr>
            </w:pPr>
            <w:r w:rsidRPr="000F1B6E">
              <w:rPr>
                <w:rFonts w:eastAsia="Calibri"/>
                <w:sz w:val="20"/>
              </w:rPr>
              <w:t>Motion to dismiss appeal allowed; appeal dismissed</w:t>
            </w:r>
          </w:p>
          <w:p w:rsidR="00BC5EAA" w:rsidRPr="000F1B6E" w:rsidRDefault="00BC5EAA" w:rsidP="00BC5EAA">
            <w:pPr>
              <w:jc w:val="both"/>
              <w:rPr>
                <w:rFonts w:eastAsia="Calibri"/>
                <w:sz w:val="20"/>
              </w:rPr>
            </w:pPr>
          </w:p>
        </w:tc>
      </w:tr>
      <w:tr w:rsidR="00BC5EAA" w:rsidRPr="000F1B6E" w:rsidTr="00BC5EAA">
        <w:tc>
          <w:tcPr>
            <w:tcW w:w="2427" w:type="pct"/>
          </w:tcPr>
          <w:p w:rsidR="00BC5EAA" w:rsidRPr="000F1B6E" w:rsidRDefault="00BC5EAA" w:rsidP="00BC5EAA">
            <w:pPr>
              <w:jc w:val="both"/>
              <w:rPr>
                <w:rFonts w:eastAsia="Calibri"/>
                <w:sz w:val="20"/>
              </w:rPr>
            </w:pPr>
            <w:r w:rsidRPr="000F1B6E">
              <w:rPr>
                <w:rFonts w:eastAsia="Calibri"/>
                <w:sz w:val="20"/>
              </w:rPr>
              <w:t>November 14, 2014</w:t>
            </w:r>
          </w:p>
          <w:p w:rsidR="00BC5EAA" w:rsidRPr="000F1B6E" w:rsidRDefault="00BC5EAA" w:rsidP="00BC5EAA">
            <w:pPr>
              <w:jc w:val="both"/>
              <w:rPr>
                <w:rFonts w:eastAsia="Calibri"/>
                <w:sz w:val="20"/>
              </w:rPr>
            </w:pPr>
            <w:r w:rsidRPr="000F1B6E">
              <w:rPr>
                <w:rFonts w:eastAsia="Calibri"/>
                <w:sz w:val="20"/>
              </w:rPr>
              <w:t>Supreme Court of Canada</w:t>
            </w:r>
          </w:p>
        </w:tc>
        <w:tc>
          <w:tcPr>
            <w:tcW w:w="243" w:type="pct"/>
          </w:tcPr>
          <w:p w:rsidR="00BC5EAA" w:rsidRPr="000F1B6E" w:rsidRDefault="00BC5EAA" w:rsidP="00BC5EAA">
            <w:pPr>
              <w:jc w:val="both"/>
              <w:rPr>
                <w:rFonts w:eastAsia="Calibri"/>
                <w:sz w:val="20"/>
              </w:rPr>
            </w:pPr>
          </w:p>
        </w:tc>
        <w:tc>
          <w:tcPr>
            <w:tcW w:w="2330" w:type="pct"/>
          </w:tcPr>
          <w:p w:rsidR="00BC5EAA" w:rsidRPr="000F1B6E" w:rsidRDefault="00BC5EAA" w:rsidP="00BC5EAA">
            <w:pPr>
              <w:jc w:val="both"/>
              <w:rPr>
                <w:rFonts w:eastAsia="Calibri"/>
                <w:sz w:val="20"/>
              </w:rPr>
            </w:pPr>
            <w:r w:rsidRPr="000F1B6E">
              <w:rPr>
                <w:rFonts w:eastAsia="Calibri"/>
                <w:sz w:val="20"/>
              </w:rPr>
              <w:t>Application for leave to appeal and motion to adduce new evidence filed</w:t>
            </w:r>
          </w:p>
        </w:tc>
      </w:tr>
    </w:tbl>
    <w:p w:rsidR="00124C37" w:rsidRPr="009D24B9" w:rsidRDefault="00124C37" w:rsidP="00124C37">
      <w:pPr>
        <w:rPr>
          <w:sz w:val="20"/>
          <w:szCs w:val="20"/>
        </w:rPr>
      </w:pPr>
    </w:p>
    <w:p w:rsidR="00124C37" w:rsidRPr="00C50A5C" w:rsidRDefault="00E42AAB" w:rsidP="00124C37">
      <w:pPr>
        <w:rPr>
          <w:sz w:val="20"/>
          <w:szCs w:val="20"/>
        </w:rPr>
      </w:pPr>
      <w:r>
        <w:rPr>
          <w:sz w:val="20"/>
          <w:szCs w:val="20"/>
          <w:lang w:val="fr-CA"/>
        </w:rPr>
        <w:pict>
          <v:rect id="_x0000_i1093" style="width:2in;height:1pt" o:hrpct="0" o:hralign="center" o:hrstd="t" o:hrnoshade="t" o:hr="t" fillcolor="black [3213]" stroked="f"/>
        </w:pict>
      </w:r>
    </w:p>
    <w:p w:rsidR="00124C37" w:rsidRDefault="00124C37" w:rsidP="00124C37">
      <w:pPr>
        <w:rPr>
          <w:sz w:val="20"/>
          <w:szCs w:val="20"/>
        </w:rPr>
      </w:pPr>
    </w:p>
    <w:p w:rsidR="00124C37" w:rsidRPr="001B157C" w:rsidRDefault="00124C37" w:rsidP="00124C37">
      <w:pPr>
        <w:rPr>
          <w:sz w:val="20"/>
          <w:szCs w:val="20"/>
          <w:u w:val="single"/>
          <w:lang w:val="fr-CA"/>
        </w:rPr>
      </w:pPr>
      <w:r w:rsidRPr="001B157C">
        <w:rPr>
          <w:sz w:val="20"/>
          <w:szCs w:val="20"/>
          <w:u w:val="single"/>
          <w:lang w:val="fr-CA"/>
        </w:rPr>
        <w:lastRenderedPageBreak/>
        <w:t>RÉSUMÉ DE L’AFFAIRE</w:t>
      </w:r>
    </w:p>
    <w:p w:rsidR="00124C37" w:rsidRDefault="00124C37" w:rsidP="00124C3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C5EAA" w:rsidRPr="0025502E" w:rsidTr="00BC5EAA">
        <w:tc>
          <w:tcPr>
            <w:tcW w:w="5000" w:type="pct"/>
            <w:gridSpan w:val="3"/>
          </w:tcPr>
          <w:p w:rsidR="00BC5EAA" w:rsidRPr="000F1B6E" w:rsidRDefault="00BC5EAA" w:rsidP="00BC5EAA">
            <w:pPr>
              <w:jc w:val="both"/>
              <w:rPr>
                <w:rFonts w:eastAsia="Calibri"/>
                <w:sz w:val="20"/>
                <w:lang w:val="fr-CA"/>
              </w:rPr>
            </w:pPr>
            <w:r w:rsidRPr="000F1B6E">
              <w:rPr>
                <w:rFonts w:eastAsia="Calibri"/>
                <w:sz w:val="20"/>
                <w:lang w:val="fr-CA"/>
              </w:rPr>
              <w:t>Contrats – Contrat d’entreprise ou de service – Construction d’un immeuble – Paiement des travaux effectués – Recours du constructeur d’un immeuble contre les propriétaires accueilli – Demande reconventionnelle des propriétaires accueillie en partie – Requête en rejet d’appel accueillie et appel des propriétaires rejeté – Les tribunaux des instances inférieures ont-ils commis des erreurs?</w:t>
            </w:r>
          </w:p>
        </w:tc>
      </w:tr>
      <w:tr w:rsidR="00BC5EAA" w:rsidRPr="0025502E" w:rsidTr="00BC5EAA">
        <w:tc>
          <w:tcPr>
            <w:tcW w:w="5000" w:type="pct"/>
            <w:gridSpan w:val="3"/>
          </w:tcPr>
          <w:p w:rsidR="00BC5EAA" w:rsidRPr="000F1B6E" w:rsidRDefault="00BC5EAA" w:rsidP="00BC5EAA">
            <w:pPr>
              <w:jc w:val="both"/>
              <w:rPr>
                <w:rFonts w:eastAsia="Calibri"/>
                <w:sz w:val="20"/>
                <w:lang w:val="fr-CA"/>
              </w:rPr>
            </w:pPr>
          </w:p>
        </w:tc>
      </w:tr>
      <w:tr w:rsidR="00BC5EAA" w:rsidRPr="0025502E" w:rsidTr="00BC5EAA">
        <w:tc>
          <w:tcPr>
            <w:tcW w:w="5000" w:type="pct"/>
            <w:gridSpan w:val="3"/>
          </w:tcPr>
          <w:p w:rsidR="00BC5EAA" w:rsidRPr="000F1B6E" w:rsidRDefault="00BC5EAA" w:rsidP="00BC5EAA">
            <w:pPr>
              <w:jc w:val="both"/>
              <w:rPr>
                <w:rFonts w:eastAsia="Calibri"/>
                <w:sz w:val="20"/>
                <w:lang w:val="fr-CA"/>
              </w:rPr>
            </w:pPr>
            <w:r w:rsidRPr="000F1B6E">
              <w:rPr>
                <w:rFonts w:eastAsia="Calibri"/>
                <w:sz w:val="20"/>
                <w:lang w:val="fr-CA"/>
              </w:rPr>
              <w:t>M. Chou et M</w:t>
            </w:r>
            <w:r w:rsidRPr="000F1B6E">
              <w:rPr>
                <w:rFonts w:eastAsia="Calibri"/>
                <w:sz w:val="20"/>
                <w:vertAlign w:val="superscript"/>
                <w:lang w:val="fr-CA"/>
              </w:rPr>
              <w:t>me</w:t>
            </w:r>
            <w:r w:rsidRPr="000F1B6E">
              <w:rPr>
                <w:rFonts w:eastAsia="Calibri"/>
                <w:sz w:val="20"/>
                <w:lang w:val="fr-CA"/>
              </w:rPr>
              <w:t> Chang (« les propriétaires ») embauchent Fréchette Constructions Inc. (« le constructeur ») pour effectuer des travaux de construction sur leur propriété.  En cours d’exécution du contrat, cependant, les travaux sont suspendus. Impayé, le constructeur intente une action devant la Cour supérieure par laquelle il réclame 149 128,98 $.  En demande reconventionnelle, les propriétaires revendiquent 275 598,58 $ et allèguent notamment la mauvaise exécution du contrat et la mauvaise foi du constructeur.</w:t>
            </w:r>
          </w:p>
          <w:p w:rsidR="00BC5EAA" w:rsidRPr="000F1B6E" w:rsidRDefault="00BC5EAA" w:rsidP="00BC5EAA">
            <w:pPr>
              <w:jc w:val="both"/>
              <w:rPr>
                <w:rFonts w:eastAsia="Calibri"/>
                <w:sz w:val="20"/>
                <w:lang w:val="fr-CA"/>
              </w:rPr>
            </w:pPr>
          </w:p>
          <w:p w:rsidR="00BC5EAA" w:rsidRPr="000F1B6E" w:rsidRDefault="00BC5EAA" w:rsidP="00BC5EAA">
            <w:pPr>
              <w:jc w:val="both"/>
              <w:rPr>
                <w:rFonts w:eastAsia="Calibri"/>
                <w:sz w:val="20"/>
                <w:lang w:val="fr-CA"/>
              </w:rPr>
            </w:pPr>
            <w:r w:rsidRPr="000F1B6E">
              <w:rPr>
                <w:rFonts w:eastAsia="Calibri"/>
                <w:sz w:val="20"/>
                <w:lang w:val="fr-CA"/>
              </w:rPr>
              <w:t>La Cour supérieure accueille la réclamation du constructeur.  Le juge Mayer estime que dans les circonstances, le constructeur a le droit d’être payé pour les travaux effectués.  Le juge accueille aussi la demande reconventionnelle des propriétaires, mais pour partie seulement.  Il leur accorde une somme de 3 500 $, en guise de compensation pour un problème de fissures dans le plancher en béton du garage, des problèmes de structure et de charpente et un problème de contact entre le mur de soutien et le béton dans le sous-sol.  La Cour d’appel du Québec rejette l’appel à un stade préliminaire au motif que le pourvoi est voué à l’échec.</w:t>
            </w:r>
          </w:p>
          <w:p w:rsidR="00BC5EAA" w:rsidRPr="000F1B6E" w:rsidRDefault="00BC5EAA" w:rsidP="00BC5EAA">
            <w:pPr>
              <w:jc w:val="both"/>
              <w:rPr>
                <w:rFonts w:eastAsia="Calibri"/>
                <w:sz w:val="20"/>
                <w:lang w:val="fr-CA"/>
              </w:rPr>
            </w:pPr>
          </w:p>
        </w:tc>
      </w:tr>
      <w:tr w:rsidR="00BC5EAA" w:rsidRPr="0025502E" w:rsidTr="001249E2">
        <w:trPr>
          <w:cantSplit/>
        </w:trPr>
        <w:tc>
          <w:tcPr>
            <w:tcW w:w="2427" w:type="pct"/>
          </w:tcPr>
          <w:p w:rsidR="00BC5EAA" w:rsidRPr="000F1B6E" w:rsidRDefault="00BC5EAA" w:rsidP="00BC5EAA">
            <w:pPr>
              <w:jc w:val="both"/>
              <w:rPr>
                <w:rFonts w:eastAsia="Calibri"/>
                <w:sz w:val="20"/>
                <w:lang w:val="fr-CA"/>
              </w:rPr>
            </w:pPr>
            <w:r w:rsidRPr="000F1B6E">
              <w:rPr>
                <w:rFonts w:eastAsia="Calibri"/>
                <w:sz w:val="20"/>
                <w:lang w:val="fr-CA"/>
              </w:rPr>
              <w:t>Le 30 avril 2014</w:t>
            </w:r>
          </w:p>
          <w:p w:rsidR="00BC5EAA" w:rsidRPr="000F1B6E" w:rsidRDefault="00BC5EAA" w:rsidP="00BC5EAA">
            <w:pPr>
              <w:jc w:val="both"/>
              <w:rPr>
                <w:rFonts w:eastAsia="Calibri"/>
                <w:sz w:val="20"/>
                <w:lang w:val="fr-CA"/>
              </w:rPr>
            </w:pPr>
            <w:r w:rsidRPr="000F1B6E">
              <w:rPr>
                <w:rFonts w:eastAsia="Calibri"/>
                <w:sz w:val="20"/>
                <w:lang w:val="fr-CA"/>
              </w:rPr>
              <w:t>Cour supérieure du Québec</w:t>
            </w:r>
          </w:p>
          <w:p w:rsidR="00BC5EAA" w:rsidRPr="000F1B6E" w:rsidRDefault="00BC5EAA" w:rsidP="00BC5EAA">
            <w:pPr>
              <w:jc w:val="both"/>
              <w:rPr>
                <w:rFonts w:eastAsia="Calibri"/>
                <w:sz w:val="20"/>
                <w:lang w:val="fr-CA"/>
              </w:rPr>
            </w:pPr>
            <w:r w:rsidRPr="000F1B6E">
              <w:rPr>
                <w:rFonts w:eastAsia="Calibri"/>
                <w:sz w:val="20"/>
                <w:lang w:val="fr-CA"/>
              </w:rPr>
              <w:t>(Le juge Mayer)</w:t>
            </w:r>
          </w:p>
          <w:p w:rsidR="00BC5EAA" w:rsidRPr="000F1B6E" w:rsidRDefault="00BC5EAA" w:rsidP="00BC5EAA">
            <w:pPr>
              <w:jc w:val="both"/>
              <w:rPr>
                <w:rFonts w:eastAsia="Calibri"/>
                <w:sz w:val="20"/>
                <w:lang w:val="fr-CA"/>
              </w:rPr>
            </w:pPr>
            <w:r w:rsidRPr="000F1B6E">
              <w:rPr>
                <w:rFonts w:eastAsia="Calibri"/>
                <w:sz w:val="20"/>
                <w:lang w:val="fr-CA"/>
              </w:rPr>
              <w:t>760-17-002758-111</w:t>
            </w:r>
          </w:p>
          <w:p w:rsidR="00BC5EAA" w:rsidRPr="000F1B6E" w:rsidRDefault="00BC5EAA" w:rsidP="00BC5EAA">
            <w:pPr>
              <w:jc w:val="both"/>
              <w:rPr>
                <w:rFonts w:eastAsia="Calibri"/>
                <w:sz w:val="20"/>
                <w:lang w:val="fr-CA"/>
              </w:rPr>
            </w:pPr>
          </w:p>
        </w:tc>
        <w:tc>
          <w:tcPr>
            <w:tcW w:w="243" w:type="pct"/>
          </w:tcPr>
          <w:p w:rsidR="00BC5EAA" w:rsidRPr="000F1B6E" w:rsidRDefault="00BC5EAA" w:rsidP="00BC5EAA">
            <w:pPr>
              <w:jc w:val="both"/>
              <w:rPr>
                <w:rFonts w:eastAsia="Calibri"/>
                <w:sz w:val="20"/>
                <w:lang w:val="fr-CA"/>
              </w:rPr>
            </w:pPr>
          </w:p>
        </w:tc>
        <w:tc>
          <w:tcPr>
            <w:tcW w:w="2330" w:type="pct"/>
          </w:tcPr>
          <w:p w:rsidR="00BC5EAA" w:rsidRPr="000F1B6E" w:rsidRDefault="00BC5EAA" w:rsidP="00BC5EAA">
            <w:pPr>
              <w:jc w:val="both"/>
              <w:rPr>
                <w:rFonts w:eastAsia="Calibri"/>
                <w:sz w:val="20"/>
                <w:lang w:val="fr-CA"/>
              </w:rPr>
            </w:pPr>
            <w:r w:rsidRPr="000F1B6E">
              <w:rPr>
                <w:rFonts w:eastAsia="Calibri"/>
                <w:sz w:val="20"/>
                <w:lang w:val="fr-CA"/>
              </w:rPr>
              <w:t>Requête introductive d’instance accueillie; Demande reconventionnelle accueillie en partie</w:t>
            </w:r>
          </w:p>
          <w:p w:rsidR="00BC5EAA" w:rsidRPr="000F1B6E" w:rsidRDefault="00BC5EAA" w:rsidP="00BC5EAA">
            <w:pPr>
              <w:jc w:val="both"/>
              <w:rPr>
                <w:rFonts w:eastAsia="Calibri"/>
                <w:sz w:val="20"/>
                <w:lang w:val="fr-CA"/>
              </w:rPr>
            </w:pPr>
          </w:p>
        </w:tc>
      </w:tr>
      <w:tr w:rsidR="00BC5EAA" w:rsidRPr="0025502E" w:rsidTr="001249E2">
        <w:trPr>
          <w:cantSplit/>
        </w:trPr>
        <w:tc>
          <w:tcPr>
            <w:tcW w:w="2427" w:type="pct"/>
          </w:tcPr>
          <w:p w:rsidR="00BC5EAA" w:rsidRPr="000F1B6E" w:rsidRDefault="00BC5EAA" w:rsidP="00BC5EAA">
            <w:pPr>
              <w:jc w:val="both"/>
              <w:rPr>
                <w:rFonts w:eastAsia="Calibri"/>
                <w:sz w:val="20"/>
                <w:lang w:val="fr-CA"/>
              </w:rPr>
            </w:pPr>
            <w:r w:rsidRPr="000F1B6E">
              <w:rPr>
                <w:rFonts w:eastAsia="Calibri"/>
                <w:sz w:val="20"/>
                <w:lang w:val="fr-CA"/>
              </w:rPr>
              <w:t>Le 19 septembre 2014</w:t>
            </w:r>
          </w:p>
          <w:p w:rsidR="00BC5EAA" w:rsidRPr="000F1B6E" w:rsidRDefault="00BC5EAA" w:rsidP="00BC5EAA">
            <w:pPr>
              <w:jc w:val="both"/>
              <w:rPr>
                <w:rFonts w:eastAsia="Calibri"/>
                <w:sz w:val="20"/>
                <w:lang w:val="fr-CA"/>
              </w:rPr>
            </w:pPr>
            <w:r w:rsidRPr="000F1B6E">
              <w:rPr>
                <w:rFonts w:eastAsia="Calibri"/>
                <w:sz w:val="20"/>
                <w:lang w:val="fr-CA"/>
              </w:rPr>
              <w:t>Cour d’appel du Québec (Montréal)</w:t>
            </w:r>
          </w:p>
          <w:p w:rsidR="00BC5EAA" w:rsidRPr="000F1B6E" w:rsidRDefault="00BC5EAA" w:rsidP="00BC5EAA">
            <w:pPr>
              <w:jc w:val="both"/>
              <w:rPr>
                <w:rFonts w:eastAsia="Calibri"/>
                <w:sz w:val="20"/>
                <w:lang w:val="fr-CA"/>
              </w:rPr>
            </w:pPr>
            <w:r w:rsidRPr="000F1B6E">
              <w:rPr>
                <w:rFonts w:eastAsia="Calibri"/>
                <w:sz w:val="20"/>
                <w:lang w:val="fr-CA"/>
              </w:rPr>
              <w:t>(Les juges Rochette, Doyon et Bouchard)</w:t>
            </w:r>
          </w:p>
          <w:p w:rsidR="00BC5EAA" w:rsidRPr="000F1B6E" w:rsidRDefault="00E42AAB" w:rsidP="00BC5EAA">
            <w:pPr>
              <w:jc w:val="both"/>
              <w:rPr>
                <w:rFonts w:eastAsia="Calibri"/>
                <w:sz w:val="20"/>
                <w:lang w:val="fr-CA"/>
              </w:rPr>
            </w:pPr>
            <w:hyperlink r:id="rId111" w:history="1">
              <w:r w:rsidR="00BC5EAA" w:rsidRPr="000F1B6E">
                <w:rPr>
                  <w:rFonts w:eastAsia="Calibri"/>
                  <w:color w:val="0000FF"/>
                  <w:sz w:val="20"/>
                  <w:u w:val="single"/>
                  <w:lang w:val="fr-CA"/>
                </w:rPr>
                <w:t>2014 QCCA 1744</w:t>
              </w:r>
            </w:hyperlink>
            <w:r w:rsidR="00BC5EAA" w:rsidRPr="000F1B6E">
              <w:rPr>
                <w:rFonts w:eastAsia="Calibri"/>
                <w:sz w:val="20"/>
                <w:lang w:val="fr-CA"/>
              </w:rPr>
              <w:t>; 500-09-024466-146</w:t>
            </w:r>
          </w:p>
          <w:p w:rsidR="00BC5EAA" w:rsidRPr="000F1B6E" w:rsidRDefault="00BC5EAA" w:rsidP="00BC5EAA">
            <w:pPr>
              <w:jc w:val="both"/>
              <w:rPr>
                <w:rFonts w:eastAsia="Calibri"/>
                <w:sz w:val="20"/>
                <w:lang w:val="fr-CA"/>
              </w:rPr>
            </w:pPr>
          </w:p>
        </w:tc>
        <w:tc>
          <w:tcPr>
            <w:tcW w:w="243" w:type="pct"/>
          </w:tcPr>
          <w:p w:rsidR="00BC5EAA" w:rsidRPr="000F1B6E" w:rsidRDefault="00BC5EAA" w:rsidP="00BC5EAA">
            <w:pPr>
              <w:jc w:val="both"/>
              <w:rPr>
                <w:rFonts w:eastAsia="Calibri"/>
                <w:sz w:val="20"/>
                <w:lang w:val="fr-CA"/>
              </w:rPr>
            </w:pPr>
          </w:p>
        </w:tc>
        <w:tc>
          <w:tcPr>
            <w:tcW w:w="2330" w:type="pct"/>
          </w:tcPr>
          <w:p w:rsidR="00BC5EAA" w:rsidRPr="000F1B6E" w:rsidRDefault="00BC5EAA" w:rsidP="00BC5EAA">
            <w:pPr>
              <w:jc w:val="both"/>
              <w:rPr>
                <w:rFonts w:eastAsia="Calibri"/>
                <w:sz w:val="20"/>
                <w:lang w:val="fr-CA"/>
              </w:rPr>
            </w:pPr>
            <w:r w:rsidRPr="000F1B6E">
              <w:rPr>
                <w:rFonts w:eastAsia="Calibri"/>
                <w:sz w:val="20"/>
                <w:lang w:val="fr-CA"/>
              </w:rPr>
              <w:t>Requête en rejet d’appel accueillie; appel rejeté</w:t>
            </w:r>
          </w:p>
          <w:p w:rsidR="00BC5EAA" w:rsidRPr="000F1B6E" w:rsidRDefault="00BC5EAA" w:rsidP="00BC5EAA">
            <w:pPr>
              <w:jc w:val="both"/>
              <w:rPr>
                <w:rFonts w:eastAsia="Calibri"/>
                <w:sz w:val="20"/>
                <w:lang w:val="fr-CA"/>
              </w:rPr>
            </w:pPr>
          </w:p>
        </w:tc>
      </w:tr>
      <w:tr w:rsidR="00BC5EAA" w:rsidRPr="0025502E" w:rsidTr="001249E2">
        <w:trPr>
          <w:cantSplit/>
        </w:trPr>
        <w:tc>
          <w:tcPr>
            <w:tcW w:w="2427" w:type="pct"/>
          </w:tcPr>
          <w:p w:rsidR="00BC5EAA" w:rsidRPr="000F1B6E" w:rsidRDefault="00BC5EAA" w:rsidP="00BC5EAA">
            <w:pPr>
              <w:jc w:val="both"/>
              <w:rPr>
                <w:rFonts w:eastAsia="Calibri"/>
                <w:sz w:val="20"/>
                <w:lang w:val="fr-CA"/>
              </w:rPr>
            </w:pPr>
            <w:r w:rsidRPr="000F1B6E">
              <w:rPr>
                <w:rFonts w:eastAsia="Calibri"/>
                <w:sz w:val="20"/>
                <w:lang w:val="fr-CA"/>
              </w:rPr>
              <w:t>Le 14 novembre 2014</w:t>
            </w:r>
          </w:p>
          <w:p w:rsidR="00BC5EAA" w:rsidRPr="000F1B6E" w:rsidRDefault="00BC5EAA" w:rsidP="00BC5EAA">
            <w:pPr>
              <w:jc w:val="both"/>
              <w:rPr>
                <w:rFonts w:eastAsia="Calibri"/>
                <w:sz w:val="20"/>
                <w:lang w:val="fr-CA"/>
              </w:rPr>
            </w:pPr>
            <w:r w:rsidRPr="000F1B6E">
              <w:rPr>
                <w:rFonts w:eastAsia="Calibri"/>
                <w:sz w:val="20"/>
                <w:lang w:val="fr-CA"/>
              </w:rPr>
              <w:t>Cour suprême du Canada</w:t>
            </w:r>
          </w:p>
        </w:tc>
        <w:tc>
          <w:tcPr>
            <w:tcW w:w="243" w:type="pct"/>
          </w:tcPr>
          <w:p w:rsidR="00BC5EAA" w:rsidRPr="000F1B6E" w:rsidRDefault="00BC5EAA" w:rsidP="00BC5EAA">
            <w:pPr>
              <w:jc w:val="both"/>
              <w:rPr>
                <w:rFonts w:eastAsia="Calibri"/>
                <w:sz w:val="20"/>
                <w:lang w:val="fr-CA"/>
              </w:rPr>
            </w:pPr>
          </w:p>
        </w:tc>
        <w:tc>
          <w:tcPr>
            <w:tcW w:w="2330" w:type="pct"/>
          </w:tcPr>
          <w:p w:rsidR="00BC5EAA" w:rsidRPr="000F1B6E" w:rsidRDefault="00BC5EAA" w:rsidP="001249E2">
            <w:pPr>
              <w:jc w:val="both"/>
              <w:rPr>
                <w:rFonts w:eastAsia="Calibri"/>
                <w:sz w:val="20"/>
                <w:lang w:val="fr-CA"/>
              </w:rPr>
            </w:pPr>
            <w:r w:rsidRPr="000F1B6E">
              <w:rPr>
                <w:rFonts w:eastAsia="Calibri"/>
                <w:sz w:val="20"/>
                <w:lang w:val="fr-CA"/>
              </w:rPr>
              <w:t>Demande d’autorisation d’appel et requête pour nouvelle preuve déposées</w:t>
            </w:r>
          </w:p>
        </w:tc>
      </w:tr>
    </w:tbl>
    <w:p w:rsidR="00124C37" w:rsidRPr="00BC5EAA" w:rsidRDefault="00124C37" w:rsidP="00124C37">
      <w:pPr>
        <w:rPr>
          <w:sz w:val="20"/>
          <w:szCs w:val="20"/>
          <w:lang w:val="fr-CA"/>
        </w:rPr>
      </w:pPr>
    </w:p>
    <w:p w:rsidR="00124C37" w:rsidRDefault="00E42AAB" w:rsidP="00124C37">
      <w:pPr>
        <w:rPr>
          <w:sz w:val="20"/>
          <w:szCs w:val="20"/>
        </w:rPr>
      </w:pPr>
      <w:r>
        <w:rPr>
          <w:sz w:val="20"/>
          <w:szCs w:val="20"/>
          <w:lang w:val="fr-CA"/>
        </w:rPr>
        <w:pict>
          <v:rect id="_x0000_i1094" style="width:2in;height:1pt" o:hrpct="0" o:hralign="center" o:hrstd="t" o:hrnoshade="t" o:hr="t" fillcolor="black [3213]" stroked="f"/>
        </w:pict>
      </w:r>
    </w:p>
    <w:p w:rsidR="00124C37" w:rsidRDefault="00124C37" w:rsidP="00124C37">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03DFB" w:rsidRPr="00E7075A" w:rsidTr="00C64462">
        <w:trPr>
          <w:cantSplit/>
        </w:trPr>
        <w:tc>
          <w:tcPr>
            <w:tcW w:w="1458" w:type="dxa"/>
          </w:tcPr>
          <w:p w:rsidR="00803DFB" w:rsidRPr="00E7075A" w:rsidRDefault="00803DFB" w:rsidP="00C64462">
            <w:pPr>
              <w:rPr>
                <w:sz w:val="20"/>
                <w:szCs w:val="20"/>
              </w:rPr>
            </w:pPr>
            <w:r w:rsidRPr="00E7075A">
              <w:rPr>
                <w:rStyle w:val="SCCFileNumberChar"/>
                <w:sz w:val="20"/>
                <w:szCs w:val="20"/>
              </w:rPr>
              <w:t>36188</w:t>
            </w:r>
          </w:p>
          <w:p w:rsidR="00803DFB" w:rsidRPr="00E7075A" w:rsidRDefault="00803DFB" w:rsidP="00C64462">
            <w:pPr>
              <w:rPr>
                <w:b/>
                <w:sz w:val="20"/>
                <w:szCs w:val="20"/>
                <w:lang w:val="fr-CA"/>
              </w:rPr>
            </w:pPr>
          </w:p>
        </w:tc>
        <w:tc>
          <w:tcPr>
            <w:tcW w:w="8118" w:type="dxa"/>
          </w:tcPr>
          <w:p w:rsidR="00803DFB" w:rsidRPr="00E7075A" w:rsidRDefault="00803DFB" w:rsidP="00736210">
            <w:pPr>
              <w:jc w:val="both"/>
              <w:rPr>
                <w:sz w:val="20"/>
                <w:szCs w:val="20"/>
              </w:rPr>
            </w:pPr>
            <w:r w:rsidRPr="00803DFB">
              <w:rPr>
                <w:rStyle w:val="SCCLsocChar"/>
                <w:sz w:val="20"/>
                <w:szCs w:val="20"/>
                <w:lang w:val="en-CA"/>
              </w:rPr>
              <w:t>Algonquins of Pikwakanagan v. Children</w:t>
            </w:r>
            <w:r w:rsidR="00736210">
              <w:rPr>
                <w:rStyle w:val="SCCLsocChar"/>
                <w:sz w:val="20"/>
                <w:szCs w:val="20"/>
                <w:lang w:val="en-CA"/>
              </w:rPr>
              <w:t>’</w:t>
            </w:r>
            <w:r w:rsidRPr="00803DFB">
              <w:rPr>
                <w:rStyle w:val="SCCLsocChar"/>
                <w:sz w:val="20"/>
                <w:szCs w:val="20"/>
                <w:lang w:val="en-CA"/>
              </w:rPr>
              <w:t>s Aid Society of the County of Renfrew, B.</w:t>
            </w:r>
            <w:r w:rsidR="00736210">
              <w:rPr>
                <w:rStyle w:val="SCCLsocChar"/>
                <w:sz w:val="20"/>
                <w:szCs w:val="20"/>
                <w:lang w:val="en-CA"/>
              </w:rPr>
              <w:t xml:space="preserve"> and</w:t>
            </w:r>
            <w:r w:rsidRPr="00803DFB">
              <w:rPr>
                <w:rStyle w:val="SCCLsocChar"/>
                <w:sz w:val="20"/>
                <w:szCs w:val="20"/>
                <w:lang w:val="en-CA"/>
              </w:rPr>
              <w:t xml:space="preserve"> Office of the Children</w:t>
            </w:r>
            <w:r w:rsidR="00736210">
              <w:rPr>
                <w:rStyle w:val="SCCLsocChar"/>
                <w:sz w:val="20"/>
                <w:szCs w:val="20"/>
                <w:lang w:val="en-CA"/>
              </w:rPr>
              <w:t>’</w:t>
            </w:r>
            <w:r w:rsidRPr="00803DFB">
              <w:rPr>
                <w:rStyle w:val="SCCLsocChar"/>
                <w:sz w:val="20"/>
                <w:szCs w:val="20"/>
                <w:lang w:val="en-CA"/>
              </w:rPr>
              <w:t>s Lawyer AND BETWEEN Algonquins of Pikwakanagan v. Children</w:t>
            </w:r>
            <w:r w:rsidR="00736210">
              <w:rPr>
                <w:rStyle w:val="SCCLsocChar"/>
                <w:sz w:val="20"/>
                <w:szCs w:val="20"/>
                <w:lang w:val="en-CA"/>
              </w:rPr>
              <w:t>’</w:t>
            </w:r>
            <w:r w:rsidRPr="00803DFB">
              <w:rPr>
                <w:rStyle w:val="SCCLsocChar"/>
                <w:sz w:val="20"/>
                <w:szCs w:val="20"/>
                <w:lang w:val="en-CA"/>
              </w:rPr>
              <w:t>s Aid Society of the County of Renfrew</w:t>
            </w:r>
            <w:r w:rsidR="00736210">
              <w:rPr>
                <w:rStyle w:val="SCCLsocChar"/>
                <w:sz w:val="20"/>
                <w:szCs w:val="20"/>
                <w:lang w:val="en-CA"/>
              </w:rPr>
              <w:t xml:space="preserve"> and</w:t>
            </w:r>
            <w:r w:rsidRPr="00803DFB">
              <w:rPr>
                <w:rStyle w:val="SCCLsocChar"/>
                <w:sz w:val="20"/>
                <w:szCs w:val="20"/>
                <w:lang w:val="en-CA"/>
              </w:rPr>
              <w:t xml:space="preserve"> M.B.</w:t>
            </w:r>
            <w:r w:rsidRPr="00E7075A">
              <w:rPr>
                <w:sz w:val="20"/>
                <w:szCs w:val="20"/>
              </w:rPr>
              <w:t xml:space="preserve"> (Ont.) (Civil) (By Leave)</w:t>
            </w:r>
          </w:p>
          <w:p w:rsidR="00803DFB" w:rsidRPr="00E7075A" w:rsidRDefault="00803DFB" w:rsidP="00736210">
            <w:pPr>
              <w:jc w:val="both"/>
              <w:rPr>
                <w:sz w:val="20"/>
                <w:szCs w:val="20"/>
              </w:rPr>
            </w:pPr>
          </w:p>
        </w:tc>
      </w:tr>
      <w:tr w:rsidR="00803DFB" w:rsidRPr="00E7075A" w:rsidTr="00C64462">
        <w:trPr>
          <w:cantSplit/>
        </w:trPr>
        <w:tc>
          <w:tcPr>
            <w:tcW w:w="1458" w:type="dxa"/>
          </w:tcPr>
          <w:p w:rsidR="00803DFB" w:rsidRPr="00E7075A" w:rsidRDefault="00803DFB" w:rsidP="00C64462">
            <w:pPr>
              <w:rPr>
                <w:sz w:val="20"/>
                <w:szCs w:val="20"/>
              </w:rPr>
            </w:pPr>
            <w:r w:rsidRPr="00E7075A">
              <w:rPr>
                <w:sz w:val="20"/>
                <w:szCs w:val="20"/>
              </w:rPr>
              <w:t>Coram :</w:t>
            </w:r>
          </w:p>
        </w:tc>
        <w:tc>
          <w:tcPr>
            <w:tcW w:w="8118" w:type="dxa"/>
          </w:tcPr>
          <w:p w:rsidR="00803DFB" w:rsidRPr="00E7075A" w:rsidRDefault="00803DFB" w:rsidP="00C64462">
            <w:pPr>
              <w:rPr>
                <w:sz w:val="20"/>
                <w:szCs w:val="20"/>
              </w:rPr>
            </w:pPr>
            <w:r w:rsidRPr="00803DFB">
              <w:rPr>
                <w:rStyle w:val="SCCCoramChar"/>
                <w:sz w:val="20"/>
                <w:szCs w:val="20"/>
                <w:lang w:val="en-CA"/>
              </w:rPr>
              <w:t>Rothstein, Cromwell and Moldaver JJ.</w:t>
            </w:r>
          </w:p>
          <w:p w:rsidR="00803DFB" w:rsidRPr="00E7075A" w:rsidRDefault="00803DFB" w:rsidP="00C64462">
            <w:pPr>
              <w:rPr>
                <w:sz w:val="20"/>
                <w:szCs w:val="20"/>
                <w:u w:val="single"/>
              </w:rPr>
            </w:pPr>
          </w:p>
        </w:tc>
      </w:tr>
      <w:tr w:rsidR="00803DFB" w:rsidRPr="0025502E" w:rsidTr="00C64462">
        <w:trPr>
          <w:cantSplit/>
        </w:trPr>
        <w:tc>
          <w:tcPr>
            <w:tcW w:w="9576" w:type="dxa"/>
            <w:gridSpan w:val="2"/>
          </w:tcPr>
          <w:p w:rsidR="00803DFB" w:rsidRPr="00E7075A" w:rsidRDefault="00803DFB" w:rsidP="00C64462">
            <w:pPr>
              <w:pStyle w:val="SCCShortJudgment"/>
              <w:rPr>
                <w:szCs w:val="20"/>
              </w:rPr>
            </w:pPr>
            <w:r w:rsidRPr="00E7075A">
              <w:rPr>
                <w:szCs w:val="20"/>
              </w:rPr>
              <w:lastRenderedPageBreak/>
              <w:t>The application for leave to appeal from the judgment of the Court of Appeal for Ontario, Numbers C58196 and C58197, 2014 ONCA 646, dated September 23, 2014, is dismissed with  costs to the respondent Children’s Aid Society of the County of Renfrew.</w:t>
            </w:r>
          </w:p>
          <w:p w:rsidR="00803DFB" w:rsidRPr="00E7075A" w:rsidRDefault="00803DFB" w:rsidP="00C64462">
            <w:pPr>
              <w:pStyle w:val="SCCShortJudgment"/>
              <w:ind w:firstLine="0"/>
              <w:rPr>
                <w:szCs w:val="20"/>
              </w:rPr>
            </w:pPr>
          </w:p>
          <w:p w:rsidR="00803DFB" w:rsidRPr="00E7075A" w:rsidRDefault="00803DFB" w:rsidP="00C64462">
            <w:pPr>
              <w:pStyle w:val="SCCShortJudgment"/>
              <w:rPr>
                <w:szCs w:val="20"/>
                <w:lang w:val="fr-CA"/>
              </w:rPr>
            </w:pPr>
            <w:r w:rsidRPr="00E7075A">
              <w:rPr>
                <w:szCs w:val="20"/>
                <w:lang w:val="fr-CA"/>
              </w:rPr>
              <w:t>La demande d’autorisation d’appel de l’arrêt de la Cour d’appel de l’Ontario, numéros C58196 et C58197, 2014 ONCA 646, daté du 23 septembre 2014, est rejetée avec dépens en faveur de l’intimée Children’s Aid Society of the County of Renfrew.</w:t>
            </w:r>
          </w:p>
        </w:tc>
      </w:tr>
    </w:tbl>
    <w:p w:rsidR="00124C37" w:rsidRPr="00803DFB" w:rsidRDefault="00124C37" w:rsidP="000E2959">
      <w:pPr>
        <w:rPr>
          <w:sz w:val="20"/>
          <w:szCs w:val="20"/>
          <w:lang w:val="fr-CA"/>
        </w:rPr>
      </w:pPr>
    </w:p>
    <w:p w:rsidR="00124C37" w:rsidRPr="001B157C" w:rsidRDefault="00124C37" w:rsidP="00124C37">
      <w:pPr>
        <w:rPr>
          <w:sz w:val="20"/>
          <w:szCs w:val="20"/>
          <w:u w:val="single"/>
        </w:rPr>
      </w:pPr>
      <w:r w:rsidRPr="001B157C">
        <w:rPr>
          <w:sz w:val="20"/>
          <w:szCs w:val="20"/>
          <w:u w:val="single"/>
        </w:rPr>
        <w:t>CASE SUMMARY</w:t>
      </w:r>
    </w:p>
    <w:p w:rsidR="00124C37" w:rsidRDefault="00124C37" w:rsidP="00124C3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D24B9" w:rsidRPr="00EF7D5A" w:rsidTr="00BC5EAA">
        <w:tc>
          <w:tcPr>
            <w:tcW w:w="5000" w:type="pct"/>
            <w:gridSpan w:val="3"/>
          </w:tcPr>
          <w:p w:rsidR="009D24B9" w:rsidRPr="00EF7D5A" w:rsidRDefault="009D24B9" w:rsidP="00BC5EAA">
            <w:pPr>
              <w:jc w:val="both"/>
              <w:rPr>
                <w:rFonts w:eastAsia="Calibri" w:cs="Times New Roman"/>
                <w:smallCaps/>
                <w:sz w:val="20"/>
                <w:szCs w:val="20"/>
              </w:rPr>
            </w:pPr>
            <w:r w:rsidRPr="00EF7D5A">
              <w:rPr>
                <w:rFonts w:eastAsia="Calibri" w:cs="Times New Roman"/>
                <w:smallCaps/>
                <w:sz w:val="20"/>
                <w:szCs w:val="20"/>
              </w:rPr>
              <w:t xml:space="preserve">(Publication </w:t>
            </w:r>
            <w:r>
              <w:rPr>
                <w:rFonts w:eastAsia="Calibri"/>
                <w:smallCaps/>
                <w:sz w:val="20"/>
              </w:rPr>
              <w:t>B</w:t>
            </w:r>
            <w:r w:rsidRPr="00EF7D5A">
              <w:rPr>
                <w:rFonts w:eastAsia="Calibri" w:cs="Times New Roman"/>
                <w:smallCaps/>
                <w:sz w:val="20"/>
                <w:szCs w:val="20"/>
              </w:rPr>
              <w:t xml:space="preserve">an on </w:t>
            </w:r>
            <w:r>
              <w:rPr>
                <w:rFonts w:eastAsia="Calibri"/>
                <w:smallCaps/>
                <w:sz w:val="20"/>
              </w:rPr>
              <w:t>P</w:t>
            </w:r>
            <w:r w:rsidRPr="00EF7D5A">
              <w:rPr>
                <w:rFonts w:eastAsia="Calibri" w:cs="Times New Roman"/>
                <w:smallCaps/>
                <w:sz w:val="20"/>
                <w:szCs w:val="20"/>
              </w:rPr>
              <w:t>arty, Restricted Access)</w:t>
            </w:r>
          </w:p>
          <w:p w:rsidR="009D24B9" w:rsidRPr="00EF7D5A" w:rsidRDefault="009D24B9" w:rsidP="00BC5EAA">
            <w:pPr>
              <w:jc w:val="both"/>
              <w:rPr>
                <w:rFonts w:eastAsia="Calibri" w:cs="Times New Roman"/>
                <w:sz w:val="20"/>
                <w:szCs w:val="20"/>
              </w:rPr>
            </w:pPr>
          </w:p>
          <w:p w:rsidR="009D24B9" w:rsidRPr="00EF7D5A" w:rsidRDefault="009D24B9" w:rsidP="00BC5EAA">
            <w:pPr>
              <w:jc w:val="both"/>
              <w:rPr>
                <w:rFonts w:eastAsia="Calibri" w:cs="Times New Roman"/>
                <w:sz w:val="20"/>
                <w:szCs w:val="20"/>
              </w:rPr>
            </w:pPr>
            <w:r w:rsidRPr="00EF7D5A">
              <w:rPr>
                <w:rFonts w:eastAsia="Calibri" w:cs="Times New Roman"/>
                <w:sz w:val="20"/>
                <w:szCs w:val="20"/>
              </w:rPr>
              <w:t>Family law – Child protection – Best interests of the child – Aboriginal status – Whether Aboriginal culture, heritage and identity are subordinate considerations in determining a child’s best interests, and if so, what weight is to be given to these factors in relation to other factors relevant to their best interests – To what extent child protection agencies are required to consult with First Nations when making decisions affecting an Aboriginal child.</w:t>
            </w:r>
          </w:p>
        </w:tc>
      </w:tr>
      <w:tr w:rsidR="009D24B9" w:rsidRPr="00EF7D5A" w:rsidTr="00BC5EAA">
        <w:tc>
          <w:tcPr>
            <w:tcW w:w="5000" w:type="pct"/>
            <w:gridSpan w:val="3"/>
          </w:tcPr>
          <w:p w:rsidR="009D24B9" w:rsidRPr="00EF7D5A" w:rsidRDefault="009D24B9" w:rsidP="00BC5EAA">
            <w:pPr>
              <w:jc w:val="both"/>
              <w:rPr>
                <w:rFonts w:eastAsia="Calibri" w:cs="Times New Roman"/>
                <w:sz w:val="20"/>
                <w:szCs w:val="20"/>
              </w:rPr>
            </w:pPr>
          </w:p>
        </w:tc>
      </w:tr>
      <w:tr w:rsidR="009D24B9" w:rsidRPr="00EF7D5A" w:rsidTr="00BC5EAA">
        <w:tc>
          <w:tcPr>
            <w:tcW w:w="5000" w:type="pct"/>
            <w:gridSpan w:val="3"/>
          </w:tcPr>
          <w:p w:rsidR="009D24B9" w:rsidRPr="00EF7D5A" w:rsidRDefault="009D24B9" w:rsidP="00BC5EAA">
            <w:pPr>
              <w:jc w:val="both"/>
              <w:rPr>
                <w:rFonts w:eastAsia="Calibri" w:cs="Times New Roman"/>
                <w:color w:val="000000"/>
                <w:sz w:val="20"/>
                <w:szCs w:val="20"/>
              </w:rPr>
            </w:pPr>
            <w:r w:rsidRPr="00EF7D5A">
              <w:rPr>
                <w:rFonts w:eastAsia="Calibri" w:cs="Times New Roman"/>
                <w:color w:val="000000"/>
                <w:sz w:val="20"/>
                <w:szCs w:val="20"/>
              </w:rPr>
              <w:t>The subject children were members of the Algonquins of Pikwakanagan.  Their mother had a history of substance abuse and criminal convictions.  The Children's Aid Society had a long history of involvement with the mother's family.  The children were apprehended from the care of their grandmother.  The children had been living with her due to concerns with the mother's excessive alcohol use.  The apprehension occurred after the grandmother left the children with the mother without supervision, and it was apparent that the children's needs were not being met.  The children were placed with a non-Aboriginal foster family after the Algonquins advised that no placement was available within the First Nations community.  The Respondent Society obtained an order for Crown wardship without access.  That order was overturned on appeal.</w:t>
            </w:r>
          </w:p>
          <w:p w:rsidR="009D24B9" w:rsidRPr="00EF7D5A" w:rsidRDefault="009D24B9" w:rsidP="00BC5EAA">
            <w:pPr>
              <w:jc w:val="both"/>
              <w:rPr>
                <w:rFonts w:eastAsia="Calibri" w:cs="Times New Roman"/>
                <w:sz w:val="20"/>
                <w:szCs w:val="20"/>
              </w:rPr>
            </w:pPr>
          </w:p>
        </w:tc>
      </w:tr>
      <w:tr w:rsidR="009D24B9" w:rsidRPr="00EF7D5A" w:rsidTr="00BC5EAA">
        <w:tc>
          <w:tcPr>
            <w:tcW w:w="2427" w:type="pct"/>
          </w:tcPr>
          <w:p w:rsidR="009D24B9" w:rsidRPr="00EF7D5A" w:rsidRDefault="009D24B9" w:rsidP="00BC5EAA">
            <w:pPr>
              <w:jc w:val="both"/>
              <w:rPr>
                <w:rFonts w:eastAsia="Calibri" w:cs="Times New Roman"/>
                <w:sz w:val="20"/>
                <w:szCs w:val="20"/>
              </w:rPr>
            </w:pPr>
            <w:r w:rsidRPr="00EF7D5A">
              <w:rPr>
                <w:rFonts w:eastAsia="Calibri" w:cs="Times New Roman"/>
                <w:sz w:val="20"/>
                <w:szCs w:val="20"/>
              </w:rPr>
              <w:t>August 20, 2012</w:t>
            </w:r>
          </w:p>
          <w:p w:rsidR="009D24B9" w:rsidRPr="00EF7D5A" w:rsidRDefault="009D24B9" w:rsidP="00BC5EAA">
            <w:pPr>
              <w:jc w:val="both"/>
              <w:rPr>
                <w:rFonts w:eastAsia="Calibri" w:cs="Times New Roman"/>
                <w:sz w:val="20"/>
                <w:szCs w:val="20"/>
              </w:rPr>
            </w:pPr>
            <w:r w:rsidRPr="00EF7D5A">
              <w:rPr>
                <w:rFonts w:eastAsia="Calibri" w:cs="Times New Roman"/>
                <w:sz w:val="20"/>
                <w:szCs w:val="20"/>
              </w:rPr>
              <w:t>Ontario Court of Justice</w:t>
            </w:r>
          </w:p>
          <w:p w:rsidR="009D24B9" w:rsidRPr="00EF7D5A" w:rsidRDefault="009D24B9" w:rsidP="00BC5EAA">
            <w:pPr>
              <w:jc w:val="both"/>
              <w:rPr>
                <w:rFonts w:eastAsia="Calibri" w:cs="Times New Roman"/>
                <w:sz w:val="20"/>
                <w:szCs w:val="20"/>
              </w:rPr>
            </w:pPr>
            <w:r w:rsidRPr="00EF7D5A">
              <w:rPr>
                <w:rFonts w:eastAsia="Calibri" w:cs="Times New Roman"/>
                <w:sz w:val="20"/>
                <w:szCs w:val="20"/>
              </w:rPr>
              <w:t>(Kirkland J.)</w:t>
            </w:r>
          </w:p>
          <w:p w:rsidR="009D24B9" w:rsidRPr="00EF7D5A" w:rsidRDefault="009D24B9" w:rsidP="00BC5EAA">
            <w:pPr>
              <w:jc w:val="both"/>
              <w:rPr>
                <w:rFonts w:eastAsia="Calibri" w:cs="Times New Roman"/>
                <w:sz w:val="20"/>
                <w:szCs w:val="20"/>
              </w:rPr>
            </w:pPr>
          </w:p>
        </w:tc>
        <w:tc>
          <w:tcPr>
            <w:tcW w:w="243" w:type="pct"/>
          </w:tcPr>
          <w:p w:rsidR="009D24B9" w:rsidRPr="00EF7D5A" w:rsidRDefault="009D24B9" w:rsidP="00BC5EAA">
            <w:pPr>
              <w:jc w:val="both"/>
              <w:rPr>
                <w:rFonts w:eastAsia="Calibri" w:cs="Times New Roman"/>
                <w:sz w:val="20"/>
                <w:szCs w:val="20"/>
              </w:rPr>
            </w:pPr>
          </w:p>
        </w:tc>
        <w:tc>
          <w:tcPr>
            <w:tcW w:w="2330" w:type="pct"/>
          </w:tcPr>
          <w:p w:rsidR="009D24B9" w:rsidRPr="00EF7D5A" w:rsidRDefault="009D24B9" w:rsidP="00BC5EAA">
            <w:pPr>
              <w:jc w:val="both"/>
              <w:rPr>
                <w:rFonts w:eastAsia="Calibri" w:cs="Times New Roman"/>
                <w:sz w:val="20"/>
                <w:szCs w:val="20"/>
              </w:rPr>
            </w:pPr>
            <w:r w:rsidRPr="00EF7D5A">
              <w:rPr>
                <w:rFonts w:eastAsia="Calibri" w:cs="Times New Roman"/>
                <w:sz w:val="20"/>
                <w:szCs w:val="20"/>
              </w:rPr>
              <w:t>New trial: children ordered to be made crown wards with access to M.B.</w:t>
            </w:r>
          </w:p>
        </w:tc>
      </w:tr>
      <w:tr w:rsidR="009D24B9" w:rsidRPr="00EF7D5A" w:rsidTr="00BC5EAA">
        <w:tc>
          <w:tcPr>
            <w:tcW w:w="2427" w:type="pct"/>
          </w:tcPr>
          <w:p w:rsidR="009D24B9" w:rsidRPr="00EF7D5A" w:rsidRDefault="009D24B9" w:rsidP="00BC5EAA">
            <w:pPr>
              <w:jc w:val="both"/>
              <w:rPr>
                <w:rFonts w:eastAsia="Calibri" w:cs="Times New Roman"/>
                <w:sz w:val="20"/>
                <w:szCs w:val="20"/>
              </w:rPr>
            </w:pPr>
            <w:r w:rsidRPr="00EF7D5A">
              <w:rPr>
                <w:rFonts w:eastAsia="Calibri" w:cs="Times New Roman"/>
                <w:sz w:val="20"/>
                <w:szCs w:val="20"/>
              </w:rPr>
              <w:t>December 6, 2013</w:t>
            </w:r>
          </w:p>
          <w:p w:rsidR="009D24B9" w:rsidRPr="00EF7D5A" w:rsidRDefault="009D24B9" w:rsidP="00BC5EAA">
            <w:pPr>
              <w:jc w:val="both"/>
              <w:rPr>
                <w:rFonts w:eastAsia="Calibri" w:cs="Times New Roman"/>
                <w:sz w:val="20"/>
                <w:szCs w:val="20"/>
              </w:rPr>
            </w:pPr>
            <w:r w:rsidRPr="00EF7D5A">
              <w:rPr>
                <w:rFonts w:eastAsia="Calibri" w:cs="Times New Roman"/>
                <w:sz w:val="20"/>
                <w:szCs w:val="20"/>
              </w:rPr>
              <w:t>Ontario Superior Court of Justice</w:t>
            </w:r>
          </w:p>
          <w:p w:rsidR="009D24B9" w:rsidRPr="00EF7D5A" w:rsidRDefault="009D24B9" w:rsidP="00BC5EAA">
            <w:pPr>
              <w:jc w:val="both"/>
              <w:rPr>
                <w:rFonts w:eastAsia="Calibri" w:cs="Times New Roman"/>
                <w:sz w:val="20"/>
                <w:szCs w:val="20"/>
              </w:rPr>
            </w:pPr>
            <w:r w:rsidRPr="00EF7D5A">
              <w:rPr>
                <w:rFonts w:eastAsia="Calibri" w:cs="Times New Roman"/>
                <w:sz w:val="20"/>
                <w:szCs w:val="20"/>
              </w:rPr>
              <w:t>(Ray T.)</w:t>
            </w:r>
          </w:p>
          <w:p w:rsidR="009D24B9" w:rsidRPr="00EF7D5A" w:rsidRDefault="009D24B9" w:rsidP="00BC5EAA">
            <w:pPr>
              <w:jc w:val="both"/>
              <w:rPr>
                <w:rFonts w:eastAsia="Calibri" w:cs="Times New Roman"/>
                <w:sz w:val="20"/>
                <w:szCs w:val="20"/>
              </w:rPr>
            </w:pPr>
          </w:p>
        </w:tc>
        <w:tc>
          <w:tcPr>
            <w:tcW w:w="243" w:type="pct"/>
          </w:tcPr>
          <w:p w:rsidR="009D24B9" w:rsidRPr="00EF7D5A" w:rsidRDefault="009D24B9" w:rsidP="00BC5EAA">
            <w:pPr>
              <w:jc w:val="both"/>
              <w:rPr>
                <w:rFonts w:eastAsia="Calibri" w:cs="Times New Roman"/>
                <w:sz w:val="20"/>
                <w:szCs w:val="20"/>
              </w:rPr>
            </w:pPr>
          </w:p>
        </w:tc>
        <w:tc>
          <w:tcPr>
            <w:tcW w:w="2330" w:type="pct"/>
          </w:tcPr>
          <w:p w:rsidR="009D24B9" w:rsidRPr="00EF7D5A" w:rsidRDefault="009D24B9" w:rsidP="00BC5EAA">
            <w:pPr>
              <w:jc w:val="both"/>
              <w:rPr>
                <w:rFonts w:eastAsia="Calibri" w:cs="Times New Roman"/>
                <w:sz w:val="20"/>
                <w:szCs w:val="20"/>
              </w:rPr>
            </w:pPr>
            <w:r w:rsidRPr="00EF7D5A">
              <w:rPr>
                <w:rFonts w:eastAsia="Calibri" w:cs="Times New Roman"/>
                <w:sz w:val="20"/>
                <w:szCs w:val="20"/>
              </w:rPr>
              <w:t>Appeal dismissed</w:t>
            </w:r>
          </w:p>
          <w:p w:rsidR="009D24B9" w:rsidRPr="00EF7D5A" w:rsidRDefault="009D24B9" w:rsidP="00BC5EAA">
            <w:pPr>
              <w:jc w:val="both"/>
              <w:rPr>
                <w:rFonts w:eastAsia="Calibri" w:cs="Times New Roman"/>
                <w:sz w:val="20"/>
                <w:szCs w:val="20"/>
              </w:rPr>
            </w:pPr>
          </w:p>
        </w:tc>
      </w:tr>
      <w:tr w:rsidR="009D24B9" w:rsidRPr="00EF7D5A" w:rsidTr="00BC5EAA">
        <w:tc>
          <w:tcPr>
            <w:tcW w:w="2427" w:type="pct"/>
          </w:tcPr>
          <w:p w:rsidR="009D24B9" w:rsidRPr="00EF7D5A" w:rsidRDefault="009D24B9" w:rsidP="00BC5EAA">
            <w:pPr>
              <w:jc w:val="both"/>
              <w:rPr>
                <w:rFonts w:eastAsia="Calibri" w:cs="Times New Roman"/>
                <w:sz w:val="20"/>
                <w:szCs w:val="20"/>
              </w:rPr>
            </w:pPr>
            <w:r w:rsidRPr="00EF7D5A">
              <w:rPr>
                <w:rFonts w:eastAsia="Calibri" w:cs="Times New Roman"/>
                <w:sz w:val="20"/>
                <w:szCs w:val="20"/>
              </w:rPr>
              <w:t>September 23, 2014</w:t>
            </w:r>
          </w:p>
          <w:p w:rsidR="009D24B9" w:rsidRPr="00EF7D5A" w:rsidRDefault="009D24B9" w:rsidP="00BC5EAA">
            <w:pPr>
              <w:jc w:val="both"/>
              <w:rPr>
                <w:rFonts w:eastAsia="Calibri" w:cs="Times New Roman"/>
                <w:sz w:val="20"/>
                <w:szCs w:val="20"/>
              </w:rPr>
            </w:pPr>
            <w:r w:rsidRPr="00EF7D5A">
              <w:rPr>
                <w:rFonts w:eastAsia="Calibri" w:cs="Times New Roman"/>
                <w:sz w:val="20"/>
                <w:szCs w:val="20"/>
              </w:rPr>
              <w:t>Court of Appeal for Ontario</w:t>
            </w:r>
          </w:p>
          <w:p w:rsidR="009D24B9" w:rsidRPr="00EF7D5A" w:rsidRDefault="009D24B9" w:rsidP="00BC5EAA">
            <w:pPr>
              <w:jc w:val="both"/>
              <w:rPr>
                <w:rFonts w:eastAsia="Calibri" w:cs="Times New Roman"/>
                <w:sz w:val="20"/>
                <w:szCs w:val="20"/>
              </w:rPr>
            </w:pPr>
            <w:r w:rsidRPr="00EF7D5A">
              <w:rPr>
                <w:rFonts w:eastAsia="Calibri" w:cs="Times New Roman"/>
                <w:sz w:val="20"/>
                <w:szCs w:val="20"/>
              </w:rPr>
              <w:t>(Doherty David H., Tulloch Michael H., Benotto)</w:t>
            </w:r>
          </w:p>
          <w:p w:rsidR="009D24B9" w:rsidRPr="00EF7D5A" w:rsidRDefault="009D24B9" w:rsidP="00BC5EAA">
            <w:pPr>
              <w:jc w:val="both"/>
              <w:rPr>
                <w:rFonts w:eastAsia="Calibri" w:cs="Times New Roman"/>
                <w:sz w:val="20"/>
                <w:szCs w:val="20"/>
              </w:rPr>
            </w:pPr>
          </w:p>
        </w:tc>
        <w:tc>
          <w:tcPr>
            <w:tcW w:w="243" w:type="pct"/>
          </w:tcPr>
          <w:p w:rsidR="009D24B9" w:rsidRPr="00EF7D5A" w:rsidRDefault="009D24B9" w:rsidP="00BC5EAA">
            <w:pPr>
              <w:jc w:val="both"/>
              <w:rPr>
                <w:rFonts w:eastAsia="Calibri" w:cs="Times New Roman"/>
                <w:sz w:val="20"/>
                <w:szCs w:val="20"/>
              </w:rPr>
            </w:pPr>
          </w:p>
        </w:tc>
        <w:tc>
          <w:tcPr>
            <w:tcW w:w="2330" w:type="pct"/>
          </w:tcPr>
          <w:p w:rsidR="009D24B9" w:rsidRPr="00EF7D5A" w:rsidRDefault="009D24B9" w:rsidP="00BC5EAA">
            <w:pPr>
              <w:jc w:val="both"/>
              <w:rPr>
                <w:rFonts w:eastAsia="Calibri" w:cs="Times New Roman"/>
                <w:sz w:val="20"/>
                <w:szCs w:val="20"/>
              </w:rPr>
            </w:pPr>
            <w:r w:rsidRPr="00EF7D5A">
              <w:rPr>
                <w:rFonts w:eastAsia="Calibri" w:cs="Times New Roman"/>
                <w:sz w:val="20"/>
                <w:szCs w:val="20"/>
              </w:rPr>
              <w:t>Appeal dismissed</w:t>
            </w:r>
          </w:p>
          <w:p w:rsidR="009D24B9" w:rsidRPr="00EF7D5A" w:rsidRDefault="009D24B9" w:rsidP="00BC5EAA">
            <w:pPr>
              <w:jc w:val="both"/>
              <w:rPr>
                <w:rFonts w:eastAsia="Calibri" w:cs="Times New Roman"/>
                <w:sz w:val="20"/>
                <w:szCs w:val="20"/>
              </w:rPr>
            </w:pPr>
          </w:p>
        </w:tc>
      </w:tr>
      <w:tr w:rsidR="009D24B9" w:rsidRPr="00EF7D5A" w:rsidTr="00BC5EAA">
        <w:tc>
          <w:tcPr>
            <w:tcW w:w="2427" w:type="pct"/>
          </w:tcPr>
          <w:p w:rsidR="009D24B9" w:rsidRPr="00EF7D5A" w:rsidRDefault="009D24B9" w:rsidP="00BC5EAA">
            <w:pPr>
              <w:jc w:val="both"/>
              <w:rPr>
                <w:rFonts w:eastAsia="Calibri" w:cs="Times New Roman"/>
                <w:sz w:val="20"/>
                <w:szCs w:val="20"/>
              </w:rPr>
            </w:pPr>
            <w:r w:rsidRPr="00EF7D5A">
              <w:rPr>
                <w:rFonts w:eastAsia="Calibri" w:cs="Times New Roman"/>
                <w:sz w:val="20"/>
                <w:szCs w:val="20"/>
              </w:rPr>
              <w:t>November 21, 2014</w:t>
            </w:r>
          </w:p>
          <w:p w:rsidR="009D24B9" w:rsidRPr="00EF7D5A" w:rsidRDefault="009D24B9" w:rsidP="009D24B9">
            <w:pPr>
              <w:jc w:val="both"/>
              <w:rPr>
                <w:rFonts w:eastAsia="Calibri" w:cs="Times New Roman"/>
                <w:sz w:val="20"/>
                <w:szCs w:val="20"/>
              </w:rPr>
            </w:pPr>
            <w:r w:rsidRPr="00EF7D5A">
              <w:rPr>
                <w:rFonts w:eastAsia="Calibri" w:cs="Times New Roman"/>
                <w:sz w:val="20"/>
                <w:szCs w:val="20"/>
              </w:rPr>
              <w:t>Supreme Court of Canada</w:t>
            </w:r>
          </w:p>
        </w:tc>
        <w:tc>
          <w:tcPr>
            <w:tcW w:w="243" w:type="pct"/>
          </w:tcPr>
          <w:p w:rsidR="009D24B9" w:rsidRPr="00EF7D5A" w:rsidRDefault="009D24B9" w:rsidP="00BC5EAA">
            <w:pPr>
              <w:jc w:val="both"/>
              <w:rPr>
                <w:rFonts w:eastAsia="Calibri" w:cs="Times New Roman"/>
                <w:sz w:val="20"/>
                <w:szCs w:val="20"/>
              </w:rPr>
            </w:pPr>
          </w:p>
        </w:tc>
        <w:tc>
          <w:tcPr>
            <w:tcW w:w="2330" w:type="pct"/>
          </w:tcPr>
          <w:p w:rsidR="009D24B9" w:rsidRPr="00EF7D5A" w:rsidRDefault="009D24B9" w:rsidP="00BC5EAA">
            <w:pPr>
              <w:jc w:val="both"/>
              <w:rPr>
                <w:rFonts w:eastAsia="Calibri" w:cs="Times New Roman"/>
                <w:sz w:val="20"/>
                <w:szCs w:val="20"/>
              </w:rPr>
            </w:pPr>
            <w:r w:rsidRPr="00EF7D5A">
              <w:rPr>
                <w:rFonts w:eastAsia="Calibri" w:cs="Times New Roman"/>
                <w:sz w:val="20"/>
                <w:szCs w:val="20"/>
              </w:rPr>
              <w:t>Application for leave to appeal filed</w:t>
            </w:r>
          </w:p>
          <w:p w:rsidR="009D24B9" w:rsidRPr="00EF7D5A" w:rsidRDefault="009D24B9" w:rsidP="00BC5EAA">
            <w:pPr>
              <w:jc w:val="both"/>
              <w:rPr>
                <w:rFonts w:eastAsia="Calibri" w:cs="Times New Roman"/>
                <w:sz w:val="20"/>
                <w:szCs w:val="20"/>
              </w:rPr>
            </w:pPr>
          </w:p>
        </w:tc>
      </w:tr>
    </w:tbl>
    <w:p w:rsidR="00124C37" w:rsidRPr="009D24B9" w:rsidRDefault="00124C37" w:rsidP="00124C37">
      <w:pPr>
        <w:rPr>
          <w:sz w:val="20"/>
          <w:szCs w:val="20"/>
        </w:rPr>
      </w:pPr>
    </w:p>
    <w:p w:rsidR="00124C37" w:rsidRPr="00C50A5C" w:rsidRDefault="00E42AAB" w:rsidP="00124C37">
      <w:pPr>
        <w:rPr>
          <w:sz w:val="20"/>
          <w:szCs w:val="20"/>
        </w:rPr>
      </w:pPr>
      <w:r>
        <w:rPr>
          <w:sz w:val="20"/>
          <w:szCs w:val="20"/>
          <w:lang w:val="fr-CA"/>
        </w:rPr>
        <w:pict>
          <v:rect id="_x0000_i1095" style="width:2in;height:1pt" o:hrpct="0" o:hralign="center" o:hrstd="t" o:hrnoshade="t" o:hr="t" fillcolor="black [3213]" stroked="f"/>
        </w:pict>
      </w:r>
    </w:p>
    <w:p w:rsidR="00124C37" w:rsidRDefault="00124C37" w:rsidP="00124C37">
      <w:pPr>
        <w:rPr>
          <w:sz w:val="20"/>
          <w:szCs w:val="20"/>
        </w:rPr>
      </w:pPr>
    </w:p>
    <w:p w:rsidR="00124C37" w:rsidRPr="001B157C" w:rsidRDefault="00124C37" w:rsidP="00124C37">
      <w:pPr>
        <w:rPr>
          <w:sz w:val="20"/>
          <w:szCs w:val="20"/>
          <w:u w:val="single"/>
          <w:lang w:val="fr-CA"/>
        </w:rPr>
      </w:pPr>
      <w:r w:rsidRPr="001B157C">
        <w:rPr>
          <w:sz w:val="20"/>
          <w:szCs w:val="20"/>
          <w:u w:val="single"/>
          <w:lang w:val="fr-CA"/>
        </w:rPr>
        <w:t>RÉSUMÉ DE L’AFFAIRE</w:t>
      </w:r>
    </w:p>
    <w:p w:rsidR="00124C37" w:rsidRDefault="00124C37" w:rsidP="00124C37">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D24B9" w:rsidRPr="0025502E" w:rsidTr="00BC5EAA">
        <w:tc>
          <w:tcPr>
            <w:tcW w:w="5000" w:type="pct"/>
            <w:gridSpan w:val="3"/>
          </w:tcPr>
          <w:p w:rsidR="009D24B9" w:rsidRPr="00EF7D5A" w:rsidRDefault="009D24B9" w:rsidP="00BC5EAA">
            <w:pPr>
              <w:jc w:val="both"/>
              <w:rPr>
                <w:rFonts w:eastAsia="Calibri" w:cs="Times New Roman"/>
                <w:smallCaps/>
                <w:sz w:val="20"/>
                <w:szCs w:val="20"/>
                <w:lang w:val="fr-CA"/>
              </w:rPr>
            </w:pPr>
            <w:r w:rsidRPr="00EF7D5A">
              <w:rPr>
                <w:rFonts w:eastAsia="Calibri" w:cs="Times New Roman"/>
                <w:smallCaps/>
                <w:sz w:val="20"/>
                <w:szCs w:val="20"/>
                <w:lang w:val="fr-CA"/>
              </w:rPr>
              <w:t>(ordonnance de non-publication visant des parties, communication restreinte)</w:t>
            </w:r>
          </w:p>
          <w:p w:rsidR="009D24B9" w:rsidRPr="00EF7D5A" w:rsidRDefault="009D24B9" w:rsidP="00BC5EAA">
            <w:pPr>
              <w:jc w:val="both"/>
              <w:rPr>
                <w:rFonts w:eastAsia="Calibri" w:cs="Times New Roman"/>
                <w:sz w:val="20"/>
                <w:szCs w:val="20"/>
                <w:lang w:val="fr-CA"/>
              </w:rPr>
            </w:pPr>
          </w:p>
          <w:p w:rsidR="009D24B9" w:rsidRPr="00EF7D5A" w:rsidRDefault="009D24B9" w:rsidP="00BC5EAA">
            <w:pPr>
              <w:jc w:val="both"/>
              <w:rPr>
                <w:rFonts w:eastAsia="Calibri" w:cs="Times New Roman"/>
                <w:sz w:val="20"/>
                <w:szCs w:val="20"/>
                <w:lang w:val="fr-CA"/>
              </w:rPr>
            </w:pPr>
            <w:r w:rsidRPr="00EF7D5A">
              <w:rPr>
                <w:rFonts w:eastAsia="Calibri" w:cs="Times New Roman"/>
                <w:sz w:val="20"/>
                <w:szCs w:val="20"/>
                <w:lang w:val="fr-CA"/>
              </w:rPr>
              <w:t xml:space="preserve">Droit de la famille – Protection de l’enfance – Intérêt supérieur de l’enfant – Statut d’Autochtone – La culture, le patrimoine et l’identité autochtones sont-ils des considérations secondaires lorsqu’il s’agit de déterminer l’intérêt supérieur de l’enfant et, dans l’affirmative, quel poids faut-il accorder à ces facteurs par rapport aux autres facteurs </w:t>
            </w:r>
            <w:r w:rsidRPr="00EF7D5A">
              <w:rPr>
                <w:rFonts w:eastAsia="Calibri" w:cs="Times New Roman"/>
                <w:sz w:val="20"/>
                <w:szCs w:val="20"/>
                <w:lang w:val="fr-CA"/>
              </w:rPr>
              <w:lastRenderedPageBreak/>
              <w:t xml:space="preserve">pertinents pour son intérêt supérieur? – Dans quelle mesure les organismes de protection de l’enfance sont-ils tenus de consulter les Premières nations au moment de prendre des décisions touchant un enfant autochtone?  </w:t>
            </w:r>
          </w:p>
        </w:tc>
      </w:tr>
      <w:tr w:rsidR="009D24B9" w:rsidRPr="0025502E" w:rsidTr="00BC5EAA">
        <w:tc>
          <w:tcPr>
            <w:tcW w:w="5000" w:type="pct"/>
            <w:gridSpan w:val="3"/>
          </w:tcPr>
          <w:p w:rsidR="009D24B9" w:rsidRPr="00EF7D5A" w:rsidRDefault="009D24B9" w:rsidP="00BC5EAA">
            <w:pPr>
              <w:jc w:val="both"/>
              <w:rPr>
                <w:rFonts w:eastAsia="Calibri" w:cs="Times New Roman"/>
                <w:sz w:val="20"/>
                <w:szCs w:val="20"/>
                <w:lang w:val="fr-CA"/>
              </w:rPr>
            </w:pPr>
          </w:p>
        </w:tc>
      </w:tr>
      <w:tr w:rsidR="009D24B9" w:rsidRPr="00EF7D5A" w:rsidTr="00BC5EAA">
        <w:tc>
          <w:tcPr>
            <w:tcW w:w="5000" w:type="pct"/>
            <w:gridSpan w:val="3"/>
          </w:tcPr>
          <w:p w:rsidR="009D24B9" w:rsidRPr="00EF7D5A" w:rsidRDefault="009D24B9" w:rsidP="00BC5EAA">
            <w:pPr>
              <w:jc w:val="both"/>
              <w:rPr>
                <w:rFonts w:eastAsia="Calibri" w:cs="Times New Roman"/>
                <w:color w:val="000000"/>
                <w:sz w:val="20"/>
                <w:szCs w:val="20"/>
                <w:lang w:val="fr-CA"/>
              </w:rPr>
            </w:pPr>
            <w:r w:rsidRPr="00EF7D5A">
              <w:rPr>
                <w:rFonts w:eastAsia="Calibri" w:cs="Times New Roman"/>
                <w:color w:val="000000"/>
                <w:sz w:val="20"/>
                <w:szCs w:val="20"/>
                <w:lang w:val="fr-CA"/>
              </w:rPr>
              <w:t xml:space="preserve">Les enfants en question faisaient partie des Algonquins de Pikwakanagan.  Leur mère avait des antécédents criminels et de consommation abusive de drogues et d’alcool.  La Société d’aide à l’enfance intervenait depuis longtemps auprès de la famille de la mère.  Les enfants ont été retirés de la garde de leur grand-mère.  Ils vivaient avec elle parce que l’on s’inquiétait de la consommation abusive d’alcool de leur mère.  Le retrait des enfants a eu lieu après que la grand-mère les eut laissés avec leur mère sans surveillance, et il était évident que leurs besoins n’étaient pas comblés.  Ils ont été confiés à la garde d’une famille d’accueil non autochtone après que les Algonquins eurent fait savoir qu’aucun membre de leur communauté ne pouvait s’occuper d’eux.  La Société intimée a obtenu une ordonnance de tutelle de la Couronne, sans droit de visite.  Cette ordonnance a été annulée en appel. </w:t>
            </w:r>
          </w:p>
          <w:p w:rsidR="009D24B9" w:rsidRPr="00EF7D5A" w:rsidRDefault="009D24B9" w:rsidP="00BC5EAA">
            <w:pPr>
              <w:jc w:val="both"/>
              <w:rPr>
                <w:rFonts w:eastAsia="Calibri" w:cs="Times New Roman"/>
                <w:sz w:val="20"/>
                <w:szCs w:val="20"/>
                <w:lang w:val="fr-CA"/>
              </w:rPr>
            </w:pPr>
          </w:p>
        </w:tc>
      </w:tr>
      <w:tr w:rsidR="009D24B9" w:rsidRPr="0025502E" w:rsidTr="00BC5EAA">
        <w:tc>
          <w:tcPr>
            <w:tcW w:w="2427" w:type="pct"/>
          </w:tcPr>
          <w:p w:rsidR="009D24B9" w:rsidRPr="00EF7D5A" w:rsidRDefault="009D24B9" w:rsidP="00BC5EAA">
            <w:pPr>
              <w:jc w:val="both"/>
              <w:rPr>
                <w:rFonts w:eastAsia="Calibri" w:cs="Times New Roman"/>
                <w:sz w:val="20"/>
                <w:szCs w:val="20"/>
                <w:lang w:val="fr-CA"/>
              </w:rPr>
            </w:pPr>
            <w:r w:rsidRPr="00EF7D5A">
              <w:rPr>
                <w:rFonts w:eastAsia="Calibri" w:cs="Times New Roman"/>
                <w:sz w:val="20"/>
                <w:szCs w:val="20"/>
                <w:lang w:val="fr-CA"/>
              </w:rPr>
              <w:t>20 août 2012</w:t>
            </w:r>
          </w:p>
          <w:p w:rsidR="009D24B9" w:rsidRPr="00EF7D5A" w:rsidRDefault="009D24B9" w:rsidP="00BC5EAA">
            <w:pPr>
              <w:jc w:val="both"/>
              <w:rPr>
                <w:rFonts w:eastAsia="Calibri" w:cs="Times New Roman"/>
                <w:sz w:val="20"/>
                <w:szCs w:val="20"/>
                <w:lang w:val="fr-CA"/>
              </w:rPr>
            </w:pPr>
            <w:r w:rsidRPr="00EF7D5A">
              <w:rPr>
                <w:rFonts w:eastAsia="Calibri" w:cs="Times New Roman"/>
                <w:sz w:val="20"/>
                <w:szCs w:val="20"/>
                <w:lang w:val="fr-CA"/>
              </w:rPr>
              <w:t xml:space="preserve">Cour de justice de l’Ontario </w:t>
            </w:r>
          </w:p>
          <w:p w:rsidR="009D24B9" w:rsidRPr="00EF7D5A" w:rsidRDefault="009D24B9" w:rsidP="00BC5EAA">
            <w:pPr>
              <w:jc w:val="both"/>
              <w:rPr>
                <w:rFonts w:eastAsia="Calibri" w:cs="Times New Roman"/>
                <w:sz w:val="20"/>
                <w:szCs w:val="20"/>
              </w:rPr>
            </w:pPr>
            <w:r w:rsidRPr="00EF7D5A">
              <w:rPr>
                <w:rFonts w:eastAsia="Calibri" w:cs="Times New Roman"/>
                <w:sz w:val="20"/>
                <w:szCs w:val="20"/>
              </w:rPr>
              <w:t>(Juge Kirkland)</w:t>
            </w:r>
          </w:p>
          <w:p w:rsidR="009D24B9" w:rsidRPr="00EF7D5A" w:rsidRDefault="009D24B9" w:rsidP="00BC5EAA">
            <w:pPr>
              <w:jc w:val="both"/>
              <w:rPr>
                <w:rFonts w:eastAsia="Calibri" w:cs="Times New Roman"/>
                <w:sz w:val="20"/>
                <w:szCs w:val="20"/>
              </w:rPr>
            </w:pPr>
          </w:p>
        </w:tc>
        <w:tc>
          <w:tcPr>
            <w:tcW w:w="243" w:type="pct"/>
          </w:tcPr>
          <w:p w:rsidR="009D24B9" w:rsidRPr="00EF7D5A" w:rsidRDefault="009D24B9" w:rsidP="00BC5EAA">
            <w:pPr>
              <w:jc w:val="both"/>
              <w:rPr>
                <w:rFonts w:eastAsia="Calibri" w:cs="Times New Roman"/>
                <w:sz w:val="20"/>
                <w:szCs w:val="20"/>
              </w:rPr>
            </w:pPr>
          </w:p>
        </w:tc>
        <w:tc>
          <w:tcPr>
            <w:tcW w:w="2330" w:type="pct"/>
          </w:tcPr>
          <w:p w:rsidR="009D24B9" w:rsidRPr="00EF7D5A" w:rsidRDefault="009D24B9" w:rsidP="00BC5EAA">
            <w:pPr>
              <w:jc w:val="both"/>
              <w:rPr>
                <w:rFonts w:eastAsia="Calibri" w:cs="Times New Roman"/>
                <w:sz w:val="20"/>
                <w:szCs w:val="20"/>
                <w:lang w:val="fr-CA"/>
              </w:rPr>
            </w:pPr>
            <w:r w:rsidRPr="00EF7D5A">
              <w:rPr>
                <w:rFonts w:eastAsia="Calibri" w:cs="Times New Roman"/>
                <w:sz w:val="20"/>
                <w:szCs w:val="20"/>
                <w:lang w:val="fr-CA"/>
              </w:rPr>
              <w:t>Nouveau procès : ordonnance déclarant les enfants pupilles de la Couronne et octroi d’un droit de visite à M.B.</w:t>
            </w:r>
          </w:p>
        </w:tc>
      </w:tr>
      <w:tr w:rsidR="009D24B9" w:rsidRPr="00EF7D5A" w:rsidTr="00BC5EAA">
        <w:tc>
          <w:tcPr>
            <w:tcW w:w="2427" w:type="pct"/>
          </w:tcPr>
          <w:p w:rsidR="009D24B9" w:rsidRPr="00EF7D5A" w:rsidRDefault="009D24B9" w:rsidP="00BC5EAA">
            <w:pPr>
              <w:jc w:val="both"/>
              <w:rPr>
                <w:rFonts w:eastAsia="Calibri" w:cs="Times New Roman"/>
                <w:sz w:val="20"/>
                <w:szCs w:val="20"/>
                <w:lang w:val="fr-CA"/>
              </w:rPr>
            </w:pPr>
            <w:r w:rsidRPr="00EF7D5A">
              <w:rPr>
                <w:rFonts w:eastAsia="Calibri" w:cs="Times New Roman"/>
                <w:sz w:val="20"/>
                <w:szCs w:val="20"/>
                <w:lang w:val="fr-CA"/>
              </w:rPr>
              <w:t>6 décembre 2013</w:t>
            </w:r>
          </w:p>
          <w:p w:rsidR="009D24B9" w:rsidRPr="00EF7D5A" w:rsidRDefault="009D24B9" w:rsidP="00BC5EAA">
            <w:pPr>
              <w:jc w:val="both"/>
              <w:rPr>
                <w:rFonts w:eastAsia="Calibri" w:cs="Times New Roman"/>
                <w:sz w:val="20"/>
                <w:szCs w:val="20"/>
                <w:lang w:val="fr-CA"/>
              </w:rPr>
            </w:pPr>
            <w:r w:rsidRPr="00EF7D5A">
              <w:rPr>
                <w:rFonts w:eastAsia="Calibri" w:cs="Times New Roman"/>
                <w:sz w:val="20"/>
                <w:szCs w:val="20"/>
                <w:lang w:val="fr-CA"/>
              </w:rPr>
              <w:t xml:space="preserve">Cour supérieure de justice de l’Ontario </w:t>
            </w:r>
          </w:p>
          <w:p w:rsidR="009D24B9" w:rsidRPr="00EF7D5A" w:rsidRDefault="009D24B9" w:rsidP="00BC5EAA">
            <w:pPr>
              <w:jc w:val="both"/>
              <w:rPr>
                <w:rFonts w:eastAsia="Calibri" w:cs="Times New Roman"/>
                <w:sz w:val="20"/>
                <w:szCs w:val="20"/>
              </w:rPr>
            </w:pPr>
            <w:r w:rsidRPr="00EF7D5A">
              <w:rPr>
                <w:rFonts w:eastAsia="Calibri" w:cs="Times New Roman"/>
                <w:sz w:val="20"/>
                <w:szCs w:val="20"/>
              </w:rPr>
              <w:t>(Juge Ray)</w:t>
            </w:r>
          </w:p>
          <w:p w:rsidR="009D24B9" w:rsidRPr="00EF7D5A" w:rsidRDefault="009D24B9" w:rsidP="00BC5EAA">
            <w:pPr>
              <w:jc w:val="both"/>
              <w:rPr>
                <w:rFonts w:eastAsia="Calibri" w:cs="Times New Roman"/>
                <w:sz w:val="20"/>
                <w:szCs w:val="20"/>
              </w:rPr>
            </w:pPr>
          </w:p>
        </w:tc>
        <w:tc>
          <w:tcPr>
            <w:tcW w:w="243" w:type="pct"/>
          </w:tcPr>
          <w:p w:rsidR="009D24B9" w:rsidRPr="00EF7D5A" w:rsidRDefault="009D24B9" w:rsidP="00BC5EAA">
            <w:pPr>
              <w:jc w:val="both"/>
              <w:rPr>
                <w:rFonts w:eastAsia="Calibri" w:cs="Times New Roman"/>
                <w:sz w:val="20"/>
                <w:szCs w:val="20"/>
              </w:rPr>
            </w:pPr>
          </w:p>
        </w:tc>
        <w:tc>
          <w:tcPr>
            <w:tcW w:w="2330" w:type="pct"/>
          </w:tcPr>
          <w:p w:rsidR="009D24B9" w:rsidRPr="00EF7D5A" w:rsidRDefault="009D24B9" w:rsidP="00BC5EAA">
            <w:pPr>
              <w:jc w:val="both"/>
              <w:rPr>
                <w:rFonts w:eastAsia="Calibri" w:cs="Times New Roman"/>
                <w:sz w:val="20"/>
                <w:szCs w:val="20"/>
              </w:rPr>
            </w:pPr>
            <w:r w:rsidRPr="00EF7D5A">
              <w:rPr>
                <w:rFonts w:eastAsia="Calibri" w:cs="Times New Roman"/>
                <w:sz w:val="20"/>
                <w:szCs w:val="20"/>
              </w:rPr>
              <w:t>Rejet de l’appel</w:t>
            </w:r>
          </w:p>
          <w:p w:rsidR="009D24B9" w:rsidRPr="00EF7D5A" w:rsidRDefault="009D24B9" w:rsidP="00BC5EAA">
            <w:pPr>
              <w:jc w:val="both"/>
              <w:rPr>
                <w:rFonts w:eastAsia="Calibri" w:cs="Times New Roman"/>
                <w:sz w:val="20"/>
                <w:szCs w:val="20"/>
              </w:rPr>
            </w:pPr>
          </w:p>
        </w:tc>
      </w:tr>
      <w:tr w:rsidR="009D24B9" w:rsidRPr="00EF7D5A" w:rsidTr="00BC5EAA">
        <w:tc>
          <w:tcPr>
            <w:tcW w:w="2427" w:type="pct"/>
          </w:tcPr>
          <w:p w:rsidR="009D24B9" w:rsidRPr="00EF7D5A" w:rsidRDefault="009D24B9" w:rsidP="00BC5EAA">
            <w:pPr>
              <w:jc w:val="both"/>
              <w:rPr>
                <w:rFonts w:eastAsia="Calibri" w:cs="Times New Roman"/>
                <w:sz w:val="20"/>
                <w:szCs w:val="20"/>
                <w:lang w:val="fr-CA"/>
              </w:rPr>
            </w:pPr>
            <w:r w:rsidRPr="00EF7D5A">
              <w:rPr>
                <w:rFonts w:eastAsia="Calibri" w:cs="Times New Roman"/>
                <w:sz w:val="20"/>
                <w:szCs w:val="20"/>
                <w:lang w:val="fr-CA"/>
              </w:rPr>
              <w:t>23 septembre 2014</w:t>
            </w:r>
          </w:p>
          <w:p w:rsidR="009D24B9" w:rsidRPr="00EF7D5A" w:rsidRDefault="009D24B9" w:rsidP="00BC5EAA">
            <w:pPr>
              <w:jc w:val="both"/>
              <w:rPr>
                <w:rFonts w:eastAsia="Calibri" w:cs="Times New Roman"/>
                <w:sz w:val="20"/>
                <w:szCs w:val="20"/>
                <w:lang w:val="fr-CA"/>
              </w:rPr>
            </w:pPr>
            <w:r w:rsidRPr="00EF7D5A">
              <w:rPr>
                <w:rFonts w:eastAsia="Calibri" w:cs="Times New Roman"/>
                <w:sz w:val="20"/>
                <w:szCs w:val="20"/>
                <w:lang w:val="fr-CA"/>
              </w:rPr>
              <w:t>Cour d’appel de l’Ontario</w:t>
            </w:r>
          </w:p>
          <w:p w:rsidR="009D24B9" w:rsidRPr="00EF7D5A" w:rsidRDefault="009D24B9" w:rsidP="00BC5EAA">
            <w:pPr>
              <w:jc w:val="both"/>
              <w:rPr>
                <w:rFonts w:eastAsia="Calibri" w:cs="Times New Roman"/>
                <w:sz w:val="20"/>
                <w:szCs w:val="20"/>
                <w:lang w:val="fr-CA"/>
              </w:rPr>
            </w:pPr>
            <w:r w:rsidRPr="00EF7D5A">
              <w:rPr>
                <w:rFonts w:eastAsia="Calibri" w:cs="Times New Roman"/>
                <w:sz w:val="20"/>
                <w:szCs w:val="20"/>
                <w:lang w:val="fr-CA"/>
              </w:rPr>
              <w:t>(Juges Doherty, Tulloch et Benotto)</w:t>
            </w:r>
          </w:p>
          <w:p w:rsidR="009D24B9" w:rsidRPr="00EF7D5A" w:rsidRDefault="009D24B9" w:rsidP="00BC5EAA">
            <w:pPr>
              <w:jc w:val="both"/>
              <w:rPr>
                <w:rFonts w:eastAsia="Calibri" w:cs="Times New Roman"/>
                <w:sz w:val="20"/>
                <w:szCs w:val="20"/>
                <w:lang w:val="fr-CA"/>
              </w:rPr>
            </w:pPr>
          </w:p>
        </w:tc>
        <w:tc>
          <w:tcPr>
            <w:tcW w:w="243" w:type="pct"/>
          </w:tcPr>
          <w:p w:rsidR="009D24B9" w:rsidRPr="00EF7D5A" w:rsidRDefault="009D24B9" w:rsidP="00BC5EAA">
            <w:pPr>
              <w:jc w:val="both"/>
              <w:rPr>
                <w:rFonts w:eastAsia="Calibri" w:cs="Times New Roman"/>
                <w:sz w:val="20"/>
                <w:szCs w:val="20"/>
                <w:lang w:val="fr-CA"/>
              </w:rPr>
            </w:pPr>
          </w:p>
        </w:tc>
        <w:tc>
          <w:tcPr>
            <w:tcW w:w="2330" w:type="pct"/>
          </w:tcPr>
          <w:p w:rsidR="009D24B9" w:rsidRPr="00EF7D5A" w:rsidRDefault="009D24B9" w:rsidP="00BC5EAA">
            <w:pPr>
              <w:jc w:val="both"/>
              <w:rPr>
                <w:rFonts w:eastAsia="Calibri" w:cs="Times New Roman"/>
                <w:sz w:val="20"/>
                <w:szCs w:val="20"/>
                <w:lang w:val="fr-CA"/>
              </w:rPr>
            </w:pPr>
            <w:r w:rsidRPr="00EF7D5A">
              <w:rPr>
                <w:rFonts w:eastAsia="Calibri" w:cs="Times New Roman"/>
                <w:sz w:val="20"/>
                <w:szCs w:val="20"/>
                <w:lang w:val="fr-CA"/>
              </w:rPr>
              <w:t>Rejet de l’appel</w:t>
            </w:r>
          </w:p>
          <w:p w:rsidR="009D24B9" w:rsidRPr="00EF7D5A" w:rsidRDefault="009D24B9" w:rsidP="00BC5EAA">
            <w:pPr>
              <w:jc w:val="both"/>
              <w:rPr>
                <w:rFonts w:eastAsia="Calibri" w:cs="Times New Roman"/>
                <w:sz w:val="20"/>
                <w:szCs w:val="20"/>
                <w:lang w:val="fr-CA"/>
              </w:rPr>
            </w:pPr>
          </w:p>
        </w:tc>
      </w:tr>
      <w:tr w:rsidR="009D24B9" w:rsidRPr="0025502E" w:rsidTr="00BC5EAA">
        <w:tc>
          <w:tcPr>
            <w:tcW w:w="2427" w:type="pct"/>
          </w:tcPr>
          <w:p w:rsidR="009D24B9" w:rsidRPr="00EF7D5A" w:rsidRDefault="009D24B9" w:rsidP="00BC5EAA">
            <w:pPr>
              <w:jc w:val="both"/>
              <w:rPr>
                <w:rFonts w:eastAsia="Calibri" w:cs="Times New Roman"/>
                <w:sz w:val="20"/>
                <w:szCs w:val="20"/>
                <w:lang w:val="fr-CA"/>
              </w:rPr>
            </w:pPr>
            <w:r w:rsidRPr="00EF7D5A">
              <w:rPr>
                <w:rFonts w:eastAsia="Calibri" w:cs="Times New Roman"/>
                <w:sz w:val="20"/>
                <w:szCs w:val="20"/>
                <w:lang w:val="fr-CA"/>
              </w:rPr>
              <w:t>21 novembre 2014</w:t>
            </w:r>
          </w:p>
          <w:p w:rsidR="009D24B9" w:rsidRPr="00EF7D5A" w:rsidRDefault="009D24B9" w:rsidP="00BC5EAA">
            <w:pPr>
              <w:jc w:val="both"/>
              <w:rPr>
                <w:rFonts w:eastAsia="Calibri" w:cs="Times New Roman"/>
                <w:sz w:val="20"/>
                <w:szCs w:val="20"/>
                <w:lang w:val="fr-CA"/>
              </w:rPr>
            </w:pPr>
            <w:r w:rsidRPr="00EF7D5A">
              <w:rPr>
                <w:rFonts w:eastAsia="Calibri" w:cs="Times New Roman"/>
                <w:sz w:val="20"/>
                <w:szCs w:val="20"/>
                <w:lang w:val="fr-CA"/>
              </w:rPr>
              <w:t>Cour suprême du Canada</w:t>
            </w:r>
          </w:p>
        </w:tc>
        <w:tc>
          <w:tcPr>
            <w:tcW w:w="243" w:type="pct"/>
          </w:tcPr>
          <w:p w:rsidR="009D24B9" w:rsidRPr="00EF7D5A" w:rsidRDefault="009D24B9" w:rsidP="00BC5EAA">
            <w:pPr>
              <w:jc w:val="both"/>
              <w:rPr>
                <w:rFonts w:eastAsia="Calibri" w:cs="Times New Roman"/>
                <w:sz w:val="20"/>
                <w:szCs w:val="20"/>
                <w:lang w:val="fr-CA"/>
              </w:rPr>
            </w:pPr>
          </w:p>
        </w:tc>
        <w:tc>
          <w:tcPr>
            <w:tcW w:w="2330" w:type="pct"/>
          </w:tcPr>
          <w:p w:rsidR="009D24B9" w:rsidRPr="00EF7D5A" w:rsidRDefault="009D24B9" w:rsidP="00BC5EAA">
            <w:pPr>
              <w:jc w:val="both"/>
              <w:rPr>
                <w:rFonts w:eastAsia="Calibri" w:cs="Times New Roman"/>
                <w:sz w:val="20"/>
                <w:szCs w:val="20"/>
                <w:lang w:val="fr-CA"/>
              </w:rPr>
            </w:pPr>
            <w:r w:rsidRPr="00EF7D5A">
              <w:rPr>
                <w:rFonts w:eastAsia="Calibri" w:cs="Times New Roman"/>
                <w:sz w:val="20"/>
                <w:szCs w:val="20"/>
                <w:lang w:val="fr-CA"/>
              </w:rPr>
              <w:t xml:space="preserve">Dépôt de la demande d’autorisation d’appel </w:t>
            </w:r>
          </w:p>
          <w:p w:rsidR="009D24B9" w:rsidRPr="00EF7D5A" w:rsidRDefault="009D24B9" w:rsidP="00BC5EAA">
            <w:pPr>
              <w:jc w:val="both"/>
              <w:rPr>
                <w:rFonts w:eastAsia="Calibri" w:cs="Times New Roman"/>
                <w:sz w:val="20"/>
                <w:szCs w:val="20"/>
                <w:lang w:val="fr-CA"/>
              </w:rPr>
            </w:pPr>
          </w:p>
        </w:tc>
      </w:tr>
    </w:tbl>
    <w:p w:rsidR="00124C37" w:rsidRPr="009D24B9" w:rsidRDefault="00124C37" w:rsidP="00124C37">
      <w:pPr>
        <w:rPr>
          <w:sz w:val="20"/>
          <w:szCs w:val="20"/>
          <w:lang w:val="fr-CA"/>
        </w:rPr>
      </w:pPr>
    </w:p>
    <w:p w:rsidR="00124C37" w:rsidRDefault="00E42AAB" w:rsidP="00124C37">
      <w:pPr>
        <w:rPr>
          <w:sz w:val="20"/>
          <w:szCs w:val="20"/>
        </w:rPr>
      </w:pPr>
      <w:r>
        <w:rPr>
          <w:sz w:val="20"/>
          <w:szCs w:val="20"/>
          <w:lang w:val="fr-CA"/>
        </w:rPr>
        <w:pict>
          <v:rect id="_x0000_i1096" style="width:2in;height:1pt" o:hrpct="0" o:hralign="center" o:hrstd="t" o:hrnoshade="t" o:hr="t" fillcolor="black [3213]" stroked="f"/>
        </w:pict>
      </w: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112"/>
          <w:headerReference w:type="default" r:id="rId113"/>
          <w:footerReference w:type="even" r:id="rId114"/>
          <w:footerReference w:type="default" r:id="rId115"/>
          <w:headerReference w:type="first" r:id="rId116"/>
          <w:footerReference w:type="first" r:id="rId117"/>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CB7D73" w:rsidRPr="00CB7D73" w:rsidRDefault="00CB7D73" w:rsidP="00CB7D73">
      <w:pPr>
        <w:tabs>
          <w:tab w:val="left" w:pos="-1440"/>
          <w:tab w:val="left" w:pos="-720"/>
        </w:tabs>
        <w:jc w:val="both"/>
        <w:rPr>
          <w:rFonts w:eastAsia="Times New Roman" w:cs="Times New Roman"/>
          <w:sz w:val="20"/>
          <w:szCs w:val="20"/>
          <w:lang w:val="fr-CA" w:eastAsia="en-CA"/>
        </w:rPr>
      </w:pPr>
      <w:r w:rsidRPr="00CB7D73">
        <w:rPr>
          <w:rFonts w:eastAsia="Times New Roman" w:cs="Times New Roman"/>
          <w:sz w:val="20"/>
          <w:szCs w:val="20"/>
          <w:lang w:val="fr-CA" w:eastAsia="en-CA"/>
        </w:rPr>
        <w:t>14.01.2015</w:t>
      </w:r>
    </w:p>
    <w:p w:rsidR="00CB7D73" w:rsidRPr="00CB7D73" w:rsidRDefault="00CB7D73" w:rsidP="00CB7D73">
      <w:pPr>
        <w:tabs>
          <w:tab w:val="left" w:pos="-1440"/>
          <w:tab w:val="left" w:pos="-720"/>
        </w:tabs>
        <w:jc w:val="both"/>
        <w:rPr>
          <w:rFonts w:eastAsia="Times New Roman" w:cs="Times New Roman"/>
          <w:sz w:val="20"/>
          <w:szCs w:val="20"/>
          <w:lang w:eastAsia="en-CA"/>
        </w:rPr>
      </w:pPr>
    </w:p>
    <w:p w:rsidR="00CB7D73" w:rsidRPr="00CB7D73" w:rsidRDefault="00CB7D73" w:rsidP="00CB7D73">
      <w:pPr>
        <w:tabs>
          <w:tab w:val="left" w:pos="-1440"/>
          <w:tab w:val="left" w:pos="-720"/>
        </w:tabs>
        <w:jc w:val="both"/>
        <w:rPr>
          <w:rFonts w:eastAsia="Times New Roman" w:cs="Times New Roman"/>
          <w:sz w:val="20"/>
          <w:szCs w:val="20"/>
          <w:lang w:val="fr-CA" w:eastAsia="en-CA"/>
        </w:rPr>
      </w:pPr>
      <w:r w:rsidRPr="00CB7D73">
        <w:rPr>
          <w:rFonts w:eastAsia="Times New Roman" w:cs="Times New Roman"/>
          <w:sz w:val="20"/>
          <w:szCs w:val="20"/>
          <w:lang w:val="fr-CA" w:eastAsia="en-CA"/>
        </w:rPr>
        <w:t>Before / Devant :   CROMWELL J. / LE JUGE CROMWELL</w:t>
      </w:r>
    </w:p>
    <w:p w:rsidR="00CB7D73" w:rsidRPr="00CB7D73" w:rsidRDefault="00CB7D73" w:rsidP="00CB7D73">
      <w:pPr>
        <w:tabs>
          <w:tab w:val="left" w:pos="-1440"/>
          <w:tab w:val="left" w:pos="-720"/>
        </w:tabs>
        <w:jc w:val="both"/>
        <w:rPr>
          <w:rFonts w:eastAsia="Times New Roman" w:cs="Times New Roman"/>
          <w:sz w:val="20"/>
          <w:szCs w:val="20"/>
          <w:lang w:eastAsia="en-CA"/>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CB7D73" w:rsidRPr="00CB7D73" w:rsidTr="00CB7D73">
        <w:trPr>
          <w:trHeight w:val="151"/>
        </w:trPr>
        <w:tc>
          <w:tcPr>
            <w:tcW w:w="4338" w:type="dxa"/>
          </w:tcPr>
          <w:p w:rsidR="00CB7D73" w:rsidRPr="00CB7D73" w:rsidRDefault="006F7944" w:rsidP="00CB7D73">
            <w:pPr>
              <w:tabs>
                <w:tab w:val="left" w:pos="-1440"/>
                <w:tab w:val="left" w:pos="-720"/>
              </w:tabs>
              <w:jc w:val="both"/>
              <w:rPr>
                <w:lang w:val="fr-CA"/>
              </w:rPr>
            </w:pPr>
            <w:r w:rsidRPr="00CB7D73">
              <w:rPr>
                <w:lang w:val="en-US"/>
              </w:rPr>
              <w:fldChar w:fldCharType="begin"/>
            </w:r>
            <w:r w:rsidR="00CB7D73" w:rsidRPr="00CB7D73">
              <w:rPr>
                <w:lang w:val="fr-CA"/>
              </w:rPr>
              <w:instrText xml:space="preserve"> SEQ CHAPTER \h \r 1</w:instrText>
            </w:r>
            <w:r w:rsidRPr="00CB7D73">
              <w:rPr>
                <w:lang w:val="en-US"/>
              </w:rPr>
              <w:fldChar w:fldCharType="end"/>
            </w:r>
            <w:r w:rsidR="00CB7D73" w:rsidRPr="00CB7D73">
              <w:rPr>
                <w:b/>
                <w:bCs/>
                <w:lang w:val="fr-CA"/>
              </w:rPr>
              <w:t>Miscellaneous motion</w:t>
            </w:r>
          </w:p>
          <w:p w:rsidR="00CB7D73" w:rsidRPr="00CB7D73" w:rsidRDefault="006F7944" w:rsidP="00CB7D73">
            <w:pPr>
              <w:tabs>
                <w:tab w:val="left" w:pos="-1440"/>
                <w:tab w:val="left" w:pos="-720"/>
              </w:tabs>
              <w:jc w:val="both"/>
              <w:rPr>
                <w:lang w:val="fr-CA"/>
              </w:rPr>
            </w:pPr>
            <w:r w:rsidRPr="00CB7D73">
              <w:rPr>
                <w:lang w:val="en-US"/>
              </w:rPr>
              <w:fldChar w:fldCharType="begin"/>
            </w:r>
            <w:r w:rsidR="00CB7D73" w:rsidRPr="00CB7D73">
              <w:rPr>
                <w:lang w:val="fr-CA"/>
              </w:rPr>
              <w:instrText xml:space="preserve"> SEQ CHAPTER \h \r 1</w:instrText>
            </w:r>
            <w:r w:rsidRPr="00CB7D73">
              <w:rPr>
                <w:lang w:val="en-US"/>
              </w:rPr>
              <w:fldChar w:fldCharType="end"/>
            </w:r>
          </w:p>
        </w:tc>
        <w:tc>
          <w:tcPr>
            <w:tcW w:w="1170" w:type="dxa"/>
          </w:tcPr>
          <w:p w:rsidR="00CB7D73" w:rsidRPr="00CB7D73" w:rsidRDefault="00CB7D73" w:rsidP="00CB7D73">
            <w:pPr>
              <w:jc w:val="both"/>
              <w:rPr>
                <w:lang w:val="fr-CA"/>
              </w:rPr>
            </w:pPr>
          </w:p>
          <w:p w:rsidR="00CB7D73" w:rsidRPr="00CB7D73" w:rsidRDefault="00CB7D73" w:rsidP="00CB7D73">
            <w:pPr>
              <w:jc w:val="both"/>
              <w:rPr>
                <w:lang w:val="fr-CA"/>
              </w:rPr>
            </w:pPr>
          </w:p>
        </w:tc>
        <w:tc>
          <w:tcPr>
            <w:tcW w:w="4327" w:type="dxa"/>
          </w:tcPr>
          <w:p w:rsidR="00CB7D73" w:rsidRPr="00CB7D73" w:rsidRDefault="006F7944" w:rsidP="00CB7D73">
            <w:pPr>
              <w:jc w:val="both"/>
              <w:rPr>
                <w:b/>
                <w:lang w:val="fr-CA"/>
              </w:rPr>
            </w:pPr>
            <w:r w:rsidRPr="00CB7D73">
              <w:rPr>
                <w:lang w:val="en-US"/>
              </w:rPr>
              <w:fldChar w:fldCharType="begin"/>
            </w:r>
            <w:r w:rsidR="00CB7D73" w:rsidRPr="00CB7D73">
              <w:rPr>
                <w:lang w:val="fr-CA"/>
              </w:rPr>
              <w:instrText xml:space="preserve"> SEQ CHAPTER \h \r 1</w:instrText>
            </w:r>
            <w:r w:rsidRPr="00CB7D73">
              <w:rPr>
                <w:lang w:val="en-US"/>
              </w:rPr>
              <w:fldChar w:fldCharType="end"/>
            </w:r>
            <w:r w:rsidR="00CB7D73" w:rsidRPr="00CB7D73">
              <w:rPr>
                <w:b/>
                <w:bCs/>
                <w:lang w:val="fr-CA"/>
              </w:rPr>
              <w:t>Requête diverse</w:t>
            </w:r>
          </w:p>
          <w:p w:rsidR="00CB7D73" w:rsidRPr="00CB7D73" w:rsidRDefault="006F7944" w:rsidP="00CB7D73">
            <w:pPr>
              <w:jc w:val="both"/>
              <w:rPr>
                <w:b/>
                <w:lang w:val="fr-CA"/>
              </w:rPr>
            </w:pPr>
            <w:r w:rsidRPr="00CB7D73">
              <w:rPr>
                <w:b/>
                <w:lang w:val="en-US"/>
              </w:rPr>
              <w:fldChar w:fldCharType="begin"/>
            </w:r>
            <w:r w:rsidR="00CB7D73" w:rsidRPr="00CB7D73">
              <w:rPr>
                <w:b/>
                <w:lang w:val="fr-CA"/>
              </w:rPr>
              <w:instrText xml:space="preserve"> SEQ CHAPTER \h \r 1</w:instrText>
            </w:r>
            <w:r w:rsidRPr="00CB7D73">
              <w:rPr>
                <w:b/>
                <w:lang w:val="en-US"/>
              </w:rPr>
              <w:fldChar w:fldCharType="end"/>
            </w:r>
            <w:r w:rsidRPr="00CB7D73">
              <w:rPr>
                <w:b/>
                <w:lang w:val="en-US"/>
              </w:rPr>
              <w:fldChar w:fldCharType="begin"/>
            </w:r>
            <w:r w:rsidR="00CB7D73" w:rsidRPr="00CB7D73">
              <w:rPr>
                <w:b/>
                <w:lang w:val="fr-CA"/>
              </w:rPr>
              <w:instrText xml:space="preserve"> SEQ CHAPTER \h \r 1</w:instrText>
            </w:r>
            <w:r w:rsidRPr="00CB7D73">
              <w:rPr>
                <w:b/>
                <w:lang w:val="en-US"/>
              </w:rPr>
              <w:fldChar w:fldCharType="end"/>
            </w:r>
          </w:p>
        </w:tc>
      </w:tr>
      <w:tr w:rsidR="00CB7D73" w:rsidRPr="00CB7D73" w:rsidTr="00CB7D73">
        <w:trPr>
          <w:trHeight w:val="150"/>
        </w:trPr>
        <w:tc>
          <w:tcPr>
            <w:tcW w:w="4338" w:type="dxa"/>
          </w:tcPr>
          <w:p w:rsidR="00CB7D73" w:rsidRPr="00CB7D73" w:rsidRDefault="00CB7D73" w:rsidP="00CB7D73">
            <w:pPr>
              <w:tabs>
                <w:tab w:val="left" w:pos="-1440"/>
                <w:tab w:val="left" w:pos="-720"/>
              </w:tabs>
              <w:jc w:val="both"/>
              <w:rPr>
                <w:lang w:val="fr-CA"/>
              </w:rPr>
            </w:pPr>
            <w:r w:rsidRPr="00CB7D73">
              <w:rPr>
                <w:lang w:val="fr-CA"/>
              </w:rPr>
              <w:t>Weihua Shi</w:t>
            </w:r>
          </w:p>
          <w:p w:rsidR="00CB7D73" w:rsidRPr="00CB7D73" w:rsidRDefault="00CB7D73" w:rsidP="00CB7D73">
            <w:pPr>
              <w:tabs>
                <w:tab w:val="left" w:pos="-1440"/>
                <w:tab w:val="left" w:pos="-720"/>
              </w:tabs>
              <w:jc w:val="both"/>
              <w:rPr>
                <w:lang w:val="fr-CA"/>
              </w:rPr>
            </w:pPr>
          </w:p>
          <w:p w:rsidR="00CB7D73" w:rsidRPr="00CB7D73" w:rsidRDefault="00CB7D73" w:rsidP="00CB7D73">
            <w:pPr>
              <w:tabs>
                <w:tab w:val="left" w:pos="-1440"/>
                <w:tab w:val="left" w:pos="-720"/>
              </w:tabs>
              <w:jc w:val="both"/>
              <w:rPr>
                <w:lang w:val="fr-CA"/>
              </w:rPr>
            </w:pPr>
            <w:r w:rsidRPr="00CB7D73">
              <w:rPr>
                <w:lang w:val="fr-CA"/>
              </w:rPr>
              <w:tab/>
              <w:t>v. (35837)</w:t>
            </w:r>
          </w:p>
          <w:p w:rsidR="00CB7D73" w:rsidRPr="00CB7D73" w:rsidRDefault="00CB7D73" w:rsidP="00CB7D73">
            <w:pPr>
              <w:tabs>
                <w:tab w:val="left" w:pos="-1440"/>
                <w:tab w:val="left" w:pos="-720"/>
              </w:tabs>
              <w:jc w:val="both"/>
              <w:rPr>
                <w:lang w:val="fr-CA"/>
              </w:rPr>
            </w:pPr>
          </w:p>
          <w:p w:rsidR="00CB7D73" w:rsidRPr="00CB7D73" w:rsidRDefault="00CB7D73" w:rsidP="00CB7D73">
            <w:pPr>
              <w:tabs>
                <w:tab w:val="left" w:pos="-1440"/>
                <w:tab w:val="left" w:pos="-720"/>
              </w:tabs>
              <w:jc w:val="both"/>
              <w:rPr>
                <w:lang w:val="fr-CA"/>
              </w:rPr>
            </w:pPr>
            <w:r w:rsidRPr="00CB7D73">
              <w:rPr>
                <w:lang w:val="fr-CA"/>
              </w:rPr>
              <w:t>Ontario Labour Relations Board et al. (Ont.)</w:t>
            </w:r>
          </w:p>
        </w:tc>
        <w:tc>
          <w:tcPr>
            <w:tcW w:w="1170" w:type="dxa"/>
          </w:tcPr>
          <w:p w:rsidR="00CB7D73" w:rsidRPr="00CB7D73" w:rsidRDefault="00CB7D73" w:rsidP="00CB7D73">
            <w:pPr>
              <w:jc w:val="both"/>
              <w:rPr>
                <w:lang w:val="fr-CA"/>
              </w:rPr>
            </w:pPr>
          </w:p>
        </w:tc>
        <w:tc>
          <w:tcPr>
            <w:tcW w:w="4327" w:type="dxa"/>
          </w:tcPr>
          <w:p w:rsidR="00CB7D73" w:rsidRPr="00CB7D73" w:rsidRDefault="00CB7D73" w:rsidP="00CB7D73">
            <w:pPr>
              <w:jc w:val="both"/>
              <w:rPr>
                <w:lang w:val="fr-CA"/>
              </w:rPr>
            </w:pPr>
          </w:p>
        </w:tc>
      </w:tr>
    </w:tbl>
    <w:p w:rsidR="00CB7D73" w:rsidRPr="00CB7D73" w:rsidRDefault="00CB7D73" w:rsidP="00CB7D73">
      <w:pPr>
        <w:tabs>
          <w:tab w:val="left" w:pos="-1440"/>
          <w:tab w:val="left" w:pos="-720"/>
        </w:tabs>
        <w:jc w:val="both"/>
        <w:rPr>
          <w:rFonts w:eastAsia="Times New Roman" w:cs="Times New Roman"/>
          <w:sz w:val="20"/>
          <w:szCs w:val="20"/>
          <w:lang w:val="fr-CA" w:eastAsia="en-CA"/>
        </w:rPr>
      </w:pPr>
    </w:p>
    <w:p w:rsidR="00CB7D73" w:rsidRPr="00CB7D73" w:rsidRDefault="00CB7D73" w:rsidP="00CB7D73">
      <w:pPr>
        <w:tabs>
          <w:tab w:val="left" w:pos="-1440"/>
          <w:tab w:val="left" w:pos="-720"/>
        </w:tabs>
        <w:jc w:val="both"/>
        <w:rPr>
          <w:rFonts w:eastAsia="Times New Roman" w:cs="Times New Roman"/>
          <w:sz w:val="20"/>
          <w:szCs w:val="20"/>
          <w:lang w:val="fr-CA" w:eastAsia="en-CA"/>
        </w:rPr>
      </w:pPr>
      <w:r w:rsidRPr="00CB7D73">
        <w:rPr>
          <w:rFonts w:eastAsia="Times New Roman" w:cs="Times New Roman"/>
          <w:b/>
          <w:sz w:val="20"/>
          <w:szCs w:val="20"/>
          <w:lang w:val="fr-CA" w:eastAsia="en-CA"/>
        </w:rPr>
        <w:t>DISMISSED / REJETÉE</w:t>
      </w:r>
    </w:p>
    <w:p w:rsidR="00CB7D73" w:rsidRPr="00CB7D73" w:rsidRDefault="00CB7D73" w:rsidP="00CB7D73">
      <w:pPr>
        <w:tabs>
          <w:tab w:val="left" w:pos="-1440"/>
          <w:tab w:val="left" w:pos="-720"/>
        </w:tabs>
        <w:jc w:val="both"/>
        <w:rPr>
          <w:rFonts w:eastAsia="Times New Roman" w:cs="Times New Roman"/>
          <w:sz w:val="20"/>
          <w:szCs w:val="20"/>
          <w:lang w:val="fr-CA" w:eastAsia="en-CA"/>
        </w:rPr>
      </w:pPr>
    </w:p>
    <w:p w:rsidR="00CB7D73" w:rsidRPr="00CB7D73" w:rsidRDefault="00CB7D73" w:rsidP="00CB7D73">
      <w:pPr>
        <w:spacing w:line="233" w:lineRule="auto"/>
        <w:jc w:val="both"/>
        <w:rPr>
          <w:rFonts w:eastAsia="Times New Roman" w:cs="Times New Roman"/>
          <w:sz w:val="20"/>
          <w:szCs w:val="20"/>
          <w:lang w:val="en-US" w:eastAsia="en-CA"/>
        </w:rPr>
      </w:pPr>
      <w:r w:rsidRPr="00CB7D73">
        <w:rPr>
          <w:rFonts w:eastAsia="Times New Roman" w:cs="Times New Roman"/>
          <w:b/>
          <w:sz w:val="20"/>
          <w:szCs w:val="20"/>
          <w:lang w:val="en-US" w:eastAsia="en-CA"/>
        </w:rPr>
        <w:t>UPON</w:t>
      </w:r>
      <w:r w:rsidRPr="00CB7D73">
        <w:rPr>
          <w:rFonts w:eastAsia="Times New Roman" w:cs="Times New Roman"/>
          <w:sz w:val="20"/>
          <w:szCs w:val="20"/>
          <w:lang w:val="en-US" w:eastAsia="en-CA"/>
        </w:rPr>
        <w:t xml:space="preserve"> the applicant, Ms. Weihua Shi, seeking to file a motion pursuant to Rule 78 of the </w:t>
      </w:r>
      <w:r w:rsidRPr="00CB7D73">
        <w:rPr>
          <w:rFonts w:eastAsia="Times New Roman" w:cs="Times New Roman"/>
          <w:i/>
          <w:sz w:val="20"/>
          <w:szCs w:val="20"/>
          <w:lang w:val="en-US" w:eastAsia="en-CA"/>
        </w:rPr>
        <w:t>Rules of the Supreme Court of Canada</w:t>
      </w:r>
      <w:r w:rsidRPr="00CB7D73">
        <w:rPr>
          <w:rFonts w:eastAsia="Times New Roman" w:cs="Times New Roman"/>
          <w:sz w:val="20"/>
          <w:szCs w:val="20"/>
          <w:lang w:val="en-US" w:eastAsia="en-CA"/>
        </w:rPr>
        <w:t>, to review the Registrar’s decision of October 9, 2014, refusing the applicant’s second application for leave to appeal for filing;</w:t>
      </w:r>
    </w:p>
    <w:p w:rsidR="00CB7D73" w:rsidRPr="00CB7D73" w:rsidRDefault="00CB7D73" w:rsidP="00CB7D73">
      <w:pPr>
        <w:spacing w:line="233" w:lineRule="auto"/>
        <w:jc w:val="both"/>
        <w:rPr>
          <w:rFonts w:eastAsia="Times New Roman" w:cs="Times New Roman"/>
          <w:b/>
          <w:sz w:val="20"/>
          <w:szCs w:val="20"/>
          <w:lang w:val="en-US" w:eastAsia="en-CA"/>
        </w:rPr>
      </w:pPr>
    </w:p>
    <w:p w:rsidR="00CB7D73" w:rsidRPr="00CB7D73" w:rsidRDefault="00CB7D73" w:rsidP="00CB7D73">
      <w:pPr>
        <w:spacing w:line="233" w:lineRule="auto"/>
        <w:jc w:val="both"/>
        <w:rPr>
          <w:rFonts w:eastAsia="Times New Roman" w:cs="Times New Roman"/>
          <w:sz w:val="20"/>
          <w:szCs w:val="20"/>
          <w:lang w:val="en-US" w:eastAsia="en-CA"/>
        </w:rPr>
      </w:pPr>
      <w:r w:rsidRPr="00CB7D73">
        <w:rPr>
          <w:rFonts w:eastAsia="Times New Roman" w:cs="Times New Roman"/>
          <w:b/>
          <w:sz w:val="20"/>
          <w:szCs w:val="20"/>
          <w:lang w:val="en-US" w:eastAsia="en-CA"/>
        </w:rPr>
        <w:t>AND UPON</w:t>
      </w:r>
      <w:r w:rsidRPr="00CB7D73">
        <w:rPr>
          <w:rFonts w:eastAsia="Times New Roman" w:cs="Times New Roman"/>
          <w:sz w:val="20"/>
          <w:szCs w:val="20"/>
          <w:lang w:val="en-US" w:eastAsia="en-CA"/>
        </w:rPr>
        <w:t xml:space="preserve"> the Registrar referring to a judge pursuant to Rule 13 of the </w:t>
      </w:r>
      <w:r w:rsidRPr="00CB7D73">
        <w:rPr>
          <w:rFonts w:eastAsia="Times New Roman" w:cs="Times New Roman"/>
          <w:i/>
          <w:sz w:val="20"/>
          <w:szCs w:val="20"/>
          <w:lang w:val="en-US" w:eastAsia="en-CA"/>
        </w:rPr>
        <w:t>Rules of the Supreme Court of Canada</w:t>
      </w:r>
      <w:r w:rsidRPr="00CB7D73">
        <w:rPr>
          <w:rFonts w:eastAsia="Times New Roman" w:cs="Times New Roman"/>
          <w:sz w:val="20"/>
          <w:szCs w:val="20"/>
          <w:lang w:val="en-US" w:eastAsia="en-CA"/>
        </w:rPr>
        <w:t xml:space="preserve"> the question of whether Ms Shi’s motion under s 78 should be accepted for filing;</w:t>
      </w:r>
    </w:p>
    <w:p w:rsidR="00CB7D73" w:rsidRPr="00CB7D73" w:rsidRDefault="00CB7D73" w:rsidP="00CB7D73">
      <w:pPr>
        <w:spacing w:line="233" w:lineRule="auto"/>
        <w:jc w:val="both"/>
        <w:rPr>
          <w:rFonts w:eastAsia="Times New Roman" w:cs="Times New Roman"/>
          <w:sz w:val="20"/>
          <w:szCs w:val="20"/>
          <w:lang w:val="en-US" w:eastAsia="en-CA"/>
        </w:rPr>
      </w:pPr>
    </w:p>
    <w:p w:rsidR="00CB7D73" w:rsidRPr="00CB7D73" w:rsidRDefault="00CB7D73" w:rsidP="00CB7D73">
      <w:pPr>
        <w:spacing w:line="233" w:lineRule="auto"/>
        <w:jc w:val="both"/>
        <w:rPr>
          <w:rFonts w:eastAsia="Times New Roman" w:cs="Times New Roman"/>
          <w:sz w:val="20"/>
          <w:szCs w:val="20"/>
          <w:lang w:val="en-US" w:eastAsia="en-CA"/>
        </w:rPr>
      </w:pPr>
      <w:r w:rsidRPr="00CB7D73">
        <w:rPr>
          <w:rFonts w:eastAsia="Times New Roman" w:cs="Times New Roman"/>
          <w:b/>
          <w:bCs/>
          <w:sz w:val="20"/>
          <w:szCs w:val="20"/>
          <w:lang w:val="en-US" w:eastAsia="en-CA"/>
        </w:rPr>
        <w:t xml:space="preserve">AND THE MATERIAL </w:t>
      </w:r>
      <w:r w:rsidRPr="00CB7D73">
        <w:rPr>
          <w:rFonts w:eastAsia="Times New Roman" w:cs="Times New Roman"/>
          <w:bCs/>
          <w:sz w:val="20"/>
          <w:szCs w:val="20"/>
          <w:lang w:val="en-US" w:eastAsia="en-CA"/>
        </w:rPr>
        <w:t>h</w:t>
      </w:r>
      <w:r w:rsidRPr="00CB7D73">
        <w:rPr>
          <w:rFonts w:eastAsia="Times New Roman" w:cs="Times New Roman"/>
          <w:sz w:val="20"/>
          <w:szCs w:val="20"/>
          <w:lang w:val="en-US" w:eastAsia="en-CA"/>
        </w:rPr>
        <w:t>aving been read;</w:t>
      </w:r>
    </w:p>
    <w:p w:rsidR="00CB7D73" w:rsidRPr="00CB7D73" w:rsidRDefault="00CB7D73" w:rsidP="00CB7D73">
      <w:pPr>
        <w:spacing w:line="233" w:lineRule="auto"/>
        <w:jc w:val="both"/>
        <w:rPr>
          <w:rFonts w:eastAsia="Times New Roman" w:cs="Times New Roman"/>
          <w:sz w:val="20"/>
          <w:szCs w:val="20"/>
          <w:lang w:val="en-US" w:eastAsia="en-CA"/>
        </w:rPr>
      </w:pPr>
    </w:p>
    <w:p w:rsidR="00CB7D73" w:rsidRPr="00CB7D73" w:rsidRDefault="00CB7D73" w:rsidP="00CB7D73">
      <w:pPr>
        <w:spacing w:line="233" w:lineRule="auto"/>
        <w:jc w:val="both"/>
        <w:rPr>
          <w:rFonts w:eastAsia="Times New Roman" w:cs="Times New Roman"/>
          <w:sz w:val="20"/>
          <w:szCs w:val="20"/>
          <w:lang w:val="en-US" w:eastAsia="en-CA"/>
        </w:rPr>
      </w:pPr>
      <w:r w:rsidRPr="00CB7D73">
        <w:rPr>
          <w:rFonts w:eastAsia="Times New Roman" w:cs="Times New Roman"/>
          <w:b/>
          <w:bCs/>
          <w:sz w:val="20"/>
          <w:szCs w:val="20"/>
          <w:lang w:val="en-US" w:eastAsia="en-CA"/>
        </w:rPr>
        <w:t>IT IS HEREBY ORDERED THAT:</w:t>
      </w:r>
    </w:p>
    <w:p w:rsidR="00CB7D73" w:rsidRPr="00CB7D73" w:rsidRDefault="00CB7D73" w:rsidP="00CB7D73">
      <w:pPr>
        <w:spacing w:line="233" w:lineRule="auto"/>
        <w:jc w:val="both"/>
        <w:rPr>
          <w:rFonts w:eastAsia="Times New Roman" w:cs="Times New Roman"/>
          <w:sz w:val="20"/>
          <w:szCs w:val="20"/>
          <w:lang w:val="en-US" w:eastAsia="en-CA"/>
        </w:rPr>
      </w:pPr>
    </w:p>
    <w:p w:rsidR="00CB7D73" w:rsidRPr="00CB7D73" w:rsidRDefault="00CB7D73" w:rsidP="00CB7D73">
      <w:pPr>
        <w:spacing w:line="233" w:lineRule="auto"/>
        <w:jc w:val="both"/>
        <w:rPr>
          <w:rFonts w:eastAsia="Times New Roman" w:cs="Times New Roman"/>
          <w:sz w:val="20"/>
          <w:szCs w:val="20"/>
          <w:lang w:eastAsia="en-CA"/>
        </w:rPr>
      </w:pPr>
      <w:r w:rsidRPr="00CB7D73">
        <w:rPr>
          <w:rFonts w:eastAsia="Times New Roman" w:cs="Times New Roman"/>
          <w:sz w:val="20"/>
          <w:szCs w:val="20"/>
          <w:lang w:eastAsia="en-CA"/>
        </w:rPr>
        <w:t xml:space="preserve">The Registrar is directed not to accept Ms. Shi’s motion under Rule 78 for filing as it does not comply with the </w:t>
      </w:r>
      <w:r w:rsidRPr="00CB7D73">
        <w:rPr>
          <w:rFonts w:eastAsia="Times New Roman" w:cs="Times New Roman"/>
          <w:i/>
          <w:sz w:val="20"/>
          <w:szCs w:val="20"/>
          <w:lang w:eastAsia="en-CA"/>
        </w:rPr>
        <w:t xml:space="preserve">Rules of the Supreme Court of Canada </w:t>
      </w:r>
      <w:r w:rsidRPr="00CB7D73">
        <w:rPr>
          <w:rFonts w:eastAsia="Times New Roman" w:cs="Times New Roman"/>
          <w:sz w:val="20"/>
          <w:szCs w:val="20"/>
          <w:lang w:eastAsia="en-CA"/>
        </w:rPr>
        <w:t xml:space="preserve">because no review under Rule 78 is available in the circumstances. </w:t>
      </w:r>
    </w:p>
    <w:p w:rsidR="00CB7D73" w:rsidRPr="00CB7D73" w:rsidRDefault="00CB7D73" w:rsidP="00CB7D73">
      <w:pPr>
        <w:spacing w:line="233" w:lineRule="auto"/>
        <w:jc w:val="both"/>
        <w:rPr>
          <w:rFonts w:eastAsia="Times New Roman" w:cs="Times New Roman"/>
          <w:sz w:val="20"/>
          <w:szCs w:val="20"/>
          <w:lang w:eastAsia="en-CA"/>
        </w:rPr>
      </w:pPr>
    </w:p>
    <w:p w:rsidR="00CB7D73" w:rsidRPr="00CB7D73" w:rsidRDefault="00CB7D73" w:rsidP="00CB7D73">
      <w:pPr>
        <w:jc w:val="both"/>
        <w:rPr>
          <w:rFonts w:eastAsia="Times New Roman" w:cs="Times New Roman"/>
          <w:sz w:val="20"/>
          <w:szCs w:val="20"/>
          <w:lang w:val="en-US" w:eastAsia="en-CA"/>
        </w:rPr>
      </w:pPr>
      <w:r w:rsidRPr="00CB7D73">
        <w:rPr>
          <w:rFonts w:eastAsia="Times New Roman" w:cs="Times New Roman"/>
          <w:sz w:val="20"/>
          <w:szCs w:val="20"/>
          <w:lang w:eastAsia="en-CA"/>
        </w:rPr>
        <w:t xml:space="preserve">The Registrar is further directed to return the materials to the applicant. </w:t>
      </w:r>
    </w:p>
    <w:p w:rsidR="00CB7D73" w:rsidRPr="00CB7D73" w:rsidRDefault="00CB7D73" w:rsidP="00CB7D73">
      <w:pPr>
        <w:spacing w:line="233" w:lineRule="auto"/>
        <w:jc w:val="both"/>
        <w:rPr>
          <w:rFonts w:eastAsia="Times New Roman" w:cs="Times New Roman"/>
          <w:sz w:val="20"/>
          <w:szCs w:val="20"/>
          <w:lang w:val="en-US" w:eastAsia="en-CA"/>
        </w:rPr>
      </w:pPr>
    </w:p>
    <w:p w:rsidR="00CB7D73" w:rsidRPr="00CB7D73" w:rsidRDefault="00CB7D73" w:rsidP="00CB7D73">
      <w:pPr>
        <w:spacing w:line="233" w:lineRule="auto"/>
        <w:jc w:val="both"/>
        <w:rPr>
          <w:rFonts w:eastAsia="Times New Roman" w:cs="Times New Roman"/>
          <w:sz w:val="20"/>
          <w:szCs w:val="20"/>
          <w:lang w:val="en-US" w:eastAsia="en-CA"/>
        </w:rPr>
      </w:pPr>
    </w:p>
    <w:p w:rsidR="00CB7D73" w:rsidRPr="00CB7D73" w:rsidRDefault="00CB7D73" w:rsidP="00CB7D73">
      <w:pPr>
        <w:spacing w:line="233" w:lineRule="auto"/>
        <w:jc w:val="both"/>
        <w:rPr>
          <w:rFonts w:eastAsia="Times New Roman" w:cs="Times New Roman"/>
          <w:sz w:val="20"/>
          <w:szCs w:val="20"/>
          <w:lang w:val="en-US" w:eastAsia="en-CA"/>
        </w:rPr>
      </w:pPr>
    </w:p>
    <w:p w:rsidR="00CB7D73" w:rsidRPr="00CB7D73" w:rsidRDefault="00CB7D73" w:rsidP="00CB7D73">
      <w:pPr>
        <w:spacing w:line="233" w:lineRule="auto"/>
        <w:jc w:val="both"/>
        <w:rPr>
          <w:rFonts w:eastAsia="Times New Roman" w:cs="Times New Roman"/>
          <w:sz w:val="20"/>
          <w:szCs w:val="20"/>
          <w:lang w:val="fr-CA" w:eastAsia="en-CA"/>
        </w:rPr>
      </w:pPr>
      <w:r w:rsidRPr="00CB7D73">
        <w:rPr>
          <w:rFonts w:eastAsia="Times New Roman" w:cs="Times New Roman"/>
          <w:b/>
          <w:sz w:val="20"/>
          <w:szCs w:val="20"/>
          <w:lang w:val="fr-CA" w:eastAsia="en-CA"/>
        </w:rPr>
        <w:t xml:space="preserve">VU </w:t>
      </w:r>
      <w:r w:rsidRPr="00CB7D73">
        <w:rPr>
          <w:rFonts w:eastAsia="Times New Roman" w:cs="Times New Roman"/>
          <w:sz w:val="20"/>
          <w:szCs w:val="20"/>
          <w:lang w:val="fr-CA" w:eastAsia="en-CA"/>
        </w:rPr>
        <w:t>le</w:t>
      </w:r>
      <w:r w:rsidRPr="00CB7D73">
        <w:rPr>
          <w:rFonts w:eastAsia="Times New Roman" w:cs="Times New Roman"/>
          <w:b/>
          <w:sz w:val="20"/>
          <w:szCs w:val="20"/>
          <w:lang w:val="fr-CA" w:eastAsia="en-CA"/>
        </w:rPr>
        <w:t xml:space="preserve"> </w:t>
      </w:r>
      <w:r w:rsidRPr="00CB7D73">
        <w:rPr>
          <w:rFonts w:eastAsia="Times New Roman" w:cs="Times New Roman"/>
          <w:sz w:val="20"/>
          <w:szCs w:val="20"/>
          <w:lang w:val="fr-CA" w:eastAsia="en-CA"/>
        </w:rPr>
        <w:t>souhait de la requérante, M</w:t>
      </w:r>
      <w:r w:rsidRPr="00CB7D73">
        <w:rPr>
          <w:rFonts w:eastAsia="Times New Roman" w:cs="Times New Roman"/>
          <w:sz w:val="20"/>
          <w:szCs w:val="20"/>
          <w:vertAlign w:val="superscript"/>
          <w:lang w:val="fr-CA" w:eastAsia="en-CA"/>
        </w:rPr>
        <w:t>me</w:t>
      </w:r>
      <w:r w:rsidRPr="00CB7D73">
        <w:rPr>
          <w:rFonts w:eastAsia="Times New Roman" w:cs="Times New Roman"/>
          <w:sz w:val="20"/>
          <w:szCs w:val="20"/>
          <w:lang w:val="fr-CA" w:eastAsia="en-CA"/>
        </w:rPr>
        <w:t xml:space="preserve"> Weihua Shi, de déposer une requête en vertu de l’art. 78 des </w:t>
      </w:r>
      <w:r w:rsidRPr="00CB7D73">
        <w:rPr>
          <w:rFonts w:eastAsia="Times New Roman" w:cs="Times New Roman"/>
          <w:i/>
          <w:sz w:val="20"/>
          <w:szCs w:val="20"/>
          <w:lang w:val="fr-CA" w:eastAsia="en-CA"/>
        </w:rPr>
        <w:t>Règles de la Cour suprême du Canada</w:t>
      </w:r>
      <w:r w:rsidRPr="00CB7D73">
        <w:rPr>
          <w:rFonts w:eastAsia="Times New Roman" w:cs="Times New Roman"/>
          <w:sz w:val="20"/>
          <w:szCs w:val="20"/>
          <w:lang w:val="fr-CA" w:eastAsia="en-CA"/>
        </w:rPr>
        <w:t>, sollicitant la révision de la décision du registraire du 9 octobre 2014 de refuser le dépôt de sa deuxième demande d’autorisation d’appel;</w:t>
      </w:r>
    </w:p>
    <w:p w:rsidR="00CB7D73" w:rsidRPr="00CB7D73" w:rsidRDefault="00CB7D73" w:rsidP="00CB7D73">
      <w:pPr>
        <w:spacing w:line="233" w:lineRule="auto"/>
        <w:jc w:val="both"/>
        <w:rPr>
          <w:rFonts w:eastAsia="Times New Roman" w:cs="Times New Roman"/>
          <w:sz w:val="20"/>
          <w:szCs w:val="20"/>
          <w:lang w:val="fr-CA" w:eastAsia="en-CA"/>
        </w:rPr>
      </w:pPr>
    </w:p>
    <w:p w:rsidR="00CB7D73" w:rsidRPr="00CB7D73" w:rsidRDefault="00CB7D73" w:rsidP="00CB7D73">
      <w:pPr>
        <w:spacing w:line="233" w:lineRule="auto"/>
        <w:jc w:val="both"/>
        <w:rPr>
          <w:rFonts w:eastAsia="Times New Roman" w:cs="Times New Roman"/>
          <w:sz w:val="20"/>
          <w:szCs w:val="20"/>
          <w:lang w:val="fr-CA" w:eastAsia="en-CA"/>
        </w:rPr>
      </w:pPr>
      <w:r w:rsidRPr="00CB7D73">
        <w:rPr>
          <w:rFonts w:eastAsia="Times New Roman" w:cs="Times New Roman"/>
          <w:b/>
          <w:sz w:val="20"/>
          <w:szCs w:val="20"/>
          <w:lang w:val="fr-CA" w:eastAsia="en-CA"/>
        </w:rPr>
        <w:t>ET VU</w:t>
      </w:r>
      <w:r w:rsidRPr="00CB7D73">
        <w:rPr>
          <w:rFonts w:eastAsia="Times New Roman" w:cs="Times New Roman"/>
          <w:sz w:val="20"/>
          <w:szCs w:val="20"/>
          <w:lang w:val="fr-CA" w:eastAsia="en-CA"/>
        </w:rPr>
        <w:t xml:space="preserve"> le renvoi par le registraire à un juge, en vertu de l’art. 13 des </w:t>
      </w:r>
      <w:r w:rsidRPr="00CB7D73">
        <w:rPr>
          <w:rFonts w:eastAsia="Times New Roman" w:cs="Times New Roman"/>
          <w:i/>
          <w:sz w:val="20"/>
          <w:szCs w:val="20"/>
          <w:lang w:val="fr-CA" w:eastAsia="en-CA"/>
        </w:rPr>
        <w:t>Règles de la Cour suprême du Canada</w:t>
      </w:r>
      <w:r w:rsidRPr="00CB7D73">
        <w:rPr>
          <w:rFonts w:eastAsia="Times New Roman" w:cs="Times New Roman"/>
          <w:sz w:val="20"/>
          <w:szCs w:val="20"/>
          <w:lang w:val="fr-CA" w:eastAsia="en-CA"/>
        </w:rPr>
        <w:t>, de la question de savoir si le dépôt de la requête de M</w:t>
      </w:r>
      <w:r w:rsidRPr="00CB7D73">
        <w:rPr>
          <w:rFonts w:eastAsia="Times New Roman" w:cs="Times New Roman"/>
          <w:sz w:val="20"/>
          <w:szCs w:val="20"/>
          <w:vertAlign w:val="superscript"/>
          <w:lang w:val="fr-CA" w:eastAsia="en-CA"/>
        </w:rPr>
        <w:t>me</w:t>
      </w:r>
      <w:r w:rsidRPr="00CB7D73">
        <w:rPr>
          <w:rFonts w:eastAsia="Times New Roman" w:cs="Times New Roman"/>
          <w:sz w:val="20"/>
          <w:szCs w:val="20"/>
          <w:lang w:val="fr-CA" w:eastAsia="en-CA"/>
        </w:rPr>
        <w:t xml:space="preserve"> Shi présentée en vertu de l’art. 78 devrait être accepté; </w:t>
      </w:r>
    </w:p>
    <w:p w:rsidR="00CB7D73" w:rsidRPr="00CB7D73" w:rsidRDefault="00CB7D73" w:rsidP="00CB7D73">
      <w:pPr>
        <w:spacing w:line="233" w:lineRule="auto"/>
        <w:jc w:val="both"/>
        <w:rPr>
          <w:rFonts w:eastAsia="Times New Roman" w:cs="Times New Roman"/>
          <w:sz w:val="20"/>
          <w:szCs w:val="20"/>
          <w:lang w:val="fr-CA" w:eastAsia="en-CA"/>
        </w:rPr>
      </w:pPr>
    </w:p>
    <w:p w:rsidR="00CB7D73" w:rsidRPr="00CB7D73" w:rsidRDefault="00CB7D73" w:rsidP="00CB7D73">
      <w:pPr>
        <w:spacing w:line="233" w:lineRule="auto"/>
        <w:jc w:val="both"/>
        <w:rPr>
          <w:rFonts w:eastAsia="Times New Roman" w:cs="Times New Roman"/>
          <w:sz w:val="20"/>
          <w:szCs w:val="20"/>
          <w:lang w:val="fr-CA" w:eastAsia="en-CA"/>
        </w:rPr>
      </w:pPr>
      <w:r w:rsidRPr="00CB7D73">
        <w:rPr>
          <w:rFonts w:eastAsia="Times New Roman" w:cs="Times New Roman"/>
          <w:b/>
          <w:sz w:val="20"/>
          <w:szCs w:val="20"/>
          <w:lang w:val="fr-CA" w:eastAsia="en-CA"/>
        </w:rPr>
        <w:t xml:space="preserve">ET APRÈS EXAMEN </w:t>
      </w:r>
      <w:r w:rsidRPr="00CB7D73">
        <w:rPr>
          <w:rFonts w:eastAsia="Times New Roman" w:cs="Times New Roman"/>
          <w:sz w:val="20"/>
          <w:szCs w:val="20"/>
          <w:lang w:val="fr-CA" w:eastAsia="en-CA"/>
        </w:rPr>
        <w:t>des documents;</w:t>
      </w:r>
    </w:p>
    <w:p w:rsidR="00CB7D73" w:rsidRPr="00CB7D73" w:rsidRDefault="00CB7D73" w:rsidP="00CB7D73">
      <w:pPr>
        <w:spacing w:line="233" w:lineRule="auto"/>
        <w:jc w:val="both"/>
        <w:rPr>
          <w:rFonts w:eastAsia="Times New Roman" w:cs="Times New Roman"/>
          <w:sz w:val="20"/>
          <w:szCs w:val="20"/>
          <w:lang w:val="fr-CA" w:eastAsia="en-CA"/>
        </w:rPr>
      </w:pPr>
    </w:p>
    <w:p w:rsidR="00CB7D73" w:rsidRPr="00CB7D73" w:rsidRDefault="00CB7D73" w:rsidP="00CB7D73">
      <w:pPr>
        <w:spacing w:line="233" w:lineRule="auto"/>
        <w:jc w:val="both"/>
        <w:rPr>
          <w:rFonts w:eastAsia="Times New Roman" w:cs="Times New Roman"/>
          <w:b/>
          <w:sz w:val="20"/>
          <w:szCs w:val="20"/>
          <w:lang w:val="fr-CA" w:eastAsia="en-CA"/>
        </w:rPr>
      </w:pPr>
      <w:r w:rsidRPr="00CB7D73">
        <w:rPr>
          <w:rFonts w:eastAsia="Times New Roman" w:cs="Times New Roman"/>
          <w:b/>
          <w:sz w:val="20"/>
          <w:szCs w:val="20"/>
          <w:lang w:val="fr-CA" w:eastAsia="en-CA"/>
        </w:rPr>
        <w:t>IL EST ORDONNÉ QUE :</w:t>
      </w:r>
    </w:p>
    <w:p w:rsidR="00CB7D73" w:rsidRPr="00CB7D73" w:rsidRDefault="00CB7D73" w:rsidP="00CB7D73">
      <w:pPr>
        <w:spacing w:line="233" w:lineRule="auto"/>
        <w:jc w:val="both"/>
        <w:rPr>
          <w:rFonts w:eastAsia="Times New Roman" w:cs="Times New Roman"/>
          <w:sz w:val="20"/>
          <w:szCs w:val="20"/>
          <w:lang w:val="fr-CA" w:eastAsia="en-CA"/>
        </w:rPr>
      </w:pPr>
    </w:p>
    <w:p w:rsidR="00CB7D73" w:rsidRPr="00CB7D73" w:rsidRDefault="00CB7D73" w:rsidP="00CB7D73">
      <w:pPr>
        <w:spacing w:line="233" w:lineRule="auto"/>
        <w:jc w:val="both"/>
        <w:rPr>
          <w:rFonts w:eastAsia="Times New Roman" w:cs="Times New Roman"/>
          <w:sz w:val="20"/>
          <w:szCs w:val="20"/>
          <w:lang w:val="fr-CA" w:eastAsia="en-CA"/>
        </w:rPr>
      </w:pPr>
      <w:r w:rsidRPr="00CB7D73">
        <w:rPr>
          <w:rFonts w:eastAsia="Times New Roman" w:cs="Times New Roman"/>
          <w:sz w:val="20"/>
          <w:szCs w:val="20"/>
          <w:lang w:val="fr-CA" w:eastAsia="en-CA"/>
        </w:rPr>
        <w:t>Le registraire n’accepte pas le dépôt de la requête, présentée par M</w:t>
      </w:r>
      <w:r w:rsidRPr="00CB7D73">
        <w:rPr>
          <w:rFonts w:eastAsia="Times New Roman" w:cs="Times New Roman"/>
          <w:sz w:val="20"/>
          <w:szCs w:val="20"/>
          <w:vertAlign w:val="superscript"/>
          <w:lang w:val="fr-CA" w:eastAsia="en-CA"/>
        </w:rPr>
        <w:t>me</w:t>
      </w:r>
      <w:r w:rsidRPr="00CB7D73">
        <w:rPr>
          <w:rFonts w:eastAsia="Times New Roman" w:cs="Times New Roman"/>
          <w:sz w:val="20"/>
          <w:szCs w:val="20"/>
          <w:lang w:val="fr-CA" w:eastAsia="en-CA"/>
        </w:rPr>
        <w:t xml:space="preserve"> Shi en vertu de l’art. 78, qui n’est pas conforme aux </w:t>
      </w:r>
      <w:r w:rsidRPr="00CB7D73">
        <w:rPr>
          <w:rFonts w:eastAsia="Times New Roman" w:cs="Times New Roman"/>
          <w:i/>
          <w:sz w:val="20"/>
          <w:szCs w:val="20"/>
          <w:lang w:val="fr-CA" w:eastAsia="en-CA"/>
        </w:rPr>
        <w:t>Règles de la Cour suprême du Canada</w:t>
      </w:r>
      <w:r w:rsidRPr="00CB7D73">
        <w:rPr>
          <w:rFonts w:eastAsia="Times New Roman" w:cs="Times New Roman"/>
          <w:sz w:val="20"/>
          <w:szCs w:val="20"/>
          <w:lang w:val="fr-CA" w:eastAsia="en-CA"/>
        </w:rPr>
        <w:t xml:space="preserve"> parce que l’art. 78 ne donne pas ouverture à une révision dans les circonstances.</w:t>
      </w:r>
    </w:p>
    <w:p w:rsidR="00CB7D73" w:rsidRPr="00CB7D73" w:rsidRDefault="00CB7D73" w:rsidP="00CB7D73">
      <w:pPr>
        <w:spacing w:line="233" w:lineRule="auto"/>
        <w:jc w:val="both"/>
        <w:rPr>
          <w:rFonts w:eastAsia="Times New Roman" w:cs="Times New Roman"/>
          <w:sz w:val="20"/>
          <w:szCs w:val="20"/>
          <w:lang w:val="fr-CA" w:eastAsia="en-CA"/>
        </w:rPr>
      </w:pPr>
    </w:p>
    <w:p w:rsidR="00CB7D73" w:rsidRPr="00CB7D73" w:rsidRDefault="00CB7D73" w:rsidP="00CB7D73">
      <w:pPr>
        <w:spacing w:line="233" w:lineRule="auto"/>
        <w:jc w:val="both"/>
        <w:rPr>
          <w:rFonts w:eastAsia="Times New Roman" w:cs="Times New Roman"/>
          <w:sz w:val="20"/>
          <w:szCs w:val="20"/>
          <w:lang w:val="fr-CA" w:eastAsia="en-CA"/>
        </w:rPr>
      </w:pPr>
      <w:r w:rsidRPr="00CB7D73">
        <w:rPr>
          <w:rFonts w:eastAsia="Times New Roman" w:cs="Times New Roman"/>
          <w:sz w:val="20"/>
          <w:szCs w:val="20"/>
          <w:lang w:val="fr-CA" w:eastAsia="en-CA"/>
        </w:rPr>
        <w:t xml:space="preserve">Le registraire retourne les documents à la requérante. </w:t>
      </w:r>
    </w:p>
    <w:p w:rsidR="00CB7D73" w:rsidRPr="00CB7D73" w:rsidRDefault="00CB7D73" w:rsidP="00CB7D73">
      <w:pPr>
        <w:tabs>
          <w:tab w:val="left" w:pos="-1440"/>
          <w:tab w:val="left" w:pos="-720"/>
        </w:tabs>
        <w:jc w:val="both"/>
        <w:rPr>
          <w:rFonts w:eastAsia="Times New Roman" w:cs="Times New Roman"/>
          <w:sz w:val="20"/>
          <w:szCs w:val="20"/>
          <w:lang w:val="fr-CA" w:eastAsia="en-CA"/>
        </w:rPr>
      </w:pPr>
    </w:p>
    <w:p w:rsidR="00CB7D73" w:rsidRPr="00CB7D73" w:rsidRDefault="00E42AAB" w:rsidP="00CB7D73">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99" style="width:2in;height:1pt" o:hrpct="0" o:hralign="center" o:hrstd="t" o:hrnoshade="t" o:hr="t" fillcolor="black [3213]" stroked="f"/>
        </w:pict>
      </w:r>
    </w:p>
    <w:p w:rsidR="00CB7D73" w:rsidRDefault="00CB7D73" w:rsidP="00CB7D73">
      <w:pPr>
        <w:rPr>
          <w:rFonts w:eastAsia="Times New Roman" w:cs="Times New Roman"/>
          <w:sz w:val="20"/>
          <w:szCs w:val="20"/>
          <w:lang w:val="fr-CA" w:eastAsia="en-CA"/>
        </w:rPr>
      </w:pPr>
    </w:p>
    <w:p w:rsidR="00CB7D73" w:rsidRPr="00CB7D73" w:rsidRDefault="00CB7D73" w:rsidP="00CB7D73">
      <w:pPr>
        <w:rPr>
          <w:rFonts w:eastAsia="Times New Roman" w:cs="Times New Roman"/>
          <w:sz w:val="20"/>
          <w:szCs w:val="20"/>
          <w:lang w:val="fr-CA" w:eastAsia="en-CA"/>
        </w:rPr>
      </w:pPr>
      <w:r w:rsidRPr="00CB7D73">
        <w:rPr>
          <w:rFonts w:eastAsia="Times New Roman" w:cs="Times New Roman"/>
          <w:sz w:val="20"/>
          <w:szCs w:val="20"/>
          <w:lang w:val="fr-CA" w:eastAsia="en-CA"/>
        </w:rPr>
        <w:br w:type="page"/>
      </w:r>
    </w:p>
    <w:p w:rsidR="00CB7D73" w:rsidRPr="00CB7D73" w:rsidRDefault="00CB7D73" w:rsidP="00CB7D73">
      <w:pPr>
        <w:tabs>
          <w:tab w:val="left" w:pos="-1440"/>
          <w:tab w:val="left" w:pos="-720"/>
        </w:tabs>
        <w:jc w:val="both"/>
        <w:rPr>
          <w:rFonts w:eastAsia="Times New Roman" w:cs="Times New Roman"/>
          <w:sz w:val="20"/>
          <w:szCs w:val="20"/>
          <w:lang w:val="fr-CA" w:eastAsia="en-CA"/>
        </w:rPr>
      </w:pPr>
      <w:r w:rsidRPr="00CB7D73">
        <w:rPr>
          <w:rFonts w:eastAsia="Times New Roman" w:cs="Times New Roman"/>
          <w:sz w:val="20"/>
          <w:szCs w:val="20"/>
          <w:lang w:val="fr-CA" w:eastAsia="en-CA"/>
        </w:rPr>
        <w:lastRenderedPageBreak/>
        <w:t>16.01.2015</w:t>
      </w:r>
    </w:p>
    <w:p w:rsidR="00CB7D73" w:rsidRPr="00CB7D73" w:rsidRDefault="00CB7D73" w:rsidP="00CB7D73">
      <w:pPr>
        <w:tabs>
          <w:tab w:val="left" w:pos="-1440"/>
          <w:tab w:val="left" w:pos="-720"/>
        </w:tabs>
        <w:jc w:val="both"/>
        <w:rPr>
          <w:rFonts w:eastAsia="Times New Roman" w:cs="Times New Roman"/>
          <w:sz w:val="20"/>
          <w:szCs w:val="20"/>
          <w:lang w:val="fr-CA" w:eastAsia="en-CA"/>
        </w:rPr>
      </w:pPr>
    </w:p>
    <w:p w:rsidR="00CB7D73" w:rsidRPr="00CB7D73" w:rsidRDefault="00CB7D73" w:rsidP="00CB7D73">
      <w:pPr>
        <w:tabs>
          <w:tab w:val="left" w:pos="-1440"/>
          <w:tab w:val="left" w:pos="-720"/>
        </w:tabs>
        <w:jc w:val="both"/>
        <w:rPr>
          <w:rFonts w:eastAsia="Times New Roman" w:cs="Times New Roman"/>
          <w:sz w:val="20"/>
          <w:szCs w:val="20"/>
          <w:lang w:val="fr-CA" w:eastAsia="en-CA"/>
        </w:rPr>
      </w:pPr>
      <w:r w:rsidRPr="00CB7D73">
        <w:rPr>
          <w:rFonts w:eastAsia="Times New Roman" w:cs="Times New Roman"/>
          <w:sz w:val="20"/>
          <w:szCs w:val="20"/>
          <w:lang w:val="fr-CA" w:eastAsia="en-CA"/>
        </w:rPr>
        <w:t>Before / Devant :   THE CHIEF JUSTICE / LA JUGE EN CHEF</w:t>
      </w:r>
    </w:p>
    <w:p w:rsidR="00CB7D73" w:rsidRPr="00CB7D73" w:rsidRDefault="00CB7D73" w:rsidP="00CB7D73">
      <w:pPr>
        <w:tabs>
          <w:tab w:val="left" w:pos="-1440"/>
          <w:tab w:val="left" w:pos="-720"/>
        </w:tabs>
        <w:jc w:val="both"/>
        <w:rPr>
          <w:rFonts w:eastAsia="Times New Roman" w:cs="Times New Roman"/>
          <w:sz w:val="20"/>
          <w:szCs w:val="20"/>
          <w:lang w:val="fr-CA" w:eastAsia="en-CA"/>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CB7D73" w:rsidRPr="00CB7D73" w:rsidTr="00CB7D73">
        <w:trPr>
          <w:trHeight w:val="151"/>
        </w:trPr>
        <w:tc>
          <w:tcPr>
            <w:tcW w:w="4338" w:type="dxa"/>
          </w:tcPr>
          <w:p w:rsidR="00CB7D73" w:rsidRPr="00CB7D73" w:rsidRDefault="006F7944" w:rsidP="00CB7D73">
            <w:pPr>
              <w:tabs>
                <w:tab w:val="left" w:pos="-1440"/>
                <w:tab w:val="left" w:pos="-720"/>
              </w:tabs>
              <w:jc w:val="both"/>
              <w:rPr>
                <w:lang w:val="fr-CA"/>
              </w:rPr>
            </w:pPr>
            <w:r w:rsidRPr="00CB7D73">
              <w:rPr>
                <w:lang w:val="en-US"/>
              </w:rPr>
              <w:fldChar w:fldCharType="begin"/>
            </w:r>
            <w:r w:rsidR="00CB7D73" w:rsidRPr="00CB7D73">
              <w:rPr>
                <w:lang w:val="fr-CA"/>
              </w:rPr>
              <w:instrText xml:space="preserve"> SEQ CHAPTER \h \r 1</w:instrText>
            </w:r>
            <w:r w:rsidRPr="00CB7D73">
              <w:rPr>
                <w:lang w:val="en-US"/>
              </w:rPr>
              <w:fldChar w:fldCharType="end"/>
            </w:r>
            <w:r w:rsidR="00CB7D73" w:rsidRPr="00CB7D73">
              <w:rPr>
                <w:b/>
                <w:bCs/>
                <w:lang w:val="fr-CA"/>
              </w:rPr>
              <w:t>Order</w:t>
            </w:r>
          </w:p>
          <w:p w:rsidR="00CB7D73" w:rsidRPr="00CB7D73" w:rsidRDefault="006F7944" w:rsidP="00CB7D73">
            <w:pPr>
              <w:tabs>
                <w:tab w:val="left" w:pos="-1440"/>
                <w:tab w:val="left" w:pos="-720"/>
              </w:tabs>
              <w:jc w:val="both"/>
              <w:rPr>
                <w:lang w:val="fr-CA"/>
              </w:rPr>
            </w:pPr>
            <w:r w:rsidRPr="00CB7D73">
              <w:rPr>
                <w:lang w:val="en-US"/>
              </w:rPr>
              <w:fldChar w:fldCharType="begin"/>
            </w:r>
            <w:r w:rsidR="00CB7D73" w:rsidRPr="00CB7D73">
              <w:rPr>
                <w:lang w:val="fr-CA"/>
              </w:rPr>
              <w:instrText xml:space="preserve"> SEQ CHAPTER \h \r 1</w:instrText>
            </w:r>
            <w:r w:rsidRPr="00CB7D73">
              <w:rPr>
                <w:lang w:val="en-US"/>
              </w:rPr>
              <w:fldChar w:fldCharType="end"/>
            </w:r>
          </w:p>
        </w:tc>
        <w:tc>
          <w:tcPr>
            <w:tcW w:w="1170" w:type="dxa"/>
          </w:tcPr>
          <w:p w:rsidR="00CB7D73" w:rsidRPr="00CB7D73" w:rsidRDefault="00CB7D73" w:rsidP="00CB7D73">
            <w:pPr>
              <w:jc w:val="both"/>
              <w:rPr>
                <w:lang w:val="fr-CA"/>
              </w:rPr>
            </w:pPr>
          </w:p>
          <w:p w:rsidR="00CB7D73" w:rsidRPr="00CB7D73" w:rsidRDefault="00CB7D73" w:rsidP="00CB7D73">
            <w:pPr>
              <w:jc w:val="both"/>
              <w:rPr>
                <w:lang w:val="fr-CA"/>
              </w:rPr>
            </w:pPr>
          </w:p>
        </w:tc>
        <w:tc>
          <w:tcPr>
            <w:tcW w:w="4327" w:type="dxa"/>
          </w:tcPr>
          <w:p w:rsidR="00CB7D73" w:rsidRPr="00CB7D73" w:rsidRDefault="006F7944" w:rsidP="00CB7D73">
            <w:pPr>
              <w:jc w:val="both"/>
              <w:rPr>
                <w:b/>
                <w:lang w:val="fr-CA"/>
              </w:rPr>
            </w:pPr>
            <w:r w:rsidRPr="00CB7D73">
              <w:rPr>
                <w:szCs w:val="24"/>
                <w:lang w:val="en-US"/>
              </w:rPr>
              <w:fldChar w:fldCharType="begin"/>
            </w:r>
            <w:r w:rsidR="00CB7D73" w:rsidRPr="00CB7D73">
              <w:rPr>
                <w:szCs w:val="24"/>
                <w:lang w:val="fr-CA"/>
              </w:rPr>
              <w:instrText xml:space="preserve"> SEQ CHAPTER \h \r 1</w:instrText>
            </w:r>
            <w:r w:rsidRPr="00CB7D73">
              <w:rPr>
                <w:szCs w:val="24"/>
                <w:lang w:val="en-US"/>
              </w:rPr>
              <w:fldChar w:fldCharType="end"/>
            </w:r>
            <w:r w:rsidR="00CB7D73" w:rsidRPr="00CB7D73">
              <w:rPr>
                <w:b/>
                <w:bCs/>
                <w:lang w:val="fr-CA"/>
              </w:rPr>
              <w:t>Ordonnance</w:t>
            </w:r>
          </w:p>
          <w:p w:rsidR="00CB7D73" w:rsidRPr="00CB7D73" w:rsidRDefault="006F7944" w:rsidP="00CB7D73">
            <w:pPr>
              <w:jc w:val="both"/>
              <w:rPr>
                <w:b/>
                <w:lang w:val="fr-CA"/>
              </w:rPr>
            </w:pPr>
            <w:r w:rsidRPr="00CB7D73">
              <w:rPr>
                <w:b/>
                <w:lang w:val="en-US"/>
              </w:rPr>
              <w:fldChar w:fldCharType="begin"/>
            </w:r>
            <w:r w:rsidR="00CB7D73" w:rsidRPr="00CB7D73">
              <w:rPr>
                <w:b/>
                <w:lang w:val="fr-CA"/>
              </w:rPr>
              <w:instrText xml:space="preserve"> SEQ CHAPTER \h \r 1</w:instrText>
            </w:r>
            <w:r w:rsidRPr="00CB7D73">
              <w:rPr>
                <w:b/>
                <w:lang w:val="en-US"/>
              </w:rPr>
              <w:fldChar w:fldCharType="end"/>
            </w:r>
            <w:r w:rsidRPr="00CB7D73">
              <w:rPr>
                <w:b/>
                <w:lang w:val="en-US"/>
              </w:rPr>
              <w:fldChar w:fldCharType="begin"/>
            </w:r>
            <w:r w:rsidR="00CB7D73" w:rsidRPr="00CB7D73">
              <w:rPr>
                <w:b/>
                <w:lang w:val="fr-CA"/>
              </w:rPr>
              <w:instrText xml:space="preserve"> SEQ CHAPTER \h \r 1</w:instrText>
            </w:r>
            <w:r w:rsidRPr="00CB7D73">
              <w:rPr>
                <w:b/>
                <w:lang w:val="en-US"/>
              </w:rPr>
              <w:fldChar w:fldCharType="end"/>
            </w:r>
          </w:p>
        </w:tc>
      </w:tr>
      <w:tr w:rsidR="00CB7D73" w:rsidRPr="0025502E" w:rsidTr="00CB7D73">
        <w:trPr>
          <w:trHeight w:val="150"/>
        </w:trPr>
        <w:tc>
          <w:tcPr>
            <w:tcW w:w="4338" w:type="dxa"/>
          </w:tcPr>
          <w:p w:rsidR="00CB7D73" w:rsidRPr="00CB7D73" w:rsidRDefault="00CB7D73" w:rsidP="00CB7D73">
            <w:pPr>
              <w:tabs>
                <w:tab w:val="left" w:pos="-1440"/>
                <w:tab w:val="left" w:pos="-720"/>
              </w:tabs>
              <w:jc w:val="both"/>
              <w:rPr>
                <w:lang w:val="fr-CA"/>
              </w:rPr>
            </w:pPr>
            <w:r w:rsidRPr="00CB7D73">
              <w:rPr>
                <w:lang w:val="fr-CA"/>
              </w:rPr>
              <w:t>Commission scolaire de Laval et autre</w:t>
            </w:r>
          </w:p>
          <w:p w:rsidR="00CB7D73" w:rsidRPr="00CB7D73" w:rsidRDefault="00CB7D73" w:rsidP="00CB7D73">
            <w:pPr>
              <w:tabs>
                <w:tab w:val="left" w:pos="-1440"/>
                <w:tab w:val="left" w:pos="-720"/>
              </w:tabs>
              <w:jc w:val="both"/>
              <w:rPr>
                <w:lang w:val="fr-CA"/>
              </w:rPr>
            </w:pPr>
          </w:p>
          <w:p w:rsidR="00CB7D73" w:rsidRPr="00CB7D73" w:rsidRDefault="00CB7D73" w:rsidP="00CB7D73">
            <w:pPr>
              <w:tabs>
                <w:tab w:val="left" w:pos="-1440"/>
                <w:tab w:val="left" w:pos="-720"/>
              </w:tabs>
              <w:jc w:val="both"/>
              <w:rPr>
                <w:lang w:val="fr-CA"/>
              </w:rPr>
            </w:pPr>
            <w:r w:rsidRPr="00CB7D73">
              <w:rPr>
                <w:lang w:val="fr-CA"/>
              </w:rPr>
              <w:tab/>
              <w:t>c. (35898)</w:t>
            </w:r>
          </w:p>
          <w:p w:rsidR="00CB7D73" w:rsidRPr="00CB7D73" w:rsidRDefault="00CB7D73" w:rsidP="00CB7D73">
            <w:pPr>
              <w:tabs>
                <w:tab w:val="left" w:pos="-1440"/>
                <w:tab w:val="left" w:pos="-720"/>
              </w:tabs>
              <w:jc w:val="both"/>
              <w:rPr>
                <w:lang w:val="fr-CA"/>
              </w:rPr>
            </w:pPr>
          </w:p>
          <w:p w:rsidR="00CB7D73" w:rsidRPr="00CB7D73" w:rsidRDefault="00CB7D73" w:rsidP="00CB7D73">
            <w:pPr>
              <w:tabs>
                <w:tab w:val="left" w:pos="-1440"/>
                <w:tab w:val="left" w:pos="-720"/>
              </w:tabs>
              <w:jc w:val="both"/>
              <w:rPr>
                <w:lang w:val="fr-CA"/>
              </w:rPr>
            </w:pPr>
            <w:r w:rsidRPr="00CB7D73">
              <w:rPr>
                <w:lang w:val="fr-CA"/>
              </w:rPr>
              <w:t>Syndicat de l’enseignement de la region de Laval et autre (Qc)</w:t>
            </w:r>
          </w:p>
        </w:tc>
        <w:tc>
          <w:tcPr>
            <w:tcW w:w="1170" w:type="dxa"/>
          </w:tcPr>
          <w:p w:rsidR="00CB7D73" w:rsidRPr="00CB7D73" w:rsidRDefault="00CB7D73" w:rsidP="00CB7D73">
            <w:pPr>
              <w:jc w:val="both"/>
              <w:rPr>
                <w:lang w:val="fr-CA"/>
              </w:rPr>
            </w:pPr>
          </w:p>
        </w:tc>
        <w:tc>
          <w:tcPr>
            <w:tcW w:w="4327" w:type="dxa"/>
          </w:tcPr>
          <w:p w:rsidR="00CB7D73" w:rsidRPr="00CB7D73" w:rsidRDefault="00CB7D73" w:rsidP="00CB7D73">
            <w:pPr>
              <w:jc w:val="both"/>
              <w:rPr>
                <w:lang w:val="fr-CA"/>
              </w:rPr>
            </w:pPr>
          </w:p>
        </w:tc>
      </w:tr>
    </w:tbl>
    <w:p w:rsidR="00CB7D73" w:rsidRPr="00CB7D73" w:rsidRDefault="00CB7D73" w:rsidP="00CB7D73">
      <w:pPr>
        <w:tabs>
          <w:tab w:val="left" w:pos="-1440"/>
          <w:tab w:val="left" w:pos="-720"/>
        </w:tabs>
        <w:jc w:val="both"/>
        <w:rPr>
          <w:rFonts w:eastAsia="Times New Roman" w:cs="Times New Roman"/>
          <w:sz w:val="20"/>
          <w:szCs w:val="20"/>
          <w:lang w:val="fr-CA" w:eastAsia="en-CA"/>
        </w:rPr>
      </w:pPr>
    </w:p>
    <w:p w:rsidR="00CB7D73" w:rsidRPr="00CB7D73" w:rsidRDefault="00CB7D73" w:rsidP="00CB7D73">
      <w:pPr>
        <w:jc w:val="both"/>
        <w:rPr>
          <w:rFonts w:eastAsia="Times New Roman" w:cs="Times New Roman"/>
          <w:b/>
          <w:sz w:val="20"/>
          <w:szCs w:val="20"/>
          <w:lang w:val="fr-CA" w:eastAsia="en-CA"/>
        </w:rPr>
      </w:pPr>
      <w:r w:rsidRPr="00CB7D73">
        <w:rPr>
          <w:rFonts w:eastAsia="Times New Roman" w:cs="Times New Roman"/>
          <w:b/>
          <w:sz w:val="20"/>
          <w:szCs w:val="20"/>
          <w:lang w:val="fr-CA" w:eastAsia="en-CA"/>
        </w:rPr>
        <w:t>IL EST ORDONNÉ CE QUI SUIT :</w:t>
      </w:r>
    </w:p>
    <w:p w:rsidR="00CB7D73" w:rsidRPr="00CB7D73" w:rsidRDefault="00CB7D73" w:rsidP="00CB7D73">
      <w:pPr>
        <w:jc w:val="both"/>
        <w:rPr>
          <w:rFonts w:eastAsia="Times New Roman" w:cs="Times New Roman"/>
          <w:sz w:val="20"/>
          <w:szCs w:val="20"/>
          <w:lang w:val="fr-CA" w:eastAsia="en-CA"/>
        </w:rPr>
      </w:pPr>
    </w:p>
    <w:p w:rsidR="00CB7D73" w:rsidRPr="00CB7D73" w:rsidRDefault="00CB7D73" w:rsidP="00CB7D73">
      <w:pPr>
        <w:widowControl w:val="0"/>
        <w:numPr>
          <w:ilvl w:val="0"/>
          <w:numId w:val="11"/>
        </w:numPr>
        <w:autoSpaceDE w:val="0"/>
        <w:autoSpaceDN w:val="0"/>
        <w:adjustRightInd w:val="0"/>
        <w:contextualSpacing/>
        <w:jc w:val="both"/>
        <w:rPr>
          <w:rFonts w:cs="Times New Roman"/>
          <w:sz w:val="20"/>
          <w:szCs w:val="20"/>
          <w:lang w:val="fr-CA"/>
        </w:rPr>
      </w:pPr>
      <w:r w:rsidRPr="00CB7D73">
        <w:rPr>
          <w:rFonts w:cs="Times New Roman"/>
          <w:sz w:val="20"/>
          <w:szCs w:val="20"/>
          <w:lang w:val="fr-CA"/>
        </w:rPr>
        <w:t>Les appelantes devront signifier et déposer leurs dossier, mémoire et recueil de sources au plus tard le 5 mars 2015.</w:t>
      </w:r>
    </w:p>
    <w:p w:rsidR="00CB7D73" w:rsidRPr="00CB7D73" w:rsidRDefault="00CB7D73" w:rsidP="00CB7D73">
      <w:pPr>
        <w:ind w:left="720"/>
        <w:contextualSpacing/>
        <w:jc w:val="both"/>
        <w:rPr>
          <w:rFonts w:cs="Times New Roman"/>
          <w:sz w:val="20"/>
          <w:szCs w:val="20"/>
          <w:lang w:val="fr-CA"/>
        </w:rPr>
      </w:pPr>
    </w:p>
    <w:p w:rsidR="00CB7D73" w:rsidRPr="00CB7D73" w:rsidRDefault="00CB7D73" w:rsidP="00CB7D73">
      <w:pPr>
        <w:widowControl w:val="0"/>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cs="Times New Roman"/>
          <w:sz w:val="20"/>
          <w:szCs w:val="20"/>
          <w:lang w:val="fr-CA"/>
        </w:rPr>
      </w:pPr>
      <w:r w:rsidRPr="00CB7D73">
        <w:rPr>
          <w:rFonts w:cs="Times New Roman"/>
          <w:sz w:val="20"/>
          <w:szCs w:val="20"/>
          <w:lang w:val="fr-CA"/>
        </w:rPr>
        <w:t xml:space="preserve">Toute personne souhaitant intervenir dans le présent pourvoi en application de l’art. 55 des </w:t>
      </w:r>
      <w:r w:rsidRPr="00CB7D73">
        <w:rPr>
          <w:rFonts w:cs="Times New Roman"/>
          <w:i/>
          <w:sz w:val="20"/>
          <w:szCs w:val="20"/>
          <w:lang w:val="fr-CA"/>
        </w:rPr>
        <w:t>Règles de la Cour suprême du Canada</w:t>
      </w:r>
      <w:r w:rsidRPr="00CB7D73">
        <w:rPr>
          <w:rFonts w:cs="Times New Roman"/>
          <w:sz w:val="20"/>
          <w:szCs w:val="20"/>
          <w:lang w:val="fr-CA"/>
        </w:rPr>
        <w:t xml:space="preserve"> devra signifier et déposer une requête en autorisation d’intervenir au plus tard le 26 mars 2015. </w:t>
      </w:r>
    </w:p>
    <w:p w:rsidR="00CB7D73" w:rsidRPr="00CB7D73" w:rsidRDefault="00CB7D73" w:rsidP="00CB7D73">
      <w:pPr>
        <w:ind w:left="720"/>
        <w:contextualSpacing/>
        <w:jc w:val="both"/>
        <w:rPr>
          <w:rFonts w:cs="Times New Roman"/>
          <w:sz w:val="20"/>
          <w:szCs w:val="20"/>
          <w:lang w:val="fr-CA"/>
        </w:rPr>
      </w:pPr>
    </w:p>
    <w:p w:rsidR="00CB7D73" w:rsidRPr="00CB7D73" w:rsidRDefault="00CB7D73" w:rsidP="00CB7D73">
      <w:pPr>
        <w:widowControl w:val="0"/>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cs="Times New Roman"/>
          <w:sz w:val="20"/>
          <w:szCs w:val="20"/>
          <w:lang w:val="fr-CA"/>
        </w:rPr>
      </w:pPr>
      <w:r w:rsidRPr="00CB7D73">
        <w:rPr>
          <w:rFonts w:cs="Times New Roman"/>
          <w:sz w:val="20"/>
          <w:szCs w:val="20"/>
          <w:lang w:val="fr-CA"/>
        </w:rPr>
        <w:t xml:space="preserve">Les appelantes et les intimés devront, le cas échéant, signifier et déposer leurs réponses aux requêtes en autorisation d’intervenir au plus tard le 31 mars 2015. </w:t>
      </w:r>
    </w:p>
    <w:p w:rsidR="00CB7D73" w:rsidRPr="00CB7D73" w:rsidRDefault="00CB7D73" w:rsidP="00CB7D73">
      <w:pPr>
        <w:jc w:val="both"/>
        <w:rPr>
          <w:rFonts w:eastAsia="Times New Roman" w:cs="Times New Roman"/>
          <w:sz w:val="20"/>
          <w:szCs w:val="20"/>
          <w:lang w:val="fr-CA" w:eastAsia="en-CA"/>
        </w:rPr>
      </w:pPr>
    </w:p>
    <w:p w:rsidR="00CB7D73" w:rsidRPr="00CB7D73" w:rsidRDefault="00CB7D73" w:rsidP="00CB7D73">
      <w:pPr>
        <w:widowControl w:val="0"/>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cs="Times New Roman"/>
          <w:sz w:val="20"/>
          <w:szCs w:val="20"/>
          <w:lang w:val="fr-CA"/>
        </w:rPr>
      </w:pPr>
      <w:r w:rsidRPr="00CB7D73">
        <w:rPr>
          <w:rFonts w:cs="Times New Roman"/>
          <w:sz w:val="20"/>
          <w:szCs w:val="20"/>
          <w:lang w:val="fr-CA"/>
        </w:rPr>
        <w:t>Les répliques aux réponses éventuelles aux requêtes en autorisation d’intervenir devront être signifiées et déposées au plus tard le 2 avril 2015.</w:t>
      </w:r>
    </w:p>
    <w:p w:rsidR="00CB7D73" w:rsidRPr="00CB7D73" w:rsidRDefault="00CB7D73" w:rsidP="00CB7D73">
      <w:pPr>
        <w:ind w:left="720"/>
        <w:contextualSpacing/>
        <w:jc w:val="both"/>
        <w:rPr>
          <w:rFonts w:cs="Times New Roman"/>
          <w:sz w:val="20"/>
          <w:szCs w:val="20"/>
          <w:lang w:val="fr-CA"/>
        </w:rPr>
      </w:pPr>
    </w:p>
    <w:p w:rsidR="00CB7D73" w:rsidRPr="00CB7D73" w:rsidRDefault="00CB7D73" w:rsidP="00CB7D73">
      <w:pPr>
        <w:widowControl w:val="0"/>
        <w:numPr>
          <w:ilvl w:val="0"/>
          <w:numId w:val="11"/>
        </w:numPr>
        <w:autoSpaceDE w:val="0"/>
        <w:autoSpaceDN w:val="0"/>
        <w:adjustRightInd w:val="0"/>
        <w:contextualSpacing/>
        <w:jc w:val="both"/>
        <w:rPr>
          <w:rFonts w:cs="Times New Roman"/>
          <w:sz w:val="20"/>
          <w:szCs w:val="20"/>
          <w:lang w:val="fr-CA"/>
        </w:rPr>
      </w:pPr>
      <w:r w:rsidRPr="00CB7D73">
        <w:rPr>
          <w:rFonts w:cs="Times New Roman"/>
          <w:sz w:val="20"/>
          <w:szCs w:val="20"/>
          <w:lang w:val="fr-CA"/>
        </w:rPr>
        <w:t>Les intimés devront signifier et déposer leurs dossier, mémoire et recueil de sources au plus tard le 16 avril 2015.</w:t>
      </w:r>
    </w:p>
    <w:p w:rsidR="00CB7D73" w:rsidRPr="00CB7D73" w:rsidRDefault="00CB7D73" w:rsidP="00CB7D73">
      <w:pPr>
        <w:ind w:left="720"/>
        <w:contextualSpacing/>
        <w:jc w:val="both"/>
        <w:rPr>
          <w:rFonts w:cs="Times New Roman"/>
          <w:bCs/>
          <w:sz w:val="20"/>
          <w:szCs w:val="20"/>
          <w:lang w:val="fr-CA"/>
        </w:rPr>
      </w:pPr>
    </w:p>
    <w:p w:rsidR="00CB7D73" w:rsidRPr="00CB7D73" w:rsidRDefault="00CB7D73" w:rsidP="00CB7D73">
      <w:pPr>
        <w:numPr>
          <w:ilvl w:val="0"/>
          <w:numId w:val="11"/>
        </w:numPr>
        <w:autoSpaceDE w:val="0"/>
        <w:autoSpaceDN w:val="0"/>
        <w:adjustRightInd w:val="0"/>
        <w:contextualSpacing/>
        <w:jc w:val="both"/>
        <w:rPr>
          <w:rFonts w:cs="Times New Roman"/>
          <w:bCs/>
          <w:sz w:val="20"/>
          <w:szCs w:val="20"/>
          <w:lang w:val="fr-CA"/>
        </w:rPr>
      </w:pPr>
      <w:r w:rsidRPr="00CB7D73">
        <w:rPr>
          <w:rFonts w:cs="Times New Roman"/>
          <w:bCs/>
          <w:sz w:val="20"/>
          <w:szCs w:val="20"/>
          <w:lang w:val="fr-CA"/>
        </w:rPr>
        <w:t xml:space="preserve">Les intervenants qui seront autorisés à intervenir en application de l’art. 59 des </w:t>
      </w:r>
      <w:r w:rsidRPr="00CB7D73">
        <w:rPr>
          <w:rFonts w:cs="Times New Roman"/>
          <w:bCs/>
          <w:i/>
          <w:sz w:val="20"/>
          <w:szCs w:val="20"/>
          <w:lang w:val="fr-CA"/>
        </w:rPr>
        <w:t>Règles de la Cour suprême du Canada</w:t>
      </w:r>
      <w:r w:rsidRPr="00CB7D73">
        <w:rPr>
          <w:rFonts w:cs="Times New Roman"/>
          <w:bCs/>
          <w:sz w:val="20"/>
          <w:szCs w:val="20"/>
          <w:lang w:val="fr-CA"/>
        </w:rPr>
        <w:t xml:space="preserve"> devront signifier et déposer leurs mémoire et recueil de sources au plus tard le 29 avril 2015.</w:t>
      </w:r>
    </w:p>
    <w:p w:rsidR="00CB7D73" w:rsidRPr="00CB7D73" w:rsidRDefault="00CB7D73" w:rsidP="00CB7D73">
      <w:pPr>
        <w:tabs>
          <w:tab w:val="left" w:pos="-1440"/>
          <w:tab w:val="left" w:pos="-720"/>
        </w:tabs>
        <w:jc w:val="both"/>
        <w:rPr>
          <w:rFonts w:eastAsia="Times New Roman" w:cs="Times New Roman"/>
          <w:sz w:val="20"/>
          <w:szCs w:val="20"/>
          <w:lang w:val="fr-CA" w:eastAsia="en-CA"/>
        </w:rPr>
      </w:pPr>
    </w:p>
    <w:p w:rsidR="00CB7D73" w:rsidRPr="00CB7D73" w:rsidRDefault="00CB7D73" w:rsidP="00CB7D73">
      <w:pPr>
        <w:tabs>
          <w:tab w:val="left" w:pos="-1440"/>
          <w:tab w:val="left" w:pos="-720"/>
        </w:tabs>
        <w:jc w:val="both"/>
        <w:rPr>
          <w:rFonts w:eastAsia="Times New Roman" w:cs="Times New Roman"/>
          <w:sz w:val="20"/>
          <w:szCs w:val="20"/>
          <w:lang w:val="fr-CA" w:eastAsia="en-CA"/>
        </w:rPr>
      </w:pPr>
    </w:p>
    <w:p w:rsidR="00CB7D73" w:rsidRPr="00CB7D73" w:rsidRDefault="00CB7D73" w:rsidP="00CB7D73">
      <w:pPr>
        <w:jc w:val="both"/>
        <w:rPr>
          <w:rFonts w:eastAsia="Times New Roman" w:cs="Times New Roman"/>
          <w:b/>
          <w:sz w:val="20"/>
          <w:szCs w:val="20"/>
          <w:lang w:eastAsia="en-CA"/>
        </w:rPr>
      </w:pPr>
      <w:r w:rsidRPr="00CB7D73">
        <w:rPr>
          <w:rFonts w:eastAsia="Times New Roman" w:cs="Times New Roman"/>
          <w:b/>
          <w:sz w:val="20"/>
          <w:szCs w:val="20"/>
          <w:lang w:eastAsia="en-CA"/>
        </w:rPr>
        <w:t>IT IS HEREBY ORDERED THAT:</w:t>
      </w:r>
    </w:p>
    <w:p w:rsidR="00CB7D73" w:rsidRPr="00CB7D73" w:rsidRDefault="00CB7D73" w:rsidP="00CB7D73">
      <w:pPr>
        <w:jc w:val="both"/>
        <w:rPr>
          <w:rFonts w:eastAsia="Times New Roman" w:cs="Times New Roman"/>
          <w:sz w:val="20"/>
          <w:szCs w:val="20"/>
          <w:lang w:eastAsia="en-CA"/>
        </w:rPr>
      </w:pPr>
    </w:p>
    <w:p w:rsidR="00CB7D73" w:rsidRPr="00CB7D73" w:rsidRDefault="00CB7D73" w:rsidP="00CB7D73">
      <w:pPr>
        <w:widowControl w:val="0"/>
        <w:numPr>
          <w:ilvl w:val="0"/>
          <w:numId w:val="12"/>
        </w:numPr>
        <w:autoSpaceDE w:val="0"/>
        <w:autoSpaceDN w:val="0"/>
        <w:adjustRightInd w:val="0"/>
        <w:contextualSpacing/>
        <w:jc w:val="both"/>
        <w:rPr>
          <w:rFonts w:cs="Times New Roman"/>
          <w:sz w:val="20"/>
          <w:szCs w:val="20"/>
        </w:rPr>
      </w:pPr>
      <w:r w:rsidRPr="00CB7D73">
        <w:rPr>
          <w:rFonts w:cs="Times New Roman"/>
          <w:sz w:val="20"/>
          <w:szCs w:val="20"/>
        </w:rPr>
        <w:t>The appellants’ record, factum and book of authorities shall be served and filed on or before March 5, 2015.</w:t>
      </w:r>
    </w:p>
    <w:p w:rsidR="00CB7D73" w:rsidRPr="00CB7D73" w:rsidRDefault="00CB7D73" w:rsidP="00CB7D73">
      <w:pPr>
        <w:ind w:left="720"/>
        <w:contextualSpacing/>
        <w:jc w:val="both"/>
        <w:rPr>
          <w:rFonts w:cs="Times New Roman"/>
          <w:sz w:val="20"/>
          <w:szCs w:val="20"/>
        </w:rPr>
      </w:pPr>
    </w:p>
    <w:p w:rsidR="00CB7D73" w:rsidRPr="00CB7D73" w:rsidRDefault="00CB7D73" w:rsidP="00CB7D73">
      <w:pPr>
        <w:widowControl w:val="0"/>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cs="Times New Roman"/>
          <w:sz w:val="20"/>
          <w:szCs w:val="20"/>
        </w:rPr>
      </w:pPr>
      <w:r w:rsidRPr="00CB7D73">
        <w:rPr>
          <w:rFonts w:cs="Times New Roman"/>
          <w:sz w:val="20"/>
          <w:szCs w:val="20"/>
        </w:rPr>
        <w:t xml:space="preserve">Any person wishing to intervene in this appeal under Rule 55 of the </w:t>
      </w:r>
      <w:r w:rsidRPr="00CB7D73">
        <w:rPr>
          <w:rFonts w:cs="Times New Roman"/>
          <w:i/>
          <w:sz w:val="20"/>
          <w:szCs w:val="20"/>
        </w:rPr>
        <w:t>Rules of the Supreme Court of Canada</w:t>
      </w:r>
      <w:r w:rsidRPr="00CB7D73">
        <w:rPr>
          <w:rFonts w:cs="Times New Roman"/>
          <w:sz w:val="20"/>
          <w:szCs w:val="20"/>
        </w:rPr>
        <w:t xml:space="preserve"> shall serve and file a motion for leave to intervene on or before March 26, 2015. </w:t>
      </w:r>
    </w:p>
    <w:p w:rsidR="00CB7D73" w:rsidRPr="00CB7D73" w:rsidRDefault="00CB7D73" w:rsidP="00CB7D73">
      <w:pPr>
        <w:ind w:left="720"/>
        <w:contextualSpacing/>
        <w:jc w:val="both"/>
        <w:rPr>
          <w:rFonts w:cs="Times New Roman"/>
          <w:sz w:val="20"/>
          <w:szCs w:val="20"/>
        </w:rPr>
      </w:pPr>
    </w:p>
    <w:p w:rsidR="00CB7D73" w:rsidRPr="00CB7D73" w:rsidRDefault="00CB7D73" w:rsidP="00CB7D73">
      <w:pPr>
        <w:widowControl w:val="0"/>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cs="Times New Roman"/>
          <w:sz w:val="20"/>
          <w:szCs w:val="20"/>
        </w:rPr>
      </w:pPr>
      <w:r w:rsidRPr="00CB7D73">
        <w:rPr>
          <w:rFonts w:cs="Times New Roman"/>
          <w:sz w:val="20"/>
          <w:szCs w:val="20"/>
        </w:rPr>
        <w:t xml:space="preserve">The appellants and respondents shall serve and file their responses, if any, to the motions for leave to intervene on or before March 31, 2015. </w:t>
      </w:r>
    </w:p>
    <w:p w:rsidR="00CB7D73" w:rsidRPr="00CB7D73" w:rsidRDefault="00CB7D73" w:rsidP="00CB7D73">
      <w:pPr>
        <w:jc w:val="both"/>
        <w:rPr>
          <w:rFonts w:eastAsia="Times New Roman" w:cs="Times New Roman"/>
          <w:sz w:val="20"/>
          <w:szCs w:val="20"/>
          <w:lang w:eastAsia="en-CA"/>
        </w:rPr>
      </w:pPr>
    </w:p>
    <w:p w:rsidR="00CB7D73" w:rsidRPr="00CB7D73" w:rsidRDefault="00CB7D73" w:rsidP="00CB7D73">
      <w:pPr>
        <w:widowControl w:val="0"/>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cs="Times New Roman"/>
          <w:sz w:val="20"/>
          <w:szCs w:val="20"/>
        </w:rPr>
      </w:pPr>
      <w:r w:rsidRPr="00CB7D73">
        <w:rPr>
          <w:rFonts w:cs="Times New Roman"/>
          <w:sz w:val="20"/>
          <w:szCs w:val="20"/>
        </w:rPr>
        <w:t>Replies to any responses to the motions for leave to intervene shall be served and filed on or before April 2, 2015.</w:t>
      </w:r>
    </w:p>
    <w:p w:rsidR="00CB7D73" w:rsidRPr="00CB7D73" w:rsidRDefault="00CB7D73" w:rsidP="00CB7D73">
      <w:pPr>
        <w:ind w:left="720"/>
        <w:contextualSpacing/>
        <w:jc w:val="both"/>
        <w:rPr>
          <w:rFonts w:cs="Times New Roman"/>
          <w:sz w:val="20"/>
          <w:szCs w:val="20"/>
        </w:rPr>
      </w:pPr>
    </w:p>
    <w:p w:rsidR="00CB7D73" w:rsidRPr="00CB7D73" w:rsidRDefault="00CB7D73" w:rsidP="00CB7D73">
      <w:pPr>
        <w:widowControl w:val="0"/>
        <w:numPr>
          <w:ilvl w:val="0"/>
          <w:numId w:val="12"/>
        </w:numPr>
        <w:autoSpaceDE w:val="0"/>
        <w:autoSpaceDN w:val="0"/>
        <w:adjustRightInd w:val="0"/>
        <w:contextualSpacing/>
        <w:jc w:val="both"/>
        <w:rPr>
          <w:rFonts w:cs="Times New Roman"/>
          <w:sz w:val="20"/>
          <w:szCs w:val="20"/>
        </w:rPr>
      </w:pPr>
      <w:r w:rsidRPr="00CB7D73">
        <w:rPr>
          <w:rFonts w:cs="Times New Roman"/>
          <w:sz w:val="20"/>
          <w:szCs w:val="20"/>
        </w:rPr>
        <w:t>The respondents’ record, factum and book of authorities shall be served and filed on or before April 16, 2015.</w:t>
      </w:r>
    </w:p>
    <w:p w:rsidR="00CB7D73" w:rsidRPr="00CB7D73" w:rsidRDefault="00CB7D73" w:rsidP="00CB7D73">
      <w:pPr>
        <w:ind w:left="720"/>
        <w:contextualSpacing/>
        <w:jc w:val="both"/>
        <w:rPr>
          <w:rFonts w:cs="Times New Roman"/>
          <w:bCs/>
          <w:sz w:val="20"/>
          <w:szCs w:val="20"/>
        </w:rPr>
      </w:pPr>
    </w:p>
    <w:p w:rsidR="00CB7D73" w:rsidRPr="00CB7D73" w:rsidRDefault="00CB7D73" w:rsidP="00CB7D73">
      <w:pPr>
        <w:numPr>
          <w:ilvl w:val="0"/>
          <w:numId w:val="12"/>
        </w:numPr>
        <w:autoSpaceDE w:val="0"/>
        <w:autoSpaceDN w:val="0"/>
        <w:adjustRightInd w:val="0"/>
        <w:contextualSpacing/>
        <w:jc w:val="both"/>
        <w:rPr>
          <w:rFonts w:cs="Times New Roman"/>
          <w:bCs/>
          <w:sz w:val="20"/>
          <w:szCs w:val="20"/>
        </w:rPr>
      </w:pPr>
      <w:r w:rsidRPr="00CB7D73">
        <w:rPr>
          <w:rFonts w:cs="Times New Roman"/>
          <w:bCs/>
          <w:sz w:val="20"/>
          <w:szCs w:val="20"/>
        </w:rPr>
        <w:t xml:space="preserve">Any interveners granted leave to intervene under Rule 59 </w:t>
      </w:r>
      <w:r w:rsidRPr="00CB7D73">
        <w:rPr>
          <w:rFonts w:cs="Times New Roman"/>
          <w:sz w:val="20"/>
          <w:szCs w:val="20"/>
        </w:rPr>
        <w:t xml:space="preserve">of the </w:t>
      </w:r>
      <w:r w:rsidRPr="00CB7D73">
        <w:rPr>
          <w:rFonts w:cs="Times New Roman"/>
          <w:i/>
          <w:sz w:val="20"/>
          <w:szCs w:val="20"/>
        </w:rPr>
        <w:t>Rules of the Supreme Court of Canada</w:t>
      </w:r>
      <w:r w:rsidRPr="00CB7D73">
        <w:rPr>
          <w:rFonts w:cs="Times New Roman"/>
          <w:sz w:val="20"/>
          <w:szCs w:val="20"/>
        </w:rPr>
        <w:t xml:space="preserve"> shall serve and file their factums and books of authorities on or before April 29, </w:t>
      </w:r>
      <w:r w:rsidRPr="00CB7D73">
        <w:rPr>
          <w:rFonts w:cs="Times New Roman"/>
          <w:bCs/>
          <w:sz w:val="20"/>
          <w:szCs w:val="20"/>
        </w:rPr>
        <w:t>2015.</w:t>
      </w:r>
    </w:p>
    <w:p w:rsidR="00CB7D73" w:rsidRPr="00CB7D73" w:rsidRDefault="00CB7D73" w:rsidP="00CB7D73">
      <w:pPr>
        <w:tabs>
          <w:tab w:val="left" w:pos="-1440"/>
          <w:tab w:val="left" w:pos="-720"/>
        </w:tabs>
        <w:jc w:val="both"/>
        <w:rPr>
          <w:rFonts w:eastAsia="Times New Roman" w:cs="Times New Roman"/>
          <w:sz w:val="20"/>
          <w:szCs w:val="20"/>
          <w:lang w:eastAsia="en-CA"/>
        </w:rPr>
      </w:pPr>
    </w:p>
    <w:p w:rsidR="00CB7D73" w:rsidRPr="00CB7D73" w:rsidRDefault="00E42AAB" w:rsidP="00CB7D73">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100" style="width:2in;height:1pt" o:hrpct="0" o:hralign="center" o:hrstd="t" o:hrnoshade="t" o:hr="t" fillcolor="black [3213]" stroked="f"/>
        </w:pict>
      </w:r>
    </w:p>
    <w:p w:rsidR="00CB7D73" w:rsidRPr="00CB7D73" w:rsidRDefault="00CB7D73" w:rsidP="00CB7D73">
      <w:pPr>
        <w:tabs>
          <w:tab w:val="left" w:pos="-1440"/>
          <w:tab w:val="left" w:pos="-720"/>
        </w:tabs>
        <w:jc w:val="both"/>
        <w:rPr>
          <w:rFonts w:eastAsia="Times New Roman" w:cs="Times New Roman"/>
          <w:sz w:val="20"/>
          <w:szCs w:val="20"/>
          <w:lang w:eastAsia="en-CA"/>
        </w:rPr>
      </w:pPr>
    </w:p>
    <w:p w:rsidR="00CB7D73" w:rsidRPr="00CB7D73" w:rsidRDefault="00CB7D73" w:rsidP="00CB7D73">
      <w:pPr>
        <w:tabs>
          <w:tab w:val="left" w:pos="-1440"/>
          <w:tab w:val="left" w:pos="-720"/>
        </w:tabs>
        <w:jc w:val="both"/>
        <w:rPr>
          <w:rFonts w:eastAsia="Times New Roman" w:cs="Times New Roman"/>
          <w:sz w:val="20"/>
          <w:szCs w:val="20"/>
          <w:lang w:val="fr-CA" w:eastAsia="en-CA"/>
        </w:rPr>
      </w:pPr>
      <w:r w:rsidRPr="00CB7D73">
        <w:rPr>
          <w:rFonts w:eastAsia="Times New Roman" w:cs="Times New Roman"/>
          <w:sz w:val="20"/>
          <w:szCs w:val="20"/>
          <w:lang w:val="fr-CA" w:eastAsia="en-CA"/>
        </w:rPr>
        <w:t>19.01.2015</w:t>
      </w:r>
    </w:p>
    <w:p w:rsidR="00CB7D73" w:rsidRPr="00CB7D73" w:rsidRDefault="00CB7D73" w:rsidP="00CB7D73">
      <w:pPr>
        <w:tabs>
          <w:tab w:val="left" w:pos="-1440"/>
          <w:tab w:val="left" w:pos="-720"/>
        </w:tabs>
        <w:jc w:val="both"/>
        <w:rPr>
          <w:rFonts w:eastAsia="Times New Roman" w:cs="Times New Roman"/>
          <w:sz w:val="20"/>
          <w:szCs w:val="20"/>
          <w:lang w:eastAsia="en-CA"/>
        </w:rPr>
      </w:pPr>
    </w:p>
    <w:p w:rsidR="00CB7D73" w:rsidRPr="00CB7D73" w:rsidRDefault="00CB7D73" w:rsidP="00CB7D73">
      <w:pPr>
        <w:tabs>
          <w:tab w:val="left" w:pos="-1440"/>
          <w:tab w:val="left" w:pos="-720"/>
        </w:tabs>
        <w:jc w:val="both"/>
        <w:rPr>
          <w:rFonts w:eastAsia="Times New Roman" w:cs="Times New Roman"/>
          <w:sz w:val="20"/>
          <w:szCs w:val="20"/>
          <w:lang w:eastAsia="en-CA"/>
        </w:rPr>
      </w:pPr>
      <w:r w:rsidRPr="00CB7D73">
        <w:rPr>
          <w:rFonts w:eastAsia="Times New Roman" w:cs="Times New Roman"/>
          <w:sz w:val="20"/>
          <w:szCs w:val="20"/>
          <w:lang w:eastAsia="en-CA"/>
        </w:rPr>
        <w:t>Before / Devant:   THE REGISTRAR / LE REGISTRAIRE</w:t>
      </w:r>
    </w:p>
    <w:p w:rsidR="00CB7D73" w:rsidRPr="00CB7D73" w:rsidRDefault="00CB7D73" w:rsidP="00CB7D73">
      <w:pPr>
        <w:tabs>
          <w:tab w:val="left" w:pos="-1440"/>
          <w:tab w:val="left" w:pos="-720"/>
        </w:tabs>
        <w:jc w:val="both"/>
        <w:rPr>
          <w:rFonts w:eastAsia="Times New Roman" w:cs="Times New Roman"/>
          <w:sz w:val="20"/>
          <w:szCs w:val="20"/>
          <w:lang w:eastAsia="en-CA"/>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CB7D73" w:rsidRPr="0025502E" w:rsidTr="00CB7D73">
        <w:tc>
          <w:tcPr>
            <w:tcW w:w="4338" w:type="dxa"/>
          </w:tcPr>
          <w:p w:rsidR="00CB7D73" w:rsidRPr="00CB7D73" w:rsidRDefault="006F7944" w:rsidP="00CB7D73">
            <w:pPr>
              <w:tabs>
                <w:tab w:val="left" w:pos="-1440"/>
                <w:tab w:val="left" w:pos="-720"/>
              </w:tabs>
              <w:jc w:val="both"/>
              <w:rPr>
                <w:b/>
              </w:rPr>
            </w:pPr>
            <w:r w:rsidRPr="00CB7D73">
              <w:rPr>
                <w:szCs w:val="24"/>
                <w:lang w:val="en-US"/>
              </w:rPr>
              <w:fldChar w:fldCharType="begin"/>
            </w:r>
            <w:r w:rsidR="00CB7D73" w:rsidRPr="00CB7D73">
              <w:rPr>
                <w:szCs w:val="24"/>
                <w:lang w:val="en-US"/>
              </w:rPr>
              <w:instrText xml:space="preserve"> SEQ CHAPTER \h \r 1</w:instrText>
            </w:r>
            <w:r w:rsidRPr="00CB7D73">
              <w:rPr>
                <w:szCs w:val="24"/>
                <w:lang w:val="en-US"/>
              </w:rPr>
              <w:fldChar w:fldCharType="end"/>
            </w:r>
            <w:r w:rsidR="00CB7D73" w:rsidRPr="00CB7D73">
              <w:rPr>
                <w:b/>
                <w:bCs/>
                <w:lang w:val="en-US"/>
              </w:rPr>
              <w:t>Motion to extend time</w:t>
            </w:r>
          </w:p>
        </w:tc>
        <w:tc>
          <w:tcPr>
            <w:tcW w:w="1170" w:type="dxa"/>
          </w:tcPr>
          <w:p w:rsidR="00CB7D73" w:rsidRPr="00CB7D73" w:rsidRDefault="00CB7D73" w:rsidP="00CB7D73">
            <w:pPr>
              <w:tabs>
                <w:tab w:val="left" w:pos="-1440"/>
                <w:tab w:val="left" w:pos="-720"/>
              </w:tabs>
              <w:jc w:val="both"/>
            </w:pPr>
          </w:p>
          <w:p w:rsidR="00CB7D73" w:rsidRPr="00CB7D73" w:rsidRDefault="00CB7D73" w:rsidP="00CB7D73">
            <w:pPr>
              <w:tabs>
                <w:tab w:val="left" w:pos="-1440"/>
                <w:tab w:val="left" w:pos="-720"/>
              </w:tabs>
              <w:jc w:val="both"/>
            </w:pPr>
          </w:p>
        </w:tc>
        <w:tc>
          <w:tcPr>
            <w:tcW w:w="4327" w:type="dxa"/>
          </w:tcPr>
          <w:p w:rsidR="00CB7D73" w:rsidRPr="00CB7D73" w:rsidRDefault="00CB7D73" w:rsidP="00CB7D73">
            <w:pPr>
              <w:tabs>
                <w:tab w:val="left" w:pos="-1440"/>
                <w:tab w:val="left" w:pos="-720"/>
              </w:tabs>
              <w:jc w:val="both"/>
              <w:rPr>
                <w:lang w:val="fr-CA"/>
              </w:rPr>
            </w:pPr>
            <w:r w:rsidRPr="00CB7D73">
              <w:rPr>
                <w:b/>
                <w:bCs/>
                <w:color w:val="000000"/>
                <w:lang w:val="fr-CA"/>
              </w:rPr>
              <w:t>Requête en prorogation de délai</w:t>
            </w:r>
            <w:r w:rsidRPr="00CB7D73">
              <w:rPr>
                <w:szCs w:val="24"/>
                <w:lang w:val="fr-CA"/>
              </w:rPr>
              <w:t xml:space="preserve"> </w:t>
            </w:r>
            <w:r w:rsidR="006F7944" w:rsidRPr="00CB7D73">
              <w:rPr>
                <w:szCs w:val="24"/>
                <w:lang w:val="en-US"/>
              </w:rPr>
              <w:fldChar w:fldCharType="begin"/>
            </w:r>
            <w:r w:rsidRPr="00CB7D73">
              <w:rPr>
                <w:szCs w:val="24"/>
                <w:lang w:val="fr-CA"/>
              </w:rPr>
              <w:instrText xml:space="preserve"> SEQ CHAPTER \h \r 1</w:instrText>
            </w:r>
            <w:r w:rsidR="006F7944" w:rsidRPr="00CB7D73">
              <w:rPr>
                <w:szCs w:val="24"/>
                <w:lang w:val="en-US"/>
              </w:rPr>
              <w:fldChar w:fldCharType="end"/>
            </w:r>
            <w:r w:rsidR="006F7944" w:rsidRPr="00CB7D73">
              <w:rPr>
                <w:szCs w:val="24"/>
                <w:lang w:val="en-US"/>
              </w:rPr>
              <w:fldChar w:fldCharType="begin"/>
            </w:r>
            <w:r w:rsidRPr="00CB7D73">
              <w:rPr>
                <w:szCs w:val="24"/>
                <w:lang w:val="fr-CA"/>
              </w:rPr>
              <w:instrText xml:space="preserve"> SEQ CHAPTER \h \r 1</w:instrText>
            </w:r>
            <w:r w:rsidR="006F7944" w:rsidRPr="00CB7D73">
              <w:rPr>
                <w:szCs w:val="24"/>
                <w:lang w:val="en-US"/>
              </w:rPr>
              <w:fldChar w:fldCharType="end"/>
            </w:r>
          </w:p>
        </w:tc>
      </w:tr>
      <w:tr w:rsidR="00CB7D73" w:rsidRPr="00CB7D73" w:rsidTr="00CB7D73">
        <w:tc>
          <w:tcPr>
            <w:tcW w:w="4338" w:type="dxa"/>
          </w:tcPr>
          <w:p w:rsidR="00CB7D73" w:rsidRPr="00CB7D73" w:rsidRDefault="00CB7D73" w:rsidP="00CB7D73">
            <w:pPr>
              <w:tabs>
                <w:tab w:val="left" w:pos="-1440"/>
                <w:tab w:val="left" w:pos="-720"/>
              </w:tabs>
              <w:jc w:val="both"/>
              <w:rPr>
                <w:lang w:val="fr-CA"/>
              </w:rPr>
            </w:pPr>
            <w:r w:rsidRPr="00CB7D73">
              <w:rPr>
                <w:lang w:val="fr-CA"/>
              </w:rPr>
              <w:t>Francis Anthonimuthu Appulonappa et al.</w:t>
            </w:r>
          </w:p>
          <w:p w:rsidR="00CB7D73" w:rsidRPr="00CB7D73" w:rsidRDefault="00CB7D73" w:rsidP="00CB7D73">
            <w:pPr>
              <w:tabs>
                <w:tab w:val="left" w:pos="-1440"/>
                <w:tab w:val="left" w:pos="-720"/>
              </w:tabs>
              <w:jc w:val="both"/>
              <w:rPr>
                <w:lang w:val="fr-CA"/>
              </w:rPr>
            </w:pPr>
          </w:p>
          <w:p w:rsidR="00CB7D73" w:rsidRPr="00CB7D73" w:rsidRDefault="00CB7D73" w:rsidP="00CB7D73">
            <w:pPr>
              <w:tabs>
                <w:tab w:val="left" w:pos="-1440"/>
                <w:tab w:val="left" w:pos="-720"/>
              </w:tabs>
              <w:jc w:val="both"/>
            </w:pPr>
            <w:r w:rsidRPr="00CB7D73">
              <w:rPr>
                <w:lang w:val="fr-CA"/>
              </w:rPr>
              <w:tab/>
            </w:r>
            <w:r w:rsidRPr="00CB7D73">
              <w:t>v. (35958)</w:t>
            </w:r>
          </w:p>
          <w:p w:rsidR="00CB7D73" w:rsidRPr="00CB7D73" w:rsidRDefault="00CB7D73" w:rsidP="00CB7D73">
            <w:pPr>
              <w:tabs>
                <w:tab w:val="left" w:pos="-1440"/>
                <w:tab w:val="left" w:pos="-720"/>
              </w:tabs>
              <w:jc w:val="both"/>
            </w:pPr>
          </w:p>
          <w:p w:rsidR="00CB7D73" w:rsidRPr="00CB7D73" w:rsidRDefault="00CB7D73" w:rsidP="00CB7D73">
            <w:pPr>
              <w:tabs>
                <w:tab w:val="left" w:pos="-1440"/>
                <w:tab w:val="left" w:pos="-720"/>
              </w:tabs>
              <w:jc w:val="both"/>
            </w:pPr>
            <w:r w:rsidRPr="00CB7D73">
              <w:t>Her Majesty the Queen (Crim.) (B.C.)</w:t>
            </w:r>
          </w:p>
        </w:tc>
        <w:tc>
          <w:tcPr>
            <w:tcW w:w="1170" w:type="dxa"/>
          </w:tcPr>
          <w:p w:rsidR="00CB7D73" w:rsidRPr="00CB7D73" w:rsidRDefault="00CB7D73" w:rsidP="00CB7D73">
            <w:pPr>
              <w:tabs>
                <w:tab w:val="left" w:pos="-1440"/>
                <w:tab w:val="left" w:pos="-720"/>
              </w:tabs>
              <w:jc w:val="both"/>
            </w:pPr>
          </w:p>
        </w:tc>
        <w:tc>
          <w:tcPr>
            <w:tcW w:w="4327" w:type="dxa"/>
          </w:tcPr>
          <w:p w:rsidR="00CB7D73" w:rsidRPr="00CB7D73" w:rsidRDefault="00CB7D73" w:rsidP="00CB7D73">
            <w:pPr>
              <w:tabs>
                <w:tab w:val="left" w:pos="-1440"/>
                <w:tab w:val="left" w:pos="-720"/>
              </w:tabs>
              <w:jc w:val="both"/>
            </w:pPr>
          </w:p>
        </w:tc>
      </w:tr>
    </w:tbl>
    <w:p w:rsidR="00CB7D73" w:rsidRPr="00CB7D73" w:rsidRDefault="00CB7D73" w:rsidP="00CB7D73">
      <w:pPr>
        <w:tabs>
          <w:tab w:val="left" w:pos="-1440"/>
          <w:tab w:val="left" w:pos="-720"/>
        </w:tabs>
        <w:jc w:val="both"/>
        <w:rPr>
          <w:rFonts w:eastAsia="Times New Roman" w:cs="Times New Roman"/>
          <w:sz w:val="20"/>
          <w:szCs w:val="20"/>
          <w:lang w:eastAsia="en-CA"/>
        </w:rPr>
      </w:pPr>
    </w:p>
    <w:p w:rsidR="00CB7D73" w:rsidRPr="00CB7D73" w:rsidRDefault="00CB7D73" w:rsidP="00CB7D73">
      <w:pPr>
        <w:tabs>
          <w:tab w:val="left" w:pos="-1440"/>
          <w:tab w:val="left" w:pos="-720"/>
        </w:tabs>
        <w:jc w:val="both"/>
        <w:rPr>
          <w:rFonts w:eastAsia="Times New Roman" w:cs="Times New Roman"/>
          <w:b/>
          <w:sz w:val="20"/>
          <w:szCs w:val="20"/>
          <w:lang w:val="fr-CA" w:eastAsia="en-CA"/>
        </w:rPr>
      </w:pPr>
      <w:r w:rsidRPr="00CB7D73">
        <w:rPr>
          <w:rFonts w:eastAsia="Times New Roman" w:cs="Times New Roman"/>
          <w:b/>
          <w:sz w:val="20"/>
          <w:szCs w:val="20"/>
          <w:lang w:val="fr-CA" w:eastAsia="en-CA"/>
        </w:rPr>
        <w:t>GRANTED / ACCORDÉE</w:t>
      </w:r>
    </w:p>
    <w:p w:rsidR="00CB7D73" w:rsidRPr="00CB7D73" w:rsidRDefault="00CB7D73" w:rsidP="00CB7D73">
      <w:pPr>
        <w:tabs>
          <w:tab w:val="left" w:pos="-1440"/>
          <w:tab w:val="left" w:pos="-720"/>
        </w:tabs>
        <w:jc w:val="both"/>
        <w:rPr>
          <w:rFonts w:eastAsia="Times New Roman" w:cs="Times New Roman"/>
          <w:sz w:val="20"/>
          <w:szCs w:val="20"/>
          <w:lang w:eastAsia="en-CA"/>
        </w:rPr>
      </w:pPr>
    </w:p>
    <w:p w:rsidR="00CB7D73" w:rsidRPr="00CB7D73" w:rsidRDefault="00CB7D73" w:rsidP="00CB7D73">
      <w:pPr>
        <w:spacing w:line="233" w:lineRule="auto"/>
        <w:jc w:val="both"/>
        <w:rPr>
          <w:rFonts w:eastAsia="Times New Roman" w:cs="Times New Roman"/>
          <w:bCs/>
          <w:sz w:val="20"/>
          <w:szCs w:val="20"/>
          <w:lang w:val="en-US" w:eastAsia="en-CA"/>
        </w:rPr>
      </w:pPr>
      <w:r w:rsidRPr="00CB7D73">
        <w:rPr>
          <w:rFonts w:eastAsia="Times New Roman" w:cs="Times New Roman"/>
          <w:b/>
          <w:bCs/>
          <w:sz w:val="20"/>
          <w:szCs w:val="20"/>
          <w:lang w:val="en-US" w:eastAsia="en-CA"/>
        </w:rPr>
        <w:t xml:space="preserve">UPON APPLICATION </w:t>
      </w:r>
      <w:r w:rsidRPr="00CB7D73">
        <w:rPr>
          <w:rFonts w:eastAsia="Times New Roman" w:cs="Times New Roman"/>
          <w:bCs/>
          <w:sz w:val="20"/>
          <w:szCs w:val="20"/>
          <w:lang w:val="en-US" w:eastAsia="en-CA"/>
        </w:rPr>
        <w:t>by the appellants for an Order</w:t>
      </w:r>
      <w:r w:rsidRPr="00CB7D73">
        <w:rPr>
          <w:rFonts w:eastAsia="Times New Roman" w:cs="Times New Roman"/>
          <w:b/>
          <w:bCs/>
          <w:sz w:val="20"/>
          <w:szCs w:val="20"/>
          <w:lang w:val="en-US" w:eastAsia="en-CA"/>
        </w:rPr>
        <w:t xml:space="preserve"> </w:t>
      </w:r>
      <w:r w:rsidRPr="00CB7D73">
        <w:rPr>
          <w:rFonts w:eastAsia="Times New Roman" w:cs="Times New Roman"/>
          <w:bCs/>
          <w:sz w:val="20"/>
          <w:szCs w:val="20"/>
          <w:lang w:val="en-US" w:eastAsia="en-CA"/>
        </w:rPr>
        <w:t>extending the time to serve and file a joint book of authorities to December 23, 2014;</w:t>
      </w:r>
    </w:p>
    <w:p w:rsidR="00CB7D73" w:rsidRPr="00CB7D73" w:rsidRDefault="00CB7D73" w:rsidP="00CB7D73">
      <w:pPr>
        <w:spacing w:line="233" w:lineRule="auto"/>
        <w:jc w:val="both"/>
        <w:rPr>
          <w:rFonts w:eastAsia="Times New Roman" w:cs="Times New Roman"/>
          <w:bCs/>
          <w:sz w:val="20"/>
          <w:szCs w:val="20"/>
          <w:lang w:val="en-US" w:eastAsia="en-CA"/>
        </w:rPr>
      </w:pPr>
    </w:p>
    <w:p w:rsidR="00CB7D73" w:rsidRPr="00CB7D73" w:rsidRDefault="00CB7D73" w:rsidP="00CB7D73">
      <w:pPr>
        <w:spacing w:line="233" w:lineRule="auto"/>
        <w:jc w:val="both"/>
        <w:rPr>
          <w:rFonts w:eastAsia="Times New Roman" w:cs="Times New Roman"/>
          <w:bCs/>
          <w:sz w:val="20"/>
          <w:szCs w:val="20"/>
          <w:lang w:val="en-US" w:eastAsia="en-CA"/>
        </w:rPr>
      </w:pPr>
      <w:r w:rsidRPr="00CB7D73">
        <w:rPr>
          <w:rFonts w:eastAsia="Times New Roman" w:cs="Times New Roman"/>
          <w:b/>
          <w:bCs/>
          <w:sz w:val="20"/>
          <w:szCs w:val="20"/>
          <w:lang w:val="en-US" w:eastAsia="en-CA"/>
        </w:rPr>
        <w:t xml:space="preserve">AND THE MATERIAL FILED </w:t>
      </w:r>
      <w:r w:rsidRPr="00CB7D73">
        <w:rPr>
          <w:rFonts w:eastAsia="Times New Roman" w:cs="Times New Roman"/>
          <w:bCs/>
          <w:sz w:val="20"/>
          <w:szCs w:val="20"/>
          <w:lang w:val="en-US" w:eastAsia="en-CA"/>
        </w:rPr>
        <w:t>having been read;</w:t>
      </w:r>
    </w:p>
    <w:p w:rsidR="00CB7D73" w:rsidRPr="00CB7D73" w:rsidRDefault="00CB7D73" w:rsidP="00CB7D73">
      <w:pPr>
        <w:spacing w:line="233" w:lineRule="auto"/>
        <w:jc w:val="both"/>
        <w:rPr>
          <w:rFonts w:eastAsia="Times New Roman" w:cs="Times New Roman"/>
          <w:b/>
          <w:bCs/>
          <w:sz w:val="20"/>
          <w:szCs w:val="20"/>
          <w:lang w:val="en-US" w:eastAsia="en-CA"/>
        </w:rPr>
      </w:pPr>
    </w:p>
    <w:p w:rsidR="00CB7D73" w:rsidRPr="00CB7D73" w:rsidRDefault="00CB7D73" w:rsidP="00CB7D73">
      <w:pPr>
        <w:spacing w:line="233" w:lineRule="auto"/>
        <w:jc w:val="both"/>
        <w:rPr>
          <w:rFonts w:eastAsia="Times New Roman" w:cs="Times New Roman"/>
          <w:sz w:val="20"/>
          <w:szCs w:val="20"/>
          <w:lang w:val="en-US" w:eastAsia="en-CA"/>
        </w:rPr>
      </w:pPr>
      <w:r w:rsidRPr="00CB7D73">
        <w:rPr>
          <w:rFonts w:eastAsia="Times New Roman" w:cs="Times New Roman"/>
          <w:b/>
          <w:bCs/>
          <w:sz w:val="20"/>
          <w:szCs w:val="20"/>
          <w:lang w:val="en-US" w:eastAsia="en-CA"/>
        </w:rPr>
        <w:t xml:space="preserve">IT IS HEREBY ORDERED THAT: </w:t>
      </w:r>
    </w:p>
    <w:p w:rsidR="00CB7D73" w:rsidRPr="00CB7D73" w:rsidRDefault="00CB7D73" w:rsidP="00CB7D73">
      <w:pPr>
        <w:spacing w:line="233" w:lineRule="auto"/>
        <w:jc w:val="both"/>
        <w:rPr>
          <w:rFonts w:eastAsia="Times New Roman" w:cs="Times New Roman"/>
          <w:sz w:val="20"/>
          <w:szCs w:val="20"/>
          <w:lang w:val="en-US" w:eastAsia="en-CA"/>
        </w:rPr>
      </w:pPr>
    </w:p>
    <w:p w:rsidR="00CB7D73" w:rsidRPr="00CB7D73" w:rsidRDefault="00CB7D73" w:rsidP="00CB7D73">
      <w:pPr>
        <w:spacing w:line="233" w:lineRule="auto"/>
        <w:jc w:val="both"/>
        <w:rPr>
          <w:rFonts w:eastAsia="Times New Roman" w:cs="Times New Roman"/>
          <w:sz w:val="20"/>
          <w:szCs w:val="20"/>
          <w:lang w:val="fr-CA" w:eastAsia="en-CA"/>
        </w:rPr>
      </w:pPr>
      <w:r w:rsidRPr="00CB7D73">
        <w:rPr>
          <w:rFonts w:eastAsia="Times New Roman" w:cs="Times New Roman"/>
          <w:sz w:val="20"/>
          <w:szCs w:val="20"/>
          <w:lang w:val="en-US" w:eastAsia="en-CA"/>
        </w:rPr>
        <w:tab/>
      </w:r>
      <w:r w:rsidRPr="00CB7D73">
        <w:rPr>
          <w:rFonts w:eastAsia="Times New Roman" w:cs="Times New Roman"/>
          <w:sz w:val="20"/>
          <w:szCs w:val="20"/>
          <w:lang w:val="fr-CA" w:eastAsia="en-CA"/>
        </w:rPr>
        <w:t>The motion is granted.</w:t>
      </w:r>
    </w:p>
    <w:p w:rsidR="00CB7D73" w:rsidRPr="00CB7D73" w:rsidRDefault="00CB7D73" w:rsidP="00CB7D73">
      <w:pPr>
        <w:spacing w:line="233" w:lineRule="auto"/>
        <w:jc w:val="both"/>
        <w:rPr>
          <w:rFonts w:eastAsia="Times New Roman" w:cs="Times New Roman"/>
          <w:sz w:val="20"/>
          <w:szCs w:val="20"/>
          <w:lang w:val="fr-CA" w:eastAsia="en-CA"/>
        </w:rPr>
      </w:pPr>
    </w:p>
    <w:p w:rsidR="00CB7D73" w:rsidRPr="00CB7D73" w:rsidRDefault="00CB7D73" w:rsidP="00CB7D73">
      <w:pPr>
        <w:spacing w:line="233" w:lineRule="auto"/>
        <w:jc w:val="both"/>
        <w:rPr>
          <w:rFonts w:eastAsia="Times New Roman" w:cs="Times New Roman"/>
          <w:sz w:val="20"/>
          <w:szCs w:val="20"/>
          <w:lang w:val="fr-CA" w:eastAsia="en-CA"/>
        </w:rPr>
      </w:pPr>
    </w:p>
    <w:p w:rsidR="00CB7D73" w:rsidRPr="00CB7D73" w:rsidRDefault="00CB7D73" w:rsidP="00CB7D73">
      <w:pPr>
        <w:spacing w:line="233" w:lineRule="auto"/>
        <w:jc w:val="both"/>
        <w:rPr>
          <w:rFonts w:eastAsia="Times New Roman" w:cs="Times New Roman"/>
          <w:sz w:val="20"/>
          <w:szCs w:val="20"/>
          <w:lang w:val="fr-CA" w:eastAsia="en-CA"/>
        </w:rPr>
      </w:pPr>
    </w:p>
    <w:p w:rsidR="00CB7D73" w:rsidRPr="00CB7D73" w:rsidRDefault="00CB7D73" w:rsidP="00CB7D73">
      <w:pPr>
        <w:spacing w:line="233" w:lineRule="auto"/>
        <w:jc w:val="both"/>
        <w:rPr>
          <w:rFonts w:eastAsia="Times New Roman" w:cs="Times New Roman"/>
          <w:sz w:val="20"/>
          <w:szCs w:val="20"/>
          <w:lang w:val="fr-CA" w:eastAsia="en-CA"/>
        </w:rPr>
      </w:pPr>
      <w:r w:rsidRPr="00CB7D73">
        <w:rPr>
          <w:rFonts w:eastAsia="Times New Roman" w:cs="Times New Roman"/>
          <w:b/>
          <w:sz w:val="20"/>
          <w:szCs w:val="20"/>
          <w:lang w:val="fr-CA" w:eastAsia="en-CA"/>
        </w:rPr>
        <w:t>À LA SUITE DE LA DEMANDE</w:t>
      </w:r>
      <w:r w:rsidRPr="00CB7D73">
        <w:rPr>
          <w:rFonts w:eastAsia="Times New Roman" w:cs="Times New Roman"/>
          <w:sz w:val="20"/>
          <w:szCs w:val="20"/>
          <w:lang w:val="fr-CA" w:eastAsia="en-CA"/>
        </w:rPr>
        <w:t xml:space="preserve"> présentée par les appelants pour obtenir la prorogation du délai pour la signification et le dépôt d’un recueil de sources au 3 décembre 2014;</w:t>
      </w:r>
    </w:p>
    <w:p w:rsidR="00CB7D73" w:rsidRPr="00CB7D73" w:rsidRDefault="00CB7D73" w:rsidP="00CB7D73">
      <w:pPr>
        <w:spacing w:line="233" w:lineRule="auto"/>
        <w:jc w:val="both"/>
        <w:rPr>
          <w:rFonts w:eastAsia="Times New Roman" w:cs="Times New Roman"/>
          <w:sz w:val="20"/>
          <w:szCs w:val="20"/>
          <w:lang w:val="fr-CA" w:eastAsia="en-CA"/>
        </w:rPr>
      </w:pPr>
    </w:p>
    <w:p w:rsidR="00CB7D73" w:rsidRPr="00CB7D73" w:rsidRDefault="00CB7D73" w:rsidP="00CB7D73">
      <w:pPr>
        <w:spacing w:line="233" w:lineRule="auto"/>
        <w:jc w:val="both"/>
        <w:rPr>
          <w:rFonts w:eastAsia="Times New Roman" w:cs="Times New Roman"/>
          <w:sz w:val="20"/>
          <w:szCs w:val="20"/>
          <w:lang w:val="fr-CA" w:eastAsia="en-CA"/>
        </w:rPr>
      </w:pPr>
      <w:r w:rsidRPr="00CB7D73">
        <w:rPr>
          <w:rFonts w:eastAsia="Times New Roman" w:cs="Times New Roman"/>
          <w:b/>
          <w:sz w:val="20"/>
          <w:szCs w:val="20"/>
          <w:lang w:val="fr-CA" w:eastAsia="en-CA"/>
        </w:rPr>
        <w:t>ET APRÈS EXAMEN</w:t>
      </w:r>
      <w:r w:rsidRPr="00CB7D73">
        <w:rPr>
          <w:rFonts w:eastAsia="Times New Roman" w:cs="Times New Roman"/>
          <w:sz w:val="20"/>
          <w:szCs w:val="20"/>
          <w:lang w:val="fr-CA" w:eastAsia="en-CA"/>
        </w:rPr>
        <w:t xml:space="preserve"> des documents déposés;</w:t>
      </w:r>
    </w:p>
    <w:p w:rsidR="00CB7D73" w:rsidRPr="00CB7D73" w:rsidRDefault="00CB7D73" w:rsidP="00CB7D73">
      <w:pPr>
        <w:spacing w:line="233" w:lineRule="auto"/>
        <w:jc w:val="both"/>
        <w:rPr>
          <w:rFonts w:eastAsia="Times New Roman" w:cs="Times New Roman"/>
          <w:sz w:val="20"/>
          <w:szCs w:val="20"/>
          <w:lang w:val="fr-CA" w:eastAsia="en-CA"/>
        </w:rPr>
      </w:pPr>
    </w:p>
    <w:p w:rsidR="00CB7D73" w:rsidRPr="00CB7D73" w:rsidRDefault="00CB7D73" w:rsidP="00CB7D73">
      <w:pPr>
        <w:spacing w:line="233" w:lineRule="auto"/>
        <w:jc w:val="both"/>
        <w:rPr>
          <w:rFonts w:eastAsia="Times New Roman" w:cs="Times New Roman"/>
          <w:b/>
          <w:sz w:val="20"/>
          <w:szCs w:val="20"/>
          <w:lang w:val="fr-CA" w:eastAsia="en-CA"/>
        </w:rPr>
      </w:pPr>
      <w:r w:rsidRPr="00CB7D73">
        <w:rPr>
          <w:rFonts w:eastAsia="Times New Roman" w:cs="Times New Roman"/>
          <w:b/>
          <w:sz w:val="20"/>
          <w:szCs w:val="20"/>
          <w:lang w:val="fr-CA" w:eastAsia="en-CA"/>
        </w:rPr>
        <w:t>IL EST ORDONNÉ CE QUI SUIT :</w:t>
      </w:r>
    </w:p>
    <w:p w:rsidR="00CB7D73" w:rsidRPr="00CB7D73" w:rsidRDefault="00CB7D73" w:rsidP="00CB7D73">
      <w:pPr>
        <w:spacing w:line="233" w:lineRule="auto"/>
        <w:jc w:val="both"/>
        <w:rPr>
          <w:rFonts w:eastAsia="Times New Roman" w:cs="Times New Roman"/>
          <w:sz w:val="20"/>
          <w:szCs w:val="20"/>
          <w:lang w:val="fr-CA" w:eastAsia="en-CA"/>
        </w:rPr>
      </w:pPr>
    </w:p>
    <w:p w:rsidR="00CB7D73" w:rsidRPr="00CB7D73" w:rsidRDefault="00CB7D73" w:rsidP="00CB7D73">
      <w:pPr>
        <w:spacing w:line="233" w:lineRule="auto"/>
        <w:jc w:val="both"/>
        <w:rPr>
          <w:rFonts w:eastAsia="Times New Roman" w:cs="Times New Roman"/>
          <w:sz w:val="20"/>
          <w:szCs w:val="20"/>
          <w:lang w:val="fr-CA" w:eastAsia="en-CA"/>
        </w:rPr>
      </w:pPr>
      <w:r w:rsidRPr="00CB7D73">
        <w:rPr>
          <w:rFonts w:eastAsia="Times New Roman" w:cs="Times New Roman"/>
          <w:sz w:val="20"/>
          <w:szCs w:val="20"/>
          <w:lang w:val="fr-CA" w:eastAsia="en-CA"/>
        </w:rPr>
        <w:tab/>
        <w:t>La requête est accueillie.</w:t>
      </w:r>
    </w:p>
    <w:p w:rsidR="00CB7D73" w:rsidRPr="00CB7D73" w:rsidRDefault="00CB7D73" w:rsidP="00CB7D73">
      <w:pPr>
        <w:tabs>
          <w:tab w:val="left" w:pos="-1440"/>
          <w:tab w:val="left" w:pos="-720"/>
        </w:tabs>
        <w:jc w:val="both"/>
        <w:rPr>
          <w:rFonts w:eastAsia="Times New Roman" w:cs="Times New Roman"/>
          <w:sz w:val="20"/>
          <w:szCs w:val="20"/>
          <w:lang w:eastAsia="en-CA"/>
        </w:rPr>
      </w:pPr>
    </w:p>
    <w:p w:rsidR="00CB7D73" w:rsidRPr="00CB7D73" w:rsidRDefault="00E42AAB" w:rsidP="00CB7D73">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101" style="width:2in;height:1pt" o:hrpct="0" o:hralign="center" o:hrstd="t" o:hrnoshade="t" o:hr="t" fillcolor="black [3213]" stroked="f"/>
        </w:pict>
      </w:r>
    </w:p>
    <w:p w:rsidR="00CB7D73" w:rsidRPr="00CB7D73" w:rsidRDefault="00CB7D73" w:rsidP="00CB7D73">
      <w:pPr>
        <w:tabs>
          <w:tab w:val="left" w:pos="-1440"/>
          <w:tab w:val="left" w:pos="-720"/>
        </w:tabs>
        <w:jc w:val="both"/>
        <w:rPr>
          <w:rFonts w:eastAsia="Times New Roman" w:cs="Times New Roman"/>
          <w:sz w:val="20"/>
          <w:szCs w:val="20"/>
          <w:lang w:eastAsia="en-CA"/>
        </w:rPr>
      </w:pPr>
    </w:p>
    <w:p w:rsidR="00CB7D73" w:rsidRPr="00CB7D73" w:rsidRDefault="00CB7D73" w:rsidP="00CB7D73">
      <w:pPr>
        <w:tabs>
          <w:tab w:val="left" w:pos="-1440"/>
          <w:tab w:val="left" w:pos="-720"/>
        </w:tabs>
        <w:jc w:val="both"/>
        <w:rPr>
          <w:rFonts w:eastAsia="Times New Roman" w:cs="Times New Roman"/>
          <w:sz w:val="20"/>
          <w:szCs w:val="20"/>
          <w:lang w:val="fr-CA" w:eastAsia="en-CA"/>
        </w:rPr>
      </w:pPr>
      <w:r w:rsidRPr="00CB7D73">
        <w:rPr>
          <w:rFonts w:eastAsia="Times New Roman" w:cs="Times New Roman"/>
          <w:sz w:val="20"/>
          <w:szCs w:val="20"/>
          <w:lang w:val="fr-CA" w:eastAsia="en-CA"/>
        </w:rPr>
        <w:t>21.01.2015</w:t>
      </w:r>
    </w:p>
    <w:p w:rsidR="00CB7D73" w:rsidRPr="00CB7D73" w:rsidRDefault="00CB7D73" w:rsidP="00CB7D73">
      <w:pPr>
        <w:tabs>
          <w:tab w:val="left" w:pos="-1440"/>
          <w:tab w:val="left" w:pos="-720"/>
        </w:tabs>
        <w:jc w:val="both"/>
        <w:rPr>
          <w:rFonts w:eastAsia="Times New Roman" w:cs="Times New Roman"/>
          <w:sz w:val="20"/>
          <w:szCs w:val="20"/>
          <w:lang w:val="fr-CA" w:eastAsia="en-CA"/>
        </w:rPr>
      </w:pPr>
    </w:p>
    <w:p w:rsidR="00CB7D73" w:rsidRPr="00CB7D73" w:rsidRDefault="00CB7D73" w:rsidP="00CB7D73">
      <w:pPr>
        <w:tabs>
          <w:tab w:val="left" w:pos="-1440"/>
          <w:tab w:val="left" w:pos="-720"/>
        </w:tabs>
        <w:jc w:val="both"/>
        <w:rPr>
          <w:rFonts w:eastAsia="Times New Roman" w:cs="Times New Roman"/>
          <w:sz w:val="20"/>
          <w:szCs w:val="20"/>
          <w:lang w:val="fr-CA" w:eastAsia="en-CA"/>
        </w:rPr>
      </w:pPr>
      <w:r w:rsidRPr="00CB7D73">
        <w:rPr>
          <w:rFonts w:eastAsia="Times New Roman" w:cs="Times New Roman"/>
          <w:sz w:val="20"/>
          <w:szCs w:val="20"/>
          <w:lang w:val="fr-CA" w:eastAsia="en-CA"/>
        </w:rPr>
        <w:t>Before / Devant :   THE CHIEF JUSTICE / LA JUGE EN CHEF</w:t>
      </w:r>
    </w:p>
    <w:p w:rsidR="00CB7D73" w:rsidRPr="00CB7D73" w:rsidRDefault="00CB7D73" w:rsidP="00CB7D73">
      <w:pPr>
        <w:tabs>
          <w:tab w:val="left" w:pos="-1440"/>
          <w:tab w:val="left" w:pos="-720"/>
        </w:tabs>
        <w:jc w:val="both"/>
        <w:rPr>
          <w:rFonts w:eastAsia="Times New Roman" w:cs="Times New Roman"/>
          <w:sz w:val="20"/>
          <w:szCs w:val="20"/>
          <w:lang w:val="fr-CA" w:eastAsia="en-CA"/>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CB7D73" w:rsidRPr="00CB7D73" w:rsidTr="00CB7D73">
        <w:trPr>
          <w:trHeight w:val="151"/>
        </w:trPr>
        <w:tc>
          <w:tcPr>
            <w:tcW w:w="4338" w:type="dxa"/>
          </w:tcPr>
          <w:p w:rsidR="00CB7D73" w:rsidRPr="00CB7D73" w:rsidRDefault="006F7944" w:rsidP="00CB7D73">
            <w:pPr>
              <w:tabs>
                <w:tab w:val="left" w:pos="-1440"/>
                <w:tab w:val="left" w:pos="-720"/>
              </w:tabs>
              <w:jc w:val="both"/>
              <w:rPr>
                <w:lang w:val="fr-CA"/>
              </w:rPr>
            </w:pPr>
            <w:r w:rsidRPr="00CB7D73">
              <w:rPr>
                <w:lang w:val="en-US"/>
              </w:rPr>
              <w:fldChar w:fldCharType="begin"/>
            </w:r>
            <w:r w:rsidR="00CB7D73" w:rsidRPr="00CB7D73">
              <w:rPr>
                <w:lang w:val="fr-CA"/>
              </w:rPr>
              <w:instrText xml:space="preserve"> SEQ CHAPTER \h \r 1</w:instrText>
            </w:r>
            <w:r w:rsidRPr="00CB7D73">
              <w:rPr>
                <w:lang w:val="en-US"/>
              </w:rPr>
              <w:fldChar w:fldCharType="end"/>
            </w:r>
            <w:r w:rsidR="00CB7D73" w:rsidRPr="00CB7D73">
              <w:rPr>
                <w:b/>
                <w:bCs/>
                <w:lang w:val="fr-CA"/>
              </w:rPr>
              <w:t>Order</w:t>
            </w:r>
          </w:p>
          <w:p w:rsidR="00CB7D73" w:rsidRPr="00CB7D73" w:rsidRDefault="006F7944" w:rsidP="00CB7D73">
            <w:pPr>
              <w:tabs>
                <w:tab w:val="left" w:pos="-1440"/>
                <w:tab w:val="left" w:pos="-720"/>
              </w:tabs>
              <w:jc w:val="both"/>
              <w:rPr>
                <w:lang w:val="fr-CA"/>
              </w:rPr>
            </w:pPr>
            <w:r w:rsidRPr="00CB7D73">
              <w:rPr>
                <w:lang w:val="en-US"/>
              </w:rPr>
              <w:fldChar w:fldCharType="begin"/>
            </w:r>
            <w:r w:rsidR="00CB7D73" w:rsidRPr="00CB7D73">
              <w:rPr>
                <w:lang w:val="fr-CA"/>
              </w:rPr>
              <w:instrText xml:space="preserve"> SEQ CHAPTER \h \r 1</w:instrText>
            </w:r>
            <w:r w:rsidRPr="00CB7D73">
              <w:rPr>
                <w:lang w:val="en-US"/>
              </w:rPr>
              <w:fldChar w:fldCharType="end"/>
            </w:r>
          </w:p>
        </w:tc>
        <w:tc>
          <w:tcPr>
            <w:tcW w:w="1170" w:type="dxa"/>
          </w:tcPr>
          <w:p w:rsidR="00CB7D73" w:rsidRPr="00CB7D73" w:rsidRDefault="00CB7D73" w:rsidP="00CB7D73">
            <w:pPr>
              <w:jc w:val="both"/>
              <w:rPr>
                <w:lang w:val="fr-CA"/>
              </w:rPr>
            </w:pPr>
          </w:p>
          <w:p w:rsidR="00CB7D73" w:rsidRPr="00CB7D73" w:rsidRDefault="00CB7D73" w:rsidP="00CB7D73">
            <w:pPr>
              <w:jc w:val="both"/>
              <w:rPr>
                <w:lang w:val="fr-CA"/>
              </w:rPr>
            </w:pPr>
          </w:p>
        </w:tc>
        <w:tc>
          <w:tcPr>
            <w:tcW w:w="4327" w:type="dxa"/>
          </w:tcPr>
          <w:p w:rsidR="00CB7D73" w:rsidRPr="00CB7D73" w:rsidRDefault="006F7944" w:rsidP="00CB7D73">
            <w:pPr>
              <w:jc w:val="both"/>
              <w:rPr>
                <w:b/>
                <w:lang w:val="fr-CA"/>
              </w:rPr>
            </w:pPr>
            <w:r w:rsidRPr="00CB7D73">
              <w:rPr>
                <w:szCs w:val="24"/>
                <w:lang w:val="en-US"/>
              </w:rPr>
              <w:fldChar w:fldCharType="begin"/>
            </w:r>
            <w:r w:rsidR="00CB7D73" w:rsidRPr="00CB7D73">
              <w:rPr>
                <w:szCs w:val="24"/>
                <w:lang w:val="fr-CA"/>
              </w:rPr>
              <w:instrText xml:space="preserve"> SEQ CHAPTER \h \r 1</w:instrText>
            </w:r>
            <w:r w:rsidRPr="00CB7D73">
              <w:rPr>
                <w:szCs w:val="24"/>
                <w:lang w:val="en-US"/>
              </w:rPr>
              <w:fldChar w:fldCharType="end"/>
            </w:r>
            <w:r w:rsidR="00CB7D73" w:rsidRPr="00CB7D73">
              <w:rPr>
                <w:b/>
                <w:bCs/>
                <w:lang w:val="fr-CA"/>
              </w:rPr>
              <w:t>Ordonnance</w:t>
            </w:r>
          </w:p>
          <w:p w:rsidR="00CB7D73" w:rsidRPr="00CB7D73" w:rsidRDefault="006F7944" w:rsidP="00CB7D73">
            <w:pPr>
              <w:jc w:val="both"/>
              <w:rPr>
                <w:b/>
                <w:lang w:val="fr-CA"/>
              </w:rPr>
            </w:pPr>
            <w:r w:rsidRPr="00CB7D73">
              <w:rPr>
                <w:b/>
                <w:lang w:val="en-US"/>
              </w:rPr>
              <w:fldChar w:fldCharType="begin"/>
            </w:r>
            <w:r w:rsidR="00CB7D73" w:rsidRPr="00CB7D73">
              <w:rPr>
                <w:b/>
                <w:lang w:val="fr-CA"/>
              </w:rPr>
              <w:instrText xml:space="preserve"> SEQ CHAPTER \h \r 1</w:instrText>
            </w:r>
            <w:r w:rsidRPr="00CB7D73">
              <w:rPr>
                <w:b/>
                <w:lang w:val="en-US"/>
              </w:rPr>
              <w:fldChar w:fldCharType="end"/>
            </w:r>
            <w:r w:rsidRPr="00CB7D73">
              <w:rPr>
                <w:b/>
                <w:lang w:val="en-US"/>
              </w:rPr>
              <w:fldChar w:fldCharType="begin"/>
            </w:r>
            <w:r w:rsidR="00CB7D73" w:rsidRPr="00CB7D73">
              <w:rPr>
                <w:b/>
                <w:lang w:val="fr-CA"/>
              </w:rPr>
              <w:instrText xml:space="preserve"> SEQ CHAPTER \h \r 1</w:instrText>
            </w:r>
            <w:r w:rsidRPr="00CB7D73">
              <w:rPr>
                <w:b/>
                <w:lang w:val="en-US"/>
              </w:rPr>
              <w:fldChar w:fldCharType="end"/>
            </w:r>
          </w:p>
        </w:tc>
      </w:tr>
      <w:tr w:rsidR="00CB7D73" w:rsidRPr="00CB7D73" w:rsidTr="00CB7D73">
        <w:trPr>
          <w:trHeight w:val="150"/>
        </w:trPr>
        <w:tc>
          <w:tcPr>
            <w:tcW w:w="4338" w:type="dxa"/>
          </w:tcPr>
          <w:p w:rsidR="00CB7D73" w:rsidRPr="00CB7D73" w:rsidRDefault="00CB7D73" w:rsidP="00CB7D73">
            <w:pPr>
              <w:tabs>
                <w:tab w:val="left" w:pos="-1440"/>
                <w:tab w:val="left" w:pos="-720"/>
              </w:tabs>
              <w:jc w:val="both"/>
            </w:pPr>
            <w:r w:rsidRPr="00CB7D73">
              <w:t>Attorney General of Quebec et al.</w:t>
            </w:r>
          </w:p>
          <w:p w:rsidR="00CB7D73" w:rsidRPr="00CB7D73" w:rsidRDefault="00CB7D73" w:rsidP="00CB7D73">
            <w:pPr>
              <w:tabs>
                <w:tab w:val="left" w:pos="-1440"/>
                <w:tab w:val="left" w:pos="-720"/>
              </w:tabs>
              <w:jc w:val="both"/>
            </w:pPr>
          </w:p>
          <w:p w:rsidR="00CB7D73" w:rsidRPr="00CB7D73" w:rsidRDefault="00CB7D73" w:rsidP="00CB7D73">
            <w:pPr>
              <w:tabs>
                <w:tab w:val="left" w:pos="-1440"/>
                <w:tab w:val="left" w:pos="-720"/>
              </w:tabs>
              <w:jc w:val="both"/>
            </w:pPr>
            <w:r w:rsidRPr="00CB7D73">
              <w:tab/>
              <w:t>v. (36231)</w:t>
            </w:r>
          </w:p>
          <w:p w:rsidR="00CB7D73" w:rsidRPr="00CB7D73" w:rsidRDefault="00CB7D73" w:rsidP="00CB7D73">
            <w:pPr>
              <w:tabs>
                <w:tab w:val="left" w:pos="-1440"/>
                <w:tab w:val="left" w:pos="-720"/>
              </w:tabs>
              <w:jc w:val="both"/>
            </w:pPr>
          </w:p>
          <w:p w:rsidR="00CB7D73" w:rsidRPr="00CB7D73" w:rsidRDefault="00CB7D73" w:rsidP="00CB7D73">
            <w:pPr>
              <w:tabs>
                <w:tab w:val="left" w:pos="-1440"/>
                <w:tab w:val="left" w:pos="-720"/>
              </w:tabs>
              <w:jc w:val="both"/>
            </w:pPr>
            <w:r w:rsidRPr="00CB7D73">
              <w:t>Attorney General of Canada et al. (Que.)</w:t>
            </w:r>
          </w:p>
        </w:tc>
        <w:tc>
          <w:tcPr>
            <w:tcW w:w="1170" w:type="dxa"/>
          </w:tcPr>
          <w:p w:rsidR="00CB7D73" w:rsidRPr="00CB7D73" w:rsidRDefault="00CB7D73" w:rsidP="00CB7D73">
            <w:pPr>
              <w:jc w:val="both"/>
            </w:pPr>
          </w:p>
        </w:tc>
        <w:tc>
          <w:tcPr>
            <w:tcW w:w="4327" w:type="dxa"/>
          </w:tcPr>
          <w:p w:rsidR="00CB7D73" w:rsidRPr="00CB7D73" w:rsidRDefault="00CB7D73" w:rsidP="00CB7D73">
            <w:pPr>
              <w:jc w:val="both"/>
            </w:pPr>
          </w:p>
        </w:tc>
      </w:tr>
    </w:tbl>
    <w:p w:rsidR="00CB7D73" w:rsidRPr="00CB7D73" w:rsidRDefault="00CB7D73" w:rsidP="00CB7D73">
      <w:pPr>
        <w:tabs>
          <w:tab w:val="left" w:pos="-1440"/>
          <w:tab w:val="left" w:pos="-720"/>
        </w:tabs>
        <w:jc w:val="both"/>
        <w:rPr>
          <w:rFonts w:eastAsia="Times New Roman" w:cs="Times New Roman"/>
          <w:sz w:val="20"/>
          <w:szCs w:val="20"/>
          <w:lang w:eastAsia="en-CA"/>
        </w:rPr>
      </w:pPr>
    </w:p>
    <w:p w:rsidR="00CB7D73" w:rsidRPr="00CB7D73" w:rsidRDefault="00CB7D73" w:rsidP="00CB7D73">
      <w:pPr>
        <w:jc w:val="both"/>
        <w:rPr>
          <w:rFonts w:eastAsia="Times New Roman" w:cs="Times New Roman"/>
          <w:sz w:val="20"/>
          <w:szCs w:val="20"/>
          <w:lang w:val="en-US" w:eastAsia="en-CA"/>
        </w:rPr>
      </w:pPr>
      <w:r w:rsidRPr="00CB7D73">
        <w:rPr>
          <w:rFonts w:eastAsia="Times New Roman" w:cs="Times New Roman"/>
          <w:b/>
          <w:sz w:val="20"/>
          <w:szCs w:val="20"/>
          <w:lang w:val="en-US" w:eastAsia="en-CA"/>
        </w:rPr>
        <w:t>HAVING READ</w:t>
      </w:r>
      <w:r w:rsidRPr="00CB7D73">
        <w:rPr>
          <w:rFonts w:eastAsia="Times New Roman" w:cs="Times New Roman"/>
          <w:sz w:val="20"/>
          <w:szCs w:val="20"/>
          <w:lang w:val="en-US" w:eastAsia="en-CA"/>
        </w:rPr>
        <w:t xml:space="preserve"> the material filed, including the correspondence from the Attorney General of Canada and from the Constitutional Rights Centre Inc. regarding the standing of Mr. Rocco Galati to file a Notice of Appeal;</w:t>
      </w:r>
    </w:p>
    <w:p w:rsidR="00CB7D73" w:rsidRPr="00CB7D73" w:rsidRDefault="00CB7D73" w:rsidP="00CB7D73">
      <w:pPr>
        <w:jc w:val="both"/>
        <w:rPr>
          <w:rFonts w:eastAsia="Times New Roman" w:cs="Times New Roman"/>
          <w:sz w:val="20"/>
          <w:szCs w:val="20"/>
          <w:lang w:val="en-US" w:eastAsia="en-CA"/>
        </w:rPr>
      </w:pPr>
    </w:p>
    <w:p w:rsidR="00CB7D73" w:rsidRPr="00CB7D73" w:rsidRDefault="00CB7D73" w:rsidP="00CB7D73">
      <w:pPr>
        <w:jc w:val="both"/>
        <w:rPr>
          <w:rFonts w:eastAsia="Times New Roman" w:cs="Times New Roman"/>
          <w:sz w:val="20"/>
          <w:szCs w:val="20"/>
          <w:lang w:val="en-US" w:eastAsia="en-CA"/>
        </w:rPr>
      </w:pPr>
      <w:r w:rsidRPr="00CB7D73">
        <w:rPr>
          <w:rFonts w:eastAsia="Times New Roman" w:cs="Times New Roman"/>
          <w:b/>
          <w:sz w:val="20"/>
          <w:szCs w:val="20"/>
          <w:lang w:val="en-US" w:eastAsia="en-CA"/>
        </w:rPr>
        <w:t>IT IS HEREBY ORDERED THAT:</w:t>
      </w:r>
    </w:p>
    <w:p w:rsidR="00CB7D73" w:rsidRPr="00CB7D73" w:rsidRDefault="00CB7D73" w:rsidP="00CB7D73">
      <w:pPr>
        <w:jc w:val="both"/>
        <w:rPr>
          <w:rFonts w:eastAsia="Times New Roman" w:cs="Times New Roman"/>
          <w:sz w:val="20"/>
          <w:szCs w:val="20"/>
          <w:lang w:val="en-US" w:eastAsia="en-CA"/>
        </w:rPr>
      </w:pPr>
    </w:p>
    <w:p w:rsidR="00CB7D73" w:rsidRPr="00CB7D73" w:rsidRDefault="00CB7D73" w:rsidP="00CB7D73">
      <w:pPr>
        <w:numPr>
          <w:ilvl w:val="0"/>
          <w:numId w:val="7"/>
        </w:numPr>
        <w:contextualSpacing/>
        <w:jc w:val="both"/>
        <w:rPr>
          <w:rFonts w:eastAsia="PMingLiU" w:cs="Times New Roman"/>
          <w:sz w:val="20"/>
          <w:szCs w:val="20"/>
          <w:lang w:val="en-GB"/>
        </w:rPr>
      </w:pPr>
      <w:r w:rsidRPr="00CB7D73">
        <w:rPr>
          <w:rFonts w:eastAsia="PMingLiU" w:cs="Times New Roman"/>
          <w:sz w:val="20"/>
          <w:szCs w:val="20"/>
          <w:lang w:val="en-GB"/>
        </w:rPr>
        <w:lastRenderedPageBreak/>
        <w:t xml:space="preserve">Any further motion to state constitutional questions shall be served and filed </w:t>
      </w:r>
      <w:r w:rsidRPr="00CB7D73">
        <w:rPr>
          <w:rFonts w:cs="Times New Roman"/>
          <w:sz w:val="20"/>
          <w:szCs w:val="20"/>
        </w:rPr>
        <w:t>on or before</w:t>
      </w:r>
      <w:r w:rsidRPr="00CB7D73">
        <w:rPr>
          <w:rFonts w:eastAsia="PMingLiU" w:cs="Times New Roman"/>
          <w:sz w:val="20"/>
          <w:szCs w:val="20"/>
          <w:lang w:val="en-GB"/>
        </w:rPr>
        <w:t xml:space="preserve"> January 28, 2015.</w:t>
      </w:r>
    </w:p>
    <w:p w:rsidR="00CB7D73" w:rsidRPr="00CB7D73" w:rsidRDefault="00CB7D73" w:rsidP="00CB7D73">
      <w:pPr>
        <w:ind w:left="720"/>
        <w:contextualSpacing/>
        <w:jc w:val="both"/>
        <w:rPr>
          <w:rFonts w:eastAsia="PMingLiU" w:cs="Times New Roman"/>
          <w:sz w:val="20"/>
          <w:szCs w:val="20"/>
          <w:lang w:val="en-GB"/>
        </w:rPr>
      </w:pPr>
    </w:p>
    <w:p w:rsidR="00CB7D73" w:rsidRPr="00CB7D73" w:rsidRDefault="00CB7D73" w:rsidP="00CB7D73">
      <w:pPr>
        <w:numPr>
          <w:ilvl w:val="0"/>
          <w:numId w:val="7"/>
        </w:numPr>
        <w:contextualSpacing/>
        <w:jc w:val="both"/>
        <w:rPr>
          <w:rFonts w:eastAsia="PMingLiU" w:cs="Times New Roman"/>
          <w:sz w:val="20"/>
          <w:szCs w:val="20"/>
          <w:lang w:val="en-GB"/>
        </w:rPr>
      </w:pPr>
      <w:r w:rsidRPr="00CB7D73">
        <w:rPr>
          <w:rFonts w:eastAsia="PMingLiU" w:cs="Times New Roman"/>
          <w:sz w:val="20"/>
          <w:szCs w:val="20"/>
          <w:lang w:val="en-GB"/>
        </w:rPr>
        <w:t xml:space="preserve">Responses to any motion to state constitutional questions shall be served and filed </w:t>
      </w:r>
      <w:r w:rsidRPr="00CB7D73">
        <w:rPr>
          <w:rFonts w:cs="Times New Roman"/>
          <w:sz w:val="20"/>
          <w:szCs w:val="20"/>
        </w:rPr>
        <w:t>on or before</w:t>
      </w:r>
      <w:r w:rsidRPr="00CB7D73">
        <w:rPr>
          <w:rFonts w:eastAsia="PMingLiU" w:cs="Times New Roman"/>
          <w:sz w:val="20"/>
          <w:szCs w:val="20"/>
          <w:lang w:val="en-GB"/>
        </w:rPr>
        <w:t xml:space="preserve"> February 2, 2015.</w:t>
      </w:r>
    </w:p>
    <w:p w:rsidR="00CB7D73" w:rsidRPr="00CB7D73" w:rsidRDefault="00CB7D73" w:rsidP="00CB7D73">
      <w:pPr>
        <w:ind w:left="720"/>
        <w:contextualSpacing/>
        <w:jc w:val="both"/>
        <w:rPr>
          <w:rFonts w:eastAsia="PMingLiU" w:cs="Times New Roman"/>
          <w:sz w:val="20"/>
          <w:szCs w:val="20"/>
          <w:lang w:val="en-GB"/>
        </w:rPr>
      </w:pPr>
    </w:p>
    <w:p w:rsidR="00CB7D73" w:rsidRPr="00CB7D73" w:rsidRDefault="00CB7D73" w:rsidP="00CB7D73">
      <w:pPr>
        <w:widowControl w:val="0"/>
        <w:numPr>
          <w:ilvl w:val="0"/>
          <w:numId w:val="7"/>
        </w:numPr>
        <w:autoSpaceDE w:val="0"/>
        <w:autoSpaceDN w:val="0"/>
        <w:adjustRightInd w:val="0"/>
        <w:contextualSpacing/>
        <w:jc w:val="both"/>
        <w:rPr>
          <w:rFonts w:cs="Times New Roman"/>
          <w:sz w:val="20"/>
          <w:szCs w:val="20"/>
        </w:rPr>
      </w:pPr>
      <w:r w:rsidRPr="00CB7D73">
        <w:rPr>
          <w:rFonts w:eastAsia="PMingLiU" w:cs="Times New Roman"/>
          <w:sz w:val="20"/>
          <w:szCs w:val="20"/>
          <w:lang w:val="en-GB"/>
        </w:rPr>
        <w:t xml:space="preserve">Replies to any responses to a motion to state constitutional questions shall be served and filed </w:t>
      </w:r>
      <w:r w:rsidRPr="00CB7D73">
        <w:rPr>
          <w:rFonts w:cs="Times New Roman"/>
          <w:sz w:val="20"/>
          <w:szCs w:val="20"/>
        </w:rPr>
        <w:t>on or before</w:t>
      </w:r>
      <w:r w:rsidRPr="00CB7D73">
        <w:rPr>
          <w:rFonts w:eastAsia="PMingLiU" w:cs="Times New Roman"/>
          <w:sz w:val="20"/>
          <w:szCs w:val="20"/>
          <w:lang w:val="en-GB"/>
        </w:rPr>
        <w:t xml:space="preserve"> February 4, 2015.</w:t>
      </w:r>
    </w:p>
    <w:p w:rsidR="00CB7D73" w:rsidRPr="00CB7D73" w:rsidRDefault="00CB7D73" w:rsidP="00CB7D73">
      <w:pPr>
        <w:ind w:left="720"/>
        <w:contextualSpacing/>
        <w:jc w:val="both"/>
        <w:rPr>
          <w:rFonts w:cs="Times New Roman"/>
          <w:sz w:val="20"/>
          <w:szCs w:val="20"/>
        </w:rPr>
      </w:pPr>
    </w:p>
    <w:p w:rsidR="00CB7D73" w:rsidRPr="00CB7D73" w:rsidRDefault="00CB7D73" w:rsidP="00CB7D73">
      <w:pPr>
        <w:widowControl w:val="0"/>
        <w:numPr>
          <w:ilvl w:val="0"/>
          <w:numId w:val="7"/>
        </w:numPr>
        <w:autoSpaceDE w:val="0"/>
        <w:autoSpaceDN w:val="0"/>
        <w:adjustRightInd w:val="0"/>
        <w:contextualSpacing/>
        <w:jc w:val="both"/>
        <w:rPr>
          <w:rFonts w:cs="Times New Roman"/>
          <w:sz w:val="20"/>
          <w:szCs w:val="20"/>
        </w:rPr>
      </w:pPr>
      <w:r w:rsidRPr="00CB7D73">
        <w:rPr>
          <w:rFonts w:cs="Times New Roman"/>
          <w:sz w:val="20"/>
          <w:szCs w:val="20"/>
        </w:rPr>
        <w:t xml:space="preserve">In the event that constitutional questions are stated in this appeal, the notice of constitutional questions shall be served on the attorneys general no later than two (2) days after receipt of the order referred to under Rule 61(1) of the </w:t>
      </w:r>
      <w:r w:rsidRPr="00CB7D73">
        <w:rPr>
          <w:rFonts w:cs="Times New Roman"/>
          <w:i/>
          <w:sz w:val="20"/>
          <w:szCs w:val="20"/>
        </w:rPr>
        <w:t>Rules of the Supreme Court of Canada</w:t>
      </w:r>
      <w:r w:rsidRPr="00CB7D73">
        <w:rPr>
          <w:rFonts w:cs="Times New Roman"/>
          <w:sz w:val="20"/>
          <w:szCs w:val="20"/>
        </w:rPr>
        <w:t xml:space="preserve">. </w:t>
      </w:r>
    </w:p>
    <w:p w:rsidR="00CB7D73" w:rsidRPr="00CB7D73" w:rsidRDefault="00CB7D73" w:rsidP="00CB7D73">
      <w:pPr>
        <w:ind w:left="720"/>
        <w:contextualSpacing/>
        <w:jc w:val="both"/>
        <w:rPr>
          <w:rFonts w:cs="Times New Roman"/>
          <w:sz w:val="20"/>
          <w:szCs w:val="20"/>
        </w:rPr>
      </w:pPr>
    </w:p>
    <w:p w:rsidR="00CB7D73" w:rsidRPr="00CB7D73" w:rsidRDefault="00CB7D73" w:rsidP="00CB7D73">
      <w:pPr>
        <w:widowControl w:val="0"/>
        <w:numPr>
          <w:ilvl w:val="0"/>
          <w:numId w:val="7"/>
        </w:numPr>
        <w:autoSpaceDE w:val="0"/>
        <w:autoSpaceDN w:val="0"/>
        <w:adjustRightInd w:val="0"/>
        <w:contextualSpacing/>
        <w:jc w:val="both"/>
        <w:rPr>
          <w:rFonts w:cs="Times New Roman"/>
          <w:sz w:val="20"/>
          <w:szCs w:val="20"/>
        </w:rPr>
      </w:pPr>
      <w:r w:rsidRPr="00CB7D73">
        <w:rPr>
          <w:rFonts w:cs="Times New Roman"/>
          <w:sz w:val="20"/>
          <w:szCs w:val="20"/>
        </w:rPr>
        <w:t>The Attorney General of Quebec shall serve and file a single factum and its record and book of authorities on or before March 6, 2015. Its factum shall not exceed 40 pages in length.</w:t>
      </w:r>
    </w:p>
    <w:p w:rsidR="00CB7D73" w:rsidRPr="00CB7D73" w:rsidRDefault="00CB7D73" w:rsidP="00CB7D73">
      <w:pPr>
        <w:ind w:left="720"/>
        <w:contextualSpacing/>
        <w:jc w:val="both"/>
        <w:rPr>
          <w:rFonts w:cs="Times New Roman"/>
          <w:sz w:val="20"/>
          <w:szCs w:val="20"/>
        </w:rPr>
      </w:pPr>
    </w:p>
    <w:p w:rsidR="00CB7D73" w:rsidRPr="00CB7D73" w:rsidRDefault="00CB7D73" w:rsidP="00CB7D73">
      <w:pPr>
        <w:widowControl w:val="0"/>
        <w:numPr>
          <w:ilvl w:val="0"/>
          <w:numId w:val="7"/>
        </w:numPr>
        <w:autoSpaceDE w:val="0"/>
        <w:autoSpaceDN w:val="0"/>
        <w:adjustRightInd w:val="0"/>
        <w:contextualSpacing/>
        <w:jc w:val="both"/>
        <w:rPr>
          <w:rFonts w:cs="Times New Roman"/>
          <w:sz w:val="20"/>
          <w:szCs w:val="20"/>
        </w:rPr>
      </w:pPr>
      <w:r w:rsidRPr="00CB7D73">
        <w:rPr>
          <w:rFonts w:cs="Times New Roman"/>
          <w:sz w:val="20"/>
          <w:szCs w:val="20"/>
        </w:rPr>
        <w:t>Mr. Galati shall serve and file a single factum and his record and book of authorities on or before March 6, 2015. Mr. Galati’s factum shall not exceed 10 pages in length.</w:t>
      </w:r>
    </w:p>
    <w:p w:rsidR="00CB7D73" w:rsidRPr="00CB7D73" w:rsidRDefault="00CB7D73" w:rsidP="00CB7D73">
      <w:pPr>
        <w:ind w:left="720"/>
        <w:contextualSpacing/>
        <w:jc w:val="both"/>
        <w:rPr>
          <w:rFonts w:cs="Times New Roman"/>
          <w:sz w:val="20"/>
          <w:szCs w:val="20"/>
        </w:rPr>
      </w:pPr>
    </w:p>
    <w:p w:rsidR="00CB7D73" w:rsidRPr="00CB7D73" w:rsidRDefault="00CB7D73" w:rsidP="00CB7D73">
      <w:pPr>
        <w:widowControl w:val="0"/>
        <w:numPr>
          <w:ilvl w:val="0"/>
          <w:numId w:val="7"/>
        </w:numPr>
        <w:autoSpaceDE w:val="0"/>
        <w:autoSpaceDN w:val="0"/>
        <w:adjustRightInd w:val="0"/>
        <w:contextualSpacing/>
        <w:jc w:val="both"/>
        <w:rPr>
          <w:rFonts w:cs="Times New Roman"/>
          <w:sz w:val="20"/>
          <w:szCs w:val="20"/>
        </w:rPr>
      </w:pPr>
      <w:r w:rsidRPr="00CB7D73">
        <w:rPr>
          <w:rFonts w:cs="Times New Roman"/>
          <w:sz w:val="20"/>
          <w:szCs w:val="20"/>
        </w:rPr>
        <w:t xml:space="preserve">The Constitutional Rights Centre Inc. shall serve and file a single factum and its record and book of authorities on or before March 6, 2015. Its factum shall not exceed 10 pages in length. </w:t>
      </w:r>
    </w:p>
    <w:p w:rsidR="00CB7D73" w:rsidRPr="00CB7D73" w:rsidRDefault="00CB7D73" w:rsidP="00CB7D73">
      <w:pPr>
        <w:ind w:left="720"/>
        <w:contextualSpacing/>
        <w:jc w:val="both"/>
        <w:rPr>
          <w:rFonts w:cs="Times New Roman"/>
          <w:sz w:val="20"/>
          <w:szCs w:val="20"/>
        </w:rPr>
      </w:pPr>
    </w:p>
    <w:p w:rsidR="00CB7D73" w:rsidRPr="00CB7D73" w:rsidRDefault="00CB7D73" w:rsidP="00CB7D73">
      <w:pPr>
        <w:widowControl w:val="0"/>
        <w:numPr>
          <w:ilvl w:val="0"/>
          <w:numId w:val="7"/>
        </w:numPr>
        <w:autoSpaceDE w:val="0"/>
        <w:autoSpaceDN w:val="0"/>
        <w:adjustRightInd w:val="0"/>
        <w:contextualSpacing/>
        <w:jc w:val="both"/>
        <w:rPr>
          <w:rFonts w:cs="Times New Roman"/>
          <w:sz w:val="20"/>
          <w:szCs w:val="20"/>
        </w:rPr>
      </w:pPr>
      <w:r w:rsidRPr="00CB7D73">
        <w:rPr>
          <w:rFonts w:cs="Times New Roman"/>
          <w:sz w:val="20"/>
          <w:szCs w:val="20"/>
        </w:rPr>
        <w:t xml:space="preserve">Any person wishing to intervene in this appeal under Rule 55 of the </w:t>
      </w:r>
      <w:r w:rsidRPr="00CB7D73">
        <w:rPr>
          <w:rFonts w:cs="Times New Roman"/>
          <w:i/>
          <w:sz w:val="20"/>
          <w:szCs w:val="20"/>
        </w:rPr>
        <w:t>Rules of the Supreme Court of Canada</w:t>
      </w:r>
      <w:r w:rsidRPr="00CB7D73">
        <w:rPr>
          <w:rFonts w:cs="Times New Roman"/>
          <w:sz w:val="20"/>
          <w:szCs w:val="20"/>
        </w:rPr>
        <w:t xml:space="preserve"> shall serve and file a motion for leave to intervene on or before March 20, 2015. </w:t>
      </w:r>
    </w:p>
    <w:p w:rsidR="00CB7D73" w:rsidRPr="00CB7D73" w:rsidRDefault="00CB7D73" w:rsidP="00CB7D73">
      <w:pPr>
        <w:ind w:left="720"/>
        <w:contextualSpacing/>
        <w:jc w:val="both"/>
        <w:rPr>
          <w:rFonts w:cs="Times New Roman"/>
          <w:sz w:val="20"/>
          <w:szCs w:val="20"/>
        </w:rPr>
      </w:pPr>
    </w:p>
    <w:p w:rsidR="00CB7D73" w:rsidRPr="00CB7D73" w:rsidRDefault="00CB7D73" w:rsidP="00CB7D73">
      <w:pPr>
        <w:widowControl w:val="0"/>
        <w:numPr>
          <w:ilvl w:val="0"/>
          <w:numId w:val="7"/>
        </w:numPr>
        <w:autoSpaceDE w:val="0"/>
        <w:autoSpaceDN w:val="0"/>
        <w:adjustRightInd w:val="0"/>
        <w:contextualSpacing/>
        <w:jc w:val="both"/>
        <w:rPr>
          <w:rFonts w:cs="Times New Roman"/>
          <w:sz w:val="20"/>
          <w:szCs w:val="20"/>
        </w:rPr>
      </w:pPr>
      <w:r w:rsidRPr="00CB7D73">
        <w:rPr>
          <w:rFonts w:cs="Times New Roman"/>
          <w:sz w:val="20"/>
          <w:szCs w:val="20"/>
        </w:rPr>
        <w:t xml:space="preserve">The parties shall serve and file their responses, if any, to the motions for leave to intervene on or before March 24, 2015. </w:t>
      </w:r>
    </w:p>
    <w:p w:rsidR="00CB7D73" w:rsidRPr="00CB7D73" w:rsidRDefault="00CB7D73" w:rsidP="00CB7D73">
      <w:pPr>
        <w:ind w:left="720"/>
        <w:contextualSpacing/>
        <w:jc w:val="both"/>
        <w:rPr>
          <w:rFonts w:cs="Times New Roman"/>
          <w:sz w:val="20"/>
          <w:szCs w:val="20"/>
        </w:rPr>
      </w:pPr>
    </w:p>
    <w:p w:rsidR="00CB7D73" w:rsidRPr="00CB7D73" w:rsidRDefault="00CB7D73" w:rsidP="00CB7D73">
      <w:pPr>
        <w:widowControl w:val="0"/>
        <w:numPr>
          <w:ilvl w:val="0"/>
          <w:numId w:val="7"/>
        </w:numPr>
        <w:autoSpaceDE w:val="0"/>
        <w:autoSpaceDN w:val="0"/>
        <w:adjustRightInd w:val="0"/>
        <w:contextualSpacing/>
        <w:jc w:val="both"/>
        <w:rPr>
          <w:rFonts w:cs="Times New Roman"/>
          <w:sz w:val="20"/>
          <w:szCs w:val="20"/>
        </w:rPr>
      </w:pPr>
      <w:r w:rsidRPr="00CB7D73">
        <w:rPr>
          <w:rFonts w:cs="Times New Roman"/>
          <w:sz w:val="20"/>
          <w:szCs w:val="20"/>
        </w:rPr>
        <w:t>Replies to any responses to the motions for leave to intervene shall be served and filed on or before March 26, 2015.</w:t>
      </w:r>
    </w:p>
    <w:p w:rsidR="00CB7D73" w:rsidRPr="00CB7D73" w:rsidRDefault="00CB7D73" w:rsidP="00CB7D73">
      <w:pPr>
        <w:ind w:left="1065"/>
        <w:contextualSpacing/>
        <w:jc w:val="both"/>
        <w:rPr>
          <w:rFonts w:cs="Times New Roman"/>
          <w:sz w:val="20"/>
          <w:szCs w:val="20"/>
        </w:rPr>
      </w:pPr>
    </w:p>
    <w:p w:rsidR="00CB7D73" w:rsidRPr="00CB7D73" w:rsidRDefault="00CB7D73" w:rsidP="00CB7D73">
      <w:pPr>
        <w:widowControl w:val="0"/>
        <w:numPr>
          <w:ilvl w:val="0"/>
          <w:numId w:val="7"/>
        </w:numPr>
        <w:autoSpaceDE w:val="0"/>
        <w:autoSpaceDN w:val="0"/>
        <w:adjustRightInd w:val="0"/>
        <w:contextualSpacing/>
        <w:jc w:val="both"/>
        <w:rPr>
          <w:rFonts w:cs="Times New Roman"/>
          <w:sz w:val="20"/>
          <w:szCs w:val="20"/>
        </w:rPr>
      </w:pPr>
      <w:r w:rsidRPr="00CB7D73">
        <w:rPr>
          <w:rFonts w:cs="Times New Roman"/>
          <w:sz w:val="20"/>
          <w:szCs w:val="20"/>
        </w:rPr>
        <w:t>The Attorney General of Canada shall serve and file a single factum and its record and book of authorities on or before April 7, 2015. Its factum shall not exceed 40 pages in length.</w:t>
      </w:r>
    </w:p>
    <w:p w:rsidR="00CB7D73" w:rsidRPr="00CB7D73" w:rsidRDefault="00CB7D73" w:rsidP="00CB7D73">
      <w:pPr>
        <w:ind w:left="720"/>
        <w:contextualSpacing/>
        <w:jc w:val="both"/>
        <w:rPr>
          <w:rFonts w:cs="Times New Roman"/>
          <w:sz w:val="20"/>
          <w:szCs w:val="20"/>
        </w:rPr>
      </w:pPr>
    </w:p>
    <w:p w:rsidR="00CB7D73" w:rsidRPr="00CB7D73" w:rsidRDefault="00CB7D73" w:rsidP="00CB7D73">
      <w:pPr>
        <w:widowControl w:val="0"/>
        <w:numPr>
          <w:ilvl w:val="0"/>
          <w:numId w:val="7"/>
        </w:numPr>
        <w:autoSpaceDE w:val="0"/>
        <w:autoSpaceDN w:val="0"/>
        <w:adjustRightInd w:val="0"/>
        <w:contextualSpacing/>
        <w:jc w:val="both"/>
        <w:rPr>
          <w:rFonts w:cs="Times New Roman"/>
          <w:sz w:val="20"/>
          <w:szCs w:val="20"/>
        </w:rPr>
      </w:pPr>
      <w:r w:rsidRPr="00CB7D73">
        <w:rPr>
          <w:rFonts w:cs="Times New Roman"/>
          <w:sz w:val="20"/>
          <w:szCs w:val="20"/>
        </w:rPr>
        <w:t xml:space="preserve">The Canadian Association of Provincial Court Judges shall serve and file a single factum and its record and book of authorities on or before April 2, 2015. Its factum shall not exceed 10 pages in length. </w:t>
      </w:r>
    </w:p>
    <w:p w:rsidR="00CB7D73" w:rsidRPr="00CB7D73" w:rsidRDefault="00CB7D73" w:rsidP="00CB7D73">
      <w:pPr>
        <w:ind w:left="720"/>
        <w:contextualSpacing/>
        <w:jc w:val="both"/>
        <w:rPr>
          <w:rFonts w:cs="Times New Roman"/>
          <w:sz w:val="20"/>
          <w:szCs w:val="20"/>
        </w:rPr>
      </w:pPr>
    </w:p>
    <w:p w:rsidR="00CB7D73" w:rsidRPr="00CB7D73" w:rsidRDefault="00CB7D73" w:rsidP="00CB7D73">
      <w:pPr>
        <w:widowControl w:val="0"/>
        <w:numPr>
          <w:ilvl w:val="0"/>
          <w:numId w:val="7"/>
        </w:numPr>
        <w:autoSpaceDE w:val="0"/>
        <w:autoSpaceDN w:val="0"/>
        <w:adjustRightInd w:val="0"/>
        <w:contextualSpacing/>
        <w:jc w:val="both"/>
        <w:rPr>
          <w:rFonts w:cs="Times New Roman"/>
          <w:sz w:val="20"/>
          <w:szCs w:val="20"/>
        </w:rPr>
      </w:pPr>
      <w:r w:rsidRPr="00CB7D73">
        <w:rPr>
          <w:rFonts w:cs="Times New Roman"/>
          <w:sz w:val="20"/>
          <w:szCs w:val="20"/>
        </w:rPr>
        <w:t>The Grand Council of Cree (Eeyou Istchee) and the Cree Nation Government shall serve and file a single factum and their record and book of authorities on or before April 2, 2015. Their joint factum shall not exceed 10 pages in length.</w:t>
      </w:r>
    </w:p>
    <w:p w:rsidR="00CB7D73" w:rsidRPr="00CB7D73" w:rsidRDefault="00CB7D73" w:rsidP="00CB7D73">
      <w:pPr>
        <w:ind w:left="720"/>
        <w:contextualSpacing/>
        <w:jc w:val="both"/>
        <w:rPr>
          <w:rFonts w:cs="Times New Roman"/>
          <w:sz w:val="20"/>
          <w:szCs w:val="20"/>
        </w:rPr>
      </w:pPr>
    </w:p>
    <w:p w:rsidR="00CB7D73" w:rsidRPr="00CB7D73" w:rsidRDefault="00CB7D73" w:rsidP="00CB7D73">
      <w:pPr>
        <w:widowControl w:val="0"/>
        <w:numPr>
          <w:ilvl w:val="0"/>
          <w:numId w:val="7"/>
        </w:numPr>
        <w:autoSpaceDE w:val="0"/>
        <w:autoSpaceDN w:val="0"/>
        <w:adjustRightInd w:val="0"/>
        <w:contextualSpacing/>
        <w:jc w:val="both"/>
        <w:rPr>
          <w:rFonts w:cs="Times New Roman"/>
          <w:bCs/>
          <w:sz w:val="20"/>
          <w:szCs w:val="20"/>
        </w:rPr>
      </w:pPr>
      <w:r w:rsidRPr="00CB7D73">
        <w:rPr>
          <w:rFonts w:cs="Times New Roman"/>
          <w:bCs/>
          <w:sz w:val="20"/>
          <w:szCs w:val="20"/>
        </w:rPr>
        <w:t xml:space="preserve">Any interveners granted leave to intervene under Rule 59 of the </w:t>
      </w:r>
      <w:r w:rsidRPr="00CB7D73">
        <w:rPr>
          <w:rFonts w:cs="Times New Roman"/>
          <w:bCs/>
          <w:i/>
          <w:sz w:val="20"/>
          <w:szCs w:val="20"/>
        </w:rPr>
        <w:t>Rules of the Supreme Court of Canada</w:t>
      </w:r>
      <w:r w:rsidRPr="00CB7D73">
        <w:rPr>
          <w:rFonts w:cs="Times New Roman"/>
          <w:bCs/>
          <w:sz w:val="20"/>
          <w:szCs w:val="20"/>
        </w:rPr>
        <w:t xml:space="preserve"> shall serve and file their factum and book of authorities on or before April 10, 2015.</w:t>
      </w:r>
    </w:p>
    <w:p w:rsidR="00CB7D73" w:rsidRPr="00CB7D73" w:rsidRDefault="00CB7D73" w:rsidP="00CB7D73">
      <w:pPr>
        <w:ind w:left="720"/>
        <w:contextualSpacing/>
        <w:jc w:val="both"/>
        <w:rPr>
          <w:rFonts w:cs="Times New Roman"/>
          <w:bCs/>
          <w:sz w:val="20"/>
          <w:szCs w:val="20"/>
        </w:rPr>
      </w:pPr>
    </w:p>
    <w:p w:rsidR="00CB7D73" w:rsidRPr="00CB7D73" w:rsidRDefault="00CB7D73" w:rsidP="00CB7D73">
      <w:pPr>
        <w:numPr>
          <w:ilvl w:val="0"/>
          <w:numId w:val="7"/>
        </w:numPr>
        <w:autoSpaceDE w:val="0"/>
        <w:autoSpaceDN w:val="0"/>
        <w:adjustRightInd w:val="0"/>
        <w:contextualSpacing/>
        <w:jc w:val="both"/>
        <w:rPr>
          <w:rFonts w:cs="Times New Roman"/>
          <w:sz w:val="20"/>
          <w:szCs w:val="20"/>
        </w:rPr>
      </w:pPr>
      <w:r w:rsidRPr="00CB7D73">
        <w:rPr>
          <w:rFonts w:cs="Times New Roman"/>
          <w:bCs/>
          <w:sz w:val="20"/>
          <w:szCs w:val="20"/>
        </w:rPr>
        <w:t>In the event that constitutional questions are stated in this appeal, a</w:t>
      </w:r>
      <w:r w:rsidRPr="00CB7D73">
        <w:rPr>
          <w:rFonts w:cs="Times New Roman"/>
          <w:sz w:val="20"/>
          <w:szCs w:val="20"/>
        </w:rPr>
        <w:t xml:space="preserve">ny attorney general wishing to intervene pursuant to Rule 61(4) of the </w:t>
      </w:r>
      <w:r w:rsidRPr="00CB7D73">
        <w:rPr>
          <w:rFonts w:cs="Times New Roman"/>
          <w:i/>
          <w:sz w:val="20"/>
          <w:szCs w:val="20"/>
        </w:rPr>
        <w:t>Rules of the Supreme Court of Canada</w:t>
      </w:r>
      <w:r w:rsidRPr="00CB7D73">
        <w:rPr>
          <w:rFonts w:cs="Times New Roman"/>
          <w:sz w:val="20"/>
          <w:szCs w:val="20"/>
        </w:rPr>
        <w:t xml:space="preserve"> shall serve and file their factum and book of authorities on or before April 7, 2015.</w:t>
      </w:r>
    </w:p>
    <w:p w:rsidR="00CB7D73" w:rsidRPr="00CB7D73" w:rsidRDefault="00CB7D73" w:rsidP="00CB7D73">
      <w:pPr>
        <w:ind w:left="720"/>
        <w:contextualSpacing/>
        <w:jc w:val="both"/>
        <w:rPr>
          <w:rFonts w:cs="Times New Roman"/>
          <w:sz w:val="20"/>
          <w:szCs w:val="20"/>
        </w:rPr>
      </w:pPr>
    </w:p>
    <w:p w:rsidR="00CB7D73" w:rsidRPr="00CB7D73" w:rsidRDefault="00CB7D73" w:rsidP="00CB7D73">
      <w:pPr>
        <w:numPr>
          <w:ilvl w:val="0"/>
          <w:numId w:val="7"/>
        </w:numPr>
        <w:autoSpaceDE w:val="0"/>
        <w:autoSpaceDN w:val="0"/>
        <w:adjustRightInd w:val="0"/>
        <w:contextualSpacing/>
        <w:jc w:val="both"/>
        <w:rPr>
          <w:rFonts w:cs="Times New Roman"/>
          <w:sz w:val="20"/>
          <w:szCs w:val="20"/>
        </w:rPr>
      </w:pPr>
      <w:r w:rsidRPr="00CB7D73">
        <w:rPr>
          <w:rFonts w:cs="Times New Roman"/>
          <w:sz w:val="20"/>
          <w:szCs w:val="20"/>
        </w:rPr>
        <w:t>Consideration of the issues raised by the Attorney General of Canada in his correspondence dated January 21, 2015, is deferred until the hearing, and the parties may address them in their written submissions, allocated above.</w:t>
      </w:r>
    </w:p>
    <w:p w:rsidR="00CB7D73" w:rsidRPr="00CB7D73" w:rsidRDefault="00CB7D73" w:rsidP="00CB7D73">
      <w:pPr>
        <w:jc w:val="both"/>
        <w:rPr>
          <w:rFonts w:eastAsia="Times New Roman" w:cs="Times New Roman"/>
          <w:bCs/>
          <w:sz w:val="20"/>
          <w:szCs w:val="20"/>
          <w:lang w:val="en-US" w:eastAsia="en-CA"/>
        </w:rPr>
      </w:pPr>
    </w:p>
    <w:p w:rsidR="00CB7D73" w:rsidRPr="00CB7D73" w:rsidRDefault="00CB7D73" w:rsidP="00CB7D73">
      <w:pPr>
        <w:jc w:val="both"/>
        <w:rPr>
          <w:rFonts w:eastAsia="Times New Roman" w:cs="Times New Roman"/>
          <w:bCs/>
          <w:sz w:val="20"/>
          <w:szCs w:val="20"/>
          <w:lang w:val="en-US" w:eastAsia="en-CA"/>
        </w:rPr>
      </w:pPr>
    </w:p>
    <w:p w:rsidR="00CB7D73" w:rsidRPr="00CB7D73" w:rsidRDefault="00CB7D73" w:rsidP="00CB7D73">
      <w:pPr>
        <w:jc w:val="both"/>
        <w:rPr>
          <w:rFonts w:eastAsia="Times New Roman" w:cs="Times New Roman"/>
          <w:bCs/>
          <w:sz w:val="20"/>
          <w:szCs w:val="20"/>
          <w:lang w:val="en-US" w:eastAsia="en-CA"/>
        </w:rPr>
      </w:pPr>
    </w:p>
    <w:p w:rsidR="00CB7D73" w:rsidRPr="00CB7D73" w:rsidRDefault="00CB7D73" w:rsidP="00CB7D73">
      <w:pPr>
        <w:jc w:val="both"/>
        <w:rPr>
          <w:rFonts w:eastAsia="Times New Roman" w:cs="Times New Roman"/>
          <w:sz w:val="20"/>
          <w:szCs w:val="20"/>
          <w:lang w:val="fr-CA" w:eastAsia="en-CA"/>
        </w:rPr>
      </w:pPr>
      <w:r w:rsidRPr="00CB7D73">
        <w:rPr>
          <w:rFonts w:eastAsia="Times New Roman" w:cs="Times New Roman"/>
          <w:b/>
          <w:sz w:val="20"/>
          <w:szCs w:val="20"/>
          <w:lang w:val="fr-CA" w:eastAsia="en-CA"/>
        </w:rPr>
        <w:lastRenderedPageBreak/>
        <w:t>APRÈS EXAMEN</w:t>
      </w:r>
      <w:r w:rsidRPr="00CB7D73">
        <w:rPr>
          <w:rFonts w:eastAsia="Times New Roman" w:cs="Times New Roman"/>
          <w:sz w:val="20"/>
          <w:szCs w:val="20"/>
          <w:lang w:val="fr-CA" w:eastAsia="en-CA"/>
        </w:rPr>
        <w:t xml:space="preserve"> des documents déposés, y compris la correspondance provenant du procureur général du Canada et du Centre de Droit Constitutionnel Inc. quant à la qualité de M. Rocco Galati pour déposer un avis d’appel;</w:t>
      </w:r>
    </w:p>
    <w:p w:rsidR="00CB7D73" w:rsidRPr="00CB7D73" w:rsidRDefault="00CB7D73" w:rsidP="00CB7D73">
      <w:pPr>
        <w:rPr>
          <w:rFonts w:eastAsia="Times New Roman" w:cs="Times New Roman"/>
          <w:bCs/>
          <w:sz w:val="20"/>
          <w:szCs w:val="20"/>
          <w:lang w:val="fr-CA" w:eastAsia="en-CA"/>
        </w:rPr>
      </w:pPr>
      <w:r w:rsidRPr="00CB7D73">
        <w:rPr>
          <w:rFonts w:eastAsia="Times New Roman" w:cs="Times New Roman"/>
          <w:bCs/>
          <w:sz w:val="20"/>
          <w:szCs w:val="20"/>
          <w:lang w:val="fr-CA" w:eastAsia="en-CA"/>
        </w:rPr>
        <w:br w:type="page"/>
      </w:r>
    </w:p>
    <w:p w:rsidR="00CB7D73" w:rsidRPr="00CB7D73" w:rsidRDefault="00CB7D73" w:rsidP="00CB7D73">
      <w:pPr>
        <w:jc w:val="both"/>
        <w:rPr>
          <w:rFonts w:eastAsia="Times New Roman" w:cs="Times New Roman"/>
          <w:bCs/>
          <w:sz w:val="20"/>
          <w:szCs w:val="20"/>
          <w:lang w:val="fr-CA" w:eastAsia="en-CA"/>
        </w:rPr>
      </w:pPr>
    </w:p>
    <w:p w:rsidR="00CB7D73" w:rsidRPr="00CB7D73" w:rsidRDefault="00CB7D73" w:rsidP="00CB7D73">
      <w:pPr>
        <w:jc w:val="both"/>
        <w:rPr>
          <w:rFonts w:eastAsia="Times New Roman" w:cs="Times New Roman"/>
          <w:b/>
          <w:bCs/>
          <w:sz w:val="20"/>
          <w:szCs w:val="20"/>
          <w:lang w:val="fr-CA" w:eastAsia="en-CA"/>
        </w:rPr>
      </w:pPr>
      <w:r w:rsidRPr="00CB7D73">
        <w:rPr>
          <w:rFonts w:eastAsia="Times New Roman" w:cs="Times New Roman"/>
          <w:b/>
          <w:bCs/>
          <w:sz w:val="20"/>
          <w:szCs w:val="20"/>
          <w:lang w:val="fr-CA" w:eastAsia="en-CA"/>
        </w:rPr>
        <w:t>IL EST ORDONNÉ CE QUI SUIT :</w:t>
      </w:r>
    </w:p>
    <w:p w:rsidR="00CB7D73" w:rsidRPr="00CB7D73" w:rsidRDefault="00CB7D73" w:rsidP="00CB7D73">
      <w:pPr>
        <w:jc w:val="both"/>
        <w:rPr>
          <w:rFonts w:eastAsia="Times New Roman" w:cs="Times New Roman"/>
          <w:bCs/>
          <w:sz w:val="20"/>
          <w:szCs w:val="20"/>
          <w:lang w:val="fr-CA" w:eastAsia="en-CA"/>
        </w:rPr>
      </w:pPr>
    </w:p>
    <w:p w:rsidR="00CB7D73" w:rsidRPr="00CB7D73" w:rsidRDefault="00CB7D73" w:rsidP="00CB7D73">
      <w:pPr>
        <w:numPr>
          <w:ilvl w:val="0"/>
          <w:numId w:val="8"/>
        </w:numPr>
        <w:ind w:left="1080"/>
        <w:contextualSpacing/>
        <w:jc w:val="both"/>
        <w:rPr>
          <w:rFonts w:eastAsia="PMingLiU" w:cs="Times New Roman"/>
          <w:sz w:val="20"/>
          <w:szCs w:val="20"/>
          <w:lang w:val="fr-CA"/>
        </w:rPr>
      </w:pPr>
      <w:r w:rsidRPr="00CB7D73">
        <w:rPr>
          <w:rFonts w:eastAsia="PMingLiU" w:cs="Times New Roman"/>
          <w:sz w:val="20"/>
          <w:szCs w:val="20"/>
          <w:lang w:val="fr-CA"/>
        </w:rPr>
        <w:t xml:space="preserve">Toute autre requête en formulation de questions constitutionnelles, s’il en est, sera signifiée et déposée au plus tard le 28 janvier 2015. </w:t>
      </w:r>
    </w:p>
    <w:p w:rsidR="00CB7D73" w:rsidRPr="00CB7D73" w:rsidRDefault="00CB7D73" w:rsidP="00CB7D73">
      <w:pPr>
        <w:ind w:left="1080"/>
        <w:contextualSpacing/>
        <w:jc w:val="both"/>
        <w:rPr>
          <w:rFonts w:eastAsia="PMingLiU" w:cs="Times New Roman"/>
          <w:sz w:val="20"/>
          <w:szCs w:val="20"/>
          <w:lang w:val="fr-CA"/>
        </w:rPr>
      </w:pPr>
    </w:p>
    <w:p w:rsidR="00CB7D73" w:rsidRPr="00CB7D73" w:rsidRDefault="00CB7D73" w:rsidP="00CB7D73">
      <w:pPr>
        <w:numPr>
          <w:ilvl w:val="0"/>
          <w:numId w:val="8"/>
        </w:numPr>
        <w:ind w:left="1080"/>
        <w:contextualSpacing/>
        <w:jc w:val="both"/>
        <w:rPr>
          <w:rFonts w:eastAsia="PMingLiU" w:cs="Times New Roman"/>
          <w:sz w:val="20"/>
          <w:szCs w:val="20"/>
          <w:lang w:val="fr-CA"/>
        </w:rPr>
      </w:pPr>
      <w:r w:rsidRPr="00CB7D73">
        <w:rPr>
          <w:rFonts w:eastAsia="PMingLiU" w:cs="Times New Roman"/>
          <w:sz w:val="20"/>
          <w:szCs w:val="20"/>
          <w:lang w:val="fr-CA"/>
        </w:rPr>
        <w:t>Les réponses à toute requête en formulation de questions constitutionnelles seront signifiées et déposées au plus tard le 2 février 2015.</w:t>
      </w:r>
    </w:p>
    <w:p w:rsidR="00CB7D73" w:rsidRPr="00CB7D73" w:rsidRDefault="00CB7D73" w:rsidP="00CB7D73">
      <w:pPr>
        <w:ind w:left="720"/>
        <w:contextualSpacing/>
        <w:jc w:val="both"/>
        <w:rPr>
          <w:rFonts w:eastAsia="PMingLiU" w:cs="Times New Roman"/>
          <w:sz w:val="20"/>
          <w:szCs w:val="20"/>
          <w:lang w:val="fr-CA"/>
        </w:rPr>
      </w:pPr>
    </w:p>
    <w:p w:rsidR="00CB7D73" w:rsidRPr="00CB7D73" w:rsidRDefault="00CB7D73" w:rsidP="00CB7D73">
      <w:pPr>
        <w:numPr>
          <w:ilvl w:val="0"/>
          <w:numId w:val="8"/>
        </w:numPr>
        <w:ind w:left="1080"/>
        <w:contextualSpacing/>
        <w:jc w:val="both"/>
        <w:rPr>
          <w:rFonts w:eastAsia="PMingLiU" w:cs="Times New Roman"/>
          <w:sz w:val="20"/>
          <w:szCs w:val="20"/>
          <w:lang w:val="fr-CA"/>
        </w:rPr>
      </w:pPr>
      <w:r w:rsidRPr="00CB7D73">
        <w:rPr>
          <w:rFonts w:eastAsia="PMingLiU" w:cs="Times New Roman"/>
          <w:sz w:val="20"/>
          <w:szCs w:val="20"/>
          <w:lang w:val="fr-CA"/>
        </w:rPr>
        <w:t>Les répliques aux réponses à toute requête en formulation de questions constitutionnelles seront signifiées et déposées au plus tard le 4 février 2015.</w:t>
      </w:r>
    </w:p>
    <w:p w:rsidR="00CB7D73" w:rsidRPr="00CB7D73" w:rsidRDefault="00CB7D73" w:rsidP="00CB7D73">
      <w:pPr>
        <w:ind w:left="720"/>
        <w:contextualSpacing/>
        <w:jc w:val="both"/>
        <w:rPr>
          <w:rFonts w:eastAsia="PMingLiU" w:cs="Times New Roman"/>
          <w:sz w:val="20"/>
          <w:szCs w:val="20"/>
          <w:lang w:val="fr-CA"/>
        </w:rPr>
      </w:pPr>
    </w:p>
    <w:p w:rsidR="00CB7D73" w:rsidRPr="00CB7D73" w:rsidRDefault="00CB7D73" w:rsidP="00CB7D73">
      <w:pPr>
        <w:numPr>
          <w:ilvl w:val="0"/>
          <w:numId w:val="8"/>
        </w:numPr>
        <w:ind w:left="1080"/>
        <w:contextualSpacing/>
        <w:jc w:val="both"/>
        <w:rPr>
          <w:rFonts w:eastAsia="PMingLiU" w:cs="Times New Roman"/>
          <w:sz w:val="20"/>
          <w:szCs w:val="20"/>
          <w:lang w:val="fr-CA"/>
        </w:rPr>
      </w:pPr>
      <w:r w:rsidRPr="00CB7D73">
        <w:rPr>
          <w:rFonts w:eastAsia="PMingLiU" w:cs="Times New Roman"/>
          <w:sz w:val="20"/>
          <w:szCs w:val="20"/>
          <w:lang w:val="fr-CA"/>
        </w:rPr>
        <w:t xml:space="preserve">Si des questions constitutionnelles sont formulées dans le présent appel, l’avis de questions constitutionnelles sera signifié aux procureurs généraux au plus tard deux (2) jours suivant la réception de l’ordonnance en vertu de la règle 61(1) des </w:t>
      </w:r>
      <w:r w:rsidRPr="00CB7D73">
        <w:rPr>
          <w:rFonts w:eastAsia="PMingLiU" w:cs="Times New Roman"/>
          <w:i/>
          <w:sz w:val="20"/>
          <w:szCs w:val="20"/>
          <w:lang w:val="fr-CA"/>
        </w:rPr>
        <w:t>Règles de la Cour suprême du Canada</w:t>
      </w:r>
      <w:r w:rsidRPr="00CB7D73">
        <w:rPr>
          <w:rFonts w:eastAsia="PMingLiU" w:cs="Times New Roman"/>
          <w:sz w:val="20"/>
          <w:szCs w:val="20"/>
          <w:lang w:val="fr-CA"/>
        </w:rPr>
        <w:t xml:space="preserve">. </w:t>
      </w:r>
    </w:p>
    <w:p w:rsidR="00CB7D73" w:rsidRPr="00CB7D73" w:rsidRDefault="00CB7D73" w:rsidP="00CB7D73">
      <w:pPr>
        <w:ind w:left="1080"/>
        <w:contextualSpacing/>
        <w:jc w:val="both"/>
        <w:rPr>
          <w:rFonts w:eastAsia="PMingLiU" w:cs="Times New Roman"/>
          <w:sz w:val="20"/>
          <w:szCs w:val="20"/>
          <w:lang w:val="fr-CA"/>
        </w:rPr>
      </w:pPr>
    </w:p>
    <w:p w:rsidR="00CB7D73" w:rsidRPr="00CB7D73" w:rsidRDefault="00CB7D73" w:rsidP="00CB7D73">
      <w:pPr>
        <w:numPr>
          <w:ilvl w:val="0"/>
          <w:numId w:val="8"/>
        </w:numPr>
        <w:ind w:left="1080"/>
        <w:contextualSpacing/>
        <w:jc w:val="both"/>
        <w:rPr>
          <w:rFonts w:eastAsia="PMingLiU" w:cs="Times New Roman"/>
          <w:sz w:val="20"/>
          <w:szCs w:val="20"/>
          <w:lang w:val="fr-CA"/>
        </w:rPr>
      </w:pPr>
      <w:r w:rsidRPr="00CB7D73">
        <w:rPr>
          <w:rFonts w:eastAsia="PMingLiU" w:cs="Times New Roman"/>
          <w:sz w:val="20"/>
          <w:szCs w:val="20"/>
          <w:lang w:val="fr-CA"/>
        </w:rPr>
        <w:t xml:space="preserve">Le procureur général du Québec signifiera et déposera un seul mémoire ainsi que ses dossier et recueil de sources au plus tard le 6 mars 2015. Son mémoire n’excédera pas 40 pages. </w:t>
      </w:r>
    </w:p>
    <w:p w:rsidR="00CB7D73" w:rsidRPr="00CB7D73" w:rsidRDefault="00CB7D73" w:rsidP="00CB7D73">
      <w:pPr>
        <w:ind w:left="720"/>
        <w:contextualSpacing/>
        <w:jc w:val="both"/>
        <w:rPr>
          <w:rFonts w:eastAsia="PMingLiU" w:cs="Times New Roman"/>
          <w:sz w:val="20"/>
          <w:szCs w:val="20"/>
          <w:lang w:val="fr-CA"/>
        </w:rPr>
      </w:pPr>
    </w:p>
    <w:p w:rsidR="00CB7D73" w:rsidRPr="00CB7D73" w:rsidRDefault="00CB7D73" w:rsidP="00CB7D73">
      <w:pPr>
        <w:numPr>
          <w:ilvl w:val="0"/>
          <w:numId w:val="8"/>
        </w:numPr>
        <w:ind w:left="1080"/>
        <w:contextualSpacing/>
        <w:jc w:val="both"/>
        <w:rPr>
          <w:rFonts w:eastAsia="PMingLiU" w:cs="Times New Roman"/>
          <w:sz w:val="20"/>
          <w:szCs w:val="20"/>
          <w:lang w:val="fr-CA"/>
        </w:rPr>
      </w:pPr>
      <w:r w:rsidRPr="00CB7D73">
        <w:rPr>
          <w:rFonts w:eastAsia="PMingLiU" w:cs="Times New Roman"/>
          <w:sz w:val="20"/>
          <w:szCs w:val="20"/>
          <w:lang w:val="fr-CA"/>
        </w:rPr>
        <w:t>M. Galati signifiera et déposera un seul mémoire ainsi que ses dossier et recueil de sources au plus tard le 6 mars 2015. Son mémoire n’excédera pas 10 pages.</w:t>
      </w:r>
    </w:p>
    <w:p w:rsidR="00CB7D73" w:rsidRPr="00CB7D73" w:rsidRDefault="00CB7D73" w:rsidP="00CB7D73">
      <w:pPr>
        <w:ind w:left="720"/>
        <w:contextualSpacing/>
        <w:jc w:val="both"/>
        <w:rPr>
          <w:rFonts w:eastAsia="PMingLiU" w:cs="Times New Roman"/>
          <w:sz w:val="20"/>
          <w:szCs w:val="20"/>
          <w:lang w:val="fr-CA"/>
        </w:rPr>
      </w:pPr>
    </w:p>
    <w:p w:rsidR="00CB7D73" w:rsidRPr="00CB7D73" w:rsidRDefault="00CB7D73" w:rsidP="00CB7D73">
      <w:pPr>
        <w:numPr>
          <w:ilvl w:val="0"/>
          <w:numId w:val="8"/>
        </w:numPr>
        <w:ind w:left="1080"/>
        <w:contextualSpacing/>
        <w:jc w:val="both"/>
        <w:rPr>
          <w:rFonts w:eastAsia="PMingLiU" w:cs="Times New Roman"/>
          <w:sz w:val="20"/>
          <w:szCs w:val="20"/>
          <w:lang w:val="fr-CA"/>
        </w:rPr>
      </w:pPr>
      <w:r w:rsidRPr="00CB7D73">
        <w:rPr>
          <w:rFonts w:eastAsia="PMingLiU" w:cs="Times New Roman"/>
          <w:sz w:val="20"/>
          <w:szCs w:val="20"/>
          <w:lang w:val="fr-CA"/>
        </w:rPr>
        <w:t xml:space="preserve">Le </w:t>
      </w:r>
      <w:r w:rsidRPr="00CB7D73">
        <w:rPr>
          <w:rFonts w:cs="Times New Roman"/>
          <w:sz w:val="20"/>
          <w:szCs w:val="20"/>
          <w:lang w:val="fr-CA"/>
        </w:rPr>
        <w:t xml:space="preserve">Centre de Droit Constitutionnel Inc. </w:t>
      </w:r>
      <w:r w:rsidRPr="00CB7D73">
        <w:rPr>
          <w:rFonts w:eastAsia="PMingLiU" w:cs="Times New Roman"/>
          <w:sz w:val="20"/>
          <w:szCs w:val="20"/>
          <w:lang w:val="fr-CA"/>
        </w:rPr>
        <w:t>signifiera et déposera un seul mémoire ainsi que ses dossier et recueil de sources au plus tard le 6 mars 2015. Son mémoire n’excédera pas 10 pages.</w:t>
      </w:r>
    </w:p>
    <w:p w:rsidR="00CB7D73" w:rsidRPr="00CB7D73" w:rsidRDefault="00CB7D73" w:rsidP="00CB7D73">
      <w:pPr>
        <w:ind w:left="720"/>
        <w:contextualSpacing/>
        <w:jc w:val="both"/>
        <w:rPr>
          <w:rFonts w:eastAsia="PMingLiU" w:cs="Times New Roman"/>
          <w:sz w:val="20"/>
          <w:szCs w:val="20"/>
          <w:lang w:val="fr-CA"/>
        </w:rPr>
      </w:pPr>
    </w:p>
    <w:p w:rsidR="00CB7D73" w:rsidRPr="00CB7D73" w:rsidRDefault="00CB7D73" w:rsidP="00CB7D73">
      <w:pPr>
        <w:numPr>
          <w:ilvl w:val="0"/>
          <w:numId w:val="8"/>
        </w:numPr>
        <w:ind w:left="1080"/>
        <w:contextualSpacing/>
        <w:jc w:val="both"/>
        <w:rPr>
          <w:rFonts w:eastAsia="PMingLiU" w:cs="Times New Roman"/>
          <w:sz w:val="20"/>
          <w:szCs w:val="20"/>
          <w:lang w:val="fr-CA"/>
        </w:rPr>
      </w:pPr>
      <w:r w:rsidRPr="00CB7D73">
        <w:rPr>
          <w:rFonts w:cs="Times New Roman"/>
          <w:sz w:val="20"/>
          <w:szCs w:val="20"/>
          <w:lang w:val="fr-CA"/>
        </w:rPr>
        <w:t xml:space="preserve">Toute personne qui souhaite intervenir dans le présent appel en vertu de la règle 55 des </w:t>
      </w:r>
      <w:r w:rsidRPr="00CB7D73">
        <w:rPr>
          <w:rFonts w:cs="Times New Roman"/>
          <w:i/>
          <w:sz w:val="20"/>
          <w:szCs w:val="20"/>
          <w:lang w:val="fr-CA"/>
        </w:rPr>
        <w:t>Règles de la Cour suprême du Canada</w:t>
      </w:r>
      <w:r w:rsidRPr="00CB7D73">
        <w:rPr>
          <w:rFonts w:cs="Times New Roman"/>
          <w:sz w:val="20"/>
          <w:szCs w:val="20"/>
          <w:lang w:val="fr-CA"/>
        </w:rPr>
        <w:t xml:space="preserve"> signifiera et déposera une requête en autorisation d’intervenir au plus tard le 20 mars 2015.</w:t>
      </w:r>
    </w:p>
    <w:p w:rsidR="00CB7D73" w:rsidRPr="00CB7D73" w:rsidRDefault="00CB7D73" w:rsidP="00CB7D73">
      <w:pPr>
        <w:ind w:left="720"/>
        <w:contextualSpacing/>
        <w:jc w:val="both"/>
        <w:rPr>
          <w:rFonts w:eastAsia="PMingLiU" w:cs="Times New Roman"/>
          <w:sz w:val="20"/>
          <w:szCs w:val="20"/>
          <w:lang w:val="fr-CA"/>
        </w:rPr>
      </w:pPr>
    </w:p>
    <w:p w:rsidR="00CB7D73" w:rsidRPr="00CB7D73" w:rsidRDefault="00CB7D73" w:rsidP="00CB7D73">
      <w:pPr>
        <w:numPr>
          <w:ilvl w:val="0"/>
          <w:numId w:val="8"/>
        </w:numPr>
        <w:ind w:left="1080"/>
        <w:contextualSpacing/>
        <w:jc w:val="both"/>
        <w:rPr>
          <w:rFonts w:eastAsia="PMingLiU" w:cs="Times New Roman"/>
          <w:sz w:val="20"/>
          <w:szCs w:val="20"/>
          <w:lang w:val="fr-CA"/>
        </w:rPr>
      </w:pPr>
      <w:r w:rsidRPr="00CB7D73">
        <w:rPr>
          <w:rFonts w:cs="Times New Roman"/>
          <w:sz w:val="20"/>
          <w:szCs w:val="20"/>
          <w:lang w:val="fr-CA"/>
        </w:rPr>
        <w:t>Les parties signifieront et déposeront leurs réponses aux requêtes sollicitant l’autorisation d’intervenir, le cas échéant, au plus tard le 24 mars 2015.</w:t>
      </w:r>
    </w:p>
    <w:p w:rsidR="00CB7D73" w:rsidRPr="00CB7D73" w:rsidRDefault="00CB7D73" w:rsidP="00CB7D73">
      <w:pPr>
        <w:ind w:left="720"/>
        <w:contextualSpacing/>
        <w:jc w:val="both"/>
        <w:rPr>
          <w:rFonts w:eastAsia="PMingLiU" w:cs="Times New Roman"/>
          <w:sz w:val="20"/>
          <w:szCs w:val="20"/>
          <w:lang w:val="fr-CA"/>
        </w:rPr>
      </w:pPr>
    </w:p>
    <w:p w:rsidR="00CB7D73" w:rsidRPr="00CB7D73" w:rsidRDefault="00CB7D73" w:rsidP="00CB7D73">
      <w:pPr>
        <w:numPr>
          <w:ilvl w:val="0"/>
          <w:numId w:val="8"/>
        </w:numPr>
        <w:ind w:left="1080"/>
        <w:contextualSpacing/>
        <w:jc w:val="both"/>
        <w:rPr>
          <w:rFonts w:eastAsia="PMingLiU" w:cs="Times New Roman"/>
          <w:sz w:val="20"/>
          <w:szCs w:val="20"/>
          <w:lang w:val="fr-CA"/>
        </w:rPr>
      </w:pPr>
      <w:r w:rsidRPr="00CB7D73">
        <w:rPr>
          <w:rFonts w:cs="Times New Roman"/>
          <w:sz w:val="20"/>
          <w:szCs w:val="20"/>
          <w:lang w:val="fr-CA"/>
        </w:rPr>
        <w:t>Les répliques à toute réponse aux demandes d’autorisation d’intervenir seront signifiées et déposées au plus tard le 26 mars 2015.</w:t>
      </w:r>
    </w:p>
    <w:p w:rsidR="00CB7D73" w:rsidRPr="00CB7D73" w:rsidRDefault="00CB7D73" w:rsidP="00CB7D73">
      <w:pPr>
        <w:ind w:left="720"/>
        <w:contextualSpacing/>
        <w:jc w:val="both"/>
        <w:rPr>
          <w:rFonts w:eastAsia="PMingLiU" w:cs="Times New Roman"/>
          <w:sz w:val="20"/>
          <w:szCs w:val="20"/>
          <w:lang w:val="fr-CA"/>
        </w:rPr>
      </w:pPr>
    </w:p>
    <w:p w:rsidR="00CB7D73" w:rsidRPr="00CB7D73" w:rsidRDefault="00CB7D73" w:rsidP="00CB7D73">
      <w:pPr>
        <w:numPr>
          <w:ilvl w:val="0"/>
          <w:numId w:val="8"/>
        </w:numPr>
        <w:ind w:left="1080"/>
        <w:contextualSpacing/>
        <w:jc w:val="both"/>
        <w:rPr>
          <w:rFonts w:eastAsia="PMingLiU" w:cs="Times New Roman"/>
          <w:sz w:val="20"/>
          <w:szCs w:val="20"/>
          <w:lang w:val="fr-CA"/>
        </w:rPr>
      </w:pPr>
      <w:r w:rsidRPr="00CB7D73">
        <w:rPr>
          <w:rFonts w:eastAsia="PMingLiU" w:cs="Times New Roman"/>
          <w:sz w:val="20"/>
          <w:szCs w:val="20"/>
          <w:lang w:val="fr-CA"/>
        </w:rPr>
        <w:t>Le procureur général du Canada signifiera et déposera un seul mémoire ainsi que ses dossier et recueil de sources au plus tard le 7 avril 2015. Son mémoire n’excédera pas 40 pages.</w:t>
      </w:r>
    </w:p>
    <w:p w:rsidR="00CB7D73" w:rsidRPr="00CB7D73" w:rsidRDefault="00CB7D73" w:rsidP="00CB7D73">
      <w:pPr>
        <w:ind w:left="720"/>
        <w:contextualSpacing/>
        <w:jc w:val="both"/>
        <w:rPr>
          <w:rFonts w:eastAsia="PMingLiU" w:cs="Times New Roman"/>
          <w:sz w:val="20"/>
          <w:szCs w:val="20"/>
          <w:lang w:val="fr-CA"/>
        </w:rPr>
      </w:pPr>
    </w:p>
    <w:p w:rsidR="00CB7D73" w:rsidRPr="00CB7D73" w:rsidRDefault="00CB7D73" w:rsidP="00CB7D73">
      <w:pPr>
        <w:numPr>
          <w:ilvl w:val="0"/>
          <w:numId w:val="8"/>
        </w:numPr>
        <w:ind w:left="1080"/>
        <w:contextualSpacing/>
        <w:jc w:val="both"/>
        <w:rPr>
          <w:rFonts w:eastAsia="PMingLiU" w:cs="Times New Roman"/>
          <w:sz w:val="20"/>
          <w:szCs w:val="20"/>
          <w:lang w:val="fr-CA"/>
        </w:rPr>
      </w:pPr>
      <w:r w:rsidRPr="00CB7D73">
        <w:rPr>
          <w:rFonts w:eastAsia="PMingLiU" w:cs="Times New Roman"/>
          <w:sz w:val="20"/>
          <w:szCs w:val="20"/>
          <w:lang w:val="fr-CA"/>
        </w:rPr>
        <w:t>L’Association canadienne des juges des cours provinciales signifiera et déposera un seul mémoire ainsi que ses dossier et recueil de sources au plus tard le 2 avril 2015. Son mémoire n’excédera pas 10 pages.</w:t>
      </w:r>
    </w:p>
    <w:p w:rsidR="00CB7D73" w:rsidRPr="00CB7D73" w:rsidRDefault="00CB7D73" w:rsidP="00CB7D73">
      <w:pPr>
        <w:ind w:left="720"/>
        <w:contextualSpacing/>
        <w:jc w:val="both"/>
        <w:rPr>
          <w:rFonts w:eastAsia="PMingLiU" w:cs="Times New Roman"/>
          <w:sz w:val="20"/>
          <w:szCs w:val="20"/>
          <w:lang w:val="fr-CA"/>
        </w:rPr>
      </w:pPr>
    </w:p>
    <w:p w:rsidR="00CB7D73" w:rsidRPr="00CB7D73" w:rsidRDefault="00CB7D73" w:rsidP="00CB7D73">
      <w:pPr>
        <w:numPr>
          <w:ilvl w:val="0"/>
          <w:numId w:val="8"/>
        </w:numPr>
        <w:ind w:left="1080"/>
        <w:contextualSpacing/>
        <w:jc w:val="both"/>
        <w:rPr>
          <w:rFonts w:eastAsia="PMingLiU" w:cs="Times New Roman"/>
          <w:sz w:val="20"/>
          <w:szCs w:val="20"/>
          <w:lang w:val="fr-CA"/>
        </w:rPr>
      </w:pPr>
      <w:r w:rsidRPr="00CB7D73">
        <w:rPr>
          <w:rFonts w:eastAsia="PMingLiU" w:cs="Times New Roman"/>
          <w:sz w:val="20"/>
          <w:szCs w:val="20"/>
          <w:lang w:val="fr-CA"/>
        </w:rPr>
        <w:t>Le Grand conseil des Cris (Eeyou Istchee) et le Gouvernement de la Nation Crie signifieront et déposeront un seul mémoire ainsi que leurs dossier et recueil de sources au plus tard le 2 avril 2015. Leur mémoire conjoint n’excédera pas 10 pages.</w:t>
      </w:r>
    </w:p>
    <w:p w:rsidR="00CB7D73" w:rsidRPr="00CB7D73" w:rsidRDefault="00CB7D73" w:rsidP="00CB7D73">
      <w:pPr>
        <w:ind w:left="720"/>
        <w:contextualSpacing/>
        <w:jc w:val="both"/>
        <w:rPr>
          <w:rFonts w:eastAsia="PMingLiU" w:cs="Times New Roman"/>
          <w:sz w:val="20"/>
          <w:szCs w:val="20"/>
          <w:lang w:val="fr-CA"/>
        </w:rPr>
      </w:pPr>
    </w:p>
    <w:p w:rsidR="00CB7D73" w:rsidRPr="00CB7D73" w:rsidRDefault="00CB7D73" w:rsidP="00CB7D73">
      <w:pPr>
        <w:numPr>
          <w:ilvl w:val="0"/>
          <w:numId w:val="8"/>
        </w:numPr>
        <w:ind w:left="1080"/>
        <w:contextualSpacing/>
        <w:jc w:val="both"/>
        <w:rPr>
          <w:rFonts w:eastAsia="PMingLiU" w:cs="Times New Roman"/>
          <w:sz w:val="20"/>
          <w:szCs w:val="20"/>
          <w:lang w:val="fr-CA"/>
        </w:rPr>
      </w:pPr>
      <w:r w:rsidRPr="00CB7D73">
        <w:rPr>
          <w:rFonts w:cs="Times New Roman"/>
          <w:sz w:val="20"/>
          <w:szCs w:val="20"/>
          <w:lang w:val="fr-CA"/>
        </w:rPr>
        <w:t xml:space="preserve">Les intervenants autorisés à intervenir en application de la règle 59 des </w:t>
      </w:r>
      <w:r w:rsidRPr="00CB7D73">
        <w:rPr>
          <w:rFonts w:cs="Times New Roman"/>
          <w:i/>
          <w:sz w:val="20"/>
          <w:szCs w:val="20"/>
          <w:lang w:val="fr-CA"/>
        </w:rPr>
        <w:t>Règles de la Cour suprême du Canada</w:t>
      </w:r>
      <w:r w:rsidRPr="00CB7D73">
        <w:rPr>
          <w:rFonts w:cs="Times New Roman"/>
          <w:sz w:val="20"/>
          <w:szCs w:val="20"/>
          <w:lang w:val="fr-CA"/>
        </w:rPr>
        <w:t xml:space="preserve"> signifieront et déposeront leur mémoire et leur recueil de sources au plus tard le 10 avril 2015.</w:t>
      </w:r>
    </w:p>
    <w:p w:rsidR="00CB7D73" w:rsidRPr="00CB7D73" w:rsidRDefault="00CB7D73" w:rsidP="00CB7D73">
      <w:pPr>
        <w:ind w:left="720"/>
        <w:contextualSpacing/>
        <w:jc w:val="both"/>
        <w:rPr>
          <w:rFonts w:eastAsia="PMingLiU" w:cs="Times New Roman"/>
          <w:sz w:val="20"/>
          <w:szCs w:val="20"/>
          <w:lang w:val="fr-CA"/>
        </w:rPr>
      </w:pPr>
    </w:p>
    <w:p w:rsidR="00CB7D73" w:rsidRPr="00CB7D73" w:rsidRDefault="00CB7D73" w:rsidP="00CB7D73">
      <w:pPr>
        <w:numPr>
          <w:ilvl w:val="0"/>
          <w:numId w:val="8"/>
        </w:numPr>
        <w:ind w:left="1080"/>
        <w:contextualSpacing/>
        <w:jc w:val="both"/>
        <w:rPr>
          <w:rFonts w:eastAsia="PMingLiU" w:cs="Times New Roman"/>
          <w:sz w:val="20"/>
          <w:szCs w:val="20"/>
          <w:lang w:val="fr-CA"/>
        </w:rPr>
      </w:pPr>
      <w:r w:rsidRPr="00CB7D73">
        <w:rPr>
          <w:rFonts w:cs="Times New Roman"/>
          <w:sz w:val="20"/>
          <w:szCs w:val="20"/>
          <w:lang w:val="fr-CA"/>
        </w:rPr>
        <w:t xml:space="preserve">Si des questions constitutionnelles sont formulées dans cet appel, tout procureur général qui interviendra en vertu de la règle 61(4) des </w:t>
      </w:r>
      <w:r w:rsidRPr="00CB7D73">
        <w:rPr>
          <w:rFonts w:cs="Times New Roman"/>
          <w:i/>
          <w:sz w:val="20"/>
          <w:szCs w:val="20"/>
          <w:lang w:val="fr-CA"/>
        </w:rPr>
        <w:t>Règles de la Cour suprême du Canada</w:t>
      </w:r>
      <w:r w:rsidRPr="00CB7D73">
        <w:rPr>
          <w:rFonts w:cs="Times New Roman"/>
          <w:sz w:val="20"/>
          <w:szCs w:val="20"/>
          <w:lang w:val="fr-CA"/>
        </w:rPr>
        <w:t xml:space="preserve"> signifiera et déposera son mémoire et son recueil de sources au plus tard le 7 avril 2015.</w:t>
      </w:r>
    </w:p>
    <w:p w:rsidR="00CB7D73" w:rsidRDefault="00CB7D73">
      <w:pPr>
        <w:rPr>
          <w:rFonts w:eastAsia="PMingLiU" w:cs="Times New Roman"/>
          <w:sz w:val="20"/>
          <w:szCs w:val="20"/>
          <w:lang w:val="fr-CA"/>
        </w:rPr>
      </w:pPr>
    </w:p>
    <w:p w:rsidR="00CB7D73" w:rsidRDefault="00CB7D73">
      <w:pPr>
        <w:rPr>
          <w:rFonts w:eastAsia="PMingLiU" w:cs="Times New Roman"/>
          <w:sz w:val="20"/>
          <w:szCs w:val="20"/>
          <w:lang w:val="fr-CA"/>
        </w:rPr>
      </w:pPr>
      <w:r>
        <w:rPr>
          <w:rFonts w:eastAsia="PMingLiU" w:cs="Times New Roman"/>
          <w:sz w:val="20"/>
          <w:szCs w:val="20"/>
          <w:lang w:val="fr-CA"/>
        </w:rPr>
        <w:br w:type="page"/>
      </w:r>
    </w:p>
    <w:p w:rsidR="00CB7D73" w:rsidRPr="00CB7D73" w:rsidRDefault="00CB7D73" w:rsidP="00CB7D73">
      <w:pPr>
        <w:numPr>
          <w:ilvl w:val="0"/>
          <w:numId w:val="8"/>
        </w:numPr>
        <w:ind w:left="1080"/>
        <w:contextualSpacing/>
        <w:jc w:val="both"/>
        <w:rPr>
          <w:rFonts w:eastAsia="PMingLiU" w:cs="Times New Roman"/>
          <w:sz w:val="20"/>
          <w:szCs w:val="20"/>
          <w:lang w:val="fr-CA"/>
        </w:rPr>
      </w:pPr>
      <w:r w:rsidRPr="00CB7D73">
        <w:rPr>
          <w:rFonts w:cs="Times New Roman"/>
          <w:sz w:val="20"/>
          <w:szCs w:val="20"/>
          <w:lang w:val="fr-CA"/>
        </w:rPr>
        <w:lastRenderedPageBreak/>
        <w:t>L’examen des questions soulevées par le procureur général du Canada dans sa correspondance datée du 21 janvier 2015 est reporté jusqu’à l’audience; les parties peuvent en traiter dans les observations écrites que la présente les autorise à déposer.</w:t>
      </w:r>
    </w:p>
    <w:p w:rsidR="00CB7D73" w:rsidRPr="00CB7D73" w:rsidRDefault="00CB7D73" w:rsidP="00CB7D73">
      <w:pPr>
        <w:tabs>
          <w:tab w:val="left" w:pos="-1440"/>
          <w:tab w:val="left" w:pos="-720"/>
        </w:tabs>
        <w:jc w:val="both"/>
        <w:rPr>
          <w:rFonts w:eastAsia="Times New Roman" w:cs="Times New Roman"/>
          <w:sz w:val="20"/>
          <w:szCs w:val="20"/>
          <w:lang w:val="fr-CA" w:eastAsia="en-CA"/>
        </w:rPr>
      </w:pPr>
    </w:p>
    <w:p w:rsidR="00CB7D73" w:rsidRPr="00CB7D73" w:rsidRDefault="00E42AAB" w:rsidP="00CB7D73">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102" style="width:2in;height:1pt" o:hrpct="0" o:hralign="center" o:hrstd="t" o:hrnoshade="t" o:hr="t" fillcolor="black [3213]" stroked="f"/>
        </w:pict>
      </w:r>
    </w:p>
    <w:p w:rsidR="00CB7D73" w:rsidRPr="00CB7D73" w:rsidRDefault="00CB7D73" w:rsidP="00CB7D73">
      <w:pPr>
        <w:tabs>
          <w:tab w:val="left" w:pos="-1440"/>
          <w:tab w:val="left" w:pos="-720"/>
        </w:tabs>
        <w:jc w:val="both"/>
        <w:rPr>
          <w:rFonts w:eastAsia="Times New Roman" w:cs="Times New Roman"/>
          <w:sz w:val="20"/>
          <w:szCs w:val="20"/>
          <w:lang w:eastAsia="en-CA"/>
        </w:rPr>
      </w:pPr>
    </w:p>
    <w:p w:rsidR="00CB7D73" w:rsidRPr="00CB7D73" w:rsidRDefault="00CB7D73" w:rsidP="00CB7D73">
      <w:pPr>
        <w:tabs>
          <w:tab w:val="left" w:pos="-1440"/>
          <w:tab w:val="left" w:pos="-720"/>
        </w:tabs>
        <w:jc w:val="both"/>
        <w:rPr>
          <w:rFonts w:eastAsia="Times New Roman" w:cs="Times New Roman"/>
          <w:sz w:val="20"/>
          <w:szCs w:val="20"/>
          <w:lang w:val="fr-CA" w:eastAsia="en-CA"/>
        </w:rPr>
      </w:pPr>
      <w:r w:rsidRPr="00CB7D73">
        <w:rPr>
          <w:rFonts w:eastAsia="Times New Roman" w:cs="Times New Roman"/>
          <w:sz w:val="20"/>
          <w:szCs w:val="20"/>
          <w:lang w:val="fr-CA" w:eastAsia="en-CA"/>
        </w:rPr>
        <w:t>21.01.2015</w:t>
      </w:r>
    </w:p>
    <w:p w:rsidR="00CB7D73" w:rsidRPr="00CB7D73" w:rsidRDefault="00CB7D73" w:rsidP="00CB7D73">
      <w:pPr>
        <w:tabs>
          <w:tab w:val="left" w:pos="-1440"/>
          <w:tab w:val="left" w:pos="-720"/>
        </w:tabs>
        <w:jc w:val="both"/>
        <w:rPr>
          <w:rFonts w:eastAsia="Times New Roman" w:cs="Times New Roman"/>
          <w:sz w:val="20"/>
          <w:szCs w:val="20"/>
          <w:lang w:val="fr-CA" w:eastAsia="en-CA"/>
        </w:rPr>
      </w:pPr>
    </w:p>
    <w:p w:rsidR="00CB7D73" w:rsidRPr="00CB7D73" w:rsidRDefault="00CB7D73" w:rsidP="00CB7D73">
      <w:pPr>
        <w:tabs>
          <w:tab w:val="left" w:pos="-1440"/>
          <w:tab w:val="left" w:pos="-720"/>
        </w:tabs>
        <w:jc w:val="both"/>
        <w:rPr>
          <w:rFonts w:eastAsia="Times New Roman" w:cs="Times New Roman"/>
          <w:sz w:val="20"/>
          <w:szCs w:val="20"/>
          <w:lang w:val="fr-CA" w:eastAsia="en-CA"/>
        </w:rPr>
      </w:pPr>
      <w:r w:rsidRPr="00CB7D73">
        <w:rPr>
          <w:rFonts w:eastAsia="Times New Roman" w:cs="Times New Roman"/>
          <w:sz w:val="20"/>
          <w:szCs w:val="20"/>
          <w:lang w:val="fr-CA" w:eastAsia="en-CA"/>
        </w:rPr>
        <w:t>Before / Devant :   THE CHIEF JUSTICE / LA JUGE EN CHEF</w:t>
      </w:r>
    </w:p>
    <w:p w:rsidR="00CB7D73" w:rsidRPr="00CB7D73" w:rsidRDefault="00CB7D73" w:rsidP="00CB7D73">
      <w:pPr>
        <w:tabs>
          <w:tab w:val="left" w:pos="-1440"/>
          <w:tab w:val="left" w:pos="-720"/>
        </w:tabs>
        <w:jc w:val="both"/>
        <w:rPr>
          <w:rFonts w:eastAsia="Times New Roman" w:cs="Times New Roman"/>
          <w:sz w:val="20"/>
          <w:szCs w:val="20"/>
          <w:lang w:val="fr-CA" w:eastAsia="en-CA"/>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CB7D73" w:rsidRPr="0025502E" w:rsidTr="00CB7D73">
        <w:tc>
          <w:tcPr>
            <w:tcW w:w="4338" w:type="dxa"/>
          </w:tcPr>
          <w:p w:rsidR="00CB7D73" w:rsidRPr="00CB7D73" w:rsidRDefault="006F7944" w:rsidP="00CB7D73">
            <w:pPr>
              <w:tabs>
                <w:tab w:val="left" w:pos="-1440"/>
                <w:tab w:val="left" w:pos="-720"/>
              </w:tabs>
              <w:jc w:val="both"/>
              <w:rPr>
                <w:b/>
              </w:rPr>
            </w:pPr>
            <w:r w:rsidRPr="00CB7D73">
              <w:rPr>
                <w:lang w:val="en-US"/>
              </w:rPr>
              <w:fldChar w:fldCharType="begin"/>
            </w:r>
            <w:r w:rsidR="00CB7D73" w:rsidRPr="00CB7D73">
              <w:rPr>
                <w:lang w:val="en-US"/>
              </w:rPr>
              <w:instrText xml:space="preserve"> SEQ CHAPTER \h \r 1</w:instrText>
            </w:r>
            <w:r w:rsidRPr="00CB7D73">
              <w:rPr>
                <w:lang w:val="en-US"/>
              </w:rPr>
              <w:fldChar w:fldCharType="end"/>
            </w:r>
            <w:r w:rsidR="00CB7D73" w:rsidRPr="00CB7D73">
              <w:rPr>
                <w:b/>
                <w:bCs/>
                <w:lang w:val="en-US"/>
              </w:rPr>
              <w:t>Motion to state constitutional questions</w:t>
            </w:r>
          </w:p>
        </w:tc>
        <w:tc>
          <w:tcPr>
            <w:tcW w:w="1170" w:type="dxa"/>
          </w:tcPr>
          <w:p w:rsidR="00CB7D73" w:rsidRPr="00CB7D73" w:rsidRDefault="00CB7D73" w:rsidP="00CB7D73">
            <w:pPr>
              <w:tabs>
                <w:tab w:val="left" w:pos="-1440"/>
                <w:tab w:val="left" w:pos="-720"/>
              </w:tabs>
              <w:jc w:val="both"/>
            </w:pPr>
          </w:p>
          <w:p w:rsidR="00CB7D73" w:rsidRPr="00CB7D73" w:rsidRDefault="00CB7D73" w:rsidP="00CB7D73">
            <w:pPr>
              <w:tabs>
                <w:tab w:val="left" w:pos="-1440"/>
                <w:tab w:val="left" w:pos="-720"/>
              </w:tabs>
              <w:jc w:val="both"/>
            </w:pPr>
          </w:p>
          <w:p w:rsidR="00CB7D73" w:rsidRPr="00CB7D73" w:rsidRDefault="00CB7D73" w:rsidP="00CB7D73">
            <w:pPr>
              <w:tabs>
                <w:tab w:val="left" w:pos="-1440"/>
                <w:tab w:val="left" w:pos="-720"/>
              </w:tabs>
              <w:jc w:val="both"/>
            </w:pPr>
          </w:p>
        </w:tc>
        <w:tc>
          <w:tcPr>
            <w:tcW w:w="4327" w:type="dxa"/>
          </w:tcPr>
          <w:p w:rsidR="00CB7D73" w:rsidRPr="00CB7D73" w:rsidRDefault="006F7944" w:rsidP="00CB7D73">
            <w:pPr>
              <w:tabs>
                <w:tab w:val="left" w:pos="-1440"/>
                <w:tab w:val="left" w:pos="-720"/>
              </w:tabs>
              <w:jc w:val="both"/>
              <w:rPr>
                <w:lang w:val="fr-CA"/>
              </w:rPr>
            </w:pPr>
            <w:r w:rsidRPr="00CB7D73">
              <w:rPr>
                <w:lang w:val="en-US"/>
              </w:rPr>
              <w:fldChar w:fldCharType="begin"/>
            </w:r>
            <w:r w:rsidR="00CB7D73" w:rsidRPr="00CB7D73">
              <w:rPr>
                <w:lang w:val="fr-CA"/>
              </w:rPr>
              <w:instrText xml:space="preserve"> SEQ CHAPTER \h \r 1</w:instrText>
            </w:r>
            <w:r w:rsidRPr="00CB7D73">
              <w:rPr>
                <w:lang w:val="en-US"/>
              </w:rPr>
              <w:fldChar w:fldCharType="end"/>
            </w:r>
            <w:r w:rsidR="00CB7D73" w:rsidRPr="00CB7D73">
              <w:rPr>
                <w:b/>
                <w:bCs/>
                <w:lang w:val="fr-CA"/>
              </w:rPr>
              <w:t>Requête en formulation de questions constitutionnelles</w:t>
            </w:r>
            <w:r w:rsidRPr="00CB7D73">
              <w:rPr>
                <w:lang w:val="en-US"/>
              </w:rPr>
              <w:fldChar w:fldCharType="begin"/>
            </w:r>
            <w:r w:rsidR="00CB7D73" w:rsidRPr="00CB7D73">
              <w:rPr>
                <w:lang w:val="fr-CA"/>
              </w:rPr>
              <w:instrText xml:space="preserve"> SEQ CHAPTER \h \r 1</w:instrText>
            </w:r>
            <w:r w:rsidRPr="00CB7D73">
              <w:rPr>
                <w:lang w:val="en-US"/>
              </w:rPr>
              <w:fldChar w:fldCharType="end"/>
            </w:r>
            <w:r w:rsidRPr="00CB7D73">
              <w:rPr>
                <w:lang w:val="en-US"/>
              </w:rPr>
              <w:fldChar w:fldCharType="begin"/>
            </w:r>
            <w:r w:rsidR="00CB7D73" w:rsidRPr="00CB7D73">
              <w:rPr>
                <w:lang w:val="fr-CA"/>
              </w:rPr>
              <w:instrText xml:space="preserve"> SEQ CHAPTER \h \r 1</w:instrText>
            </w:r>
            <w:r w:rsidRPr="00CB7D73">
              <w:rPr>
                <w:lang w:val="en-US"/>
              </w:rPr>
              <w:fldChar w:fldCharType="end"/>
            </w:r>
            <w:r w:rsidRPr="00CB7D73">
              <w:rPr>
                <w:lang w:val="en-US"/>
              </w:rPr>
              <w:fldChar w:fldCharType="begin"/>
            </w:r>
            <w:r w:rsidR="00CB7D73" w:rsidRPr="00CB7D73">
              <w:rPr>
                <w:lang w:val="fr-CA"/>
              </w:rPr>
              <w:instrText xml:space="preserve"> SEQ CHAPTER \h \r 1</w:instrText>
            </w:r>
            <w:r w:rsidRPr="00CB7D73">
              <w:rPr>
                <w:lang w:val="en-US"/>
              </w:rPr>
              <w:fldChar w:fldCharType="end"/>
            </w:r>
          </w:p>
        </w:tc>
      </w:tr>
      <w:tr w:rsidR="00CB7D73" w:rsidRPr="00CB7D73" w:rsidTr="00CB7D73">
        <w:tc>
          <w:tcPr>
            <w:tcW w:w="4338" w:type="dxa"/>
          </w:tcPr>
          <w:p w:rsidR="00CB7D73" w:rsidRPr="00CB7D73" w:rsidRDefault="00CB7D73" w:rsidP="00CB7D73">
            <w:pPr>
              <w:tabs>
                <w:tab w:val="left" w:pos="-1440"/>
                <w:tab w:val="left" w:pos="-720"/>
              </w:tabs>
              <w:jc w:val="both"/>
              <w:rPr>
                <w:lang w:val="fr-CA"/>
              </w:rPr>
            </w:pPr>
            <w:r w:rsidRPr="00CB7D73">
              <w:rPr>
                <w:lang w:val="fr-CA"/>
              </w:rPr>
              <w:t>Richard James Goodwin et al.</w:t>
            </w:r>
          </w:p>
          <w:p w:rsidR="00CB7D73" w:rsidRPr="00CB7D73" w:rsidRDefault="00CB7D73" w:rsidP="00CB7D73">
            <w:pPr>
              <w:tabs>
                <w:tab w:val="left" w:pos="-1440"/>
                <w:tab w:val="left" w:pos="-720"/>
              </w:tabs>
              <w:jc w:val="both"/>
              <w:rPr>
                <w:lang w:val="fr-CA"/>
              </w:rPr>
            </w:pPr>
          </w:p>
          <w:p w:rsidR="00CB7D73" w:rsidRPr="00CB7D73" w:rsidRDefault="00CB7D73" w:rsidP="00CB7D73">
            <w:pPr>
              <w:tabs>
                <w:tab w:val="left" w:pos="-1440"/>
                <w:tab w:val="left" w:pos="-720"/>
              </w:tabs>
              <w:jc w:val="both"/>
            </w:pPr>
            <w:r w:rsidRPr="00CB7D73">
              <w:rPr>
                <w:lang w:val="fr-CA"/>
              </w:rPr>
              <w:tab/>
            </w:r>
            <w:r w:rsidRPr="00CB7D73">
              <w:t>v. (35864)</w:t>
            </w:r>
          </w:p>
          <w:p w:rsidR="00CB7D73" w:rsidRPr="00CB7D73" w:rsidRDefault="00CB7D73" w:rsidP="00CB7D73">
            <w:pPr>
              <w:tabs>
                <w:tab w:val="left" w:pos="-1440"/>
                <w:tab w:val="left" w:pos="-720"/>
              </w:tabs>
              <w:jc w:val="both"/>
            </w:pPr>
          </w:p>
          <w:p w:rsidR="00CB7D73" w:rsidRPr="00CB7D73" w:rsidRDefault="00CB7D73" w:rsidP="00CB7D73">
            <w:pPr>
              <w:tabs>
                <w:tab w:val="left" w:pos="-1440"/>
                <w:tab w:val="left" w:pos="-720"/>
              </w:tabs>
              <w:jc w:val="both"/>
            </w:pPr>
            <w:r w:rsidRPr="00CB7D73">
              <w:t>British Columbia (Superintendent of Motor Vehicles) et al. (B.C.)</w:t>
            </w:r>
          </w:p>
        </w:tc>
        <w:tc>
          <w:tcPr>
            <w:tcW w:w="1170" w:type="dxa"/>
          </w:tcPr>
          <w:p w:rsidR="00CB7D73" w:rsidRPr="00CB7D73" w:rsidRDefault="00CB7D73" w:rsidP="00CB7D73">
            <w:pPr>
              <w:tabs>
                <w:tab w:val="left" w:pos="-1440"/>
                <w:tab w:val="left" w:pos="-720"/>
              </w:tabs>
              <w:jc w:val="both"/>
            </w:pPr>
          </w:p>
        </w:tc>
        <w:tc>
          <w:tcPr>
            <w:tcW w:w="4327" w:type="dxa"/>
          </w:tcPr>
          <w:p w:rsidR="00CB7D73" w:rsidRPr="00CB7D73" w:rsidRDefault="00CB7D73" w:rsidP="00CB7D73">
            <w:pPr>
              <w:tabs>
                <w:tab w:val="left" w:pos="-1440"/>
                <w:tab w:val="left" w:pos="-720"/>
              </w:tabs>
              <w:jc w:val="both"/>
            </w:pPr>
          </w:p>
        </w:tc>
      </w:tr>
    </w:tbl>
    <w:p w:rsidR="00CB7D73" w:rsidRPr="00CB7D73" w:rsidRDefault="00CB7D73" w:rsidP="00CB7D73">
      <w:pPr>
        <w:tabs>
          <w:tab w:val="left" w:pos="-1440"/>
          <w:tab w:val="left" w:pos="-720"/>
        </w:tabs>
        <w:jc w:val="both"/>
        <w:rPr>
          <w:rFonts w:eastAsia="Times New Roman" w:cs="Times New Roman"/>
          <w:sz w:val="20"/>
          <w:szCs w:val="20"/>
          <w:lang w:eastAsia="en-CA"/>
        </w:rPr>
      </w:pPr>
    </w:p>
    <w:p w:rsidR="00CB7D73" w:rsidRPr="00CB7D73" w:rsidRDefault="00CB7D73" w:rsidP="00CB7D73">
      <w:pPr>
        <w:tabs>
          <w:tab w:val="left" w:pos="-1440"/>
          <w:tab w:val="left" w:pos="-720"/>
        </w:tabs>
        <w:jc w:val="both"/>
        <w:rPr>
          <w:rFonts w:eastAsia="Times New Roman" w:cs="Times New Roman"/>
          <w:b/>
          <w:sz w:val="20"/>
          <w:szCs w:val="20"/>
          <w:lang w:eastAsia="en-CA"/>
        </w:rPr>
      </w:pPr>
      <w:r w:rsidRPr="00CB7D73">
        <w:rPr>
          <w:rFonts w:eastAsia="Times New Roman" w:cs="Times New Roman"/>
          <w:b/>
          <w:sz w:val="20"/>
          <w:szCs w:val="20"/>
          <w:lang w:eastAsia="en-CA"/>
        </w:rPr>
        <w:t>GRANTED / ACCORDÉE</w:t>
      </w:r>
    </w:p>
    <w:p w:rsidR="00CB7D73" w:rsidRPr="00CB7D73" w:rsidRDefault="00CB7D73" w:rsidP="00CB7D73">
      <w:pPr>
        <w:tabs>
          <w:tab w:val="left" w:pos="-1440"/>
          <w:tab w:val="left" w:pos="-720"/>
        </w:tabs>
        <w:jc w:val="both"/>
        <w:rPr>
          <w:rFonts w:eastAsia="Times New Roman" w:cs="Times New Roman"/>
          <w:sz w:val="20"/>
          <w:szCs w:val="20"/>
          <w:lang w:eastAsia="en-CA"/>
        </w:rPr>
      </w:pPr>
    </w:p>
    <w:p w:rsidR="00CB7D73" w:rsidRPr="00CB7D73" w:rsidRDefault="00CB7D73" w:rsidP="00CB7D73">
      <w:pPr>
        <w:jc w:val="both"/>
        <w:rPr>
          <w:rFonts w:eastAsia="Times New Roman" w:cs="Times New Roman"/>
          <w:sz w:val="20"/>
          <w:szCs w:val="20"/>
          <w:lang w:val="en-US" w:eastAsia="en-CA"/>
        </w:rPr>
      </w:pPr>
      <w:r w:rsidRPr="00CB7D73">
        <w:rPr>
          <w:rFonts w:eastAsia="Times New Roman" w:cs="Times New Roman"/>
          <w:b/>
          <w:bCs/>
          <w:sz w:val="20"/>
          <w:szCs w:val="20"/>
          <w:lang w:val="en-US" w:eastAsia="en-CA"/>
        </w:rPr>
        <w:t>UPON APPLICATION</w:t>
      </w:r>
      <w:r w:rsidRPr="00CB7D73">
        <w:rPr>
          <w:rFonts w:eastAsia="Times New Roman" w:cs="Times New Roman"/>
          <w:sz w:val="20"/>
          <w:szCs w:val="20"/>
          <w:lang w:val="en-US" w:eastAsia="en-CA"/>
        </w:rPr>
        <w:t xml:space="preserve"> by the appellants/respondents, Richard James Goodwin et al., </w:t>
      </w:r>
      <w:r w:rsidR="006F7944" w:rsidRPr="00CB7D73">
        <w:rPr>
          <w:rFonts w:eastAsia="Times New Roman" w:cs="Times New Roman"/>
          <w:sz w:val="20"/>
          <w:szCs w:val="20"/>
          <w:lang w:eastAsia="en-CA"/>
        </w:rPr>
        <w:fldChar w:fldCharType="begin"/>
      </w:r>
      <w:r w:rsidRPr="00CB7D73">
        <w:rPr>
          <w:rFonts w:eastAsia="Times New Roman" w:cs="Times New Roman"/>
          <w:sz w:val="20"/>
          <w:szCs w:val="20"/>
          <w:lang w:eastAsia="en-CA"/>
        </w:rPr>
        <w:instrText xml:space="preserve"> SEQ CHAPTER \h \r 1</w:instrText>
      </w:r>
      <w:r w:rsidR="006F7944" w:rsidRPr="00CB7D73">
        <w:rPr>
          <w:rFonts w:eastAsia="Times New Roman" w:cs="Times New Roman"/>
          <w:sz w:val="20"/>
          <w:szCs w:val="20"/>
          <w:lang w:eastAsia="en-CA"/>
        </w:rPr>
        <w:fldChar w:fldCharType="end"/>
      </w:r>
      <w:r w:rsidRPr="00CB7D73">
        <w:rPr>
          <w:rFonts w:eastAsia="Times New Roman" w:cs="Times New Roman"/>
          <w:sz w:val="20"/>
          <w:szCs w:val="20"/>
          <w:lang w:eastAsia="en-CA"/>
        </w:rPr>
        <w:t xml:space="preserve">for an order stating constitutional questions </w:t>
      </w:r>
      <w:r w:rsidRPr="00CB7D73">
        <w:rPr>
          <w:rFonts w:eastAsia="Times New Roman" w:cs="Times New Roman"/>
          <w:sz w:val="20"/>
          <w:szCs w:val="20"/>
          <w:lang w:val="en-US" w:eastAsia="en-CA"/>
        </w:rPr>
        <w:t>in the above appeal;</w:t>
      </w:r>
    </w:p>
    <w:p w:rsidR="00CB7D73" w:rsidRPr="00CB7D73" w:rsidRDefault="00CB7D73" w:rsidP="00CB7D73">
      <w:pPr>
        <w:jc w:val="both"/>
        <w:rPr>
          <w:rFonts w:eastAsia="Times New Roman" w:cs="Times New Roman"/>
          <w:sz w:val="20"/>
          <w:szCs w:val="20"/>
          <w:lang w:val="en-US" w:eastAsia="en-CA"/>
        </w:rPr>
      </w:pPr>
    </w:p>
    <w:p w:rsidR="00CB7D73" w:rsidRPr="00CB7D73" w:rsidRDefault="00CB7D73" w:rsidP="00CB7D73">
      <w:pPr>
        <w:jc w:val="both"/>
        <w:rPr>
          <w:rFonts w:eastAsia="Times New Roman" w:cs="Times New Roman"/>
          <w:sz w:val="20"/>
          <w:szCs w:val="20"/>
          <w:lang w:val="en-US" w:eastAsia="en-CA"/>
        </w:rPr>
      </w:pPr>
      <w:r w:rsidRPr="00CB7D73">
        <w:rPr>
          <w:rFonts w:eastAsia="Times New Roman" w:cs="Times New Roman"/>
          <w:b/>
          <w:sz w:val="20"/>
          <w:szCs w:val="20"/>
          <w:lang w:val="en-US" w:eastAsia="en-CA"/>
        </w:rPr>
        <w:t>AND UPON APPLICATION</w:t>
      </w:r>
      <w:r w:rsidRPr="00CB7D73">
        <w:rPr>
          <w:rFonts w:eastAsia="Times New Roman" w:cs="Times New Roman"/>
          <w:sz w:val="20"/>
          <w:szCs w:val="20"/>
          <w:lang w:val="en-US" w:eastAsia="en-CA"/>
        </w:rPr>
        <w:t xml:space="preserve"> by the respondents/appellants, British Columbia (Superintendent of Motor Vehicles) et al., for an order stating constitutional questions in the above appeal;</w:t>
      </w:r>
    </w:p>
    <w:p w:rsidR="00CB7D73" w:rsidRPr="00CB7D73" w:rsidRDefault="00CB7D73" w:rsidP="00CB7D73">
      <w:pPr>
        <w:jc w:val="both"/>
        <w:rPr>
          <w:rFonts w:eastAsia="Times New Roman" w:cs="Times New Roman"/>
          <w:sz w:val="20"/>
          <w:szCs w:val="20"/>
          <w:lang w:val="en-US" w:eastAsia="en-CA"/>
        </w:rPr>
      </w:pPr>
    </w:p>
    <w:p w:rsidR="00CB7D73" w:rsidRPr="00CB7D73" w:rsidRDefault="00CB7D73" w:rsidP="00CB7D73">
      <w:pPr>
        <w:jc w:val="both"/>
        <w:rPr>
          <w:rFonts w:eastAsia="Times New Roman" w:cs="Times New Roman"/>
          <w:sz w:val="20"/>
          <w:szCs w:val="20"/>
          <w:lang w:val="en-US" w:eastAsia="en-CA"/>
        </w:rPr>
      </w:pPr>
      <w:r w:rsidRPr="00CB7D73">
        <w:rPr>
          <w:rFonts w:eastAsia="Times New Roman" w:cs="Times New Roman"/>
          <w:b/>
          <w:bCs/>
          <w:sz w:val="20"/>
          <w:szCs w:val="20"/>
          <w:lang w:val="en-US" w:eastAsia="en-CA"/>
        </w:rPr>
        <w:t>AND THE MATERIAL FILED</w:t>
      </w:r>
      <w:r w:rsidRPr="00CB7D73">
        <w:rPr>
          <w:rFonts w:eastAsia="Times New Roman" w:cs="Times New Roman"/>
          <w:sz w:val="20"/>
          <w:szCs w:val="20"/>
          <w:lang w:val="en-US" w:eastAsia="en-CA"/>
        </w:rPr>
        <w:t xml:space="preserve"> having been read;</w:t>
      </w:r>
    </w:p>
    <w:p w:rsidR="00CB7D73" w:rsidRPr="00CB7D73" w:rsidRDefault="00CB7D73" w:rsidP="00CB7D73">
      <w:pPr>
        <w:jc w:val="both"/>
        <w:rPr>
          <w:rFonts w:eastAsia="Times New Roman" w:cs="Times New Roman"/>
          <w:sz w:val="20"/>
          <w:szCs w:val="20"/>
          <w:lang w:val="en-US" w:eastAsia="en-CA"/>
        </w:rPr>
      </w:pPr>
    </w:p>
    <w:p w:rsidR="00CB7D73" w:rsidRPr="00CB7D73" w:rsidRDefault="00CB7D73" w:rsidP="00CB7D73">
      <w:pPr>
        <w:jc w:val="both"/>
        <w:rPr>
          <w:rFonts w:eastAsia="Times New Roman" w:cs="Times New Roman"/>
          <w:bCs/>
          <w:sz w:val="20"/>
          <w:szCs w:val="20"/>
          <w:lang w:val="en-US" w:eastAsia="en-CA"/>
        </w:rPr>
      </w:pPr>
      <w:r w:rsidRPr="00CB7D73">
        <w:rPr>
          <w:rFonts w:eastAsia="Times New Roman" w:cs="Times New Roman"/>
          <w:b/>
          <w:bCs/>
          <w:sz w:val="20"/>
          <w:szCs w:val="20"/>
          <w:lang w:val="en-US" w:eastAsia="en-CA"/>
        </w:rPr>
        <w:t>IT IS HEREBY ORDERED THAT THE CONSTITUTIONAL QUESTIONS BE STATED AS FOLLOWS:</w:t>
      </w:r>
    </w:p>
    <w:p w:rsidR="00CB7D73" w:rsidRPr="00CB7D73" w:rsidRDefault="00CB7D73" w:rsidP="00CB7D73">
      <w:pPr>
        <w:jc w:val="both"/>
        <w:rPr>
          <w:rFonts w:eastAsia="Times New Roman" w:cs="Times New Roman"/>
          <w:bCs/>
          <w:sz w:val="20"/>
          <w:szCs w:val="20"/>
          <w:lang w:val="en-US" w:eastAsia="en-CA"/>
        </w:rPr>
      </w:pPr>
    </w:p>
    <w:p w:rsidR="00CB7D73" w:rsidRPr="00CB7D73" w:rsidRDefault="00CB7D73" w:rsidP="00CB7D73">
      <w:pPr>
        <w:widowControl w:val="0"/>
        <w:numPr>
          <w:ilvl w:val="0"/>
          <w:numId w:val="9"/>
        </w:numPr>
        <w:spacing w:line="0" w:lineRule="atLeast"/>
        <w:contextualSpacing/>
        <w:jc w:val="both"/>
        <w:rPr>
          <w:rFonts w:cs="Times New Roman"/>
          <w:sz w:val="20"/>
          <w:szCs w:val="20"/>
        </w:rPr>
      </w:pPr>
      <w:r w:rsidRPr="00CB7D73">
        <w:rPr>
          <w:rFonts w:cs="Times New Roman"/>
          <w:sz w:val="20"/>
          <w:szCs w:val="20"/>
        </w:rPr>
        <w:t xml:space="preserve">Are ss. 215.41 to 215.51 of the </w:t>
      </w:r>
      <w:r w:rsidRPr="00CB7D73">
        <w:rPr>
          <w:rFonts w:cs="Times New Roman"/>
          <w:i/>
          <w:sz w:val="20"/>
          <w:szCs w:val="20"/>
        </w:rPr>
        <w:t>Motor Vehicle Act</w:t>
      </w:r>
      <w:r w:rsidRPr="00CB7D73">
        <w:rPr>
          <w:rFonts w:cs="Times New Roman"/>
          <w:sz w:val="20"/>
          <w:szCs w:val="20"/>
        </w:rPr>
        <w:t xml:space="preserve">, R.S.B.C. 1996, c. 318, as enacted on September 20, 2010 </w:t>
      </w:r>
      <w:r w:rsidRPr="00CB7D73">
        <w:rPr>
          <w:rFonts w:cs="Times New Roman"/>
          <w:i/>
          <w:sz w:val="20"/>
          <w:szCs w:val="20"/>
        </w:rPr>
        <w:t>ultra vires</w:t>
      </w:r>
      <w:r w:rsidRPr="00CB7D73">
        <w:rPr>
          <w:rFonts w:cs="Times New Roman"/>
          <w:sz w:val="20"/>
          <w:szCs w:val="20"/>
        </w:rPr>
        <w:t xml:space="preserve"> the province of British Columbia as being exclusively within the federal government’s criminal law power under s. 91(27) of the </w:t>
      </w:r>
      <w:r w:rsidRPr="00CB7D73">
        <w:rPr>
          <w:rFonts w:cs="Times New Roman"/>
          <w:i/>
          <w:sz w:val="20"/>
          <w:szCs w:val="20"/>
        </w:rPr>
        <w:t>Constitution Act, 1867</w:t>
      </w:r>
      <w:r w:rsidRPr="00CB7D73">
        <w:rPr>
          <w:rFonts w:cs="Times New Roman"/>
          <w:sz w:val="20"/>
          <w:szCs w:val="20"/>
        </w:rPr>
        <w:t>?</w:t>
      </w:r>
    </w:p>
    <w:p w:rsidR="00CB7D73" w:rsidRPr="00CB7D73" w:rsidRDefault="00CB7D73" w:rsidP="00CB7D73">
      <w:pPr>
        <w:spacing w:line="0" w:lineRule="atLeast"/>
        <w:ind w:left="720"/>
        <w:contextualSpacing/>
        <w:jc w:val="both"/>
        <w:rPr>
          <w:rFonts w:cs="Times New Roman"/>
          <w:sz w:val="20"/>
          <w:szCs w:val="20"/>
        </w:rPr>
      </w:pPr>
    </w:p>
    <w:p w:rsidR="00CB7D73" w:rsidRPr="00CB7D73" w:rsidRDefault="00CB7D73" w:rsidP="00CB7D73">
      <w:pPr>
        <w:widowControl w:val="0"/>
        <w:numPr>
          <w:ilvl w:val="0"/>
          <w:numId w:val="9"/>
        </w:numPr>
        <w:spacing w:line="0" w:lineRule="atLeast"/>
        <w:contextualSpacing/>
        <w:jc w:val="both"/>
        <w:rPr>
          <w:rFonts w:cs="Times New Roman"/>
          <w:sz w:val="20"/>
          <w:szCs w:val="20"/>
        </w:rPr>
      </w:pPr>
      <w:r w:rsidRPr="00CB7D73">
        <w:rPr>
          <w:rFonts w:cs="Times New Roman"/>
          <w:sz w:val="20"/>
          <w:szCs w:val="20"/>
        </w:rPr>
        <w:t xml:space="preserve">Do ss. 215.41 to 215.51 of the </w:t>
      </w:r>
      <w:r w:rsidRPr="00CB7D73">
        <w:rPr>
          <w:rFonts w:cs="Times New Roman"/>
          <w:i/>
          <w:sz w:val="20"/>
          <w:szCs w:val="20"/>
        </w:rPr>
        <w:t>Motor Vehicle Act</w:t>
      </w:r>
      <w:r w:rsidRPr="00CB7D73">
        <w:rPr>
          <w:rFonts w:cs="Times New Roman"/>
          <w:sz w:val="20"/>
          <w:szCs w:val="20"/>
        </w:rPr>
        <w:t xml:space="preserve">, R.S.B.C. 1996, c. 318, as enacted on September 20, 2010 infringe s. 8 of the </w:t>
      </w:r>
      <w:r w:rsidRPr="00CB7D73">
        <w:rPr>
          <w:rFonts w:cs="Times New Roman"/>
          <w:i/>
          <w:sz w:val="20"/>
          <w:szCs w:val="20"/>
        </w:rPr>
        <w:t>Canadian Charter of Rights and Freedoms</w:t>
      </w:r>
      <w:r w:rsidRPr="00CB7D73">
        <w:rPr>
          <w:rFonts w:cs="Times New Roman"/>
          <w:sz w:val="20"/>
          <w:szCs w:val="20"/>
        </w:rPr>
        <w:t>?</w:t>
      </w:r>
    </w:p>
    <w:p w:rsidR="00CB7D73" w:rsidRPr="00CB7D73" w:rsidRDefault="00CB7D73" w:rsidP="00CB7D73">
      <w:pPr>
        <w:ind w:left="720"/>
        <w:contextualSpacing/>
        <w:jc w:val="both"/>
        <w:rPr>
          <w:rFonts w:cs="Times New Roman"/>
          <w:sz w:val="20"/>
          <w:szCs w:val="20"/>
        </w:rPr>
      </w:pPr>
    </w:p>
    <w:p w:rsidR="00CB7D73" w:rsidRPr="00CB7D73" w:rsidRDefault="00CB7D73" w:rsidP="00CB7D73">
      <w:pPr>
        <w:widowControl w:val="0"/>
        <w:numPr>
          <w:ilvl w:val="0"/>
          <w:numId w:val="9"/>
        </w:numPr>
        <w:spacing w:line="0" w:lineRule="atLeast"/>
        <w:contextualSpacing/>
        <w:jc w:val="both"/>
        <w:rPr>
          <w:rFonts w:cs="Times New Roman"/>
          <w:sz w:val="20"/>
          <w:szCs w:val="20"/>
        </w:rPr>
      </w:pPr>
      <w:r w:rsidRPr="00CB7D73">
        <w:rPr>
          <w:rFonts w:cs="Times New Roman"/>
          <w:sz w:val="20"/>
          <w:szCs w:val="20"/>
        </w:rPr>
        <w:t xml:space="preserve">If so, is the infringement a reasonable limit prescribed by law as can be demonstrably justified in a free and democratic society under s. 1 of the </w:t>
      </w:r>
      <w:r w:rsidRPr="00CB7D73">
        <w:rPr>
          <w:rFonts w:cs="Times New Roman"/>
          <w:i/>
          <w:sz w:val="20"/>
          <w:szCs w:val="20"/>
        </w:rPr>
        <w:t>Canadian Charter of Rights and Freedoms</w:t>
      </w:r>
      <w:r w:rsidRPr="00CB7D73">
        <w:rPr>
          <w:rFonts w:cs="Times New Roman"/>
          <w:sz w:val="20"/>
          <w:szCs w:val="20"/>
        </w:rPr>
        <w:t>?</w:t>
      </w:r>
    </w:p>
    <w:p w:rsidR="00CB7D73" w:rsidRPr="00CB7D73" w:rsidRDefault="00CB7D73" w:rsidP="00CB7D73">
      <w:pPr>
        <w:spacing w:line="0" w:lineRule="atLeast"/>
        <w:ind w:left="720"/>
        <w:contextualSpacing/>
        <w:jc w:val="both"/>
        <w:rPr>
          <w:rFonts w:cs="Times New Roman"/>
          <w:sz w:val="20"/>
          <w:szCs w:val="20"/>
        </w:rPr>
      </w:pPr>
    </w:p>
    <w:p w:rsidR="00CB7D73" w:rsidRPr="00CB7D73" w:rsidRDefault="00CB7D73" w:rsidP="00CB7D73">
      <w:pPr>
        <w:widowControl w:val="0"/>
        <w:numPr>
          <w:ilvl w:val="0"/>
          <w:numId w:val="9"/>
        </w:numPr>
        <w:spacing w:line="0" w:lineRule="atLeast"/>
        <w:contextualSpacing/>
        <w:jc w:val="both"/>
        <w:rPr>
          <w:rFonts w:cs="Times New Roman"/>
          <w:sz w:val="20"/>
          <w:szCs w:val="20"/>
        </w:rPr>
      </w:pPr>
      <w:r w:rsidRPr="00CB7D73">
        <w:rPr>
          <w:rFonts w:cs="Times New Roman"/>
          <w:sz w:val="20"/>
          <w:szCs w:val="20"/>
        </w:rPr>
        <w:t xml:space="preserve">Do ss. 215.41 to 215.51 of the </w:t>
      </w:r>
      <w:r w:rsidRPr="00CB7D73">
        <w:rPr>
          <w:rFonts w:cs="Times New Roman"/>
          <w:i/>
          <w:sz w:val="20"/>
          <w:szCs w:val="20"/>
        </w:rPr>
        <w:t>Motor Vehicle Act</w:t>
      </w:r>
      <w:r w:rsidRPr="00CB7D73">
        <w:rPr>
          <w:rFonts w:cs="Times New Roman"/>
          <w:sz w:val="20"/>
          <w:szCs w:val="20"/>
        </w:rPr>
        <w:t>, R.S.B.C. 1996, c. 318, as enacted on September 20, 2010 infringe s. 11(</w:t>
      </w:r>
      <w:r w:rsidRPr="00CB7D73">
        <w:rPr>
          <w:rFonts w:cs="Times New Roman"/>
          <w:i/>
          <w:sz w:val="20"/>
          <w:szCs w:val="20"/>
        </w:rPr>
        <w:t>d</w:t>
      </w:r>
      <w:r w:rsidRPr="00CB7D73">
        <w:rPr>
          <w:rFonts w:cs="Times New Roman"/>
          <w:sz w:val="20"/>
          <w:szCs w:val="20"/>
        </w:rPr>
        <w:t xml:space="preserve">) of the </w:t>
      </w:r>
      <w:r w:rsidRPr="00CB7D73">
        <w:rPr>
          <w:rFonts w:cs="Times New Roman"/>
          <w:i/>
          <w:sz w:val="20"/>
          <w:szCs w:val="20"/>
        </w:rPr>
        <w:t>Canadian Charter of Rights and Freedoms</w:t>
      </w:r>
      <w:r w:rsidRPr="00CB7D73">
        <w:rPr>
          <w:rFonts w:cs="Times New Roman"/>
          <w:sz w:val="20"/>
          <w:szCs w:val="20"/>
        </w:rPr>
        <w:t>?</w:t>
      </w:r>
    </w:p>
    <w:p w:rsidR="00CB7D73" w:rsidRPr="00CB7D73" w:rsidRDefault="00CB7D73" w:rsidP="00CB7D73">
      <w:pPr>
        <w:ind w:left="720"/>
        <w:contextualSpacing/>
        <w:jc w:val="both"/>
        <w:rPr>
          <w:rFonts w:cs="Times New Roman"/>
          <w:sz w:val="20"/>
          <w:szCs w:val="20"/>
        </w:rPr>
      </w:pPr>
    </w:p>
    <w:p w:rsidR="00CB7D73" w:rsidRPr="00CB7D73" w:rsidRDefault="00CB7D73" w:rsidP="00CB7D73">
      <w:pPr>
        <w:widowControl w:val="0"/>
        <w:numPr>
          <w:ilvl w:val="0"/>
          <w:numId w:val="9"/>
        </w:numPr>
        <w:spacing w:line="0" w:lineRule="atLeast"/>
        <w:contextualSpacing/>
        <w:jc w:val="both"/>
        <w:rPr>
          <w:rFonts w:cs="Times New Roman"/>
          <w:sz w:val="20"/>
          <w:szCs w:val="20"/>
        </w:rPr>
      </w:pPr>
      <w:r w:rsidRPr="00CB7D73">
        <w:rPr>
          <w:rFonts w:cs="Times New Roman"/>
          <w:sz w:val="20"/>
          <w:szCs w:val="20"/>
        </w:rPr>
        <w:t xml:space="preserve">If so, is the infringement a reasonable limit prescribed by law as can be demonstrably justified in a free and democratic society under s. 1 of the </w:t>
      </w:r>
      <w:r w:rsidRPr="00CB7D73">
        <w:rPr>
          <w:rFonts w:cs="Times New Roman"/>
          <w:i/>
          <w:sz w:val="20"/>
          <w:szCs w:val="20"/>
        </w:rPr>
        <w:t>Canadian Charter of Rights and Freedoms</w:t>
      </w:r>
      <w:r w:rsidRPr="00CB7D73">
        <w:rPr>
          <w:rFonts w:cs="Times New Roman"/>
          <w:sz w:val="20"/>
          <w:szCs w:val="20"/>
        </w:rPr>
        <w:t>?</w:t>
      </w:r>
    </w:p>
    <w:p w:rsidR="00CB7D73" w:rsidRPr="00CB7D73" w:rsidRDefault="00CB7D73" w:rsidP="00CB7D73">
      <w:pPr>
        <w:jc w:val="both"/>
        <w:rPr>
          <w:rFonts w:eastAsia="Times New Roman" w:cs="Times New Roman"/>
          <w:b/>
          <w:bCs/>
          <w:sz w:val="20"/>
          <w:szCs w:val="20"/>
          <w:lang w:val="en-US" w:eastAsia="en-CA"/>
        </w:rPr>
      </w:pPr>
    </w:p>
    <w:p w:rsidR="00CB7D73" w:rsidRPr="00CB7D73" w:rsidRDefault="00CB7D73" w:rsidP="00CB7D73">
      <w:pPr>
        <w:jc w:val="both"/>
        <w:rPr>
          <w:rFonts w:eastAsia="Times New Roman" w:cs="Times New Roman"/>
          <w:sz w:val="20"/>
          <w:szCs w:val="20"/>
          <w:lang w:val="en-US" w:eastAsia="en-CA"/>
        </w:rPr>
      </w:pPr>
      <w:r w:rsidRPr="00CB7D73">
        <w:rPr>
          <w:rFonts w:eastAsia="Times New Roman" w:cs="Times New Roman"/>
          <w:sz w:val="20"/>
          <w:szCs w:val="20"/>
          <w:lang w:val="en-US" w:eastAsia="en-CA"/>
        </w:rPr>
        <w:t xml:space="preserve">Any attorney general who intervenes pursuant to par. 61(4) of the </w:t>
      </w:r>
      <w:r w:rsidRPr="00CB7D73">
        <w:rPr>
          <w:rFonts w:eastAsia="Times New Roman" w:cs="Times New Roman"/>
          <w:i/>
          <w:sz w:val="20"/>
          <w:szCs w:val="20"/>
          <w:lang w:val="en-US" w:eastAsia="en-CA"/>
        </w:rPr>
        <w:t>Rules of the Supreme Court of Canada</w:t>
      </w:r>
      <w:r w:rsidRPr="00CB7D73">
        <w:rPr>
          <w:rFonts w:eastAsia="Times New Roman" w:cs="Times New Roman"/>
          <w:sz w:val="20"/>
          <w:szCs w:val="20"/>
          <w:lang w:val="en-US" w:eastAsia="en-CA"/>
        </w:rPr>
        <w:t xml:space="preserve"> shall pay the appellants and respondents the costs of any additional disbursements they incur as a result of the intervention.</w:t>
      </w:r>
    </w:p>
    <w:p w:rsidR="00CB7D73" w:rsidRPr="00CB7D73" w:rsidRDefault="00CB7D73" w:rsidP="00CB7D73">
      <w:pPr>
        <w:jc w:val="both"/>
        <w:rPr>
          <w:rFonts w:eastAsia="Times New Roman" w:cs="Times New Roman"/>
          <w:bCs/>
          <w:sz w:val="20"/>
          <w:szCs w:val="20"/>
          <w:lang w:val="en-US" w:eastAsia="en-CA"/>
        </w:rPr>
      </w:pPr>
    </w:p>
    <w:p w:rsidR="00CB7D73" w:rsidRPr="00CB7D73" w:rsidRDefault="00CB7D73" w:rsidP="00CB7D73">
      <w:pPr>
        <w:jc w:val="both"/>
        <w:rPr>
          <w:rFonts w:eastAsia="Times New Roman" w:cs="Times New Roman"/>
          <w:bCs/>
          <w:sz w:val="20"/>
          <w:szCs w:val="20"/>
          <w:lang w:val="en-US" w:eastAsia="en-CA"/>
        </w:rPr>
      </w:pPr>
    </w:p>
    <w:p w:rsidR="00CB7D73" w:rsidRPr="00CB7D73" w:rsidRDefault="00CB7D73" w:rsidP="00CB7D73">
      <w:pPr>
        <w:jc w:val="both"/>
        <w:rPr>
          <w:rFonts w:eastAsia="Times New Roman" w:cs="Times New Roman"/>
          <w:bCs/>
          <w:sz w:val="20"/>
          <w:szCs w:val="20"/>
          <w:lang w:val="en-US" w:eastAsia="en-CA"/>
        </w:rPr>
      </w:pPr>
    </w:p>
    <w:p w:rsidR="00CB7D73" w:rsidRPr="00CB7D73" w:rsidRDefault="00CB7D73" w:rsidP="00CB7D73">
      <w:pPr>
        <w:jc w:val="both"/>
        <w:rPr>
          <w:rFonts w:eastAsia="Times New Roman" w:cs="Times New Roman"/>
          <w:sz w:val="20"/>
          <w:szCs w:val="20"/>
          <w:lang w:val="fr-CA" w:eastAsia="en-CA"/>
        </w:rPr>
      </w:pPr>
      <w:r w:rsidRPr="00CB7D73">
        <w:rPr>
          <w:rFonts w:eastAsia="Times New Roman" w:cs="Times New Roman"/>
          <w:b/>
          <w:bCs/>
          <w:sz w:val="20"/>
          <w:szCs w:val="20"/>
          <w:lang w:val="fr-CA" w:eastAsia="en-CA"/>
        </w:rPr>
        <w:lastRenderedPageBreak/>
        <w:t>À LA SUITE DE LA DEMANDE</w:t>
      </w:r>
      <w:r w:rsidRPr="00CB7D73">
        <w:rPr>
          <w:rFonts w:eastAsia="Times New Roman" w:cs="Times New Roman"/>
          <w:sz w:val="20"/>
          <w:szCs w:val="20"/>
          <w:lang w:val="fr-CA" w:eastAsia="en-CA"/>
        </w:rPr>
        <w:t xml:space="preserve"> des appelants/intimés, Richard Goodwin et autres, visant à obtenir la formulation de questions constitutionnelles dans l’appel susmentionné;</w:t>
      </w:r>
    </w:p>
    <w:p w:rsidR="00CB7D73" w:rsidRPr="00CB7D73" w:rsidRDefault="00CB7D73" w:rsidP="00CB7D73">
      <w:pPr>
        <w:jc w:val="both"/>
        <w:rPr>
          <w:rFonts w:eastAsia="Times New Roman" w:cs="Times New Roman"/>
          <w:sz w:val="20"/>
          <w:szCs w:val="20"/>
          <w:lang w:val="fr-CA" w:eastAsia="en-CA"/>
        </w:rPr>
      </w:pPr>
    </w:p>
    <w:p w:rsidR="00CB7D73" w:rsidRPr="00CB7D73" w:rsidRDefault="00CB7D73" w:rsidP="00CB7D73">
      <w:pPr>
        <w:jc w:val="both"/>
        <w:rPr>
          <w:rFonts w:eastAsia="Times New Roman" w:cs="Times New Roman"/>
          <w:sz w:val="20"/>
          <w:szCs w:val="20"/>
          <w:lang w:val="fr-CA" w:eastAsia="en-CA"/>
        </w:rPr>
      </w:pPr>
      <w:r w:rsidRPr="00CB7D73">
        <w:rPr>
          <w:rFonts w:eastAsia="Times New Roman" w:cs="Times New Roman"/>
          <w:b/>
          <w:sz w:val="20"/>
          <w:szCs w:val="20"/>
          <w:lang w:val="fr-CA" w:eastAsia="en-CA"/>
        </w:rPr>
        <w:t>ET À LA SUITE DE LA DEMANDE</w:t>
      </w:r>
      <w:r w:rsidRPr="00CB7D73">
        <w:rPr>
          <w:rFonts w:eastAsia="Times New Roman" w:cs="Times New Roman"/>
          <w:sz w:val="20"/>
          <w:szCs w:val="20"/>
          <w:lang w:val="fr-CA" w:eastAsia="en-CA"/>
        </w:rPr>
        <w:t xml:space="preserve"> des intimés/appelants, le Superintendent of Motor Vehicles de la Colombie-Britannique et autre, visant à obtenir la formulation de questions constitutionnelles dans l’appel susmentionné;</w:t>
      </w:r>
    </w:p>
    <w:p w:rsidR="00CB7D73" w:rsidRPr="00CB7D73" w:rsidRDefault="00CB7D73" w:rsidP="00CB7D73">
      <w:pPr>
        <w:jc w:val="both"/>
        <w:rPr>
          <w:rFonts w:eastAsia="Times New Roman" w:cs="Times New Roman"/>
          <w:sz w:val="20"/>
          <w:szCs w:val="20"/>
          <w:lang w:val="fr-CA" w:eastAsia="en-CA"/>
        </w:rPr>
      </w:pPr>
    </w:p>
    <w:p w:rsidR="00CB7D73" w:rsidRPr="00CB7D73" w:rsidRDefault="00CB7D73" w:rsidP="00CB7D73">
      <w:pPr>
        <w:jc w:val="both"/>
        <w:rPr>
          <w:rFonts w:eastAsia="Times New Roman" w:cs="Times New Roman"/>
          <w:sz w:val="20"/>
          <w:szCs w:val="20"/>
          <w:lang w:val="fr-CA" w:eastAsia="en-CA"/>
        </w:rPr>
      </w:pPr>
      <w:r w:rsidRPr="00CB7D73">
        <w:rPr>
          <w:rFonts w:eastAsia="Times New Roman" w:cs="Times New Roman"/>
          <w:b/>
          <w:bCs/>
          <w:sz w:val="20"/>
          <w:szCs w:val="20"/>
          <w:lang w:val="fr-CA" w:eastAsia="en-CA"/>
        </w:rPr>
        <w:t>ET APRÈS AVOIR LU</w:t>
      </w:r>
      <w:r w:rsidRPr="00CB7D73">
        <w:rPr>
          <w:rFonts w:eastAsia="Times New Roman" w:cs="Times New Roman"/>
          <w:sz w:val="20"/>
          <w:szCs w:val="20"/>
          <w:lang w:val="fr-CA" w:eastAsia="en-CA"/>
        </w:rPr>
        <w:t xml:space="preserve"> la documentation déposée;</w:t>
      </w:r>
    </w:p>
    <w:p w:rsidR="00CB7D73" w:rsidRPr="00CB7D73" w:rsidRDefault="00CB7D73" w:rsidP="00CB7D73">
      <w:pPr>
        <w:jc w:val="both"/>
        <w:rPr>
          <w:rFonts w:eastAsia="Times New Roman" w:cs="Times New Roman"/>
          <w:sz w:val="20"/>
          <w:szCs w:val="20"/>
          <w:lang w:val="fr-CA" w:eastAsia="en-CA"/>
        </w:rPr>
      </w:pPr>
    </w:p>
    <w:p w:rsidR="00CB7D73" w:rsidRPr="00CB7D73" w:rsidRDefault="00CB7D73" w:rsidP="00CB7D73">
      <w:pPr>
        <w:jc w:val="both"/>
        <w:rPr>
          <w:rFonts w:eastAsia="Times New Roman" w:cs="Times New Roman"/>
          <w:b/>
          <w:bCs/>
          <w:sz w:val="20"/>
          <w:szCs w:val="20"/>
          <w:lang w:val="fr-CA" w:eastAsia="en-CA"/>
        </w:rPr>
      </w:pPr>
      <w:r w:rsidRPr="00CB7D73">
        <w:rPr>
          <w:rFonts w:eastAsia="Times New Roman" w:cs="Times New Roman"/>
          <w:b/>
          <w:bCs/>
          <w:sz w:val="20"/>
          <w:szCs w:val="20"/>
          <w:lang w:val="fr-CA" w:eastAsia="en-CA"/>
        </w:rPr>
        <w:t>LES QUESTIONS CONSTITUTIONNELLES SUIVANTES SONT FORMULÉES :</w:t>
      </w:r>
    </w:p>
    <w:p w:rsidR="00CB7D73" w:rsidRPr="00CB7D73" w:rsidRDefault="00CB7D73" w:rsidP="00CB7D73">
      <w:pPr>
        <w:jc w:val="both"/>
        <w:rPr>
          <w:rFonts w:eastAsia="Times New Roman" w:cs="Times New Roman"/>
          <w:b/>
          <w:bCs/>
          <w:sz w:val="20"/>
          <w:szCs w:val="20"/>
          <w:lang w:val="fr-CA" w:eastAsia="en-CA"/>
        </w:rPr>
      </w:pPr>
    </w:p>
    <w:p w:rsidR="00CB7D73" w:rsidRPr="00CB7D73" w:rsidRDefault="00CB7D73" w:rsidP="00CB7D73">
      <w:pPr>
        <w:widowControl w:val="0"/>
        <w:numPr>
          <w:ilvl w:val="0"/>
          <w:numId w:val="10"/>
        </w:numPr>
        <w:spacing w:line="0" w:lineRule="atLeast"/>
        <w:contextualSpacing/>
        <w:jc w:val="both"/>
        <w:rPr>
          <w:rFonts w:cs="Times New Roman"/>
          <w:sz w:val="20"/>
          <w:szCs w:val="20"/>
          <w:lang w:val="fr-CA"/>
        </w:rPr>
      </w:pPr>
      <w:r w:rsidRPr="00CB7D73">
        <w:rPr>
          <w:rFonts w:cs="Times New Roman"/>
          <w:sz w:val="20"/>
          <w:szCs w:val="20"/>
          <w:lang w:val="fr-CA"/>
        </w:rPr>
        <w:t xml:space="preserve">Les art. 215.41 à 215.51 de la </w:t>
      </w:r>
      <w:r w:rsidRPr="00CB7D73">
        <w:rPr>
          <w:rFonts w:cs="Times New Roman"/>
          <w:i/>
          <w:sz w:val="20"/>
          <w:szCs w:val="20"/>
          <w:lang w:val="fr-CA"/>
        </w:rPr>
        <w:t>Motor Vehicle Act</w:t>
      </w:r>
      <w:r w:rsidRPr="00CB7D73">
        <w:rPr>
          <w:rFonts w:cs="Times New Roman"/>
          <w:sz w:val="20"/>
          <w:szCs w:val="20"/>
          <w:lang w:val="fr-CA"/>
        </w:rPr>
        <w:t xml:space="preserve">, R.S.B.C. 1996, c. 318, tel qu’ils ont été édictés le 20 septembre 2010, outrepassent-ils la compétence de la province de la Colombie-Britannique du fait qu’ils relèvent exclusivement de la compétence du gouvernement fédéral en matière criminelle en vertu du par. 91(27) de la </w:t>
      </w:r>
      <w:r w:rsidRPr="00CB7D73">
        <w:rPr>
          <w:rFonts w:cs="Times New Roman"/>
          <w:i/>
          <w:sz w:val="20"/>
          <w:szCs w:val="20"/>
          <w:lang w:val="fr-CA"/>
        </w:rPr>
        <w:t>Loi constitutionnelle de 1867</w:t>
      </w:r>
      <w:r w:rsidRPr="00CB7D73">
        <w:rPr>
          <w:rFonts w:cs="Times New Roman"/>
          <w:sz w:val="20"/>
          <w:szCs w:val="20"/>
          <w:lang w:val="fr-CA"/>
        </w:rPr>
        <w:t xml:space="preserve">? </w:t>
      </w:r>
    </w:p>
    <w:p w:rsidR="00CB7D73" w:rsidRPr="00CB7D73" w:rsidRDefault="00CB7D73" w:rsidP="00CB7D73">
      <w:pPr>
        <w:spacing w:line="0" w:lineRule="atLeast"/>
        <w:ind w:left="720"/>
        <w:contextualSpacing/>
        <w:jc w:val="both"/>
        <w:rPr>
          <w:rFonts w:cs="Times New Roman"/>
          <w:sz w:val="20"/>
          <w:szCs w:val="20"/>
          <w:lang w:val="fr-CA"/>
        </w:rPr>
      </w:pPr>
    </w:p>
    <w:p w:rsidR="00CB7D73" w:rsidRPr="00CB7D73" w:rsidRDefault="00CB7D73" w:rsidP="00CB7D73">
      <w:pPr>
        <w:widowControl w:val="0"/>
        <w:numPr>
          <w:ilvl w:val="0"/>
          <w:numId w:val="10"/>
        </w:numPr>
        <w:spacing w:line="0" w:lineRule="atLeast"/>
        <w:contextualSpacing/>
        <w:jc w:val="both"/>
        <w:rPr>
          <w:rFonts w:cs="Times New Roman"/>
          <w:sz w:val="20"/>
          <w:szCs w:val="20"/>
          <w:lang w:val="fr-CA"/>
        </w:rPr>
      </w:pPr>
      <w:r w:rsidRPr="00CB7D73">
        <w:rPr>
          <w:rFonts w:cs="Times New Roman"/>
          <w:sz w:val="20"/>
          <w:szCs w:val="20"/>
          <w:lang w:val="fr-CA"/>
        </w:rPr>
        <w:t xml:space="preserve">Les art. 215.41 à 215.51 de la </w:t>
      </w:r>
      <w:r w:rsidRPr="00CB7D73">
        <w:rPr>
          <w:rFonts w:cs="Times New Roman"/>
          <w:i/>
          <w:sz w:val="20"/>
          <w:szCs w:val="20"/>
          <w:lang w:val="fr-CA"/>
        </w:rPr>
        <w:t>Motor Vehicle Act</w:t>
      </w:r>
      <w:r w:rsidRPr="00CB7D73">
        <w:rPr>
          <w:rFonts w:cs="Times New Roman"/>
          <w:sz w:val="20"/>
          <w:szCs w:val="20"/>
          <w:lang w:val="fr-CA"/>
        </w:rPr>
        <w:t xml:space="preserve">, R.S.B.C. 1996, c. 318, tel qu’ils ont été édictés le 20 septembre 2010, portent-ils atteinte au droit protégé par l’art. 8 de la </w:t>
      </w:r>
      <w:r w:rsidRPr="00CB7D73">
        <w:rPr>
          <w:rFonts w:cs="Times New Roman"/>
          <w:i/>
          <w:sz w:val="20"/>
          <w:szCs w:val="20"/>
          <w:lang w:val="fr-CA"/>
        </w:rPr>
        <w:t>Charte canadienne des droits et libertés</w:t>
      </w:r>
      <w:r w:rsidRPr="00CB7D73">
        <w:rPr>
          <w:rFonts w:cs="Times New Roman"/>
          <w:sz w:val="20"/>
          <w:szCs w:val="20"/>
          <w:lang w:val="fr-CA"/>
        </w:rPr>
        <w:t>?</w:t>
      </w:r>
    </w:p>
    <w:p w:rsidR="00CB7D73" w:rsidRPr="00CB7D73" w:rsidRDefault="00CB7D73" w:rsidP="00CB7D73">
      <w:pPr>
        <w:spacing w:line="0" w:lineRule="atLeast"/>
        <w:jc w:val="both"/>
        <w:rPr>
          <w:rFonts w:eastAsia="Times New Roman" w:cs="Times New Roman"/>
          <w:sz w:val="20"/>
          <w:szCs w:val="20"/>
          <w:lang w:val="fr-CA" w:eastAsia="en-CA"/>
        </w:rPr>
      </w:pPr>
    </w:p>
    <w:p w:rsidR="00CB7D73" w:rsidRPr="00CB7D73" w:rsidRDefault="00CB7D73" w:rsidP="00CB7D73">
      <w:pPr>
        <w:widowControl w:val="0"/>
        <w:numPr>
          <w:ilvl w:val="0"/>
          <w:numId w:val="10"/>
        </w:numPr>
        <w:spacing w:line="0" w:lineRule="atLeast"/>
        <w:contextualSpacing/>
        <w:jc w:val="both"/>
        <w:rPr>
          <w:rFonts w:cs="Times New Roman"/>
          <w:sz w:val="20"/>
          <w:szCs w:val="20"/>
          <w:lang w:val="fr-CA"/>
        </w:rPr>
      </w:pPr>
      <w:r w:rsidRPr="00CB7D73">
        <w:rPr>
          <w:rFonts w:cs="Times New Roman"/>
          <w:sz w:val="20"/>
          <w:szCs w:val="20"/>
          <w:lang w:val="fr-CA"/>
        </w:rPr>
        <w:t xml:space="preserve">Dans l’affirmative, s’agit-il d’une atteinte constituant une limite raisonnable, établie par une règle de droit et dont la justification peut se démontrer dans le cadre d’une société libre et démocratique conformément à l’article premier de la </w:t>
      </w:r>
      <w:r w:rsidRPr="00CB7D73">
        <w:rPr>
          <w:rFonts w:cs="Times New Roman"/>
          <w:i/>
          <w:sz w:val="20"/>
          <w:szCs w:val="20"/>
          <w:lang w:val="fr-CA"/>
        </w:rPr>
        <w:t>Charte canadienne des droits et liberté</w:t>
      </w:r>
      <w:r w:rsidRPr="00CB7D73">
        <w:rPr>
          <w:rFonts w:cs="Times New Roman"/>
          <w:sz w:val="20"/>
          <w:szCs w:val="20"/>
          <w:lang w:val="fr-CA"/>
        </w:rPr>
        <w:t>s?</w:t>
      </w:r>
    </w:p>
    <w:p w:rsidR="00CB7D73" w:rsidRPr="00CB7D73" w:rsidRDefault="00CB7D73" w:rsidP="00CB7D73">
      <w:pPr>
        <w:spacing w:line="0" w:lineRule="atLeast"/>
        <w:jc w:val="both"/>
        <w:rPr>
          <w:rFonts w:eastAsia="Times New Roman" w:cs="Times New Roman"/>
          <w:sz w:val="20"/>
          <w:szCs w:val="20"/>
          <w:lang w:val="fr-CA" w:eastAsia="en-CA"/>
        </w:rPr>
      </w:pPr>
    </w:p>
    <w:p w:rsidR="00CB7D73" w:rsidRPr="00CB7D73" w:rsidRDefault="00CB7D73" w:rsidP="00CB7D73">
      <w:pPr>
        <w:widowControl w:val="0"/>
        <w:numPr>
          <w:ilvl w:val="0"/>
          <w:numId w:val="10"/>
        </w:numPr>
        <w:spacing w:line="0" w:lineRule="atLeast"/>
        <w:contextualSpacing/>
        <w:jc w:val="both"/>
        <w:rPr>
          <w:rFonts w:cs="Times New Roman"/>
          <w:sz w:val="20"/>
          <w:szCs w:val="20"/>
          <w:lang w:val="fr-CA"/>
        </w:rPr>
      </w:pPr>
      <w:r w:rsidRPr="00CB7D73">
        <w:rPr>
          <w:rFonts w:cs="Times New Roman"/>
          <w:sz w:val="20"/>
          <w:szCs w:val="20"/>
          <w:lang w:val="fr-CA"/>
        </w:rPr>
        <w:t xml:space="preserve">Les art. 215.41 à 215.51 de la </w:t>
      </w:r>
      <w:r w:rsidRPr="00CB7D73">
        <w:rPr>
          <w:rFonts w:cs="Times New Roman"/>
          <w:i/>
          <w:sz w:val="20"/>
          <w:szCs w:val="20"/>
          <w:lang w:val="fr-CA"/>
        </w:rPr>
        <w:t>Motor Vehicle Act</w:t>
      </w:r>
      <w:r w:rsidRPr="00CB7D73">
        <w:rPr>
          <w:rFonts w:cs="Times New Roman"/>
          <w:sz w:val="20"/>
          <w:szCs w:val="20"/>
          <w:lang w:val="fr-CA"/>
        </w:rPr>
        <w:t>, R.S.B.C. 1996, c. 318, tel qu’ils ont été édictés le 20 septembre 2010, portent-ils atteinte au droit protégé par l’al. 11</w:t>
      </w:r>
      <w:r w:rsidRPr="00CB7D73">
        <w:rPr>
          <w:rFonts w:cs="Times New Roman"/>
          <w:i/>
          <w:sz w:val="20"/>
          <w:szCs w:val="20"/>
          <w:lang w:val="fr-CA"/>
        </w:rPr>
        <w:t>d</w:t>
      </w:r>
      <w:r w:rsidRPr="00CB7D73">
        <w:rPr>
          <w:rFonts w:cs="Times New Roman"/>
          <w:sz w:val="20"/>
          <w:szCs w:val="20"/>
          <w:lang w:val="fr-CA"/>
        </w:rPr>
        <w:t xml:space="preserve">) de la </w:t>
      </w:r>
      <w:r w:rsidRPr="00CB7D73">
        <w:rPr>
          <w:rFonts w:cs="Times New Roman"/>
          <w:i/>
          <w:sz w:val="20"/>
          <w:szCs w:val="20"/>
          <w:lang w:val="fr-CA"/>
        </w:rPr>
        <w:t>Charte canadienne des droits et liberté</w:t>
      </w:r>
      <w:r w:rsidRPr="00CB7D73">
        <w:rPr>
          <w:rFonts w:cs="Times New Roman"/>
          <w:sz w:val="20"/>
          <w:szCs w:val="20"/>
          <w:lang w:val="fr-CA"/>
        </w:rPr>
        <w:t>s?</w:t>
      </w:r>
    </w:p>
    <w:p w:rsidR="00CB7D73" w:rsidRPr="00CB7D73" w:rsidRDefault="00CB7D73" w:rsidP="00CB7D73">
      <w:pPr>
        <w:ind w:left="720"/>
        <w:contextualSpacing/>
        <w:jc w:val="both"/>
        <w:rPr>
          <w:rFonts w:cs="Times New Roman"/>
          <w:sz w:val="20"/>
          <w:szCs w:val="20"/>
          <w:lang w:val="fr-CA"/>
        </w:rPr>
      </w:pPr>
    </w:p>
    <w:p w:rsidR="00CB7D73" w:rsidRPr="00CB7D73" w:rsidRDefault="00CB7D73" w:rsidP="00CB7D73">
      <w:pPr>
        <w:widowControl w:val="0"/>
        <w:numPr>
          <w:ilvl w:val="0"/>
          <w:numId w:val="10"/>
        </w:numPr>
        <w:spacing w:line="0" w:lineRule="atLeast"/>
        <w:contextualSpacing/>
        <w:jc w:val="both"/>
        <w:rPr>
          <w:rFonts w:cs="Times New Roman"/>
          <w:sz w:val="20"/>
          <w:szCs w:val="20"/>
          <w:lang w:val="fr-CA"/>
        </w:rPr>
      </w:pPr>
      <w:r w:rsidRPr="00CB7D73">
        <w:rPr>
          <w:rFonts w:cs="Times New Roman"/>
          <w:sz w:val="20"/>
          <w:szCs w:val="20"/>
          <w:lang w:val="fr-CA"/>
        </w:rPr>
        <w:t xml:space="preserve">Dans l’affirmative, s’agit-il d’une atteinte constituant une limite raisonnable, établie par une règle de droit et dont la justification peut se démontrer dans le cadre d’une société libre et démocratique conformément à l’article premier de la </w:t>
      </w:r>
      <w:r w:rsidRPr="00CB7D73">
        <w:rPr>
          <w:rFonts w:cs="Times New Roman"/>
          <w:i/>
          <w:sz w:val="20"/>
          <w:szCs w:val="20"/>
          <w:lang w:val="fr-CA"/>
        </w:rPr>
        <w:t>Charte canadienne des droits et liberté</w:t>
      </w:r>
      <w:r w:rsidRPr="00CB7D73">
        <w:rPr>
          <w:rFonts w:cs="Times New Roman"/>
          <w:sz w:val="20"/>
          <w:szCs w:val="20"/>
          <w:lang w:val="fr-CA"/>
        </w:rPr>
        <w:t>s?</w:t>
      </w:r>
    </w:p>
    <w:p w:rsidR="00CB7D73" w:rsidRPr="00CB7D73" w:rsidRDefault="00CB7D73" w:rsidP="00CB7D73">
      <w:pPr>
        <w:spacing w:line="0" w:lineRule="atLeast"/>
        <w:ind w:left="720"/>
        <w:contextualSpacing/>
        <w:jc w:val="both"/>
        <w:rPr>
          <w:rFonts w:cs="Times New Roman"/>
          <w:sz w:val="20"/>
          <w:szCs w:val="20"/>
          <w:highlight w:val="yellow"/>
          <w:lang w:val="fr-CA"/>
        </w:rPr>
      </w:pPr>
    </w:p>
    <w:p w:rsidR="00CB7D73" w:rsidRPr="00CB7D73" w:rsidRDefault="00CB7D73" w:rsidP="00CB7D73">
      <w:pPr>
        <w:jc w:val="both"/>
        <w:rPr>
          <w:rFonts w:eastAsia="Times New Roman" w:cs="Times New Roman"/>
          <w:sz w:val="20"/>
          <w:szCs w:val="20"/>
          <w:lang w:val="fr-FR" w:eastAsia="en-CA"/>
        </w:rPr>
      </w:pPr>
      <w:r w:rsidRPr="00CB7D73">
        <w:rPr>
          <w:rFonts w:eastAsia="Times New Roman" w:cs="Times New Roman"/>
          <w:sz w:val="20"/>
          <w:szCs w:val="20"/>
          <w:lang w:val="fr-CA" w:eastAsia="en-CA"/>
        </w:rPr>
        <w:t>T</w:t>
      </w:r>
      <w:r w:rsidRPr="00CB7D73">
        <w:rPr>
          <w:rFonts w:eastAsia="Times New Roman" w:cs="Times New Roman"/>
          <w:sz w:val="20"/>
          <w:szCs w:val="20"/>
          <w:lang w:val="fr-FR" w:eastAsia="en-CA"/>
        </w:rPr>
        <w:t xml:space="preserve">out procureur général qui interviendra en vertu du par. 61(4) des </w:t>
      </w:r>
      <w:r w:rsidRPr="00CB7D73">
        <w:rPr>
          <w:rFonts w:eastAsia="Times New Roman" w:cs="Times New Roman"/>
          <w:i/>
          <w:iCs/>
          <w:sz w:val="20"/>
          <w:szCs w:val="20"/>
          <w:lang w:val="fr-FR" w:eastAsia="en-CA"/>
        </w:rPr>
        <w:t>Règles de la Cour suprême du Canada</w:t>
      </w:r>
      <w:r w:rsidRPr="00CB7D73">
        <w:rPr>
          <w:rFonts w:eastAsia="Times New Roman" w:cs="Times New Roman"/>
          <w:sz w:val="20"/>
          <w:szCs w:val="20"/>
          <w:lang w:val="fr-FR" w:eastAsia="en-CA"/>
        </w:rPr>
        <w:t xml:space="preserve"> sera tenu de payer aux appelants et aux intimés les dépens supplémentaires résultant de son intervention.</w:t>
      </w:r>
    </w:p>
    <w:p w:rsidR="00CB7D73" w:rsidRPr="00CB7D73" w:rsidRDefault="00CB7D73" w:rsidP="00CB7D73">
      <w:pPr>
        <w:tabs>
          <w:tab w:val="left" w:pos="-1440"/>
          <w:tab w:val="left" w:pos="-720"/>
        </w:tabs>
        <w:jc w:val="both"/>
        <w:rPr>
          <w:rFonts w:eastAsia="Times New Roman" w:cs="Times New Roman"/>
          <w:sz w:val="20"/>
          <w:szCs w:val="20"/>
          <w:lang w:val="fr-FR" w:eastAsia="en-CA"/>
        </w:rPr>
      </w:pPr>
    </w:p>
    <w:p w:rsidR="00CB7D73" w:rsidRPr="00CB7D73" w:rsidRDefault="00E42AAB" w:rsidP="00CB7D73">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103" style="width:2in;height:1pt" o:hrpct="0" o:hralign="center" o:hrstd="t" o:hrnoshade="t" o:hr="t" fillcolor="black [3213]" stroked="f"/>
        </w:pict>
      </w:r>
    </w:p>
    <w:p w:rsidR="00CB7D73" w:rsidRPr="00CB7D73" w:rsidRDefault="00CB7D73" w:rsidP="00CB7D73">
      <w:pPr>
        <w:tabs>
          <w:tab w:val="left" w:pos="-1440"/>
          <w:tab w:val="left" w:pos="-720"/>
        </w:tabs>
        <w:jc w:val="both"/>
        <w:rPr>
          <w:rFonts w:eastAsia="Times New Roman" w:cs="Times New Roman"/>
          <w:sz w:val="20"/>
          <w:szCs w:val="20"/>
          <w:lang w:eastAsia="en-CA"/>
        </w:rPr>
      </w:pPr>
    </w:p>
    <w:p w:rsidR="00CA2DEA" w:rsidRPr="003B3977" w:rsidRDefault="00CA2D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118"/>
          <w:headerReference w:type="default" r:id="rId119"/>
          <w:footerReference w:type="even" r:id="rId120"/>
          <w:footerReference w:type="default" r:id="rId121"/>
          <w:headerReference w:type="first" r:id="rId122"/>
          <w:footerReference w:type="first" r:id="rId123"/>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25502E"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3B3977" w:rsidTr="005F1ED8">
        <w:trPr>
          <w:cantSplit/>
        </w:trPr>
        <w:tc>
          <w:tcPr>
            <w:tcW w:w="2206" w:type="pct"/>
            <w:tcMar>
              <w:left w:w="0" w:type="dxa"/>
              <w:right w:w="0" w:type="dxa"/>
            </w:tcMar>
          </w:tcPr>
          <w:p w:rsidR="0086340B" w:rsidRPr="00306496" w:rsidRDefault="0086340B" w:rsidP="005F1ED8">
            <w:pPr>
              <w:rPr>
                <w:sz w:val="20"/>
                <w:szCs w:val="20"/>
                <w:lang w:val="fr-CA"/>
              </w:rPr>
            </w:pPr>
            <w:r w:rsidRPr="00306496">
              <w:rPr>
                <w:sz w:val="20"/>
                <w:szCs w:val="20"/>
                <w:lang w:val="fr-CA"/>
              </w:rPr>
              <w:t>1</w:t>
            </w:r>
            <w:r w:rsidR="00DB023F" w:rsidRPr="00306496">
              <w:rPr>
                <w:sz w:val="20"/>
                <w:szCs w:val="20"/>
                <w:lang w:val="fr-CA"/>
              </w:rPr>
              <w:t>6</w:t>
            </w:r>
            <w:r w:rsidRPr="00306496">
              <w:rPr>
                <w:sz w:val="20"/>
                <w:szCs w:val="20"/>
                <w:lang w:val="fr-CA"/>
              </w:rPr>
              <w:t>.</w:t>
            </w:r>
            <w:r w:rsidR="00DB023F" w:rsidRPr="00306496">
              <w:rPr>
                <w:sz w:val="20"/>
                <w:szCs w:val="20"/>
                <w:lang w:val="fr-CA"/>
              </w:rPr>
              <w:t>0</w:t>
            </w:r>
            <w:r w:rsidRPr="00306496">
              <w:rPr>
                <w:sz w:val="20"/>
                <w:szCs w:val="20"/>
                <w:lang w:val="fr-CA"/>
              </w:rPr>
              <w:t>1.201</w:t>
            </w:r>
            <w:r w:rsidR="00DB023F" w:rsidRPr="00306496">
              <w:rPr>
                <w:sz w:val="20"/>
                <w:szCs w:val="20"/>
                <w:lang w:val="fr-CA"/>
              </w:rPr>
              <w:t>5</w:t>
            </w:r>
          </w:p>
          <w:p w:rsidR="0086340B" w:rsidRPr="00306496" w:rsidRDefault="0086340B" w:rsidP="005F1ED8">
            <w:pPr>
              <w:rPr>
                <w:sz w:val="20"/>
                <w:szCs w:val="20"/>
                <w:lang w:val="fr-CA"/>
              </w:rPr>
            </w:pPr>
          </w:p>
          <w:p w:rsidR="0086340B" w:rsidRPr="00306496" w:rsidRDefault="00306496" w:rsidP="005F1ED8">
            <w:pPr>
              <w:rPr>
                <w:b/>
                <w:sz w:val="20"/>
                <w:szCs w:val="20"/>
                <w:lang w:val="fr-CA"/>
              </w:rPr>
            </w:pPr>
            <w:r w:rsidRPr="00306496">
              <w:rPr>
                <w:b/>
                <w:sz w:val="20"/>
                <w:szCs w:val="20"/>
                <w:lang w:val="fr-CA"/>
              </w:rPr>
              <w:t>P</w:t>
            </w:r>
            <w:r w:rsidR="0086340B" w:rsidRPr="00306496">
              <w:rPr>
                <w:b/>
                <w:sz w:val="20"/>
                <w:szCs w:val="20"/>
                <w:lang w:val="fr-CA"/>
              </w:rPr>
              <w:t>r</w:t>
            </w:r>
            <w:r w:rsidRPr="00306496">
              <w:rPr>
                <w:b/>
                <w:sz w:val="20"/>
                <w:szCs w:val="20"/>
                <w:lang w:val="fr-CA"/>
              </w:rPr>
              <w:t>ocur</w:t>
            </w:r>
            <w:r w:rsidR="0086340B" w:rsidRPr="00306496">
              <w:rPr>
                <w:b/>
                <w:sz w:val="20"/>
                <w:szCs w:val="20"/>
                <w:lang w:val="fr-CA"/>
              </w:rPr>
              <w:t>e</w:t>
            </w:r>
            <w:r w:rsidRPr="00306496">
              <w:rPr>
                <w:b/>
                <w:sz w:val="20"/>
                <w:szCs w:val="20"/>
                <w:lang w:val="fr-CA"/>
              </w:rPr>
              <w:t xml:space="preserve">ur général du Canada et </w:t>
            </w:r>
            <w:r w:rsidR="0086340B" w:rsidRPr="00306496">
              <w:rPr>
                <w:b/>
                <w:sz w:val="20"/>
                <w:szCs w:val="20"/>
                <w:lang w:val="fr-CA"/>
              </w:rPr>
              <w:t>a</w:t>
            </w:r>
            <w:r w:rsidRPr="00306496">
              <w:rPr>
                <w:b/>
                <w:sz w:val="20"/>
                <w:szCs w:val="20"/>
                <w:lang w:val="fr-CA"/>
              </w:rPr>
              <w:t>utre</w:t>
            </w:r>
          </w:p>
          <w:p w:rsidR="0086340B" w:rsidRPr="00306496" w:rsidRDefault="0086340B" w:rsidP="005F1ED8">
            <w:pPr>
              <w:rPr>
                <w:b/>
                <w:sz w:val="20"/>
                <w:szCs w:val="20"/>
                <w:lang w:val="fr-CA"/>
              </w:rPr>
            </w:pPr>
          </w:p>
          <w:p w:rsidR="0086340B" w:rsidRPr="0082787C" w:rsidRDefault="0086340B" w:rsidP="005F1ED8">
            <w:pPr>
              <w:rPr>
                <w:b/>
                <w:sz w:val="20"/>
                <w:szCs w:val="20"/>
                <w:lang w:val="fr-CA"/>
              </w:rPr>
            </w:pPr>
            <w:r w:rsidRPr="00306496">
              <w:rPr>
                <w:b/>
                <w:sz w:val="20"/>
                <w:szCs w:val="20"/>
                <w:lang w:val="fr-CA"/>
              </w:rPr>
              <w:tab/>
            </w:r>
            <w:r w:rsidR="00306496" w:rsidRPr="0082787C">
              <w:rPr>
                <w:b/>
                <w:sz w:val="20"/>
                <w:szCs w:val="20"/>
                <w:lang w:val="fr-CA"/>
              </w:rPr>
              <w:t>c</w:t>
            </w:r>
            <w:r w:rsidRPr="0082787C">
              <w:rPr>
                <w:b/>
                <w:sz w:val="20"/>
                <w:szCs w:val="20"/>
                <w:lang w:val="fr-CA"/>
              </w:rPr>
              <w:t>. (35</w:t>
            </w:r>
            <w:r w:rsidR="00306496" w:rsidRPr="0082787C">
              <w:rPr>
                <w:b/>
                <w:sz w:val="20"/>
                <w:szCs w:val="20"/>
                <w:lang w:val="fr-CA"/>
              </w:rPr>
              <w:t>8</w:t>
            </w:r>
            <w:r w:rsidRPr="0082787C">
              <w:rPr>
                <w:b/>
                <w:sz w:val="20"/>
                <w:szCs w:val="20"/>
                <w:lang w:val="fr-CA"/>
              </w:rPr>
              <w:t>92)</w:t>
            </w:r>
          </w:p>
          <w:p w:rsidR="0086340B" w:rsidRPr="0082787C" w:rsidRDefault="0086340B" w:rsidP="005F1ED8">
            <w:pPr>
              <w:rPr>
                <w:b/>
                <w:sz w:val="20"/>
                <w:szCs w:val="20"/>
                <w:lang w:val="fr-CA"/>
              </w:rPr>
            </w:pPr>
          </w:p>
          <w:p w:rsidR="0086340B" w:rsidRPr="0082787C" w:rsidRDefault="00306496" w:rsidP="005F1ED8">
            <w:pPr>
              <w:rPr>
                <w:b/>
                <w:sz w:val="20"/>
                <w:szCs w:val="20"/>
                <w:lang w:val="fr-CA"/>
              </w:rPr>
            </w:pPr>
            <w:r w:rsidRPr="0082787C">
              <w:rPr>
                <w:b/>
                <w:sz w:val="20"/>
                <w:szCs w:val="20"/>
                <w:lang w:val="fr-CA"/>
              </w:rPr>
              <w:t>Ch</w:t>
            </w:r>
            <w:r w:rsidR="0086340B" w:rsidRPr="0082787C">
              <w:rPr>
                <w:b/>
                <w:sz w:val="20"/>
                <w:szCs w:val="20"/>
                <w:lang w:val="fr-CA"/>
              </w:rPr>
              <w:t>a</w:t>
            </w:r>
            <w:r w:rsidRPr="0082787C">
              <w:rPr>
                <w:b/>
                <w:sz w:val="20"/>
                <w:szCs w:val="20"/>
                <w:lang w:val="fr-CA"/>
              </w:rPr>
              <w:t>m</w:t>
            </w:r>
            <w:r w:rsidR="0086340B" w:rsidRPr="0082787C">
              <w:rPr>
                <w:b/>
                <w:sz w:val="20"/>
                <w:szCs w:val="20"/>
                <w:lang w:val="fr-CA"/>
              </w:rPr>
              <w:t>br</w:t>
            </w:r>
            <w:r w:rsidRPr="0082787C">
              <w:rPr>
                <w:b/>
                <w:sz w:val="20"/>
                <w:szCs w:val="20"/>
                <w:lang w:val="fr-CA"/>
              </w:rPr>
              <w:t xml:space="preserve">e </w:t>
            </w:r>
            <w:r w:rsidR="0086340B" w:rsidRPr="0082787C">
              <w:rPr>
                <w:b/>
                <w:sz w:val="20"/>
                <w:szCs w:val="20"/>
                <w:lang w:val="fr-CA"/>
              </w:rPr>
              <w:t>d</w:t>
            </w:r>
            <w:r w:rsidRPr="0082787C">
              <w:rPr>
                <w:b/>
                <w:sz w:val="20"/>
                <w:szCs w:val="20"/>
                <w:lang w:val="fr-CA"/>
              </w:rPr>
              <w:t>es no</w:t>
            </w:r>
            <w:r w:rsidR="0086340B" w:rsidRPr="0082787C">
              <w:rPr>
                <w:b/>
                <w:sz w:val="20"/>
                <w:szCs w:val="20"/>
                <w:lang w:val="fr-CA"/>
              </w:rPr>
              <w:t>ta</w:t>
            </w:r>
            <w:r w:rsidRPr="0082787C">
              <w:rPr>
                <w:b/>
                <w:sz w:val="20"/>
                <w:szCs w:val="20"/>
                <w:lang w:val="fr-CA"/>
              </w:rPr>
              <w:t>ires du Québec et autre</w:t>
            </w:r>
            <w:r w:rsidR="0086340B" w:rsidRPr="0082787C">
              <w:rPr>
                <w:b/>
                <w:sz w:val="20"/>
                <w:szCs w:val="20"/>
                <w:lang w:val="fr-CA"/>
              </w:rPr>
              <w:t xml:space="preserve"> (</w:t>
            </w:r>
            <w:r w:rsidRPr="0082787C">
              <w:rPr>
                <w:b/>
                <w:sz w:val="20"/>
                <w:szCs w:val="20"/>
                <w:lang w:val="fr-CA"/>
              </w:rPr>
              <w:t>Qc</w:t>
            </w:r>
            <w:r w:rsidR="0086340B" w:rsidRPr="0082787C">
              <w:rPr>
                <w:b/>
                <w:sz w:val="20"/>
                <w:szCs w:val="20"/>
                <w:lang w:val="fr-CA"/>
              </w:rPr>
              <w:t>)</w:t>
            </w:r>
          </w:p>
          <w:p w:rsidR="0086340B" w:rsidRPr="0082787C" w:rsidRDefault="0086340B" w:rsidP="005F1ED8">
            <w:pPr>
              <w:rPr>
                <w:sz w:val="20"/>
                <w:szCs w:val="20"/>
                <w:lang w:val="fr-CA"/>
              </w:rPr>
            </w:pPr>
          </w:p>
          <w:p w:rsidR="0086340B" w:rsidRPr="0082787C" w:rsidRDefault="0086340B" w:rsidP="005F1ED8">
            <w:pPr>
              <w:rPr>
                <w:sz w:val="20"/>
                <w:szCs w:val="20"/>
                <w:lang w:val="fr-CA"/>
              </w:rPr>
            </w:pPr>
            <w:r w:rsidRPr="0082787C">
              <w:rPr>
                <w:sz w:val="20"/>
                <w:szCs w:val="20"/>
                <w:lang w:val="fr-CA"/>
              </w:rPr>
              <w:t>(</w:t>
            </w:r>
            <w:r w:rsidR="00306496" w:rsidRPr="0082787C">
              <w:rPr>
                <w:sz w:val="20"/>
                <w:szCs w:val="20"/>
                <w:lang w:val="fr-CA"/>
              </w:rPr>
              <w:t>Autorisation</w:t>
            </w:r>
            <w:r w:rsidRPr="0082787C">
              <w:rPr>
                <w:sz w:val="20"/>
                <w:szCs w:val="20"/>
                <w:lang w:val="fr-CA"/>
              </w:rPr>
              <w:t>)</w:t>
            </w:r>
          </w:p>
          <w:p w:rsidR="0086340B" w:rsidRPr="0082787C" w:rsidRDefault="0086340B" w:rsidP="005F1ED8">
            <w:pPr>
              <w:rPr>
                <w:sz w:val="20"/>
                <w:szCs w:val="20"/>
                <w:lang w:val="fr-CA"/>
              </w:rPr>
            </w:pPr>
          </w:p>
          <w:p w:rsidR="0086340B" w:rsidRPr="003B3977" w:rsidRDefault="00E42AAB" w:rsidP="005F1ED8">
            <w:pPr>
              <w:rPr>
                <w:sz w:val="20"/>
                <w:szCs w:val="20"/>
                <w:lang w:val="fr-CA"/>
              </w:rPr>
            </w:pPr>
            <w:r>
              <w:rPr>
                <w:sz w:val="20"/>
                <w:szCs w:val="20"/>
                <w:lang w:val="fr-CA"/>
              </w:rPr>
              <w:pict>
                <v:rect id="_x0000_i1106" style="width:106.1pt;height:1pt" o:hrpct="500" o:hralign="center" o:hrstd="t" o:hrnoshade="t" o:hr="t" fillcolor="black [3213]" stroked="f"/>
              </w:pict>
            </w:r>
          </w:p>
        </w:tc>
        <w:tc>
          <w:tcPr>
            <w:tcW w:w="588" w:type="pct"/>
          </w:tcPr>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Default="0086340B" w:rsidP="005F1ED8">
            <w:pPr>
              <w:jc w:val="center"/>
              <w:rPr>
                <w:sz w:val="20"/>
                <w:szCs w:val="20"/>
              </w:rPr>
            </w:pPr>
          </w:p>
          <w:p w:rsidR="0086340B" w:rsidRDefault="0086340B" w:rsidP="005F1ED8">
            <w:pPr>
              <w:jc w:val="center"/>
              <w:rPr>
                <w:sz w:val="20"/>
                <w:szCs w:val="20"/>
              </w:rPr>
            </w:pPr>
          </w:p>
          <w:p w:rsidR="0086340B" w:rsidRPr="003B3977" w:rsidRDefault="0086340B" w:rsidP="005F1ED8">
            <w:pPr>
              <w:jc w:val="center"/>
              <w:rPr>
                <w:sz w:val="20"/>
                <w:szCs w:val="20"/>
              </w:rPr>
            </w:pPr>
          </w:p>
        </w:tc>
        <w:tc>
          <w:tcPr>
            <w:tcW w:w="2206" w:type="pct"/>
          </w:tcPr>
          <w:p w:rsidR="0086340B" w:rsidRPr="003B3977" w:rsidRDefault="0086340B" w:rsidP="005F1ED8">
            <w:pPr>
              <w:rPr>
                <w:sz w:val="20"/>
                <w:szCs w:val="20"/>
              </w:rPr>
            </w:pP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124"/>
          <w:headerReference w:type="default" r:id="rId125"/>
          <w:footerReference w:type="even" r:id="rId126"/>
          <w:footerReference w:type="default" r:id="rId127"/>
          <w:headerReference w:type="first" r:id="rId128"/>
          <w:footerReference w:type="first" r:id="rId129"/>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732DB7" w:rsidRPr="0025502E"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lastRenderedPageBreak/>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7C47C2" w:rsidRPr="00C97437" w:rsidRDefault="007C47C2" w:rsidP="007C47C2">
      <w:pPr>
        <w:widowControl w:val="0"/>
        <w:rPr>
          <w:sz w:val="20"/>
          <w:szCs w:val="20"/>
          <w:lang w:val="fr-CA"/>
        </w:rPr>
      </w:pPr>
      <w:r w:rsidRPr="00C97437">
        <w:rPr>
          <w:sz w:val="20"/>
          <w:szCs w:val="20"/>
          <w:lang w:val="fr-CA"/>
        </w:rPr>
        <w:t>2</w:t>
      </w:r>
      <w:r w:rsidR="00D904F1">
        <w:rPr>
          <w:sz w:val="20"/>
          <w:szCs w:val="20"/>
          <w:lang w:val="fr-CA"/>
        </w:rPr>
        <w:t>3</w:t>
      </w:r>
      <w:r w:rsidRPr="00C97437">
        <w:rPr>
          <w:sz w:val="20"/>
          <w:szCs w:val="20"/>
          <w:lang w:val="fr-CA"/>
        </w:rPr>
        <w:t>.0</w:t>
      </w:r>
      <w:r w:rsidR="00D904F1">
        <w:rPr>
          <w:sz w:val="20"/>
          <w:szCs w:val="20"/>
          <w:lang w:val="fr-CA"/>
        </w:rPr>
        <w:t>1</w:t>
      </w:r>
      <w:r w:rsidRPr="00C97437">
        <w:rPr>
          <w:sz w:val="20"/>
          <w:szCs w:val="20"/>
          <w:lang w:val="fr-CA"/>
        </w:rPr>
        <w:t>.201</w:t>
      </w:r>
      <w:r w:rsidR="00D904F1">
        <w:rPr>
          <w:sz w:val="20"/>
          <w:szCs w:val="20"/>
          <w:lang w:val="fr-CA"/>
        </w:rPr>
        <w:t>5</w:t>
      </w:r>
    </w:p>
    <w:p w:rsidR="007C47C2" w:rsidRDefault="007C47C2" w:rsidP="007C47C2">
      <w:pPr>
        <w:widowControl w:val="0"/>
        <w:rPr>
          <w:sz w:val="20"/>
          <w:szCs w:val="20"/>
          <w:lang w:val="fr-CA"/>
        </w:rPr>
      </w:pPr>
    </w:p>
    <w:p w:rsidR="00BB5405" w:rsidRPr="00B645E8" w:rsidRDefault="00BB5405" w:rsidP="00BB5405">
      <w:pPr>
        <w:ind w:left="720" w:hanging="720"/>
        <w:rPr>
          <w:sz w:val="20"/>
          <w:szCs w:val="20"/>
          <w:u w:val="single"/>
          <w:lang w:val="fr-CA"/>
        </w:rPr>
      </w:pPr>
      <w:r w:rsidRPr="00B645E8">
        <w:rPr>
          <w:sz w:val="20"/>
          <w:szCs w:val="20"/>
          <w:lang w:val="fr-CA"/>
        </w:rPr>
        <w:t>Coram:</w:t>
      </w:r>
      <w:r w:rsidRPr="00B645E8">
        <w:rPr>
          <w:sz w:val="20"/>
          <w:szCs w:val="20"/>
          <w:lang w:val="fr-CA"/>
        </w:rPr>
        <w:tab/>
      </w:r>
      <w:r w:rsidRPr="00B645E8">
        <w:rPr>
          <w:sz w:val="20"/>
          <w:szCs w:val="20"/>
          <w:u w:val="single"/>
          <w:lang w:val="fr-CA"/>
        </w:rPr>
        <w:t>La juge en chef McLachlin et les juges Abella, Rothstein, Cromwell, Karakatsanis, Wagner et Côté</w:t>
      </w:r>
    </w:p>
    <w:p w:rsidR="007C47C2" w:rsidRPr="00C97437" w:rsidRDefault="007C47C2" w:rsidP="007C47C2">
      <w:pPr>
        <w:widowControl w:val="0"/>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C102AE" w:rsidTr="00BB5405">
        <w:tc>
          <w:tcPr>
            <w:tcW w:w="4380" w:type="dxa"/>
            <w:tcMar>
              <w:left w:w="0" w:type="dxa"/>
              <w:right w:w="0" w:type="dxa"/>
            </w:tcMar>
          </w:tcPr>
          <w:p w:rsidR="00BB5405" w:rsidRDefault="00BB5405" w:rsidP="00BB5405">
            <w:pPr>
              <w:jc w:val="both"/>
              <w:rPr>
                <w:b/>
                <w:iCs/>
                <w:sz w:val="20"/>
                <w:szCs w:val="20"/>
                <w:lang w:val="fr-CA"/>
              </w:rPr>
            </w:pPr>
            <w:r w:rsidRPr="00B645E8">
              <w:rPr>
                <w:b/>
                <w:iCs/>
                <w:sz w:val="20"/>
                <w:szCs w:val="20"/>
                <w:lang w:val="fr-CA"/>
              </w:rPr>
              <w:t xml:space="preserve">Commission des droits de la personne et des droits de la jeunesse et autre </w:t>
            </w:r>
          </w:p>
          <w:p w:rsidR="00BB5405" w:rsidRDefault="00BB5405" w:rsidP="00BB5405">
            <w:pPr>
              <w:jc w:val="both"/>
              <w:rPr>
                <w:b/>
                <w:iCs/>
                <w:sz w:val="20"/>
                <w:szCs w:val="20"/>
                <w:lang w:val="fr-CA"/>
              </w:rPr>
            </w:pPr>
          </w:p>
          <w:p w:rsidR="00BB5405" w:rsidRDefault="00BB5405" w:rsidP="00BB5405">
            <w:pPr>
              <w:jc w:val="both"/>
              <w:rPr>
                <w:b/>
                <w:iCs/>
                <w:sz w:val="20"/>
                <w:szCs w:val="20"/>
                <w:lang w:val="fr-CA"/>
              </w:rPr>
            </w:pPr>
            <w:r>
              <w:rPr>
                <w:b/>
                <w:iCs/>
                <w:sz w:val="20"/>
                <w:szCs w:val="20"/>
                <w:lang w:val="fr-CA"/>
              </w:rPr>
              <w:tab/>
            </w:r>
            <w:r w:rsidRPr="00B645E8">
              <w:rPr>
                <w:b/>
                <w:iCs/>
                <w:sz w:val="20"/>
                <w:szCs w:val="20"/>
                <w:lang w:val="fr-CA"/>
              </w:rPr>
              <w:t xml:space="preserve">c. </w:t>
            </w:r>
            <w:r w:rsidRPr="00B645E8">
              <w:rPr>
                <w:sz w:val="20"/>
                <w:szCs w:val="20"/>
                <w:lang w:val="fr-CA"/>
              </w:rPr>
              <w:t>(</w:t>
            </w:r>
            <w:hyperlink r:id="rId130" w:history="1">
              <w:r w:rsidRPr="00B645E8">
                <w:rPr>
                  <w:rStyle w:val="Hyperlink"/>
                  <w:sz w:val="20"/>
                  <w:szCs w:val="20"/>
                  <w:lang w:val="fr-CA"/>
                </w:rPr>
                <w:t>35625</w:t>
              </w:r>
            </w:hyperlink>
            <w:r w:rsidRPr="00B645E8">
              <w:rPr>
                <w:sz w:val="20"/>
                <w:szCs w:val="20"/>
                <w:lang w:val="fr-CA"/>
              </w:rPr>
              <w:t>)</w:t>
            </w:r>
          </w:p>
          <w:p w:rsidR="00BB5405" w:rsidRDefault="00BB5405" w:rsidP="00BB5405">
            <w:pPr>
              <w:jc w:val="both"/>
              <w:rPr>
                <w:b/>
                <w:iCs/>
                <w:sz w:val="20"/>
                <w:szCs w:val="20"/>
                <w:lang w:val="fr-CA"/>
              </w:rPr>
            </w:pPr>
          </w:p>
          <w:p w:rsidR="007C47C2" w:rsidRPr="00EA0658" w:rsidRDefault="00BB5405" w:rsidP="00BB5405">
            <w:pPr>
              <w:jc w:val="both"/>
              <w:rPr>
                <w:sz w:val="20"/>
                <w:szCs w:val="20"/>
                <w:lang w:val="fr-CA"/>
              </w:rPr>
            </w:pPr>
            <w:r w:rsidRPr="00B645E8">
              <w:rPr>
                <w:b/>
                <w:iCs/>
                <w:sz w:val="20"/>
                <w:szCs w:val="20"/>
                <w:lang w:val="fr-CA"/>
              </w:rPr>
              <w:t xml:space="preserve">Bombardier inc. (Bombardier Aéronautique Centre de formation) et autres </w:t>
            </w:r>
            <w:r w:rsidRPr="00BB5405">
              <w:rPr>
                <w:b/>
                <w:sz w:val="20"/>
                <w:szCs w:val="20"/>
                <w:lang w:val="fr-CA"/>
              </w:rPr>
              <w:t>(Qc) (Civile) (Autorisation)</w:t>
            </w:r>
            <w:r w:rsidRPr="00B645E8">
              <w:rPr>
                <w:sz w:val="20"/>
                <w:szCs w:val="20"/>
                <w:lang w:val="fr-CA"/>
              </w:rPr>
              <w:t xml:space="preserve"> </w:t>
            </w:r>
            <w:r w:rsidR="007C47C2" w:rsidRPr="00E75133">
              <w:rPr>
                <w:sz w:val="20"/>
                <w:szCs w:val="20"/>
                <w:lang w:val="fr-CA"/>
              </w:rPr>
              <w:t xml:space="preserve"> </w:t>
            </w:r>
          </w:p>
        </w:tc>
        <w:tc>
          <w:tcPr>
            <w:tcW w:w="720" w:type="dxa"/>
            <w:tcMar>
              <w:left w:w="0" w:type="dxa"/>
              <w:right w:w="0" w:type="dxa"/>
            </w:tcMar>
          </w:tcPr>
          <w:p w:rsidR="007C47C2" w:rsidRPr="00EA0658" w:rsidRDefault="007C47C2" w:rsidP="00BB5405">
            <w:pPr>
              <w:widowControl w:val="0"/>
              <w:jc w:val="center"/>
              <w:rPr>
                <w:sz w:val="20"/>
                <w:szCs w:val="20"/>
                <w:lang w:val="fr-CA"/>
              </w:rPr>
            </w:pPr>
          </w:p>
        </w:tc>
        <w:tc>
          <w:tcPr>
            <w:tcW w:w="4380" w:type="dxa"/>
            <w:tcMar>
              <w:left w:w="0" w:type="dxa"/>
              <w:right w:w="0" w:type="dxa"/>
            </w:tcMar>
          </w:tcPr>
          <w:p w:rsidR="00BB5405" w:rsidRPr="00D6207E" w:rsidRDefault="00BB5405" w:rsidP="00BB5405">
            <w:pPr>
              <w:jc w:val="both"/>
              <w:rPr>
                <w:sz w:val="20"/>
                <w:szCs w:val="20"/>
                <w:lang w:val="fr-CA"/>
              </w:rPr>
            </w:pPr>
            <w:r w:rsidRPr="00D6207E">
              <w:rPr>
                <w:sz w:val="20"/>
                <w:szCs w:val="20"/>
                <w:lang w:val="fr-CA"/>
              </w:rPr>
              <w:t>Athanassia Bitzakidis</w:t>
            </w:r>
            <w:r>
              <w:rPr>
                <w:sz w:val="20"/>
                <w:szCs w:val="20"/>
                <w:lang w:val="fr-CA"/>
              </w:rPr>
              <w:t xml:space="preserve"> et </w:t>
            </w:r>
            <w:r w:rsidRPr="00D6207E">
              <w:rPr>
                <w:sz w:val="20"/>
                <w:szCs w:val="20"/>
                <w:lang w:val="fr-CA"/>
              </w:rPr>
              <w:t>Christian Baillargeon</w:t>
            </w:r>
            <w:r>
              <w:rPr>
                <w:sz w:val="20"/>
                <w:szCs w:val="20"/>
                <w:lang w:val="fr-CA"/>
              </w:rPr>
              <w:t xml:space="preserve"> p</w:t>
            </w:r>
            <w:r w:rsidRPr="00D6207E">
              <w:rPr>
                <w:sz w:val="20"/>
                <w:szCs w:val="20"/>
                <w:lang w:val="fr-CA"/>
              </w:rPr>
              <w:t>our l’appelante Commission des droits de la personne</w:t>
            </w:r>
            <w:r>
              <w:rPr>
                <w:sz w:val="20"/>
                <w:szCs w:val="20"/>
                <w:lang w:val="fr-CA"/>
              </w:rPr>
              <w:t xml:space="preserve"> </w:t>
            </w:r>
            <w:r w:rsidRPr="00D6207E">
              <w:rPr>
                <w:sz w:val="20"/>
                <w:szCs w:val="20"/>
                <w:lang w:val="fr-CA"/>
              </w:rPr>
              <w:t>et des droits de la jeunesse</w:t>
            </w:r>
            <w:r>
              <w:rPr>
                <w:sz w:val="20"/>
                <w:szCs w:val="20"/>
                <w:lang w:val="fr-CA"/>
              </w:rPr>
              <w:t xml:space="preserve"> </w:t>
            </w:r>
            <w:r w:rsidRPr="00D6207E">
              <w:rPr>
                <w:sz w:val="20"/>
                <w:szCs w:val="20"/>
                <w:lang w:val="fr-CA"/>
              </w:rPr>
              <w:t>(</w:t>
            </w:r>
            <w:r>
              <w:rPr>
                <w:sz w:val="20"/>
                <w:szCs w:val="20"/>
                <w:lang w:val="fr-CA"/>
              </w:rPr>
              <w:t>i</w:t>
            </w:r>
            <w:r w:rsidRPr="00D6207E">
              <w:rPr>
                <w:sz w:val="20"/>
                <w:szCs w:val="20"/>
                <w:lang w:val="fr-CA"/>
              </w:rPr>
              <w:t>ntimée)</w:t>
            </w:r>
            <w:r>
              <w:rPr>
                <w:sz w:val="20"/>
                <w:szCs w:val="20"/>
                <w:lang w:val="fr-CA"/>
              </w:rPr>
              <w:t>.</w:t>
            </w:r>
          </w:p>
          <w:p w:rsidR="00BB5405" w:rsidRPr="00D6207E" w:rsidRDefault="00BB5405" w:rsidP="00BB5405">
            <w:pPr>
              <w:jc w:val="both"/>
              <w:rPr>
                <w:sz w:val="20"/>
                <w:szCs w:val="20"/>
                <w:lang w:val="fr-CA"/>
              </w:rPr>
            </w:pPr>
          </w:p>
          <w:p w:rsidR="00BB5405" w:rsidRPr="00D6207E" w:rsidRDefault="00BB5405" w:rsidP="00BB5405">
            <w:pPr>
              <w:jc w:val="both"/>
              <w:rPr>
                <w:sz w:val="20"/>
                <w:szCs w:val="20"/>
              </w:rPr>
            </w:pPr>
            <w:r w:rsidRPr="00D6207E">
              <w:rPr>
                <w:sz w:val="20"/>
                <w:szCs w:val="20"/>
              </w:rPr>
              <w:t xml:space="preserve">Mathieu Bouchard and </w:t>
            </w:r>
            <w:r w:rsidRPr="00D6207E">
              <w:rPr>
                <w:sz w:val="20"/>
                <w:szCs w:val="20"/>
                <w:lang w:val="en-US"/>
              </w:rPr>
              <w:t>Catherine McKenzie</w:t>
            </w:r>
            <w:r>
              <w:rPr>
                <w:sz w:val="20"/>
                <w:szCs w:val="20"/>
                <w:lang w:val="en-US"/>
              </w:rPr>
              <w:t xml:space="preserve"> f</w:t>
            </w:r>
            <w:r w:rsidRPr="00D6207E">
              <w:rPr>
                <w:sz w:val="20"/>
                <w:szCs w:val="20"/>
              </w:rPr>
              <w:t xml:space="preserve">or the </w:t>
            </w:r>
            <w:r>
              <w:rPr>
                <w:sz w:val="20"/>
                <w:szCs w:val="20"/>
              </w:rPr>
              <w:t>a</w:t>
            </w:r>
            <w:r w:rsidRPr="00D6207E">
              <w:rPr>
                <w:sz w:val="20"/>
                <w:szCs w:val="20"/>
              </w:rPr>
              <w:t xml:space="preserve">ppellant </w:t>
            </w:r>
            <w:r w:rsidRPr="00D6207E">
              <w:rPr>
                <w:sz w:val="20"/>
                <w:szCs w:val="20"/>
                <w:lang w:val="en-US"/>
              </w:rPr>
              <w:t>Javed Latif</w:t>
            </w:r>
            <w:r w:rsidRPr="00D6207E">
              <w:rPr>
                <w:sz w:val="20"/>
                <w:szCs w:val="20"/>
              </w:rPr>
              <w:t xml:space="preserve"> (</w:t>
            </w:r>
            <w:r>
              <w:rPr>
                <w:sz w:val="20"/>
                <w:szCs w:val="20"/>
              </w:rPr>
              <w:t>r</w:t>
            </w:r>
            <w:r w:rsidRPr="00D6207E">
              <w:rPr>
                <w:sz w:val="20"/>
                <w:szCs w:val="20"/>
              </w:rPr>
              <w:t>espondent).</w:t>
            </w:r>
          </w:p>
          <w:p w:rsidR="00BB5405" w:rsidRPr="00D6207E" w:rsidRDefault="00BB5405" w:rsidP="00BB5405">
            <w:pPr>
              <w:jc w:val="both"/>
              <w:rPr>
                <w:sz w:val="20"/>
                <w:szCs w:val="20"/>
                <w:lang w:val="en-US"/>
              </w:rPr>
            </w:pPr>
          </w:p>
          <w:p w:rsidR="00BB5405" w:rsidRPr="00D6207E" w:rsidRDefault="00BB5405" w:rsidP="00BB5405">
            <w:pPr>
              <w:jc w:val="both"/>
              <w:rPr>
                <w:sz w:val="20"/>
                <w:szCs w:val="20"/>
              </w:rPr>
            </w:pPr>
            <w:r w:rsidRPr="00D6207E">
              <w:rPr>
                <w:sz w:val="20"/>
                <w:szCs w:val="20"/>
              </w:rPr>
              <w:t>Andrew K. Lokan</w:t>
            </w:r>
            <w:r>
              <w:rPr>
                <w:sz w:val="20"/>
                <w:szCs w:val="20"/>
              </w:rPr>
              <w:t xml:space="preserve"> and </w:t>
            </w:r>
            <w:r w:rsidRPr="00D6207E">
              <w:rPr>
                <w:sz w:val="20"/>
                <w:szCs w:val="20"/>
              </w:rPr>
              <w:t>Jean-Claude Killey</w:t>
            </w:r>
            <w:r>
              <w:rPr>
                <w:sz w:val="20"/>
                <w:szCs w:val="20"/>
              </w:rPr>
              <w:t xml:space="preserve"> f</w:t>
            </w:r>
            <w:r w:rsidRPr="00D6207E">
              <w:rPr>
                <w:sz w:val="20"/>
                <w:szCs w:val="20"/>
              </w:rPr>
              <w:t xml:space="preserve">or the </w:t>
            </w:r>
            <w:r>
              <w:rPr>
                <w:sz w:val="20"/>
                <w:szCs w:val="20"/>
              </w:rPr>
              <w:t>i</w:t>
            </w:r>
            <w:r w:rsidRPr="00D6207E">
              <w:rPr>
                <w:sz w:val="20"/>
                <w:szCs w:val="20"/>
              </w:rPr>
              <w:t>ntervener</w:t>
            </w:r>
            <w:r>
              <w:rPr>
                <w:sz w:val="20"/>
                <w:szCs w:val="20"/>
              </w:rPr>
              <w:t xml:space="preserve"> </w:t>
            </w:r>
            <w:r w:rsidRPr="00D6207E">
              <w:rPr>
                <w:sz w:val="20"/>
                <w:szCs w:val="20"/>
              </w:rPr>
              <w:t>Canadian Civil Liberties Association.</w:t>
            </w:r>
          </w:p>
          <w:p w:rsidR="00BB5405" w:rsidRPr="00D6207E" w:rsidRDefault="00BB5405" w:rsidP="00BB5405">
            <w:pPr>
              <w:jc w:val="both"/>
              <w:rPr>
                <w:sz w:val="20"/>
                <w:szCs w:val="20"/>
              </w:rPr>
            </w:pPr>
          </w:p>
          <w:p w:rsidR="00BB5405" w:rsidRDefault="00BB5405" w:rsidP="00BB5405">
            <w:pPr>
              <w:jc w:val="both"/>
              <w:rPr>
                <w:sz w:val="20"/>
                <w:szCs w:val="20"/>
                <w:lang w:val="fr-CA"/>
              </w:rPr>
            </w:pPr>
            <w:r w:rsidRPr="00D6207E">
              <w:rPr>
                <w:sz w:val="20"/>
                <w:szCs w:val="20"/>
                <w:lang w:val="fr-CA"/>
              </w:rPr>
              <w:t>Philippe Dufresne</w:t>
            </w:r>
            <w:r>
              <w:rPr>
                <w:sz w:val="20"/>
                <w:szCs w:val="20"/>
                <w:lang w:val="fr-CA"/>
              </w:rPr>
              <w:t xml:space="preserve"> et </w:t>
            </w:r>
            <w:r w:rsidRPr="00D6207E">
              <w:rPr>
                <w:sz w:val="20"/>
                <w:szCs w:val="20"/>
                <w:lang w:val="fr-CA"/>
              </w:rPr>
              <w:t>Sheila Osborne-Brown</w:t>
            </w:r>
            <w:r>
              <w:rPr>
                <w:sz w:val="20"/>
                <w:szCs w:val="20"/>
                <w:lang w:val="fr-CA"/>
              </w:rPr>
              <w:t xml:space="preserve"> p</w:t>
            </w:r>
            <w:r w:rsidRPr="00D6207E">
              <w:rPr>
                <w:sz w:val="20"/>
                <w:szCs w:val="20"/>
                <w:lang w:val="fr-CA"/>
              </w:rPr>
              <w:t>our l’intervenante</w:t>
            </w:r>
            <w:r>
              <w:rPr>
                <w:sz w:val="20"/>
                <w:szCs w:val="20"/>
                <w:lang w:val="fr-CA"/>
              </w:rPr>
              <w:t xml:space="preserve"> </w:t>
            </w:r>
            <w:r w:rsidRPr="00D6207E">
              <w:rPr>
                <w:sz w:val="20"/>
                <w:szCs w:val="20"/>
                <w:lang w:val="fr-CA"/>
              </w:rPr>
              <w:t>Commission canadienne des droits de la personne</w:t>
            </w:r>
            <w:r>
              <w:rPr>
                <w:sz w:val="20"/>
                <w:szCs w:val="20"/>
                <w:lang w:val="fr-CA"/>
              </w:rPr>
              <w:t>.</w:t>
            </w:r>
          </w:p>
          <w:p w:rsidR="00BB5405" w:rsidRPr="00D6207E" w:rsidRDefault="00BB5405" w:rsidP="00BB5405">
            <w:pPr>
              <w:jc w:val="both"/>
              <w:rPr>
                <w:sz w:val="20"/>
                <w:szCs w:val="20"/>
                <w:lang w:val="fr-CA"/>
              </w:rPr>
            </w:pPr>
          </w:p>
          <w:p w:rsidR="00BB5405" w:rsidRPr="00D6207E" w:rsidRDefault="00BB5405" w:rsidP="00BB5405">
            <w:pPr>
              <w:jc w:val="both"/>
              <w:rPr>
                <w:sz w:val="20"/>
                <w:szCs w:val="20"/>
              </w:rPr>
            </w:pPr>
            <w:r w:rsidRPr="00D6207E">
              <w:rPr>
                <w:sz w:val="20"/>
                <w:szCs w:val="20"/>
              </w:rPr>
              <w:t>Selwyn Pieters</w:t>
            </w:r>
            <w:r>
              <w:rPr>
                <w:sz w:val="20"/>
                <w:szCs w:val="20"/>
              </w:rPr>
              <w:t xml:space="preserve"> and </w:t>
            </w:r>
            <w:r w:rsidRPr="00D6207E">
              <w:rPr>
                <w:sz w:val="20"/>
                <w:szCs w:val="20"/>
              </w:rPr>
              <w:t>Aymar Missakila</w:t>
            </w:r>
            <w:r>
              <w:rPr>
                <w:sz w:val="20"/>
                <w:szCs w:val="20"/>
              </w:rPr>
              <w:t xml:space="preserve"> f</w:t>
            </w:r>
            <w:r w:rsidRPr="00D6207E">
              <w:rPr>
                <w:sz w:val="20"/>
                <w:szCs w:val="20"/>
              </w:rPr>
              <w:t xml:space="preserve">or the </w:t>
            </w:r>
            <w:r>
              <w:rPr>
                <w:sz w:val="20"/>
                <w:szCs w:val="20"/>
              </w:rPr>
              <w:t>i</w:t>
            </w:r>
            <w:r w:rsidRPr="00D6207E">
              <w:rPr>
                <w:sz w:val="20"/>
                <w:szCs w:val="20"/>
              </w:rPr>
              <w:t>ntervener</w:t>
            </w:r>
            <w:r>
              <w:rPr>
                <w:sz w:val="20"/>
                <w:szCs w:val="20"/>
              </w:rPr>
              <w:t xml:space="preserve"> </w:t>
            </w:r>
            <w:r w:rsidRPr="00D6207E">
              <w:rPr>
                <w:sz w:val="20"/>
                <w:szCs w:val="20"/>
              </w:rPr>
              <w:t>Center for Research-Action on Race Relations.</w:t>
            </w:r>
          </w:p>
          <w:p w:rsidR="00BB5405" w:rsidRPr="00D6207E" w:rsidRDefault="00BB5405" w:rsidP="00BB5405">
            <w:pPr>
              <w:jc w:val="both"/>
              <w:rPr>
                <w:sz w:val="20"/>
                <w:szCs w:val="20"/>
              </w:rPr>
            </w:pPr>
          </w:p>
          <w:p w:rsidR="00BB5405" w:rsidRPr="00D6207E" w:rsidRDefault="00BB5405" w:rsidP="00BB5405">
            <w:pPr>
              <w:jc w:val="both"/>
              <w:rPr>
                <w:sz w:val="20"/>
                <w:szCs w:val="20"/>
              </w:rPr>
            </w:pPr>
            <w:r w:rsidRPr="00D6207E">
              <w:rPr>
                <w:sz w:val="20"/>
                <w:szCs w:val="20"/>
              </w:rPr>
              <w:t>Faisal Bhabha</w:t>
            </w:r>
            <w:r>
              <w:rPr>
                <w:sz w:val="20"/>
                <w:szCs w:val="20"/>
              </w:rPr>
              <w:t xml:space="preserve">, </w:t>
            </w:r>
            <w:r w:rsidRPr="00D6207E">
              <w:rPr>
                <w:sz w:val="20"/>
                <w:szCs w:val="20"/>
              </w:rPr>
              <w:t>Khalid M. Elgazzar</w:t>
            </w:r>
            <w:r>
              <w:rPr>
                <w:sz w:val="20"/>
                <w:szCs w:val="20"/>
              </w:rPr>
              <w:t xml:space="preserve"> and </w:t>
            </w:r>
            <w:r w:rsidRPr="00D6207E">
              <w:rPr>
                <w:sz w:val="20"/>
                <w:szCs w:val="20"/>
              </w:rPr>
              <w:t>Faisal Mirza</w:t>
            </w:r>
            <w:r>
              <w:rPr>
                <w:sz w:val="20"/>
                <w:szCs w:val="20"/>
              </w:rPr>
              <w:t xml:space="preserve"> f</w:t>
            </w:r>
            <w:r w:rsidRPr="00D6207E">
              <w:rPr>
                <w:sz w:val="20"/>
                <w:szCs w:val="20"/>
              </w:rPr>
              <w:t xml:space="preserve">or the </w:t>
            </w:r>
            <w:r>
              <w:rPr>
                <w:sz w:val="20"/>
                <w:szCs w:val="20"/>
              </w:rPr>
              <w:t>i</w:t>
            </w:r>
            <w:r w:rsidRPr="00D6207E">
              <w:rPr>
                <w:sz w:val="20"/>
                <w:szCs w:val="20"/>
              </w:rPr>
              <w:t>ntervener</w:t>
            </w:r>
            <w:r>
              <w:rPr>
                <w:sz w:val="20"/>
                <w:szCs w:val="20"/>
              </w:rPr>
              <w:t xml:space="preserve"> </w:t>
            </w:r>
            <w:r w:rsidRPr="00D6207E">
              <w:rPr>
                <w:sz w:val="20"/>
                <w:szCs w:val="20"/>
              </w:rPr>
              <w:t xml:space="preserve">National Council of Canadian Muslims et al. </w:t>
            </w:r>
          </w:p>
          <w:p w:rsidR="00BB5405" w:rsidRPr="00D6207E" w:rsidRDefault="00BB5405" w:rsidP="00BB5405">
            <w:pPr>
              <w:tabs>
                <w:tab w:val="left" w:pos="4035"/>
              </w:tabs>
              <w:jc w:val="both"/>
              <w:rPr>
                <w:sz w:val="20"/>
                <w:szCs w:val="20"/>
              </w:rPr>
            </w:pPr>
          </w:p>
          <w:p w:rsidR="00BB5405" w:rsidRPr="00D6207E" w:rsidRDefault="00BB5405" w:rsidP="00BB5405">
            <w:pPr>
              <w:jc w:val="both"/>
              <w:rPr>
                <w:sz w:val="20"/>
                <w:szCs w:val="20"/>
              </w:rPr>
            </w:pPr>
            <w:r w:rsidRPr="00D6207E">
              <w:rPr>
                <w:sz w:val="20"/>
                <w:szCs w:val="20"/>
              </w:rPr>
              <w:t>Ranjan K. Agarwal</w:t>
            </w:r>
            <w:r>
              <w:rPr>
                <w:sz w:val="20"/>
                <w:szCs w:val="20"/>
              </w:rPr>
              <w:t xml:space="preserve"> and </w:t>
            </w:r>
            <w:r w:rsidRPr="00D6207E">
              <w:rPr>
                <w:sz w:val="20"/>
                <w:szCs w:val="20"/>
              </w:rPr>
              <w:t>Preet K. Bell</w:t>
            </w:r>
            <w:r>
              <w:rPr>
                <w:sz w:val="20"/>
                <w:szCs w:val="20"/>
              </w:rPr>
              <w:t xml:space="preserve"> f</w:t>
            </w:r>
            <w:r w:rsidRPr="00D6207E">
              <w:rPr>
                <w:sz w:val="20"/>
                <w:szCs w:val="20"/>
              </w:rPr>
              <w:t xml:space="preserve">or the </w:t>
            </w:r>
            <w:r>
              <w:rPr>
                <w:sz w:val="20"/>
                <w:szCs w:val="20"/>
              </w:rPr>
              <w:t>i</w:t>
            </w:r>
            <w:r w:rsidRPr="00D6207E">
              <w:rPr>
                <w:sz w:val="20"/>
                <w:szCs w:val="20"/>
              </w:rPr>
              <w:t>ntervener</w:t>
            </w:r>
            <w:r>
              <w:rPr>
                <w:sz w:val="20"/>
                <w:szCs w:val="20"/>
              </w:rPr>
              <w:t xml:space="preserve"> </w:t>
            </w:r>
            <w:r w:rsidRPr="00D6207E">
              <w:rPr>
                <w:sz w:val="20"/>
                <w:szCs w:val="20"/>
              </w:rPr>
              <w:t>South Asian Legal Clinic of Ontario</w:t>
            </w:r>
            <w:r>
              <w:rPr>
                <w:sz w:val="20"/>
                <w:szCs w:val="20"/>
              </w:rPr>
              <w:t>.</w:t>
            </w:r>
          </w:p>
          <w:p w:rsidR="00BB5405" w:rsidRPr="00D6207E" w:rsidRDefault="00BB5405" w:rsidP="00BB5405">
            <w:pPr>
              <w:tabs>
                <w:tab w:val="left" w:pos="4035"/>
              </w:tabs>
              <w:jc w:val="both"/>
              <w:rPr>
                <w:sz w:val="20"/>
                <w:szCs w:val="20"/>
              </w:rPr>
            </w:pPr>
          </w:p>
          <w:p w:rsidR="007C47C2" w:rsidRPr="00EA0658" w:rsidRDefault="00BB5405" w:rsidP="00BB5405">
            <w:pPr>
              <w:widowControl w:val="0"/>
              <w:jc w:val="both"/>
              <w:rPr>
                <w:sz w:val="20"/>
                <w:szCs w:val="20"/>
                <w:lang w:val="fr-CA"/>
              </w:rPr>
            </w:pPr>
            <w:r w:rsidRPr="00D6207E">
              <w:rPr>
                <w:sz w:val="20"/>
                <w:szCs w:val="20"/>
                <w:lang w:val="fr-CA"/>
              </w:rPr>
              <w:t>Michel Sylvestre</w:t>
            </w:r>
            <w:r>
              <w:rPr>
                <w:sz w:val="20"/>
                <w:szCs w:val="20"/>
                <w:lang w:val="fr-CA"/>
              </w:rPr>
              <w:t xml:space="preserve">, </w:t>
            </w:r>
            <w:r w:rsidRPr="00D6207E">
              <w:rPr>
                <w:sz w:val="20"/>
                <w:szCs w:val="20"/>
                <w:lang w:val="fr-CA"/>
              </w:rPr>
              <w:t>Andres Garin</w:t>
            </w:r>
            <w:r>
              <w:rPr>
                <w:sz w:val="20"/>
                <w:szCs w:val="20"/>
                <w:lang w:val="fr-CA"/>
              </w:rPr>
              <w:t xml:space="preserve"> et </w:t>
            </w:r>
            <w:r w:rsidRPr="00D6207E">
              <w:rPr>
                <w:sz w:val="20"/>
                <w:szCs w:val="20"/>
                <w:lang w:val="fr-CA"/>
              </w:rPr>
              <w:t>Sébastien Beauregard</w:t>
            </w:r>
            <w:r>
              <w:rPr>
                <w:sz w:val="20"/>
                <w:szCs w:val="20"/>
                <w:lang w:val="fr-CA"/>
              </w:rPr>
              <w:t xml:space="preserve"> p</w:t>
            </w:r>
            <w:r w:rsidRPr="00D6207E">
              <w:rPr>
                <w:sz w:val="20"/>
                <w:szCs w:val="20"/>
                <w:lang w:val="fr-CA"/>
              </w:rPr>
              <w:t>our l’intimée</w:t>
            </w:r>
            <w:r>
              <w:rPr>
                <w:sz w:val="20"/>
                <w:szCs w:val="20"/>
                <w:lang w:val="fr-CA"/>
              </w:rPr>
              <w:t xml:space="preserve"> </w:t>
            </w:r>
            <w:r w:rsidRPr="00D6207E">
              <w:rPr>
                <w:sz w:val="20"/>
                <w:szCs w:val="20"/>
                <w:lang w:val="fr-CA"/>
              </w:rPr>
              <w:t>Bombardier inc. (Bombardier Aerospace Training Center)</w:t>
            </w:r>
            <w:r>
              <w:rPr>
                <w:sz w:val="20"/>
                <w:szCs w:val="20"/>
                <w:lang w:val="fr-CA"/>
              </w:rPr>
              <w:t>.</w:t>
            </w:r>
          </w:p>
        </w:tc>
      </w:tr>
    </w:tbl>
    <w:p w:rsidR="007C47C2" w:rsidRPr="00EA0658" w:rsidRDefault="007C47C2" w:rsidP="007C47C2">
      <w:pPr>
        <w:widowControl w:val="0"/>
        <w:rPr>
          <w:sz w:val="20"/>
          <w:szCs w:val="20"/>
          <w:lang w:val="fr-CA"/>
        </w:rPr>
      </w:pPr>
    </w:p>
    <w:p w:rsidR="007C47C2" w:rsidRPr="0085476B" w:rsidRDefault="007C47C2" w:rsidP="007C47C2">
      <w:pPr>
        <w:widowControl w:val="0"/>
        <w:rPr>
          <w:sz w:val="20"/>
          <w:szCs w:val="20"/>
        </w:rPr>
      </w:pPr>
      <w:r>
        <w:rPr>
          <w:b/>
          <w:sz w:val="20"/>
          <w:szCs w:val="20"/>
        </w:rPr>
        <w:t>RESERV</w:t>
      </w:r>
      <w:r w:rsidRPr="0085476B">
        <w:rPr>
          <w:b/>
          <w:sz w:val="20"/>
          <w:szCs w:val="20"/>
        </w:rPr>
        <w:t xml:space="preserve">ED / </w:t>
      </w:r>
      <w:r w:rsidRPr="0085476B">
        <w:rPr>
          <w:b/>
          <w:sz w:val="20"/>
          <w:szCs w:val="20"/>
          <w:lang w:val="fr-CA"/>
        </w:rPr>
        <w:t>E</w:t>
      </w:r>
      <w:r>
        <w:rPr>
          <w:b/>
          <w:sz w:val="20"/>
          <w:szCs w:val="20"/>
          <w:lang w:val="fr-CA"/>
        </w:rPr>
        <w:t>N DÉLIBÉRÉ</w:t>
      </w:r>
    </w:p>
    <w:p w:rsidR="007C47C2" w:rsidRDefault="007C47C2" w:rsidP="007C47C2"/>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C102AE" w:rsidTr="00BB5405">
        <w:tc>
          <w:tcPr>
            <w:tcW w:w="4380" w:type="dxa"/>
            <w:tcMar>
              <w:left w:w="0" w:type="dxa"/>
              <w:right w:w="0" w:type="dxa"/>
            </w:tcMar>
          </w:tcPr>
          <w:p w:rsidR="007C47C2" w:rsidRPr="00CC4D84" w:rsidRDefault="007C47C2" w:rsidP="00BB5405">
            <w:pPr>
              <w:widowControl w:val="0"/>
              <w:jc w:val="both"/>
              <w:rPr>
                <w:b/>
                <w:sz w:val="20"/>
                <w:szCs w:val="20"/>
                <w:u w:val="single"/>
              </w:rPr>
            </w:pPr>
            <w:r w:rsidRPr="00CC4D84">
              <w:rPr>
                <w:b/>
                <w:sz w:val="20"/>
                <w:szCs w:val="20"/>
                <w:u w:val="single"/>
              </w:rPr>
              <w:t>Nature of the case:</w:t>
            </w:r>
          </w:p>
          <w:p w:rsidR="007C47C2" w:rsidRPr="001A663B" w:rsidRDefault="007C47C2" w:rsidP="00BB5405">
            <w:pPr>
              <w:widowControl w:val="0"/>
              <w:jc w:val="both"/>
              <w:rPr>
                <w:b/>
                <w:sz w:val="20"/>
                <w:szCs w:val="20"/>
              </w:rPr>
            </w:pPr>
          </w:p>
          <w:p w:rsidR="007C47C2" w:rsidRPr="00C1697B" w:rsidRDefault="00BB5405" w:rsidP="00BB5405">
            <w:pPr>
              <w:widowControl w:val="0"/>
              <w:jc w:val="both"/>
              <w:rPr>
                <w:b/>
                <w:sz w:val="20"/>
                <w:szCs w:val="20"/>
              </w:rPr>
            </w:pPr>
            <w:r w:rsidRPr="00B95B4E">
              <w:rPr>
                <w:sz w:val="20"/>
                <w:szCs w:val="20"/>
              </w:rPr>
              <w:t xml:space="preserve">Human rights - Discrimination - Canadian pilot of Pakistani origin being denied training provided by Bombardier in Texas and Quebec after having been excluded by American authorities for security reasons that remained secret - Exclusion lifted and admission authorized four years later - Whether exclusion based automatically on foreign decision can be presumed discriminatory where there is plausible prohibited ground - Whether candidate excluded because of his ethic origin - Whether Court of Appeal erred in requiring proof of causal connection between ethnic origin and exclusion - Standard of review applicable to decision of Human Rights Tribunal - Whether prospective order within jurisdiction of Human Rights Tribunal - Whether punitive damages justified in this case - </w:t>
            </w:r>
            <w:r w:rsidRPr="00B95B4E">
              <w:rPr>
                <w:i/>
                <w:sz w:val="20"/>
                <w:szCs w:val="20"/>
              </w:rPr>
              <w:t>Charter of human rights and freedoms</w:t>
            </w:r>
            <w:r w:rsidRPr="00B95B4E">
              <w:rPr>
                <w:sz w:val="20"/>
                <w:szCs w:val="20"/>
              </w:rPr>
              <w:t xml:space="preserve">, R.S.Q., </w:t>
            </w:r>
            <w:r w:rsidRPr="00B95B4E">
              <w:rPr>
                <w:sz w:val="20"/>
                <w:szCs w:val="20"/>
              </w:rPr>
              <w:lastRenderedPageBreak/>
              <w:t>c. C-12, ss. 10, 12, 49.</w:t>
            </w:r>
          </w:p>
        </w:tc>
        <w:tc>
          <w:tcPr>
            <w:tcW w:w="720" w:type="dxa"/>
            <w:tcMar>
              <w:left w:w="0" w:type="dxa"/>
              <w:right w:w="0" w:type="dxa"/>
            </w:tcMar>
          </w:tcPr>
          <w:p w:rsidR="007C47C2" w:rsidRPr="00C1697B" w:rsidRDefault="007C47C2" w:rsidP="00BB5405">
            <w:pPr>
              <w:widowControl w:val="0"/>
              <w:jc w:val="center"/>
              <w:rPr>
                <w:sz w:val="20"/>
                <w:szCs w:val="20"/>
              </w:rPr>
            </w:pPr>
          </w:p>
        </w:tc>
        <w:tc>
          <w:tcPr>
            <w:tcW w:w="4380" w:type="dxa"/>
            <w:tcMar>
              <w:left w:w="0" w:type="dxa"/>
              <w:right w:w="0" w:type="dxa"/>
            </w:tcMar>
          </w:tcPr>
          <w:p w:rsidR="007C47C2" w:rsidRPr="00CC4D84" w:rsidRDefault="007C47C2" w:rsidP="00BB5405">
            <w:pPr>
              <w:widowControl w:val="0"/>
              <w:jc w:val="both"/>
              <w:rPr>
                <w:b/>
                <w:sz w:val="20"/>
                <w:szCs w:val="20"/>
                <w:u w:val="single"/>
                <w:lang w:val="fr-CA"/>
              </w:rPr>
            </w:pPr>
            <w:r w:rsidRPr="00CC4D84">
              <w:rPr>
                <w:b/>
                <w:sz w:val="20"/>
                <w:szCs w:val="20"/>
                <w:u w:val="single"/>
                <w:lang w:val="fr-CA"/>
              </w:rPr>
              <w:t>Nature de la cause :</w:t>
            </w:r>
          </w:p>
          <w:p w:rsidR="007C47C2" w:rsidRPr="00C1697B" w:rsidRDefault="007C47C2" w:rsidP="00BB5405">
            <w:pPr>
              <w:widowControl w:val="0"/>
              <w:jc w:val="both"/>
              <w:rPr>
                <w:sz w:val="20"/>
                <w:szCs w:val="20"/>
                <w:lang w:val="fr-CA"/>
              </w:rPr>
            </w:pPr>
          </w:p>
          <w:p w:rsidR="007C47C2" w:rsidRPr="00C1697B" w:rsidRDefault="00BB5405" w:rsidP="00BB5405">
            <w:pPr>
              <w:widowControl w:val="0"/>
              <w:jc w:val="both"/>
              <w:rPr>
                <w:sz w:val="20"/>
                <w:szCs w:val="20"/>
                <w:lang w:val="fr-CA"/>
              </w:rPr>
            </w:pPr>
            <w:r w:rsidRPr="0033597D">
              <w:rPr>
                <w:sz w:val="20"/>
                <w:szCs w:val="20"/>
                <w:lang w:val="fr-CA"/>
              </w:rPr>
              <w:t xml:space="preserve">Droits de la personne - Discrimination - Pilote canadien d’origine pakistanaise refusé à une formation dispensée par Bombardier au Texas et au Québec à la suite de son exclusion par les autorités américaines pour des raisons de sécurité restées secrètes - Exclusion levée et admission permise quatre ans plus tard - L’exclusion calquée de façon automatique sur une décision étrangère peut-elle être présumée discriminatoire en présence d’un motif prohibé plausible? - L’exclusion du candidat résultait-elle de son origine ethnique? - La Cour d’appel a-t-elle erré en exigeant une preuve de lien causal entre l’origine ethnique et l’exclusion? - Quelle norme de contrôle s’applique à une décision du Tribunal des droits de la personne? - Une ordonnance pour le futur relève-t-elle de la compétence du Tribunal des droits de la </w:t>
            </w:r>
            <w:r w:rsidRPr="0033597D">
              <w:rPr>
                <w:sz w:val="20"/>
                <w:szCs w:val="20"/>
                <w:lang w:val="fr-CA"/>
              </w:rPr>
              <w:lastRenderedPageBreak/>
              <w:t xml:space="preserve">personne? - Des dommages-intérêts punitifs étaient-ils justifiés dans ce cas? - </w:t>
            </w:r>
            <w:r w:rsidRPr="0033597D">
              <w:rPr>
                <w:i/>
                <w:sz w:val="20"/>
                <w:szCs w:val="20"/>
                <w:lang w:val="fr-CA"/>
              </w:rPr>
              <w:t>Charte des droits et libertés de la personne</w:t>
            </w:r>
            <w:r w:rsidRPr="0033597D">
              <w:rPr>
                <w:sz w:val="20"/>
                <w:szCs w:val="20"/>
                <w:lang w:val="fr-CA"/>
              </w:rPr>
              <w:t>, L.R.Q. ch. C-12, art. 10, 12, 49.</w:t>
            </w:r>
          </w:p>
        </w:tc>
      </w:tr>
    </w:tbl>
    <w:p w:rsidR="007C47C2" w:rsidRDefault="007C47C2" w:rsidP="007C47C2">
      <w:pPr>
        <w:widowControl w:val="0"/>
        <w:rPr>
          <w:sz w:val="20"/>
          <w:szCs w:val="20"/>
          <w:lang w:val="fr-CA"/>
        </w:rPr>
      </w:pPr>
    </w:p>
    <w:p w:rsidR="002A27D1" w:rsidRDefault="00E42AAB" w:rsidP="002A27D1">
      <w:pPr>
        <w:widowControl w:val="0"/>
        <w:rPr>
          <w:sz w:val="20"/>
          <w:szCs w:val="20"/>
        </w:rPr>
      </w:pPr>
      <w:r>
        <w:rPr>
          <w:sz w:val="20"/>
          <w:szCs w:val="20"/>
          <w:lang w:val="fr-CA"/>
        </w:rPr>
        <w:pict>
          <v:rect id="_x0000_i1109" style="width:2in;height:1pt" o:hrpct="0" o:hralign="center" o:hrstd="t" o:hrnoshade="t" o:hr="t" fillcolor="black [3213]" stroked="f"/>
        </w:pict>
      </w:r>
    </w:p>
    <w:p w:rsidR="002A27D1" w:rsidRDefault="002A27D1" w:rsidP="002A27D1">
      <w:pPr>
        <w:widowControl w:val="0"/>
        <w:rPr>
          <w:sz w:val="20"/>
          <w:szCs w:val="20"/>
        </w:rPr>
      </w:pP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131"/>
          <w:headerReference w:type="default" r:id="rId132"/>
          <w:footerReference w:type="even" r:id="rId133"/>
          <w:footerReference w:type="default" r:id="rId134"/>
          <w:headerReference w:type="first" r:id="rId135"/>
          <w:footerReference w:type="first" r:id="rId136"/>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25502E"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52229C" w:rsidRPr="00CF7A89" w:rsidRDefault="0052229C" w:rsidP="0052229C">
      <w:pPr>
        <w:rPr>
          <w:b/>
          <w:sz w:val="20"/>
          <w:szCs w:val="20"/>
        </w:rPr>
      </w:pPr>
      <w:r w:rsidRPr="00CF7A89">
        <w:rPr>
          <w:b/>
          <w:sz w:val="20"/>
          <w:szCs w:val="20"/>
        </w:rPr>
        <w:t xml:space="preserve">JANUARY </w:t>
      </w:r>
      <w:r w:rsidR="00DC4FAB" w:rsidRPr="00CF7A89">
        <w:rPr>
          <w:b/>
          <w:sz w:val="20"/>
          <w:szCs w:val="20"/>
        </w:rPr>
        <w:t>30</w:t>
      </w:r>
      <w:r w:rsidRPr="00CF7A89">
        <w:rPr>
          <w:b/>
          <w:sz w:val="20"/>
          <w:szCs w:val="20"/>
        </w:rPr>
        <w:t>, 201</w:t>
      </w:r>
      <w:r w:rsidR="00DC4FAB" w:rsidRPr="00CF7A89">
        <w:rPr>
          <w:b/>
          <w:sz w:val="20"/>
          <w:szCs w:val="20"/>
        </w:rPr>
        <w:t>5</w:t>
      </w:r>
      <w:r w:rsidRPr="00CF7A89">
        <w:rPr>
          <w:b/>
          <w:sz w:val="20"/>
          <w:szCs w:val="20"/>
        </w:rPr>
        <w:t xml:space="preserve"> / LE </w:t>
      </w:r>
      <w:r w:rsidR="00DC4FAB" w:rsidRPr="00CF7A89">
        <w:rPr>
          <w:b/>
          <w:sz w:val="20"/>
          <w:szCs w:val="20"/>
        </w:rPr>
        <w:t>30</w:t>
      </w:r>
      <w:r w:rsidRPr="00CF7A89">
        <w:rPr>
          <w:b/>
          <w:sz w:val="20"/>
          <w:szCs w:val="20"/>
        </w:rPr>
        <w:t xml:space="preserve"> JANVIER 201</w:t>
      </w:r>
      <w:r w:rsidR="00DC4FAB" w:rsidRPr="00CF7A89">
        <w:rPr>
          <w:b/>
          <w:sz w:val="20"/>
          <w:szCs w:val="20"/>
        </w:rPr>
        <w:t>5</w:t>
      </w:r>
    </w:p>
    <w:p w:rsidR="0052229C" w:rsidRPr="00CF7A89" w:rsidRDefault="0052229C" w:rsidP="0052229C">
      <w:pPr>
        <w:rPr>
          <w:sz w:val="20"/>
          <w:szCs w:val="20"/>
        </w:rPr>
      </w:pPr>
    </w:p>
    <w:p w:rsidR="003E3BCD" w:rsidRPr="007057E0" w:rsidRDefault="006F7944" w:rsidP="003E3BCD">
      <w:pPr>
        <w:ind w:left="1440" w:hanging="1440"/>
        <w:jc w:val="both"/>
        <w:rPr>
          <w:sz w:val="20"/>
          <w:szCs w:val="20"/>
        </w:rPr>
      </w:pPr>
      <w:r w:rsidRPr="007057E0">
        <w:rPr>
          <w:b/>
          <w:sz w:val="20"/>
          <w:szCs w:val="20"/>
        </w:rPr>
        <w:fldChar w:fldCharType="begin"/>
      </w:r>
      <w:r w:rsidR="003E3BCD" w:rsidRPr="007057E0">
        <w:rPr>
          <w:b/>
          <w:sz w:val="20"/>
          <w:szCs w:val="20"/>
        </w:rPr>
        <w:instrText xml:space="preserve"> SEQ CHAPTER \h \r 1</w:instrText>
      </w:r>
      <w:r w:rsidRPr="007057E0">
        <w:rPr>
          <w:b/>
          <w:sz w:val="20"/>
          <w:szCs w:val="20"/>
        </w:rPr>
        <w:fldChar w:fldCharType="end"/>
      </w:r>
      <w:r w:rsidR="003E3BCD" w:rsidRPr="007057E0">
        <w:rPr>
          <w:b/>
          <w:sz w:val="20"/>
          <w:szCs w:val="20"/>
        </w:rPr>
        <w:t>34948</w:t>
      </w:r>
      <w:r w:rsidR="003E3BCD" w:rsidRPr="007057E0">
        <w:rPr>
          <w:sz w:val="20"/>
          <w:szCs w:val="20"/>
        </w:rPr>
        <w:tab/>
      </w:r>
      <w:r w:rsidR="003E3BCD" w:rsidRPr="007057E0">
        <w:rPr>
          <w:b/>
          <w:sz w:val="20"/>
          <w:szCs w:val="20"/>
          <w:u w:val="single"/>
        </w:rPr>
        <w:t>Saskatchewan Federation of Labour (in its own right and on behalf of the unions and workers in the Province of Saskatchewan), Amalgamated Transit Union, Local 588, Canadian Office and Professional Employees’ Union, Local 397, Canadian Union of Public Employees, Locals 7 and 4828, Communications, Energy and Paperworkers’ Union of Canada and its Locals, Health Sciences Association of Saskatchewan, International Alliance of Theatrical Stage Employees, Moving Picture Technicians, Artists and Allied Crafts of U.S., its Territories and Canada, Locals 295, 300 and 669, International Brotherhood of Electrical Workers, Locals 529, 2038 and 2067, Saskatchewan Government and General Employees’ Union, Saskatchewan Joint Board Retail, Wholesale and Department Store Union, Saskatchewan Provincial Building &amp; Construction Trades Council, Teamsters, Local 395, United Mine Workers of America, Local 7606, United Steel, Paper and Forestry, Rubber, Manufacturing, Energy, Allied Industrial and Service Workers International Union and its Locals and University of Regina Faculty Association v. Her Majesty The Queen in Right of the Province of Saskatchewan – and – Attorney General of Canada, Attorney General of Ontario, Attorney General of Quebec, Attorney General of British Columbia, Attorney General of Alberta, Attorney General of Newfoundland and Labrador, Saskatchewan Union of Nurses, SEIU-West, United Nurses of Alberta, Alberta Federation of Labour, Professional Institute of the Public Service of Canada, Canadian Constitution Foundation, Air Canada Pilots’ Association, British Columbia Civil Liberties Association, Conseil du patronat du Québec, Canadian Employers Council, Canadian Union of Postal Workers, International Association of Machinists and Aerospace Workers, British Columbia Teachers’ Federation, Hospital Employees’ Union, Canadian Labour Congress, Public Service Alliance of Canada, Alberta Union of Provincial Employees, Confédération des syndicats nationaux, Regina Qu’Appelle Regional Health Authority, Cypress Regional Health Authority, Five Hills Regional Health Authority, Heartland Regional Health Authority, Sunrise Regional Health Authority, Prince Albert Parkland Regional Health Authority, Saskatoon Regional Health Authority, National Union of Public and General Employees, Canada Post Corporation and Air Canada</w:t>
      </w:r>
      <w:r w:rsidR="003E3BCD" w:rsidRPr="007057E0">
        <w:rPr>
          <w:b/>
          <w:sz w:val="20"/>
          <w:szCs w:val="20"/>
        </w:rPr>
        <w:t xml:space="preserve"> </w:t>
      </w:r>
      <w:r w:rsidR="003E3BCD" w:rsidRPr="007057E0">
        <w:rPr>
          <w:iCs/>
          <w:sz w:val="20"/>
          <w:szCs w:val="20"/>
        </w:rPr>
        <w:t>(Sask.)</w:t>
      </w:r>
    </w:p>
    <w:p w:rsidR="003E3BCD" w:rsidRPr="003E3BCD" w:rsidRDefault="003E3BCD" w:rsidP="003E3BCD">
      <w:pPr>
        <w:tabs>
          <w:tab w:val="left" w:pos="1440"/>
          <w:tab w:val="left" w:pos="2160"/>
          <w:tab w:val="left" w:pos="2880"/>
          <w:tab w:val="left" w:pos="3600"/>
          <w:tab w:val="left" w:pos="4320"/>
          <w:tab w:val="left" w:pos="5040"/>
          <w:tab w:val="left" w:pos="5760"/>
          <w:tab w:val="left" w:pos="6480"/>
          <w:tab w:val="left" w:pos="7200"/>
        </w:tabs>
        <w:ind w:left="1440"/>
        <w:jc w:val="both"/>
        <w:rPr>
          <w:b/>
          <w:sz w:val="20"/>
          <w:szCs w:val="20"/>
        </w:rPr>
      </w:pPr>
      <w:r w:rsidRPr="003E3BCD">
        <w:rPr>
          <w:b/>
          <w:sz w:val="20"/>
          <w:szCs w:val="20"/>
        </w:rPr>
        <w:t>2015 SCC 4 / 2015 CSC 4</w:t>
      </w:r>
    </w:p>
    <w:p w:rsidR="003E3BCD" w:rsidRPr="003E3BCD" w:rsidRDefault="003E3BCD" w:rsidP="003E3BCD">
      <w:pPr>
        <w:ind w:left="1440" w:hanging="1440"/>
        <w:rPr>
          <w:sz w:val="20"/>
          <w:szCs w:val="20"/>
        </w:rPr>
      </w:pPr>
    </w:p>
    <w:p w:rsidR="003E3BCD" w:rsidRPr="007057E0" w:rsidRDefault="003E3BCD" w:rsidP="003E3BCD">
      <w:pPr>
        <w:ind w:left="1440" w:hanging="1440"/>
        <w:rPr>
          <w:sz w:val="20"/>
          <w:szCs w:val="20"/>
          <w:u w:val="single"/>
        </w:rPr>
      </w:pPr>
      <w:r w:rsidRPr="007057E0">
        <w:rPr>
          <w:sz w:val="20"/>
          <w:szCs w:val="20"/>
        </w:rPr>
        <w:t>Coram:</w:t>
      </w:r>
      <w:r w:rsidRPr="007057E0">
        <w:rPr>
          <w:sz w:val="20"/>
          <w:szCs w:val="20"/>
        </w:rPr>
        <w:tab/>
      </w:r>
      <w:r w:rsidRPr="007057E0">
        <w:rPr>
          <w:sz w:val="20"/>
          <w:szCs w:val="20"/>
          <w:u w:val="single"/>
        </w:rPr>
        <w:t>McLachlin C.J. and LeBel, Abella, Rothstein, Cromwell, Karakatsanis and Wagner JJ.</w:t>
      </w:r>
    </w:p>
    <w:p w:rsidR="003E3BCD" w:rsidRPr="007057E0" w:rsidRDefault="003E3BCD" w:rsidP="003E3BCD">
      <w:pPr>
        <w:ind w:left="1440" w:hanging="1440"/>
        <w:jc w:val="both"/>
        <w:rPr>
          <w:sz w:val="20"/>
          <w:szCs w:val="20"/>
          <w:u w:val="single"/>
        </w:rPr>
      </w:pPr>
    </w:p>
    <w:p w:rsidR="003E3BCD" w:rsidRPr="007057E0" w:rsidRDefault="003E3BCD" w:rsidP="003E3BCD">
      <w:pPr>
        <w:jc w:val="both"/>
        <w:rPr>
          <w:rFonts w:eastAsia="Calibri"/>
          <w:sz w:val="20"/>
          <w:szCs w:val="20"/>
          <w:lang w:val="fr-CA"/>
        </w:rPr>
      </w:pPr>
      <w:r w:rsidRPr="007057E0">
        <w:rPr>
          <w:rFonts w:eastAsia="Calibri"/>
          <w:sz w:val="20"/>
          <w:szCs w:val="20"/>
        </w:rPr>
        <w:t xml:space="preserve">The appeal from the judgment </w:t>
      </w:r>
      <w:bookmarkStart w:id="5" w:name="BM_1_"/>
      <w:bookmarkEnd w:id="5"/>
      <w:r w:rsidRPr="007057E0">
        <w:rPr>
          <w:rFonts w:eastAsia="Calibri"/>
          <w:sz w:val="20"/>
          <w:szCs w:val="20"/>
        </w:rPr>
        <w:t xml:space="preserve">of the Court of Appeal for Saskatchewan, Number CACV2242, 2013 SKCA 43, dated April 26, 2013, heard on May 16, 2014, with respect to </w:t>
      </w:r>
      <w:r w:rsidRPr="007057E0">
        <w:rPr>
          <w:rFonts w:eastAsia="Calibri"/>
          <w:i/>
          <w:sz w:val="20"/>
          <w:szCs w:val="20"/>
        </w:rPr>
        <w:t>The</w:t>
      </w:r>
      <w:r w:rsidRPr="007057E0">
        <w:rPr>
          <w:rFonts w:eastAsia="Calibri"/>
          <w:sz w:val="20"/>
          <w:szCs w:val="20"/>
        </w:rPr>
        <w:t xml:space="preserve"> </w:t>
      </w:r>
      <w:r w:rsidRPr="007057E0">
        <w:rPr>
          <w:rFonts w:eastAsia="Calibri"/>
          <w:i/>
          <w:sz w:val="20"/>
          <w:szCs w:val="20"/>
        </w:rPr>
        <w:t>Public Service Essential Services Act</w:t>
      </w:r>
      <w:r w:rsidRPr="007057E0">
        <w:rPr>
          <w:rFonts w:eastAsia="Calibri"/>
          <w:sz w:val="20"/>
          <w:szCs w:val="20"/>
        </w:rPr>
        <w:t xml:space="preserve">, S.S. 2008, c. P-42.2, is allowed with costs throughout. </w:t>
      </w:r>
      <w:r w:rsidRPr="007057E0">
        <w:rPr>
          <w:rFonts w:eastAsia="Calibri"/>
          <w:i/>
          <w:sz w:val="20"/>
          <w:szCs w:val="20"/>
        </w:rPr>
        <w:t>The Public Service Essential Services Act</w:t>
      </w:r>
      <w:r w:rsidRPr="007057E0">
        <w:rPr>
          <w:rFonts w:eastAsia="Calibri"/>
          <w:sz w:val="20"/>
          <w:szCs w:val="20"/>
        </w:rPr>
        <w:t xml:space="preserve"> is unconstitutional. The declaration of invalidity is suspended for one year. The appeal with respect to </w:t>
      </w:r>
      <w:r w:rsidRPr="007057E0">
        <w:rPr>
          <w:rFonts w:eastAsia="Calibri"/>
          <w:i/>
          <w:sz w:val="20"/>
          <w:szCs w:val="20"/>
        </w:rPr>
        <w:t>The Trade Union Amendment Act, 2008</w:t>
      </w:r>
      <w:r w:rsidRPr="007057E0">
        <w:rPr>
          <w:rFonts w:eastAsia="Calibri"/>
          <w:sz w:val="20"/>
          <w:szCs w:val="20"/>
        </w:rPr>
        <w:t xml:space="preserve">, S.S. 2008, c. 26, is dismissed without costs.  </w:t>
      </w:r>
      <w:r w:rsidRPr="007057E0">
        <w:rPr>
          <w:rFonts w:eastAsia="Calibri"/>
          <w:sz w:val="20"/>
          <w:szCs w:val="20"/>
          <w:lang w:val="fr-CA"/>
        </w:rPr>
        <w:t>Rothstein and Wagner JJ. are dissenting in part.</w:t>
      </w:r>
    </w:p>
    <w:p w:rsidR="003E3BCD" w:rsidRPr="007057E0" w:rsidRDefault="003E3BCD" w:rsidP="003E3BCD">
      <w:pPr>
        <w:jc w:val="both"/>
        <w:rPr>
          <w:rFonts w:eastAsia="Calibri"/>
          <w:sz w:val="20"/>
          <w:szCs w:val="20"/>
          <w:lang w:val="fr-CA"/>
        </w:rPr>
      </w:pPr>
    </w:p>
    <w:p w:rsidR="003E3BCD" w:rsidRPr="007057E0" w:rsidRDefault="003E3BCD" w:rsidP="003E3BCD">
      <w:pPr>
        <w:jc w:val="both"/>
        <w:rPr>
          <w:rFonts w:eastAsia="Calibri"/>
          <w:sz w:val="20"/>
          <w:szCs w:val="20"/>
          <w:lang w:val="fr-CA"/>
        </w:rPr>
      </w:pPr>
      <w:r w:rsidRPr="007057E0">
        <w:rPr>
          <w:rFonts w:eastAsia="Calibri"/>
          <w:sz w:val="20"/>
          <w:szCs w:val="20"/>
          <w:lang w:val="fr-CA"/>
        </w:rPr>
        <w:t xml:space="preserve">L’appel interjeté contre l’arrêt de la Cour d’appel de la Saskatchewan, numéro CACV2242, 2013 SKCA 43, en date du 26 avril 2013, entendu le 16 mai 2014, concernant </w:t>
      </w:r>
      <w:r w:rsidRPr="007057E0">
        <w:rPr>
          <w:rFonts w:eastAsia="Calibri"/>
          <w:i/>
          <w:sz w:val="20"/>
          <w:szCs w:val="20"/>
          <w:lang w:val="fr-CA"/>
        </w:rPr>
        <w:t>The Public Service Essential Services Act</w:t>
      </w:r>
      <w:r w:rsidRPr="007057E0">
        <w:rPr>
          <w:rFonts w:eastAsia="Calibri"/>
          <w:sz w:val="20"/>
          <w:szCs w:val="20"/>
          <w:lang w:val="fr-CA"/>
        </w:rPr>
        <w:t xml:space="preserve">, S.S. 2008, ch. P-42.2, est accueilli avec dépens devant toutes les cours. </w:t>
      </w:r>
      <w:r w:rsidRPr="007057E0">
        <w:rPr>
          <w:rFonts w:eastAsia="Calibri"/>
          <w:i/>
          <w:sz w:val="20"/>
          <w:szCs w:val="20"/>
          <w:lang w:val="fr-CA"/>
        </w:rPr>
        <w:t>The Public Service Essential Services Act</w:t>
      </w:r>
      <w:r w:rsidRPr="007057E0">
        <w:rPr>
          <w:rFonts w:eastAsia="Calibri"/>
          <w:sz w:val="20"/>
          <w:szCs w:val="20"/>
          <w:lang w:val="fr-CA"/>
        </w:rPr>
        <w:t xml:space="preserve"> est inconstitutionnelle. L’effet de la déclaration d’invalidité est suspendu pendant un an. L’appel visant </w:t>
      </w:r>
      <w:r w:rsidRPr="007057E0">
        <w:rPr>
          <w:rFonts w:eastAsia="Calibri"/>
          <w:i/>
          <w:sz w:val="20"/>
          <w:szCs w:val="20"/>
          <w:lang w:val="fr-CA"/>
        </w:rPr>
        <w:t>The Trade Union Amendment Act, 2008</w:t>
      </w:r>
      <w:r w:rsidRPr="007057E0">
        <w:rPr>
          <w:rFonts w:eastAsia="Calibri"/>
          <w:sz w:val="20"/>
          <w:szCs w:val="20"/>
          <w:lang w:val="fr-CA"/>
        </w:rPr>
        <w:t>, S.S. 2008, ch. 26, est rejeté sans dépens. Les juges Rothstein et Wagner sont dissidents en partie.</w:t>
      </w:r>
    </w:p>
    <w:p w:rsidR="0052229C" w:rsidRDefault="0052229C" w:rsidP="0052229C">
      <w:pPr>
        <w:rPr>
          <w:sz w:val="20"/>
          <w:szCs w:val="20"/>
        </w:rPr>
      </w:pPr>
    </w:p>
    <w:p w:rsidR="0052229C" w:rsidRPr="003B3977" w:rsidRDefault="00E42AAB" w:rsidP="0052229C">
      <w:pPr>
        <w:spacing w:line="0" w:lineRule="atLeast"/>
        <w:rPr>
          <w:sz w:val="20"/>
          <w:szCs w:val="20"/>
        </w:rPr>
      </w:pPr>
      <w:r>
        <w:rPr>
          <w:b/>
          <w:sz w:val="20"/>
          <w:szCs w:val="20"/>
        </w:rPr>
        <w:pict>
          <v:rect id="_x0000_i1112" style="width:144.3pt;height:1pt" o:hrpct="300" o:hralign="center" o:hrstd="t" o:hrnoshade="t" o:hr="t" fillcolor="black [3213]" stroked="f"/>
        </w:pict>
      </w:r>
    </w:p>
    <w:p w:rsidR="0052229C" w:rsidRPr="003B3977" w:rsidRDefault="0052229C" w:rsidP="0052229C">
      <w:pPr>
        <w:spacing w:line="0" w:lineRule="atLeast"/>
        <w:rPr>
          <w:sz w:val="20"/>
          <w:szCs w:val="20"/>
        </w:rPr>
      </w:pP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137"/>
          <w:headerReference w:type="default" r:id="rId138"/>
          <w:footerReference w:type="even" r:id="rId139"/>
          <w:footerReference w:type="default" r:id="rId140"/>
          <w:headerReference w:type="first" r:id="rId141"/>
          <w:footerReference w:type="first" r:id="rId142"/>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D2072D" w:rsidRPr="00954801" w:rsidRDefault="00D2072D" w:rsidP="00D2072D">
      <w:pPr>
        <w:tabs>
          <w:tab w:val="left" w:pos="993"/>
        </w:tabs>
        <w:rPr>
          <w:sz w:val="20"/>
          <w:szCs w:val="20"/>
        </w:rPr>
      </w:pPr>
      <w:r w:rsidRPr="00954801">
        <w:rPr>
          <w:i/>
          <w:sz w:val="20"/>
          <w:szCs w:val="20"/>
        </w:rPr>
        <w:t xml:space="preserve">Saskatchewan Federation of Labour (in its own right and on behalf of the unions and workers in the Province of Saskatchewan) et al. v. Her Majesty the Queen, in Right of the Province of Saskatchewan </w:t>
      </w:r>
      <w:r w:rsidRPr="00954801">
        <w:rPr>
          <w:sz w:val="20"/>
          <w:szCs w:val="20"/>
        </w:rPr>
        <w:t>(Sask.) (</w:t>
      </w:r>
      <w:hyperlink r:id="rId143" w:history="1">
        <w:r w:rsidRPr="00954801">
          <w:rPr>
            <w:rStyle w:val="Hyperlink"/>
            <w:sz w:val="20"/>
            <w:szCs w:val="20"/>
          </w:rPr>
          <w:t>35423</w:t>
        </w:r>
      </w:hyperlink>
      <w:r w:rsidRPr="00954801">
        <w:rPr>
          <w:sz w:val="20"/>
          <w:szCs w:val="20"/>
        </w:rPr>
        <w:t>)</w:t>
      </w:r>
    </w:p>
    <w:p w:rsidR="000A5B95" w:rsidRPr="00A36BEC" w:rsidRDefault="000A5B95" w:rsidP="000A5B95">
      <w:pPr>
        <w:jc w:val="both"/>
        <w:rPr>
          <w:b/>
          <w:sz w:val="20"/>
          <w:szCs w:val="20"/>
        </w:rPr>
      </w:pPr>
      <w:r w:rsidRPr="00A36BEC">
        <w:rPr>
          <w:b/>
          <w:sz w:val="20"/>
          <w:szCs w:val="20"/>
        </w:rPr>
        <w:t xml:space="preserve">Indexed as:  Saskatchewan Federation of Labour </w:t>
      </w:r>
      <w:r w:rsidRPr="00A36BEC">
        <w:rPr>
          <w:b/>
          <w:i/>
          <w:sz w:val="20"/>
          <w:szCs w:val="20"/>
        </w:rPr>
        <w:t>v.</w:t>
      </w:r>
      <w:r w:rsidRPr="00A36BEC">
        <w:rPr>
          <w:b/>
          <w:sz w:val="20"/>
          <w:szCs w:val="20"/>
        </w:rPr>
        <w:t xml:space="preserve"> Saskatchewan</w:t>
      </w:r>
      <w:r>
        <w:rPr>
          <w:b/>
          <w:sz w:val="20"/>
          <w:szCs w:val="20"/>
        </w:rPr>
        <w:t xml:space="preserve"> / </w:t>
      </w:r>
    </w:p>
    <w:p w:rsidR="000A5B95" w:rsidRPr="00360B33" w:rsidRDefault="000A5B95" w:rsidP="000A5B95">
      <w:pPr>
        <w:jc w:val="both"/>
        <w:rPr>
          <w:b/>
          <w:sz w:val="20"/>
          <w:szCs w:val="20"/>
          <w:lang w:val="en-US"/>
        </w:rPr>
      </w:pPr>
      <w:r w:rsidRPr="00360B33">
        <w:rPr>
          <w:b/>
          <w:sz w:val="20"/>
          <w:szCs w:val="20"/>
          <w:lang w:val="en-US"/>
        </w:rPr>
        <w:t>Répertorié : </w:t>
      </w:r>
      <w:r w:rsidRPr="00360B33">
        <w:rPr>
          <w:b/>
          <w:sz w:val="20"/>
          <w:szCs w:val="20"/>
        </w:rPr>
        <w:t>Saskatchewan Federation of Labour</w:t>
      </w:r>
      <w:r w:rsidRPr="00360B33">
        <w:rPr>
          <w:b/>
          <w:sz w:val="20"/>
          <w:szCs w:val="20"/>
          <w:lang w:val="en-US"/>
        </w:rPr>
        <w:t xml:space="preserve"> </w:t>
      </w:r>
      <w:r w:rsidRPr="00360B33">
        <w:rPr>
          <w:b/>
          <w:i/>
          <w:sz w:val="20"/>
          <w:szCs w:val="20"/>
          <w:lang w:val="en-US"/>
        </w:rPr>
        <w:t>c.</w:t>
      </w:r>
      <w:r w:rsidRPr="00360B33">
        <w:rPr>
          <w:b/>
          <w:sz w:val="20"/>
          <w:szCs w:val="20"/>
          <w:lang w:val="en-US"/>
        </w:rPr>
        <w:t xml:space="preserve"> Saskatchewan</w:t>
      </w:r>
    </w:p>
    <w:p w:rsidR="0052229C" w:rsidRPr="000A5B95" w:rsidRDefault="0052229C" w:rsidP="0052229C">
      <w:pPr>
        <w:pStyle w:val="SCCSystemYear"/>
        <w:jc w:val="both"/>
        <w:rPr>
          <w:sz w:val="20"/>
        </w:rPr>
      </w:pPr>
      <w:r w:rsidRPr="000A5B95">
        <w:rPr>
          <w:sz w:val="20"/>
        </w:rPr>
        <w:t>Neutral citation:  201</w:t>
      </w:r>
      <w:r w:rsidR="00020DC3" w:rsidRPr="000A5B95">
        <w:rPr>
          <w:sz w:val="20"/>
        </w:rPr>
        <w:t>5</w:t>
      </w:r>
      <w:r w:rsidRPr="000A5B95">
        <w:rPr>
          <w:sz w:val="20"/>
        </w:rPr>
        <w:t xml:space="preserve"> SCC </w:t>
      </w:r>
      <w:r w:rsidR="00D2072D" w:rsidRPr="000A5B95">
        <w:rPr>
          <w:sz w:val="20"/>
        </w:rPr>
        <w:t>4</w:t>
      </w:r>
      <w:r w:rsidRPr="000A5B95">
        <w:rPr>
          <w:sz w:val="20"/>
        </w:rPr>
        <w:t xml:space="preserve"> / Référence neutre : 201</w:t>
      </w:r>
      <w:r w:rsidR="00020DC3" w:rsidRPr="000A5B95">
        <w:rPr>
          <w:sz w:val="20"/>
        </w:rPr>
        <w:t>5</w:t>
      </w:r>
      <w:r w:rsidRPr="000A5B95">
        <w:rPr>
          <w:sz w:val="20"/>
        </w:rPr>
        <w:t xml:space="preserve"> CSC </w:t>
      </w:r>
      <w:r w:rsidR="00D2072D" w:rsidRPr="000A5B95">
        <w:rPr>
          <w:sz w:val="20"/>
        </w:rPr>
        <w:t>4</w:t>
      </w:r>
    </w:p>
    <w:p w:rsidR="0052229C" w:rsidRPr="00FA3373" w:rsidRDefault="0052229C" w:rsidP="0052229C">
      <w:pPr>
        <w:rPr>
          <w:rFonts w:cs="Times New Roman"/>
          <w:sz w:val="20"/>
          <w:szCs w:val="20"/>
        </w:rPr>
      </w:pPr>
      <w:r w:rsidRPr="00FA3373">
        <w:rPr>
          <w:rFonts w:cs="Times New Roman"/>
          <w:sz w:val="20"/>
          <w:szCs w:val="20"/>
        </w:rPr>
        <w:t xml:space="preserve">Hearing:  </w:t>
      </w:r>
      <w:r w:rsidR="000A5B95">
        <w:rPr>
          <w:rFonts w:cs="Times New Roman"/>
          <w:sz w:val="20"/>
          <w:szCs w:val="20"/>
        </w:rPr>
        <w:t>May 16</w:t>
      </w:r>
      <w:r w:rsidRPr="00FA3373">
        <w:rPr>
          <w:rFonts w:cs="Times New Roman"/>
          <w:sz w:val="20"/>
          <w:szCs w:val="20"/>
        </w:rPr>
        <w:t>, 201</w:t>
      </w:r>
      <w:r w:rsidR="000A5B95">
        <w:rPr>
          <w:rFonts w:cs="Times New Roman"/>
          <w:sz w:val="20"/>
          <w:szCs w:val="20"/>
        </w:rPr>
        <w:t>5</w:t>
      </w:r>
      <w:r w:rsidRPr="00FA3373">
        <w:rPr>
          <w:rFonts w:cs="Times New Roman"/>
          <w:sz w:val="20"/>
          <w:szCs w:val="20"/>
        </w:rPr>
        <w:t xml:space="preserve"> / Judgment:  January </w:t>
      </w:r>
      <w:r w:rsidR="00D2072D">
        <w:rPr>
          <w:rFonts w:cs="Times New Roman"/>
          <w:sz w:val="20"/>
          <w:szCs w:val="20"/>
        </w:rPr>
        <w:t>30</w:t>
      </w:r>
      <w:r w:rsidRPr="00FA3373">
        <w:rPr>
          <w:rFonts w:cs="Times New Roman"/>
          <w:sz w:val="20"/>
          <w:szCs w:val="20"/>
        </w:rPr>
        <w:t>, 201</w:t>
      </w:r>
      <w:r w:rsidR="00020DC3" w:rsidRPr="00FA3373">
        <w:rPr>
          <w:rFonts w:cs="Times New Roman"/>
          <w:sz w:val="20"/>
          <w:szCs w:val="20"/>
        </w:rPr>
        <w:t>5</w:t>
      </w:r>
    </w:p>
    <w:p w:rsidR="0052229C" w:rsidRPr="003B3977" w:rsidRDefault="0052229C" w:rsidP="0052229C">
      <w:pPr>
        <w:rPr>
          <w:rFonts w:cs="Times New Roman"/>
          <w:sz w:val="20"/>
          <w:szCs w:val="20"/>
          <w:lang w:val="fr-CA"/>
        </w:rPr>
      </w:pPr>
      <w:r w:rsidRPr="003B3977">
        <w:rPr>
          <w:rFonts w:cs="Times New Roman"/>
          <w:sz w:val="20"/>
          <w:szCs w:val="20"/>
          <w:lang w:val="fr-CA"/>
        </w:rPr>
        <w:t xml:space="preserve">Audition : Le </w:t>
      </w:r>
      <w:r w:rsidR="000A5B95">
        <w:rPr>
          <w:rFonts w:cs="Times New Roman"/>
          <w:sz w:val="20"/>
          <w:szCs w:val="20"/>
          <w:lang w:val="fr-CA"/>
        </w:rPr>
        <w:t>16 m</w:t>
      </w:r>
      <w:r>
        <w:rPr>
          <w:rFonts w:cs="Times New Roman"/>
          <w:sz w:val="20"/>
          <w:szCs w:val="20"/>
          <w:lang w:val="fr-CA"/>
        </w:rPr>
        <w:t>ai</w:t>
      </w:r>
      <w:r w:rsidRPr="003B3977">
        <w:rPr>
          <w:rFonts w:cs="Times New Roman"/>
          <w:sz w:val="20"/>
          <w:szCs w:val="20"/>
          <w:lang w:val="fr-CA"/>
        </w:rPr>
        <w:t xml:space="preserve"> 201</w:t>
      </w:r>
      <w:r w:rsidR="000A5B95">
        <w:rPr>
          <w:rFonts w:cs="Times New Roman"/>
          <w:sz w:val="20"/>
          <w:szCs w:val="20"/>
          <w:lang w:val="fr-CA"/>
        </w:rPr>
        <w:t>5</w:t>
      </w:r>
      <w:r w:rsidRPr="003B3977">
        <w:rPr>
          <w:rFonts w:cs="Times New Roman"/>
          <w:sz w:val="20"/>
          <w:szCs w:val="20"/>
          <w:lang w:val="fr-CA"/>
        </w:rPr>
        <w:t xml:space="preserve"> / Jugement : Le </w:t>
      </w:r>
      <w:r w:rsidR="00D2072D">
        <w:rPr>
          <w:rFonts w:cs="Times New Roman"/>
          <w:sz w:val="20"/>
          <w:szCs w:val="20"/>
          <w:lang w:val="fr-CA"/>
        </w:rPr>
        <w:t>30</w:t>
      </w:r>
      <w:r>
        <w:rPr>
          <w:rFonts w:cs="Times New Roman"/>
          <w:sz w:val="20"/>
          <w:szCs w:val="20"/>
          <w:lang w:val="fr-CA"/>
        </w:rPr>
        <w:t xml:space="preserve"> janvi</w:t>
      </w:r>
      <w:r w:rsidRPr="003B3977">
        <w:rPr>
          <w:rFonts w:cs="Times New Roman"/>
          <w:sz w:val="20"/>
          <w:szCs w:val="20"/>
          <w:lang w:val="fr-CA"/>
        </w:rPr>
        <w:t>e</w:t>
      </w:r>
      <w:r>
        <w:rPr>
          <w:rFonts w:cs="Times New Roman"/>
          <w:sz w:val="20"/>
          <w:szCs w:val="20"/>
          <w:lang w:val="fr-CA"/>
        </w:rPr>
        <w:t>r</w:t>
      </w:r>
      <w:r w:rsidRPr="003B3977">
        <w:rPr>
          <w:rFonts w:cs="Times New Roman"/>
          <w:sz w:val="20"/>
          <w:szCs w:val="20"/>
          <w:lang w:val="fr-CA"/>
        </w:rPr>
        <w:t xml:space="preserve"> 201</w:t>
      </w:r>
      <w:r w:rsidR="00020DC3">
        <w:rPr>
          <w:rFonts w:cs="Times New Roman"/>
          <w:sz w:val="20"/>
          <w:szCs w:val="20"/>
          <w:lang w:val="fr-CA"/>
        </w:rPr>
        <w:t>5</w:t>
      </w:r>
    </w:p>
    <w:p w:rsidR="005C6840" w:rsidRPr="003B3977" w:rsidRDefault="00E42AAB" w:rsidP="005C6840">
      <w:pPr>
        <w:rPr>
          <w:rFonts w:cs="Times New Roman"/>
          <w:sz w:val="20"/>
          <w:szCs w:val="20"/>
          <w:lang w:val="fr-CA"/>
        </w:rPr>
      </w:pPr>
      <w:r>
        <w:rPr>
          <w:rFonts w:cs="Times New Roman"/>
          <w:i/>
          <w:sz w:val="20"/>
          <w:szCs w:val="20"/>
        </w:rPr>
        <w:pict>
          <v:rect id="_x0000_i1115"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35247E" w:rsidRPr="00A36BEC" w:rsidRDefault="0035247E" w:rsidP="0035247E">
      <w:pPr>
        <w:jc w:val="both"/>
        <w:rPr>
          <w:sz w:val="20"/>
          <w:szCs w:val="20"/>
        </w:rPr>
      </w:pPr>
      <w:r w:rsidRPr="00A36BEC">
        <w:rPr>
          <w:sz w:val="20"/>
          <w:szCs w:val="20"/>
        </w:rPr>
        <w:t>Present:  McLachlin C.J. and LeBel, Abella, Rothstein, Cromwell, Karakatsanis and Wagner JJ.</w:t>
      </w:r>
    </w:p>
    <w:p w:rsidR="0035247E" w:rsidRDefault="0035247E" w:rsidP="0035247E">
      <w:pPr>
        <w:pStyle w:val="SCCLowerCourtNameLowercase"/>
        <w:spacing w:line="240" w:lineRule="auto"/>
        <w:rPr>
          <w:sz w:val="20"/>
        </w:rPr>
      </w:pPr>
    </w:p>
    <w:p w:rsidR="0035247E" w:rsidRPr="00A36BEC" w:rsidRDefault="0035247E" w:rsidP="0035247E">
      <w:pPr>
        <w:pStyle w:val="SCCNormalDoubleSpacing"/>
        <w:spacing w:line="240" w:lineRule="auto"/>
        <w:rPr>
          <w:i/>
          <w:sz w:val="20"/>
          <w:lang w:val="en-US"/>
        </w:rPr>
      </w:pPr>
      <w:r w:rsidRPr="00A36BEC">
        <w:rPr>
          <w:sz w:val="20"/>
        </w:rPr>
        <w:tab/>
      </w:r>
      <w:r w:rsidRPr="00A36BEC">
        <w:rPr>
          <w:i/>
          <w:sz w:val="20"/>
          <w:lang w:val="en-US"/>
        </w:rPr>
        <w:t>Constitutional law — Charter of Rights — Freedom of Association — Right to strike — Public Service Employees — Stare Decisis – Whether right to strike is protected by s. 2(d) of Charter — Whether prohibition on essential services employees participating in strike action amounts to substantial interference with meaningful process of collective bargaining and therefore violates s. 2(d) of Charter — If so, whether such violation is justified under s. 1 of Charter — Canadian Charter of Rights and Freedoms, s. 2(d) — The Public Service Essential Services Act, S.S. 2008, c. P</w:t>
      </w:r>
      <w:r w:rsidRPr="00A36BEC">
        <w:rPr>
          <w:i/>
          <w:sz w:val="20"/>
          <w:lang w:val="en-US"/>
        </w:rPr>
        <w:noBreakHyphen/>
        <w:t>42.2.</w:t>
      </w:r>
    </w:p>
    <w:p w:rsidR="0035247E" w:rsidRDefault="0035247E" w:rsidP="0035247E">
      <w:pPr>
        <w:pStyle w:val="SCCNormalDoubleSpacing"/>
        <w:spacing w:line="240" w:lineRule="auto"/>
        <w:rPr>
          <w:i/>
          <w:sz w:val="20"/>
          <w:lang w:val="en-US"/>
        </w:rPr>
      </w:pPr>
    </w:p>
    <w:p w:rsidR="0035247E" w:rsidRPr="00A36BEC" w:rsidRDefault="0035247E" w:rsidP="0035247E">
      <w:pPr>
        <w:pStyle w:val="SCCNormalDoubleSpacing"/>
        <w:spacing w:line="240" w:lineRule="auto"/>
        <w:rPr>
          <w:i/>
          <w:sz w:val="20"/>
          <w:lang w:val="en-US"/>
        </w:rPr>
      </w:pPr>
      <w:r w:rsidRPr="00A36BEC">
        <w:rPr>
          <w:i/>
          <w:sz w:val="20"/>
          <w:lang w:val="en-US"/>
        </w:rPr>
        <w:tab/>
        <w:t>Constitutional law — Charter of Rights — Freedom of association — Provincial legislation changing certification process and provisions dealing with communications by employers with employees — Whether legislation violates s. 2(d) of Charter — Canadian Charter of Rights and Freedoms, s. 2(d) — The Trade Union Amendment Act, 2008, S.S. 2008, c. 26.</w:t>
      </w:r>
    </w:p>
    <w:p w:rsidR="0035247E" w:rsidRDefault="0035247E" w:rsidP="0035247E">
      <w:pPr>
        <w:pStyle w:val="SCCNormalDoubleSpacing"/>
        <w:spacing w:line="240" w:lineRule="auto"/>
        <w:rPr>
          <w:sz w:val="20"/>
          <w:lang w:val="en-US"/>
        </w:rPr>
      </w:pPr>
    </w:p>
    <w:p w:rsidR="0035247E" w:rsidRPr="00A36BEC" w:rsidRDefault="0035247E" w:rsidP="0035247E">
      <w:pPr>
        <w:pStyle w:val="SCCNormalDoubleSpacing"/>
        <w:spacing w:line="240" w:lineRule="auto"/>
        <w:rPr>
          <w:sz w:val="20"/>
          <w:lang w:val="en-US"/>
        </w:rPr>
      </w:pPr>
      <w:r w:rsidRPr="00A36BEC">
        <w:rPr>
          <w:sz w:val="20"/>
          <w:lang w:val="en-US"/>
        </w:rPr>
        <w:tab/>
        <w:t xml:space="preserve">In December, 2007, the newly elected Government of Saskatchewan introduced two statutes:  </w:t>
      </w:r>
      <w:r w:rsidRPr="00A36BEC">
        <w:rPr>
          <w:i/>
          <w:sz w:val="20"/>
          <w:lang w:val="en-US"/>
        </w:rPr>
        <w:t>The Public Service Essential Services Act</w:t>
      </w:r>
      <w:r w:rsidRPr="00A36BEC">
        <w:rPr>
          <w:sz w:val="20"/>
          <w:lang w:val="en-US"/>
        </w:rPr>
        <w:t>, S.S. 2008, c. P</w:t>
      </w:r>
      <w:r w:rsidRPr="00A36BEC">
        <w:rPr>
          <w:sz w:val="20"/>
          <w:lang w:val="en-US"/>
        </w:rPr>
        <w:noBreakHyphen/>
        <w:t>42.2 (</w:t>
      </w:r>
      <w:r w:rsidRPr="00A36BEC">
        <w:rPr>
          <w:i/>
          <w:sz w:val="20"/>
          <w:lang w:val="en-US"/>
        </w:rPr>
        <w:t>PSESA</w:t>
      </w:r>
      <w:r w:rsidRPr="00A36BEC">
        <w:rPr>
          <w:sz w:val="20"/>
          <w:lang w:val="en-US"/>
        </w:rPr>
        <w:t xml:space="preserve">), and </w:t>
      </w:r>
      <w:r w:rsidRPr="00A36BEC">
        <w:rPr>
          <w:i/>
          <w:sz w:val="20"/>
          <w:lang w:val="en-US"/>
        </w:rPr>
        <w:t>The Trade Union Amendment Act, 2008</w:t>
      </w:r>
      <w:r w:rsidRPr="00A36BEC">
        <w:rPr>
          <w:sz w:val="20"/>
          <w:lang w:val="en-US"/>
        </w:rPr>
        <w:t xml:space="preserve">, S.S. 2008, c. 26, which became law in May, 2008. The </w:t>
      </w:r>
      <w:r w:rsidRPr="00A36BEC">
        <w:rPr>
          <w:i/>
          <w:sz w:val="20"/>
          <w:lang w:val="en-US"/>
        </w:rPr>
        <w:t>PSESA</w:t>
      </w:r>
      <w:r w:rsidRPr="00A36BEC">
        <w:rPr>
          <w:sz w:val="20"/>
          <w:lang w:val="en-US"/>
        </w:rPr>
        <w:t xml:space="preserve"> is Saskatchewan’s first statutory scheme to limit the ability of public sector employees who perform essential services to strike. It prohibits unilaterally designated “essential service employees” from participating in any strike action against their employer. These employees are required to continue the duties of their employment in accordance with the terms and conditions of the last collective bargaining agreement. No meaningful mechanism for resolving bargaining impasses is provided. </w:t>
      </w:r>
    </w:p>
    <w:p w:rsidR="0035247E" w:rsidRDefault="0035247E" w:rsidP="0035247E">
      <w:pPr>
        <w:pStyle w:val="SCCNormalDoubleSpacing"/>
        <w:spacing w:line="240" w:lineRule="auto"/>
        <w:rPr>
          <w:sz w:val="20"/>
          <w:lang w:val="en-US"/>
        </w:rPr>
      </w:pPr>
    </w:p>
    <w:p w:rsidR="0035247E" w:rsidRPr="00A36BEC" w:rsidRDefault="0035247E" w:rsidP="0035247E">
      <w:pPr>
        <w:pStyle w:val="SCCNormalDoubleSpacing"/>
        <w:spacing w:line="240" w:lineRule="auto"/>
        <w:rPr>
          <w:sz w:val="20"/>
          <w:lang w:val="en-US"/>
        </w:rPr>
      </w:pPr>
      <w:r w:rsidRPr="00A36BEC">
        <w:rPr>
          <w:sz w:val="20"/>
          <w:lang w:val="en-US"/>
        </w:rPr>
        <w:tab/>
      </w:r>
      <w:r w:rsidRPr="00A36BEC">
        <w:rPr>
          <w:i/>
          <w:sz w:val="20"/>
          <w:lang w:val="en-US"/>
        </w:rPr>
        <w:t xml:space="preserve">The Trade Union Amendment Act, 2008 </w:t>
      </w:r>
      <w:r w:rsidRPr="00A36BEC">
        <w:rPr>
          <w:sz w:val="20"/>
          <w:lang w:val="en-US"/>
        </w:rPr>
        <w:t>changes the union certification process by increasing the required level of written support and reducing the period for receiving written support from employees. It also changes the provisions dealing with communications between employers and their employees.</w:t>
      </w:r>
    </w:p>
    <w:p w:rsidR="0035247E" w:rsidRDefault="0035247E" w:rsidP="0035247E">
      <w:pPr>
        <w:pStyle w:val="SCCNormalDoubleSpacing"/>
        <w:spacing w:line="240" w:lineRule="auto"/>
        <w:rPr>
          <w:sz w:val="20"/>
          <w:lang w:val="en-US"/>
        </w:rPr>
      </w:pPr>
    </w:p>
    <w:p w:rsidR="0035247E" w:rsidRPr="00A36BEC" w:rsidRDefault="0035247E" w:rsidP="0035247E">
      <w:pPr>
        <w:pStyle w:val="SCCNormalDoubleSpacing"/>
        <w:spacing w:line="240" w:lineRule="auto"/>
        <w:rPr>
          <w:sz w:val="20"/>
          <w:lang w:val="en-US"/>
        </w:rPr>
      </w:pPr>
      <w:r w:rsidRPr="00A36BEC">
        <w:rPr>
          <w:sz w:val="20"/>
          <w:lang w:val="en-US"/>
        </w:rPr>
        <w:tab/>
        <w:t xml:space="preserve">In July 2008, the Saskatchewan Federation of Labour and other unions challenged the constitutionality of both the </w:t>
      </w:r>
      <w:r w:rsidRPr="00A36BEC">
        <w:rPr>
          <w:i/>
          <w:sz w:val="20"/>
          <w:lang w:val="en-US"/>
        </w:rPr>
        <w:t>PSESA</w:t>
      </w:r>
      <w:r w:rsidRPr="00A36BEC">
        <w:rPr>
          <w:sz w:val="20"/>
          <w:lang w:val="en-US"/>
        </w:rPr>
        <w:t xml:space="preserve"> and </w:t>
      </w:r>
      <w:r w:rsidRPr="00A36BEC">
        <w:rPr>
          <w:i/>
          <w:sz w:val="20"/>
          <w:lang w:val="en-US"/>
        </w:rPr>
        <w:t>The Trade Union Amendment Act, 2008</w:t>
      </w:r>
      <w:r w:rsidRPr="00A36BEC">
        <w:rPr>
          <w:sz w:val="20"/>
          <w:lang w:val="en-US"/>
        </w:rPr>
        <w:t>. The trial judge concluded that the right to strike was a fundamental freedom protected by s. 2(</w:t>
      </w:r>
      <w:r w:rsidRPr="00A36BEC">
        <w:rPr>
          <w:i/>
          <w:sz w:val="20"/>
          <w:lang w:val="en-US"/>
        </w:rPr>
        <w:t>d</w:t>
      </w:r>
      <w:r w:rsidRPr="00A36BEC">
        <w:rPr>
          <w:sz w:val="20"/>
          <w:lang w:val="en-US"/>
        </w:rPr>
        <w:t xml:space="preserve">) of the </w:t>
      </w:r>
      <w:r w:rsidRPr="00A36BEC">
        <w:rPr>
          <w:i/>
          <w:sz w:val="20"/>
          <w:lang w:val="en-US"/>
        </w:rPr>
        <w:t>Canadian Charter of Rights and Freedoms</w:t>
      </w:r>
      <w:r w:rsidRPr="00A36BEC">
        <w:rPr>
          <w:sz w:val="20"/>
          <w:lang w:val="en-US"/>
        </w:rPr>
        <w:t xml:space="preserve"> and that the prohibition on the right to strike in the </w:t>
      </w:r>
      <w:r w:rsidRPr="00A36BEC">
        <w:rPr>
          <w:i/>
          <w:sz w:val="20"/>
          <w:lang w:val="en-US"/>
        </w:rPr>
        <w:t>PSESA</w:t>
      </w:r>
      <w:r w:rsidRPr="00A36BEC">
        <w:rPr>
          <w:sz w:val="20"/>
          <w:lang w:val="en-US"/>
        </w:rPr>
        <w:t xml:space="preserve"> substantially interfered with the s. 2(</w:t>
      </w:r>
      <w:r w:rsidRPr="00A36BEC">
        <w:rPr>
          <w:i/>
          <w:sz w:val="20"/>
          <w:lang w:val="en-US"/>
        </w:rPr>
        <w:t>d</w:t>
      </w:r>
      <w:r w:rsidRPr="00A36BEC">
        <w:rPr>
          <w:sz w:val="20"/>
          <w:lang w:val="en-US"/>
        </w:rPr>
        <w:t xml:space="preserve">) rights of the affected public sector employees. He also found that the absolute ban on the right to strike in the </w:t>
      </w:r>
      <w:r w:rsidRPr="00A36BEC">
        <w:rPr>
          <w:i/>
          <w:sz w:val="20"/>
          <w:lang w:val="en-US"/>
        </w:rPr>
        <w:t>PSESA</w:t>
      </w:r>
      <w:r w:rsidRPr="00A36BEC">
        <w:rPr>
          <w:sz w:val="20"/>
          <w:lang w:val="en-US"/>
        </w:rPr>
        <w:t xml:space="preserve"> was neither minimally impairing nor proportionate and therefore was not saved by s. 1 of the </w:t>
      </w:r>
      <w:r w:rsidRPr="00A36BEC">
        <w:rPr>
          <w:i/>
          <w:sz w:val="20"/>
          <w:lang w:val="en-US"/>
        </w:rPr>
        <w:t>Charter</w:t>
      </w:r>
      <w:r w:rsidRPr="00A36BEC">
        <w:rPr>
          <w:sz w:val="20"/>
          <w:lang w:val="en-US"/>
        </w:rPr>
        <w:t xml:space="preserve">. The declaration of invalidity was suspended for one year. On the other hand, the trial judge concluded that the changes to the certification process and permissible employer communications set out in </w:t>
      </w:r>
      <w:r w:rsidRPr="00A36BEC">
        <w:rPr>
          <w:i/>
          <w:sz w:val="20"/>
          <w:lang w:val="en-US"/>
        </w:rPr>
        <w:t xml:space="preserve">The Trade Union Amendment Act, 2008 </w:t>
      </w:r>
      <w:r w:rsidRPr="00A36BEC">
        <w:rPr>
          <w:sz w:val="20"/>
          <w:lang w:val="en-US"/>
        </w:rPr>
        <w:t>did not breach s. 2(</w:t>
      </w:r>
      <w:r w:rsidRPr="00A36BEC">
        <w:rPr>
          <w:i/>
          <w:sz w:val="20"/>
          <w:lang w:val="en-US"/>
        </w:rPr>
        <w:t>d</w:t>
      </w:r>
      <w:r w:rsidRPr="00A36BEC">
        <w:rPr>
          <w:sz w:val="20"/>
          <w:lang w:val="en-US"/>
        </w:rPr>
        <w:t xml:space="preserve">). </w:t>
      </w:r>
    </w:p>
    <w:p w:rsidR="0035247E" w:rsidRDefault="0035247E" w:rsidP="0035247E">
      <w:pPr>
        <w:pStyle w:val="SCCNormalDoubleSpacing"/>
        <w:spacing w:line="240" w:lineRule="auto"/>
        <w:rPr>
          <w:sz w:val="20"/>
          <w:lang w:val="en-US"/>
        </w:rPr>
      </w:pPr>
    </w:p>
    <w:p w:rsidR="0035247E" w:rsidRPr="00A36BEC" w:rsidRDefault="0035247E" w:rsidP="0035247E">
      <w:pPr>
        <w:pStyle w:val="SCCNormalDoubleSpacing"/>
        <w:spacing w:line="240" w:lineRule="auto"/>
        <w:rPr>
          <w:sz w:val="20"/>
          <w:lang w:val="en-US"/>
        </w:rPr>
      </w:pPr>
      <w:r w:rsidRPr="00A36BEC">
        <w:rPr>
          <w:sz w:val="20"/>
          <w:lang w:val="en-US"/>
        </w:rPr>
        <w:tab/>
        <w:t xml:space="preserve">The Saskatchewan Court of Appeal unanimously allowed the Government of Saskatchewan’s appeal with respect to the constitutionality of the </w:t>
      </w:r>
      <w:r w:rsidRPr="00A36BEC">
        <w:rPr>
          <w:i/>
          <w:sz w:val="20"/>
          <w:lang w:val="en-US"/>
        </w:rPr>
        <w:t>PSESA</w:t>
      </w:r>
      <w:r w:rsidRPr="00A36BEC">
        <w:rPr>
          <w:sz w:val="20"/>
          <w:lang w:val="en-US"/>
        </w:rPr>
        <w:t xml:space="preserve">. The appeal against the finding that </w:t>
      </w:r>
      <w:r w:rsidRPr="00A36BEC">
        <w:rPr>
          <w:i/>
          <w:sz w:val="20"/>
          <w:lang w:val="en-US"/>
        </w:rPr>
        <w:t xml:space="preserve">The Trade Union Amendment Act, 2008 </w:t>
      </w:r>
      <w:r w:rsidRPr="00A36BEC">
        <w:rPr>
          <w:sz w:val="20"/>
          <w:lang w:val="en-US"/>
        </w:rPr>
        <w:t>did not violate s. 2(</w:t>
      </w:r>
      <w:r w:rsidRPr="00A36BEC">
        <w:rPr>
          <w:i/>
          <w:sz w:val="20"/>
          <w:lang w:val="en-US"/>
        </w:rPr>
        <w:t>d</w:t>
      </w:r>
      <w:r w:rsidRPr="00A36BEC">
        <w:rPr>
          <w:sz w:val="20"/>
          <w:lang w:val="en-US"/>
        </w:rPr>
        <w:t xml:space="preserve">) of the </w:t>
      </w:r>
      <w:r w:rsidRPr="00A36BEC">
        <w:rPr>
          <w:i/>
          <w:sz w:val="20"/>
          <w:lang w:val="en-US"/>
        </w:rPr>
        <w:t>Charter</w:t>
      </w:r>
      <w:r w:rsidRPr="00A36BEC">
        <w:rPr>
          <w:sz w:val="20"/>
          <w:lang w:val="en-US"/>
        </w:rPr>
        <w:t xml:space="preserve"> was dismissed.</w:t>
      </w:r>
    </w:p>
    <w:p w:rsidR="0035247E" w:rsidRDefault="0035247E" w:rsidP="0035247E">
      <w:pPr>
        <w:pStyle w:val="SCCNormalDoubleSpacing"/>
        <w:spacing w:line="240" w:lineRule="auto"/>
        <w:rPr>
          <w:sz w:val="20"/>
          <w:lang w:val="en-US"/>
        </w:rPr>
      </w:pPr>
    </w:p>
    <w:p w:rsidR="0035247E" w:rsidRPr="00A36BEC" w:rsidRDefault="0035247E" w:rsidP="0035247E">
      <w:pPr>
        <w:pStyle w:val="SCCNormalDoubleSpacing"/>
        <w:spacing w:line="240" w:lineRule="auto"/>
        <w:rPr>
          <w:sz w:val="20"/>
          <w:lang w:val="en-US"/>
        </w:rPr>
      </w:pPr>
      <w:r w:rsidRPr="00A36BEC">
        <w:rPr>
          <w:sz w:val="20"/>
          <w:lang w:val="en-US"/>
        </w:rPr>
        <w:tab/>
      </w:r>
      <w:r w:rsidRPr="00A36BEC">
        <w:rPr>
          <w:i/>
          <w:sz w:val="20"/>
          <w:lang w:val="en-US"/>
        </w:rPr>
        <w:t xml:space="preserve">Held </w:t>
      </w:r>
      <w:r w:rsidRPr="00A36BEC">
        <w:rPr>
          <w:sz w:val="20"/>
          <w:lang w:val="en-US"/>
        </w:rPr>
        <w:t xml:space="preserve">(Rothstein and Wagner JJ. dissenting in part):  The appeal with respect to the </w:t>
      </w:r>
      <w:r w:rsidRPr="00A36BEC">
        <w:rPr>
          <w:i/>
          <w:sz w:val="20"/>
          <w:lang w:val="en-US"/>
        </w:rPr>
        <w:t xml:space="preserve">PSESA </w:t>
      </w:r>
      <w:r w:rsidRPr="00A36BEC">
        <w:rPr>
          <w:sz w:val="20"/>
          <w:lang w:val="en-US"/>
        </w:rPr>
        <w:t xml:space="preserve">should be allowed. The prohibition against strikes in the </w:t>
      </w:r>
      <w:r w:rsidRPr="00A36BEC">
        <w:rPr>
          <w:i/>
          <w:sz w:val="20"/>
          <w:lang w:val="en-US"/>
        </w:rPr>
        <w:t>PSESA</w:t>
      </w:r>
      <w:r w:rsidRPr="00A36BEC">
        <w:rPr>
          <w:sz w:val="20"/>
          <w:lang w:val="en-US"/>
        </w:rPr>
        <w:t xml:space="preserve"> substantially interferes with a meaningful process of collective bargaining and therefore violates s. 2(</w:t>
      </w:r>
      <w:r w:rsidRPr="00A36BEC">
        <w:rPr>
          <w:i/>
          <w:sz w:val="20"/>
          <w:lang w:val="en-US"/>
        </w:rPr>
        <w:t>d</w:t>
      </w:r>
      <w:r w:rsidRPr="00A36BEC">
        <w:rPr>
          <w:sz w:val="20"/>
          <w:lang w:val="en-US"/>
        </w:rPr>
        <w:t xml:space="preserve">) of the </w:t>
      </w:r>
      <w:r w:rsidRPr="00A36BEC">
        <w:rPr>
          <w:i/>
          <w:sz w:val="20"/>
          <w:lang w:val="en-US"/>
        </w:rPr>
        <w:t>Charter.</w:t>
      </w:r>
      <w:r w:rsidRPr="00A36BEC">
        <w:rPr>
          <w:sz w:val="20"/>
          <w:lang w:val="en-US"/>
        </w:rPr>
        <w:t xml:space="preserve"> The infringement is not justified under s. 1. The declaration of invalidity is suspended for one year. The appeal with respect to </w:t>
      </w:r>
      <w:r w:rsidRPr="00A36BEC">
        <w:rPr>
          <w:i/>
          <w:sz w:val="20"/>
          <w:lang w:val="en-US"/>
        </w:rPr>
        <w:t>The Trade Union Amendment Act, 2008</w:t>
      </w:r>
      <w:r w:rsidRPr="00A36BEC">
        <w:rPr>
          <w:sz w:val="20"/>
          <w:lang w:val="en-US"/>
        </w:rPr>
        <w:t xml:space="preserve"> is dismissed.</w:t>
      </w:r>
    </w:p>
    <w:p w:rsidR="0035247E" w:rsidRDefault="0035247E" w:rsidP="0035247E">
      <w:pPr>
        <w:pStyle w:val="SCCNormalDoubleSpacing"/>
        <w:spacing w:line="240" w:lineRule="auto"/>
        <w:rPr>
          <w:sz w:val="20"/>
          <w:lang w:val="en-US"/>
        </w:rPr>
      </w:pPr>
    </w:p>
    <w:p w:rsidR="0035247E" w:rsidRPr="00A36BEC" w:rsidRDefault="0035247E" w:rsidP="0035247E">
      <w:pPr>
        <w:pStyle w:val="SCCNormalDoubleSpacing"/>
        <w:spacing w:line="240" w:lineRule="auto"/>
        <w:rPr>
          <w:sz w:val="20"/>
        </w:rPr>
      </w:pPr>
      <w:r w:rsidRPr="00A36BEC">
        <w:rPr>
          <w:sz w:val="20"/>
          <w:lang w:val="en-US"/>
        </w:rPr>
        <w:tab/>
      </w:r>
      <w:r w:rsidRPr="00A36BEC">
        <w:rPr>
          <w:i/>
          <w:sz w:val="20"/>
          <w:lang w:val="en-US"/>
        </w:rPr>
        <w:t>Per</w:t>
      </w:r>
      <w:r w:rsidRPr="00A36BEC">
        <w:rPr>
          <w:sz w:val="20"/>
          <w:lang w:val="en-US"/>
        </w:rPr>
        <w:t xml:space="preserve"> McLachlin C.J. and LeBel, </w:t>
      </w:r>
      <w:r w:rsidRPr="00A36BEC">
        <w:rPr>
          <w:b/>
          <w:sz w:val="20"/>
          <w:lang w:val="en-US"/>
        </w:rPr>
        <w:t>Abella</w:t>
      </w:r>
      <w:r w:rsidRPr="00A36BEC">
        <w:rPr>
          <w:sz w:val="20"/>
          <w:lang w:val="en-US"/>
        </w:rPr>
        <w:t>, Cromwell and Karakatsanis</w:t>
      </w:r>
      <w:r w:rsidRPr="00A36BEC">
        <w:rPr>
          <w:b/>
          <w:sz w:val="20"/>
          <w:lang w:val="en-US"/>
        </w:rPr>
        <w:t xml:space="preserve"> </w:t>
      </w:r>
      <w:r w:rsidRPr="00A36BEC">
        <w:rPr>
          <w:sz w:val="20"/>
          <w:lang w:val="en-US"/>
        </w:rPr>
        <w:t xml:space="preserve">JJ.: </w:t>
      </w:r>
      <w:r w:rsidRPr="00A36BEC">
        <w:rPr>
          <w:sz w:val="20"/>
        </w:rPr>
        <w:t xml:space="preserve"> The right to strike is an essential part of a meaningful collective bargaining process in our system of labour relations. The right to strike is not merely derivative of collective bargaining, it is an indispensable component</w:t>
      </w:r>
      <w:r w:rsidRPr="00A36BEC">
        <w:rPr>
          <w:b/>
          <w:sz w:val="20"/>
        </w:rPr>
        <w:t xml:space="preserve"> </w:t>
      </w:r>
      <w:r w:rsidRPr="00A36BEC">
        <w:rPr>
          <w:sz w:val="20"/>
        </w:rPr>
        <w:t xml:space="preserve">of that right. </w:t>
      </w:r>
      <w:r w:rsidRPr="00A36BEC">
        <w:rPr>
          <w:sz w:val="20"/>
          <w:lang w:val="en-US"/>
        </w:rPr>
        <w:t xml:space="preserve">Where good faith negotiations break down, the ability to engage in the collective withdrawal of services is a necessary component of the process through which workers can continue to participate meaningfully in the pursuit of their collective workplace goals. </w:t>
      </w:r>
      <w:r w:rsidRPr="00A36BEC">
        <w:rPr>
          <w:sz w:val="20"/>
        </w:rPr>
        <w:t>This crucial role in collective bargaining is why the right to strike is constitutionally protected by s. 2</w:t>
      </w:r>
      <w:r w:rsidRPr="00A36BEC">
        <w:rPr>
          <w:sz w:val="20"/>
          <w:lang w:val="en-US"/>
        </w:rPr>
        <w:t>(</w:t>
      </w:r>
      <w:r w:rsidRPr="00A36BEC">
        <w:rPr>
          <w:i/>
          <w:sz w:val="20"/>
          <w:lang w:val="en-US"/>
        </w:rPr>
        <w:t>d</w:t>
      </w:r>
      <w:r w:rsidRPr="00A36BEC">
        <w:rPr>
          <w:sz w:val="20"/>
          <w:lang w:val="en-US"/>
        </w:rPr>
        <w:t>).</w:t>
      </w:r>
    </w:p>
    <w:p w:rsidR="0035247E" w:rsidRDefault="0035247E" w:rsidP="0035247E">
      <w:pPr>
        <w:pStyle w:val="SCCNormalDoubleSpacing"/>
        <w:spacing w:line="240" w:lineRule="auto"/>
        <w:rPr>
          <w:sz w:val="20"/>
        </w:rPr>
      </w:pPr>
    </w:p>
    <w:p w:rsidR="0035247E" w:rsidRPr="00A36BEC" w:rsidRDefault="0035247E" w:rsidP="0035247E">
      <w:pPr>
        <w:pStyle w:val="SCCNormalDoubleSpacing"/>
        <w:spacing w:line="240" w:lineRule="auto"/>
        <w:rPr>
          <w:sz w:val="20"/>
        </w:rPr>
      </w:pPr>
      <w:r w:rsidRPr="00A36BEC">
        <w:rPr>
          <w:sz w:val="20"/>
        </w:rPr>
        <w:tab/>
        <w:t>In</w:t>
      </w:r>
      <w:r w:rsidRPr="00A36BEC">
        <w:rPr>
          <w:i/>
          <w:sz w:val="20"/>
        </w:rPr>
        <w:t xml:space="preserve"> Health Services and Support — Facilities Subsector Bargaining Assn. v. British Columbia</w:t>
      </w:r>
      <w:r w:rsidRPr="00A36BEC">
        <w:rPr>
          <w:sz w:val="20"/>
        </w:rPr>
        <w:t xml:space="preserve">, [2007] 2 S.C.R. 391, this Court recognized that the </w:t>
      </w:r>
      <w:r w:rsidRPr="00A36BEC">
        <w:rPr>
          <w:i/>
          <w:sz w:val="20"/>
        </w:rPr>
        <w:t>Charter</w:t>
      </w:r>
      <w:r w:rsidRPr="00A36BEC">
        <w:rPr>
          <w:sz w:val="20"/>
        </w:rPr>
        <w:t xml:space="preserve"> values of “[h]uman dignity, equality, liberty, respect for the autonomy of the person and the enhancement of democracy</w:t>
      </w:r>
      <w:r w:rsidRPr="00A36BEC">
        <w:rPr>
          <w:iCs/>
          <w:sz w:val="20"/>
        </w:rPr>
        <w:t>” supported protecting the right to a meaningful process of collective bargaining within the scope of s. 2(</w:t>
      </w:r>
      <w:r w:rsidRPr="00A36BEC">
        <w:rPr>
          <w:i/>
          <w:iCs/>
          <w:sz w:val="20"/>
        </w:rPr>
        <w:t>d</w:t>
      </w:r>
      <w:r w:rsidRPr="00A36BEC">
        <w:rPr>
          <w:iCs/>
          <w:sz w:val="20"/>
        </w:rPr>
        <w:t xml:space="preserve">). </w:t>
      </w:r>
      <w:r w:rsidRPr="00A36BEC">
        <w:rPr>
          <w:sz w:val="20"/>
        </w:rPr>
        <w:t xml:space="preserve">The right to strike is essential to realizing these values through a collective bargaining process </w:t>
      </w:r>
      <w:r w:rsidRPr="00A36BEC">
        <w:rPr>
          <w:iCs/>
          <w:sz w:val="20"/>
        </w:rPr>
        <w:t>because it permits workers to withdraw their labour in concert when collective bargaining reaches an impasse. Through a strike, workers come together to participate directly in the process of determining their wages, working conditions and the rules that will govern their working lives. The ability to strike thereby allows workers, through collective action, to refuse to work under imposed terms and conditions. This collective action at the moment of impasse is an affirmation of the dignity and autonomy of employees in their working lives.</w:t>
      </w:r>
    </w:p>
    <w:p w:rsidR="0035247E" w:rsidRDefault="0035247E" w:rsidP="0035247E">
      <w:pPr>
        <w:pStyle w:val="SCCNormalDoubleSpacing"/>
        <w:spacing w:line="240" w:lineRule="auto"/>
        <w:rPr>
          <w:sz w:val="20"/>
        </w:rPr>
      </w:pPr>
    </w:p>
    <w:p w:rsidR="0035247E" w:rsidRPr="00A36BEC" w:rsidRDefault="0035247E" w:rsidP="0035247E">
      <w:pPr>
        <w:pStyle w:val="SCCNormalDoubleSpacing"/>
        <w:spacing w:line="240" w:lineRule="auto"/>
        <w:rPr>
          <w:sz w:val="20"/>
        </w:rPr>
      </w:pPr>
      <w:r w:rsidRPr="00A36BEC">
        <w:rPr>
          <w:sz w:val="20"/>
        </w:rPr>
        <w:tab/>
      </w:r>
      <w:r w:rsidRPr="00A36BEC">
        <w:rPr>
          <w:iCs/>
          <w:sz w:val="20"/>
        </w:rPr>
        <w:t>The right to strike also promotes equality in the bargaining process. This Court has long recognized the deep inequalities that structure the relationship between employers and employees, and the vulnerability of employees in this context. While strike activity itself does not guarantee that a labour dispute will be resolved in any particular manner, or that it will be resolved at all, i</w:t>
      </w:r>
      <w:r w:rsidRPr="00A36BEC">
        <w:rPr>
          <w:sz w:val="20"/>
        </w:rPr>
        <w:t xml:space="preserve">t is the possibility of a strike which enables workers to negotiate their employment terms on a more equal footing. </w:t>
      </w:r>
    </w:p>
    <w:p w:rsidR="0035247E" w:rsidRDefault="0035247E" w:rsidP="0035247E">
      <w:pPr>
        <w:pStyle w:val="SCCNormalDoubleSpacing"/>
        <w:spacing w:line="240" w:lineRule="auto"/>
        <w:rPr>
          <w:sz w:val="20"/>
        </w:rPr>
      </w:pPr>
    </w:p>
    <w:p w:rsidR="0035247E" w:rsidRPr="00A36BEC" w:rsidRDefault="0035247E" w:rsidP="0035247E">
      <w:pPr>
        <w:pStyle w:val="SCCNormalDoubleSpacing"/>
        <w:spacing w:line="240" w:lineRule="auto"/>
        <w:rPr>
          <w:sz w:val="20"/>
        </w:rPr>
      </w:pPr>
      <w:r w:rsidRPr="00A36BEC">
        <w:rPr>
          <w:sz w:val="20"/>
        </w:rPr>
        <w:tab/>
        <w:t xml:space="preserve">In 1935, the </w:t>
      </w:r>
      <w:r w:rsidRPr="00A36BEC">
        <w:rPr>
          <w:i/>
          <w:sz w:val="20"/>
        </w:rPr>
        <w:t>Wagner Act</w:t>
      </w:r>
      <w:r w:rsidRPr="00A36BEC">
        <w:rPr>
          <w:sz w:val="20"/>
        </w:rPr>
        <w:t xml:space="preserve"> was adopted in the United States, introducing a model of labour relations that came to inspire legislative schemes across Canada. This model was adopted in Canada because the federal and provincial governments recognized the fundamental need for workers to participate in the regulation of their work environment. One of the goals of the Wagner model was to reduce the frequency of strikes by ensuring a commitment to meaningful collective bargaining. The right to strike, however, is not a creature just of the Wagner model. Most labour relations models include it because the ability to collectively withdraw services for the purpose of negotiating the terms and conditions of employment — in other words, to strike — is an essential component of the process through which workers pursue collective workplace goals.</w:t>
      </w:r>
    </w:p>
    <w:p w:rsidR="0035247E" w:rsidRDefault="0035247E" w:rsidP="0035247E">
      <w:pPr>
        <w:pStyle w:val="SCCNormalDoubleSpacing"/>
        <w:spacing w:line="240" w:lineRule="auto"/>
        <w:rPr>
          <w:sz w:val="20"/>
        </w:rPr>
      </w:pPr>
    </w:p>
    <w:p w:rsidR="0035247E" w:rsidRPr="00A36BEC" w:rsidRDefault="0035247E" w:rsidP="0035247E">
      <w:pPr>
        <w:pStyle w:val="SCCNormalDoubleSpacing"/>
        <w:spacing w:line="240" w:lineRule="auto"/>
        <w:rPr>
          <w:sz w:val="20"/>
        </w:rPr>
      </w:pPr>
      <w:r w:rsidRPr="00A36BEC">
        <w:rPr>
          <w:sz w:val="20"/>
        </w:rPr>
        <w:tab/>
        <w:t xml:space="preserve">Canada’s international human rights obligations also mandate protecting the right to strike as part of a meaningful process of collective bargaining. Canada is a party to international </w:t>
      </w:r>
      <w:r w:rsidRPr="00A36BEC">
        <w:rPr>
          <w:sz w:val="20"/>
          <w:lang w:val="en-US"/>
        </w:rPr>
        <w:t>instruments which explicitly protect the right to strike</w:t>
      </w:r>
      <w:r w:rsidRPr="00A36BEC">
        <w:rPr>
          <w:i/>
          <w:sz w:val="20"/>
        </w:rPr>
        <w:t xml:space="preserve">. </w:t>
      </w:r>
      <w:r w:rsidRPr="00A36BEC">
        <w:rPr>
          <w:sz w:val="20"/>
        </w:rPr>
        <w:t xml:space="preserve">Besides these explicit commitments, other sources confirm the protection of a right to strike recognized in international law. And strikes are protected globally, existing in many of the countries with labour laws outside the </w:t>
      </w:r>
      <w:r w:rsidRPr="00A36BEC">
        <w:rPr>
          <w:i/>
          <w:sz w:val="20"/>
        </w:rPr>
        <w:t xml:space="preserve">Wagner Act </w:t>
      </w:r>
      <w:r w:rsidRPr="00A36BEC">
        <w:rPr>
          <w:sz w:val="20"/>
        </w:rPr>
        <w:t>model.</w:t>
      </w:r>
    </w:p>
    <w:p w:rsidR="0035247E" w:rsidRDefault="0035247E" w:rsidP="0035247E">
      <w:pPr>
        <w:pStyle w:val="SCCNormalDoubleSpacing"/>
        <w:spacing w:line="240" w:lineRule="auto"/>
        <w:rPr>
          <w:sz w:val="20"/>
        </w:rPr>
      </w:pPr>
    </w:p>
    <w:p w:rsidR="0035247E" w:rsidRPr="00A36BEC" w:rsidRDefault="0035247E" w:rsidP="0035247E">
      <w:pPr>
        <w:pStyle w:val="SCCNormalDoubleSpacing"/>
        <w:spacing w:line="240" w:lineRule="auto"/>
        <w:rPr>
          <w:sz w:val="20"/>
        </w:rPr>
      </w:pPr>
      <w:r w:rsidRPr="00A36BEC">
        <w:rPr>
          <w:sz w:val="20"/>
        </w:rPr>
        <w:tab/>
        <w:t>This historical, international, and jurisprudential landscape suggests compellingly that a meaningful process of collective bargaining requires the ability of employees to participate in the collective withdrawal of services for the purpose of pursuing the terms and conditions of their employment through a collective agreement. The ability to engage in the collective withdrawal of services in the process of the negotiation of a collective agreement is, and has historically been, the irreducible minimum of the freedom to associate in Canadian labour relations.</w:t>
      </w:r>
    </w:p>
    <w:p w:rsidR="0035247E" w:rsidRDefault="0035247E" w:rsidP="0035247E">
      <w:pPr>
        <w:pStyle w:val="SCCNormalDoubleSpacing"/>
        <w:spacing w:line="240" w:lineRule="auto"/>
        <w:rPr>
          <w:sz w:val="20"/>
        </w:rPr>
      </w:pPr>
    </w:p>
    <w:p w:rsidR="0035247E" w:rsidRPr="00A36BEC" w:rsidRDefault="0035247E" w:rsidP="0035247E">
      <w:pPr>
        <w:pStyle w:val="SCCNormalDoubleSpacing"/>
        <w:spacing w:line="240" w:lineRule="auto"/>
        <w:rPr>
          <w:sz w:val="20"/>
        </w:rPr>
      </w:pPr>
      <w:r w:rsidRPr="00A36BEC">
        <w:rPr>
          <w:sz w:val="20"/>
        </w:rPr>
        <w:tab/>
        <w:t>To determine whether there has been an infringement of s. 2(</w:t>
      </w:r>
      <w:r w:rsidRPr="00A36BEC">
        <w:rPr>
          <w:i/>
          <w:sz w:val="20"/>
        </w:rPr>
        <w:t>d</w:t>
      </w:r>
      <w:r w:rsidRPr="00A36BEC">
        <w:rPr>
          <w:sz w:val="20"/>
        </w:rPr>
        <w:t xml:space="preserve">) of the </w:t>
      </w:r>
      <w:r w:rsidRPr="00A36BEC">
        <w:rPr>
          <w:i/>
          <w:sz w:val="20"/>
        </w:rPr>
        <w:t>Charter</w:t>
      </w:r>
      <w:r w:rsidRPr="00A36BEC">
        <w:rPr>
          <w:sz w:val="20"/>
        </w:rPr>
        <w:t xml:space="preserve">, the test is whether the legislative interference with the right to strike in a particular case amounts to a substantial interference with a meaningful process of collective bargaining. The prohibition in the </w:t>
      </w:r>
      <w:r w:rsidRPr="00A36BEC">
        <w:rPr>
          <w:i/>
          <w:sz w:val="20"/>
        </w:rPr>
        <w:t>PSESA</w:t>
      </w:r>
      <w:r w:rsidRPr="00A36BEC">
        <w:rPr>
          <w:sz w:val="20"/>
        </w:rPr>
        <w:t xml:space="preserve"> on designated employees participating in strike action for the purpose of negotiating the terms and conditions of their employment meets this threshold and therefore amounts to a violation of s. 2(</w:t>
      </w:r>
      <w:r w:rsidRPr="00A36BEC">
        <w:rPr>
          <w:i/>
          <w:sz w:val="20"/>
        </w:rPr>
        <w:t>d</w:t>
      </w:r>
      <w:r w:rsidRPr="00A36BEC">
        <w:rPr>
          <w:sz w:val="20"/>
        </w:rPr>
        <w:t xml:space="preserve">) of the </w:t>
      </w:r>
      <w:r w:rsidRPr="00A36BEC">
        <w:rPr>
          <w:i/>
          <w:sz w:val="20"/>
        </w:rPr>
        <w:t>Charter</w:t>
      </w:r>
      <w:r w:rsidRPr="00A36BEC">
        <w:rPr>
          <w:sz w:val="20"/>
        </w:rPr>
        <w:t>.</w:t>
      </w:r>
    </w:p>
    <w:p w:rsidR="0035247E" w:rsidRDefault="0035247E" w:rsidP="0035247E">
      <w:pPr>
        <w:pStyle w:val="SCCNormalDoubleSpacing"/>
        <w:spacing w:line="240" w:lineRule="auto"/>
        <w:rPr>
          <w:sz w:val="20"/>
        </w:rPr>
      </w:pPr>
    </w:p>
    <w:p w:rsidR="0035247E" w:rsidRPr="00A36BEC" w:rsidRDefault="0035247E" w:rsidP="0035247E">
      <w:pPr>
        <w:pStyle w:val="SCCNormalDoubleSpacing"/>
        <w:spacing w:line="240" w:lineRule="auto"/>
        <w:rPr>
          <w:i/>
          <w:sz w:val="20"/>
        </w:rPr>
      </w:pPr>
      <w:r w:rsidRPr="00A36BEC">
        <w:rPr>
          <w:sz w:val="20"/>
        </w:rPr>
        <w:tab/>
        <w:t>The breach of s. 2(</w:t>
      </w:r>
      <w:r w:rsidRPr="00A36BEC">
        <w:rPr>
          <w:i/>
          <w:sz w:val="20"/>
        </w:rPr>
        <w:t>d</w:t>
      </w:r>
      <w:r w:rsidRPr="00A36BEC">
        <w:rPr>
          <w:sz w:val="20"/>
        </w:rPr>
        <w:t xml:space="preserve">) of the </w:t>
      </w:r>
      <w:r w:rsidRPr="00A36BEC">
        <w:rPr>
          <w:i/>
          <w:sz w:val="20"/>
        </w:rPr>
        <w:t xml:space="preserve">Charter </w:t>
      </w:r>
      <w:r w:rsidRPr="00A36BEC">
        <w:rPr>
          <w:sz w:val="20"/>
        </w:rPr>
        <w:t>is not justified under s. 1. The maintenance of essential public services is self</w:t>
      </w:r>
      <w:r w:rsidRPr="00A36BEC">
        <w:rPr>
          <w:sz w:val="20"/>
        </w:rPr>
        <w:noBreakHyphen/>
        <w:t xml:space="preserve">evidently a pressing and substantial objective, but the determinative issue in this case is whether the means chosen by the government are minimally impairing, that is, carefully tailored so that rights are impaired no more than necessary. </w:t>
      </w:r>
    </w:p>
    <w:p w:rsidR="0035247E" w:rsidRDefault="0035247E" w:rsidP="0035247E">
      <w:pPr>
        <w:pStyle w:val="SCCNormalDoubleSpacing"/>
        <w:spacing w:line="240" w:lineRule="auto"/>
        <w:rPr>
          <w:sz w:val="20"/>
        </w:rPr>
      </w:pPr>
    </w:p>
    <w:p w:rsidR="0035247E" w:rsidRPr="00A36BEC" w:rsidRDefault="0035247E" w:rsidP="0035247E">
      <w:pPr>
        <w:pStyle w:val="SCCNormalDoubleSpacing"/>
        <w:spacing w:line="240" w:lineRule="auto"/>
        <w:rPr>
          <w:sz w:val="20"/>
        </w:rPr>
      </w:pPr>
      <w:r w:rsidRPr="00A36BEC">
        <w:rPr>
          <w:sz w:val="20"/>
        </w:rPr>
        <w:tab/>
        <w:t xml:space="preserve">The fact that a service is provided exclusively through the public sector does not inevitably lead to the conclusion that it is properly considered “essential”. Under the </w:t>
      </w:r>
      <w:r w:rsidRPr="00A36BEC">
        <w:rPr>
          <w:i/>
          <w:sz w:val="20"/>
        </w:rPr>
        <w:t>PSESA</w:t>
      </w:r>
      <w:r w:rsidRPr="00A36BEC">
        <w:rPr>
          <w:sz w:val="20"/>
        </w:rPr>
        <w:t xml:space="preserve">, a public employer has the unilateral authority to dictate whether and how essential services will be maintained, including the authority to determine the classifications of employees who must continue to work during the work stoppage, the number and names of employees within each classification, and, for public employers other than the Government of Saskatchewan, the essential services that are to be maintained. </w:t>
      </w:r>
      <w:r w:rsidRPr="00A36BEC">
        <w:rPr>
          <w:sz w:val="20"/>
          <w:lang w:val="en-US"/>
        </w:rPr>
        <w:t xml:space="preserve">Only the number of employees required to work is subject to review by the Saskatchewan Labour Relations Board. </w:t>
      </w:r>
      <w:r w:rsidRPr="00A36BEC">
        <w:rPr>
          <w:sz w:val="20"/>
        </w:rPr>
        <w:t xml:space="preserve">And even where an employee has been prohibited from participating in strike activity, the </w:t>
      </w:r>
      <w:r w:rsidRPr="00A36BEC">
        <w:rPr>
          <w:i/>
          <w:sz w:val="20"/>
        </w:rPr>
        <w:t>PSESA</w:t>
      </w:r>
      <w:r w:rsidRPr="00A36BEC">
        <w:rPr>
          <w:sz w:val="20"/>
        </w:rPr>
        <w:t xml:space="preserve"> does not tailor his or her responsibilities to the performance of essential services alone. The provisions of the </w:t>
      </w:r>
      <w:r w:rsidRPr="00A36BEC">
        <w:rPr>
          <w:i/>
          <w:sz w:val="20"/>
        </w:rPr>
        <w:t>PSESA</w:t>
      </w:r>
      <w:r w:rsidRPr="00A36BEC">
        <w:rPr>
          <w:sz w:val="20"/>
        </w:rPr>
        <w:t xml:space="preserve"> therefore go beyond what is reasonably required to ensure the uninterrupted delivery of essential services during a strike.</w:t>
      </w:r>
    </w:p>
    <w:p w:rsidR="0035247E" w:rsidRDefault="0035247E" w:rsidP="0035247E">
      <w:pPr>
        <w:pStyle w:val="SCCNormalDoubleSpacing"/>
        <w:spacing w:line="240" w:lineRule="auto"/>
        <w:rPr>
          <w:sz w:val="20"/>
        </w:rPr>
      </w:pPr>
    </w:p>
    <w:p w:rsidR="0035247E" w:rsidRPr="00A36BEC" w:rsidRDefault="0035247E" w:rsidP="0035247E">
      <w:pPr>
        <w:pStyle w:val="SCCNormalDoubleSpacing"/>
        <w:spacing w:line="240" w:lineRule="auto"/>
        <w:rPr>
          <w:sz w:val="20"/>
        </w:rPr>
      </w:pPr>
      <w:r w:rsidRPr="00A36BEC">
        <w:rPr>
          <w:sz w:val="20"/>
        </w:rPr>
        <w:tab/>
        <w:t xml:space="preserve">Nor is there any access to a meaningful alternative mechanism for resolving bargaining impasses, such as arbitration. Where strike action is limited in a way that substantially interferes with a meaningful process of collective bargaining, it must be replaced by one of the meaningful dispute resolution mechanisms commonly used in labour relations. Those public sector employees who provide essential services have unique functions which may argue for a less disruptive mechanism when collective bargaining reaches an impasse, but they do not argue for no mechanism at all. </w:t>
      </w:r>
    </w:p>
    <w:p w:rsidR="0035247E" w:rsidRDefault="0035247E" w:rsidP="0035247E">
      <w:pPr>
        <w:pStyle w:val="SCCNormalDoubleSpacing"/>
        <w:spacing w:line="240" w:lineRule="auto"/>
        <w:rPr>
          <w:sz w:val="20"/>
        </w:rPr>
      </w:pPr>
    </w:p>
    <w:p w:rsidR="0035247E" w:rsidRPr="00A36BEC" w:rsidRDefault="0035247E" w:rsidP="0035247E">
      <w:pPr>
        <w:pStyle w:val="SCCNormalDoubleSpacing"/>
        <w:spacing w:line="240" w:lineRule="auto"/>
        <w:rPr>
          <w:sz w:val="20"/>
        </w:rPr>
      </w:pPr>
      <w:r w:rsidRPr="00A36BEC">
        <w:rPr>
          <w:sz w:val="20"/>
        </w:rPr>
        <w:tab/>
        <w:t xml:space="preserve">The unilateral authority of public employers to determine whether and how essential services are to be maintained during a work stoppage with no adequate review mechanism, and the absence of a meaningful dispute resolution mechanism to resolve bargaining impasses, justify the conclusion that the </w:t>
      </w:r>
      <w:r w:rsidRPr="00A36BEC">
        <w:rPr>
          <w:i/>
          <w:sz w:val="20"/>
        </w:rPr>
        <w:t xml:space="preserve">PSESA </w:t>
      </w:r>
      <w:r w:rsidRPr="00A36BEC">
        <w:rPr>
          <w:sz w:val="20"/>
        </w:rPr>
        <w:t>is not minimally impairing. It is therefore unconstitutional.</w:t>
      </w:r>
    </w:p>
    <w:p w:rsidR="0035247E" w:rsidRDefault="0035247E" w:rsidP="0035247E">
      <w:pPr>
        <w:pStyle w:val="SCCNormalDoubleSpacing"/>
        <w:spacing w:line="240" w:lineRule="auto"/>
        <w:rPr>
          <w:sz w:val="20"/>
        </w:rPr>
      </w:pPr>
    </w:p>
    <w:p w:rsidR="0035247E" w:rsidRPr="00A36BEC" w:rsidRDefault="0035247E" w:rsidP="0035247E">
      <w:pPr>
        <w:pStyle w:val="SCCNormalDoubleSpacing"/>
        <w:spacing w:line="240" w:lineRule="auto"/>
        <w:rPr>
          <w:sz w:val="20"/>
        </w:rPr>
      </w:pPr>
      <w:r w:rsidRPr="00A36BEC">
        <w:rPr>
          <w:sz w:val="20"/>
        </w:rPr>
        <w:tab/>
      </w:r>
      <w:r w:rsidRPr="00A36BEC">
        <w:rPr>
          <w:i/>
          <w:sz w:val="20"/>
          <w:lang w:val="en-US"/>
        </w:rPr>
        <w:t>The Trade Union Amendment Act, 2008</w:t>
      </w:r>
      <w:r w:rsidRPr="00A36BEC">
        <w:rPr>
          <w:sz w:val="20"/>
          <w:lang w:val="en-US"/>
        </w:rPr>
        <w:t>,</w:t>
      </w:r>
      <w:r w:rsidRPr="00A36BEC">
        <w:rPr>
          <w:sz w:val="20"/>
        </w:rPr>
        <w:t xml:space="preserve"> on the other hand, does not violate s. 2(</w:t>
      </w:r>
      <w:r w:rsidRPr="00A36BEC">
        <w:rPr>
          <w:i/>
          <w:sz w:val="20"/>
        </w:rPr>
        <w:t>d</w:t>
      </w:r>
      <w:r w:rsidRPr="00A36BEC">
        <w:rPr>
          <w:sz w:val="20"/>
        </w:rPr>
        <w:t xml:space="preserve">). The changes it introduces to the process by which unions may obtain or lose the status of a bargaining representative, as well as the changes to the rules governing employer communication to employees, do not substantially interfere with freedom of association. </w:t>
      </w:r>
    </w:p>
    <w:p w:rsidR="0035247E" w:rsidRDefault="0035247E" w:rsidP="0035247E">
      <w:pPr>
        <w:pStyle w:val="SCCNormalDoubleSpacing"/>
        <w:spacing w:line="240" w:lineRule="auto"/>
        <w:rPr>
          <w:sz w:val="20"/>
          <w:lang w:val="en-US"/>
        </w:rPr>
      </w:pPr>
    </w:p>
    <w:p w:rsidR="0035247E" w:rsidRPr="00A36BEC" w:rsidRDefault="0035247E" w:rsidP="0035247E">
      <w:pPr>
        <w:pStyle w:val="SCCNormalDoubleSpacing"/>
        <w:spacing w:line="240" w:lineRule="auto"/>
        <w:rPr>
          <w:sz w:val="20"/>
          <w:lang w:val="en-US"/>
        </w:rPr>
      </w:pPr>
      <w:r w:rsidRPr="00A36BEC">
        <w:rPr>
          <w:sz w:val="20"/>
          <w:lang w:val="en-US"/>
        </w:rPr>
        <w:tab/>
      </w:r>
      <w:r w:rsidRPr="00A36BEC">
        <w:rPr>
          <w:i/>
          <w:sz w:val="20"/>
          <w:lang w:val="en-US"/>
        </w:rPr>
        <w:t>Per</w:t>
      </w:r>
      <w:r w:rsidRPr="00A36BEC">
        <w:rPr>
          <w:sz w:val="20"/>
          <w:lang w:val="en-US"/>
        </w:rPr>
        <w:t xml:space="preserve"> </w:t>
      </w:r>
      <w:r w:rsidRPr="00A36BEC">
        <w:rPr>
          <w:b/>
          <w:sz w:val="20"/>
          <w:lang w:val="en-US"/>
        </w:rPr>
        <w:t>Rothstein</w:t>
      </w:r>
      <w:r w:rsidRPr="00A36BEC">
        <w:rPr>
          <w:sz w:val="20"/>
          <w:lang w:val="en-US"/>
        </w:rPr>
        <w:t xml:space="preserve"> and </w:t>
      </w:r>
      <w:r w:rsidRPr="00A36BEC">
        <w:rPr>
          <w:b/>
          <w:sz w:val="20"/>
          <w:lang w:val="en-US"/>
        </w:rPr>
        <w:t>Wagner </w:t>
      </w:r>
      <w:r w:rsidRPr="00A36BEC">
        <w:rPr>
          <w:sz w:val="20"/>
          <w:lang w:val="en-US"/>
        </w:rPr>
        <w:t>JJ. (dissenting in part):  This Court should not intrude into the policy development role of elected legislators by constitutionalizing the right to strike under the freedom of association guarantee in s. 2(</w:t>
      </w:r>
      <w:r w:rsidRPr="00A36BEC">
        <w:rPr>
          <w:i/>
          <w:sz w:val="20"/>
          <w:lang w:val="en-US"/>
        </w:rPr>
        <w:t>d</w:t>
      </w:r>
      <w:r w:rsidRPr="00A36BEC">
        <w:rPr>
          <w:sz w:val="20"/>
          <w:lang w:val="en-US"/>
        </w:rPr>
        <w:t xml:space="preserve">) of the </w:t>
      </w:r>
      <w:r w:rsidRPr="00A36BEC">
        <w:rPr>
          <w:i/>
          <w:sz w:val="20"/>
          <w:lang w:val="en-US"/>
        </w:rPr>
        <w:t>Charter</w:t>
      </w:r>
      <w:r w:rsidRPr="00A36BEC">
        <w:rPr>
          <w:sz w:val="20"/>
          <w:lang w:val="en-US"/>
        </w:rPr>
        <w:t xml:space="preserve">. The statutory right to strike, along with other statutory protections for workers, reflects a complex balance struck by legislatures between the interests of employers, employees and the public. Providing for a constitutional right to strike not only upsets this delicate balance, but also restricts legislatures by denying them the flexibility needed to ensure the balance of interests can be maintained. </w:t>
      </w:r>
    </w:p>
    <w:p w:rsidR="0035247E" w:rsidRDefault="0035247E" w:rsidP="0035247E">
      <w:pPr>
        <w:pStyle w:val="SCCNormalDoubleSpacing"/>
        <w:spacing w:line="240" w:lineRule="auto"/>
        <w:rPr>
          <w:sz w:val="20"/>
          <w:lang w:val="en-US"/>
        </w:rPr>
      </w:pPr>
    </w:p>
    <w:p w:rsidR="0035247E" w:rsidRPr="00A36BEC" w:rsidRDefault="0035247E" w:rsidP="0035247E">
      <w:pPr>
        <w:pStyle w:val="SCCNormalDoubleSpacing"/>
        <w:spacing w:line="240" w:lineRule="auto"/>
        <w:rPr>
          <w:sz w:val="20"/>
          <w:lang w:val="en-US"/>
        </w:rPr>
      </w:pPr>
      <w:r w:rsidRPr="00A36BEC">
        <w:rPr>
          <w:sz w:val="20"/>
          <w:lang w:val="en-US"/>
        </w:rPr>
        <w:tab/>
        <w:t>Democratically elected legislatures are responsible for determining the appropriate balance between competing economic and social interests in the area of labour relations. This Court has long recognized that it is the role of legislators and not judges to balance competing tensions in making policy decisions, particularly in the area of socio-economic policy. The legislative branch requires flexibility to deal with changing circumstances and social values. Canadian labour relations is a complex web of intersecting interests, rights and obligations, and has far-reaching implications for Canadian society. It is not the role of this Court to transform all policy choices it deems worthy into constitutional imperatives. The exercise of judicial restraint is essential in ensuring that courts do not upset the balance by usurping the responsibilities of the legislative and executive branches.</w:t>
      </w:r>
    </w:p>
    <w:p w:rsidR="0035247E" w:rsidRDefault="0035247E" w:rsidP="0035247E">
      <w:pPr>
        <w:pStyle w:val="SCCNormalDoubleSpacing"/>
        <w:spacing w:line="240" w:lineRule="auto"/>
        <w:rPr>
          <w:sz w:val="20"/>
          <w:lang w:val="en-US"/>
        </w:rPr>
      </w:pPr>
    </w:p>
    <w:p w:rsidR="0035247E" w:rsidRPr="00A36BEC" w:rsidRDefault="0035247E" w:rsidP="0035247E">
      <w:pPr>
        <w:pStyle w:val="SCCNormalDoubleSpacing"/>
        <w:spacing w:line="240" w:lineRule="auto"/>
        <w:rPr>
          <w:sz w:val="20"/>
          <w:lang w:val="en-US"/>
        </w:rPr>
      </w:pPr>
      <w:r w:rsidRPr="00A36BEC">
        <w:rPr>
          <w:sz w:val="20"/>
          <w:lang w:val="en-US"/>
        </w:rPr>
        <w:tab/>
        <w:t>Constitutionalizing a right to strike restricts governments’ flexibility, impedes their ability to balance the interests of workers with the broader public interest, and interferes with the proper role and responsibility of governments. Constitutionalizing a right to strike introduces great uncertainty into labour relations: it will make all statutory limits on the right to strike presumptively unconstitutional. By constitutionalizing a broad conception of the right to strike, the majority binds the governments’s hands and limits its ability to respond to changing needs and circumstances in the dynamic field of labour relations.</w:t>
      </w:r>
    </w:p>
    <w:p w:rsidR="0035247E" w:rsidRDefault="0035247E" w:rsidP="0035247E">
      <w:pPr>
        <w:jc w:val="both"/>
        <w:rPr>
          <w:sz w:val="20"/>
          <w:lang w:val="en-US"/>
        </w:rPr>
      </w:pPr>
    </w:p>
    <w:p w:rsidR="0035247E" w:rsidRPr="00A36BEC" w:rsidRDefault="0035247E" w:rsidP="0035247E">
      <w:pPr>
        <w:jc w:val="both"/>
        <w:rPr>
          <w:sz w:val="20"/>
          <w:szCs w:val="20"/>
          <w:lang w:val="en-US"/>
        </w:rPr>
      </w:pPr>
      <w:r w:rsidRPr="00A36BEC">
        <w:rPr>
          <w:sz w:val="20"/>
          <w:szCs w:val="20"/>
          <w:lang w:val="en-US"/>
        </w:rPr>
        <w:tab/>
        <w:t xml:space="preserve">Constitutionalizing a right to strike enshrines a political understanding of the concept of “workplace justice” that favours the interests of employees over those of employers and even over those of the public. While employees are granted constitutional rights, constitutional obligations are imposed on employers. Employers and the public are equally entitled to justice: true workplace justice looks at the interests of all implicated parties. In the public sector, strikes are a </w:t>
      </w:r>
      <w:r w:rsidRPr="00A36BEC">
        <w:rPr>
          <w:sz w:val="20"/>
          <w:szCs w:val="20"/>
          <w:lang w:val="en-US"/>
        </w:rPr>
        <w:lastRenderedPageBreak/>
        <w:t>political tool. The public expects that public services, and especially essential services, will be delivered. Thus unions attempt to pressure the government to agree to certain demands in order that these services be reinstated. Public sector labour disputes are unique in that the government as employer must take into account that any additional expenditures incurred to meet employee demands will come from public funds.</w:t>
      </w:r>
    </w:p>
    <w:p w:rsidR="0035247E" w:rsidRDefault="0035247E" w:rsidP="0035247E">
      <w:pPr>
        <w:pStyle w:val="SCCNormalDoubleSpacing"/>
        <w:spacing w:line="240" w:lineRule="auto"/>
        <w:rPr>
          <w:sz w:val="20"/>
          <w:lang w:val="en-US"/>
        </w:rPr>
      </w:pPr>
    </w:p>
    <w:p w:rsidR="0035247E" w:rsidRPr="00A36BEC" w:rsidRDefault="0035247E" w:rsidP="0035247E">
      <w:pPr>
        <w:pStyle w:val="SCCNormalDoubleSpacing"/>
        <w:spacing w:line="240" w:lineRule="auto"/>
        <w:rPr>
          <w:sz w:val="20"/>
          <w:lang w:val="en-US"/>
        </w:rPr>
      </w:pPr>
      <w:r w:rsidRPr="00A36BEC">
        <w:rPr>
          <w:sz w:val="20"/>
          <w:lang w:val="en-US"/>
        </w:rPr>
        <w:tab/>
        <w:t xml:space="preserve">It is incorrect to say that without the right to strike a constitutionalized right to bargain collectively is meaningless. The threat of work stoppage is not what motivates good faith bargaining. It is the statutory duty, and after </w:t>
      </w:r>
      <w:r w:rsidRPr="00A36BEC">
        <w:rPr>
          <w:i/>
          <w:sz w:val="20"/>
          <w:lang w:val="en-US"/>
        </w:rPr>
        <w:t>Health Services and Support — Facilities Subsector Bargaining Assn. v. British Columbia</w:t>
      </w:r>
      <w:r w:rsidRPr="00A36BEC">
        <w:rPr>
          <w:sz w:val="20"/>
          <w:lang w:val="en-US"/>
        </w:rPr>
        <w:t>, 2007 SCC 27, [2007] 2 S.C.R. 391, the constitutional duty, not the possibility of job action, that compels employers to bargain in good faith. The statutory right to strike allows both employers and employees to exercise economic and political power. Now by constitutionalizing only the ability of employees to exert such power, the majority disturbs the delicate balance of labour relations in Canada and impedes the achievement of true workplace justice.</w:t>
      </w:r>
    </w:p>
    <w:p w:rsidR="0035247E" w:rsidRDefault="0035247E" w:rsidP="0035247E">
      <w:pPr>
        <w:pStyle w:val="SCCNormalDoubleSpacing"/>
        <w:spacing w:line="240" w:lineRule="auto"/>
        <w:rPr>
          <w:sz w:val="20"/>
          <w:lang w:val="en-US"/>
        </w:rPr>
      </w:pPr>
    </w:p>
    <w:p w:rsidR="0035247E" w:rsidRPr="00A36BEC" w:rsidRDefault="0035247E" w:rsidP="0035247E">
      <w:pPr>
        <w:pStyle w:val="SCCNormalDoubleSpacing"/>
        <w:spacing w:line="240" w:lineRule="auto"/>
        <w:rPr>
          <w:sz w:val="20"/>
          <w:lang w:val="en-US"/>
        </w:rPr>
      </w:pPr>
      <w:r w:rsidRPr="00A36BEC">
        <w:rPr>
          <w:sz w:val="20"/>
          <w:lang w:val="en-US"/>
        </w:rPr>
        <w:tab/>
        <w:t xml:space="preserve">The conclusion that the right to strike is an indispensable component of collective bargaining does not accord with recent jurisprudence. There is nothing in the concept of collective bargaining as it was defined by this Court in </w:t>
      </w:r>
      <w:r w:rsidRPr="00A36BEC">
        <w:rPr>
          <w:i/>
          <w:sz w:val="20"/>
          <w:lang w:val="en-US"/>
        </w:rPr>
        <w:t>Health Services</w:t>
      </w:r>
      <w:r w:rsidRPr="00A36BEC">
        <w:rPr>
          <w:sz w:val="20"/>
          <w:lang w:val="en-US"/>
        </w:rPr>
        <w:t xml:space="preserve">, </w:t>
      </w:r>
      <w:r w:rsidRPr="00A36BEC">
        <w:rPr>
          <w:i/>
          <w:sz w:val="20"/>
          <w:lang w:val="en-US"/>
        </w:rPr>
        <w:t>Ontario (Attorney General) v. Fraser</w:t>
      </w:r>
      <w:r w:rsidRPr="00A36BEC">
        <w:rPr>
          <w:sz w:val="20"/>
          <w:lang w:val="en-US"/>
        </w:rPr>
        <w:t xml:space="preserve">, 2011 SCC 20, [2011] 2 S.C.R. 3, and </w:t>
      </w:r>
      <w:r w:rsidRPr="00A36BEC">
        <w:rPr>
          <w:i/>
          <w:sz w:val="20"/>
        </w:rPr>
        <w:t>Mounted Police Association of Ontario v. Canada (Attorney General)</w:t>
      </w:r>
      <w:r w:rsidRPr="00A36BEC">
        <w:rPr>
          <w:sz w:val="20"/>
        </w:rPr>
        <w:t>, 2015 SCC 1,</w:t>
      </w:r>
      <w:r w:rsidRPr="00A36BEC">
        <w:rPr>
          <w:sz w:val="20"/>
          <w:lang w:val="en-US"/>
        </w:rPr>
        <w:t xml:space="preserve"> that would imply that employees have a constitutional right to strike and that employers have a constitutional obligation to preserve the jobs of those employees. The threshold for overturning prior judgments is high. While the s. 2(d) jurisprudence has developed since the Labour Trilogy, neither this development, nor any change in the circumstances of Canadian labour relations justifies a departure from precedent. If anything, developments in the law support a finding that the right to freedom of association does not require constitutionalizing the right to strike. This is because recent s. 2(</w:t>
      </w:r>
      <w:r w:rsidRPr="00A36BEC">
        <w:rPr>
          <w:i/>
          <w:sz w:val="20"/>
          <w:lang w:val="en-US"/>
        </w:rPr>
        <w:t>d</w:t>
      </w:r>
      <w:r w:rsidRPr="00A36BEC">
        <w:rPr>
          <w:sz w:val="20"/>
          <w:lang w:val="en-US"/>
        </w:rPr>
        <w:t>) jurisprudence has already established a right to meaningful, good faith collective bargaining.</w:t>
      </w:r>
    </w:p>
    <w:p w:rsidR="0035247E" w:rsidRDefault="0035247E" w:rsidP="0035247E">
      <w:pPr>
        <w:pStyle w:val="SCCNormalDoubleSpacing"/>
        <w:spacing w:line="240" w:lineRule="auto"/>
        <w:rPr>
          <w:sz w:val="20"/>
          <w:lang w:val="en-US"/>
        </w:rPr>
      </w:pPr>
    </w:p>
    <w:p w:rsidR="0035247E" w:rsidRPr="00A36BEC" w:rsidRDefault="0035247E" w:rsidP="0035247E">
      <w:pPr>
        <w:pStyle w:val="SCCNormalDoubleSpacing"/>
        <w:spacing w:line="240" w:lineRule="auto"/>
        <w:rPr>
          <w:sz w:val="20"/>
          <w:lang w:val="en-US"/>
        </w:rPr>
      </w:pPr>
      <w:r w:rsidRPr="00A36BEC">
        <w:rPr>
          <w:sz w:val="20"/>
          <w:lang w:val="en-US"/>
        </w:rPr>
        <w:tab/>
        <w:t xml:space="preserve">International bodies disagree as to whether the right to strike is protected under international labour and human rights instruments. The current state of international law on the right to strike is unclear and provides no guidance in determining whether this right is an essential element of freedom of association. </w:t>
      </w:r>
    </w:p>
    <w:p w:rsidR="0035247E" w:rsidRDefault="0035247E" w:rsidP="0035247E">
      <w:pPr>
        <w:pStyle w:val="SCCNormalDoubleSpacing"/>
        <w:spacing w:line="240" w:lineRule="auto"/>
        <w:rPr>
          <w:sz w:val="20"/>
          <w:lang w:val="en-US"/>
        </w:rPr>
      </w:pPr>
    </w:p>
    <w:p w:rsidR="0035247E" w:rsidRPr="00A36BEC" w:rsidRDefault="0035247E" w:rsidP="0035247E">
      <w:pPr>
        <w:pStyle w:val="SCCNormalDoubleSpacing"/>
        <w:spacing w:line="240" w:lineRule="auto"/>
        <w:rPr>
          <w:sz w:val="20"/>
          <w:lang w:val="en-US"/>
        </w:rPr>
      </w:pPr>
      <w:r w:rsidRPr="00A36BEC">
        <w:rPr>
          <w:sz w:val="20"/>
          <w:lang w:val="en-US"/>
        </w:rPr>
        <w:tab/>
        <w:t xml:space="preserve">A right to strike is not required to ensure the constitutional guarantee of freedom of association. Therefore, the </w:t>
      </w:r>
      <w:r w:rsidRPr="00A36BEC">
        <w:rPr>
          <w:i/>
          <w:sz w:val="20"/>
          <w:lang w:val="en-US"/>
        </w:rPr>
        <w:t>PSESA</w:t>
      </w:r>
      <w:r w:rsidRPr="00A36BEC">
        <w:rPr>
          <w:sz w:val="20"/>
          <w:lang w:val="en-US"/>
        </w:rPr>
        <w:t>, which restricts the ability of public sector workers who provide essential services to strike, does not violate the right to meaningful collective bargaining protected under s. 2(</w:t>
      </w:r>
      <w:r w:rsidRPr="00A36BEC">
        <w:rPr>
          <w:i/>
          <w:sz w:val="20"/>
          <w:lang w:val="en-US"/>
        </w:rPr>
        <w:t>d</w:t>
      </w:r>
      <w:r w:rsidRPr="00A36BEC">
        <w:rPr>
          <w:sz w:val="20"/>
          <w:lang w:val="en-US"/>
        </w:rPr>
        <w:t xml:space="preserve">) of the </w:t>
      </w:r>
      <w:r w:rsidRPr="00A36BEC">
        <w:rPr>
          <w:i/>
          <w:sz w:val="20"/>
          <w:lang w:val="en-US"/>
        </w:rPr>
        <w:t>Charter</w:t>
      </w:r>
      <w:r w:rsidRPr="00A36BEC">
        <w:rPr>
          <w:sz w:val="20"/>
          <w:lang w:val="en-US"/>
        </w:rPr>
        <w:t xml:space="preserve">. The </w:t>
      </w:r>
      <w:r w:rsidRPr="00A36BEC">
        <w:rPr>
          <w:i/>
          <w:sz w:val="20"/>
          <w:lang w:val="en-US"/>
        </w:rPr>
        <w:t>PSESA</w:t>
      </w:r>
      <w:r w:rsidRPr="00A36BEC">
        <w:rPr>
          <w:sz w:val="20"/>
          <w:lang w:val="en-US"/>
        </w:rPr>
        <w:t xml:space="preserve">’s controlled strike regime does not render effectively impossible, nor substantially interfere with, the ability of associations representing affected public sector employees to submit representations to employers and to have them considered and discussed in good faith. The </w:t>
      </w:r>
      <w:r w:rsidRPr="00A36BEC">
        <w:rPr>
          <w:i/>
          <w:sz w:val="20"/>
          <w:lang w:val="en-US"/>
        </w:rPr>
        <w:t>PSESA</w:t>
      </w:r>
      <w:r w:rsidRPr="00A36BEC">
        <w:rPr>
          <w:sz w:val="20"/>
          <w:lang w:val="en-US"/>
        </w:rPr>
        <w:t xml:space="preserve"> facilitates consultation between employers and unions regarding the designation of essential services and the evidence in this case demonstrates that good faith collective bargaining took place. A violation of s. 2(</w:t>
      </w:r>
      <w:r w:rsidRPr="00A36BEC">
        <w:rPr>
          <w:i/>
          <w:sz w:val="20"/>
          <w:lang w:val="en-US"/>
        </w:rPr>
        <w:t>d</w:t>
      </w:r>
      <w:r w:rsidRPr="00A36BEC">
        <w:rPr>
          <w:sz w:val="20"/>
          <w:lang w:val="en-US"/>
        </w:rPr>
        <w:t xml:space="preserve">) of the </w:t>
      </w:r>
      <w:r w:rsidRPr="00A36BEC">
        <w:rPr>
          <w:i/>
          <w:sz w:val="20"/>
          <w:lang w:val="en-US"/>
        </w:rPr>
        <w:t xml:space="preserve">Charter </w:t>
      </w:r>
      <w:r w:rsidRPr="00A36BEC">
        <w:rPr>
          <w:sz w:val="20"/>
          <w:lang w:val="en-US"/>
        </w:rPr>
        <w:t>cannot be founded simply on allegations that the legislation does not provide an adequate dispute resolution process; s. 2(</w:t>
      </w:r>
      <w:r w:rsidRPr="00A36BEC">
        <w:rPr>
          <w:i/>
          <w:sz w:val="20"/>
          <w:lang w:val="en-US"/>
        </w:rPr>
        <w:t>d</w:t>
      </w:r>
      <w:r w:rsidRPr="00A36BEC">
        <w:rPr>
          <w:sz w:val="20"/>
          <w:lang w:val="en-US"/>
        </w:rPr>
        <w:t>) does not entail such a right. Moreover, the goal of strikes is not to ensure meaningful collective bargaining, but instead to exert political pressure on employers. Finally, the statutory balance struck by the Government of Saskatchewan is eminently reasonable. Canadian federal and provincial governments have made a constitutional commitment “to provide essential public services of reasonable quality to all Canadians” (</w:t>
      </w:r>
      <w:r w:rsidRPr="00A36BEC">
        <w:rPr>
          <w:i/>
          <w:sz w:val="20"/>
          <w:lang w:val="en-US"/>
        </w:rPr>
        <w:t>Constitution Act, 1982</w:t>
      </w:r>
      <w:r w:rsidRPr="00A36BEC">
        <w:rPr>
          <w:sz w:val="20"/>
          <w:lang w:val="en-US"/>
        </w:rPr>
        <w:t>, s. 36(1)(</w:t>
      </w:r>
      <w:r w:rsidRPr="00A36BEC">
        <w:rPr>
          <w:i/>
          <w:sz w:val="20"/>
          <w:lang w:val="en-US"/>
        </w:rPr>
        <w:t>c</w:t>
      </w:r>
      <w:r w:rsidRPr="00A36BEC">
        <w:rPr>
          <w:sz w:val="20"/>
          <w:lang w:val="en-US"/>
        </w:rPr>
        <w:t xml:space="preserve">)). As a result, the Government of Saskatchewan cannot subject itself to arbitral awards that could make it unaffordable to deliver on its undertaking. It has devised a particular legislative framework in order to safeguard the continued delivery of essential services to the community during labour disputes. This Court should defer to the government’s policy choices in balancing the interests of employers, employees, and the public. </w:t>
      </w:r>
    </w:p>
    <w:p w:rsidR="0035247E" w:rsidRDefault="0035247E" w:rsidP="0035247E">
      <w:pPr>
        <w:pStyle w:val="SCCNormalDoubleSpacing"/>
        <w:spacing w:line="240" w:lineRule="auto"/>
        <w:rPr>
          <w:sz w:val="20"/>
          <w:lang w:val="en-US"/>
        </w:rPr>
      </w:pPr>
    </w:p>
    <w:p w:rsidR="0035247E" w:rsidRDefault="0035247E" w:rsidP="0035247E">
      <w:pPr>
        <w:pStyle w:val="SCCNormalDoubleSpacing"/>
        <w:spacing w:line="240" w:lineRule="auto"/>
        <w:rPr>
          <w:sz w:val="20"/>
          <w:lang w:val="en-US"/>
        </w:rPr>
      </w:pPr>
      <w:r w:rsidRPr="00A36BEC">
        <w:rPr>
          <w:sz w:val="20"/>
          <w:lang w:val="en-US"/>
        </w:rPr>
        <w:tab/>
      </w:r>
      <w:r w:rsidRPr="00A36BEC">
        <w:rPr>
          <w:i/>
          <w:sz w:val="20"/>
          <w:lang w:val="en-US"/>
        </w:rPr>
        <w:t>The Trade Union Amendment Act, 2008</w:t>
      </w:r>
      <w:r w:rsidRPr="00A36BEC">
        <w:rPr>
          <w:sz w:val="20"/>
          <w:lang w:val="en-US"/>
        </w:rPr>
        <w:t xml:space="preserve"> does not infringe the right to freedom of association.</w:t>
      </w:r>
    </w:p>
    <w:p w:rsidR="0035247E" w:rsidRDefault="0035247E" w:rsidP="0035247E">
      <w:pPr>
        <w:pStyle w:val="SCCNormalDoubleSpacing"/>
        <w:spacing w:line="240" w:lineRule="auto"/>
        <w:rPr>
          <w:sz w:val="20"/>
        </w:rPr>
      </w:pPr>
    </w:p>
    <w:p w:rsidR="0035247E" w:rsidRDefault="0035247E" w:rsidP="0035247E">
      <w:pPr>
        <w:pStyle w:val="SCCNormalDoubleSpacing"/>
        <w:spacing w:line="240" w:lineRule="auto"/>
        <w:rPr>
          <w:sz w:val="20"/>
        </w:rPr>
      </w:pPr>
      <w:r w:rsidRPr="00A36BEC">
        <w:rPr>
          <w:sz w:val="20"/>
        </w:rPr>
        <w:tab/>
        <w:t>APPEAL from a judgment of the Saskatchewan Court of Appeal (Klebuc C.J.S. and Richards, Ottenbreit, Caldwell and Herauf JJ.A.), 2013 SKCA 43, 414 Sask. R. 70, 575 W.A.C. 70, 361 D.L.R. (4th) 132, 280 C.R.R. (2d) 187, [2013] 6 W.W.R. 453, 227 C.L.R.B.R. (2d) 1, 2013 CLLC ¶220</w:t>
      </w:r>
      <w:r w:rsidRPr="00A36BEC">
        <w:rPr>
          <w:sz w:val="20"/>
        </w:rPr>
        <w:noBreakHyphen/>
        <w:t>032, [2013] S.J. No. 235 (QL), 2013 CarswellSask 252 (WL Can.), setting aside in part a decision of Ball J., 2012 SKQB 62, 390 Sask. R. 196, 254 C.R.R. (2d) 288, [2012] 7 W.W.R. 743, 211 C.L.R.B.R. (2d) 1, 2012 CLLC ¶220</w:t>
      </w:r>
      <w:r w:rsidRPr="00A36BEC">
        <w:rPr>
          <w:sz w:val="20"/>
        </w:rPr>
        <w:noBreakHyphen/>
        <w:t>016, [2012] S.J. No. 49 (QL), 2012 CarswellSask 64 (WL Can.). Appeal allowed in part, Rothstein and Wagner JJ. dissenting in part.</w:t>
      </w:r>
    </w:p>
    <w:p w:rsidR="0035247E" w:rsidRPr="00A36BEC" w:rsidRDefault="0035247E" w:rsidP="0035247E">
      <w:pPr>
        <w:pStyle w:val="SCCNormalDoubleSpacing"/>
        <w:spacing w:line="240" w:lineRule="auto"/>
        <w:rPr>
          <w:sz w:val="20"/>
        </w:rPr>
      </w:pPr>
    </w:p>
    <w:p w:rsidR="0035247E" w:rsidRPr="00A36BEC" w:rsidRDefault="0035247E" w:rsidP="0035247E">
      <w:pPr>
        <w:pStyle w:val="SCCNormalDoubleSpacing"/>
        <w:spacing w:line="240" w:lineRule="auto"/>
        <w:rPr>
          <w:sz w:val="20"/>
        </w:rPr>
      </w:pPr>
      <w:r w:rsidRPr="00A36BEC">
        <w:rPr>
          <w:i/>
          <w:sz w:val="20"/>
        </w:rPr>
        <w:tab/>
        <w:t>Rick Engel, Q.C.</w:t>
      </w:r>
      <w:r w:rsidRPr="00A36BEC">
        <w:rPr>
          <w:sz w:val="20"/>
        </w:rPr>
        <w:t xml:space="preserve">, </w:t>
      </w:r>
      <w:r w:rsidRPr="00A36BEC">
        <w:rPr>
          <w:i/>
          <w:sz w:val="20"/>
        </w:rPr>
        <w:t>Craig D. Bavis</w:t>
      </w:r>
      <w:r w:rsidRPr="00A36BEC">
        <w:rPr>
          <w:sz w:val="20"/>
        </w:rPr>
        <w:t xml:space="preserve"> and </w:t>
      </w:r>
      <w:r w:rsidRPr="00A36BEC">
        <w:rPr>
          <w:i/>
          <w:sz w:val="20"/>
        </w:rPr>
        <w:t>Peter Barnacle</w:t>
      </w:r>
      <w:r w:rsidRPr="00A36BEC">
        <w:rPr>
          <w:sz w:val="20"/>
        </w:rPr>
        <w:t>, for the appellants.</w:t>
      </w:r>
    </w:p>
    <w:p w:rsidR="0035247E" w:rsidRDefault="0035247E" w:rsidP="0035247E">
      <w:pPr>
        <w:pStyle w:val="SCCNormalDoubleSpacing"/>
        <w:spacing w:line="240" w:lineRule="auto"/>
        <w:rPr>
          <w:i/>
          <w:sz w:val="20"/>
        </w:rPr>
      </w:pPr>
    </w:p>
    <w:p w:rsidR="0035247E" w:rsidRPr="00A36BEC" w:rsidRDefault="0035247E" w:rsidP="0035247E">
      <w:pPr>
        <w:pStyle w:val="SCCNormalDoubleSpacing"/>
        <w:spacing w:line="240" w:lineRule="auto"/>
        <w:rPr>
          <w:sz w:val="20"/>
        </w:rPr>
      </w:pPr>
      <w:r w:rsidRPr="00A36BEC">
        <w:rPr>
          <w:i/>
          <w:sz w:val="20"/>
        </w:rPr>
        <w:tab/>
        <w:t>Graeme G. Mitchell</w:t>
      </w:r>
      <w:r w:rsidRPr="00A36BEC">
        <w:rPr>
          <w:sz w:val="20"/>
        </w:rPr>
        <w:t xml:space="preserve">, </w:t>
      </w:r>
      <w:r w:rsidRPr="00A36BEC">
        <w:rPr>
          <w:i/>
          <w:sz w:val="20"/>
        </w:rPr>
        <w:t>Q.C.</w:t>
      </w:r>
      <w:r w:rsidRPr="00A36BEC">
        <w:rPr>
          <w:sz w:val="20"/>
        </w:rPr>
        <w:t xml:space="preserve">, </w:t>
      </w:r>
      <w:r w:rsidRPr="00A36BEC">
        <w:rPr>
          <w:i/>
          <w:sz w:val="20"/>
        </w:rPr>
        <w:t>Barbara C. Mysko</w:t>
      </w:r>
      <w:r w:rsidRPr="00A36BEC">
        <w:rPr>
          <w:sz w:val="20"/>
        </w:rPr>
        <w:t xml:space="preserve"> and </w:t>
      </w:r>
      <w:r w:rsidRPr="00A36BEC">
        <w:rPr>
          <w:i/>
          <w:sz w:val="20"/>
        </w:rPr>
        <w:t>Katherine M. Roy</w:t>
      </w:r>
      <w:r w:rsidRPr="00A36BEC">
        <w:rPr>
          <w:sz w:val="20"/>
        </w:rPr>
        <w:t>, for the respondent.</w:t>
      </w:r>
    </w:p>
    <w:p w:rsidR="0035247E" w:rsidRDefault="0035247E" w:rsidP="0035247E">
      <w:pPr>
        <w:pStyle w:val="SCCNormalDoubleSpacing"/>
        <w:spacing w:line="240" w:lineRule="auto"/>
        <w:rPr>
          <w:i/>
          <w:sz w:val="20"/>
        </w:rPr>
      </w:pPr>
    </w:p>
    <w:p w:rsidR="0035247E" w:rsidRPr="00A36BEC" w:rsidRDefault="0035247E" w:rsidP="0035247E">
      <w:pPr>
        <w:pStyle w:val="SCCNormalDoubleSpacing"/>
        <w:spacing w:line="240" w:lineRule="auto"/>
        <w:rPr>
          <w:sz w:val="20"/>
        </w:rPr>
      </w:pPr>
      <w:r w:rsidRPr="00A36BEC">
        <w:rPr>
          <w:i/>
          <w:sz w:val="20"/>
        </w:rPr>
        <w:tab/>
        <w:t>Mark R. Kindrachuk</w:t>
      </w:r>
      <w:r w:rsidRPr="00A36BEC">
        <w:rPr>
          <w:sz w:val="20"/>
        </w:rPr>
        <w:t xml:space="preserve">, </w:t>
      </w:r>
      <w:r w:rsidRPr="00A36BEC">
        <w:rPr>
          <w:i/>
          <w:sz w:val="20"/>
        </w:rPr>
        <w:t>Q.C.</w:t>
      </w:r>
      <w:r w:rsidRPr="00A36BEC">
        <w:rPr>
          <w:sz w:val="20"/>
        </w:rPr>
        <w:t xml:space="preserve">, and </w:t>
      </w:r>
      <w:r w:rsidRPr="00A36BEC">
        <w:rPr>
          <w:i/>
          <w:sz w:val="20"/>
        </w:rPr>
        <w:t>Sean Gaudet</w:t>
      </w:r>
      <w:r w:rsidRPr="00A36BEC">
        <w:rPr>
          <w:sz w:val="20"/>
        </w:rPr>
        <w:t>, for the intervener the Attorney General of Canada.</w:t>
      </w:r>
    </w:p>
    <w:p w:rsidR="0035247E" w:rsidRDefault="0035247E" w:rsidP="0035247E">
      <w:pPr>
        <w:pStyle w:val="SCCNormalDoubleSpacing"/>
        <w:spacing w:line="240" w:lineRule="auto"/>
        <w:rPr>
          <w:i/>
          <w:sz w:val="20"/>
        </w:rPr>
      </w:pPr>
    </w:p>
    <w:p w:rsidR="0035247E" w:rsidRPr="00A36BEC" w:rsidRDefault="0035247E" w:rsidP="0035247E">
      <w:pPr>
        <w:pStyle w:val="SCCNormalDoubleSpacing"/>
        <w:spacing w:line="240" w:lineRule="auto"/>
        <w:rPr>
          <w:sz w:val="20"/>
        </w:rPr>
      </w:pPr>
      <w:r w:rsidRPr="00A36BEC">
        <w:rPr>
          <w:i/>
          <w:sz w:val="20"/>
        </w:rPr>
        <w:tab/>
        <w:t>Robert E. Charney</w:t>
      </w:r>
      <w:r w:rsidRPr="00A36BEC">
        <w:rPr>
          <w:sz w:val="20"/>
        </w:rPr>
        <w:t xml:space="preserve"> and </w:t>
      </w:r>
      <w:r w:rsidRPr="00A36BEC">
        <w:rPr>
          <w:i/>
          <w:sz w:val="20"/>
        </w:rPr>
        <w:t>Sarah Wright</w:t>
      </w:r>
      <w:r w:rsidRPr="00A36BEC">
        <w:rPr>
          <w:sz w:val="20"/>
        </w:rPr>
        <w:t>, for the intervener the Attorney General of Ontario.</w:t>
      </w:r>
    </w:p>
    <w:p w:rsidR="0035247E" w:rsidRDefault="0035247E" w:rsidP="0035247E">
      <w:pPr>
        <w:pStyle w:val="SCCNormalDoubleSpacing"/>
        <w:spacing w:line="240" w:lineRule="auto"/>
        <w:rPr>
          <w:i/>
          <w:sz w:val="20"/>
        </w:rPr>
      </w:pPr>
    </w:p>
    <w:p w:rsidR="0035247E" w:rsidRPr="00A36BEC" w:rsidRDefault="0035247E" w:rsidP="0035247E">
      <w:pPr>
        <w:pStyle w:val="SCCNormalDoubleSpacing"/>
        <w:spacing w:line="240" w:lineRule="auto"/>
        <w:rPr>
          <w:sz w:val="20"/>
        </w:rPr>
      </w:pPr>
      <w:r w:rsidRPr="00A36BEC">
        <w:rPr>
          <w:i/>
          <w:sz w:val="20"/>
        </w:rPr>
        <w:tab/>
        <w:t>Caroline Renaud</w:t>
      </w:r>
      <w:r w:rsidRPr="00A36BEC">
        <w:rPr>
          <w:sz w:val="20"/>
        </w:rPr>
        <w:t xml:space="preserve"> and </w:t>
      </w:r>
      <w:r w:rsidRPr="00A36BEC">
        <w:rPr>
          <w:i/>
          <w:sz w:val="20"/>
        </w:rPr>
        <w:t>Amélie Pelletier Desrosiers</w:t>
      </w:r>
      <w:r w:rsidRPr="00A36BEC">
        <w:rPr>
          <w:sz w:val="20"/>
        </w:rPr>
        <w:t>, for the intervener the Attorney General of Quebec.</w:t>
      </w:r>
    </w:p>
    <w:p w:rsidR="0035247E" w:rsidRDefault="0035247E" w:rsidP="0035247E">
      <w:pPr>
        <w:pStyle w:val="SCCNormalDoubleSpacing"/>
        <w:spacing w:line="240" w:lineRule="auto"/>
        <w:rPr>
          <w:i/>
          <w:sz w:val="20"/>
        </w:rPr>
      </w:pPr>
    </w:p>
    <w:p w:rsidR="0035247E" w:rsidRPr="00A36BEC" w:rsidRDefault="0035247E" w:rsidP="0035247E">
      <w:pPr>
        <w:pStyle w:val="SCCNormalDoubleSpacing"/>
        <w:spacing w:line="240" w:lineRule="auto"/>
        <w:rPr>
          <w:sz w:val="20"/>
        </w:rPr>
      </w:pPr>
      <w:r w:rsidRPr="00A36BEC">
        <w:rPr>
          <w:i/>
          <w:sz w:val="20"/>
        </w:rPr>
        <w:tab/>
        <w:t>Keith Evans</w:t>
      </w:r>
      <w:r w:rsidRPr="00A36BEC">
        <w:rPr>
          <w:sz w:val="20"/>
        </w:rPr>
        <w:t>, for the intervener the Attorney General of British Columbia.</w:t>
      </w:r>
    </w:p>
    <w:p w:rsidR="0035247E" w:rsidRDefault="0035247E" w:rsidP="0035247E">
      <w:pPr>
        <w:pStyle w:val="SCCNormalDoubleSpacing"/>
        <w:spacing w:line="240" w:lineRule="auto"/>
        <w:rPr>
          <w:i/>
          <w:sz w:val="20"/>
        </w:rPr>
      </w:pPr>
    </w:p>
    <w:p w:rsidR="0035247E" w:rsidRPr="00A36BEC" w:rsidRDefault="0035247E" w:rsidP="0035247E">
      <w:pPr>
        <w:pStyle w:val="SCCNormalDoubleSpacing"/>
        <w:spacing w:line="240" w:lineRule="auto"/>
        <w:rPr>
          <w:sz w:val="20"/>
        </w:rPr>
      </w:pPr>
      <w:r w:rsidRPr="00A36BEC">
        <w:rPr>
          <w:i/>
          <w:sz w:val="20"/>
        </w:rPr>
        <w:tab/>
        <w:t>Roderick Wiltshire</w:t>
      </w:r>
      <w:r w:rsidRPr="00A36BEC">
        <w:rPr>
          <w:sz w:val="20"/>
        </w:rPr>
        <w:t>, for the intervener the Attorney General of Alberta.</w:t>
      </w:r>
    </w:p>
    <w:p w:rsidR="0035247E" w:rsidRDefault="0035247E" w:rsidP="0035247E">
      <w:pPr>
        <w:pStyle w:val="SCCNormalDoubleSpacing"/>
        <w:spacing w:line="240" w:lineRule="auto"/>
        <w:rPr>
          <w:i/>
          <w:sz w:val="20"/>
        </w:rPr>
      </w:pPr>
    </w:p>
    <w:p w:rsidR="0035247E" w:rsidRPr="00A36BEC" w:rsidRDefault="0035247E" w:rsidP="0035247E">
      <w:pPr>
        <w:pStyle w:val="SCCNormalDoubleSpacing"/>
        <w:spacing w:line="240" w:lineRule="auto"/>
        <w:rPr>
          <w:sz w:val="20"/>
        </w:rPr>
      </w:pPr>
      <w:r w:rsidRPr="00A36BEC">
        <w:rPr>
          <w:i/>
          <w:sz w:val="20"/>
        </w:rPr>
        <w:tab/>
        <w:t>Chantelle MacDonald Newhook</w:t>
      </w:r>
      <w:r w:rsidRPr="00A36BEC">
        <w:rPr>
          <w:sz w:val="20"/>
        </w:rPr>
        <w:t>, for the intervener the Attorney General of Newfoundland and Labrador.</w:t>
      </w:r>
    </w:p>
    <w:p w:rsidR="0035247E" w:rsidRDefault="0035247E" w:rsidP="0035247E">
      <w:pPr>
        <w:pStyle w:val="SCCNormalDoubleSpacing"/>
        <w:spacing w:line="240" w:lineRule="auto"/>
        <w:rPr>
          <w:i/>
          <w:sz w:val="20"/>
        </w:rPr>
      </w:pPr>
    </w:p>
    <w:p w:rsidR="0035247E" w:rsidRPr="00A36BEC" w:rsidRDefault="0035247E" w:rsidP="0035247E">
      <w:pPr>
        <w:pStyle w:val="SCCNormalDoubleSpacing"/>
        <w:spacing w:line="240" w:lineRule="auto"/>
        <w:rPr>
          <w:sz w:val="20"/>
        </w:rPr>
      </w:pPr>
      <w:r w:rsidRPr="00A36BEC">
        <w:rPr>
          <w:i/>
          <w:sz w:val="20"/>
        </w:rPr>
        <w:tab/>
        <w:t>Gary L. Bainbridge</w:t>
      </w:r>
      <w:r w:rsidRPr="00A36BEC">
        <w:rPr>
          <w:sz w:val="20"/>
        </w:rPr>
        <w:t xml:space="preserve"> and </w:t>
      </w:r>
      <w:r w:rsidRPr="00A36BEC">
        <w:rPr>
          <w:i/>
          <w:sz w:val="20"/>
        </w:rPr>
        <w:t>Marcus R. Davies</w:t>
      </w:r>
      <w:r w:rsidRPr="00A36BEC">
        <w:rPr>
          <w:sz w:val="20"/>
        </w:rPr>
        <w:t>, for the intervener the Saskatchewan Union of Nurses.</w:t>
      </w:r>
    </w:p>
    <w:p w:rsidR="0035247E" w:rsidRDefault="0035247E" w:rsidP="0035247E">
      <w:pPr>
        <w:pStyle w:val="SCCNormalDoubleSpacing"/>
        <w:spacing w:line="240" w:lineRule="auto"/>
        <w:rPr>
          <w:i/>
          <w:sz w:val="20"/>
        </w:rPr>
      </w:pPr>
    </w:p>
    <w:p w:rsidR="0035247E" w:rsidRPr="00A36BEC" w:rsidRDefault="0035247E" w:rsidP="0035247E">
      <w:pPr>
        <w:pStyle w:val="SCCNormalDoubleSpacing"/>
        <w:spacing w:line="240" w:lineRule="auto"/>
        <w:rPr>
          <w:sz w:val="20"/>
        </w:rPr>
      </w:pPr>
      <w:r w:rsidRPr="00A36BEC">
        <w:rPr>
          <w:i/>
          <w:sz w:val="20"/>
        </w:rPr>
        <w:tab/>
        <w:t>Drew S. Plaxton</w:t>
      </w:r>
      <w:r w:rsidRPr="00A36BEC">
        <w:rPr>
          <w:sz w:val="20"/>
        </w:rPr>
        <w:t>, for the intervener SEIU</w:t>
      </w:r>
      <w:r w:rsidRPr="00A36BEC">
        <w:rPr>
          <w:sz w:val="20"/>
        </w:rPr>
        <w:noBreakHyphen/>
        <w:t>West.</w:t>
      </w:r>
    </w:p>
    <w:p w:rsidR="0035247E" w:rsidRDefault="0035247E" w:rsidP="0035247E">
      <w:pPr>
        <w:pStyle w:val="SCCNormalDoubleSpacing"/>
        <w:spacing w:line="240" w:lineRule="auto"/>
        <w:rPr>
          <w:sz w:val="20"/>
        </w:rPr>
      </w:pPr>
    </w:p>
    <w:p w:rsidR="0035247E" w:rsidRPr="00A36BEC" w:rsidRDefault="0035247E" w:rsidP="0035247E">
      <w:pPr>
        <w:pStyle w:val="SCCNormalDoubleSpacing"/>
        <w:spacing w:line="240" w:lineRule="auto"/>
        <w:rPr>
          <w:sz w:val="20"/>
        </w:rPr>
      </w:pPr>
      <w:r w:rsidRPr="00A36BEC">
        <w:rPr>
          <w:sz w:val="20"/>
        </w:rPr>
        <w:tab/>
        <w:t>Written submissions only by</w:t>
      </w:r>
      <w:r w:rsidRPr="00A36BEC">
        <w:rPr>
          <w:i/>
          <w:sz w:val="20"/>
        </w:rPr>
        <w:t xml:space="preserve"> Ritu Khullar</w:t>
      </w:r>
      <w:r w:rsidRPr="00A36BEC">
        <w:rPr>
          <w:sz w:val="20"/>
        </w:rPr>
        <w:t xml:space="preserve">, </w:t>
      </w:r>
      <w:r w:rsidRPr="00A36BEC">
        <w:rPr>
          <w:i/>
          <w:sz w:val="20"/>
        </w:rPr>
        <w:t>Q.C.</w:t>
      </w:r>
      <w:r w:rsidRPr="00A36BEC">
        <w:rPr>
          <w:sz w:val="20"/>
        </w:rPr>
        <w:t xml:space="preserve">, and </w:t>
      </w:r>
      <w:r w:rsidRPr="00A36BEC">
        <w:rPr>
          <w:i/>
          <w:sz w:val="20"/>
        </w:rPr>
        <w:t>Vanessa Cosco</w:t>
      </w:r>
      <w:r w:rsidRPr="00A36BEC">
        <w:rPr>
          <w:sz w:val="20"/>
        </w:rPr>
        <w:t>, for the interveners the United Nurses of Alberta and the Alberta Federation of Labour.</w:t>
      </w:r>
    </w:p>
    <w:p w:rsidR="0035247E" w:rsidRDefault="0035247E" w:rsidP="0035247E">
      <w:pPr>
        <w:pStyle w:val="SCCNormalDoubleSpacing"/>
        <w:spacing w:line="240" w:lineRule="auto"/>
        <w:rPr>
          <w:sz w:val="20"/>
        </w:rPr>
      </w:pPr>
    </w:p>
    <w:p w:rsidR="0035247E" w:rsidRPr="00A36BEC" w:rsidRDefault="0035247E" w:rsidP="0035247E">
      <w:pPr>
        <w:pStyle w:val="SCCNormalDoubleSpacing"/>
        <w:spacing w:line="240" w:lineRule="auto"/>
        <w:rPr>
          <w:sz w:val="20"/>
        </w:rPr>
      </w:pPr>
      <w:r w:rsidRPr="00A36BEC">
        <w:rPr>
          <w:sz w:val="20"/>
        </w:rPr>
        <w:tab/>
        <w:t>Written submissions only by</w:t>
      </w:r>
      <w:r w:rsidRPr="00A36BEC">
        <w:rPr>
          <w:i/>
          <w:sz w:val="20"/>
        </w:rPr>
        <w:t xml:space="preserve"> Peter C. Engelmann</w:t>
      </w:r>
      <w:r w:rsidRPr="00A36BEC">
        <w:rPr>
          <w:sz w:val="20"/>
        </w:rPr>
        <w:t xml:space="preserve"> and </w:t>
      </w:r>
      <w:r w:rsidRPr="00A36BEC">
        <w:rPr>
          <w:i/>
          <w:sz w:val="20"/>
        </w:rPr>
        <w:t>Colleen Bauman</w:t>
      </w:r>
      <w:r w:rsidRPr="00A36BEC">
        <w:rPr>
          <w:sz w:val="20"/>
        </w:rPr>
        <w:t>, for the intervener the Professional Institute of the Public Service of Canada.</w:t>
      </w:r>
    </w:p>
    <w:p w:rsidR="0035247E" w:rsidRDefault="0035247E" w:rsidP="0035247E">
      <w:pPr>
        <w:pStyle w:val="SCCNormalDoubleSpacing"/>
        <w:spacing w:line="240" w:lineRule="auto"/>
        <w:rPr>
          <w:i/>
          <w:sz w:val="20"/>
        </w:rPr>
      </w:pPr>
    </w:p>
    <w:p w:rsidR="0035247E" w:rsidRPr="00A36BEC" w:rsidRDefault="0035247E" w:rsidP="0035247E">
      <w:pPr>
        <w:pStyle w:val="SCCNormalDoubleSpacing"/>
        <w:spacing w:line="240" w:lineRule="auto"/>
        <w:rPr>
          <w:sz w:val="20"/>
        </w:rPr>
      </w:pPr>
      <w:r w:rsidRPr="00A36BEC">
        <w:rPr>
          <w:i/>
          <w:sz w:val="20"/>
        </w:rPr>
        <w:tab/>
        <w:t xml:space="preserve">Darryl Cruz </w:t>
      </w:r>
      <w:r w:rsidRPr="00A36BEC">
        <w:rPr>
          <w:sz w:val="20"/>
        </w:rPr>
        <w:t xml:space="preserve">and </w:t>
      </w:r>
      <w:r w:rsidRPr="00A36BEC">
        <w:rPr>
          <w:i/>
          <w:sz w:val="20"/>
        </w:rPr>
        <w:t>Brandon Kain</w:t>
      </w:r>
      <w:r w:rsidRPr="00A36BEC">
        <w:rPr>
          <w:sz w:val="20"/>
        </w:rPr>
        <w:t>, for the intervener the Canadian Constitution Foundation.</w:t>
      </w:r>
    </w:p>
    <w:p w:rsidR="0035247E" w:rsidRDefault="0035247E" w:rsidP="0035247E">
      <w:pPr>
        <w:pStyle w:val="SCCNormalDoubleSpacing"/>
        <w:spacing w:line="240" w:lineRule="auto"/>
        <w:rPr>
          <w:i/>
          <w:sz w:val="20"/>
        </w:rPr>
      </w:pPr>
    </w:p>
    <w:p w:rsidR="0035247E" w:rsidRPr="00A36BEC" w:rsidRDefault="0035247E" w:rsidP="0035247E">
      <w:pPr>
        <w:pStyle w:val="SCCNormalDoubleSpacing"/>
        <w:spacing w:line="240" w:lineRule="auto"/>
        <w:rPr>
          <w:sz w:val="20"/>
        </w:rPr>
      </w:pPr>
      <w:r w:rsidRPr="00A36BEC">
        <w:rPr>
          <w:i/>
          <w:sz w:val="20"/>
        </w:rPr>
        <w:tab/>
        <w:t>Steve Waller</w:t>
      </w:r>
      <w:r w:rsidRPr="00A36BEC">
        <w:rPr>
          <w:sz w:val="20"/>
        </w:rPr>
        <w:t xml:space="preserve"> and </w:t>
      </w:r>
      <w:r w:rsidRPr="00A36BEC">
        <w:rPr>
          <w:i/>
          <w:sz w:val="20"/>
        </w:rPr>
        <w:t>Christopher Rootham</w:t>
      </w:r>
      <w:r w:rsidRPr="00A36BEC">
        <w:rPr>
          <w:sz w:val="20"/>
        </w:rPr>
        <w:t>, for the intervener the Air Canada Pilots’ Association.</w:t>
      </w:r>
    </w:p>
    <w:p w:rsidR="0035247E" w:rsidRDefault="0035247E" w:rsidP="0035247E">
      <w:pPr>
        <w:pStyle w:val="SCCNormalDoubleSpacing"/>
        <w:spacing w:line="240" w:lineRule="auto"/>
        <w:rPr>
          <w:i/>
          <w:sz w:val="20"/>
        </w:rPr>
      </w:pPr>
    </w:p>
    <w:p w:rsidR="0035247E" w:rsidRPr="00A36BEC" w:rsidRDefault="0035247E" w:rsidP="0035247E">
      <w:pPr>
        <w:pStyle w:val="SCCNormalDoubleSpacing"/>
        <w:spacing w:line="240" w:lineRule="auto"/>
        <w:rPr>
          <w:sz w:val="20"/>
        </w:rPr>
      </w:pPr>
      <w:r w:rsidRPr="00A36BEC">
        <w:rPr>
          <w:i/>
          <w:sz w:val="20"/>
        </w:rPr>
        <w:tab/>
        <w:t>Lindsay M. Lyster</w:t>
      </w:r>
      <w:r w:rsidRPr="00A36BEC">
        <w:rPr>
          <w:sz w:val="20"/>
        </w:rPr>
        <w:t>, for the intervener the British Columbia Civil Liberties Association.</w:t>
      </w:r>
    </w:p>
    <w:p w:rsidR="0035247E" w:rsidRDefault="0035247E" w:rsidP="0035247E">
      <w:pPr>
        <w:pStyle w:val="SCCNormalDoubleSpacing"/>
        <w:spacing w:line="240" w:lineRule="auto"/>
        <w:rPr>
          <w:sz w:val="20"/>
        </w:rPr>
      </w:pPr>
    </w:p>
    <w:p w:rsidR="0035247E" w:rsidRPr="00A36BEC" w:rsidRDefault="0035247E" w:rsidP="0035247E">
      <w:pPr>
        <w:pStyle w:val="SCCNormalDoubleSpacing"/>
        <w:spacing w:line="240" w:lineRule="auto"/>
        <w:rPr>
          <w:sz w:val="20"/>
        </w:rPr>
      </w:pPr>
      <w:r w:rsidRPr="00A36BEC">
        <w:rPr>
          <w:sz w:val="20"/>
        </w:rPr>
        <w:tab/>
        <w:t>Written submissions only by</w:t>
      </w:r>
      <w:r w:rsidRPr="00A36BEC">
        <w:rPr>
          <w:i/>
          <w:sz w:val="20"/>
        </w:rPr>
        <w:t xml:space="preserve"> Louise Laplante</w:t>
      </w:r>
      <w:r w:rsidRPr="00A36BEC">
        <w:rPr>
          <w:sz w:val="20"/>
        </w:rPr>
        <w:t xml:space="preserve">, </w:t>
      </w:r>
      <w:r w:rsidRPr="00A36BEC">
        <w:rPr>
          <w:i/>
          <w:sz w:val="20"/>
        </w:rPr>
        <w:t>Nancy Ménard</w:t>
      </w:r>
      <w:r w:rsidRPr="00A36BEC">
        <w:rPr>
          <w:i/>
          <w:sz w:val="20"/>
        </w:rPr>
        <w:noBreakHyphen/>
        <w:t>Cheng</w:t>
      </w:r>
      <w:r w:rsidRPr="00A36BEC">
        <w:rPr>
          <w:sz w:val="20"/>
        </w:rPr>
        <w:t xml:space="preserve"> and </w:t>
      </w:r>
      <w:r w:rsidRPr="00A36BEC">
        <w:rPr>
          <w:i/>
          <w:sz w:val="20"/>
        </w:rPr>
        <w:t>Sébastien Beauregard</w:t>
      </w:r>
      <w:r w:rsidRPr="00A36BEC">
        <w:rPr>
          <w:sz w:val="20"/>
        </w:rPr>
        <w:t>, for the intervener Conseil du patronat du Québec.</w:t>
      </w:r>
    </w:p>
    <w:p w:rsidR="0035247E" w:rsidRDefault="0035247E" w:rsidP="0035247E">
      <w:pPr>
        <w:pStyle w:val="SCCNormalDoubleSpacing"/>
        <w:spacing w:line="240" w:lineRule="auto"/>
        <w:rPr>
          <w:i/>
          <w:sz w:val="20"/>
        </w:rPr>
      </w:pPr>
    </w:p>
    <w:p w:rsidR="0035247E" w:rsidRPr="00A36BEC" w:rsidRDefault="0035247E" w:rsidP="0035247E">
      <w:pPr>
        <w:pStyle w:val="SCCNormalDoubleSpacing"/>
        <w:spacing w:line="240" w:lineRule="auto"/>
        <w:rPr>
          <w:sz w:val="20"/>
        </w:rPr>
      </w:pPr>
      <w:r w:rsidRPr="00A36BEC">
        <w:rPr>
          <w:i/>
          <w:sz w:val="20"/>
        </w:rPr>
        <w:tab/>
        <w:t>John D. R. Craig</w:t>
      </w:r>
      <w:r w:rsidRPr="00A36BEC">
        <w:rPr>
          <w:sz w:val="20"/>
        </w:rPr>
        <w:t xml:space="preserve"> and </w:t>
      </w:r>
      <w:r w:rsidRPr="00A36BEC">
        <w:rPr>
          <w:i/>
          <w:sz w:val="20"/>
        </w:rPr>
        <w:t>Christopher D. Pigott</w:t>
      </w:r>
      <w:r w:rsidRPr="00A36BEC">
        <w:rPr>
          <w:sz w:val="20"/>
        </w:rPr>
        <w:t>, for the intervener the Canadian Employers Council.</w:t>
      </w:r>
    </w:p>
    <w:p w:rsidR="0035247E" w:rsidRDefault="0035247E" w:rsidP="0035247E">
      <w:pPr>
        <w:pStyle w:val="SCCNormalDoubleSpacing"/>
        <w:spacing w:line="240" w:lineRule="auto"/>
        <w:rPr>
          <w:i/>
          <w:sz w:val="20"/>
        </w:rPr>
      </w:pPr>
    </w:p>
    <w:p w:rsidR="0035247E" w:rsidRPr="00A36BEC" w:rsidRDefault="0035247E" w:rsidP="0035247E">
      <w:pPr>
        <w:pStyle w:val="SCCNormalDoubleSpacing"/>
        <w:spacing w:line="240" w:lineRule="auto"/>
        <w:rPr>
          <w:sz w:val="20"/>
        </w:rPr>
      </w:pPr>
      <w:r w:rsidRPr="00A36BEC">
        <w:rPr>
          <w:i/>
          <w:sz w:val="20"/>
        </w:rPr>
        <w:tab/>
        <w:t>Paul J. J. Cavalluzzo</w:t>
      </w:r>
      <w:r w:rsidRPr="00A36BEC">
        <w:rPr>
          <w:sz w:val="20"/>
        </w:rPr>
        <w:t xml:space="preserve"> and </w:t>
      </w:r>
      <w:r w:rsidRPr="00A36BEC">
        <w:rPr>
          <w:i/>
          <w:sz w:val="20"/>
        </w:rPr>
        <w:t>Adrienne Telford</w:t>
      </w:r>
      <w:r w:rsidRPr="00A36BEC">
        <w:rPr>
          <w:sz w:val="20"/>
        </w:rPr>
        <w:t>, for the interveners the Canadian Union of Postal Workers and the International Association of Machinists and Aerospace Workers.</w:t>
      </w:r>
    </w:p>
    <w:p w:rsidR="0035247E" w:rsidRDefault="0035247E" w:rsidP="0035247E">
      <w:pPr>
        <w:pStyle w:val="SCCNormalDoubleSpacing"/>
        <w:spacing w:line="240" w:lineRule="auto"/>
        <w:rPr>
          <w:i/>
          <w:sz w:val="20"/>
        </w:rPr>
      </w:pPr>
    </w:p>
    <w:p w:rsidR="0035247E" w:rsidRPr="00A36BEC" w:rsidRDefault="0035247E" w:rsidP="0035247E">
      <w:pPr>
        <w:pStyle w:val="SCCNormalDoubleSpacing"/>
        <w:spacing w:line="240" w:lineRule="auto"/>
        <w:rPr>
          <w:sz w:val="20"/>
        </w:rPr>
      </w:pPr>
      <w:r w:rsidRPr="00A36BEC">
        <w:rPr>
          <w:i/>
          <w:sz w:val="20"/>
        </w:rPr>
        <w:tab/>
        <w:t>Joseph J. Arvay</w:t>
      </w:r>
      <w:r w:rsidRPr="00A36BEC">
        <w:rPr>
          <w:sz w:val="20"/>
        </w:rPr>
        <w:t xml:space="preserve">, </w:t>
      </w:r>
      <w:r w:rsidRPr="00A36BEC">
        <w:rPr>
          <w:i/>
          <w:sz w:val="20"/>
        </w:rPr>
        <w:t>Q.C.</w:t>
      </w:r>
      <w:r w:rsidRPr="00A36BEC">
        <w:rPr>
          <w:sz w:val="20"/>
        </w:rPr>
        <w:t xml:space="preserve">, and </w:t>
      </w:r>
      <w:r w:rsidRPr="00A36BEC">
        <w:rPr>
          <w:i/>
          <w:sz w:val="20"/>
        </w:rPr>
        <w:t>Catherine J. Boies Parker</w:t>
      </w:r>
      <w:r w:rsidRPr="00A36BEC">
        <w:rPr>
          <w:sz w:val="20"/>
        </w:rPr>
        <w:t>, for the interveners the British Columbia Teachers’ Federation and the Hospital Employees’ Union.</w:t>
      </w:r>
    </w:p>
    <w:p w:rsidR="0035247E" w:rsidRDefault="0035247E" w:rsidP="0035247E">
      <w:pPr>
        <w:pStyle w:val="SCCNormalDoubleSpacing"/>
        <w:spacing w:line="240" w:lineRule="auto"/>
        <w:rPr>
          <w:sz w:val="20"/>
        </w:rPr>
      </w:pPr>
    </w:p>
    <w:p w:rsidR="0035247E" w:rsidRPr="00A36BEC" w:rsidRDefault="0035247E" w:rsidP="0035247E">
      <w:pPr>
        <w:pStyle w:val="SCCNormalDoubleSpacing"/>
        <w:spacing w:line="240" w:lineRule="auto"/>
        <w:rPr>
          <w:sz w:val="20"/>
        </w:rPr>
      </w:pPr>
      <w:r w:rsidRPr="00A36BEC">
        <w:rPr>
          <w:sz w:val="20"/>
        </w:rPr>
        <w:tab/>
        <w:t>Written submissions only by</w:t>
      </w:r>
      <w:r w:rsidRPr="00A36BEC">
        <w:rPr>
          <w:i/>
          <w:sz w:val="20"/>
        </w:rPr>
        <w:t xml:space="preserve"> Steven Barrett</w:t>
      </w:r>
      <w:r w:rsidRPr="00A36BEC">
        <w:rPr>
          <w:sz w:val="20"/>
        </w:rPr>
        <w:t xml:space="preserve"> and </w:t>
      </w:r>
      <w:r w:rsidRPr="00A36BEC">
        <w:rPr>
          <w:i/>
          <w:sz w:val="20"/>
        </w:rPr>
        <w:t>Ethan Poskanzer</w:t>
      </w:r>
      <w:r w:rsidRPr="00A36BEC">
        <w:rPr>
          <w:sz w:val="20"/>
        </w:rPr>
        <w:t>, for the intervener the Canadian Labour Congress.</w:t>
      </w:r>
    </w:p>
    <w:p w:rsidR="0035247E" w:rsidRDefault="0035247E" w:rsidP="0035247E">
      <w:pPr>
        <w:pStyle w:val="SCCNormalDoubleSpacing"/>
        <w:spacing w:line="240" w:lineRule="auto"/>
        <w:rPr>
          <w:i/>
          <w:sz w:val="20"/>
        </w:rPr>
      </w:pPr>
    </w:p>
    <w:p w:rsidR="0035247E" w:rsidRPr="00A36BEC" w:rsidRDefault="0035247E" w:rsidP="0035247E">
      <w:pPr>
        <w:pStyle w:val="SCCNormalDoubleSpacing"/>
        <w:spacing w:line="240" w:lineRule="auto"/>
        <w:rPr>
          <w:sz w:val="20"/>
        </w:rPr>
      </w:pPr>
      <w:r w:rsidRPr="00A36BEC">
        <w:rPr>
          <w:i/>
          <w:sz w:val="20"/>
        </w:rPr>
        <w:tab/>
        <w:t>Andrew Raven</w:t>
      </w:r>
      <w:r w:rsidRPr="00A36BEC">
        <w:rPr>
          <w:sz w:val="20"/>
        </w:rPr>
        <w:t xml:space="preserve"> and </w:t>
      </w:r>
      <w:r w:rsidRPr="00A36BEC">
        <w:rPr>
          <w:i/>
          <w:sz w:val="20"/>
        </w:rPr>
        <w:t>Andrew Astritis</w:t>
      </w:r>
      <w:r w:rsidRPr="00A36BEC">
        <w:rPr>
          <w:sz w:val="20"/>
        </w:rPr>
        <w:t>, for the intervener the Public Service Alliance of Canada.</w:t>
      </w:r>
    </w:p>
    <w:p w:rsidR="0035247E" w:rsidRDefault="0035247E" w:rsidP="0035247E">
      <w:pPr>
        <w:pStyle w:val="SCCNormalDoubleSpacing"/>
        <w:spacing w:line="240" w:lineRule="auto"/>
        <w:rPr>
          <w:i/>
          <w:sz w:val="20"/>
        </w:rPr>
      </w:pPr>
    </w:p>
    <w:p w:rsidR="0035247E" w:rsidRPr="00A36BEC" w:rsidRDefault="0035247E" w:rsidP="0035247E">
      <w:pPr>
        <w:pStyle w:val="SCCNormalDoubleSpacing"/>
        <w:spacing w:line="240" w:lineRule="auto"/>
        <w:rPr>
          <w:sz w:val="20"/>
        </w:rPr>
      </w:pPr>
      <w:r w:rsidRPr="00A36BEC">
        <w:rPr>
          <w:i/>
          <w:sz w:val="20"/>
        </w:rPr>
        <w:tab/>
        <w:t>Patrick G. Nugent</w:t>
      </w:r>
      <w:r w:rsidRPr="00A36BEC">
        <w:rPr>
          <w:sz w:val="20"/>
        </w:rPr>
        <w:t xml:space="preserve"> and </w:t>
      </w:r>
      <w:r w:rsidRPr="00A36BEC">
        <w:rPr>
          <w:i/>
          <w:sz w:val="20"/>
        </w:rPr>
        <w:t>Tamara Friesen</w:t>
      </w:r>
      <w:r w:rsidRPr="00A36BEC">
        <w:rPr>
          <w:sz w:val="20"/>
        </w:rPr>
        <w:t>, for the intervener the Alberta Union of Provincial Employees.</w:t>
      </w:r>
    </w:p>
    <w:p w:rsidR="0035247E" w:rsidRDefault="0035247E" w:rsidP="0035247E">
      <w:pPr>
        <w:pStyle w:val="SCCNormalDoubleSpacing"/>
        <w:spacing w:line="240" w:lineRule="auto"/>
        <w:rPr>
          <w:i/>
          <w:sz w:val="20"/>
        </w:rPr>
      </w:pPr>
    </w:p>
    <w:p w:rsidR="0035247E" w:rsidRPr="00A36BEC" w:rsidRDefault="0035247E" w:rsidP="0035247E">
      <w:pPr>
        <w:pStyle w:val="SCCNormalDoubleSpacing"/>
        <w:spacing w:line="240" w:lineRule="auto"/>
        <w:rPr>
          <w:sz w:val="20"/>
          <w:lang w:val="fr-CA"/>
        </w:rPr>
      </w:pPr>
      <w:r w:rsidRPr="00A36BEC">
        <w:rPr>
          <w:i/>
          <w:sz w:val="20"/>
        </w:rPr>
        <w:tab/>
      </w:r>
      <w:r w:rsidRPr="00A36BEC">
        <w:rPr>
          <w:i/>
          <w:sz w:val="20"/>
          <w:lang w:val="fr-CA"/>
        </w:rPr>
        <w:t xml:space="preserve">Éric Lévesque </w:t>
      </w:r>
      <w:r w:rsidRPr="00A36BEC">
        <w:rPr>
          <w:sz w:val="20"/>
          <w:lang w:val="fr-CA"/>
        </w:rPr>
        <w:t>and</w:t>
      </w:r>
      <w:r w:rsidRPr="00A36BEC">
        <w:rPr>
          <w:i/>
          <w:sz w:val="20"/>
          <w:lang w:val="fr-CA"/>
        </w:rPr>
        <w:t xml:space="preserve"> Benoît Laurin</w:t>
      </w:r>
      <w:r w:rsidRPr="00A36BEC">
        <w:rPr>
          <w:sz w:val="20"/>
          <w:lang w:val="fr-CA"/>
        </w:rPr>
        <w:t>, for the intervener Confédération des syndicats nationaux.</w:t>
      </w:r>
    </w:p>
    <w:p w:rsidR="0035247E" w:rsidRDefault="0035247E" w:rsidP="0035247E">
      <w:pPr>
        <w:pStyle w:val="SCCNormalDoubleSpacing"/>
        <w:spacing w:line="240" w:lineRule="auto"/>
        <w:rPr>
          <w:i/>
          <w:sz w:val="20"/>
          <w:lang w:val="fr-CA"/>
        </w:rPr>
      </w:pPr>
    </w:p>
    <w:p w:rsidR="0035247E" w:rsidRPr="00A36BEC" w:rsidRDefault="0035247E" w:rsidP="0035247E">
      <w:pPr>
        <w:pStyle w:val="SCCNormalDoubleSpacing"/>
        <w:spacing w:line="240" w:lineRule="auto"/>
        <w:rPr>
          <w:sz w:val="20"/>
        </w:rPr>
      </w:pPr>
      <w:r w:rsidRPr="00A36BEC">
        <w:rPr>
          <w:i/>
          <w:sz w:val="20"/>
          <w:lang w:val="fr-CA"/>
        </w:rPr>
        <w:tab/>
      </w:r>
      <w:r w:rsidRPr="00A36BEC">
        <w:rPr>
          <w:i/>
          <w:sz w:val="20"/>
        </w:rPr>
        <w:t>Evert van Olst</w:t>
      </w:r>
      <w:r w:rsidRPr="00A36BEC">
        <w:rPr>
          <w:sz w:val="20"/>
        </w:rPr>
        <w:t xml:space="preserve">, </w:t>
      </w:r>
      <w:r w:rsidRPr="00A36BEC">
        <w:rPr>
          <w:i/>
          <w:sz w:val="20"/>
        </w:rPr>
        <w:t>Q.C.</w:t>
      </w:r>
      <w:r w:rsidRPr="00A36BEC">
        <w:rPr>
          <w:sz w:val="20"/>
        </w:rPr>
        <w:t xml:space="preserve">, and </w:t>
      </w:r>
      <w:r w:rsidRPr="00A36BEC">
        <w:rPr>
          <w:i/>
          <w:sz w:val="20"/>
        </w:rPr>
        <w:t>Leah Schatz</w:t>
      </w:r>
      <w:r w:rsidRPr="00A36BEC">
        <w:rPr>
          <w:sz w:val="20"/>
        </w:rPr>
        <w:t>, for the interveners the Regina Qu’Appelle Regional Health Authority, the Cypress Regional Health Authority, the Five Hills Regional Health Authority, the Heartland Regional Health Authority, the Sunrise Regional Health Authority, the Prince Albert Parkland Regional Health Authority and the Saskatoon Regional Health Authority.</w:t>
      </w:r>
    </w:p>
    <w:p w:rsidR="0035247E" w:rsidRDefault="0035247E" w:rsidP="0035247E">
      <w:pPr>
        <w:pStyle w:val="SCCNormalDoubleSpacing"/>
        <w:spacing w:line="240" w:lineRule="auto"/>
        <w:rPr>
          <w:i/>
          <w:sz w:val="20"/>
        </w:rPr>
      </w:pPr>
    </w:p>
    <w:p w:rsidR="0035247E" w:rsidRPr="00A36BEC" w:rsidRDefault="0035247E" w:rsidP="0035247E">
      <w:pPr>
        <w:pStyle w:val="SCCNormalDoubleSpacing"/>
        <w:spacing w:line="240" w:lineRule="auto"/>
        <w:rPr>
          <w:sz w:val="20"/>
        </w:rPr>
      </w:pPr>
      <w:r w:rsidRPr="00A36BEC">
        <w:rPr>
          <w:i/>
          <w:sz w:val="20"/>
        </w:rPr>
        <w:tab/>
        <w:t>Paul Champ</w:t>
      </w:r>
      <w:r w:rsidRPr="00A36BEC">
        <w:rPr>
          <w:sz w:val="20"/>
        </w:rPr>
        <w:t xml:space="preserve"> and </w:t>
      </w:r>
      <w:r w:rsidRPr="00A36BEC">
        <w:rPr>
          <w:i/>
          <w:sz w:val="20"/>
        </w:rPr>
        <w:t>Bijon Roy</w:t>
      </w:r>
      <w:r w:rsidRPr="00A36BEC">
        <w:rPr>
          <w:sz w:val="20"/>
        </w:rPr>
        <w:t>, for the intervener the National Union of Public and General Employees.</w:t>
      </w:r>
    </w:p>
    <w:p w:rsidR="0035247E" w:rsidRDefault="0035247E" w:rsidP="0035247E">
      <w:pPr>
        <w:pStyle w:val="SCCNormalDoubleSpacing"/>
        <w:spacing w:line="240" w:lineRule="auto"/>
        <w:rPr>
          <w:sz w:val="20"/>
        </w:rPr>
      </w:pPr>
    </w:p>
    <w:p w:rsidR="0035247E" w:rsidRPr="00A36BEC" w:rsidRDefault="0035247E" w:rsidP="0035247E">
      <w:pPr>
        <w:pStyle w:val="SCCNormalDoubleSpacing"/>
        <w:spacing w:line="240" w:lineRule="auto"/>
        <w:rPr>
          <w:sz w:val="20"/>
        </w:rPr>
      </w:pPr>
      <w:r w:rsidRPr="00A36BEC">
        <w:rPr>
          <w:sz w:val="20"/>
        </w:rPr>
        <w:tab/>
        <w:t>Written submissions only by</w:t>
      </w:r>
      <w:r w:rsidRPr="00A36BEC">
        <w:rPr>
          <w:i/>
          <w:sz w:val="20"/>
        </w:rPr>
        <w:t xml:space="preserve"> Brian W. Burkett</w:t>
      </w:r>
      <w:r w:rsidRPr="00A36BEC">
        <w:rPr>
          <w:sz w:val="20"/>
        </w:rPr>
        <w:t>, for the interveners the Canada Post Corporation and Air Canada.</w:t>
      </w:r>
    </w:p>
    <w:p w:rsidR="0035247E" w:rsidRDefault="0035247E" w:rsidP="0035247E">
      <w:pPr>
        <w:pStyle w:val="SCCLawFirm"/>
        <w:spacing w:line="240" w:lineRule="auto"/>
        <w:rPr>
          <w:sz w:val="20"/>
        </w:rPr>
      </w:pPr>
    </w:p>
    <w:p w:rsidR="0035247E" w:rsidRPr="00A36BEC" w:rsidRDefault="0035247E" w:rsidP="0035247E">
      <w:pPr>
        <w:pStyle w:val="SCCLawFirm"/>
        <w:spacing w:line="240" w:lineRule="auto"/>
        <w:rPr>
          <w:sz w:val="20"/>
        </w:rPr>
      </w:pPr>
      <w:r w:rsidRPr="00A36BEC">
        <w:rPr>
          <w:sz w:val="20"/>
        </w:rPr>
        <w:tab/>
        <w:t>Solicitors for the appellants:  Gerrand Rath Johnson, Regina; Victory Square Law Office, Vancouver; The W Law Group, Saskatoon.</w:t>
      </w:r>
    </w:p>
    <w:p w:rsidR="0035247E" w:rsidRDefault="0035247E" w:rsidP="0035247E">
      <w:pPr>
        <w:pStyle w:val="SCCLawFirm"/>
        <w:spacing w:line="240" w:lineRule="auto"/>
        <w:rPr>
          <w:sz w:val="20"/>
        </w:rPr>
      </w:pPr>
    </w:p>
    <w:p w:rsidR="0035247E" w:rsidRPr="00A36BEC" w:rsidRDefault="0035247E" w:rsidP="0035247E">
      <w:pPr>
        <w:pStyle w:val="SCCLawFirm"/>
        <w:spacing w:line="240" w:lineRule="auto"/>
        <w:rPr>
          <w:sz w:val="20"/>
        </w:rPr>
      </w:pPr>
      <w:r w:rsidRPr="00A36BEC">
        <w:rPr>
          <w:sz w:val="20"/>
        </w:rPr>
        <w:tab/>
        <w:t>Solicitor for the respondent:  Attorney General for Saskatchewan, Regina.</w:t>
      </w:r>
    </w:p>
    <w:p w:rsidR="0035247E" w:rsidRDefault="0035247E" w:rsidP="0035247E">
      <w:pPr>
        <w:pStyle w:val="SCCLawFirm"/>
        <w:spacing w:line="240" w:lineRule="auto"/>
        <w:rPr>
          <w:sz w:val="20"/>
        </w:rPr>
      </w:pPr>
    </w:p>
    <w:p w:rsidR="0035247E" w:rsidRPr="00A36BEC" w:rsidRDefault="0035247E" w:rsidP="0035247E">
      <w:pPr>
        <w:pStyle w:val="SCCLawFirm"/>
        <w:spacing w:line="240" w:lineRule="auto"/>
        <w:rPr>
          <w:sz w:val="20"/>
        </w:rPr>
      </w:pPr>
      <w:r w:rsidRPr="00A36BEC">
        <w:rPr>
          <w:sz w:val="20"/>
        </w:rPr>
        <w:tab/>
        <w:t>Solicitor for the intervener the Attorney General of Canada:  Attorney General of Canada, Saskatoon.</w:t>
      </w:r>
    </w:p>
    <w:p w:rsidR="0035247E" w:rsidRDefault="0035247E" w:rsidP="0035247E">
      <w:pPr>
        <w:pStyle w:val="SCCLawFirm"/>
        <w:spacing w:line="240" w:lineRule="auto"/>
        <w:rPr>
          <w:sz w:val="20"/>
        </w:rPr>
      </w:pPr>
    </w:p>
    <w:p w:rsidR="0035247E" w:rsidRPr="00A36BEC" w:rsidRDefault="0035247E" w:rsidP="0035247E">
      <w:pPr>
        <w:pStyle w:val="SCCLawFirm"/>
        <w:spacing w:line="240" w:lineRule="auto"/>
        <w:rPr>
          <w:sz w:val="20"/>
        </w:rPr>
      </w:pPr>
      <w:r w:rsidRPr="00A36BEC">
        <w:rPr>
          <w:sz w:val="20"/>
        </w:rPr>
        <w:tab/>
        <w:t>Solicitor for the intervener the Attorney General of Ontario:  Attorney General of Ontario, Toronto.</w:t>
      </w:r>
    </w:p>
    <w:p w:rsidR="0035247E" w:rsidRDefault="0035247E" w:rsidP="0035247E">
      <w:pPr>
        <w:pStyle w:val="SCCLawFirm"/>
        <w:spacing w:line="240" w:lineRule="auto"/>
        <w:rPr>
          <w:sz w:val="20"/>
        </w:rPr>
      </w:pPr>
    </w:p>
    <w:p w:rsidR="0035247E" w:rsidRPr="00A36BEC" w:rsidRDefault="0035247E" w:rsidP="0035247E">
      <w:pPr>
        <w:pStyle w:val="SCCLawFirm"/>
        <w:spacing w:line="240" w:lineRule="auto"/>
        <w:rPr>
          <w:sz w:val="20"/>
        </w:rPr>
      </w:pPr>
      <w:r w:rsidRPr="00A36BEC">
        <w:rPr>
          <w:sz w:val="20"/>
        </w:rPr>
        <w:tab/>
        <w:t>Solicitor for the intervener the Attorney General of Quebec:  Attorney General of Quebec, Québec.</w:t>
      </w:r>
    </w:p>
    <w:p w:rsidR="0035247E" w:rsidRDefault="0035247E" w:rsidP="0035247E">
      <w:pPr>
        <w:pStyle w:val="SCCLawFirm"/>
        <w:spacing w:line="240" w:lineRule="auto"/>
        <w:rPr>
          <w:sz w:val="20"/>
        </w:rPr>
      </w:pPr>
    </w:p>
    <w:p w:rsidR="0035247E" w:rsidRPr="00A36BEC" w:rsidRDefault="0035247E" w:rsidP="0035247E">
      <w:pPr>
        <w:pStyle w:val="SCCLawFirm"/>
        <w:spacing w:line="240" w:lineRule="auto"/>
        <w:rPr>
          <w:sz w:val="20"/>
        </w:rPr>
      </w:pPr>
      <w:r w:rsidRPr="00A36BEC">
        <w:rPr>
          <w:sz w:val="20"/>
        </w:rPr>
        <w:tab/>
        <w:t>Solicitor for the intervener the Attorney General of British Columbia:  Attorney General of British Columbia, Vancouver.</w:t>
      </w:r>
    </w:p>
    <w:p w:rsidR="0035247E" w:rsidRDefault="0035247E" w:rsidP="0035247E">
      <w:pPr>
        <w:pStyle w:val="SCCLawFirm"/>
        <w:spacing w:line="240" w:lineRule="auto"/>
        <w:rPr>
          <w:sz w:val="20"/>
        </w:rPr>
      </w:pPr>
    </w:p>
    <w:p w:rsidR="0035247E" w:rsidRPr="00A36BEC" w:rsidRDefault="0035247E" w:rsidP="0035247E">
      <w:pPr>
        <w:pStyle w:val="SCCLawFirm"/>
        <w:spacing w:line="240" w:lineRule="auto"/>
        <w:rPr>
          <w:sz w:val="20"/>
        </w:rPr>
      </w:pPr>
      <w:r w:rsidRPr="00A36BEC">
        <w:rPr>
          <w:sz w:val="20"/>
        </w:rPr>
        <w:tab/>
        <w:t>Solicitor for the intervener the Attorney General of Alberta:  Attorney General of Alberta, Edmonton.</w:t>
      </w:r>
    </w:p>
    <w:p w:rsidR="0035247E" w:rsidRDefault="0035247E" w:rsidP="0035247E">
      <w:pPr>
        <w:pStyle w:val="SCCLawFirm"/>
        <w:spacing w:line="240" w:lineRule="auto"/>
        <w:rPr>
          <w:sz w:val="20"/>
        </w:rPr>
      </w:pPr>
    </w:p>
    <w:p w:rsidR="0035247E" w:rsidRPr="00A36BEC" w:rsidRDefault="0035247E" w:rsidP="0035247E">
      <w:pPr>
        <w:pStyle w:val="SCCLawFirm"/>
        <w:spacing w:line="240" w:lineRule="auto"/>
        <w:rPr>
          <w:sz w:val="20"/>
        </w:rPr>
      </w:pPr>
      <w:r w:rsidRPr="00A36BEC">
        <w:rPr>
          <w:sz w:val="20"/>
        </w:rPr>
        <w:tab/>
        <w:t>Solicitor for the intervener the Attorney General of Newfoundland and Labrador:  Attorney General of Newfoundland and Labrador, St. John’s.</w:t>
      </w:r>
    </w:p>
    <w:p w:rsidR="0035247E" w:rsidRDefault="0035247E" w:rsidP="0035247E">
      <w:pPr>
        <w:pStyle w:val="SCCLawFirm"/>
        <w:spacing w:line="240" w:lineRule="auto"/>
        <w:rPr>
          <w:sz w:val="20"/>
        </w:rPr>
      </w:pPr>
    </w:p>
    <w:p w:rsidR="0035247E" w:rsidRPr="00A36BEC" w:rsidRDefault="0035247E" w:rsidP="0035247E">
      <w:pPr>
        <w:pStyle w:val="SCCLawFirm"/>
        <w:spacing w:line="240" w:lineRule="auto"/>
        <w:rPr>
          <w:sz w:val="20"/>
        </w:rPr>
      </w:pPr>
      <w:r w:rsidRPr="00A36BEC">
        <w:rPr>
          <w:sz w:val="20"/>
        </w:rPr>
        <w:tab/>
        <w:t>Solicitors for the intervener the Saskatchewan Union of Nurses:  Bainbridge Jodouin Cheecham, Saskatoon.</w:t>
      </w:r>
    </w:p>
    <w:p w:rsidR="0035247E" w:rsidRDefault="0035247E" w:rsidP="0035247E">
      <w:pPr>
        <w:pStyle w:val="SCCLawFirm"/>
        <w:spacing w:line="240" w:lineRule="auto"/>
        <w:rPr>
          <w:sz w:val="20"/>
        </w:rPr>
      </w:pPr>
    </w:p>
    <w:p w:rsidR="0035247E" w:rsidRPr="00A36BEC" w:rsidRDefault="0035247E" w:rsidP="0035247E">
      <w:pPr>
        <w:pStyle w:val="SCCLawFirm"/>
        <w:spacing w:line="240" w:lineRule="auto"/>
        <w:rPr>
          <w:sz w:val="20"/>
        </w:rPr>
      </w:pPr>
      <w:r w:rsidRPr="00A36BEC">
        <w:rPr>
          <w:sz w:val="20"/>
        </w:rPr>
        <w:tab/>
        <w:t>Solicitors for the intervener SEIU</w:t>
      </w:r>
      <w:r w:rsidRPr="00A36BEC">
        <w:rPr>
          <w:sz w:val="20"/>
        </w:rPr>
        <w:noBreakHyphen/>
        <w:t>West:  Plaxton &amp; Company, Saskatoon.</w:t>
      </w:r>
    </w:p>
    <w:p w:rsidR="0035247E" w:rsidRDefault="0035247E" w:rsidP="0035247E">
      <w:pPr>
        <w:pStyle w:val="SCCLawFirm"/>
        <w:spacing w:line="240" w:lineRule="auto"/>
        <w:rPr>
          <w:sz w:val="20"/>
        </w:rPr>
      </w:pPr>
    </w:p>
    <w:p w:rsidR="0035247E" w:rsidRPr="00A36BEC" w:rsidRDefault="0035247E" w:rsidP="0035247E">
      <w:pPr>
        <w:pStyle w:val="SCCLawFirm"/>
        <w:spacing w:line="240" w:lineRule="auto"/>
        <w:rPr>
          <w:sz w:val="20"/>
        </w:rPr>
      </w:pPr>
      <w:r w:rsidRPr="00A36BEC">
        <w:rPr>
          <w:sz w:val="20"/>
        </w:rPr>
        <w:tab/>
        <w:t>Solicitors for the interveners the United Nurses of Alberta and the Alberta Federation of Labour:  Chivers Carpenter, Edmonton.</w:t>
      </w:r>
    </w:p>
    <w:p w:rsidR="0035247E" w:rsidRDefault="0035247E" w:rsidP="0035247E">
      <w:pPr>
        <w:pStyle w:val="SCCLawFirm"/>
        <w:spacing w:line="240" w:lineRule="auto"/>
        <w:rPr>
          <w:sz w:val="20"/>
        </w:rPr>
      </w:pPr>
    </w:p>
    <w:p w:rsidR="0035247E" w:rsidRPr="00A36BEC" w:rsidRDefault="0035247E" w:rsidP="0035247E">
      <w:pPr>
        <w:pStyle w:val="SCCLawFirm"/>
        <w:spacing w:line="240" w:lineRule="auto"/>
        <w:rPr>
          <w:sz w:val="20"/>
        </w:rPr>
      </w:pPr>
      <w:r w:rsidRPr="00A36BEC">
        <w:rPr>
          <w:sz w:val="20"/>
        </w:rPr>
        <w:tab/>
        <w:t>Solicitors for the intervener the Professional Institute of the Public Service of Canada:  Sack Goldblatt Mitchell, Ottawa.</w:t>
      </w:r>
    </w:p>
    <w:p w:rsidR="0035247E" w:rsidRDefault="0035247E" w:rsidP="0035247E">
      <w:pPr>
        <w:pStyle w:val="SCCLawFirm"/>
        <w:spacing w:line="240" w:lineRule="auto"/>
        <w:rPr>
          <w:sz w:val="20"/>
        </w:rPr>
      </w:pPr>
    </w:p>
    <w:p w:rsidR="0035247E" w:rsidRPr="00A36BEC" w:rsidRDefault="0035247E" w:rsidP="0035247E">
      <w:pPr>
        <w:pStyle w:val="SCCLawFirm"/>
        <w:spacing w:line="240" w:lineRule="auto"/>
        <w:rPr>
          <w:sz w:val="20"/>
        </w:rPr>
      </w:pPr>
      <w:r w:rsidRPr="00A36BEC">
        <w:rPr>
          <w:sz w:val="20"/>
        </w:rPr>
        <w:tab/>
        <w:t>Solicitors for the intervener the Canadian Constitution Foundation:  McCarthy Tétrault, Toronto.</w:t>
      </w:r>
    </w:p>
    <w:p w:rsidR="0035247E" w:rsidRDefault="0035247E" w:rsidP="0035247E">
      <w:pPr>
        <w:pStyle w:val="SCCLawFirm"/>
        <w:spacing w:line="240" w:lineRule="auto"/>
        <w:rPr>
          <w:sz w:val="20"/>
        </w:rPr>
      </w:pPr>
    </w:p>
    <w:p w:rsidR="0035247E" w:rsidRPr="00A36BEC" w:rsidRDefault="0035247E" w:rsidP="0035247E">
      <w:pPr>
        <w:pStyle w:val="SCCLawFirm"/>
        <w:spacing w:line="240" w:lineRule="auto"/>
        <w:rPr>
          <w:sz w:val="20"/>
        </w:rPr>
      </w:pPr>
      <w:r w:rsidRPr="00A36BEC">
        <w:rPr>
          <w:sz w:val="20"/>
        </w:rPr>
        <w:tab/>
        <w:t>Solicitors for the intervener the Air Canada Pilots’ Association:  Nelligan O’Brien Payne, Ottawa.</w:t>
      </w:r>
    </w:p>
    <w:p w:rsidR="0035247E" w:rsidRDefault="0035247E" w:rsidP="0035247E">
      <w:pPr>
        <w:pStyle w:val="SCCLawFirm"/>
        <w:spacing w:line="240" w:lineRule="auto"/>
        <w:rPr>
          <w:sz w:val="20"/>
        </w:rPr>
      </w:pPr>
    </w:p>
    <w:p w:rsidR="0035247E" w:rsidRPr="00A36BEC" w:rsidRDefault="0035247E" w:rsidP="0035247E">
      <w:pPr>
        <w:pStyle w:val="SCCLawFirm"/>
        <w:spacing w:line="240" w:lineRule="auto"/>
        <w:rPr>
          <w:sz w:val="20"/>
        </w:rPr>
      </w:pPr>
      <w:r w:rsidRPr="00A36BEC">
        <w:rPr>
          <w:sz w:val="20"/>
        </w:rPr>
        <w:tab/>
        <w:t>Solicitors for the intervener the British Columbia Civil Liberties Association:  Moore Edgar Lyster, Vancouver.</w:t>
      </w:r>
    </w:p>
    <w:p w:rsidR="0035247E" w:rsidRDefault="0035247E" w:rsidP="0035247E">
      <w:pPr>
        <w:pStyle w:val="SCCLawFirm"/>
        <w:spacing w:line="240" w:lineRule="auto"/>
        <w:rPr>
          <w:sz w:val="20"/>
        </w:rPr>
      </w:pPr>
    </w:p>
    <w:p w:rsidR="0035247E" w:rsidRPr="00A36BEC" w:rsidRDefault="0035247E" w:rsidP="0035247E">
      <w:pPr>
        <w:pStyle w:val="SCCLawFirm"/>
        <w:spacing w:line="240" w:lineRule="auto"/>
        <w:rPr>
          <w:sz w:val="20"/>
        </w:rPr>
      </w:pPr>
      <w:r w:rsidRPr="00A36BEC">
        <w:rPr>
          <w:sz w:val="20"/>
        </w:rPr>
        <w:tab/>
        <w:t>Solicitors for the intervener Conseil du patronat du Québec:  Norton Rose Fulbright Canada, Montréal.</w:t>
      </w:r>
    </w:p>
    <w:p w:rsidR="0035247E" w:rsidRDefault="0035247E" w:rsidP="0035247E">
      <w:pPr>
        <w:pStyle w:val="SCCLawFirm"/>
        <w:spacing w:line="240" w:lineRule="auto"/>
        <w:rPr>
          <w:sz w:val="20"/>
        </w:rPr>
      </w:pPr>
    </w:p>
    <w:p w:rsidR="0035247E" w:rsidRPr="00A36BEC" w:rsidRDefault="0035247E" w:rsidP="0035247E">
      <w:pPr>
        <w:pStyle w:val="SCCLawFirm"/>
        <w:spacing w:line="240" w:lineRule="auto"/>
        <w:rPr>
          <w:sz w:val="20"/>
        </w:rPr>
      </w:pPr>
      <w:r w:rsidRPr="00A36BEC">
        <w:rPr>
          <w:sz w:val="20"/>
        </w:rPr>
        <w:tab/>
        <w:t>Solicitors for the intervener the Canadian Employers Council:  Fasken Martineau DuMoulin, Toronto.</w:t>
      </w:r>
    </w:p>
    <w:p w:rsidR="0035247E" w:rsidRDefault="0035247E" w:rsidP="0035247E">
      <w:pPr>
        <w:pStyle w:val="SCCLawFirm"/>
        <w:spacing w:line="240" w:lineRule="auto"/>
        <w:rPr>
          <w:sz w:val="20"/>
        </w:rPr>
      </w:pPr>
    </w:p>
    <w:p w:rsidR="0035247E" w:rsidRPr="00A36BEC" w:rsidRDefault="0035247E" w:rsidP="0035247E">
      <w:pPr>
        <w:pStyle w:val="SCCLawFirm"/>
        <w:spacing w:line="240" w:lineRule="auto"/>
        <w:rPr>
          <w:sz w:val="20"/>
        </w:rPr>
      </w:pPr>
      <w:r w:rsidRPr="00A36BEC">
        <w:rPr>
          <w:sz w:val="20"/>
        </w:rPr>
        <w:tab/>
        <w:t>Solicitors for the interveners the Canadian Union of Postal Workers and the International Association of Machinists and Aerospace Workers:  Cavalluzzo Shilton McIntyre Cornish, Toronto.</w:t>
      </w:r>
    </w:p>
    <w:p w:rsidR="0035247E" w:rsidRDefault="0035247E" w:rsidP="0035247E">
      <w:pPr>
        <w:pStyle w:val="SCCLawFirm"/>
        <w:spacing w:line="240" w:lineRule="auto"/>
        <w:rPr>
          <w:sz w:val="20"/>
        </w:rPr>
      </w:pPr>
    </w:p>
    <w:p w:rsidR="0035247E" w:rsidRPr="00A36BEC" w:rsidRDefault="0035247E" w:rsidP="0035247E">
      <w:pPr>
        <w:pStyle w:val="SCCLawFirm"/>
        <w:spacing w:line="240" w:lineRule="auto"/>
        <w:rPr>
          <w:sz w:val="20"/>
        </w:rPr>
      </w:pPr>
      <w:r w:rsidRPr="00A36BEC">
        <w:rPr>
          <w:sz w:val="20"/>
        </w:rPr>
        <w:tab/>
        <w:t>Solicitors for the interveners the British Columbia Teachers’ Federation and the Hospital Employees’ Union:  Farris, Vaughan, Wills &amp; Murphy, Vancouver.</w:t>
      </w:r>
    </w:p>
    <w:p w:rsidR="0035247E" w:rsidRDefault="0035247E" w:rsidP="0035247E">
      <w:pPr>
        <w:pStyle w:val="SCCLawFirm"/>
        <w:spacing w:line="240" w:lineRule="auto"/>
        <w:rPr>
          <w:sz w:val="20"/>
        </w:rPr>
      </w:pPr>
    </w:p>
    <w:p w:rsidR="0035247E" w:rsidRPr="00A36BEC" w:rsidRDefault="0035247E" w:rsidP="0035247E">
      <w:pPr>
        <w:pStyle w:val="SCCLawFirm"/>
        <w:spacing w:line="240" w:lineRule="auto"/>
        <w:rPr>
          <w:sz w:val="20"/>
        </w:rPr>
      </w:pPr>
      <w:r w:rsidRPr="00A36BEC">
        <w:rPr>
          <w:sz w:val="20"/>
        </w:rPr>
        <w:tab/>
        <w:t>Solicitors for the intervener the Canadian Labour Congress:  Sack Goldblatt Mitchell, Toronto.</w:t>
      </w:r>
    </w:p>
    <w:p w:rsidR="0035247E" w:rsidRDefault="0035247E" w:rsidP="0035247E">
      <w:pPr>
        <w:pStyle w:val="SCCLawFirm"/>
        <w:spacing w:line="240" w:lineRule="auto"/>
        <w:rPr>
          <w:sz w:val="20"/>
        </w:rPr>
      </w:pPr>
    </w:p>
    <w:p w:rsidR="0035247E" w:rsidRPr="00A36BEC" w:rsidRDefault="0035247E" w:rsidP="0035247E">
      <w:pPr>
        <w:pStyle w:val="SCCLawFirm"/>
        <w:spacing w:line="240" w:lineRule="auto"/>
        <w:rPr>
          <w:sz w:val="20"/>
        </w:rPr>
      </w:pPr>
      <w:r w:rsidRPr="00A36BEC">
        <w:rPr>
          <w:sz w:val="20"/>
        </w:rPr>
        <w:lastRenderedPageBreak/>
        <w:tab/>
        <w:t>Solicitors for the intervener the Public Service Alliance of Canada:  Raven, Cameron, Ballantyne &amp; Yazbeck, Ottawa.</w:t>
      </w:r>
    </w:p>
    <w:p w:rsidR="0035247E" w:rsidRDefault="0035247E" w:rsidP="0035247E">
      <w:pPr>
        <w:pStyle w:val="SCCLawFirm"/>
        <w:spacing w:line="240" w:lineRule="auto"/>
        <w:rPr>
          <w:sz w:val="20"/>
        </w:rPr>
      </w:pPr>
    </w:p>
    <w:p w:rsidR="0035247E" w:rsidRPr="00A36BEC" w:rsidRDefault="0035247E" w:rsidP="0035247E">
      <w:pPr>
        <w:pStyle w:val="SCCLawFirm"/>
        <w:spacing w:line="240" w:lineRule="auto"/>
        <w:rPr>
          <w:sz w:val="20"/>
        </w:rPr>
      </w:pPr>
      <w:r w:rsidRPr="00A36BEC">
        <w:rPr>
          <w:sz w:val="20"/>
        </w:rPr>
        <w:tab/>
        <w:t>Solicitors for the intervener the Alberta Union of Provincial Employees:  Nugent Law Office, Edmonton.</w:t>
      </w:r>
    </w:p>
    <w:p w:rsidR="0035247E" w:rsidRDefault="0035247E" w:rsidP="0035247E">
      <w:pPr>
        <w:pStyle w:val="SCCLawFirm"/>
        <w:spacing w:line="240" w:lineRule="auto"/>
        <w:rPr>
          <w:sz w:val="20"/>
        </w:rPr>
      </w:pPr>
    </w:p>
    <w:p w:rsidR="0035247E" w:rsidRPr="00A36BEC" w:rsidRDefault="0035247E" w:rsidP="0035247E">
      <w:pPr>
        <w:pStyle w:val="SCCLawFirm"/>
        <w:spacing w:line="240" w:lineRule="auto"/>
        <w:rPr>
          <w:sz w:val="20"/>
          <w:lang w:val="fr-CA"/>
        </w:rPr>
      </w:pPr>
      <w:r w:rsidRPr="00A36BEC">
        <w:rPr>
          <w:sz w:val="20"/>
        </w:rPr>
        <w:tab/>
      </w:r>
      <w:r w:rsidRPr="00A36BEC">
        <w:rPr>
          <w:sz w:val="20"/>
          <w:lang w:val="fr-CA"/>
        </w:rPr>
        <w:t>Solicitors for the intervener Confédération des syndicats nationaux:  Laroche Martin, Montréal.</w:t>
      </w:r>
    </w:p>
    <w:p w:rsidR="0035247E" w:rsidRDefault="0035247E" w:rsidP="0035247E">
      <w:pPr>
        <w:pStyle w:val="SCCLawFirm"/>
        <w:spacing w:line="240" w:lineRule="auto"/>
        <w:rPr>
          <w:sz w:val="20"/>
          <w:lang w:val="fr-CA"/>
        </w:rPr>
      </w:pPr>
    </w:p>
    <w:p w:rsidR="0035247E" w:rsidRPr="00A36BEC" w:rsidRDefault="0035247E" w:rsidP="0035247E">
      <w:pPr>
        <w:pStyle w:val="SCCLawFirm"/>
        <w:spacing w:line="240" w:lineRule="auto"/>
        <w:rPr>
          <w:sz w:val="20"/>
        </w:rPr>
      </w:pPr>
      <w:r w:rsidRPr="00A36BEC">
        <w:rPr>
          <w:sz w:val="20"/>
          <w:lang w:val="fr-CA"/>
        </w:rPr>
        <w:tab/>
      </w:r>
      <w:r w:rsidRPr="00A36BEC">
        <w:rPr>
          <w:sz w:val="20"/>
        </w:rPr>
        <w:t>Solicitors for the interveners the Regina Qu’Appelle Regional Health Authority, the Cypress Regional Health Authority, the Five Hills Regional Health Authority, the Heartland Regional Health Authority, the Sunrise Regional Health Authority, the Prince Albert Parkland Regional Health Authority and the Saskatoon Regional Health Authority:  Saskatoon Regional Health Authority, Saskatoon; MacPherson Leslie &amp; Tyerman, Saskatoon.</w:t>
      </w:r>
    </w:p>
    <w:p w:rsidR="0035247E" w:rsidRDefault="0035247E" w:rsidP="0035247E">
      <w:pPr>
        <w:pStyle w:val="SCCLawFirm"/>
        <w:spacing w:line="240" w:lineRule="auto"/>
        <w:rPr>
          <w:sz w:val="20"/>
        </w:rPr>
      </w:pPr>
    </w:p>
    <w:p w:rsidR="0035247E" w:rsidRPr="00A36BEC" w:rsidRDefault="0035247E" w:rsidP="0035247E">
      <w:pPr>
        <w:pStyle w:val="SCCLawFirm"/>
        <w:spacing w:line="240" w:lineRule="auto"/>
        <w:rPr>
          <w:sz w:val="20"/>
        </w:rPr>
      </w:pPr>
      <w:r w:rsidRPr="00A36BEC">
        <w:rPr>
          <w:sz w:val="20"/>
        </w:rPr>
        <w:tab/>
        <w:t>Solicitors for the intervener the National Union of Public and General Employees:  Champ &amp; Associates, Ottawa.</w:t>
      </w:r>
    </w:p>
    <w:p w:rsidR="0035247E" w:rsidRDefault="0035247E" w:rsidP="0035247E">
      <w:pPr>
        <w:pStyle w:val="SCCLawFirm"/>
        <w:spacing w:line="240" w:lineRule="auto"/>
        <w:rPr>
          <w:sz w:val="20"/>
        </w:rPr>
      </w:pPr>
    </w:p>
    <w:p w:rsidR="0035247E" w:rsidRDefault="0035247E" w:rsidP="0035247E">
      <w:pPr>
        <w:pStyle w:val="SCCLawFirm"/>
        <w:spacing w:line="240" w:lineRule="auto"/>
        <w:rPr>
          <w:sz w:val="20"/>
        </w:rPr>
      </w:pPr>
      <w:r w:rsidRPr="00A36BEC">
        <w:rPr>
          <w:sz w:val="20"/>
        </w:rPr>
        <w:tab/>
        <w:t>Solicitors for the interveners the Canada Post Corporation and Air Canada:  Fasken Martineau DuMoulin, Toronto.</w:t>
      </w:r>
    </w:p>
    <w:p w:rsidR="0052229C" w:rsidRPr="00B91DD6" w:rsidRDefault="0052229C" w:rsidP="0052229C">
      <w:pPr>
        <w:rPr>
          <w:rFonts w:cs="Times New Roman"/>
          <w:sz w:val="20"/>
          <w:szCs w:val="20"/>
          <w:lang w:val="fr-CA"/>
        </w:rPr>
      </w:pPr>
      <w:r w:rsidRPr="00B91DD6">
        <w:rPr>
          <w:rFonts w:cs="Times New Roman"/>
          <w:sz w:val="20"/>
          <w:szCs w:val="20"/>
          <w:lang w:val="fr-CA"/>
        </w:rPr>
        <w:t>________________________</w:t>
      </w:r>
    </w:p>
    <w:p w:rsidR="0052229C" w:rsidRPr="00B91DD6" w:rsidRDefault="0052229C" w:rsidP="0052229C">
      <w:pPr>
        <w:rPr>
          <w:rFonts w:cs="Times New Roman"/>
          <w:sz w:val="20"/>
          <w:szCs w:val="20"/>
          <w:lang w:val="fr-CA"/>
        </w:rPr>
      </w:pPr>
    </w:p>
    <w:p w:rsidR="00B91DD6" w:rsidRPr="00360B33" w:rsidRDefault="00B91DD6" w:rsidP="00B91DD6">
      <w:pPr>
        <w:jc w:val="both"/>
        <w:rPr>
          <w:sz w:val="20"/>
          <w:lang w:val="fr-CA"/>
        </w:rPr>
      </w:pPr>
      <w:r w:rsidRPr="00360B33">
        <w:rPr>
          <w:sz w:val="20"/>
          <w:lang w:val="fr-CA"/>
        </w:rPr>
        <w:t>Présents : La juge en chef McLachlin et les juges LeBel, Abella, Rothstein, Cromwell, Karakatsanis et Wagner.</w:t>
      </w:r>
    </w:p>
    <w:p w:rsidR="00B91DD6" w:rsidRPr="00360B33" w:rsidRDefault="00B91DD6" w:rsidP="00B91DD6">
      <w:pPr>
        <w:jc w:val="both"/>
        <w:rPr>
          <w:smallCaps/>
          <w:sz w:val="20"/>
          <w:lang w:val="fr-CA"/>
        </w:rPr>
      </w:pPr>
    </w:p>
    <w:p w:rsidR="00B91DD6" w:rsidRPr="00360B33" w:rsidRDefault="00B91DD6" w:rsidP="00B91DD6">
      <w:pPr>
        <w:pStyle w:val="SCCNormalDoubleSpacing"/>
        <w:spacing w:line="240" w:lineRule="auto"/>
        <w:rPr>
          <w:i/>
          <w:sz w:val="20"/>
          <w:lang w:val="fr-CA"/>
        </w:rPr>
      </w:pPr>
      <w:r w:rsidRPr="00360B33">
        <w:rPr>
          <w:sz w:val="20"/>
          <w:lang w:val="fr-CA"/>
        </w:rPr>
        <w:tab/>
      </w:r>
      <w:r w:rsidRPr="00360B33">
        <w:rPr>
          <w:i/>
          <w:sz w:val="20"/>
          <w:lang w:val="fr-CA"/>
        </w:rPr>
        <w:t>Droit constitutionnel — Charte des droits — Liberté d’association — Droit de grève — Salariés de l’État — Stare Decisis — L’alinéa 2d) de la Charte protège</w:t>
      </w:r>
      <w:r w:rsidRPr="00360B33">
        <w:rPr>
          <w:i/>
          <w:sz w:val="20"/>
          <w:lang w:val="fr-CA"/>
        </w:rPr>
        <w:noBreakHyphen/>
        <w:t>t</w:t>
      </w:r>
      <w:r w:rsidRPr="00360B33">
        <w:rPr>
          <w:i/>
          <w:sz w:val="20"/>
          <w:lang w:val="fr-CA"/>
        </w:rPr>
        <w:noBreakHyphen/>
        <w:t>il le droit de grève? — L’interdiction faite aux salariés qui assurent des services essentiels de prendre part à une grève entrave</w:t>
      </w:r>
      <w:r w:rsidRPr="00360B33">
        <w:rPr>
          <w:i/>
          <w:sz w:val="20"/>
          <w:lang w:val="fr-CA"/>
        </w:rPr>
        <w:noBreakHyphen/>
        <w:t>t</w:t>
      </w:r>
      <w:r w:rsidRPr="00360B33">
        <w:rPr>
          <w:i/>
          <w:sz w:val="20"/>
          <w:lang w:val="fr-CA"/>
        </w:rPr>
        <w:noBreakHyphen/>
        <w:t>elle substantiellement le droit à un processus véritable de négociation collective et contrevient</w:t>
      </w:r>
      <w:r w:rsidRPr="00360B33">
        <w:rPr>
          <w:i/>
          <w:sz w:val="20"/>
          <w:lang w:val="fr-CA"/>
        </w:rPr>
        <w:noBreakHyphen/>
        <w:t>elle ainsi à l’al. 2d) de la Charte? — Dans l’affirmative, l’atteinte est</w:t>
      </w:r>
      <w:r w:rsidRPr="00360B33">
        <w:rPr>
          <w:i/>
          <w:sz w:val="20"/>
          <w:lang w:val="fr-CA"/>
        </w:rPr>
        <w:noBreakHyphen/>
        <w:t>elle justifiée par application de l’article premier de la Charte? — Charte canadienne des droits et libertés, art. 2d) — The Public Service Essential Services Act, S.S. 2008, c. P</w:t>
      </w:r>
      <w:r w:rsidRPr="00360B33">
        <w:rPr>
          <w:i/>
          <w:sz w:val="20"/>
          <w:lang w:val="fr-CA"/>
        </w:rPr>
        <w:noBreakHyphen/>
        <w:t>42.2.</w:t>
      </w:r>
    </w:p>
    <w:p w:rsidR="00B91DD6" w:rsidRDefault="00B91DD6" w:rsidP="00B91DD6">
      <w:pPr>
        <w:pStyle w:val="SCCNormalDoubleSpacing"/>
        <w:spacing w:line="240" w:lineRule="auto"/>
        <w:rPr>
          <w:i/>
          <w:sz w:val="20"/>
          <w:lang w:val="fr-CA"/>
        </w:rPr>
      </w:pPr>
    </w:p>
    <w:p w:rsidR="00B91DD6" w:rsidRPr="00360B33" w:rsidRDefault="00B91DD6" w:rsidP="00B91DD6">
      <w:pPr>
        <w:pStyle w:val="SCCNormalDoubleSpacing"/>
        <w:spacing w:line="240" w:lineRule="auto"/>
        <w:rPr>
          <w:i/>
          <w:sz w:val="20"/>
          <w:lang w:val="fr-CA"/>
        </w:rPr>
      </w:pPr>
      <w:r w:rsidRPr="00360B33">
        <w:rPr>
          <w:i/>
          <w:sz w:val="20"/>
          <w:lang w:val="fr-CA"/>
        </w:rPr>
        <w:tab/>
        <w:t>Droit constitutionnel — Charte des droits — Liberté d’association — Loi provinciale modifiant le processus d’accréditation, et dispositions portant sur les communications de l’employeur avec ses salariés — Les mesures législatives contreviennent</w:t>
      </w:r>
      <w:r w:rsidRPr="00360B33">
        <w:rPr>
          <w:i/>
          <w:sz w:val="20"/>
          <w:lang w:val="fr-CA"/>
        </w:rPr>
        <w:noBreakHyphen/>
        <w:t>elles à l’al. 2d) de la Charte? — Charte canadienne des droits et libertés, art. 2d) — The Trade Union Amendment Act, 2008, S.S. 2008, c. 26.</w:t>
      </w:r>
    </w:p>
    <w:p w:rsidR="00B91DD6" w:rsidRDefault="00B91DD6" w:rsidP="00B91DD6">
      <w:pPr>
        <w:pStyle w:val="SCCNormalDoubleSpacing"/>
        <w:spacing w:line="240" w:lineRule="auto"/>
        <w:rPr>
          <w:sz w:val="20"/>
          <w:lang w:val="fr-CA"/>
        </w:rPr>
      </w:pPr>
    </w:p>
    <w:p w:rsidR="00B91DD6" w:rsidRPr="00360B33" w:rsidRDefault="00B91DD6" w:rsidP="00B91DD6">
      <w:pPr>
        <w:pStyle w:val="SCCNormalDoubleSpacing"/>
        <w:spacing w:line="240" w:lineRule="auto"/>
        <w:rPr>
          <w:sz w:val="20"/>
          <w:lang w:val="fr-CA"/>
        </w:rPr>
      </w:pPr>
      <w:r w:rsidRPr="00360B33">
        <w:rPr>
          <w:sz w:val="20"/>
          <w:lang w:val="fr-CA"/>
        </w:rPr>
        <w:tab/>
        <w:t xml:space="preserve">En décembre 2007, le gouvernement fraîchement élu de la Saskatchewan a déposé deux projets de loi, </w:t>
      </w:r>
      <w:r w:rsidRPr="00360B33">
        <w:rPr>
          <w:i/>
          <w:sz w:val="20"/>
          <w:lang w:val="fr-CA"/>
        </w:rPr>
        <w:t>The Public Service Essential Services Act</w:t>
      </w:r>
      <w:r w:rsidRPr="00360B33">
        <w:rPr>
          <w:sz w:val="20"/>
          <w:lang w:val="fr-CA"/>
        </w:rPr>
        <w:t>, S.S. 2008, c. P</w:t>
      </w:r>
      <w:r w:rsidRPr="00360B33">
        <w:rPr>
          <w:sz w:val="20"/>
          <w:lang w:val="fr-CA"/>
        </w:rPr>
        <w:noBreakHyphen/>
        <w:t>42.2 (</w:t>
      </w:r>
      <w:r w:rsidRPr="00360B33">
        <w:rPr>
          <w:i/>
          <w:sz w:val="20"/>
          <w:lang w:val="fr-CA"/>
        </w:rPr>
        <w:t>PSESA</w:t>
      </w:r>
      <w:r w:rsidRPr="00360B33">
        <w:rPr>
          <w:sz w:val="20"/>
          <w:lang w:val="fr-CA"/>
        </w:rPr>
        <w:t xml:space="preserve">) et </w:t>
      </w:r>
      <w:r w:rsidRPr="00360B33">
        <w:rPr>
          <w:i/>
          <w:sz w:val="20"/>
          <w:lang w:val="fr-CA"/>
        </w:rPr>
        <w:t>The Trade Union Amendment Act, 2008</w:t>
      </w:r>
      <w:r w:rsidRPr="00360B33">
        <w:rPr>
          <w:sz w:val="20"/>
          <w:lang w:val="fr-CA"/>
        </w:rPr>
        <w:t>,</w:t>
      </w:r>
      <w:r w:rsidRPr="00360B33">
        <w:rPr>
          <w:i/>
          <w:sz w:val="20"/>
          <w:lang w:val="fr-CA"/>
        </w:rPr>
        <w:t xml:space="preserve"> </w:t>
      </w:r>
      <w:r w:rsidRPr="00360B33">
        <w:rPr>
          <w:sz w:val="20"/>
          <w:lang w:val="fr-CA"/>
        </w:rPr>
        <w:t xml:space="preserve">S.S. 2008, c. 26, qui ont été adoptés en mai 2008. La </w:t>
      </w:r>
      <w:r w:rsidRPr="00360B33">
        <w:rPr>
          <w:i/>
          <w:sz w:val="20"/>
          <w:lang w:val="fr-CA"/>
        </w:rPr>
        <w:t xml:space="preserve">PSESA </w:t>
      </w:r>
      <w:r w:rsidRPr="00360B33">
        <w:rPr>
          <w:sz w:val="20"/>
          <w:lang w:val="fr-CA"/>
        </w:rPr>
        <w:t>est le premier régime législatif de la Saskatchewan à limiter l’exercice du droit de grève des salariés du secteur public qui assurent des services essentiels. Elle interdit unilatéralement aux [</w:t>
      </w:r>
      <w:r w:rsidRPr="00360B33">
        <w:rPr>
          <w:smallCaps/>
          <w:sz w:val="20"/>
          <w:lang w:val="fr-CA"/>
        </w:rPr>
        <w:t>traduction</w:t>
      </w:r>
      <w:r w:rsidRPr="00360B33">
        <w:rPr>
          <w:sz w:val="20"/>
          <w:lang w:val="fr-CA"/>
        </w:rPr>
        <w:t xml:space="preserve">] « salariés [désignés] qui assurent des services essentiels » de prendre part à une grève. Ces salariés doivent continuer d’exercer leurs fonctions conformément aux conditions établies par la convention collective la plus récente. Nul mécanisme véritable n’est prévu pour dénouer l’impasse des négociations collectives. </w:t>
      </w:r>
    </w:p>
    <w:p w:rsidR="00B91DD6" w:rsidRDefault="00B91DD6" w:rsidP="00B91DD6">
      <w:pPr>
        <w:pStyle w:val="SCCNormalDoubleSpacing"/>
        <w:spacing w:line="240" w:lineRule="auto"/>
        <w:rPr>
          <w:sz w:val="20"/>
          <w:lang w:val="fr-CA"/>
        </w:rPr>
      </w:pPr>
    </w:p>
    <w:p w:rsidR="00B91DD6" w:rsidRPr="00360B33" w:rsidRDefault="00B91DD6" w:rsidP="00B91DD6">
      <w:pPr>
        <w:pStyle w:val="SCCNormalDoubleSpacing"/>
        <w:spacing w:line="240" w:lineRule="auto"/>
        <w:rPr>
          <w:sz w:val="20"/>
          <w:lang w:val="fr-CA"/>
        </w:rPr>
      </w:pPr>
      <w:r w:rsidRPr="00360B33">
        <w:rPr>
          <w:sz w:val="20"/>
          <w:lang w:val="fr-CA"/>
        </w:rPr>
        <w:tab/>
        <w:t xml:space="preserve">La </w:t>
      </w:r>
      <w:r w:rsidRPr="00360B33">
        <w:rPr>
          <w:i/>
          <w:sz w:val="20"/>
          <w:lang w:val="fr-CA"/>
        </w:rPr>
        <w:t>Trade Union Amendment Act, 2008</w:t>
      </w:r>
      <w:r w:rsidRPr="00360B33">
        <w:rPr>
          <w:sz w:val="20"/>
          <w:lang w:val="fr-CA"/>
        </w:rPr>
        <w:t xml:space="preserve"> modifie le processus de certification syndicale par l’accroissement du pourcentage d’appui requis de la part des salariés et par la réduction de la période d’obtention par écrit de cet appui. Elle modifie également les règles sur les communications de l’employeur avec ses salariés.</w:t>
      </w:r>
    </w:p>
    <w:p w:rsidR="00B91DD6" w:rsidRDefault="00B91DD6" w:rsidP="00B91DD6">
      <w:pPr>
        <w:pStyle w:val="ParaNoNdepar-AltN"/>
        <w:numPr>
          <w:ilvl w:val="0"/>
          <w:numId w:val="0"/>
        </w:numPr>
        <w:spacing w:before="0" w:after="0" w:line="240" w:lineRule="auto"/>
        <w:rPr>
          <w:sz w:val="20"/>
          <w:szCs w:val="20"/>
        </w:rPr>
      </w:pPr>
    </w:p>
    <w:p w:rsidR="00B91DD6" w:rsidRPr="00360B33" w:rsidRDefault="00B91DD6" w:rsidP="00B91DD6">
      <w:pPr>
        <w:pStyle w:val="ParaNoNdepar-AltN"/>
        <w:numPr>
          <w:ilvl w:val="0"/>
          <w:numId w:val="0"/>
        </w:numPr>
        <w:spacing w:before="0" w:after="0" w:line="240" w:lineRule="auto"/>
        <w:rPr>
          <w:sz w:val="20"/>
          <w:szCs w:val="20"/>
        </w:rPr>
      </w:pPr>
      <w:r w:rsidRPr="00360B33">
        <w:rPr>
          <w:sz w:val="20"/>
          <w:szCs w:val="20"/>
        </w:rPr>
        <w:tab/>
        <w:t xml:space="preserve">En juillet 2008, la Saskatchewan Federation of Labour et d’autres syndicats ont contesté la constitutionnalité de la </w:t>
      </w:r>
      <w:r w:rsidRPr="00360B33">
        <w:rPr>
          <w:i/>
          <w:sz w:val="20"/>
          <w:szCs w:val="20"/>
        </w:rPr>
        <w:t>PSESA</w:t>
      </w:r>
      <w:r w:rsidRPr="00360B33">
        <w:rPr>
          <w:sz w:val="20"/>
          <w:szCs w:val="20"/>
        </w:rPr>
        <w:t xml:space="preserve"> et de la</w:t>
      </w:r>
      <w:r w:rsidRPr="00360B33">
        <w:rPr>
          <w:i/>
          <w:sz w:val="20"/>
          <w:szCs w:val="20"/>
        </w:rPr>
        <w:t xml:space="preserve"> Trade Union Amendment Act, 2008</w:t>
      </w:r>
      <w:r w:rsidRPr="00360B33">
        <w:rPr>
          <w:sz w:val="20"/>
          <w:szCs w:val="20"/>
        </w:rPr>
        <w:t>. Le juge de première instance a conclu que le droit de grève est une liberté fondamentale protégée par l’al. 2</w:t>
      </w:r>
      <w:r w:rsidRPr="00360B33">
        <w:rPr>
          <w:i/>
          <w:sz w:val="20"/>
          <w:szCs w:val="20"/>
        </w:rPr>
        <w:t>d</w:t>
      </w:r>
      <w:r w:rsidRPr="00360B33">
        <w:rPr>
          <w:sz w:val="20"/>
          <w:szCs w:val="20"/>
        </w:rPr>
        <w:t xml:space="preserve">) de la </w:t>
      </w:r>
      <w:r w:rsidRPr="00360B33">
        <w:rPr>
          <w:i/>
          <w:sz w:val="20"/>
          <w:szCs w:val="20"/>
        </w:rPr>
        <w:t xml:space="preserve">Charte canadienne des droits et libertés </w:t>
      </w:r>
      <w:r w:rsidRPr="00360B33">
        <w:rPr>
          <w:sz w:val="20"/>
          <w:szCs w:val="20"/>
        </w:rPr>
        <w:t xml:space="preserve">et que l’interdiction de la grève par la </w:t>
      </w:r>
      <w:r w:rsidRPr="00360B33">
        <w:rPr>
          <w:i/>
          <w:sz w:val="20"/>
          <w:szCs w:val="20"/>
        </w:rPr>
        <w:t>PSESA</w:t>
      </w:r>
      <w:r w:rsidRPr="00360B33">
        <w:rPr>
          <w:sz w:val="20"/>
          <w:szCs w:val="20"/>
        </w:rPr>
        <w:t xml:space="preserve"> entrave substantiellement l’exercice des droits que garantit l’al. 2</w:t>
      </w:r>
      <w:r w:rsidRPr="00360B33">
        <w:rPr>
          <w:i/>
          <w:sz w:val="20"/>
          <w:szCs w:val="20"/>
        </w:rPr>
        <w:t>d</w:t>
      </w:r>
      <w:r w:rsidRPr="00360B33">
        <w:rPr>
          <w:sz w:val="20"/>
          <w:szCs w:val="20"/>
        </w:rPr>
        <w:t xml:space="preserve">) aux salariés du secteur public en cause. Il a en outre estimé que l’interdiction totale de la grève par la </w:t>
      </w:r>
      <w:r w:rsidRPr="00360B33">
        <w:rPr>
          <w:i/>
          <w:sz w:val="20"/>
          <w:szCs w:val="20"/>
        </w:rPr>
        <w:t>PSESA</w:t>
      </w:r>
      <w:r w:rsidRPr="00360B33">
        <w:rPr>
          <w:sz w:val="20"/>
          <w:szCs w:val="20"/>
        </w:rPr>
        <w:t xml:space="preserve"> ne porte pas atteinte le moins possible aux droits constitutionnels et que son effet n’est pas proportionné à son objectif, de sorte qu’elle n’est pas sauvegardée par application de l’article premier de la </w:t>
      </w:r>
      <w:r w:rsidRPr="00360B33">
        <w:rPr>
          <w:i/>
          <w:sz w:val="20"/>
          <w:szCs w:val="20"/>
        </w:rPr>
        <w:t>Charte</w:t>
      </w:r>
      <w:r w:rsidRPr="00360B33">
        <w:rPr>
          <w:sz w:val="20"/>
          <w:szCs w:val="20"/>
        </w:rPr>
        <w:t xml:space="preserve">. Le juge a suspendu l’effet de sa déclaration d’invalidité pendant un an. Il a par ailleurs conclu que les changements apportés par la </w:t>
      </w:r>
      <w:r w:rsidRPr="00360B33">
        <w:rPr>
          <w:i/>
          <w:sz w:val="20"/>
          <w:szCs w:val="20"/>
        </w:rPr>
        <w:t>Trade Union Amendment Act, 2008</w:t>
      </w:r>
      <w:r w:rsidRPr="00360B33">
        <w:rPr>
          <w:sz w:val="20"/>
          <w:szCs w:val="20"/>
        </w:rPr>
        <w:t xml:space="preserve"> au processus d’accréditation et aux communications permises à l’employeur ne contreviennent pas à l’al. 2</w:t>
      </w:r>
      <w:r w:rsidRPr="00360B33">
        <w:rPr>
          <w:i/>
          <w:sz w:val="20"/>
          <w:szCs w:val="20"/>
        </w:rPr>
        <w:t>d</w:t>
      </w:r>
      <w:r w:rsidRPr="00360B33">
        <w:rPr>
          <w:sz w:val="20"/>
          <w:szCs w:val="20"/>
        </w:rPr>
        <w:t xml:space="preserve">). </w:t>
      </w:r>
    </w:p>
    <w:p w:rsidR="00B91DD6" w:rsidRDefault="00B91DD6" w:rsidP="00B91DD6">
      <w:pPr>
        <w:pStyle w:val="SCCNormalDoubleSpacing"/>
        <w:spacing w:line="240" w:lineRule="auto"/>
        <w:rPr>
          <w:sz w:val="20"/>
          <w:lang w:val="fr-CA"/>
        </w:rPr>
      </w:pPr>
    </w:p>
    <w:p w:rsidR="00B91DD6" w:rsidRPr="00360B33" w:rsidRDefault="00B91DD6" w:rsidP="00B91DD6">
      <w:pPr>
        <w:pStyle w:val="SCCNormalDoubleSpacing"/>
        <w:spacing w:line="240" w:lineRule="auto"/>
        <w:rPr>
          <w:sz w:val="20"/>
          <w:lang w:val="fr-CA"/>
        </w:rPr>
      </w:pPr>
      <w:r w:rsidRPr="00360B33">
        <w:rPr>
          <w:sz w:val="20"/>
          <w:lang w:val="fr-CA"/>
        </w:rPr>
        <w:lastRenderedPageBreak/>
        <w:tab/>
        <w:t xml:space="preserve">La Cour d’appel de la Saskatchewan a accueilli à l’unanimité l’appel interjeté par le gouvernement de la Saskatchewan relativement à la constitutionnalité de la </w:t>
      </w:r>
      <w:r w:rsidRPr="00360B33">
        <w:rPr>
          <w:i/>
          <w:sz w:val="20"/>
          <w:lang w:val="fr-CA"/>
        </w:rPr>
        <w:t>PSESA</w:t>
      </w:r>
      <w:r w:rsidRPr="00360B33">
        <w:rPr>
          <w:sz w:val="20"/>
          <w:lang w:val="fr-CA"/>
        </w:rPr>
        <w:t xml:space="preserve">. Elle a rejeté l’appel de la décision selon laquelle la </w:t>
      </w:r>
      <w:r w:rsidRPr="00360B33">
        <w:rPr>
          <w:i/>
          <w:sz w:val="20"/>
          <w:lang w:val="fr-CA"/>
        </w:rPr>
        <w:t>Trade Union Amendment Act, 2008</w:t>
      </w:r>
      <w:r w:rsidRPr="00360B33">
        <w:rPr>
          <w:sz w:val="20"/>
          <w:lang w:val="fr-CA"/>
        </w:rPr>
        <w:t xml:space="preserve"> ne contrevient pas à l’al. 2</w:t>
      </w:r>
      <w:r w:rsidRPr="00360B33">
        <w:rPr>
          <w:i/>
          <w:sz w:val="20"/>
          <w:lang w:val="fr-CA"/>
        </w:rPr>
        <w:t>d</w:t>
      </w:r>
      <w:r w:rsidRPr="00360B33">
        <w:rPr>
          <w:sz w:val="20"/>
          <w:lang w:val="fr-CA"/>
        </w:rPr>
        <w:t xml:space="preserve">) de la </w:t>
      </w:r>
      <w:r w:rsidRPr="00360B33">
        <w:rPr>
          <w:i/>
          <w:sz w:val="20"/>
          <w:lang w:val="fr-CA"/>
        </w:rPr>
        <w:t>Charte</w:t>
      </w:r>
      <w:r w:rsidRPr="00360B33">
        <w:rPr>
          <w:sz w:val="20"/>
          <w:lang w:val="fr-CA"/>
        </w:rPr>
        <w:t xml:space="preserve">. </w:t>
      </w:r>
    </w:p>
    <w:p w:rsidR="00B91DD6" w:rsidRDefault="00B91DD6" w:rsidP="00B91DD6">
      <w:pPr>
        <w:pStyle w:val="SCCNormalDoubleSpacing"/>
        <w:spacing w:line="240" w:lineRule="auto"/>
        <w:rPr>
          <w:sz w:val="20"/>
          <w:lang w:val="fr-CA"/>
        </w:rPr>
      </w:pPr>
    </w:p>
    <w:p w:rsidR="00B91DD6" w:rsidRPr="00360B33" w:rsidRDefault="00B91DD6" w:rsidP="00B91DD6">
      <w:pPr>
        <w:pStyle w:val="SCCNormalDoubleSpacing"/>
        <w:spacing w:line="240" w:lineRule="auto"/>
        <w:rPr>
          <w:sz w:val="20"/>
          <w:lang w:val="fr-CA"/>
        </w:rPr>
      </w:pPr>
      <w:r w:rsidRPr="00360B33">
        <w:rPr>
          <w:sz w:val="20"/>
          <w:lang w:val="fr-CA"/>
        </w:rPr>
        <w:tab/>
      </w:r>
      <w:r w:rsidRPr="00360B33">
        <w:rPr>
          <w:i/>
          <w:sz w:val="20"/>
          <w:lang w:val="fr-CA"/>
        </w:rPr>
        <w:t>Arrêt</w:t>
      </w:r>
      <w:r w:rsidRPr="00360B33">
        <w:rPr>
          <w:sz w:val="20"/>
          <w:lang w:val="fr-CA"/>
        </w:rPr>
        <w:t xml:space="preserve"> (les juges Rothstein et Wagner sont dissidents en partie) : Le pourvoi est accueilli relativement à la </w:t>
      </w:r>
      <w:r w:rsidRPr="00360B33">
        <w:rPr>
          <w:i/>
          <w:sz w:val="20"/>
          <w:lang w:val="fr-CA"/>
        </w:rPr>
        <w:t>PSESA</w:t>
      </w:r>
      <w:r w:rsidRPr="00360B33">
        <w:rPr>
          <w:sz w:val="20"/>
          <w:lang w:val="fr-CA"/>
        </w:rPr>
        <w:t xml:space="preserve">. L’interdiction de la grève par la </w:t>
      </w:r>
      <w:r w:rsidRPr="00360B33">
        <w:rPr>
          <w:i/>
          <w:sz w:val="20"/>
          <w:lang w:val="fr-CA"/>
        </w:rPr>
        <w:t>PSESA</w:t>
      </w:r>
      <w:r w:rsidRPr="00360B33">
        <w:rPr>
          <w:sz w:val="20"/>
          <w:lang w:val="fr-CA"/>
        </w:rPr>
        <w:t xml:space="preserve"> entrave substantiellement le droit à un processus véritable de négociation collective et contrevient donc à l’al. 2</w:t>
      </w:r>
      <w:r w:rsidRPr="00360B33">
        <w:rPr>
          <w:i/>
          <w:sz w:val="20"/>
          <w:lang w:val="fr-CA"/>
        </w:rPr>
        <w:t>d</w:t>
      </w:r>
      <w:r w:rsidRPr="00360B33">
        <w:rPr>
          <w:sz w:val="20"/>
          <w:lang w:val="fr-CA"/>
        </w:rPr>
        <w:t xml:space="preserve">) de la </w:t>
      </w:r>
      <w:r w:rsidRPr="00360B33">
        <w:rPr>
          <w:i/>
          <w:sz w:val="20"/>
          <w:lang w:val="fr-CA"/>
        </w:rPr>
        <w:t>Charte</w:t>
      </w:r>
      <w:r w:rsidRPr="00360B33">
        <w:rPr>
          <w:sz w:val="20"/>
          <w:lang w:val="fr-CA"/>
        </w:rPr>
        <w:t xml:space="preserve">. L’atteinte n’est pas justifiée par application de l’article premier. L’effet de la déclaration d’invalidité est suspendu pendant un an. L’appel visant la </w:t>
      </w:r>
      <w:r w:rsidRPr="00360B33">
        <w:rPr>
          <w:i/>
          <w:sz w:val="20"/>
          <w:lang w:val="fr-CA"/>
        </w:rPr>
        <w:t>Trade Union Amendment Act, 2008</w:t>
      </w:r>
      <w:r w:rsidRPr="00360B33">
        <w:rPr>
          <w:sz w:val="20"/>
          <w:lang w:val="fr-CA"/>
        </w:rPr>
        <w:t xml:space="preserve"> est rejeté.</w:t>
      </w:r>
    </w:p>
    <w:p w:rsidR="00B91DD6" w:rsidRDefault="00B91DD6" w:rsidP="00B91DD6">
      <w:pPr>
        <w:pStyle w:val="SCCNormalDoubleSpacing"/>
        <w:spacing w:line="240" w:lineRule="auto"/>
        <w:rPr>
          <w:sz w:val="20"/>
          <w:lang w:val="fr-CA"/>
        </w:rPr>
      </w:pPr>
    </w:p>
    <w:p w:rsidR="00B91DD6" w:rsidRPr="00360B33" w:rsidRDefault="00B91DD6" w:rsidP="00B91DD6">
      <w:pPr>
        <w:pStyle w:val="SCCNormalDoubleSpacing"/>
        <w:spacing w:line="240" w:lineRule="auto"/>
        <w:rPr>
          <w:sz w:val="20"/>
          <w:lang w:val="fr-CA"/>
        </w:rPr>
      </w:pPr>
      <w:r w:rsidRPr="00360B33">
        <w:rPr>
          <w:sz w:val="20"/>
          <w:lang w:val="fr-CA"/>
        </w:rPr>
        <w:tab/>
      </w:r>
      <w:r w:rsidRPr="00360B33">
        <w:rPr>
          <w:i/>
          <w:sz w:val="20"/>
          <w:lang w:val="fr-CA"/>
        </w:rPr>
        <w:t>La</w:t>
      </w:r>
      <w:r w:rsidRPr="00360B33">
        <w:rPr>
          <w:sz w:val="20"/>
          <w:lang w:val="fr-CA"/>
        </w:rPr>
        <w:t xml:space="preserve"> juge en chef McLachlin et les juges LeBel, </w:t>
      </w:r>
      <w:r w:rsidRPr="00360B33">
        <w:rPr>
          <w:b/>
          <w:sz w:val="20"/>
          <w:lang w:val="fr-CA"/>
        </w:rPr>
        <w:t>Abella</w:t>
      </w:r>
      <w:r w:rsidRPr="00360B33">
        <w:rPr>
          <w:sz w:val="20"/>
          <w:lang w:val="fr-CA"/>
        </w:rPr>
        <w:t>, Cromwell et Karakatsanis : Dans notre régime de relations de travail, le droit de grève constitue un élément essentiel d’un processus véritable de négociation collective. Il n’est pas seulement dérivé du droit à la négociation collective, il en constitue une composante indispensable. Advenant la rupture de la négociation de bonne foi, la faculté de cesser collectivement le travail est une composante nécessaire du processus grâce auquel les travailleurs peuvent continuer de participer véritablement à la poursuite de leurs objectifs liés au travail. Le droit de grève jouit de la protection constitutionnelle en raison de sa fonction cruciale dans le cadre d’un processus véritable de négociation collective.</w:t>
      </w:r>
    </w:p>
    <w:p w:rsidR="00B91DD6" w:rsidRDefault="00B91DD6" w:rsidP="00B91DD6">
      <w:pPr>
        <w:pStyle w:val="SCCNormalDoubleSpacing"/>
        <w:spacing w:line="240" w:lineRule="auto"/>
        <w:rPr>
          <w:sz w:val="20"/>
          <w:lang w:val="fr-CA"/>
        </w:rPr>
      </w:pPr>
    </w:p>
    <w:p w:rsidR="00B91DD6" w:rsidRPr="00360B33" w:rsidRDefault="00B91DD6" w:rsidP="00B91DD6">
      <w:pPr>
        <w:pStyle w:val="SCCNormalDoubleSpacing"/>
        <w:spacing w:line="240" w:lineRule="auto"/>
        <w:rPr>
          <w:sz w:val="20"/>
          <w:lang w:val="fr-CA"/>
        </w:rPr>
      </w:pPr>
      <w:r w:rsidRPr="00360B33">
        <w:rPr>
          <w:sz w:val="20"/>
          <w:lang w:val="fr-CA"/>
        </w:rPr>
        <w:tab/>
        <w:t xml:space="preserve">Dans l’arrêt </w:t>
      </w:r>
      <w:r w:rsidRPr="00360B33">
        <w:rPr>
          <w:i/>
          <w:sz w:val="20"/>
          <w:lang w:val="fr-CA"/>
        </w:rPr>
        <w:t>Health Services and Support — Facilities Subsector Bargaining Assn. c. Colombie</w:t>
      </w:r>
      <w:r w:rsidRPr="00360B33">
        <w:rPr>
          <w:i/>
          <w:sz w:val="20"/>
          <w:lang w:val="fr-CA"/>
        </w:rPr>
        <w:noBreakHyphen/>
        <w:t>Britannique</w:t>
      </w:r>
      <w:r w:rsidRPr="00360B33">
        <w:rPr>
          <w:sz w:val="20"/>
          <w:lang w:val="fr-CA"/>
        </w:rPr>
        <w:t xml:space="preserve">, [2007] 2 R.C.S. 391, la Cour reconnaît que les valeurs inhérentes à la </w:t>
      </w:r>
      <w:r w:rsidRPr="00360B33">
        <w:rPr>
          <w:i/>
          <w:sz w:val="20"/>
          <w:lang w:val="fr-CA"/>
        </w:rPr>
        <w:t>Charte</w:t>
      </w:r>
      <w:r w:rsidRPr="00360B33">
        <w:rPr>
          <w:sz w:val="20"/>
          <w:lang w:val="fr-CA"/>
        </w:rPr>
        <w:t xml:space="preserve"> que sont « [l]a dignité humaine, l’égalité, la liberté, le respect de l’autonomie de la personne et la mise en valeur de la démocratie » confirment la protection du droit à un processus véritable de négociation collective dans les limites de l’al. 2</w:t>
      </w:r>
      <w:r w:rsidRPr="00360B33">
        <w:rPr>
          <w:i/>
          <w:sz w:val="20"/>
          <w:lang w:val="fr-CA"/>
        </w:rPr>
        <w:t>d</w:t>
      </w:r>
      <w:r w:rsidRPr="00360B33">
        <w:rPr>
          <w:sz w:val="20"/>
          <w:lang w:val="fr-CA"/>
        </w:rPr>
        <w:t>). Le droit de grève est essentiel à la réalisation de ces valeurs par voie de négociation collective, car il permet aux travailleurs de cesser le travail de manière concertée en cas d’impasse de cette négociation collective. En recourant à la grève, les travailleurs s’unissent pour participer directement au processus de détermination de leurs salaires, de leurs conditions de travail et des règles qui régiront leur vie professionnelle. Ainsi, le recours possible à la grève fait en sorte que les travailleurs peuvent, par leur action concertée, refuser de travailler aux conditions imposées par l’employeur. Cette action concertée à l’occasion d’une impasse se veut une affirmation de la dignité et de l’autonomie personnelle des salariés pendant leur vie professionnelle.</w:t>
      </w:r>
    </w:p>
    <w:p w:rsidR="00B91DD6" w:rsidRDefault="00B91DD6" w:rsidP="00B91DD6">
      <w:pPr>
        <w:pStyle w:val="SCCNormalDoubleSpacing"/>
        <w:spacing w:line="240" w:lineRule="auto"/>
        <w:rPr>
          <w:sz w:val="20"/>
          <w:lang w:val="fr-CA"/>
        </w:rPr>
      </w:pPr>
    </w:p>
    <w:p w:rsidR="00B91DD6" w:rsidRPr="00360B33" w:rsidRDefault="00B91DD6" w:rsidP="00B91DD6">
      <w:pPr>
        <w:pStyle w:val="SCCNormalDoubleSpacing"/>
        <w:spacing w:line="240" w:lineRule="auto"/>
        <w:rPr>
          <w:sz w:val="20"/>
          <w:lang w:val="fr-CA"/>
        </w:rPr>
      </w:pPr>
      <w:r w:rsidRPr="00360B33">
        <w:rPr>
          <w:sz w:val="20"/>
          <w:lang w:val="fr-CA"/>
        </w:rPr>
        <w:tab/>
        <w:t>Le droit de grève favorise aussi l’égalité dans le processus de négociation. La Cour reconnaît depuis longtemps les inégalités marquées qui façonnent les relations entre employeurs et salariés, ainsi que la vulnérabilité des salariés dans ce contexte. La grève ne garantit pas en soi qu’un conflit de travail sera réglé d’une certaine manière, ni même du tout, mais elle permet aux travailleurs de négocier davantage sur un pied d’égalité relativement à leurs conditions de travail.</w:t>
      </w:r>
    </w:p>
    <w:p w:rsidR="00B91DD6" w:rsidRDefault="00B91DD6" w:rsidP="00B91DD6">
      <w:pPr>
        <w:pStyle w:val="SCCNormalDoubleSpacing"/>
        <w:spacing w:line="240" w:lineRule="auto"/>
        <w:rPr>
          <w:sz w:val="20"/>
          <w:lang w:val="fr-CA"/>
        </w:rPr>
      </w:pPr>
    </w:p>
    <w:p w:rsidR="00B91DD6" w:rsidRPr="00360B33" w:rsidRDefault="00B91DD6" w:rsidP="00B91DD6">
      <w:pPr>
        <w:pStyle w:val="SCCNormalDoubleSpacing"/>
        <w:spacing w:line="240" w:lineRule="auto"/>
        <w:rPr>
          <w:sz w:val="20"/>
          <w:lang w:val="fr-CA"/>
        </w:rPr>
      </w:pPr>
      <w:r w:rsidRPr="00360B33">
        <w:rPr>
          <w:sz w:val="20"/>
          <w:lang w:val="fr-CA"/>
        </w:rPr>
        <w:tab/>
        <w:t>Adoptée aux États</w:t>
      </w:r>
      <w:r w:rsidRPr="00360B33">
        <w:rPr>
          <w:sz w:val="20"/>
          <w:lang w:val="fr-CA"/>
        </w:rPr>
        <w:noBreakHyphen/>
        <w:t>Unis en 1935, la </w:t>
      </w:r>
      <w:r w:rsidRPr="00360B33">
        <w:rPr>
          <w:i/>
          <w:sz w:val="20"/>
          <w:lang w:val="fr-CA"/>
        </w:rPr>
        <w:t>Loi</w:t>
      </w:r>
      <w:r w:rsidRPr="00360B33">
        <w:rPr>
          <w:sz w:val="20"/>
          <w:lang w:val="fr-CA"/>
        </w:rPr>
        <w:t xml:space="preserve"> </w:t>
      </w:r>
      <w:r w:rsidRPr="00360B33">
        <w:rPr>
          <w:i/>
          <w:sz w:val="20"/>
          <w:lang w:val="fr-CA"/>
        </w:rPr>
        <w:t>Wagner</w:t>
      </w:r>
      <w:r w:rsidRPr="00360B33">
        <w:rPr>
          <w:sz w:val="20"/>
          <w:lang w:val="fr-CA"/>
        </w:rPr>
        <w:t xml:space="preserve"> a établi un modèle de relations de travail qui a inspiré les régimes législatifs partout au Canada. Les gouvernements fédéral et provinciaux ont adopté ce modèle parce qu’ils ont reconnu le besoin fondamental des travailleurs de participer à la réglementation de leur milieu de travail. Le modèle fondé sur la </w:t>
      </w:r>
      <w:r w:rsidRPr="00360B33">
        <w:rPr>
          <w:i/>
          <w:sz w:val="20"/>
          <w:lang w:val="fr-CA"/>
        </w:rPr>
        <w:t>Loi Wagner</w:t>
      </w:r>
      <w:r w:rsidRPr="00360B33">
        <w:rPr>
          <w:sz w:val="20"/>
          <w:lang w:val="fr-CA"/>
        </w:rPr>
        <w:t xml:space="preserve"> visait entre autres à réduire le recours à la grève en veillant à ce que les parties se livrent à une véritable négociation collective. Or, il n’est pas le seul à reconnaître le droit de grève. La plupart des modèles de relations de travail le font parce que la faculté de cesser collectivement le travail aux fins de la négociation des conditions de travail — le droit de grève, en somme — constitue une composante essentielle de la poursuite d’objectifs liés au travail par les travailleurs. </w:t>
      </w:r>
    </w:p>
    <w:p w:rsidR="00B91DD6" w:rsidRDefault="00B91DD6" w:rsidP="00B91DD6">
      <w:pPr>
        <w:pStyle w:val="SCCNormalDoubleSpacing"/>
        <w:spacing w:line="240" w:lineRule="auto"/>
        <w:rPr>
          <w:sz w:val="20"/>
          <w:lang w:val="fr-CA"/>
        </w:rPr>
      </w:pPr>
    </w:p>
    <w:p w:rsidR="00B91DD6" w:rsidRPr="00360B33" w:rsidRDefault="00B91DD6" w:rsidP="00B91DD6">
      <w:pPr>
        <w:pStyle w:val="SCCNormalDoubleSpacing"/>
        <w:spacing w:line="240" w:lineRule="auto"/>
        <w:rPr>
          <w:sz w:val="20"/>
          <w:lang w:val="fr-CA"/>
        </w:rPr>
      </w:pPr>
      <w:r w:rsidRPr="00360B33">
        <w:rPr>
          <w:sz w:val="20"/>
          <w:lang w:val="fr-CA"/>
        </w:rPr>
        <w:tab/>
        <w:t xml:space="preserve">Les obligations internationales du Canada en matière de droits de la personne commandent également la protection du droit de grève en tant qu’élément d’un processus véritable de négociation collective. Le Canada est partie à des instruments internationaux qui protègent expressément le droit de grève. Outre ces engagements exprès, d’autres sources confirment la protection du droit de grève que reconnaît le droit international. De nombreux pays dotés de lois du travail étrangères au modèle fondé sur la </w:t>
      </w:r>
      <w:r w:rsidRPr="00360B33">
        <w:rPr>
          <w:i/>
          <w:sz w:val="20"/>
          <w:lang w:val="fr-CA"/>
        </w:rPr>
        <w:t>Loi</w:t>
      </w:r>
      <w:r w:rsidRPr="00360B33">
        <w:rPr>
          <w:sz w:val="20"/>
          <w:lang w:val="fr-CA"/>
        </w:rPr>
        <w:t xml:space="preserve"> </w:t>
      </w:r>
      <w:r w:rsidRPr="00360B33">
        <w:rPr>
          <w:i/>
          <w:sz w:val="20"/>
          <w:lang w:val="fr-CA"/>
        </w:rPr>
        <w:t xml:space="preserve">Wagner </w:t>
      </w:r>
      <w:r w:rsidRPr="00360B33">
        <w:rPr>
          <w:sz w:val="20"/>
          <w:lang w:val="fr-CA"/>
        </w:rPr>
        <w:t>protègent le droit de grève.</w:t>
      </w:r>
    </w:p>
    <w:p w:rsidR="00B91DD6" w:rsidRDefault="00B91DD6" w:rsidP="00B91DD6">
      <w:pPr>
        <w:pStyle w:val="SCCNormalDoubleSpacing"/>
        <w:spacing w:line="240" w:lineRule="auto"/>
        <w:rPr>
          <w:sz w:val="20"/>
          <w:lang w:val="fr-CA"/>
        </w:rPr>
      </w:pPr>
    </w:p>
    <w:p w:rsidR="00B91DD6" w:rsidRPr="00360B33" w:rsidRDefault="00B91DD6" w:rsidP="00B91DD6">
      <w:pPr>
        <w:pStyle w:val="SCCNormalDoubleSpacing"/>
        <w:spacing w:line="240" w:lineRule="auto"/>
        <w:rPr>
          <w:sz w:val="20"/>
          <w:lang w:val="fr-CA"/>
        </w:rPr>
      </w:pPr>
      <w:r w:rsidRPr="00360B33">
        <w:rPr>
          <w:sz w:val="20"/>
          <w:lang w:val="fr-CA"/>
        </w:rPr>
        <w:tab/>
        <w:t xml:space="preserve">Il appert de ce tour d’horizon historique, international et jurisprudentiel qu’un processus véritable de négociation collective exige que les salariés puissent participer à un arrêt collectif du travail aux fins de la détermination de leurs conditions de travail par une convention collective. La faculté de cesser collectivement le travail </w:t>
      </w:r>
      <w:r w:rsidRPr="00360B33">
        <w:rPr>
          <w:sz w:val="20"/>
          <w:lang w:val="fr-CA"/>
        </w:rPr>
        <w:lastRenderedPageBreak/>
        <w:t>pendant la négociation d’une convention collective constitue donc — et a toujours constitué — le minimum irréductible de la liberté d’association dans les relations de travail au Canada.</w:t>
      </w:r>
    </w:p>
    <w:p w:rsidR="00B91DD6" w:rsidRDefault="00B91DD6" w:rsidP="00B91DD6">
      <w:pPr>
        <w:pStyle w:val="SCCNormalDoubleSpacing"/>
        <w:spacing w:line="240" w:lineRule="auto"/>
        <w:rPr>
          <w:sz w:val="20"/>
          <w:lang w:val="fr-CA"/>
        </w:rPr>
      </w:pPr>
    </w:p>
    <w:p w:rsidR="00B91DD6" w:rsidRPr="00360B33" w:rsidRDefault="00B91DD6" w:rsidP="00B91DD6">
      <w:pPr>
        <w:pStyle w:val="SCCNormalDoubleSpacing"/>
        <w:spacing w:line="240" w:lineRule="auto"/>
        <w:rPr>
          <w:sz w:val="20"/>
          <w:lang w:val="fr-CA"/>
        </w:rPr>
      </w:pPr>
      <w:r w:rsidRPr="00360B33">
        <w:rPr>
          <w:sz w:val="20"/>
          <w:lang w:val="fr-CA"/>
        </w:rPr>
        <w:tab/>
        <w:t>Pour savoir s’il y a atteinte à la liberté garantie par l’al. 2</w:t>
      </w:r>
      <w:r w:rsidRPr="00360B33">
        <w:rPr>
          <w:i/>
          <w:sz w:val="20"/>
          <w:lang w:val="fr-CA"/>
        </w:rPr>
        <w:t>d</w:t>
      </w:r>
      <w:r w:rsidRPr="00360B33">
        <w:rPr>
          <w:sz w:val="20"/>
          <w:lang w:val="fr-CA"/>
        </w:rPr>
        <w:t xml:space="preserve">) de la </w:t>
      </w:r>
      <w:r w:rsidRPr="00360B33">
        <w:rPr>
          <w:i/>
          <w:sz w:val="20"/>
          <w:lang w:val="fr-CA"/>
        </w:rPr>
        <w:t>Charte</w:t>
      </w:r>
      <w:r w:rsidRPr="00360B33">
        <w:rPr>
          <w:sz w:val="20"/>
          <w:lang w:val="fr-CA"/>
        </w:rPr>
        <w:t xml:space="preserve">, il faut déterminer si, dans un cas donné, la limitation législative du droit de grève entrave substantiellement le droit à un processus véritable de négociation collective. L’interdiction que fait la </w:t>
      </w:r>
      <w:r w:rsidRPr="00360B33">
        <w:rPr>
          <w:i/>
          <w:sz w:val="20"/>
          <w:lang w:val="fr-CA"/>
        </w:rPr>
        <w:t>PSESA</w:t>
      </w:r>
      <w:r w:rsidRPr="00360B33">
        <w:rPr>
          <w:sz w:val="20"/>
          <w:lang w:val="fr-CA"/>
        </w:rPr>
        <w:t xml:space="preserve"> aux salariés désignés de prendre part à une grève aux fins de la négociation de leurs conditions de travail satisfait à cette condition, si bien qu’il y a atteinte à la liberté garantie par l’al. 2</w:t>
      </w:r>
      <w:r w:rsidRPr="00360B33">
        <w:rPr>
          <w:i/>
          <w:sz w:val="20"/>
          <w:lang w:val="fr-CA"/>
        </w:rPr>
        <w:t>d</w:t>
      </w:r>
      <w:r w:rsidRPr="00360B33">
        <w:rPr>
          <w:sz w:val="20"/>
          <w:lang w:val="fr-CA"/>
        </w:rPr>
        <w:t xml:space="preserve">) de la </w:t>
      </w:r>
      <w:r w:rsidRPr="00360B33">
        <w:rPr>
          <w:i/>
          <w:sz w:val="20"/>
          <w:lang w:val="fr-CA"/>
        </w:rPr>
        <w:t>Charte</w:t>
      </w:r>
      <w:r w:rsidRPr="00360B33">
        <w:rPr>
          <w:sz w:val="20"/>
          <w:lang w:val="fr-CA"/>
        </w:rPr>
        <w:t>.</w:t>
      </w:r>
    </w:p>
    <w:p w:rsidR="00B91DD6" w:rsidRDefault="00B91DD6" w:rsidP="00B91DD6">
      <w:pPr>
        <w:pStyle w:val="SCCNormalDoubleSpacing"/>
        <w:spacing w:line="240" w:lineRule="auto"/>
        <w:rPr>
          <w:sz w:val="20"/>
          <w:lang w:val="fr-CA"/>
        </w:rPr>
      </w:pPr>
    </w:p>
    <w:p w:rsidR="00B91DD6" w:rsidRPr="00360B33" w:rsidRDefault="00B91DD6" w:rsidP="00B91DD6">
      <w:pPr>
        <w:pStyle w:val="SCCNormalDoubleSpacing"/>
        <w:spacing w:line="240" w:lineRule="auto"/>
        <w:rPr>
          <w:sz w:val="20"/>
          <w:lang w:val="fr-CA"/>
        </w:rPr>
      </w:pPr>
      <w:r w:rsidRPr="00360B33">
        <w:rPr>
          <w:sz w:val="20"/>
          <w:lang w:val="fr-CA"/>
        </w:rPr>
        <w:tab/>
        <w:t>L’atteinte à la liberté que garantit cet alinéa n’est pas justifiée par application de l’article premier. L’ininterruption des services publics essentiels constitue à l’évidence un objectif urgent et réel, mais la question décisive en l’espèce est celle de savoir si les moyens retenus par l’État portent atteinte le moins possible ou non aux droits constitutionnels en cause, c’est</w:t>
      </w:r>
      <w:r w:rsidRPr="00360B33">
        <w:rPr>
          <w:sz w:val="20"/>
          <w:lang w:val="fr-CA"/>
        </w:rPr>
        <w:noBreakHyphen/>
        <w:t>à</w:t>
      </w:r>
      <w:r w:rsidRPr="00360B33">
        <w:rPr>
          <w:sz w:val="20"/>
          <w:lang w:val="fr-CA"/>
        </w:rPr>
        <w:noBreakHyphen/>
        <w:t>dire s’ils sont ou non soigneusement adaptés de façon que l’atteinte aux droits n’aille pas au delà de ce qui est nécessaire.</w:t>
      </w:r>
    </w:p>
    <w:p w:rsidR="00B91DD6" w:rsidRDefault="00B91DD6" w:rsidP="00B91DD6">
      <w:pPr>
        <w:pStyle w:val="SCCNormalDoubleSpacing"/>
        <w:spacing w:line="240" w:lineRule="auto"/>
        <w:rPr>
          <w:sz w:val="20"/>
          <w:lang w:val="fr-CA"/>
        </w:rPr>
      </w:pPr>
    </w:p>
    <w:p w:rsidR="00B91DD6" w:rsidRPr="00360B33" w:rsidRDefault="00B91DD6" w:rsidP="00B91DD6">
      <w:pPr>
        <w:pStyle w:val="SCCNormalDoubleSpacing"/>
        <w:spacing w:line="240" w:lineRule="auto"/>
        <w:rPr>
          <w:sz w:val="20"/>
          <w:lang w:val="fr-CA"/>
        </w:rPr>
      </w:pPr>
      <w:r w:rsidRPr="00360B33">
        <w:rPr>
          <w:sz w:val="20"/>
          <w:lang w:val="fr-CA"/>
        </w:rPr>
        <w:tab/>
        <w:t xml:space="preserve">Le fait qu’un service est offert uniquement par le secteur public ne mène pas inévitablement à la conclusion qu’il est à juste titre considéré comme « essentiel ». La </w:t>
      </w:r>
      <w:r w:rsidRPr="00360B33">
        <w:rPr>
          <w:i/>
          <w:sz w:val="20"/>
          <w:lang w:val="fr-CA"/>
        </w:rPr>
        <w:t>PSESA</w:t>
      </w:r>
      <w:r w:rsidRPr="00360B33">
        <w:rPr>
          <w:sz w:val="20"/>
          <w:lang w:val="fr-CA"/>
        </w:rPr>
        <w:t xml:space="preserve"> confère à l’employeur public le pouvoir unilatéral de décider que des services essentiels seront assurés, ainsi que celui de déterminer la manière dont ils le seront, y compris les catégories de salariés qui continueront d’exercer leurs fonctions pendant l’arrêt de travail, le nombre et le nom des salariés de chacune des catégories et, dans le cas d’un employeur public autre que le gouvernement de la Saskatchewan, les services essentiels qui seront assurés. Seul le nombre de salariés qui demeureront au travail peut être révisé par la Saskatchewan Labour Relations Board. Même lorsqu’il est interdit à un salarié de prendre part à une grève, les dispositions de la </w:t>
      </w:r>
      <w:r w:rsidRPr="00360B33">
        <w:rPr>
          <w:i/>
          <w:sz w:val="20"/>
          <w:lang w:val="fr-CA"/>
        </w:rPr>
        <w:t>PSESA</w:t>
      </w:r>
      <w:r w:rsidRPr="00360B33">
        <w:rPr>
          <w:sz w:val="20"/>
          <w:lang w:val="fr-CA"/>
        </w:rPr>
        <w:t xml:space="preserve"> ne limitent pas ses fonctions à la seule prestation des services essentiels. Elles vont au delà de ce qui est raisonnablement nécessaire pour assurer la prestation ininterrompue des services essentiels durant une grève.</w:t>
      </w:r>
    </w:p>
    <w:p w:rsidR="00B91DD6" w:rsidRDefault="00B91DD6" w:rsidP="00B91DD6">
      <w:pPr>
        <w:pStyle w:val="SCCNormalDoubleSpacing"/>
        <w:spacing w:line="240" w:lineRule="auto"/>
        <w:rPr>
          <w:sz w:val="20"/>
          <w:lang w:val="fr-CA"/>
        </w:rPr>
      </w:pPr>
    </w:p>
    <w:p w:rsidR="00B91DD6" w:rsidRPr="00360B33" w:rsidRDefault="00B91DD6" w:rsidP="00B91DD6">
      <w:pPr>
        <w:pStyle w:val="SCCNormalDoubleSpacing"/>
        <w:spacing w:line="240" w:lineRule="auto"/>
        <w:rPr>
          <w:sz w:val="20"/>
          <w:lang w:val="fr-CA"/>
        </w:rPr>
      </w:pPr>
      <w:r w:rsidRPr="00360B33">
        <w:rPr>
          <w:sz w:val="20"/>
          <w:lang w:val="fr-CA"/>
        </w:rPr>
        <w:tab/>
        <w:t xml:space="preserve">La </w:t>
      </w:r>
      <w:r w:rsidRPr="00360B33">
        <w:rPr>
          <w:i/>
          <w:sz w:val="20"/>
          <w:lang w:val="fr-CA"/>
        </w:rPr>
        <w:t xml:space="preserve">PSESA </w:t>
      </w:r>
      <w:r w:rsidRPr="00360B33">
        <w:rPr>
          <w:sz w:val="20"/>
          <w:lang w:val="fr-CA"/>
        </w:rPr>
        <w:t>ne prévoit pas non plus d’autre moyen véritable (tel l’arbitrage) de mettre fin à l’impasse des négociations. Lorsque le droit de grève est limité d’une manière qui entrave substantiellement le droit à un processus véritable de négociation collective, il doit être remplacé par l’un ou l’autre des mécanismes véritables de règlement des différends qui sont couramment employés en relations de travail. Les salariés du secteur public qui assurent des services essentiels exercent des fonctions dont le caractère unique est susceptible de militer en faveur d’un mécanisme moins perturbateur que la grève lorsque la négociation collective se heurte à une impasse, mais ces fonctions ne sauraient justifier l’absence de tout mécanisme de règlement des différends.</w:t>
      </w:r>
    </w:p>
    <w:p w:rsidR="00B91DD6" w:rsidRDefault="00B91DD6" w:rsidP="00B91DD6">
      <w:pPr>
        <w:pStyle w:val="SCCNormalDoubleSpacing"/>
        <w:spacing w:line="240" w:lineRule="auto"/>
        <w:rPr>
          <w:sz w:val="20"/>
          <w:lang w:val="fr-CA"/>
        </w:rPr>
      </w:pPr>
    </w:p>
    <w:p w:rsidR="00B91DD6" w:rsidRPr="00360B33" w:rsidRDefault="00B91DD6" w:rsidP="00B91DD6">
      <w:pPr>
        <w:pStyle w:val="SCCNormalDoubleSpacing"/>
        <w:spacing w:line="240" w:lineRule="auto"/>
        <w:rPr>
          <w:sz w:val="20"/>
          <w:lang w:val="fr-CA"/>
        </w:rPr>
      </w:pPr>
      <w:r w:rsidRPr="00360B33">
        <w:rPr>
          <w:sz w:val="20"/>
          <w:lang w:val="fr-CA"/>
        </w:rPr>
        <w:tab/>
        <w:t>Le pouvoir unilatéral</w:t>
      </w:r>
      <w:r w:rsidRPr="00360B33">
        <w:rPr>
          <w:i/>
          <w:sz w:val="20"/>
          <w:lang w:val="fr-CA"/>
        </w:rPr>
        <w:t xml:space="preserve"> </w:t>
      </w:r>
      <w:r w:rsidRPr="00360B33">
        <w:rPr>
          <w:sz w:val="20"/>
          <w:lang w:val="fr-CA"/>
        </w:rPr>
        <w:t xml:space="preserve">de l’employeur public de décider que des services essentiels seront assurés durant un arrêt de travail et de déterminer la manière dont ils le seront, à l’exclusion de tout mécanisme de contrôle approprié, sans compter l’absence d’un mécanisme véritable de règlement des différends, justifient la conclusion selon laquelle la </w:t>
      </w:r>
      <w:r w:rsidRPr="00360B33">
        <w:rPr>
          <w:i/>
          <w:sz w:val="20"/>
          <w:lang w:val="fr-CA"/>
        </w:rPr>
        <w:t>PSESA</w:t>
      </w:r>
      <w:r w:rsidRPr="00360B33">
        <w:rPr>
          <w:sz w:val="20"/>
          <w:lang w:val="fr-CA"/>
        </w:rPr>
        <w:t xml:space="preserve"> porte atteinte plus qu’il n’est nécessaire aux droits constitutionnels en cause. Il est donc inconstitutionnel.</w:t>
      </w:r>
    </w:p>
    <w:p w:rsidR="00B91DD6" w:rsidRDefault="00B91DD6" w:rsidP="00B91DD6">
      <w:pPr>
        <w:pStyle w:val="ParaNoNdepar-AltN"/>
        <w:numPr>
          <w:ilvl w:val="0"/>
          <w:numId w:val="0"/>
        </w:numPr>
        <w:spacing w:before="0" w:after="0" w:line="240" w:lineRule="auto"/>
        <w:rPr>
          <w:sz w:val="20"/>
          <w:szCs w:val="20"/>
        </w:rPr>
      </w:pPr>
    </w:p>
    <w:p w:rsidR="00B91DD6" w:rsidRPr="00360B33" w:rsidRDefault="00B91DD6" w:rsidP="00B91DD6">
      <w:pPr>
        <w:pStyle w:val="ParaNoNdepar-AltN"/>
        <w:numPr>
          <w:ilvl w:val="0"/>
          <w:numId w:val="0"/>
        </w:numPr>
        <w:spacing w:before="0" w:after="0" w:line="240" w:lineRule="auto"/>
        <w:rPr>
          <w:sz w:val="20"/>
          <w:szCs w:val="20"/>
        </w:rPr>
      </w:pPr>
      <w:r w:rsidRPr="00360B33">
        <w:rPr>
          <w:sz w:val="20"/>
          <w:szCs w:val="20"/>
        </w:rPr>
        <w:tab/>
        <w:t xml:space="preserve">Par contre, la </w:t>
      </w:r>
      <w:r w:rsidRPr="00360B33">
        <w:rPr>
          <w:i/>
          <w:sz w:val="20"/>
          <w:szCs w:val="20"/>
        </w:rPr>
        <w:t>Trade Union Amendment Act, 2008</w:t>
      </w:r>
      <w:r w:rsidRPr="00360B33">
        <w:rPr>
          <w:sz w:val="20"/>
          <w:szCs w:val="20"/>
        </w:rPr>
        <w:t xml:space="preserve"> ne contrevient pas à l’al. 2</w:t>
      </w:r>
      <w:r w:rsidRPr="00360B33">
        <w:rPr>
          <w:i/>
          <w:sz w:val="20"/>
          <w:szCs w:val="20"/>
        </w:rPr>
        <w:t>d</w:t>
      </w:r>
      <w:r w:rsidRPr="00360B33">
        <w:rPr>
          <w:sz w:val="20"/>
          <w:szCs w:val="20"/>
        </w:rPr>
        <w:t>). Les modifications qu’elle apporte au processus d’accréditation ou de désaccréditation d’un agent négociateur, ainsi qu’aux règles applicables aux communications de l’employeur avec ses salariés, n’entravent pas de manière substantielle la liberté d’association.</w:t>
      </w:r>
    </w:p>
    <w:p w:rsidR="00B91DD6" w:rsidRDefault="00B91DD6" w:rsidP="00B91DD6">
      <w:pPr>
        <w:pStyle w:val="SCCNormalDoubleSpacing"/>
        <w:spacing w:line="240" w:lineRule="auto"/>
        <w:rPr>
          <w:sz w:val="20"/>
          <w:lang w:val="fr-CA"/>
        </w:rPr>
      </w:pPr>
    </w:p>
    <w:p w:rsidR="00B91DD6" w:rsidRPr="00360B33" w:rsidRDefault="00B91DD6" w:rsidP="00B91DD6">
      <w:pPr>
        <w:pStyle w:val="SCCNormalDoubleSpacing"/>
        <w:spacing w:line="240" w:lineRule="auto"/>
        <w:rPr>
          <w:sz w:val="20"/>
          <w:lang w:val="fr-CA"/>
        </w:rPr>
      </w:pPr>
      <w:r w:rsidRPr="00360B33">
        <w:rPr>
          <w:sz w:val="20"/>
          <w:lang w:val="fr-CA"/>
        </w:rPr>
        <w:tab/>
      </w:r>
      <w:r w:rsidRPr="00360B33">
        <w:rPr>
          <w:i/>
          <w:sz w:val="20"/>
          <w:lang w:val="fr-CA"/>
        </w:rPr>
        <w:t xml:space="preserve">Les </w:t>
      </w:r>
      <w:r w:rsidRPr="00360B33">
        <w:rPr>
          <w:sz w:val="20"/>
          <w:lang w:val="fr-CA"/>
        </w:rPr>
        <w:t xml:space="preserve">juges </w:t>
      </w:r>
      <w:r w:rsidRPr="00360B33">
        <w:rPr>
          <w:b/>
          <w:sz w:val="20"/>
          <w:lang w:val="fr-CA"/>
        </w:rPr>
        <w:t>Rothstein</w:t>
      </w:r>
      <w:r w:rsidRPr="00360B33">
        <w:rPr>
          <w:sz w:val="20"/>
          <w:lang w:val="fr-CA"/>
        </w:rPr>
        <w:t xml:space="preserve"> et </w:t>
      </w:r>
      <w:r w:rsidRPr="00360B33">
        <w:rPr>
          <w:b/>
          <w:sz w:val="20"/>
          <w:lang w:val="fr-CA"/>
        </w:rPr>
        <w:t>Wagner</w:t>
      </w:r>
      <w:r w:rsidRPr="00360B33">
        <w:rPr>
          <w:sz w:val="20"/>
          <w:lang w:val="fr-CA"/>
        </w:rPr>
        <w:t> (dissidents en partie) : Notre Cour ne devrait pas s’immiscer dans l’élaboration de politiques par les élus en constitutionnalisant le droit de grève sur le fondement de la liberté d’association que garantit l’al. 2</w:t>
      </w:r>
      <w:r w:rsidRPr="00360B33">
        <w:rPr>
          <w:i/>
          <w:sz w:val="20"/>
          <w:lang w:val="fr-CA"/>
        </w:rPr>
        <w:t>d</w:t>
      </w:r>
      <w:r w:rsidRPr="00360B33">
        <w:rPr>
          <w:sz w:val="20"/>
          <w:lang w:val="fr-CA"/>
        </w:rPr>
        <w:t xml:space="preserve">) de la </w:t>
      </w:r>
      <w:r w:rsidRPr="00360B33">
        <w:rPr>
          <w:i/>
          <w:sz w:val="20"/>
          <w:lang w:val="fr-CA"/>
        </w:rPr>
        <w:t>Charte</w:t>
      </w:r>
      <w:r w:rsidRPr="00360B33">
        <w:rPr>
          <w:sz w:val="20"/>
          <w:lang w:val="fr-CA"/>
        </w:rPr>
        <w:t>. Comme les autres protections que la loi accorde aux travailleurs, le droit de grève d’origine législative rend compte de l’équilibre complexe établi par les législateurs entre les intérêts respectifs des employeurs, des salariés et du public. Protéger constitutionnellement le droit de grève a pour effet non seulement de bouleverser cet équilibre délicat, mais aussi de limiter le pouvoir des législateurs en les privant de la souplesse nécessaire au maintien de cet équilibre.</w:t>
      </w:r>
    </w:p>
    <w:p w:rsidR="00B91DD6" w:rsidRDefault="00B91DD6" w:rsidP="00B91DD6">
      <w:pPr>
        <w:pStyle w:val="SCCNormalDoubleSpacing"/>
        <w:spacing w:line="240" w:lineRule="auto"/>
        <w:rPr>
          <w:sz w:val="20"/>
          <w:lang w:val="fr-CA"/>
        </w:rPr>
      </w:pPr>
    </w:p>
    <w:p w:rsidR="00B91DD6" w:rsidRPr="00360B33" w:rsidRDefault="00B91DD6" w:rsidP="00B91DD6">
      <w:pPr>
        <w:pStyle w:val="SCCNormalDoubleSpacing"/>
        <w:spacing w:line="240" w:lineRule="auto"/>
        <w:rPr>
          <w:sz w:val="20"/>
          <w:lang w:val="fr-CA"/>
        </w:rPr>
      </w:pPr>
      <w:r w:rsidRPr="00360B33">
        <w:rPr>
          <w:sz w:val="20"/>
          <w:lang w:val="fr-CA"/>
        </w:rPr>
        <w:tab/>
        <w:t>C’est au législateur démocratiquement élu qu’il revient d’établir le juste équilibre entre les intérêts économiques et sociaux qui s’opposent dans le domaine des relations de travail. Notre Cour reconnaît depuis longtemps que, lorsqu’il s’agit de prendre des décisions de politique générale, il appartient au législateur et non aux tribunaux de mettre en balance les intérêts concurrents, spécialement en ce qui concerne la politique socio</w:t>
      </w:r>
      <w:r w:rsidRPr="00360B33">
        <w:rPr>
          <w:sz w:val="20"/>
          <w:lang w:val="fr-CA"/>
        </w:rPr>
        <w:noBreakHyphen/>
        <w:t xml:space="preserve">économique. Le pouvoir législatif a besoin d’une marge de manœuvre pour adapter la loi à l’évolution du contexte et des valeurs sociales. Un </w:t>
      </w:r>
      <w:r w:rsidRPr="00360B33">
        <w:rPr>
          <w:sz w:val="20"/>
          <w:lang w:val="fr-CA"/>
        </w:rPr>
        <w:lastRenderedPageBreak/>
        <w:t>entrelacement complexe d’intérêts, de droits et d’obligations interreliés caractérise les relations de travail au Canada, lesquelles ont de grandes répercussions sur la société canadienne. Il n’appartient pas à la Cour de transformer en diktat constitutionnel tout choix de politique générale qu’elle tient pour valable. La déférence judiciaire s’impose afin que les tribunaux ne rompent pas l’équilibre en usurpant les attributions des organes législatif et exécutif.</w:t>
      </w:r>
    </w:p>
    <w:p w:rsidR="00B91DD6" w:rsidRDefault="00B91DD6" w:rsidP="00B91DD6">
      <w:pPr>
        <w:pStyle w:val="SCCNormalDoubleSpacing"/>
        <w:spacing w:line="240" w:lineRule="auto"/>
        <w:rPr>
          <w:sz w:val="20"/>
          <w:lang w:val="fr-CA"/>
        </w:rPr>
      </w:pPr>
    </w:p>
    <w:p w:rsidR="00B91DD6" w:rsidRPr="00360B33" w:rsidRDefault="00B91DD6" w:rsidP="00B91DD6">
      <w:pPr>
        <w:pStyle w:val="SCCNormalDoubleSpacing"/>
        <w:spacing w:line="240" w:lineRule="auto"/>
        <w:rPr>
          <w:sz w:val="20"/>
          <w:lang w:val="fr-CA"/>
        </w:rPr>
      </w:pPr>
      <w:r w:rsidRPr="00360B33">
        <w:rPr>
          <w:sz w:val="20"/>
          <w:lang w:val="fr-CA"/>
        </w:rPr>
        <w:tab/>
        <w:t>Constitutionnaliser le droit de grève réduit la marge de manœuvre de l’État, entrave sa faculté de mettre en balance les intérêts des travailleurs et ceux des citoyens en général et empiète sur la fonction et les attributions de l’État. Conférer la protection constitutionnelle au droit de grève est de nature à créer une grande incertitude dans le monde des relations de travail, car toute limitation du droit de grève par le législateur sera dès lors tenue pour inconstitutionnelle. Par la consécration constitutionnelle d’une conception large du droit de grève, les juges majoritaires ligotent l’État et l’empêchent de donner suite à l’évolution des besoins et de la réalité dans le monde bouillonnant des relations de travail.</w:t>
      </w:r>
    </w:p>
    <w:p w:rsidR="00B91DD6" w:rsidRDefault="00B91DD6" w:rsidP="00B91DD6">
      <w:pPr>
        <w:pStyle w:val="SCCNormalDoubleSpacing"/>
        <w:spacing w:line="240" w:lineRule="auto"/>
        <w:rPr>
          <w:sz w:val="20"/>
          <w:lang w:val="fr-CA"/>
        </w:rPr>
      </w:pPr>
    </w:p>
    <w:p w:rsidR="00B91DD6" w:rsidRPr="00360B33" w:rsidRDefault="00B91DD6" w:rsidP="00B91DD6">
      <w:pPr>
        <w:pStyle w:val="SCCNormalDoubleSpacing"/>
        <w:spacing w:line="240" w:lineRule="auto"/>
        <w:rPr>
          <w:sz w:val="20"/>
          <w:lang w:val="fr-CA"/>
        </w:rPr>
      </w:pPr>
      <w:r w:rsidRPr="00360B33">
        <w:rPr>
          <w:sz w:val="20"/>
          <w:lang w:val="fr-CA"/>
        </w:rPr>
        <w:tab/>
        <w:t xml:space="preserve">La constitutionnalisation du droit de grève consacre une interprétation politique de la notion de « justice au travail » qui favorise les intérêts des salariés au détriment de ceux des employeurs, voire du public. Si les salariés se voient conférer des droits constitutionnels, les employeurs, eux, se voient imposer des obligations constitutionnelles. Les employeurs et le public ont autant droit à la justice que les salariés : la véritable justice au travail se soucie des intérêts de tous les intéressés. Dans le secteur public, la grève est un outil politique. La population s’attend à la prestation de services publics, en particulier ceux qui sont essentiels. Les syndicats tentent donc de faire pression sur l’État pour qu’il accède à certaines demandes en échange de la reprise du travail. Les conflits de travail du secteur public revêtent un caractère unique en ce que l’État, en tant qu’employeur, doit tenir compte du fait que les sommes supplémentaires requises pour accéder aux demandes des salariés seront prélevées sur les fonds publics. </w:t>
      </w:r>
    </w:p>
    <w:p w:rsidR="00B91DD6" w:rsidRDefault="00B91DD6" w:rsidP="00B91DD6">
      <w:pPr>
        <w:pStyle w:val="SCCNormalDoubleSpacing"/>
        <w:spacing w:line="240" w:lineRule="auto"/>
        <w:rPr>
          <w:sz w:val="20"/>
          <w:lang w:val="fr-CA"/>
        </w:rPr>
      </w:pPr>
    </w:p>
    <w:p w:rsidR="00B91DD6" w:rsidRPr="00360B33" w:rsidRDefault="00B91DD6" w:rsidP="00B91DD6">
      <w:pPr>
        <w:pStyle w:val="SCCNormalDoubleSpacing"/>
        <w:spacing w:line="240" w:lineRule="auto"/>
        <w:rPr>
          <w:sz w:val="20"/>
          <w:lang w:val="fr-CA"/>
        </w:rPr>
      </w:pPr>
      <w:r w:rsidRPr="00360B33">
        <w:rPr>
          <w:sz w:val="20"/>
          <w:lang w:val="fr-CA"/>
        </w:rPr>
        <w:tab/>
        <w:t xml:space="preserve">Il est erroné de d’affirmer que, sans le droit de grève, le droit constitutionnel de négocier collectivement perd tout son sens. Ce n’est pas la menace d’un arrêt de travail qui incite les parties à négocier de bonne foi. C’est l’obligation en ce sens que prévoient la loi et, depuis l’arrêt </w:t>
      </w:r>
      <w:r w:rsidRPr="00360B33">
        <w:rPr>
          <w:i/>
          <w:sz w:val="20"/>
          <w:lang w:val="fr-CA"/>
        </w:rPr>
        <w:t>Health Services and Support — Facilities Subsector Bargaining Assn. c. Colombie</w:t>
      </w:r>
      <w:r w:rsidRPr="00360B33">
        <w:rPr>
          <w:i/>
          <w:sz w:val="20"/>
          <w:lang w:val="fr-CA"/>
        </w:rPr>
        <w:noBreakHyphen/>
        <w:t>Britannique</w:t>
      </w:r>
      <w:r w:rsidRPr="00360B33">
        <w:rPr>
          <w:sz w:val="20"/>
          <w:lang w:val="fr-CA"/>
        </w:rPr>
        <w:t>, 2007 CSC 27, [2007] 2 R.C.S. 391, la Constitution, non le recours possible à un moyen de pression, qui force l’employeur à négocier de bonne foi. Le droit de grève d’origine législative permet aux employeurs et aux salariés d’exercer leurs pouvoirs économiques et politiques. Or, en constitutionnalisant seulement la faculté des salariés d’exercer ces pouvoirs, les juges majoritaires rompent l’équilibre délicat des relations de travail au Canada et font obstacle à une véritable justice au travail.</w:t>
      </w:r>
    </w:p>
    <w:p w:rsidR="00B91DD6" w:rsidRDefault="00B91DD6" w:rsidP="00B91DD6">
      <w:pPr>
        <w:pStyle w:val="SCCNormalDoubleSpacing"/>
        <w:spacing w:line="240" w:lineRule="auto"/>
        <w:rPr>
          <w:sz w:val="20"/>
          <w:lang w:val="fr-CA"/>
        </w:rPr>
      </w:pPr>
    </w:p>
    <w:p w:rsidR="00B91DD6" w:rsidRPr="00360B33" w:rsidRDefault="00B91DD6" w:rsidP="00B91DD6">
      <w:pPr>
        <w:pStyle w:val="SCCNormalDoubleSpacing"/>
        <w:spacing w:line="240" w:lineRule="auto"/>
        <w:rPr>
          <w:sz w:val="20"/>
          <w:lang w:val="fr-CA"/>
        </w:rPr>
      </w:pPr>
      <w:r w:rsidRPr="00360B33">
        <w:rPr>
          <w:sz w:val="20"/>
          <w:lang w:val="fr-CA"/>
        </w:rPr>
        <w:tab/>
        <w:t xml:space="preserve">La conclusion selon laquelle le droit de grève constitue une composante indispensable de la négociation collective est incompatible avec la jurisprudence récente. La notion de négociation collective définie par notre Cour dans les arrêts </w:t>
      </w:r>
      <w:r w:rsidRPr="00360B33">
        <w:rPr>
          <w:i/>
          <w:sz w:val="20"/>
          <w:lang w:val="fr-CA"/>
        </w:rPr>
        <w:t>Health Services</w:t>
      </w:r>
      <w:r w:rsidRPr="00360B33">
        <w:rPr>
          <w:sz w:val="20"/>
          <w:lang w:val="fr-CA"/>
        </w:rPr>
        <w:t>,</w:t>
      </w:r>
      <w:r w:rsidRPr="00360B33">
        <w:rPr>
          <w:i/>
          <w:sz w:val="20"/>
          <w:lang w:val="fr-CA"/>
        </w:rPr>
        <w:t xml:space="preserve"> Ontario (Procureur général) c. Fraser</w:t>
      </w:r>
      <w:r w:rsidRPr="00360B33">
        <w:rPr>
          <w:sz w:val="20"/>
          <w:lang w:val="fr-CA"/>
        </w:rPr>
        <w:t xml:space="preserve">, 2011 CSC 20, [2011] 2 R.C.S. 3, et </w:t>
      </w:r>
      <w:r w:rsidRPr="00360B33">
        <w:rPr>
          <w:i/>
          <w:sz w:val="20"/>
          <w:lang w:val="fr-CA"/>
        </w:rPr>
        <w:t>Association de la police montée de l’Ontario c. Canada (Procureur général)</w:t>
      </w:r>
      <w:r w:rsidRPr="00360B33">
        <w:rPr>
          <w:sz w:val="20"/>
          <w:lang w:val="fr-CA"/>
        </w:rPr>
        <w:t>, 2015 CSC 1, ne donne en rien à penser que les salariés jouissent du droit constitutionnel de faire la grève et que l’employeur a l’obligation constitutionnelle de protéger les emplois des grévistes. Les conditions auxquelles on peut rompre avec un jugement antérieur sont strictes. Si la jurisprudence relative à l’al. 2</w:t>
      </w:r>
      <w:r w:rsidRPr="00360B33">
        <w:rPr>
          <w:i/>
          <w:sz w:val="20"/>
          <w:lang w:val="fr-CA"/>
        </w:rPr>
        <w:t>d</w:t>
      </w:r>
      <w:r w:rsidRPr="00360B33">
        <w:rPr>
          <w:sz w:val="20"/>
          <w:lang w:val="fr-CA"/>
        </w:rPr>
        <w:t>) a évolué depuis la trilogie en droit du travail, ni cette évolution, ni un quelconque changement dans les relations de travail au Canada ne justifient que l’on s’écarte de la jurisprudence de notre Cour. Au contraire, l’évolution du droit permet de conclure que le droit à la liberté d’association ne commande pas</w:t>
      </w:r>
      <w:r w:rsidRPr="00360B33">
        <w:rPr>
          <w:i/>
          <w:sz w:val="20"/>
          <w:lang w:val="fr-CA"/>
        </w:rPr>
        <w:t xml:space="preserve"> </w:t>
      </w:r>
      <w:r w:rsidRPr="00360B33">
        <w:rPr>
          <w:sz w:val="20"/>
          <w:lang w:val="fr-CA"/>
        </w:rPr>
        <w:t>la constitutionnalisation du droit de grève car la jurisprudence récente relative à l’al. 2</w:t>
      </w:r>
      <w:r w:rsidRPr="00360B33">
        <w:rPr>
          <w:i/>
          <w:sz w:val="20"/>
          <w:lang w:val="fr-CA"/>
        </w:rPr>
        <w:t>d</w:t>
      </w:r>
      <w:r w:rsidRPr="00360B33">
        <w:rPr>
          <w:sz w:val="20"/>
          <w:lang w:val="fr-CA"/>
        </w:rPr>
        <w:t>) reconnaît déjà le droit à un processus véritable de négociation collective de bonne foi.</w:t>
      </w:r>
    </w:p>
    <w:p w:rsidR="00B91DD6" w:rsidRDefault="00B91DD6" w:rsidP="00B91DD6">
      <w:pPr>
        <w:pStyle w:val="SCCNormalDoubleSpacing"/>
        <w:spacing w:line="240" w:lineRule="auto"/>
        <w:rPr>
          <w:sz w:val="20"/>
          <w:lang w:val="fr-CA"/>
        </w:rPr>
      </w:pPr>
    </w:p>
    <w:p w:rsidR="00B91DD6" w:rsidRPr="00360B33" w:rsidRDefault="00B91DD6" w:rsidP="00B91DD6">
      <w:pPr>
        <w:pStyle w:val="SCCNormalDoubleSpacing"/>
        <w:spacing w:line="240" w:lineRule="auto"/>
        <w:rPr>
          <w:sz w:val="20"/>
          <w:lang w:val="fr-CA"/>
        </w:rPr>
      </w:pPr>
      <w:r w:rsidRPr="00360B33">
        <w:rPr>
          <w:sz w:val="20"/>
          <w:lang w:val="fr-CA"/>
        </w:rPr>
        <w:tab/>
        <w:t xml:space="preserve">Les organismes internationaux ne s’entendent pas quant à savoir si les instruments internationaux en matière de droit du travail et de droits de la personne protègent ou non le droit de grève. L’état actuel du droit international sur le recours à la grève est incertain et n’offre pas de repères qui permettent à la Cour de décider si ce droit constitue ou non un élément essentiel de la liberté d’association. </w:t>
      </w:r>
    </w:p>
    <w:p w:rsidR="00B91DD6" w:rsidRDefault="00B91DD6" w:rsidP="00B91DD6">
      <w:pPr>
        <w:pStyle w:val="SCCNormalDoubleSpacing"/>
        <w:spacing w:line="240" w:lineRule="auto"/>
        <w:rPr>
          <w:sz w:val="20"/>
          <w:lang w:val="fr-CA"/>
        </w:rPr>
      </w:pPr>
    </w:p>
    <w:p w:rsidR="00B91DD6" w:rsidRDefault="00B91DD6" w:rsidP="00B91DD6">
      <w:pPr>
        <w:pStyle w:val="SCCNormalDoubleSpacing"/>
        <w:spacing w:line="240" w:lineRule="auto"/>
        <w:rPr>
          <w:sz w:val="20"/>
          <w:lang w:val="fr-CA"/>
        </w:rPr>
      </w:pPr>
      <w:r w:rsidRPr="00360B33">
        <w:rPr>
          <w:sz w:val="20"/>
          <w:lang w:val="fr-CA"/>
        </w:rPr>
        <w:tab/>
        <w:t>Le droit de grève n’est pas nécessaire à la protection constitutionnelle de la liberté d’association. Par conséquent, la </w:t>
      </w:r>
      <w:r w:rsidRPr="00360B33">
        <w:rPr>
          <w:i/>
          <w:sz w:val="20"/>
          <w:lang w:val="fr-CA"/>
        </w:rPr>
        <w:t>PSESA</w:t>
      </w:r>
      <w:r w:rsidRPr="00360B33">
        <w:rPr>
          <w:sz w:val="20"/>
          <w:lang w:val="fr-CA"/>
        </w:rPr>
        <w:t>, qui limite le droit de grève des travailleurs du secteur public assurant des services essentiels, ne porte pas atteinte au droit à une négociation collective véritable garantie par l’al. 2</w:t>
      </w:r>
      <w:r w:rsidRPr="00360B33">
        <w:rPr>
          <w:i/>
          <w:sz w:val="20"/>
          <w:lang w:val="fr-CA"/>
        </w:rPr>
        <w:t>d</w:t>
      </w:r>
      <w:r w:rsidRPr="00360B33">
        <w:rPr>
          <w:sz w:val="20"/>
          <w:lang w:val="fr-CA"/>
        </w:rPr>
        <w:t xml:space="preserve">) de la </w:t>
      </w:r>
      <w:r w:rsidRPr="00360B33">
        <w:rPr>
          <w:i/>
          <w:sz w:val="20"/>
          <w:lang w:val="fr-CA"/>
        </w:rPr>
        <w:t>Charte</w:t>
      </w:r>
      <w:r w:rsidRPr="00360B33">
        <w:rPr>
          <w:sz w:val="20"/>
          <w:lang w:val="fr-CA"/>
        </w:rPr>
        <w:t xml:space="preserve">. Le régime de grève contrôlée qu’elle établit ne prive pas dans les faits les associations qui représentent les salariés du secteur public en cause du droit de présenter des observations à l’employeur et de les voir prises en compte et débattues de bonne foi, ni n’entrave substantiellement l’exercice de ce droit. Elle facilite la consultation entre employeurs et syndicats sur la </w:t>
      </w:r>
      <w:r w:rsidRPr="00360B33">
        <w:rPr>
          <w:sz w:val="20"/>
          <w:lang w:val="fr-CA"/>
        </w:rPr>
        <w:lastRenderedPageBreak/>
        <w:t>désignation des services essentiels et, selon la preuve offerte en l’espèce, il y a eu négociation de bonne foi. La seule allégation voulant que la loi</w:t>
      </w:r>
      <w:r w:rsidRPr="00360B33">
        <w:rPr>
          <w:i/>
          <w:sz w:val="20"/>
          <w:lang w:val="fr-CA"/>
        </w:rPr>
        <w:t xml:space="preserve"> </w:t>
      </w:r>
      <w:r w:rsidRPr="00360B33">
        <w:rPr>
          <w:sz w:val="20"/>
          <w:lang w:val="fr-CA"/>
        </w:rPr>
        <w:t>n’offre pas de mécanisme adéquat de règlement des différends ne permet pas de conclure à la violation des droits protégés par l’al. 2</w:t>
      </w:r>
      <w:r w:rsidRPr="00360B33">
        <w:rPr>
          <w:i/>
          <w:sz w:val="20"/>
          <w:lang w:val="fr-CA"/>
        </w:rPr>
        <w:t>d</w:t>
      </w:r>
      <w:r w:rsidRPr="00360B33">
        <w:rPr>
          <w:sz w:val="20"/>
          <w:lang w:val="fr-CA"/>
        </w:rPr>
        <w:t xml:space="preserve">) de la </w:t>
      </w:r>
      <w:r w:rsidRPr="00360B33">
        <w:rPr>
          <w:i/>
          <w:sz w:val="20"/>
          <w:lang w:val="fr-CA"/>
        </w:rPr>
        <w:t>Charte</w:t>
      </w:r>
      <w:r w:rsidRPr="00360B33">
        <w:rPr>
          <w:sz w:val="20"/>
          <w:lang w:val="fr-CA"/>
        </w:rPr>
        <w:t>;</w:t>
      </w:r>
      <w:r w:rsidRPr="00360B33">
        <w:rPr>
          <w:i/>
          <w:sz w:val="20"/>
          <w:lang w:val="fr-CA"/>
        </w:rPr>
        <w:t xml:space="preserve"> </w:t>
      </w:r>
      <w:r w:rsidRPr="00360B33">
        <w:rPr>
          <w:sz w:val="20"/>
          <w:lang w:val="fr-CA"/>
        </w:rPr>
        <w:t>cet alinéa ne garantit pas le droit à pareil mécanisme. En outre, la grève n’a pas pour objectif de garantir le déroulement d’une négociation collective véritable, mais bien d’exercer une pression politique sur l’employeur. Enfin, l’équilibre établi par le gouvernement de la Saskatchewan est éminemment raisonnable. Le gouvernement fédéral et ses homologues provinciaux doivent respecter l’engagement constitutionnel de « fournir à tous les Canadiens, à un niveau de qualité acceptable, les services publics essentiels » (</w:t>
      </w:r>
      <w:r w:rsidRPr="00360B33">
        <w:rPr>
          <w:i/>
          <w:sz w:val="20"/>
          <w:lang w:val="fr-CA"/>
        </w:rPr>
        <w:t>Loi constitutionnelle de 1982</w:t>
      </w:r>
      <w:r w:rsidRPr="00360B33">
        <w:rPr>
          <w:sz w:val="20"/>
          <w:lang w:val="fr-CA"/>
        </w:rPr>
        <w:t>, al. 36(1)</w:t>
      </w:r>
      <w:r w:rsidRPr="00360B33">
        <w:rPr>
          <w:i/>
          <w:sz w:val="20"/>
          <w:lang w:val="fr-CA"/>
        </w:rPr>
        <w:t>c</w:t>
      </w:r>
      <w:r w:rsidRPr="00360B33">
        <w:rPr>
          <w:sz w:val="20"/>
          <w:lang w:val="fr-CA"/>
        </w:rPr>
        <w:t>)). Le gouvernement de la Saskatchewan ne peut donc pas s’en remettre à des décisions arbitrales susceptibles de faire en sorte que la province n’ait plus les moyens de donner suite à son engagement. Il a conçu un cadre législatif unique afin d’assurer à la collectivité la prestation continue de services essentiels pendant un conflit de travail. La Cour devrait déférer aux choix politiques de l’État dans l’établissement d’un équilibre entre les intérêts respectifs des employeurs, des employés et du public.</w:t>
      </w:r>
    </w:p>
    <w:p w:rsidR="00B91DD6" w:rsidRPr="00360B33" w:rsidRDefault="00B91DD6" w:rsidP="00B91DD6">
      <w:pPr>
        <w:pStyle w:val="SCCNormalDoubleSpacing"/>
        <w:spacing w:line="240" w:lineRule="auto"/>
        <w:rPr>
          <w:sz w:val="20"/>
          <w:lang w:val="fr-CA"/>
        </w:rPr>
      </w:pPr>
    </w:p>
    <w:p w:rsidR="00B91DD6" w:rsidRDefault="00B91DD6" w:rsidP="00B91DD6">
      <w:pPr>
        <w:pStyle w:val="SCCNormalDoubleSpacing"/>
        <w:spacing w:line="240" w:lineRule="auto"/>
        <w:rPr>
          <w:sz w:val="20"/>
          <w:lang w:val="fr-CA"/>
        </w:rPr>
      </w:pPr>
      <w:r w:rsidRPr="00360B33">
        <w:rPr>
          <w:sz w:val="20"/>
          <w:lang w:val="fr-CA"/>
        </w:rPr>
        <w:tab/>
        <w:t xml:space="preserve">La </w:t>
      </w:r>
      <w:r w:rsidRPr="00360B33">
        <w:rPr>
          <w:i/>
          <w:sz w:val="20"/>
          <w:lang w:val="fr-CA"/>
        </w:rPr>
        <w:t>Trade Union Amendment Act, 2008</w:t>
      </w:r>
      <w:r w:rsidRPr="00360B33">
        <w:rPr>
          <w:sz w:val="20"/>
          <w:lang w:val="fr-CA"/>
        </w:rPr>
        <w:t xml:space="preserve"> ne porte pas atteinte au droit à la liberté d’association.</w:t>
      </w:r>
    </w:p>
    <w:p w:rsidR="00B91DD6" w:rsidRDefault="00B91DD6" w:rsidP="00B91DD6">
      <w:pPr>
        <w:pStyle w:val="SCCNormalDoubleSpacing"/>
        <w:spacing w:line="240" w:lineRule="auto"/>
        <w:rPr>
          <w:sz w:val="20"/>
          <w:lang w:val="fr-CA"/>
        </w:rPr>
      </w:pPr>
    </w:p>
    <w:p w:rsidR="00B91DD6" w:rsidRPr="00360B33" w:rsidRDefault="00B91DD6" w:rsidP="00B91DD6">
      <w:pPr>
        <w:pStyle w:val="SCCNormalDoubleSpacing"/>
        <w:spacing w:line="240" w:lineRule="auto"/>
        <w:rPr>
          <w:sz w:val="20"/>
          <w:lang w:val="fr-CA"/>
        </w:rPr>
      </w:pPr>
      <w:r w:rsidRPr="00B91DD6">
        <w:rPr>
          <w:sz w:val="20"/>
          <w:lang w:val="fr-CA"/>
        </w:rPr>
        <w:tab/>
        <w:t>POURVOI contre un arrêt de la Cour d’appel de la Saskatchewan (le juge en chef Klebuc et les juges Richards, Ottenbreit, Caldwell et Herauf), 2013 SKCA 43, 414 Sask. R. 70, 575 W.A.C. 70, 361 D.L.R. (4th) 132, 280 C.R.R. (2d) 187, [2013] 6 W.W.R. 453, 227 C.L.R.B.R. (2d) 1, 2013 CLLC ¶220</w:t>
      </w:r>
      <w:r w:rsidRPr="00B91DD6">
        <w:rPr>
          <w:sz w:val="20"/>
          <w:lang w:val="fr-CA"/>
        </w:rPr>
        <w:noBreakHyphen/>
        <w:t>032, [2013] S.J. No. 235 (QL), 2013 CarswellSask 252 (WL Can.), qui a infirmé en partie une décision du juge Ball, 2012 SKQB 62, 390 Sask. R. 196, 254 C.R.R. (2d) 288, [2012] 7 W.W.R. 743, 211 C.L.R.B.R. (2d) 1, 2012 CLLC ¶220</w:t>
      </w:r>
      <w:r w:rsidRPr="00B91DD6">
        <w:rPr>
          <w:sz w:val="20"/>
          <w:lang w:val="fr-CA"/>
        </w:rPr>
        <w:noBreakHyphen/>
        <w:t xml:space="preserve">016, [2012] S.J. No. 49 (QL), 2012 CarswellSask 64 (WL Can.). </w:t>
      </w:r>
      <w:r w:rsidRPr="00360B33">
        <w:rPr>
          <w:sz w:val="20"/>
          <w:lang w:val="fr-CA"/>
        </w:rPr>
        <w:t>Pourvoi accueilli en partie, les juges Rothstein et Wagner sont dissidents en partie.</w:t>
      </w:r>
    </w:p>
    <w:p w:rsidR="00B91DD6" w:rsidRDefault="00B91DD6" w:rsidP="00B91DD6">
      <w:pPr>
        <w:pStyle w:val="SCCNormalDoubleSpacing"/>
        <w:spacing w:line="240" w:lineRule="auto"/>
        <w:rPr>
          <w:i/>
          <w:sz w:val="20"/>
          <w:lang w:val="fr-CA"/>
        </w:rPr>
      </w:pPr>
    </w:p>
    <w:p w:rsidR="00B91DD6" w:rsidRPr="00360B33" w:rsidRDefault="00B91DD6" w:rsidP="00B91DD6">
      <w:pPr>
        <w:pStyle w:val="SCCNormalDoubleSpacing"/>
        <w:spacing w:line="240" w:lineRule="auto"/>
        <w:rPr>
          <w:sz w:val="20"/>
          <w:lang w:val="fr-CA"/>
        </w:rPr>
      </w:pPr>
      <w:r w:rsidRPr="00360B33">
        <w:rPr>
          <w:i/>
          <w:sz w:val="20"/>
          <w:lang w:val="fr-CA"/>
        </w:rPr>
        <w:tab/>
        <w:t>Rick Engel</w:t>
      </w:r>
      <w:r w:rsidRPr="00360B33">
        <w:rPr>
          <w:sz w:val="20"/>
          <w:lang w:val="fr-CA"/>
        </w:rPr>
        <w:t xml:space="preserve">, </w:t>
      </w:r>
      <w:r w:rsidRPr="00360B33">
        <w:rPr>
          <w:i/>
          <w:sz w:val="20"/>
          <w:lang w:val="fr-CA"/>
        </w:rPr>
        <w:t>c.r.</w:t>
      </w:r>
      <w:r w:rsidRPr="00360B33">
        <w:rPr>
          <w:sz w:val="20"/>
          <w:lang w:val="fr-CA"/>
        </w:rPr>
        <w:t xml:space="preserve">, </w:t>
      </w:r>
      <w:r w:rsidRPr="00360B33">
        <w:rPr>
          <w:i/>
          <w:sz w:val="20"/>
          <w:lang w:val="fr-CA"/>
        </w:rPr>
        <w:t>Craig D. Bavis</w:t>
      </w:r>
      <w:r w:rsidRPr="00360B33">
        <w:rPr>
          <w:sz w:val="20"/>
          <w:lang w:val="fr-CA"/>
        </w:rPr>
        <w:t xml:space="preserve"> et </w:t>
      </w:r>
      <w:r w:rsidRPr="00360B33">
        <w:rPr>
          <w:i/>
          <w:sz w:val="20"/>
          <w:lang w:val="fr-CA"/>
        </w:rPr>
        <w:t>Peter Barnacle</w:t>
      </w:r>
      <w:r w:rsidRPr="00360B33">
        <w:rPr>
          <w:sz w:val="20"/>
          <w:lang w:val="fr-CA"/>
        </w:rPr>
        <w:t>, pour les appelants.</w:t>
      </w:r>
    </w:p>
    <w:p w:rsidR="00B91DD6" w:rsidRDefault="00B91DD6" w:rsidP="00B91DD6">
      <w:pPr>
        <w:pStyle w:val="SCCNormalDoubleSpacing"/>
        <w:spacing w:line="240" w:lineRule="auto"/>
        <w:rPr>
          <w:i/>
          <w:sz w:val="20"/>
          <w:lang w:val="fr-CA"/>
        </w:rPr>
      </w:pPr>
    </w:p>
    <w:p w:rsidR="00B91DD6" w:rsidRPr="00360B33" w:rsidRDefault="00B91DD6" w:rsidP="00B91DD6">
      <w:pPr>
        <w:pStyle w:val="SCCNormalDoubleSpacing"/>
        <w:spacing w:line="240" w:lineRule="auto"/>
        <w:rPr>
          <w:sz w:val="20"/>
          <w:lang w:val="fr-CA"/>
        </w:rPr>
      </w:pPr>
      <w:r w:rsidRPr="00360B33">
        <w:rPr>
          <w:i/>
          <w:sz w:val="20"/>
          <w:lang w:val="fr-CA"/>
        </w:rPr>
        <w:tab/>
        <w:t>Graeme G. Mitchell</w:t>
      </w:r>
      <w:r w:rsidRPr="00360B33">
        <w:rPr>
          <w:sz w:val="20"/>
          <w:lang w:val="fr-CA"/>
        </w:rPr>
        <w:t xml:space="preserve">, </w:t>
      </w:r>
      <w:r w:rsidRPr="00360B33">
        <w:rPr>
          <w:i/>
          <w:sz w:val="20"/>
          <w:lang w:val="fr-CA"/>
        </w:rPr>
        <w:t>c.r.</w:t>
      </w:r>
      <w:r w:rsidRPr="00360B33">
        <w:rPr>
          <w:sz w:val="20"/>
          <w:lang w:val="fr-CA"/>
        </w:rPr>
        <w:t xml:space="preserve">, </w:t>
      </w:r>
      <w:r w:rsidRPr="00360B33">
        <w:rPr>
          <w:i/>
          <w:sz w:val="20"/>
          <w:lang w:val="fr-CA"/>
        </w:rPr>
        <w:t>Barbara C. Mysko</w:t>
      </w:r>
      <w:r w:rsidRPr="00360B33">
        <w:rPr>
          <w:sz w:val="20"/>
          <w:lang w:val="fr-CA"/>
        </w:rPr>
        <w:t xml:space="preserve"> et </w:t>
      </w:r>
      <w:r w:rsidRPr="00360B33">
        <w:rPr>
          <w:i/>
          <w:sz w:val="20"/>
          <w:lang w:val="fr-CA"/>
        </w:rPr>
        <w:t>Katherine M. Roy</w:t>
      </w:r>
      <w:r w:rsidRPr="00360B33">
        <w:rPr>
          <w:sz w:val="20"/>
          <w:lang w:val="fr-CA"/>
        </w:rPr>
        <w:t>, pour l’intimée.</w:t>
      </w:r>
    </w:p>
    <w:p w:rsidR="00B91DD6" w:rsidRDefault="00B91DD6" w:rsidP="00B91DD6">
      <w:pPr>
        <w:pStyle w:val="SCCNormalDoubleSpacing"/>
        <w:spacing w:line="240" w:lineRule="auto"/>
        <w:rPr>
          <w:i/>
          <w:sz w:val="20"/>
          <w:lang w:val="fr-CA"/>
        </w:rPr>
      </w:pPr>
    </w:p>
    <w:p w:rsidR="00B91DD6" w:rsidRPr="00360B33" w:rsidRDefault="00B91DD6" w:rsidP="00B91DD6">
      <w:pPr>
        <w:pStyle w:val="SCCNormalDoubleSpacing"/>
        <w:spacing w:line="240" w:lineRule="auto"/>
        <w:rPr>
          <w:sz w:val="20"/>
          <w:lang w:val="fr-CA"/>
        </w:rPr>
      </w:pPr>
      <w:r w:rsidRPr="00360B33">
        <w:rPr>
          <w:i/>
          <w:sz w:val="20"/>
          <w:lang w:val="fr-CA"/>
        </w:rPr>
        <w:tab/>
        <w:t>Mark R. Kindrachuk</w:t>
      </w:r>
      <w:r w:rsidRPr="00360B33">
        <w:rPr>
          <w:sz w:val="20"/>
          <w:lang w:val="fr-CA"/>
        </w:rPr>
        <w:t xml:space="preserve">, </w:t>
      </w:r>
      <w:r w:rsidRPr="00360B33">
        <w:rPr>
          <w:i/>
          <w:sz w:val="20"/>
          <w:lang w:val="fr-CA"/>
        </w:rPr>
        <w:t>c.r.</w:t>
      </w:r>
      <w:r w:rsidRPr="00360B33">
        <w:rPr>
          <w:sz w:val="20"/>
          <w:lang w:val="fr-CA"/>
        </w:rPr>
        <w:t xml:space="preserve">, et </w:t>
      </w:r>
      <w:r w:rsidRPr="00360B33">
        <w:rPr>
          <w:i/>
          <w:sz w:val="20"/>
          <w:lang w:val="fr-CA"/>
        </w:rPr>
        <w:t>Sean Gaudet</w:t>
      </w:r>
      <w:r w:rsidRPr="00360B33">
        <w:rPr>
          <w:sz w:val="20"/>
          <w:lang w:val="fr-CA"/>
        </w:rPr>
        <w:t>, pour l’intervenant le procureur général du Canada.</w:t>
      </w:r>
    </w:p>
    <w:p w:rsidR="00B91DD6" w:rsidRDefault="00B91DD6" w:rsidP="00B91DD6">
      <w:pPr>
        <w:pStyle w:val="SCCNormalDoubleSpacing"/>
        <w:spacing w:line="240" w:lineRule="auto"/>
        <w:rPr>
          <w:i/>
          <w:sz w:val="20"/>
          <w:lang w:val="fr-CA"/>
        </w:rPr>
      </w:pPr>
    </w:p>
    <w:p w:rsidR="00B91DD6" w:rsidRPr="00360B33" w:rsidRDefault="00B91DD6" w:rsidP="00B91DD6">
      <w:pPr>
        <w:pStyle w:val="SCCNormalDoubleSpacing"/>
        <w:spacing w:line="240" w:lineRule="auto"/>
        <w:rPr>
          <w:sz w:val="20"/>
          <w:lang w:val="fr-CA"/>
        </w:rPr>
      </w:pPr>
      <w:r w:rsidRPr="00360B33">
        <w:rPr>
          <w:i/>
          <w:sz w:val="20"/>
          <w:lang w:val="fr-CA"/>
        </w:rPr>
        <w:tab/>
        <w:t>Robert E. Charney</w:t>
      </w:r>
      <w:r w:rsidRPr="00360B33">
        <w:rPr>
          <w:sz w:val="20"/>
          <w:lang w:val="fr-CA"/>
        </w:rPr>
        <w:t xml:space="preserve"> et </w:t>
      </w:r>
      <w:r w:rsidRPr="00360B33">
        <w:rPr>
          <w:i/>
          <w:sz w:val="20"/>
          <w:lang w:val="fr-CA"/>
        </w:rPr>
        <w:t>Sarah Wright</w:t>
      </w:r>
      <w:r w:rsidRPr="00360B33">
        <w:rPr>
          <w:sz w:val="20"/>
          <w:lang w:val="fr-CA"/>
        </w:rPr>
        <w:t>, pour l’intervenant le procureur général de l’Ontario.</w:t>
      </w:r>
    </w:p>
    <w:p w:rsidR="00B91DD6" w:rsidRDefault="00B91DD6" w:rsidP="00B91DD6">
      <w:pPr>
        <w:pStyle w:val="SCCNormalDoubleSpacing"/>
        <w:spacing w:line="240" w:lineRule="auto"/>
        <w:rPr>
          <w:i/>
          <w:sz w:val="20"/>
          <w:lang w:val="fr-CA"/>
        </w:rPr>
      </w:pPr>
    </w:p>
    <w:p w:rsidR="00B91DD6" w:rsidRPr="00360B33" w:rsidRDefault="00B91DD6" w:rsidP="00B91DD6">
      <w:pPr>
        <w:pStyle w:val="SCCNormalDoubleSpacing"/>
        <w:spacing w:line="240" w:lineRule="auto"/>
        <w:rPr>
          <w:sz w:val="20"/>
          <w:lang w:val="fr-CA"/>
        </w:rPr>
      </w:pPr>
      <w:r w:rsidRPr="00360B33">
        <w:rPr>
          <w:i/>
          <w:sz w:val="20"/>
          <w:lang w:val="fr-CA"/>
        </w:rPr>
        <w:tab/>
        <w:t>Caroline Renaud</w:t>
      </w:r>
      <w:r w:rsidRPr="00360B33">
        <w:rPr>
          <w:sz w:val="20"/>
          <w:lang w:val="fr-CA"/>
        </w:rPr>
        <w:t xml:space="preserve"> et </w:t>
      </w:r>
      <w:r w:rsidRPr="00360B33">
        <w:rPr>
          <w:i/>
          <w:sz w:val="20"/>
          <w:lang w:val="fr-CA"/>
        </w:rPr>
        <w:t>Amélie Pelletier Desrosiers</w:t>
      </w:r>
      <w:r w:rsidRPr="00360B33">
        <w:rPr>
          <w:sz w:val="20"/>
          <w:lang w:val="fr-CA"/>
        </w:rPr>
        <w:t>, pour l’intervenant le procureur général du Québec.</w:t>
      </w:r>
    </w:p>
    <w:p w:rsidR="00B91DD6" w:rsidRDefault="00B91DD6" w:rsidP="00B91DD6">
      <w:pPr>
        <w:pStyle w:val="SCCNormalDoubleSpacing"/>
        <w:spacing w:line="240" w:lineRule="auto"/>
        <w:rPr>
          <w:i/>
          <w:sz w:val="20"/>
          <w:lang w:val="fr-CA"/>
        </w:rPr>
      </w:pPr>
    </w:p>
    <w:p w:rsidR="00B91DD6" w:rsidRPr="00360B33" w:rsidRDefault="00B91DD6" w:rsidP="00B91DD6">
      <w:pPr>
        <w:pStyle w:val="SCCNormalDoubleSpacing"/>
        <w:spacing w:line="240" w:lineRule="auto"/>
        <w:rPr>
          <w:sz w:val="20"/>
          <w:lang w:val="fr-CA"/>
        </w:rPr>
      </w:pPr>
      <w:r w:rsidRPr="00360B33">
        <w:rPr>
          <w:i/>
          <w:sz w:val="20"/>
          <w:lang w:val="fr-CA"/>
        </w:rPr>
        <w:tab/>
        <w:t>Keith Evans</w:t>
      </w:r>
      <w:r w:rsidRPr="00360B33">
        <w:rPr>
          <w:sz w:val="20"/>
          <w:lang w:val="fr-CA"/>
        </w:rPr>
        <w:t>, pour l’intervenant le procureur général de la Colombie</w:t>
      </w:r>
      <w:r w:rsidRPr="00360B33">
        <w:rPr>
          <w:sz w:val="20"/>
          <w:lang w:val="fr-CA"/>
        </w:rPr>
        <w:noBreakHyphen/>
        <w:t>Britannique.</w:t>
      </w:r>
    </w:p>
    <w:p w:rsidR="00B91DD6" w:rsidRDefault="00B91DD6" w:rsidP="00B91DD6">
      <w:pPr>
        <w:pStyle w:val="SCCNormalDoubleSpacing"/>
        <w:spacing w:line="240" w:lineRule="auto"/>
        <w:rPr>
          <w:i/>
          <w:sz w:val="20"/>
          <w:lang w:val="fr-CA"/>
        </w:rPr>
      </w:pPr>
    </w:p>
    <w:p w:rsidR="00B91DD6" w:rsidRPr="00360B33" w:rsidRDefault="00B91DD6" w:rsidP="00B91DD6">
      <w:pPr>
        <w:pStyle w:val="SCCNormalDoubleSpacing"/>
        <w:spacing w:line="240" w:lineRule="auto"/>
        <w:rPr>
          <w:sz w:val="20"/>
          <w:lang w:val="fr-CA"/>
        </w:rPr>
      </w:pPr>
      <w:r w:rsidRPr="00360B33">
        <w:rPr>
          <w:i/>
          <w:sz w:val="20"/>
          <w:lang w:val="fr-CA"/>
        </w:rPr>
        <w:tab/>
        <w:t>Roderick Wiltshire</w:t>
      </w:r>
      <w:r w:rsidRPr="00360B33">
        <w:rPr>
          <w:sz w:val="20"/>
          <w:lang w:val="fr-CA"/>
        </w:rPr>
        <w:t>, pour l’intervenant le procureur général de l’Alberta.</w:t>
      </w:r>
    </w:p>
    <w:p w:rsidR="00B91DD6" w:rsidRDefault="00B91DD6" w:rsidP="00B91DD6">
      <w:pPr>
        <w:pStyle w:val="SCCNormalDoubleSpacing"/>
        <w:spacing w:line="240" w:lineRule="auto"/>
        <w:rPr>
          <w:i/>
          <w:sz w:val="20"/>
          <w:lang w:val="fr-CA"/>
        </w:rPr>
      </w:pPr>
    </w:p>
    <w:p w:rsidR="00B91DD6" w:rsidRPr="00360B33" w:rsidRDefault="00B91DD6" w:rsidP="00B91DD6">
      <w:pPr>
        <w:pStyle w:val="SCCNormalDoubleSpacing"/>
        <w:spacing w:line="240" w:lineRule="auto"/>
        <w:rPr>
          <w:sz w:val="20"/>
          <w:lang w:val="fr-CA"/>
        </w:rPr>
      </w:pPr>
      <w:r w:rsidRPr="00360B33">
        <w:rPr>
          <w:i/>
          <w:sz w:val="20"/>
          <w:lang w:val="fr-CA"/>
        </w:rPr>
        <w:tab/>
        <w:t>Chantelle MacDonald Newhook</w:t>
      </w:r>
      <w:r w:rsidRPr="00360B33">
        <w:rPr>
          <w:sz w:val="20"/>
          <w:lang w:val="fr-CA"/>
        </w:rPr>
        <w:t>, pour l’intervenant le procureur général de Terre</w:t>
      </w:r>
      <w:r w:rsidRPr="00360B33">
        <w:rPr>
          <w:sz w:val="20"/>
          <w:lang w:val="fr-CA"/>
        </w:rPr>
        <w:noBreakHyphen/>
        <w:t>Neuve</w:t>
      </w:r>
      <w:r w:rsidRPr="00360B33">
        <w:rPr>
          <w:sz w:val="20"/>
          <w:lang w:val="fr-CA"/>
        </w:rPr>
        <w:noBreakHyphen/>
        <w:t>et</w:t>
      </w:r>
      <w:r w:rsidRPr="00360B33">
        <w:rPr>
          <w:sz w:val="20"/>
          <w:lang w:val="fr-CA"/>
        </w:rPr>
        <w:noBreakHyphen/>
        <w:t>Labrador.</w:t>
      </w:r>
    </w:p>
    <w:p w:rsidR="00B91DD6" w:rsidRDefault="00B91DD6" w:rsidP="00B91DD6">
      <w:pPr>
        <w:pStyle w:val="SCCNormalDoubleSpacing"/>
        <w:spacing w:line="240" w:lineRule="auto"/>
        <w:rPr>
          <w:i/>
          <w:sz w:val="20"/>
          <w:lang w:val="fr-CA"/>
        </w:rPr>
      </w:pPr>
    </w:p>
    <w:p w:rsidR="00B91DD6" w:rsidRPr="00360B33" w:rsidRDefault="00B91DD6" w:rsidP="00B91DD6">
      <w:pPr>
        <w:pStyle w:val="SCCNormalDoubleSpacing"/>
        <w:spacing w:line="240" w:lineRule="auto"/>
        <w:rPr>
          <w:sz w:val="20"/>
          <w:lang w:val="fr-CA"/>
        </w:rPr>
      </w:pPr>
      <w:r w:rsidRPr="00360B33">
        <w:rPr>
          <w:i/>
          <w:sz w:val="20"/>
          <w:lang w:val="fr-CA"/>
        </w:rPr>
        <w:tab/>
        <w:t>Gary L. Bainbridge</w:t>
      </w:r>
      <w:r w:rsidRPr="00360B33">
        <w:rPr>
          <w:sz w:val="20"/>
          <w:lang w:val="fr-CA"/>
        </w:rPr>
        <w:t xml:space="preserve"> et </w:t>
      </w:r>
      <w:r w:rsidRPr="00360B33">
        <w:rPr>
          <w:i/>
          <w:sz w:val="20"/>
          <w:lang w:val="fr-CA"/>
        </w:rPr>
        <w:t>Marcus R. Davies</w:t>
      </w:r>
      <w:r w:rsidRPr="00360B33">
        <w:rPr>
          <w:sz w:val="20"/>
          <w:lang w:val="fr-CA"/>
        </w:rPr>
        <w:t>, pour l’intervenant Saskatchewan Union of Nurses.</w:t>
      </w:r>
    </w:p>
    <w:p w:rsidR="00B91DD6" w:rsidRDefault="00B91DD6" w:rsidP="00B91DD6">
      <w:pPr>
        <w:pStyle w:val="SCCNormalDoubleSpacing"/>
        <w:spacing w:line="240" w:lineRule="auto"/>
        <w:rPr>
          <w:i/>
          <w:sz w:val="20"/>
          <w:lang w:val="fr-CA"/>
        </w:rPr>
      </w:pPr>
    </w:p>
    <w:p w:rsidR="00B91DD6" w:rsidRPr="00360B33" w:rsidRDefault="00B91DD6" w:rsidP="00B91DD6">
      <w:pPr>
        <w:pStyle w:val="SCCNormalDoubleSpacing"/>
        <w:spacing w:line="240" w:lineRule="auto"/>
        <w:rPr>
          <w:sz w:val="20"/>
          <w:lang w:val="fr-CA"/>
        </w:rPr>
      </w:pPr>
      <w:r w:rsidRPr="00360B33">
        <w:rPr>
          <w:i/>
          <w:sz w:val="20"/>
          <w:lang w:val="fr-CA"/>
        </w:rPr>
        <w:tab/>
        <w:t>Drew S. Plaxton</w:t>
      </w:r>
      <w:r w:rsidRPr="00360B33">
        <w:rPr>
          <w:sz w:val="20"/>
          <w:lang w:val="fr-CA"/>
        </w:rPr>
        <w:t>, pour l’intervenant SEIU</w:t>
      </w:r>
      <w:r w:rsidRPr="00360B33">
        <w:rPr>
          <w:sz w:val="20"/>
          <w:lang w:val="fr-CA"/>
        </w:rPr>
        <w:noBreakHyphen/>
        <w:t>West.</w:t>
      </w:r>
    </w:p>
    <w:p w:rsidR="00B91DD6" w:rsidRDefault="00B91DD6" w:rsidP="00B91DD6">
      <w:pPr>
        <w:pStyle w:val="SCCNormalDoubleSpacing"/>
        <w:spacing w:line="240" w:lineRule="auto"/>
        <w:rPr>
          <w:sz w:val="20"/>
          <w:lang w:val="fr-CA"/>
        </w:rPr>
      </w:pPr>
    </w:p>
    <w:p w:rsidR="00B91DD6" w:rsidRPr="00360B33" w:rsidRDefault="00B91DD6" w:rsidP="00B91DD6">
      <w:pPr>
        <w:pStyle w:val="SCCNormalDoubleSpacing"/>
        <w:spacing w:line="240" w:lineRule="auto"/>
        <w:rPr>
          <w:sz w:val="20"/>
          <w:lang w:val="fr-CA"/>
        </w:rPr>
      </w:pPr>
      <w:r w:rsidRPr="00360B33">
        <w:rPr>
          <w:sz w:val="20"/>
          <w:lang w:val="fr-CA"/>
        </w:rPr>
        <w:tab/>
        <w:t>Argumentation écrite seulement par</w:t>
      </w:r>
      <w:r w:rsidRPr="00360B33">
        <w:rPr>
          <w:i/>
          <w:sz w:val="20"/>
          <w:lang w:val="fr-CA"/>
        </w:rPr>
        <w:t xml:space="preserve"> Ritu Khullar</w:t>
      </w:r>
      <w:r w:rsidRPr="00360B33">
        <w:rPr>
          <w:sz w:val="20"/>
          <w:lang w:val="fr-CA"/>
        </w:rPr>
        <w:t xml:space="preserve">, </w:t>
      </w:r>
      <w:r w:rsidRPr="00360B33">
        <w:rPr>
          <w:i/>
          <w:sz w:val="20"/>
          <w:lang w:val="fr-CA"/>
        </w:rPr>
        <w:t>c.r.</w:t>
      </w:r>
      <w:r w:rsidRPr="00360B33">
        <w:rPr>
          <w:sz w:val="20"/>
          <w:lang w:val="fr-CA"/>
        </w:rPr>
        <w:t xml:space="preserve">, et </w:t>
      </w:r>
      <w:r w:rsidRPr="00360B33">
        <w:rPr>
          <w:i/>
          <w:sz w:val="20"/>
          <w:lang w:val="fr-CA"/>
        </w:rPr>
        <w:t>Vanessa Cosco</w:t>
      </w:r>
      <w:r w:rsidRPr="00360B33">
        <w:rPr>
          <w:sz w:val="20"/>
          <w:lang w:val="fr-CA"/>
        </w:rPr>
        <w:t>, pour les intervenantes United Nurses of Alberta et Alberta Federation of Labour.</w:t>
      </w:r>
    </w:p>
    <w:p w:rsidR="00B91DD6" w:rsidRDefault="00B91DD6" w:rsidP="00B91DD6">
      <w:pPr>
        <w:pStyle w:val="SCCNormalDoubleSpacing"/>
        <w:spacing w:line="240" w:lineRule="auto"/>
        <w:rPr>
          <w:sz w:val="20"/>
          <w:lang w:val="fr-CA"/>
        </w:rPr>
      </w:pPr>
    </w:p>
    <w:p w:rsidR="00B91DD6" w:rsidRPr="00360B33" w:rsidRDefault="00B91DD6" w:rsidP="00B91DD6">
      <w:pPr>
        <w:pStyle w:val="SCCNormalDoubleSpacing"/>
        <w:spacing w:line="240" w:lineRule="auto"/>
        <w:rPr>
          <w:sz w:val="20"/>
          <w:lang w:val="fr-CA"/>
        </w:rPr>
      </w:pPr>
      <w:r w:rsidRPr="00360B33">
        <w:rPr>
          <w:sz w:val="20"/>
          <w:lang w:val="fr-CA"/>
        </w:rPr>
        <w:tab/>
        <w:t>Argumentation écrite seulement par</w:t>
      </w:r>
      <w:r w:rsidRPr="00360B33">
        <w:rPr>
          <w:i/>
          <w:sz w:val="20"/>
          <w:lang w:val="fr-CA"/>
        </w:rPr>
        <w:t xml:space="preserve"> Peter C. Engelmann</w:t>
      </w:r>
      <w:r w:rsidRPr="00360B33">
        <w:rPr>
          <w:sz w:val="20"/>
          <w:lang w:val="fr-CA"/>
        </w:rPr>
        <w:t xml:space="preserve"> et </w:t>
      </w:r>
      <w:r w:rsidRPr="00360B33">
        <w:rPr>
          <w:i/>
          <w:sz w:val="20"/>
          <w:lang w:val="fr-CA"/>
        </w:rPr>
        <w:t>Colleen Bauman</w:t>
      </w:r>
      <w:r w:rsidRPr="00360B33">
        <w:rPr>
          <w:sz w:val="20"/>
          <w:lang w:val="fr-CA"/>
        </w:rPr>
        <w:t>, pour l’intervenant l’Institut professionnel de la fonction publique du Canada.</w:t>
      </w:r>
    </w:p>
    <w:p w:rsidR="00B91DD6" w:rsidRDefault="00B91DD6" w:rsidP="00B91DD6">
      <w:pPr>
        <w:pStyle w:val="SCCNormalDoubleSpacing"/>
        <w:spacing w:line="240" w:lineRule="auto"/>
        <w:rPr>
          <w:i/>
          <w:sz w:val="20"/>
          <w:lang w:val="fr-CA"/>
        </w:rPr>
      </w:pPr>
    </w:p>
    <w:p w:rsidR="00B91DD6" w:rsidRPr="00360B33" w:rsidRDefault="00B91DD6" w:rsidP="00B91DD6">
      <w:pPr>
        <w:pStyle w:val="SCCNormalDoubleSpacing"/>
        <w:spacing w:line="240" w:lineRule="auto"/>
        <w:rPr>
          <w:sz w:val="20"/>
          <w:lang w:val="fr-CA"/>
        </w:rPr>
      </w:pPr>
      <w:r w:rsidRPr="00360B33">
        <w:rPr>
          <w:i/>
          <w:sz w:val="20"/>
          <w:lang w:val="fr-CA"/>
        </w:rPr>
        <w:tab/>
        <w:t xml:space="preserve">Darryl Cruz </w:t>
      </w:r>
      <w:r w:rsidRPr="00360B33">
        <w:rPr>
          <w:sz w:val="20"/>
          <w:lang w:val="fr-CA"/>
        </w:rPr>
        <w:t xml:space="preserve">et </w:t>
      </w:r>
      <w:r w:rsidRPr="00360B33">
        <w:rPr>
          <w:i/>
          <w:sz w:val="20"/>
          <w:lang w:val="fr-CA"/>
        </w:rPr>
        <w:t>Brandon Kain</w:t>
      </w:r>
      <w:r w:rsidRPr="00360B33">
        <w:rPr>
          <w:sz w:val="20"/>
          <w:lang w:val="fr-CA"/>
        </w:rPr>
        <w:t>, pour l’intervenante Canadian Constitution Foundation.</w:t>
      </w:r>
    </w:p>
    <w:p w:rsidR="00B91DD6" w:rsidRDefault="00B91DD6" w:rsidP="00B91DD6">
      <w:pPr>
        <w:pStyle w:val="SCCNormalDoubleSpacing"/>
        <w:spacing w:line="240" w:lineRule="auto"/>
        <w:rPr>
          <w:i/>
          <w:sz w:val="20"/>
          <w:lang w:val="fr-CA"/>
        </w:rPr>
      </w:pPr>
    </w:p>
    <w:p w:rsidR="00B91DD6" w:rsidRPr="00360B33" w:rsidRDefault="00B91DD6" w:rsidP="00B91DD6">
      <w:pPr>
        <w:pStyle w:val="SCCNormalDoubleSpacing"/>
        <w:spacing w:line="240" w:lineRule="auto"/>
        <w:rPr>
          <w:sz w:val="20"/>
          <w:lang w:val="fr-CA"/>
        </w:rPr>
      </w:pPr>
      <w:r w:rsidRPr="00360B33">
        <w:rPr>
          <w:i/>
          <w:sz w:val="20"/>
          <w:lang w:val="fr-CA"/>
        </w:rPr>
        <w:tab/>
        <w:t>Steve Waller</w:t>
      </w:r>
      <w:r w:rsidRPr="00360B33">
        <w:rPr>
          <w:sz w:val="20"/>
          <w:lang w:val="fr-CA"/>
        </w:rPr>
        <w:t xml:space="preserve"> et </w:t>
      </w:r>
      <w:r w:rsidRPr="00360B33">
        <w:rPr>
          <w:i/>
          <w:sz w:val="20"/>
          <w:lang w:val="fr-CA"/>
        </w:rPr>
        <w:t>Christopher Rootham</w:t>
      </w:r>
      <w:r w:rsidRPr="00360B33">
        <w:rPr>
          <w:sz w:val="20"/>
          <w:lang w:val="fr-CA"/>
        </w:rPr>
        <w:t>, pour l’intervenante l’Association des pilotes d’Air Canada.</w:t>
      </w:r>
    </w:p>
    <w:p w:rsidR="00B91DD6" w:rsidRDefault="00B91DD6" w:rsidP="00B91DD6">
      <w:pPr>
        <w:pStyle w:val="SCCNormalDoubleSpacing"/>
        <w:spacing w:line="240" w:lineRule="auto"/>
        <w:rPr>
          <w:i/>
          <w:sz w:val="20"/>
          <w:lang w:val="fr-CA"/>
        </w:rPr>
      </w:pPr>
    </w:p>
    <w:p w:rsidR="00B91DD6" w:rsidRPr="00360B33" w:rsidRDefault="00B91DD6" w:rsidP="00B91DD6">
      <w:pPr>
        <w:pStyle w:val="SCCNormalDoubleSpacing"/>
        <w:spacing w:line="240" w:lineRule="auto"/>
        <w:rPr>
          <w:sz w:val="20"/>
          <w:lang w:val="fr-CA"/>
        </w:rPr>
      </w:pPr>
      <w:r w:rsidRPr="00360B33">
        <w:rPr>
          <w:i/>
          <w:sz w:val="20"/>
          <w:lang w:val="fr-CA"/>
        </w:rPr>
        <w:tab/>
        <w:t>Lindsay M. Lyster</w:t>
      </w:r>
      <w:r w:rsidRPr="00360B33">
        <w:rPr>
          <w:sz w:val="20"/>
          <w:lang w:val="fr-CA"/>
        </w:rPr>
        <w:t>, pour l’intervenante l’Association des libertés civiles de la Colombie</w:t>
      </w:r>
      <w:r w:rsidRPr="00360B33">
        <w:rPr>
          <w:sz w:val="20"/>
          <w:lang w:val="fr-CA"/>
        </w:rPr>
        <w:noBreakHyphen/>
        <w:t>Britannique.</w:t>
      </w:r>
    </w:p>
    <w:p w:rsidR="00B91DD6" w:rsidRDefault="00B91DD6" w:rsidP="00B91DD6">
      <w:pPr>
        <w:pStyle w:val="SCCNormalDoubleSpacing"/>
        <w:spacing w:line="240" w:lineRule="auto"/>
        <w:rPr>
          <w:sz w:val="20"/>
          <w:lang w:val="fr-CA"/>
        </w:rPr>
      </w:pPr>
    </w:p>
    <w:p w:rsidR="00B91DD6" w:rsidRPr="00360B33" w:rsidRDefault="00B91DD6" w:rsidP="00B91DD6">
      <w:pPr>
        <w:pStyle w:val="SCCNormalDoubleSpacing"/>
        <w:spacing w:line="240" w:lineRule="auto"/>
        <w:rPr>
          <w:sz w:val="20"/>
          <w:lang w:val="fr-CA"/>
        </w:rPr>
      </w:pPr>
      <w:r w:rsidRPr="00360B33">
        <w:rPr>
          <w:sz w:val="20"/>
          <w:lang w:val="fr-CA"/>
        </w:rPr>
        <w:lastRenderedPageBreak/>
        <w:tab/>
        <w:t>Argumentation écrite seulement par</w:t>
      </w:r>
      <w:r w:rsidRPr="00360B33">
        <w:rPr>
          <w:i/>
          <w:sz w:val="20"/>
          <w:lang w:val="fr-CA"/>
        </w:rPr>
        <w:t xml:space="preserve"> Louise Laplante</w:t>
      </w:r>
      <w:r w:rsidRPr="00360B33">
        <w:rPr>
          <w:sz w:val="20"/>
          <w:lang w:val="fr-CA"/>
        </w:rPr>
        <w:t xml:space="preserve">, </w:t>
      </w:r>
      <w:r w:rsidRPr="00360B33">
        <w:rPr>
          <w:i/>
          <w:sz w:val="20"/>
          <w:lang w:val="fr-CA"/>
        </w:rPr>
        <w:t>Nancy Ménard</w:t>
      </w:r>
      <w:r w:rsidRPr="00360B33">
        <w:rPr>
          <w:i/>
          <w:sz w:val="20"/>
          <w:lang w:val="fr-CA"/>
        </w:rPr>
        <w:noBreakHyphen/>
        <w:t>Cheng</w:t>
      </w:r>
      <w:r w:rsidRPr="00360B33">
        <w:rPr>
          <w:sz w:val="20"/>
          <w:lang w:val="fr-CA"/>
        </w:rPr>
        <w:t xml:space="preserve"> et </w:t>
      </w:r>
      <w:r w:rsidRPr="00360B33">
        <w:rPr>
          <w:i/>
          <w:sz w:val="20"/>
          <w:lang w:val="fr-CA"/>
        </w:rPr>
        <w:t>Sébastien Beauregard</w:t>
      </w:r>
      <w:r w:rsidRPr="00360B33">
        <w:rPr>
          <w:sz w:val="20"/>
          <w:lang w:val="fr-CA"/>
        </w:rPr>
        <w:t>, pour l’intervenant le Conseil du patronat du Québec.</w:t>
      </w:r>
    </w:p>
    <w:p w:rsidR="00B91DD6" w:rsidRDefault="00B91DD6" w:rsidP="00B91DD6">
      <w:pPr>
        <w:pStyle w:val="SCCNormalDoubleSpacing"/>
        <w:spacing w:line="240" w:lineRule="auto"/>
        <w:rPr>
          <w:i/>
          <w:sz w:val="20"/>
          <w:lang w:val="fr-CA"/>
        </w:rPr>
      </w:pPr>
    </w:p>
    <w:p w:rsidR="00B91DD6" w:rsidRPr="00360B33" w:rsidRDefault="00B91DD6" w:rsidP="00B91DD6">
      <w:pPr>
        <w:pStyle w:val="SCCNormalDoubleSpacing"/>
        <w:spacing w:line="240" w:lineRule="auto"/>
        <w:rPr>
          <w:sz w:val="20"/>
          <w:lang w:val="fr-CA"/>
        </w:rPr>
      </w:pPr>
      <w:r w:rsidRPr="00360B33">
        <w:rPr>
          <w:i/>
          <w:sz w:val="20"/>
          <w:lang w:val="fr-CA"/>
        </w:rPr>
        <w:tab/>
        <w:t>John D. R. Craig</w:t>
      </w:r>
      <w:r w:rsidRPr="00360B33">
        <w:rPr>
          <w:sz w:val="20"/>
          <w:lang w:val="fr-CA"/>
        </w:rPr>
        <w:t xml:space="preserve"> et </w:t>
      </w:r>
      <w:r w:rsidRPr="00360B33">
        <w:rPr>
          <w:i/>
          <w:sz w:val="20"/>
          <w:lang w:val="fr-CA"/>
        </w:rPr>
        <w:t>Christopher D. Pigott</w:t>
      </w:r>
      <w:r w:rsidRPr="00360B33">
        <w:rPr>
          <w:sz w:val="20"/>
          <w:lang w:val="fr-CA"/>
        </w:rPr>
        <w:t>, pour l’intervenant le Conseil canadien des employeurs.</w:t>
      </w:r>
    </w:p>
    <w:p w:rsidR="00B91DD6" w:rsidRDefault="00B91DD6" w:rsidP="00B91DD6">
      <w:pPr>
        <w:pStyle w:val="SCCNormalDoubleSpacing"/>
        <w:spacing w:line="240" w:lineRule="auto"/>
        <w:rPr>
          <w:i/>
          <w:sz w:val="20"/>
          <w:lang w:val="fr-CA"/>
        </w:rPr>
      </w:pPr>
    </w:p>
    <w:p w:rsidR="00B91DD6" w:rsidRPr="00360B33" w:rsidRDefault="00B91DD6" w:rsidP="00B91DD6">
      <w:pPr>
        <w:pStyle w:val="SCCNormalDoubleSpacing"/>
        <w:spacing w:line="240" w:lineRule="auto"/>
        <w:rPr>
          <w:sz w:val="20"/>
          <w:lang w:val="fr-CA"/>
        </w:rPr>
      </w:pPr>
      <w:r w:rsidRPr="00360B33">
        <w:rPr>
          <w:i/>
          <w:sz w:val="20"/>
          <w:lang w:val="fr-CA"/>
        </w:rPr>
        <w:tab/>
        <w:t>Paul J. J. Cavalluzzo</w:t>
      </w:r>
      <w:r w:rsidRPr="00360B33">
        <w:rPr>
          <w:sz w:val="20"/>
          <w:lang w:val="fr-CA"/>
        </w:rPr>
        <w:t xml:space="preserve"> et </w:t>
      </w:r>
      <w:r w:rsidRPr="00360B33">
        <w:rPr>
          <w:i/>
          <w:sz w:val="20"/>
          <w:lang w:val="fr-CA"/>
        </w:rPr>
        <w:t>Adrienne Telford</w:t>
      </w:r>
      <w:r w:rsidRPr="00360B33">
        <w:rPr>
          <w:sz w:val="20"/>
          <w:lang w:val="fr-CA"/>
        </w:rPr>
        <w:t>, pour les intervenants le Syndicat des travailleurs et travailleuses des postes et l’Association internationale des machinistes et des travailleurs et travailleuses de l’aérospatiale.</w:t>
      </w:r>
    </w:p>
    <w:p w:rsidR="00B91DD6" w:rsidRDefault="00B91DD6" w:rsidP="00B91DD6">
      <w:pPr>
        <w:pStyle w:val="SCCNormalDoubleSpacing"/>
        <w:spacing w:line="240" w:lineRule="auto"/>
        <w:rPr>
          <w:i/>
          <w:sz w:val="20"/>
          <w:lang w:val="fr-CA"/>
        </w:rPr>
      </w:pPr>
    </w:p>
    <w:p w:rsidR="00B91DD6" w:rsidRPr="00360B33" w:rsidRDefault="00B91DD6" w:rsidP="00B91DD6">
      <w:pPr>
        <w:pStyle w:val="SCCNormalDoubleSpacing"/>
        <w:spacing w:line="240" w:lineRule="auto"/>
        <w:rPr>
          <w:sz w:val="20"/>
        </w:rPr>
      </w:pPr>
      <w:r w:rsidRPr="00360B33">
        <w:rPr>
          <w:i/>
          <w:sz w:val="20"/>
          <w:lang w:val="fr-CA"/>
        </w:rPr>
        <w:tab/>
      </w:r>
      <w:r w:rsidRPr="00360B33">
        <w:rPr>
          <w:i/>
          <w:sz w:val="20"/>
        </w:rPr>
        <w:t>Joseph J. Arvay</w:t>
      </w:r>
      <w:r w:rsidRPr="00360B33">
        <w:rPr>
          <w:sz w:val="20"/>
        </w:rPr>
        <w:t xml:space="preserve">, </w:t>
      </w:r>
      <w:r w:rsidRPr="00360B33">
        <w:rPr>
          <w:i/>
          <w:sz w:val="20"/>
        </w:rPr>
        <w:t>c.r.</w:t>
      </w:r>
      <w:r w:rsidRPr="00360B33">
        <w:rPr>
          <w:sz w:val="20"/>
        </w:rPr>
        <w:t xml:space="preserve">, et </w:t>
      </w:r>
      <w:r w:rsidRPr="00360B33">
        <w:rPr>
          <w:i/>
          <w:sz w:val="20"/>
        </w:rPr>
        <w:t>Catherine J. Boies Parker</w:t>
      </w:r>
      <w:r w:rsidRPr="00360B33">
        <w:rPr>
          <w:sz w:val="20"/>
        </w:rPr>
        <w:t>, pour les intervenants British Columbia Teachers’ Federation and Hospital Employees’ Union.</w:t>
      </w:r>
    </w:p>
    <w:p w:rsidR="00B91DD6" w:rsidRDefault="00B91DD6" w:rsidP="00B91DD6">
      <w:pPr>
        <w:pStyle w:val="SCCNormalDoubleSpacing"/>
        <w:spacing w:line="240" w:lineRule="auto"/>
        <w:rPr>
          <w:sz w:val="20"/>
        </w:rPr>
      </w:pPr>
    </w:p>
    <w:p w:rsidR="00B91DD6" w:rsidRPr="00360B33" w:rsidRDefault="00B91DD6" w:rsidP="00B91DD6">
      <w:pPr>
        <w:pStyle w:val="SCCNormalDoubleSpacing"/>
        <w:spacing w:line="240" w:lineRule="auto"/>
        <w:rPr>
          <w:sz w:val="20"/>
          <w:lang w:val="fr-CA"/>
        </w:rPr>
      </w:pPr>
      <w:r w:rsidRPr="00360B33">
        <w:rPr>
          <w:sz w:val="20"/>
        </w:rPr>
        <w:tab/>
      </w:r>
      <w:r w:rsidRPr="00360B33">
        <w:rPr>
          <w:sz w:val="20"/>
          <w:lang w:val="fr-CA"/>
        </w:rPr>
        <w:t>Argumentation écrite seulement par</w:t>
      </w:r>
      <w:r w:rsidRPr="00360B33">
        <w:rPr>
          <w:i/>
          <w:sz w:val="20"/>
          <w:lang w:val="fr-CA"/>
        </w:rPr>
        <w:t xml:space="preserve"> Steven Barrett </w:t>
      </w:r>
      <w:r w:rsidRPr="00360B33">
        <w:rPr>
          <w:sz w:val="20"/>
          <w:lang w:val="fr-CA"/>
        </w:rPr>
        <w:t xml:space="preserve">et </w:t>
      </w:r>
      <w:r w:rsidRPr="00360B33">
        <w:rPr>
          <w:i/>
          <w:sz w:val="20"/>
          <w:lang w:val="fr-CA"/>
        </w:rPr>
        <w:t>Ethan Poskanzer</w:t>
      </w:r>
      <w:r w:rsidRPr="00360B33">
        <w:rPr>
          <w:sz w:val="20"/>
          <w:lang w:val="fr-CA"/>
        </w:rPr>
        <w:t>, pour l’intervenant le Congrès du travail du Canada.</w:t>
      </w:r>
    </w:p>
    <w:p w:rsidR="00B91DD6" w:rsidRDefault="00B91DD6" w:rsidP="00B91DD6">
      <w:pPr>
        <w:pStyle w:val="SCCNormalDoubleSpacing"/>
        <w:spacing w:line="240" w:lineRule="auto"/>
        <w:rPr>
          <w:i/>
          <w:sz w:val="20"/>
          <w:lang w:val="fr-CA"/>
        </w:rPr>
      </w:pPr>
    </w:p>
    <w:p w:rsidR="00B91DD6" w:rsidRPr="00360B33" w:rsidRDefault="00B91DD6" w:rsidP="00B91DD6">
      <w:pPr>
        <w:pStyle w:val="SCCNormalDoubleSpacing"/>
        <w:spacing w:line="240" w:lineRule="auto"/>
        <w:rPr>
          <w:sz w:val="20"/>
          <w:lang w:val="fr-CA"/>
        </w:rPr>
      </w:pPr>
      <w:r w:rsidRPr="00360B33">
        <w:rPr>
          <w:i/>
          <w:sz w:val="20"/>
          <w:lang w:val="fr-CA"/>
        </w:rPr>
        <w:tab/>
        <w:t>Andrew Raven</w:t>
      </w:r>
      <w:r w:rsidRPr="00360B33">
        <w:rPr>
          <w:sz w:val="20"/>
          <w:lang w:val="fr-CA"/>
        </w:rPr>
        <w:t xml:space="preserve"> et </w:t>
      </w:r>
      <w:r w:rsidRPr="00360B33">
        <w:rPr>
          <w:i/>
          <w:sz w:val="20"/>
          <w:lang w:val="fr-CA"/>
        </w:rPr>
        <w:t>Andrew Astritis</w:t>
      </w:r>
      <w:r w:rsidRPr="00360B33">
        <w:rPr>
          <w:sz w:val="20"/>
          <w:lang w:val="fr-CA"/>
        </w:rPr>
        <w:t>, pour l’intervenante l’Alliance de la Fonction publique du Canada.</w:t>
      </w:r>
    </w:p>
    <w:p w:rsidR="00B91DD6" w:rsidRDefault="00B91DD6" w:rsidP="00B91DD6">
      <w:pPr>
        <w:pStyle w:val="SCCNormalDoubleSpacing"/>
        <w:spacing w:line="240" w:lineRule="auto"/>
        <w:rPr>
          <w:i/>
          <w:sz w:val="20"/>
          <w:lang w:val="fr-CA"/>
        </w:rPr>
      </w:pPr>
    </w:p>
    <w:p w:rsidR="00B91DD6" w:rsidRPr="00360B33" w:rsidRDefault="00B91DD6" w:rsidP="00B91DD6">
      <w:pPr>
        <w:pStyle w:val="SCCNormalDoubleSpacing"/>
        <w:spacing w:line="240" w:lineRule="auto"/>
        <w:rPr>
          <w:sz w:val="20"/>
          <w:lang w:val="fr-CA"/>
        </w:rPr>
      </w:pPr>
      <w:r w:rsidRPr="00360B33">
        <w:rPr>
          <w:i/>
          <w:sz w:val="20"/>
          <w:lang w:val="fr-CA"/>
        </w:rPr>
        <w:tab/>
        <w:t>Patrick G. Nugent</w:t>
      </w:r>
      <w:r w:rsidRPr="00360B33">
        <w:rPr>
          <w:sz w:val="20"/>
          <w:lang w:val="fr-CA"/>
        </w:rPr>
        <w:t xml:space="preserve"> et </w:t>
      </w:r>
      <w:r w:rsidRPr="00360B33">
        <w:rPr>
          <w:i/>
          <w:sz w:val="20"/>
          <w:lang w:val="fr-CA"/>
        </w:rPr>
        <w:t>Tamara Friesen</w:t>
      </w:r>
      <w:r w:rsidRPr="00360B33">
        <w:rPr>
          <w:sz w:val="20"/>
          <w:lang w:val="fr-CA"/>
        </w:rPr>
        <w:t>, pour l’intervenant Alberta Union of Provincial Employees.</w:t>
      </w:r>
    </w:p>
    <w:p w:rsidR="00B91DD6" w:rsidRDefault="00B91DD6" w:rsidP="00B91DD6">
      <w:pPr>
        <w:pStyle w:val="SCCNormalDoubleSpacing"/>
        <w:spacing w:line="240" w:lineRule="auto"/>
        <w:rPr>
          <w:i/>
          <w:sz w:val="20"/>
          <w:lang w:val="fr-CA"/>
        </w:rPr>
      </w:pPr>
    </w:p>
    <w:p w:rsidR="00B91DD6" w:rsidRPr="00360B33" w:rsidRDefault="00B91DD6" w:rsidP="00B91DD6">
      <w:pPr>
        <w:pStyle w:val="SCCNormalDoubleSpacing"/>
        <w:spacing w:line="240" w:lineRule="auto"/>
        <w:rPr>
          <w:sz w:val="20"/>
          <w:lang w:val="fr-CA"/>
        </w:rPr>
      </w:pPr>
      <w:r w:rsidRPr="00360B33">
        <w:rPr>
          <w:i/>
          <w:sz w:val="20"/>
          <w:lang w:val="fr-CA"/>
        </w:rPr>
        <w:tab/>
        <w:t xml:space="preserve">Éric Lévesque </w:t>
      </w:r>
      <w:r w:rsidRPr="00360B33">
        <w:rPr>
          <w:sz w:val="20"/>
          <w:lang w:val="fr-CA"/>
        </w:rPr>
        <w:t>et</w:t>
      </w:r>
      <w:r w:rsidRPr="00360B33">
        <w:rPr>
          <w:i/>
          <w:sz w:val="20"/>
          <w:lang w:val="fr-CA"/>
        </w:rPr>
        <w:t xml:space="preserve"> Benoît Laurin</w:t>
      </w:r>
      <w:r w:rsidRPr="00360B33">
        <w:rPr>
          <w:sz w:val="20"/>
          <w:lang w:val="fr-CA"/>
        </w:rPr>
        <w:t>, pour l’intervenante la Confédération des syndicats nationaux.</w:t>
      </w:r>
    </w:p>
    <w:p w:rsidR="00B91DD6" w:rsidRDefault="00B91DD6" w:rsidP="00B91DD6">
      <w:pPr>
        <w:pStyle w:val="SCCNormalDoubleSpacing"/>
        <w:spacing w:line="240" w:lineRule="auto"/>
        <w:rPr>
          <w:i/>
          <w:sz w:val="20"/>
          <w:lang w:val="fr-CA"/>
        </w:rPr>
      </w:pPr>
    </w:p>
    <w:p w:rsidR="00B91DD6" w:rsidRPr="00360B33" w:rsidRDefault="00B91DD6" w:rsidP="00B91DD6">
      <w:pPr>
        <w:pStyle w:val="SCCNormalDoubleSpacing"/>
        <w:spacing w:line="240" w:lineRule="auto"/>
        <w:rPr>
          <w:sz w:val="20"/>
        </w:rPr>
      </w:pPr>
      <w:r w:rsidRPr="00360B33">
        <w:rPr>
          <w:i/>
          <w:sz w:val="20"/>
          <w:lang w:val="fr-CA"/>
        </w:rPr>
        <w:tab/>
      </w:r>
      <w:r w:rsidRPr="00360B33">
        <w:rPr>
          <w:i/>
          <w:sz w:val="20"/>
        </w:rPr>
        <w:t>Evert van Olst</w:t>
      </w:r>
      <w:r w:rsidRPr="00360B33">
        <w:rPr>
          <w:sz w:val="20"/>
        </w:rPr>
        <w:t xml:space="preserve">, </w:t>
      </w:r>
      <w:r w:rsidRPr="00360B33">
        <w:rPr>
          <w:i/>
          <w:sz w:val="20"/>
        </w:rPr>
        <w:t>c.r.</w:t>
      </w:r>
      <w:r w:rsidRPr="00360B33">
        <w:rPr>
          <w:sz w:val="20"/>
        </w:rPr>
        <w:t xml:space="preserve">, et </w:t>
      </w:r>
      <w:r w:rsidRPr="00360B33">
        <w:rPr>
          <w:i/>
          <w:sz w:val="20"/>
        </w:rPr>
        <w:t>Leah Schatz</w:t>
      </w:r>
      <w:r w:rsidRPr="00360B33">
        <w:rPr>
          <w:sz w:val="20"/>
        </w:rPr>
        <w:t>, pour les intervenantes Regina Qu’Appelle Regional Health Authority, Cypress Regional Health Authority, Five Hills Regional Health Authority, Heartland Regional Health Authority, Sunrise Regional Health Authority, Prince Albert Parkland Regional Health Authority et Saskatoon Regional Health Authority.</w:t>
      </w:r>
    </w:p>
    <w:p w:rsidR="00B91DD6" w:rsidRDefault="00B91DD6" w:rsidP="00B91DD6">
      <w:pPr>
        <w:pStyle w:val="SCCNormalDoubleSpacing"/>
        <w:spacing w:line="240" w:lineRule="auto"/>
        <w:rPr>
          <w:i/>
          <w:sz w:val="20"/>
        </w:rPr>
      </w:pPr>
    </w:p>
    <w:p w:rsidR="00B91DD6" w:rsidRPr="00360B33" w:rsidRDefault="00B91DD6" w:rsidP="00B91DD6">
      <w:pPr>
        <w:pStyle w:val="SCCNormalDoubleSpacing"/>
        <w:spacing w:line="240" w:lineRule="auto"/>
        <w:rPr>
          <w:sz w:val="20"/>
          <w:lang w:val="fr-CA"/>
        </w:rPr>
      </w:pPr>
      <w:r w:rsidRPr="00360B33">
        <w:rPr>
          <w:i/>
          <w:sz w:val="20"/>
        </w:rPr>
        <w:tab/>
      </w:r>
      <w:r w:rsidRPr="00360B33">
        <w:rPr>
          <w:i/>
          <w:sz w:val="20"/>
          <w:lang w:val="fr-CA"/>
        </w:rPr>
        <w:t>Paul Champ</w:t>
      </w:r>
      <w:r w:rsidRPr="00360B33">
        <w:rPr>
          <w:sz w:val="20"/>
          <w:lang w:val="fr-CA"/>
        </w:rPr>
        <w:t xml:space="preserve"> et </w:t>
      </w:r>
      <w:r w:rsidRPr="00360B33">
        <w:rPr>
          <w:i/>
          <w:sz w:val="20"/>
          <w:lang w:val="fr-CA"/>
        </w:rPr>
        <w:t>Bijon Roy</w:t>
      </w:r>
      <w:r w:rsidRPr="00360B33">
        <w:rPr>
          <w:sz w:val="20"/>
          <w:lang w:val="fr-CA"/>
        </w:rPr>
        <w:t>, pour l’intervenant le Syndicat national des employées et employés généraux du secteur public.</w:t>
      </w:r>
    </w:p>
    <w:p w:rsidR="00B91DD6" w:rsidRDefault="00B91DD6" w:rsidP="00B91DD6">
      <w:pPr>
        <w:pStyle w:val="SCCNormalDoubleSpacing"/>
        <w:spacing w:line="240" w:lineRule="auto"/>
        <w:rPr>
          <w:sz w:val="20"/>
          <w:lang w:val="fr-CA"/>
        </w:rPr>
      </w:pPr>
    </w:p>
    <w:p w:rsidR="00B91DD6" w:rsidRPr="00360B33" w:rsidRDefault="00B91DD6" w:rsidP="00B91DD6">
      <w:pPr>
        <w:pStyle w:val="SCCNormalDoubleSpacing"/>
        <w:spacing w:line="240" w:lineRule="auto"/>
        <w:rPr>
          <w:sz w:val="20"/>
          <w:lang w:val="fr-CA"/>
        </w:rPr>
      </w:pPr>
      <w:r w:rsidRPr="00360B33">
        <w:rPr>
          <w:sz w:val="20"/>
          <w:lang w:val="fr-CA"/>
        </w:rPr>
        <w:tab/>
        <w:t>Argumentation écrite seulement par</w:t>
      </w:r>
      <w:r w:rsidRPr="00360B33">
        <w:rPr>
          <w:i/>
          <w:sz w:val="20"/>
          <w:lang w:val="fr-CA"/>
        </w:rPr>
        <w:t xml:space="preserve"> Brian W. Burkett</w:t>
      </w:r>
      <w:r w:rsidRPr="00360B33">
        <w:rPr>
          <w:sz w:val="20"/>
          <w:lang w:val="fr-CA"/>
        </w:rPr>
        <w:t>, pour les intervenantes la Société canadienne des postes et Air Canada.</w:t>
      </w:r>
    </w:p>
    <w:p w:rsidR="00B91DD6" w:rsidRDefault="00B91DD6" w:rsidP="00B91DD6">
      <w:pPr>
        <w:pStyle w:val="SCCLawFirm"/>
        <w:spacing w:line="240" w:lineRule="auto"/>
        <w:rPr>
          <w:sz w:val="20"/>
          <w:lang w:val="fr-CA"/>
        </w:rPr>
      </w:pPr>
    </w:p>
    <w:p w:rsidR="00B91DD6" w:rsidRPr="00360B33" w:rsidRDefault="00B91DD6" w:rsidP="00B91DD6">
      <w:pPr>
        <w:pStyle w:val="SCCLawFirm"/>
        <w:spacing w:line="240" w:lineRule="auto"/>
        <w:rPr>
          <w:sz w:val="20"/>
        </w:rPr>
      </w:pPr>
      <w:r w:rsidRPr="00360B33">
        <w:rPr>
          <w:sz w:val="20"/>
          <w:lang w:val="fr-CA"/>
        </w:rPr>
        <w:tab/>
      </w:r>
      <w:r w:rsidRPr="00360B33">
        <w:rPr>
          <w:sz w:val="20"/>
        </w:rPr>
        <w:t>Procureurs des appelants : Gerrand Rath Johnson, Regina; Victory Square Law Office, Vancouver; The W Law Group, Saskatoon.</w:t>
      </w:r>
    </w:p>
    <w:p w:rsidR="00B91DD6" w:rsidRDefault="00B91DD6" w:rsidP="00B91DD6">
      <w:pPr>
        <w:pStyle w:val="SCCLawFirm"/>
        <w:spacing w:line="240" w:lineRule="auto"/>
        <w:rPr>
          <w:sz w:val="20"/>
        </w:rPr>
      </w:pPr>
    </w:p>
    <w:p w:rsidR="00B91DD6" w:rsidRPr="00360B33" w:rsidRDefault="00B91DD6" w:rsidP="00B91DD6">
      <w:pPr>
        <w:pStyle w:val="SCCLawFirm"/>
        <w:spacing w:line="240" w:lineRule="auto"/>
        <w:rPr>
          <w:sz w:val="20"/>
          <w:lang w:val="fr-CA"/>
        </w:rPr>
      </w:pPr>
      <w:r w:rsidRPr="00360B33">
        <w:rPr>
          <w:sz w:val="20"/>
        </w:rPr>
        <w:tab/>
      </w:r>
      <w:r w:rsidRPr="00360B33">
        <w:rPr>
          <w:sz w:val="20"/>
          <w:lang w:val="fr-CA"/>
        </w:rPr>
        <w:t>Procureur de l’intimée : Procureur général de la Saskatchewan, Regina.</w:t>
      </w:r>
    </w:p>
    <w:p w:rsidR="00B91DD6" w:rsidRDefault="00B91DD6" w:rsidP="00B91DD6">
      <w:pPr>
        <w:pStyle w:val="SCCLawFirm"/>
        <w:spacing w:line="240" w:lineRule="auto"/>
        <w:rPr>
          <w:sz w:val="20"/>
          <w:lang w:val="fr-CA"/>
        </w:rPr>
      </w:pPr>
    </w:p>
    <w:p w:rsidR="00B91DD6" w:rsidRPr="00360B33" w:rsidRDefault="00B91DD6" w:rsidP="00B91DD6">
      <w:pPr>
        <w:pStyle w:val="SCCLawFirm"/>
        <w:spacing w:line="240" w:lineRule="auto"/>
        <w:rPr>
          <w:sz w:val="20"/>
          <w:lang w:val="fr-CA"/>
        </w:rPr>
      </w:pPr>
      <w:r w:rsidRPr="00360B33">
        <w:rPr>
          <w:sz w:val="20"/>
          <w:lang w:val="fr-CA"/>
        </w:rPr>
        <w:tab/>
        <w:t>Procureur de l’intervenant le procureur général du Canada : Procureur général du Canada, Saskatoon.</w:t>
      </w:r>
    </w:p>
    <w:p w:rsidR="00B91DD6" w:rsidRDefault="00B91DD6" w:rsidP="00B91DD6">
      <w:pPr>
        <w:pStyle w:val="SCCLawFirm"/>
        <w:spacing w:line="240" w:lineRule="auto"/>
        <w:rPr>
          <w:sz w:val="20"/>
          <w:lang w:val="fr-CA"/>
        </w:rPr>
      </w:pPr>
    </w:p>
    <w:p w:rsidR="00B91DD6" w:rsidRPr="00360B33" w:rsidRDefault="00B91DD6" w:rsidP="00B91DD6">
      <w:pPr>
        <w:pStyle w:val="SCCLawFirm"/>
        <w:spacing w:line="240" w:lineRule="auto"/>
        <w:rPr>
          <w:sz w:val="20"/>
          <w:lang w:val="fr-CA"/>
        </w:rPr>
      </w:pPr>
      <w:r w:rsidRPr="00360B33">
        <w:rPr>
          <w:sz w:val="20"/>
          <w:lang w:val="fr-CA"/>
        </w:rPr>
        <w:tab/>
        <w:t>Procureur de l’intervenant le procureur général de l’Ontario : Procureur général de l’Ontario, Toronto.</w:t>
      </w:r>
    </w:p>
    <w:p w:rsidR="00B91DD6" w:rsidRDefault="00B91DD6" w:rsidP="00B91DD6">
      <w:pPr>
        <w:pStyle w:val="SCCLawFirm"/>
        <w:spacing w:line="240" w:lineRule="auto"/>
        <w:rPr>
          <w:sz w:val="20"/>
          <w:lang w:val="fr-CA"/>
        </w:rPr>
      </w:pPr>
    </w:p>
    <w:p w:rsidR="00B91DD6" w:rsidRPr="00360B33" w:rsidRDefault="00B91DD6" w:rsidP="00B91DD6">
      <w:pPr>
        <w:pStyle w:val="SCCLawFirm"/>
        <w:spacing w:line="240" w:lineRule="auto"/>
        <w:rPr>
          <w:sz w:val="20"/>
          <w:lang w:val="fr-CA"/>
        </w:rPr>
      </w:pPr>
      <w:r w:rsidRPr="00360B33">
        <w:rPr>
          <w:sz w:val="20"/>
          <w:lang w:val="fr-CA"/>
        </w:rPr>
        <w:tab/>
        <w:t>Procureur de l’intervenant le procureur général du Québec : Procureur général du Québec, Québec.</w:t>
      </w:r>
    </w:p>
    <w:p w:rsidR="00B91DD6" w:rsidRDefault="00B91DD6" w:rsidP="00B91DD6">
      <w:pPr>
        <w:pStyle w:val="SCCLawFirm"/>
        <w:spacing w:line="240" w:lineRule="auto"/>
        <w:rPr>
          <w:sz w:val="20"/>
          <w:lang w:val="fr-CA"/>
        </w:rPr>
      </w:pPr>
    </w:p>
    <w:p w:rsidR="00B91DD6" w:rsidRPr="00360B33" w:rsidRDefault="00B91DD6" w:rsidP="00B91DD6">
      <w:pPr>
        <w:pStyle w:val="SCCLawFirm"/>
        <w:spacing w:line="240" w:lineRule="auto"/>
        <w:rPr>
          <w:sz w:val="20"/>
          <w:lang w:val="fr-CA"/>
        </w:rPr>
      </w:pPr>
      <w:r w:rsidRPr="00360B33">
        <w:rPr>
          <w:sz w:val="20"/>
          <w:lang w:val="fr-CA"/>
        </w:rPr>
        <w:tab/>
        <w:t>Procureur de l’intervenant le procureur général de la Colombie</w:t>
      </w:r>
      <w:r w:rsidRPr="00360B33">
        <w:rPr>
          <w:sz w:val="20"/>
          <w:lang w:val="fr-CA"/>
        </w:rPr>
        <w:noBreakHyphen/>
        <w:t>Britannique : Procureur général de la Colombie</w:t>
      </w:r>
      <w:r w:rsidRPr="00360B33">
        <w:rPr>
          <w:sz w:val="20"/>
          <w:lang w:val="fr-CA"/>
        </w:rPr>
        <w:noBreakHyphen/>
        <w:t>Britannique, Vancouver.</w:t>
      </w:r>
    </w:p>
    <w:p w:rsidR="00B91DD6" w:rsidRDefault="00B91DD6" w:rsidP="00B91DD6">
      <w:pPr>
        <w:pStyle w:val="SCCLawFirm"/>
        <w:spacing w:line="240" w:lineRule="auto"/>
        <w:rPr>
          <w:sz w:val="20"/>
          <w:lang w:val="fr-CA"/>
        </w:rPr>
      </w:pPr>
    </w:p>
    <w:p w:rsidR="00B91DD6" w:rsidRPr="00360B33" w:rsidRDefault="00B91DD6" w:rsidP="00B91DD6">
      <w:pPr>
        <w:pStyle w:val="SCCLawFirm"/>
        <w:spacing w:line="240" w:lineRule="auto"/>
        <w:rPr>
          <w:sz w:val="20"/>
          <w:lang w:val="fr-CA"/>
        </w:rPr>
      </w:pPr>
      <w:r w:rsidRPr="00360B33">
        <w:rPr>
          <w:sz w:val="20"/>
          <w:lang w:val="fr-CA"/>
        </w:rPr>
        <w:tab/>
        <w:t>Procureur de l’intervenant le procureur général de l’Alberta : Procureur général de l’Alberta, Edmonton.</w:t>
      </w:r>
    </w:p>
    <w:p w:rsidR="00B91DD6" w:rsidRDefault="00B91DD6" w:rsidP="00B91DD6">
      <w:pPr>
        <w:pStyle w:val="SCCLawFirm"/>
        <w:spacing w:line="240" w:lineRule="auto"/>
        <w:rPr>
          <w:sz w:val="20"/>
          <w:lang w:val="fr-CA"/>
        </w:rPr>
      </w:pPr>
    </w:p>
    <w:p w:rsidR="00B91DD6" w:rsidRPr="00360B33" w:rsidRDefault="00B91DD6" w:rsidP="00B91DD6">
      <w:pPr>
        <w:pStyle w:val="SCCLawFirm"/>
        <w:spacing w:line="240" w:lineRule="auto"/>
        <w:rPr>
          <w:sz w:val="20"/>
          <w:lang w:val="fr-CA"/>
        </w:rPr>
      </w:pPr>
      <w:r w:rsidRPr="00360B33">
        <w:rPr>
          <w:sz w:val="20"/>
          <w:lang w:val="fr-CA"/>
        </w:rPr>
        <w:tab/>
        <w:t>Procureur de l’intervenant le procureur général de Terre</w:t>
      </w:r>
      <w:r w:rsidRPr="00360B33">
        <w:rPr>
          <w:sz w:val="20"/>
          <w:lang w:val="fr-CA"/>
        </w:rPr>
        <w:noBreakHyphen/>
        <w:t>Neuve</w:t>
      </w:r>
      <w:r w:rsidRPr="00360B33">
        <w:rPr>
          <w:sz w:val="20"/>
          <w:lang w:val="fr-CA"/>
        </w:rPr>
        <w:noBreakHyphen/>
        <w:t>et</w:t>
      </w:r>
      <w:r w:rsidRPr="00360B33">
        <w:rPr>
          <w:sz w:val="20"/>
          <w:lang w:val="fr-CA"/>
        </w:rPr>
        <w:noBreakHyphen/>
        <w:t>Labrador : Procureur général de Terre</w:t>
      </w:r>
      <w:r w:rsidRPr="00360B33">
        <w:rPr>
          <w:sz w:val="20"/>
          <w:lang w:val="fr-CA"/>
        </w:rPr>
        <w:noBreakHyphen/>
        <w:t>Neuve</w:t>
      </w:r>
      <w:r w:rsidRPr="00360B33">
        <w:rPr>
          <w:sz w:val="20"/>
          <w:lang w:val="fr-CA"/>
        </w:rPr>
        <w:noBreakHyphen/>
        <w:t>et</w:t>
      </w:r>
      <w:r w:rsidRPr="00360B33">
        <w:rPr>
          <w:sz w:val="20"/>
          <w:lang w:val="fr-CA"/>
        </w:rPr>
        <w:noBreakHyphen/>
        <w:t>Labrador, St. John’s.</w:t>
      </w:r>
    </w:p>
    <w:p w:rsidR="00B91DD6" w:rsidRDefault="00B91DD6" w:rsidP="00B91DD6">
      <w:pPr>
        <w:pStyle w:val="SCCLawFirm"/>
        <w:spacing w:line="240" w:lineRule="auto"/>
        <w:rPr>
          <w:sz w:val="20"/>
          <w:lang w:val="fr-CA"/>
        </w:rPr>
      </w:pPr>
    </w:p>
    <w:p w:rsidR="00B91DD6" w:rsidRPr="00360B33" w:rsidRDefault="00B91DD6" w:rsidP="00B91DD6">
      <w:pPr>
        <w:pStyle w:val="SCCLawFirm"/>
        <w:spacing w:line="240" w:lineRule="auto"/>
        <w:rPr>
          <w:sz w:val="20"/>
        </w:rPr>
      </w:pPr>
      <w:r w:rsidRPr="00360B33">
        <w:rPr>
          <w:sz w:val="20"/>
          <w:lang w:val="fr-CA"/>
        </w:rPr>
        <w:tab/>
      </w:r>
      <w:r w:rsidRPr="00360B33">
        <w:rPr>
          <w:sz w:val="20"/>
        </w:rPr>
        <w:t>Procureurs de l’intervenant Saskatchewan Union of Nurses : Bainbridge Jodouin Cheecham, Saskatoon.</w:t>
      </w:r>
    </w:p>
    <w:p w:rsidR="00B91DD6" w:rsidRDefault="00B91DD6" w:rsidP="00B91DD6">
      <w:pPr>
        <w:pStyle w:val="SCCLawFirm"/>
        <w:spacing w:line="240" w:lineRule="auto"/>
        <w:rPr>
          <w:sz w:val="20"/>
        </w:rPr>
      </w:pPr>
    </w:p>
    <w:p w:rsidR="00B91DD6" w:rsidRPr="00360B33" w:rsidRDefault="00B91DD6" w:rsidP="00B91DD6">
      <w:pPr>
        <w:pStyle w:val="SCCLawFirm"/>
        <w:spacing w:line="240" w:lineRule="auto"/>
        <w:rPr>
          <w:sz w:val="20"/>
        </w:rPr>
      </w:pPr>
      <w:r w:rsidRPr="00360B33">
        <w:rPr>
          <w:sz w:val="20"/>
        </w:rPr>
        <w:tab/>
        <w:t>Procureurs de l’intervenant SEIU</w:t>
      </w:r>
      <w:r w:rsidRPr="00360B33">
        <w:rPr>
          <w:sz w:val="20"/>
        </w:rPr>
        <w:noBreakHyphen/>
        <w:t>West : Plaxton &amp; Company, Saskatoon.</w:t>
      </w:r>
    </w:p>
    <w:p w:rsidR="00B91DD6" w:rsidRDefault="00B91DD6" w:rsidP="00B91DD6">
      <w:pPr>
        <w:pStyle w:val="SCCLawFirm"/>
        <w:spacing w:line="240" w:lineRule="auto"/>
        <w:rPr>
          <w:sz w:val="20"/>
        </w:rPr>
      </w:pPr>
    </w:p>
    <w:p w:rsidR="00B91DD6" w:rsidRPr="00CF7A89" w:rsidRDefault="00B91DD6" w:rsidP="00B91DD6">
      <w:pPr>
        <w:pStyle w:val="SCCLawFirm"/>
        <w:spacing w:line="240" w:lineRule="auto"/>
        <w:rPr>
          <w:sz w:val="20"/>
        </w:rPr>
      </w:pPr>
      <w:r w:rsidRPr="00360B33">
        <w:rPr>
          <w:sz w:val="20"/>
        </w:rPr>
        <w:lastRenderedPageBreak/>
        <w:tab/>
      </w:r>
      <w:r w:rsidRPr="00CF7A89">
        <w:rPr>
          <w:sz w:val="20"/>
        </w:rPr>
        <w:t>Procureurs des intervenants United Nurses of Alberta et Alberta Federation of Labour : Chivers Carpenter, Edmonton.</w:t>
      </w:r>
    </w:p>
    <w:p w:rsidR="00B91DD6" w:rsidRPr="00CF7A89" w:rsidRDefault="00B91DD6" w:rsidP="00B91DD6">
      <w:pPr>
        <w:pStyle w:val="SCCLawFirm"/>
        <w:spacing w:line="240" w:lineRule="auto"/>
        <w:rPr>
          <w:sz w:val="20"/>
        </w:rPr>
      </w:pPr>
    </w:p>
    <w:p w:rsidR="00B91DD6" w:rsidRPr="00360B33" w:rsidRDefault="00B91DD6" w:rsidP="00B91DD6">
      <w:pPr>
        <w:pStyle w:val="SCCLawFirm"/>
        <w:spacing w:line="240" w:lineRule="auto"/>
        <w:rPr>
          <w:sz w:val="20"/>
          <w:lang w:val="fr-CA"/>
        </w:rPr>
      </w:pPr>
      <w:r w:rsidRPr="00CF7A89">
        <w:rPr>
          <w:sz w:val="20"/>
        </w:rPr>
        <w:tab/>
      </w:r>
      <w:r w:rsidRPr="00360B33">
        <w:rPr>
          <w:sz w:val="20"/>
          <w:lang w:val="fr-CA"/>
        </w:rPr>
        <w:t>Procureurs de l’intervenant l’Institut professionnel de la fonction publique du Canada : Sack Goldblatt Mitchell, Ottawa.</w:t>
      </w:r>
    </w:p>
    <w:p w:rsidR="00B91DD6" w:rsidRDefault="00B91DD6" w:rsidP="00B91DD6">
      <w:pPr>
        <w:pStyle w:val="SCCLawFirm"/>
        <w:spacing w:line="240" w:lineRule="auto"/>
        <w:rPr>
          <w:sz w:val="20"/>
          <w:lang w:val="fr-CA"/>
        </w:rPr>
      </w:pPr>
    </w:p>
    <w:p w:rsidR="00B91DD6" w:rsidRPr="00360B33" w:rsidRDefault="00B91DD6" w:rsidP="00B91DD6">
      <w:pPr>
        <w:pStyle w:val="SCCLawFirm"/>
        <w:spacing w:line="240" w:lineRule="auto"/>
        <w:rPr>
          <w:sz w:val="20"/>
          <w:lang w:val="fr-CA"/>
        </w:rPr>
      </w:pPr>
      <w:r w:rsidRPr="00360B33">
        <w:rPr>
          <w:sz w:val="20"/>
          <w:lang w:val="fr-CA"/>
        </w:rPr>
        <w:tab/>
        <w:t>Procureurs de l’intervenante Canadian Constitution Foundation : McCarthy Tétrault, Toronto.</w:t>
      </w:r>
    </w:p>
    <w:p w:rsidR="00B91DD6" w:rsidRDefault="00B91DD6" w:rsidP="00B91DD6">
      <w:pPr>
        <w:pStyle w:val="SCCLawFirm"/>
        <w:spacing w:line="240" w:lineRule="auto"/>
        <w:rPr>
          <w:sz w:val="20"/>
          <w:lang w:val="fr-CA"/>
        </w:rPr>
      </w:pPr>
    </w:p>
    <w:p w:rsidR="00B91DD6" w:rsidRPr="00360B33" w:rsidRDefault="00B91DD6" w:rsidP="00B91DD6">
      <w:pPr>
        <w:pStyle w:val="SCCLawFirm"/>
        <w:spacing w:line="240" w:lineRule="auto"/>
        <w:rPr>
          <w:sz w:val="20"/>
          <w:lang w:val="fr-CA"/>
        </w:rPr>
      </w:pPr>
      <w:r w:rsidRPr="00360B33">
        <w:rPr>
          <w:sz w:val="20"/>
          <w:lang w:val="fr-CA"/>
        </w:rPr>
        <w:tab/>
        <w:t>Procureurs de l’intervenante l’Association des pilotes d’Air Canada : Nelligan O’Brien Payne, Ottawa.</w:t>
      </w:r>
    </w:p>
    <w:p w:rsidR="00B91DD6" w:rsidRDefault="00B91DD6" w:rsidP="00B91DD6">
      <w:pPr>
        <w:pStyle w:val="SCCLawFirm"/>
        <w:spacing w:line="240" w:lineRule="auto"/>
        <w:rPr>
          <w:sz w:val="20"/>
          <w:lang w:val="fr-CA"/>
        </w:rPr>
      </w:pPr>
    </w:p>
    <w:p w:rsidR="00B91DD6" w:rsidRPr="00360B33" w:rsidRDefault="00B91DD6" w:rsidP="00B91DD6">
      <w:pPr>
        <w:pStyle w:val="SCCLawFirm"/>
        <w:spacing w:line="240" w:lineRule="auto"/>
        <w:rPr>
          <w:sz w:val="20"/>
          <w:lang w:val="fr-CA"/>
        </w:rPr>
      </w:pPr>
      <w:r w:rsidRPr="00360B33">
        <w:rPr>
          <w:sz w:val="20"/>
          <w:lang w:val="fr-CA"/>
        </w:rPr>
        <w:tab/>
        <w:t>Procureurs de l’intervenante l’Association des libertés civiles de la Colombie</w:t>
      </w:r>
      <w:r w:rsidRPr="00360B33">
        <w:rPr>
          <w:sz w:val="20"/>
          <w:lang w:val="fr-CA"/>
        </w:rPr>
        <w:noBreakHyphen/>
        <w:t>Britannique : Moore Edgar Lyster, Vancouver.</w:t>
      </w:r>
    </w:p>
    <w:p w:rsidR="00B91DD6" w:rsidRDefault="00B91DD6" w:rsidP="00B91DD6">
      <w:pPr>
        <w:pStyle w:val="SCCLawFirm"/>
        <w:spacing w:line="240" w:lineRule="auto"/>
        <w:rPr>
          <w:sz w:val="20"/>
          <w:lang w:val="fr-CA"/>
        </w:rPr>
      </w:pPr>
    </w:p>
    <w:p w:rsidR="00B91DD6" w:rsidRPr="00360B33" w:rsidRDefault="00B91DD6" w:rsidP="00B91DD6">
      <w:pPr>
        <w:pStyle w:val="SCCLawFirm"/>
        <w:spacing w:line="240" w:lineRule="auto"/>
        <w:rPr>
          <w:sz w:val="20"/>
          <w:lang w:val="fr-CA"/>
        </w:rPr>
      </w:pPr>
      <w:r w:rsidRPr="00360B33">
        <w:rPr>
          <w:sz w:val="20"/>
          <w:lang w:val="fr-CA"/>
        </w:rPr>
        <w:tab/>
        <w:t>Procureurs de l’intervenant le Conseil du patronat du Québec : Norton Rose Fulbright Canada, Montréal.</w:t>
      </w:r>
    </w:p>
    <w:p w:rsidR="00B91DD6" w:rsidRDefault="00B91DD6" w:rsidP="00B91DD6">
      <w:pPr>
        <w:pStyle w:val="SCCLawFirm"/>
        <w:spacing w:line="240" w:lineRule="auto"/>
        <w:rPr>
          <w:sz w:val="20"/>
          <w:lang w:val="fr-CA"/>
        </w:rPr>
      </w:pPr>
    </w:p>
    <w:p w:rsidR="00B91DD6" w:rsidRPr="00360B33" w:rsidRDefault="00B91DD6" w:rsidP="00B91DD6">
      <w:pPr>
        <w:pStyle w:val="SCCLawFirm"/>
        <w:spacing w:line="240" w:lineRule="auto"/>
        <w:rPr>
          <w:sz w:val="20"/>
          <w:lang w:val="fr-CA"/>
        </w:rPr>
      </w:pPr>
      <w:r w:rsidRPr="00360B33">
        <w:rPr>
          <w:sz w:val="20"/>
          <w:lang w:val="fr-CA"/>
        </w:rPr>
        <w:tab/>
        <w:t>Procureurs de l’intervenant le Conseil canadien des employeurs : Fasken Martineau DuMoulin, Toronto.</w:t>
      </w:r>
    </w:p>
    <w:p w:rsidR="00B91DD6" w:rsidRDefault="00B91DD6" w:rsidP="00B91DD6">
      <w:pPr>
        <w:pStyle w:val="SCCLawFirm"/>
        <w:spacing w:line="240" w:lineRule="auto"/>
        <w:rPr>
          <w:sz w:val="20"/>
          <w:lang w:val="fr-CA"/>
        </w:rPr>
      </w:pPr>
    </w:p>
    <w:p w:rsidR="00B91DD6" w:rsidRPr="00360B33" w:rsidRDefault="00B91DD6" w:rsidP="00B91DD6">
      <w:pPr>
        <w:pStyle w:val="SCCLawFirm"/>
        <w:spacing w:line="240" w:lineRule="auto"/>
        <w:rPr>
          <w:sz w:val="20"/>
          <w:lang w:val="fr-CA"/>
        </w:rPr>
      </w:pPr>
      <w:r w:rsidRPr="00360B33">
        <w:rPr>
          <w:sz w:val="20"/>
          <w:lang w:val="fr-CA"/>
        </w:rPr>
        <w:tab/>
        <w:t>Procureurs des intervenants le Syndicat des travailleurs et travailleuses des postes et l’Association internationale des machinistes et des travailleurs et travailleuses de l’aérospatiale : Cavalluzzo Shilton McIntyre Cornish, Toronto.</w:t>
      </w:r>
    </w:p>
    <w:p w:rsidR="00B91DD6" w:rsidRDefault="00B91DD6" w:rsidP="00B91DD6">
      <w:pPr>
        <w:pStyle w:val="SCCLawFirm"/>
        <w:spacing w:line="240" w:lineRule="auto"/>
        <w:rPr>
          <w:sz w:val="20"/>
          <w:lang w:val="fr-CA"/>
        </w:rPr>
      </w:pPr>
    </w:p>
    <w:p w:rsidR="00B91DD6" w:rsidRPr="00360B33" w:rsidRDefault="00B91DD6" w:rsidP="00B91DD6">
      <w:pPr>
        <w:pStyle w:val="SCCLawFirm"/>
        <w:spacing w:line="240" w:lineRule="auto"/>
        <w:rPr>
          <w:sz w:val="20"/>
        </w:rPr>
      </w:pPr>
      <w:r w:rsidRPr="00360B33">
        <w:rPr>
          <w:sz w:val="20"/>
          <w:lang w:val="fr-CA"/>
        </w:rPr>
        <w:tab/>
      </w:r>
      <w:r w:rsidRPr="00360B33">
        <w:rPr>
          <w:sz w:val="20"/>
        </w:rPr>
        <w:t>Procureurs des intervenants British Columbia Teachers’ Federation et Hospital Employees’ Union : Farris, Vaughan, Wills &amp; Murphy, Vancouver.</w:t>
      </w:r>
    </w:p>
    <w:p w:rsidR="00B91DD6" w:rsidRDefault="00B91DD6" w:rsidP="00B91DD6">
      <w:pPr>
        <w:pStyle w:val="SCCLawFirm"/>
        <w:spacing w:line="240" w:lineRule="auto"/>
        <w:rPr>
          <w:sz w:val="20"/>
        </w:rPr>
      </w:pPr>
    </w:p>
    <w:p w:rsidR="00B91DD6" w:rsidRPr="00360B33" w:rsidRDefault="00B91DD6" w:rsidP="00B91DD6">
      <w:pPr>
        <w:pStyle w:val="SCCLawFirm"/>
        <w:spacing w:line="240" w:lineRule="auto"/>
        <w:rPr>
          <w:sz w:val="20"/>
          <w:lang w:val="fr-CA"/>
        </w:rPr>
      </w:pPr>
      <w:r w:rsidRPr="00360B33">
        <w:rPr>
          <w:sz w:val="20"/>
        </w:rPr>
        <w:tab/>
      </w:r>
      <w:r w:rsidRPr="00360B33">
        <w:rPr>
          <w:sz w:val="20"/>
          <w:lang w:val="fr-CA"/>
        </w:rPr>
        <w:t>Procureurs de l’intervenant le Congrès du travail du Canada : Sack Goldblatt Mitchell, Toronto.</w:t>
      </w:r>
    </w:p>
    <w:p w:rsidR="00B91DD6" w:rsidRDefault="00B91DD6" w:rsidP="00B91DD6">
      <w:pPr>
        <w:pStyle w:val="SCCLawFirm"/>
        <w:spacing w:line="240" w:lineRule="auto"/>
        <w:rPr>
          <w:sz w:val="20"/>
          <w:lang w:val="fr-CA"/>
        </w:rPr>
      </w:pPr>
    </w:p>
    <w:p w:rsidR="00B91DD6" w:rsidRPr="00360B33" w:rsidRDefault="00B91DD6" w:rsidP="00B91DD6">
      <w:pPr>
        <w:pStyle w:val="SCCLawFirm"/>
        <w:spacing w:line="240" w:lineRule="auto"/>
        <w:rPr>
          <w:sz w:val="20"/>
          <w:lang w:val="fr-CA"/>
        </w:rPr>
      </w:pPr>
      <w:r w:rsidRPr="00360B33">
        <w:rPr>
          <w:sz w:val="20"/>
          <w:lang w:val="fr-CA"/>
        </w:rPr>
        <w:tab/>
        <w:t>Procureurs de l’intervenante l’Alliance de la Fonction publique du Canada : Raven, Cameron, Ballantyne &amp; Yazbeck, Ottawa.</w:t>
      </w:r>
    </w:p>
    <w:p w:rsidR="00B91DD6" w:rsidRDefault="00B91DD6" w:rsidP="00B91DD6">
      <w:pPr>
        <w:pStyle w:val="SCCLawFirm"/>
        <w:spacing w:line="240" w:lineRule="auto"/>
        <w:rPr>
          <w:sz w:val="20"/>
          <w:lang w:val="fr-CA"/>
        </w:rPr>
      </w:pPr>
    </w:p>
    <w:p w:rsidR="00B91DD6" w:rsidRPr="00360B33" w:rsidRDefault="00B91DD6" w:rsidP="00B91DD6">
      <w:pPr>
        <w:pStyle w:val="SCCLawFirm"/>
        <w:spacing w:line="240" w:lineRule="auto"/>
        <w:rPr>
          <w:sz w:val="20"/>
          <w:lang w:val="fr-CA"/>
        </w:rPr>
      </w:pPr>
      <w:r w:rsidRPr="00360B33">
        <w:rPr>
          <w:sz w:val="20"/>
          <w:lang w:val="fr-CA"/>
        </w:rPr>
        <w:tab/>
        <w:t>Procureurs de l’intervenant Alberta Union of Provincial Employees : Nugent Law Office, Edmonton.</w:t>
      </w:r>
    </w:p>
    <w:p w:rsidR="00B91DD6" w:rsidRDefault="00B91DD6" w:rsidP="00B91DD6">
      <w:pPr>
        <w:pStyle w:val="SCCLawFirm"/>
        <w:spacing w:line="240" w:lineRule="auto"/>
        <w:rPr>
          <w:sz w:val="20"/>
          <w:lang w:val="fr-CA"/>
        </w:rPr>
      </w:pPr>
    </w:p>
    <w:p w:rsidR="00B91DD6" w:rsidRPr="00360B33" w:rsidRDefault="00B91DD6" w:rsidP="00B91DD6">
      <w:pPr>
        <w:pStyle w:val="SCCLawFirm"/>
        <w:spacing w:line="240" w:lineRule="auto"/>
        <w:rPr>
          <w:sz w:val="20"/>
          <w:lang w:val="fr-CA"/>
        </w:rPr>
      </w:pPr>
      <w:r w:rsidRPr="00360B33">
        <w:rPr>
          <w:sz w:val="20"/>
          <w:lang w:val="fr-CA"/>
        </w:rPr>
        <w:tab/>
        <w:t>Procureurs de l’intervenante la Confédération des syndicats nationaux : Laroche Martin, Montréal.</w:t>
      </w:r>
    </w:p>
    <w:p w:rsidR="00B91DD6" w:rsidRDefault="00B91DD6" w:rsidP="00B91DD6">
      <w:pPr>
        <w:pStyle w:val="SCCLawFirm"/>
        <w:spacing w:line="240" w:lineRule="auto"/>
        <w:rPr>
          <w:sz w:val="20"/>
          <w:lang w:val="fr-CA"/>
        </w:rPr>
      </w:pPr>
    </w:p>
    <w:p w:rsidR="00B91DD6" w:rsidRPr="00360B33" w:rsidRDefault="00B91DD6" w:rsidP="00B91DD6">
      <w:pPr>
        <w:pStyle w:val="SCCLawFirm"/>
        <w:spacing w:line="240" w:lineRule="auto"/>
        <w:rPr>
          <w:sz w:val="20"/>
        </w:rPr>
      </w:pPr>
      <w:r w:rsidRPr="00360B33">
        <w:rPr>
          <w:sz w:val="20"/>
          <w:lang w:val="fr-CA"/>
        </w:rPr>
        <w:tab/>
      </w:r>
      <w:r w:rsidRPr="00360B33">
        <w:rPr>
          <w:sz w:val="20"/>
        </w:rPr>
        <w:t>Procureurs des intervenantes Regina Qu’Appelle Regional Health Authority, Cypress Regional Health Authority, Five Hills Regional Health Authority, Heartland Regional Health Authority, Sunrise Regional Health Authority, Prince Albert Parkland Regional Health Authority et Saskatoon Regional Health Authority : Saskatoon Regional Health Authority, Saskatoon; MacPherson Leslie &amp; Tyerman, Saskatoon.</w:t>
      </w:r>
    </w:p>
    <w:p w:rsidR="00B91DD6" w:rsidRDefault="00B91DD6" w:rsidP="00B91DD6">
      <w:pPr>
        <w:pStyle w:val="SCCLawFirm"/>
        <w:spacing w:line="240" w:lineRule="auto"/>
        <w:rPr>
          <w:sz w:val="20"/>
        </w:rPr>
      </w:pPr>
    </w:p>
    <w:p w:rsidR="00B91DD6" w:rsidRPr="00360B33" w:rsidRDefault="00B91DD6" w:rsidP="00B91DD6">
      <w:pPr>
        <w:pStyle w:val="SCCLawFirm"/>
        <w:spacing w:line="240" w:lineRule="auto"/>
        <w:rPr>
          <w:sz w:val="20"/>
          <w:lang w:val="fr-CA"/>
        </w:rPr>
      </w:pPr>
      <w:r w:rsidRPr="00360B33">
        <w:rPr>
          <w:sz w:val="20"/>
        </w:rPr>
        <w:tab/>
      </w:r>
      <w:r w:rsidRPr="00360B33">
        <w:rPr>
          <w:sz w:val="20"/>
          <w:lang w:val="fr-CA"/>
        </w:rPr>
        <w:t>Procureurs de l’intervenant le Syndicat national des employées et employés généraux du secteur public : Champ &amp; Associates, Ottawa.</w:t>
      </w:r>
    </w:p>
    <w:p w:rsidR="00B91DD6" w:rsidRDefault="00B91DD6" w:rsidP="00B91DD6">
      <w:pPr>
        <w:pStyle w:val="SCCLawFirm"/>
        <w:spacing w:line="240" w:lineRule="auto"/>
        <w:rPr>
          <w:sz w:val="20"/>
          <w:lang w:val="fr-CA"/>
        </w:rPr>
      </w:pPr>
    </w:p>
    <w:p w:rsidR="00B91DD6" w:rsidRDefault="00B91DD6" w:rsidP="00B91DD6">
      <w:pPr>
        <w:pStyle w:val="SCCLawFirm"/>
        <w:spacing w:line="240" w:lineRule="auto"/>
        <w:rPr>
          <w:sz w:val="20"/>
          <w:lang w:val="fr-CA"/>
        </w:rPr>
      </w:pPr>
      <w:r w:rsidRPr="00360B33">
        <w:rPr>
          <w:sz w:val="20"/>
          <w:lang w:val="fr-CA"/>
        </w:rPr>
        <w:tab/>
        <w:t>Procureurs des intervenantes la Société canadienne des postes et Air Canada : Fasken Martineau DuMoulin, Toronto.</w:t>
      </w:r>
    </w:p>
    <w:p w:rsidR="003B3977" w:rsidRPr="00B91DD6" w:rsidRDefault="003B3977" w:rsidP="005C6840">
      <w:pPr>
        <w:rPr>
          <w:rFonts w:cs="Times New Roman"/>
          <w:sz w:val="20"/>
          <w:szCs w:val="20"/>
          <w:lang w:val="fr-CA"/>
        </w:rPr>
      </w:pPr>
    </w:p>
    <w:p w:rsidR="00902E51" w:rsidRDefault="00E42AAB" w:rsidP="00902E51">
      <w:pPr>
        <w:rPr>
          <w:rFonts w:cs="Times New Roman"/>
          <w:sz w:val="20"/>
          <w:szCs w:val="20"/>
          <w:lang w:val="fr-CA"/>
        </w:rPr>
      </w:pPr>
      <w:r>
        <w:rPr>
          <w:rFonts w:cs="Times New Roman"/>
          <w:sz w:val="20"/>
          <w:szCs w:val="20"/>
          <w:lang w:val="fr-CA"/>
        </w:rPr>
        <w:pict>
          <v:rect id="_x0000_i1116" style="width:144.3pt;height:1pt" o:hrpct="300" o:hralign="center" o:hrstd="t" o:hrnoshade="t" o:hr="t" fillcolor="black [3213]" stroked="f"/>
        </w:pict>
      </w: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144"/>
          <w:headerReference w:type="default" r:id="rId145"/>
          <w:footerReference w:type="even" r:id="rId146"/>
          <w:footerReference w:type="default" r:id="rId147"/>
          <w:headerReference w:type="first" r:id="rId148"/>
          <w:footerReference w:type="first" r:id="rId149"/>
          <w:pgSz w:w="12240" w:h="15840"/>
          <w:pgMar w:top="720" w:right="965" w:bottom="1080" w:left="1656" w:header="576" w:footer="960" w:gutter="0"/>
          <w:cols w:space="720"/>
          <w:titlePg/>
          <w:docGrid w:linePitch="272"/>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22323B" w:rsidRPr="00C50A5C" w:rsidTr="0085476B">
        <w:tc>
          <w:tcPr>
            <w:tcW w:w="4320" w:type="dxa"/>
            <w:shd w:val="clear" w:color="auto" w:fill="auto"/>
            <w:tcMar>
              <w:left w:w="0" w:type="dxa"/>
              <w:right w:w="0" w:type="dxa"/>
            </w:tcMar>
          </w:tcPr>
          <w:p w:rsidR="0022323B" w:rsidRPr="00C50A5C" w:rsidRDefault="0022323B" w:rsidP="008A30F9">
            <w:pPr>
              <w:keepNext/>
              <w:keepLines/>
              <w:rPr>
                <w:b/>
                <w:szCs w:val="24"/>
              </w:rPr>
            </w:pPr>
            <w:r w:rsidRPr="00C50A5C">
              <w:rPr>
                <w:b/>
                <w:szCs w:val="24"/>
              </w:rPr>
              <w:lastRenderedPageBreak/>
              <w:t xml:space="preserve">AGENDA FOR </w:t>
            </w:r>
            <w:r w:rsidR="008A30F9">
              <w:rPr>
                <w:b/>
                <w:szCs w:val="24"/>
              </w:rPr>
              <w:t>FEB</w:t>
            </w:r>
            <w:r w:rsidR="005F1ED8">
              <w:rPr>
                <w:b/>
                <w:szCs w:val="24"/>
              </w:rPr>
              <w:t>R</w:t>
            </w:r>
            <w:r w:rsidR="008A30F9">
              <w:rPr>
                <w:b/>
                <w:szCs w:val="24"/>
              </w:rPr>
              <w:t>UARY</w:t>
            </w:r>
            <w:r w:rsidR="005F1ED8">
              <w:rPr>
                <w:b/>
                <w:szCs w:val="24"/>
              </w:rPr>
              <w:t xml:space="preserve"> 201</w:t>
            </w:r>
            <w:r w:rsidR="008A30F9">
              <w:rPr>
                <w:b/>
                <w:szCs w:val="24"/>
              </w:rPr>
              <w:t>5</w:t>
            </w:r>
          </w:p>
        </w:tc>
        <w:tc>
          <w:tcPr>
            <w:tcW w:w="840" w:type="dxa"/>
            <w:shd w:val="clear" w:color="auto" w:fill="auto"/>
            <w:tcMar>
              <w:left w:w="0" w:type="dxa"/>
              <w:right w:w="0" w:type="dxa"/>
            </w:tcMar>
          </w:tcPr>
          <w:p w:rsidR="0022323B" w:rsidRPr="00C50A5C" w:rsidRDefault="0022323B" w:rsidP="0022323B">
            <w:pPr>
              <w:keepNext/>
              <w:keepLines/>
              <w:jc w:val="center"/>
              <w:rPr>
                <w:b/>
                <w:szCs w:val="24"/>
              </w:rPr>
            </w:pPr>
          </w:p>
          <w:p w:rsidR="0022323B" w:rsidRPr="00C50A5C" w:rsidRDefault="0022323B" w:rsidP="0022323B">
            <w:pPr>
              <w:keepNext/>
              <w:keepLines/>
              <w:jc w:val="center"/>
              <w:rPr>
                <w:b/>
                <w:szCs w:val="24"/>
              </w:rPr>
            </w:pPr>
          </w:p>
        </w:tc>
        <w:tc>
          <w:tcPr>
            <w:tcW w:w="4320" w:type="dxa"/>
            <w:shd w:val="clear" w:color="auto" w:fill="auto"/>
            <w:tcMar>
              <w:left w:w="0" w:type="dxa"/>
              <w:right w:w="0" w:type="dxa"/>
            </w:tcMar>
          </w:tcPr>
          <w:p w:rsidR="0022323B" w:rsidRPr="00C50A5C" w:rsidRDefault="0022323B" w:rsidP="008A30F9">
            <w:pPr>
              <w:keepNext/>
              <w:keepLines/>
              <w:rPr>
                <w:b/>
                <w:szCs w:val="24"/>
                <w:lang w:val="fr-CA"/>
              </w:rPr>
            </w:pPr>
            <w:r w:rsidRPr="00C50A5C">
              <w:rPr>
                <w:b/>
                <w:szCs w:val="24"/>
                <w:lang w:val="fr-CA"/>
              </w:rPr>
              <w:t>CALENDRIER D</w:t>
            </w:r>
            <w:r w:rsidR="008A30F9">
              <w:rPr>
                <w:b/>
                <w:szCs w:val="24"/>
                <w:lang w:val="fr-CA"/>
              </w:rPr>
              <w:t>E FÉ</w:t>
            </w:r>
            <w:r w:rsidR="005F1ED8">
              <w:rPr>
                <w:b/>
                <w:szCs w:val="24"/>
                <w:lang w:val="fr-CA"/>
              </w:rPr>
              <w:t>V</w:t>
            </w:r>
            <w:r w:rsidRPr="00C50A5C">
              <w:rPr>
                <w:b/>
                <w:szCs w:val="24"/>
                <w:lang w:val="fr-CA"/>
              </w:rPr>
              <w:t>R</w:t>
            </w:r>
            <w:r w:rsidR="005F1ED8">
              <w:rPr>
                <w:b/>
                <w:szCs w:val="24"/>
                <w:lang w:val="fr-CA"/>
              </w:rPr>
              <w:t>I</w:t>
            </w:r>
            <w:r w:rsidR="008A30F9">
              <w:rPr>
                <w:b/>
                <w:szCs w:val="24"/>
                <w:lang w:val="fr-CA"/>
              </w:rPr>
              <w:t>ER</w:t>
            </w:r>
            <w:r w:rsidRPr="00C50A5C">
              <w:rPr>
                <w:b/>
                <w:szCs w:val="24"/>
                <w:lang w:val="fr-CA"/>
              </w:rPr>
              <w:t xml:space="preserve"> </w:t>
            </w:r>
            <w:r w:rsidR="005F1ED8">
              <w:rPr>
                <w:b/>
                <w:szCs w:val="24"/>
                <w:lang w:val="fr-CA"/>
              </w:rPr>
              <w:t>201</w:t>
            </w:r>
            <w:r w:rsidR="008A30F9">
              <w:rPr>
                <w:b/>
                <w:szCs w:val="24"/>
                <w:lang w:val="fr-CA"/>
              </w:rPr>
              <w:t>5</w:t>
            </w:r>
          </w:p>
        </w:tc>
      </w:tr>
    </w:tbl>
    <w:p w:rsidR="004B66B4" w:rsidRPr="00DD0B49" w:rsidRDefault="004B66B4" w:rsidP="004B66B4">
      <w:pPr>
        <w:rPr>
          <w:b/>
          <w:sz w:val="20"/>
          <w:szCs w:val="20"/>
        </w:rPr>
      </w:pPr>
    </w:p>
    <w:p w:rsidR="005F1ED8" w:rsidRPr="00DD0B49" w:rsidRDefault="005F1ED8" w:rsidP="005F1ED8">
      <w:pPr>
        <w:rPr>
          <w:b/>
          <w:sz w:val="20"/>
          <w:szCs w:val="20"/>
        </w:rPr>
      </w:pPr>
      <w:r w:rsidRPr="00DD0B49">
        <w:rPr>
          <w:b/>
          <w:sz w:val="20"/>
          <w:szCs w:val="20"/>
        </w:rPr>
        <w:t xml:space="preserve">AGENDA for the weeks of </w:t>
      </w:r>
      <w:r w:rsidR="008A30F9">
        <w:rPr>
          <w:b/>
          <w:sz w:val="20"/>
          <w:szCs w:val="20"/>
        </w:rPr>
        <w:t>Feb</w:t>
      </w:r>
      <w:r>
        <w:rPr>
          <w:b/>
          <w:sz w:val="20"/>
          <w:szCs w:val="20"/>
        </w:rPr>
        <w:t>r</w:t>
      </w:r>
      <w:r w:rsidR="008A30F9">
        <w:rPr>
          <w:b/>
          <w:sz w:val="20"/>
          <w:szCs w:val="20"/>
        </w:rPr>
        <w:t>uary</w:t>
      </w:r>
      <w:r>
        <w:rPr>
          <w:b/>
          <w:sz w:val="20"/>
          <w:szCs w:val="20"/>
        </w:rPr>
        <w:t xml:space="preserve"> </w:t>
      </w:r>
      <w:r w:rsidR="008A30F9">
        <w:rPr>
          <w:b/>
          <w:sz w:val="20"/>
          <w:szCs w:val="20"/>
        </w:rPr>
        <w:t>9</w:t>
      </w:r>
      <w:r w:rsidRPr="00DD0B49">
        <w:rPr>
          <w:b/>
          <w:sz w:val="20"/>
          <w:szCs w:val="20"/>
        </w:rPr>
        <w:t xml:space="preserve"> and </w:t>
      </w:r>
      <w:r w:rsidR="008A30F9">
        <w:rPr>
          <w:b/>
          <w:sz w:val="20"/>
          <w:szCs w:val="20"/>
        </w:rPr>
        <w:t>16</w:t>
      </w:r>
      <w:r w:rsidRPr="00DD0B49">
        <w:rPr>
          <w:b/>
          <w:sz w:val="20"/>
          <w:szCs w:val="20"/>
        </w:rPr>
        <w:t>, 201</w:t>
      </w:r>
      <w:r w:rsidR="008A30F9">
        <w:rPr>
          <w:b/>
          <w:sz w:val="20"/>
          <w:szCs w:val="20"/>
        </w:rPr>
        <w:t>5</w:t>
      </w:r>
      <w:r w:rsidRPr="00DD0B49">
        <w:rPr>
          <w:b/>
          <w:sz w:val="20"/>
          <w:szCs w:val="20"/>
        </w:rPr>
        <w:t>.</w:t>
      </w:r>
    </w:p>
    <w:p w:rsidR="005F1ED8" w:rsidRPr="00DD0B49" w:rsidRDefault="005F1ED8" w:rsidP="005F1ED8">
      <w:pPr>
        <w:rPr>
          <w:sz w:val="20"/>
          <w:szCs w:val="20"/>
          <w:lang w:val="fr-CA"/>
        </w:rPr>
      </w:pPr>
      <w:r w:rsidRPr="00DD0B49">
        <w:rPr>
          <w:b/>
          <w:sz w:val="20"/>
          <w:szCs w:val="20"/>
          <w:lang w:val="fr-CA"/>
        </w:rPr>
        <w:t xml:space="preserve">CALENDRIER de la semaine du </w:t>
      </w:r>
      <w:r w:rsidR="008A30F9">
        <w:rPr>
          <w:b/>
          <w:sz w:val="20"/>
          <w:szCs w:val="20"/>
          <w:lang w:val="fr-CA"/>
        </w:rPr>
        <w:t>9 fé</w:t>
      </w:r>
      <w:r>
        <w:rPr>
          <w:b/>
          <w:sz w:val="20"/>
          <w:szCs w:val="20"/>
          <w:lang w:val="fr-CA"/>
        </w:rPr>
        <w:t>vri</w:t>
      </w:r>
      <w:r w:rsidR="008A30F9">
        <w:rPr>
          <w:b/>
          <w:sz w:val="20"/>
          <w:szCs w:val="20"/>
          <w:lang w:val="fr-CA"/>
        </w:rPr>
        <w:t>er</w:t>
      </w:r>
      <w:r>
        <w:rPr>
          <w:b/>
          <w:sz w:val="20"/>
          <w:szCs w:val="20"/>
          <w:lang w:val="fr-CA"/>
        </w:rPr>
        <w:t xml:space="preserve"> </w:t>
      </w:r>
      <w:r w:rsidRPr="00DD0B49">
        <w:rPr>
          <w:b/>
          <w:sz w:val="20"/>
          <w:szCs w:val="20"/>
          <w:lang w:val="fr-CA"/>
        </w:rPr>
        <w:t xml:space="preserve">et celle du </w:t>
      </w:r>
      <w:r>
        <w:rPr>
          <w:b/>
          <w:sz w:val="20"/>
          <w:szCs w:val="20"/>
          <w:lang w:val="fr-CA"/>
        </w:rPr>
        <w:t>1</w:t>
      </w:r>
      <w:r w:rsidR="008A30F9">
        <w:rPr>
          <w:b/>
          <w:sz w:val="20"/>
          <w:szCs w:val="20"/>
          <w:lang w:val="fr-CA"/>
        </w:rPr>
        <w:t>6</w:t>
      </w:r>
      <w:r w:rsidRPr="00DD0B49">
        <w:rPr>
          <w:b/>
          <w:sz w:val="20"/>
          <w:szCs w:val="20"/>
          <w:lang w:val="fr-CA"/>
        </w:rPr>
        <w:t xml:space="preserve"> </w:t>
      </w:r>
      <w:r w:rsidR="008A30F9">
        <w:rPr>
          <w:b/>
          <w:sz w:val="20"/>
          <w:szCs w:val="20"/>
          <w:lang w:val="fr-CA"/>
        </w:rPr>
        <w:t>fé</w:t>
      </w:r>
      <w:r w:rsidRPr="00DD0B49">
        <w:rPr>
          <w:b/>
          <w:sz w:val="20"/>
          <w:szCs w:val="20"/>
          <w:lang w:val="fr-CA"/>
        </w:rPr>
        <w:t>vr</w:t>
      </w:r>
      <w:r>
        <w:rPr>
          <w:b/>
          <w:sz w:val="20"/>
          <w:szCs w:val="20"/>
          <w:lang w:val="fr-CA"/>
        </w:rPr>
        <w:t>i</w:t>
      </w:r>
      <w:r w:rsidR="008A30F9">
        <w:rPr>
          <w:b/>
          <w:sz w:val="20"/>
          <w:szCs w:val="20"/>
          <w:lang w:val="fr-CA"/>
        </w:rPr>
        <w:t>er</w:t>
      </w:r>
      <w:r w:rsidRPr="00DD0B49">
        <w:rPr>
          <w:b/>
          <w:sz w:val="20"/>
          <w:szCs w:val="20"/>
          <w:lang w:val="fr-CA"/>
        </w:rPr>
        <w:t xml:space="preserve"> 201</w:t>
      </w:r>
      <w:r w:rsidR="008A30F9">
        <w:rPr>
          <w:b/>
          <w:sz w:val="20"/>
          <w:szCs w:val="20"/>
          <w:lang w:val="fr-CA"/>
        </w:rPr>
        <w:t>5</w:t>
      </w:r>
      <w:r w:rsidRPr="00DD0B49">
        <w:rPr>
          <w:b/>
          <w:sz w:val="20"/>
          <w:szCs w:val="20"/>
          <w:lang w:val="fr-CA"/>
        </w:rPr>
        <w:t>.</w:t>
      </w:r>
    </w:p>
    <w:p w:rsidR="005F1ED8" w:rsidRPr="00DD0B49" w:rsidRDefault="005F1ED8" w:rsidP="005F1ED8">
      <w:pPr>
        <w:rPr>
          <w:sz w:val="20"/>
          <w:szCs w:val="20"/>
          <w:lang w:val="fr-CA"/>
        </w:rPr>
      </w:pPr>
    </w:p>
    <w:p w:rsidR="005F1ED8" w:rsidRPr="00DD0B49" w:rsidRDefault="005F1ED8" w:rsidP="005F1ED8">
      <w:pPr>
        <w:rPr>
          <w:sz w:val="20"/>
          <w:szCs w:val="20"/>
        </w:rPr>
      </w:pPr>
      <w:r w:rsidRPr="00DD0B49">
        <w:rPr>
          <w:sz w:val="20"/>
          <w:szCs w:val="20"/>
        </w:rPr>
        <w:t xml:space="preserve">The Court will not be sitting during the weeks of </w:t>
      </w:r>
      <w:r w:rsidR="008A30F9">
        <w:rPr>
          <w:sz w:val="20"/>
          <w:szCs w:val="20"/>
        </w:rPr>
        <w:t>Feb</w:t>
      </w:r>
      <w:r>
        <w:rPr>
          <w:sz w:val="20"/>
          <w:szCs w:val="20"/>
        </w:rPr>
        <w:t>r</w:t>
      </w:r>
      <w:r w:rsidR="008A30F9">
        <w:rPr>
          <w:sz w:val="20"/>
          <w:szCs w:val="20"/>
        </w:rPr>
        <w:t>uary</w:t>
      </w:r>
      <w:r>
        <w:rPr>
          <w:sz w:val="20"/>
          <w:szCs w:val="20"/>
        </w:rPr>
        <w:t xml:space="preserve"> </w:t>
      </w:r>
      <w:r w:rsidR="008A30F9">
        <w:rPr>
          <w:sz w:val="20"/>
          <w:szCs w:val="20"/>
        </w:rPr>
        <w:t>2</w:t>
      </w:r>
      <w:r w:rsidRPr="00DD0B49">
        <w:rPr>
          <w:sz w:val="20"/>
          <w:szCs w:val="20"/>
        </w:rPr>
        <w:t xml:space="preserve"> and 2</w:t>
      </w:r>
      <w:r w:rsidR="008A30F9">
        <w:rPr>
          <w:sz w:val="20"/>
          <w:szCs w:val="20"/>
        </w:rPr>
        <w:t>3</w:t>
      </w:r>
      <w:r w:rsidRPr="00DD0B49">
        <w:rPr>
          <w:sz w:val="20"/>
          <w:szCs w:val="20"/>
        </w:rPr>
        <w:t>, 201</w:t>
      </w:r>
      <w:r w:rsidR="008A30F9">
        <w:rPr>
          <w:sz w:val="20"/>
          <w:szCs w:val="20"/>
        </w:rPr>
        <w:t>5</w:t>
      </w:r>
      <w:r w:rsidRPr="00DD0B49">
        <w:rPr>
          <w:sz w:val="20"/>
          <w:szCs w:val="20"/>
        </w:rPr>
        <w:t>.</w:t>
      </w:r>
    </w:p>
    <w:p w:rsidR="005F1ED8" w:rsidRPr="00DD0B49" w:rsidRDefault="005F1ED8" w:rsidP="005F1ED8">
      <w:pPr>
        <w:rPr>
          <w:sz w:val="20"/>
          <w:szCs w:val="20"/>
          <w:lang w:val="fr-CA"/>
        </w:rPr>
      </w:pPr>
      <w:r w:rsidRPr="00DD0B49">
        <w:rPr>
          <w:sz w:val="20"/>
          <w:szCs w:val="20"/>
          <w:lang w:val="fr-CA"/>
        </w:rPr>
        <w:t xml:space="preserve">La Cour ne siègera pas pendant les semaines du </w:t>
      </w:r>
      <w:r w:rsidR="008A30F9">
        <w:rPr>
          <w:sz w:val="20"/>
          <w:szCs w:val="20"/>
          <w:lang w:val="fr-CA"/>
        </w:rPr>
        <w:t>2</w:t>
      </w:r>
      <w:r w:rsidRPr="00DD0B49">
        <w:rPr>
          <w:sz w:val="20"/>
          <w:szCs w:val="20"/>
          <w:lang w:val="fr-CA"/>
        </w:rPr>
        <w:t xml:space="preserve"> et du 2</w:t>
      </w:r>
      <w:r w:rsidR="008A30F9">
        <w:rPr>
          <w:sz w:val="20"/>
          <w:szCs w:val="20"/>
          <w:lang w:val="fr-CA"/>
        </w:rPr>
        <w:t>3</w:t>
      </w:r>
      <w:r w:rsidRPr="00DD0B49">
        <w:rPr>
          <w:sz w:val="20"/>
          <w:szCs w:val="20"/>
          <w:lang w:val="fr-CA"/>
        </w:rPr>
        <w:t xml:space="preserve"> </w:t>
      </w:r>
      <w:r w:rsidR="008A30F9">
        <w:rPr>
          <w:sz w:val="20"/>
          <w:szCs w:val="20"/>
          <w:lang w:val="fr-CA"/>
        </w:rPr>
        <w:t>fé</w:t>
      </w:r>
      <w:r w:rsidRPr="00DD0B49">
        <w:rPr>
          <w:sz w:val="20"/>
          <w:szCs w:val="20"/>
          <w:lang w:val="fr-CA"/>
        </w:rPr>
        <w:t>v</w:t>
      </w:r>
      <w:r>
        <w:rPr>
          <w:sz w:val="20"/>
          <w:szCs w:val="20"/>
          <w:lang w:val="fr-CA"/>
        </w:rPr>
        <w:t>ri</w:t>
      </w:r>
      <w:r w:rsidR="008A30F9">
        <w:rPr>
          <w:sz w:val="20"/>
          <w:szCs w:val="20"/>
          <w:lang w:val="fr-CA"/>
        </w:rPr>
        <w:t>er</w:t>
      </w:r>
      <w:r w:rsidRPr="00DD0B49">
        <w:rPr>
          <w:sz w:val="20"/>
          <w:szCs w:val="20"/>
          <w:lang w:val="fr-CA"/>
        </w:rPr>
        <w:t xml:space="preserve"> 201</w:t>
      </w:r>
      <w:r w:rsidR="008A30F9">
        <w:rPr>
          <w:sz w:val="20"/>
          <w:szCs w:val="20"/>
          <w:lang w:val="fr-CA"/>
        </w:rPr>
        <w:t>5</w:t>
      </w:r>
      <w:r w:rsidRPr="00DD0B49">
        <w:rPr>
          <w:sz w:val="20"/>
          <w:szCs w:val="20"/>
          <w:lang w:val="fr-CA"/>
        </w:rPr>
        <w:t>.</w:t>
      </w:r>
    </w:p>
    <w:p w:rsidR="004B66B4" w:rsidRPr="00DD0B49" w:rsidRDefault="00E42AAB" w:rsidP="004B66B4">
      <w:pPr>
        <w:rPr>
          <w:sz w:val="20"/>
          <w:szCs w:val="20"/>
        </w:rPr>
      </w:pPr>
      <w:r>
        <w:rPr>
          <w:sz w:val="20"/>
          <w:szCs w:val="20"/>
        </w:rPr>
        <w:pict>
          <v:rect id="_x0000_i1119" style="width:480.95pt;height:1pt" o:hralign="center" o:hrstd="t" o:hrnoshade="t" o:hr="t" fillcolor="black [3213]" stroked="f"/>
        </w:pict>
      </w:r>
    </w:p>
    <w:p w:rsidR="004B66B4" w:rsidRDefault="004B66B4" w:rsidP="004B66B4">
      <w:pPr>
        <w:rPr>
          <w:sz w:val="20"/>
          <w:szCs w:val="20"/>
          <w:lang w:val="fr-CA"/>
        </w:rPr>
      </w:pPr>
    </w:p>
    <w:tbl>
      <w:tblPr>
        <w:tblW w:w="0" w:type="auto"/>
        <w:tblLayout w:type="fixed"/>
        <w:tblCellMar>
          <w:top w:w="58" w:type="dxa"/>
          <w:left w:w="58" w:type="dxa"/>
          <w:bottom w:w="58" w:type="dxa"/>
          <w:right w:w="58" w:type="dxa"/>
        </w:tblCellMar>
        <w:tblLook w:val="04A0" w:firstRow="1" w:lastRow="0" w:firstColumn="1" w:lastColumn="0" w:noHBand="0" w:noVBand="1"/>
      </w:tblPr>
      <w:tblGrid>
        <w:gridCol w:w="2398"/>
        <w:gridCol w:w="7178"/>
      </w:tblGrid>
      <w:tr w:rsidR="005F1ED8" w:rsidRPr="0025502E" w:rsidTr="00D56B38">
        <w:trPr>
          <w:cantSplit/>
        </w:trPr>
        <w:tc>
          <w:tcPr>
            <w:tcW w:w="2398" w:type="dxa"/>
          </w:tcPr>
          <w:p w:rsidR="005F1ED8" w:rsidRPr="003A74F5" w:rsidRDefault="005F1ED8" w:rsidP="005F1ED8">
            <w:pPr>
              <w:rPr>
                <w:rFonts w:eastAsia="Calibri" w:cs="Times New Roman"/>
                <w:sz w:val="20"/>
                <w:szCs w:val="20"/>
              </w:rPr>
            </w:pPr>
            <w:r w:rsidRPr="003A74F5">
              <w:rPr>
                <w:rFonts w:eastAsia="Calibri" w:cs="Times New Roman"/>
                <w:sz w:val="20"/>
                <w:szCs w:val="20"/>
              </w:rPr>
              <w:t>DATE OF HEARING /</w:t>
            </w:r>
          </w:p>
          <w:p w:rsidR="005F1ED8" w:rsidRPr="003A74F5" w:rsidRDefault="005F1ED8" w:rsidP="005F1ED8">
            <w:pPr>
              <w:rPr>
                <w:rFonts w:eastAsia="Calibri" w:cs="Times New Roman"/>
                <w:sz w:val="20"/>
                <w:szCs w:val="20"/>
              </w:rPr>
            </w:pPr>
            <w:r w:rsidRPr="003A74F5">
              <w:rPr>
                <w:rFonts w:eastAsia="Calibri" w:cs="Times New Roman"/>
                <w:sz w:val="20"/>
                <w:szCs w:val="20"/>
              </w:rPr>
              <w:t>DATE D’AUDITION</w:t>
            </w:r>
          </w:p>
        </w:tc>
        <w:tc>
          <w:tcPr>
            <w:tcW w:w="7178" w:type="dxa"/>
          </w:tcPr>
          <w:p w:rsidR="005F1ED8" w:rsidRPr="003A74F5" w:rsidRDefault="005F1ED8" w:rsidP="005F1ED8">
            <w:pPr>
              <w:rPr>
                <w:rFonts w:eastAsia="Calibri" w:cs="Times New Roman"/>
                <w:sz w:val="20"/>
                <w:szCs w:val="20"/>
                <w:lang w:val="fr-CA"/>
              </w:rPr>
            </w:pPr>
            <w:r w:rsidRPr="003A74F5">
              <w:rPr>
                <w:rFonts w:eastAsia="Calibri" w:cs="Times New Roman"/>
                <w:sz w:val="20"/>
                <w:szCs w:val="20"/>
                <w:lang w:val="fr-CA"/>
              </w:rPr>
              <w:t>NAME AND CASE NUMBER /</w:t>
            </w:r>
          </w:p>
          <w:p w:rsidR="005F1ED8" w:rsidRDefault="005F1ED8" w:rsidP="005F1ED8">
            <w:pPr>
              <w:rPr>
                <w:sz w:val="20"/>
                <w:szCs w:val="20"/>
                <w:lang w:val="fr-CA"/>
              </w:rPr>
            </w:pPr>
            <w:r w:rsidRPr="003A74F5">
              <w:rPr>
                <w:rFonts w:eastAsia="Calibri" w:cs="Times New Roman"/>
                <w:sz w:val="20"/>
                <w:szCs w:val="20"/>
                <w:lang w:val="fr-CA"/>
              </w:rPr>
              <w:t>NOM DE LA CAUSE ET NUMÉRO</w:t>
            </w:r>
          </w:p>
          <w:p w:rsidR="005F1ED8" w:rsidRPr="003A74F5" w:rsidRDefault="005F1ED8" w:rsidP="005F1ED8">
            <w:pPr>
              <w:rPr>
                <w:rFonts w:eastAsia="Calibri" w:cs="Times New Roman"/>
                <w:sz w:val="20"/>
                <w:szCs w:val="20"/>
                <w:lang w:val="fr-CA"/>
              </w:rPr>
            </w:pPr>
          </w:p>
        </w:tc>
      </w:tr>
      <w:tr w:rsidR="005F1ED8" w:rsidRPr="003A74F5" w:rsidTr="00D56B38">
        <w:trPr>
          <w:cantSplit/>
        </w:trPr>
        <w:tc>
          <w:tcPr>
            <w:tcW w:w="2398" w:type="dxa"/>
          </w:tcPr>
          <w:p w:rsidR="00D56B38" w:rsidRDefault="005F1ED8" w:rsidP="00561B10">
            <w:pPr>
              <w:rPr>
                <w:rFonts w:eastAsia="Calibri" w:cs="Times New Roman"/>
                <w:sz w:val="20"/>
                <w:szCs w:val="20"/>
              </w:rPr>
            </w:pPr>
            <w:r>
              <w:rPr>
                <w:rFonts w:eastAsia="Calibri" w:cs="Times New Roman"/>
                <w:sz w:val="20"/>
                <w:szCs w:val="20"/>
              </w:rPr>
              <w:t>201</w:t>
            </w:r>
            <w:r w:rsidR="00561B10">
              <w:rPr>
                <w:rFonts w:eastAsia="Calibri" w:cs="Times New Roman"/>
                <w:sz w:val="20"/>
                <w:szCs w:val="20"/>
              </w:rPr>
              <w:t>5</w:t>
            </w:r>
            <w:r w:rsidRPr="003A74F5">
              <w:rPr>
                <w:rFonts w:eastAsia="Calibri" w:cs="Times New Roman"/>
                <w:sz w:val="20"/>
                <w:szCs w:val="20"/>
              </w:rPr>
              <w:t>-</w:t>
            </w:r>
            <w:r>
              <w:rPr>
                <w:rFonts w:eastAsia="Calibri" w:cs="Times New Roman"/>
                <w:sz w:val="20"/>
                <w:szCs w:val="20"/>
              </w:rPr>
              <w:t>0</w:t>
            </w:r>
            <w:r w:rsidR="00561B10">
              <w:rPr>
                <w:rFonts w:eastAsia="Calibri" w:cs="Times New Roman"/>
                <w:sz w:val="20"/>
                <w:szCs w:val="20"/>
              </w:rPr>
              <w:t>2</w:t>
            </w:r>
            <w:r w:rsidRPr="003A74F5">
              <w:rPr>
                <w:rFonts w:eastAsia="Calibri" w:cs="Times New Roman"/>
                <w:sz w:val="20"/>
                <w:szCs w:val="20"/>
              </w:rPr>
              <w:t>-</w:t>
            </w:r>
            <w:r w:rsidR="00561B10">
              <w:rPr>
                <w:rFonts w:eastAsia="Calibri" w:cs="Times New Roman"/>
                <w:sz w:val="20"/>
                <w:szCs w:val="20"/>
              </w:rPr>
              <w:t>09</w:t>
            </w:r>
            <w:r w:rsidR="00D56B38">
              <w:rPr>
                <w:rFonts w:eastAsia="Calibri" w:cs="Times New Roman"/>
                <w:sz w:val="20"/>
                <w:szCs w:val="20"/>
              </w:rPr>
              <w:t xml:space="preserve"> </w:t>
            </w:r>
          </w:p>
          <w:p w:rsidR="003D3CEA" w:rsidRDefault="00D56B38" w:rsidP="00561B10">
            <w:pPr>
              <w:rPr>
                <w:rFonts w:eastAsia="Calibri" w:cs="Times New Roman"/>
                <w:sz w:val="20"/>
                <w:szCs w:val="20"/>
              </w:rPr>
            </w:pPr>
            <w:r>
              <w:rPr>
                <w:rFonts w:eastAsia="Calibri" w:cs="Times New Roman"/>
                <w:sz w:val="20"/>
                <w:szCs w:val="20"/>
              </w:rPr>
              <w:t>and/et</w:t>
            </w:r>
            <w:r w:rsidR="003D3CEA">
              <w:rPr>
                <w:rFonts w:eastAsia="Calibri" w:cs="Times New Roman"/>
                <w:sz w:val="20"/>
                <w:szCs w:val="20"/>
              </w:rPr>
              <w:t xml:space="preserve"> </w:t>
            </w:r>
          </w:p>
          <w:p w:rsidR="00D56B38" w:rsidRDefault="003D3CEA" w:rsidP="00561B10">
            <w:pPr>
              <w:rPr>
                <w:rFonts w:eastAsia="Calibri" w:cs="Times New Roman"/>
                <w:sz w:val="20"/>
                <w:szCs w:val="20"/>
              </w:rPr>
            </w:pPr>
            <w:r>
              <w:rPr>
                <w:rFonts w:eastAsia="Calibri" w:cs="Times New Roman"/>
                <w:sz w:val="20"/>
                <w:szCs w:val="20"/>
              </w:rPr>
              <w:t>2</w:t>
            </w:r>
            <w:r w:rsidR="00D56B38">
              <w:rPr>
                <w:rFonts w:eastAsia="Calibri" w:cs="Times New Roman"/>
                <w:sz w:val="20"/>
                <w:szCs w:val="20"/>
              </w:rPr>
              <w:t>015-02-10</w:t>
            </w:r>
          </w:p>
          <w:p w:rsidR="00D56B38" w:rsidRDefault="003D3CEA" w:rsidP="00561B10">
            <w:pPr>
              <w:rPr>
                <w:rFonts w:eastAsia="Calibri" w:cs="Times New Roman"/>
                <w:sz w:val="20"/>
                <w:szCs w:val="20"/>
              </w:rPr>
            </w:pPr>
            <w:r>
              <w:rPr>
                <w:rFonts w:eastAsia="Calibri" w:cs="Times New Roman"/>
                <w:sz w:val="20"/>
                <w:szCs w:val="20"/>
              </w:rPr>
              <w:t>(</w:t>
            </w:r>
            <w:r w:rsidR="00D56B38">
              <w:rPr>
                <w:rFonts w:eastAsia="Calibri" w:cs="Times New Roman"/>
                <w:sz w:val="20"/>
                <w:szCs w:val="20"/>
              </w:rPr>
              <w:t>if necessary/si nécessaire)</w:t>
            </w:r>
          </w:p>
          <w:p w:rsidR="00D56B38" w:rsidRPr="003A74F5" w:rsidRDefault="00D56B38" w:rsidP="00561B10">
            <w:pPr>
              <w:rPr>
                <w:rFonts w:eastAsia="Calibri" w:cs="Times New Roman"/>
                <w:sz w:val="20"/>
                <w:szCs w:val="20"/>
              </w:rPr>
            </w:pPr>
          </w:p>
        </w:tc>
        <w:tc>
          <w:tcPr>
            <w:tcW w:w="7178" w:type="dxa"/>
          </w:tcPr>
          <w:p w:rsidR="005F1ED8" w:rsidRDefault="004E7877" w:rsidP="004E7877">
            <w:pPr>
              <w:jc w:val="both"/>
              <w:rPr>
                <w:rFonts w:eastAsia="Calibri" w:cs="Times New Roman"/>
                <w:sz w:val="20"/>
                <w:szCs w:val="20"/>
              </w:rPr>
            </w:pPr>
            <w:r>
              <w:rPr>
                <w:rFonts w:eastAsia="Calibri" w:cs="Times New Roman"/>
                <w:i/>
                <w:sz w:val="20"/>
                <w:szCs w:val="20"/>
              </w:rPr>
              <w:t>Canadian Imper</w:t>
            </w:r>
            <w:r w:rsidR="005F1ED8">
              <w:rPr>
                <w:rFonts w:eastAsia="Calibri" w:cs="Times New Roman"/>
                <w:i/>
                <w:sz w:val="20"/>
                <w:szCs w:val="20"/>
              </w:rPr>
              <w:t>ial</w:t>
            </w:r>
            <w:r>
              <w:rPr>
                <w:rFonts w:eastAsia="Calibri" w:cs="Times New Roman"/>
                <w:i/>
                <w:sz w:val="20"/>
                <w:szCs w:val="20"/>
              </w:rPr>
              <w:t xml:space="preserve"> B</w:t>
            </w:r>
            <w:r w:rsidR="005F1ED8">
              <w:rPr>
                <w:rFonts w:eastAsia="Calibri" w:cs="Times New Roman"/>
                <w:i/>
                <w:sz w:val="20"/>
                <w:szCs w:val="20"/>
              </w:rPr>
              <w:t>an</w:t>
            </w:r>
            <w:r>
              <w:rPr>
                <w:rFonts w:eastAsia="Calibri" w:cs="Times New Roman"/>
                <w:i/>
                <w:sz w:val="20"/>
                <w:szCs w:val="20"/>
              </w:rPr>
              <w:t>k</w:t>
            </w:r>
            <w:r w:rsidR="005F1ED8">
              <w:rPr>
                <w:rFonts w:eastAsia="Calibri" w:cs="Times New Roman"/>
                <w:i/>
                <w:sz w:val="20"/>
                <w:szCs w:val="20"/>
              </w:rPr>
              <w:t xml:space="preserve"> of Com</w:t>
            </w:r>
            <w:r>
              <w:rPr>
                <w:rFonts w:eastAsia="Calibri" w:cs="Times New Roman"/>
                <w:i/>
                <w:sz w:val="20"/>
                <w:szCs w:val="20"/>
              </w:rPr>
              <w:t xml:space="preserve">merce </w:t>
            </w:r>
            <w:r w:rsidR="005F1ED8">
              <w:rPr>
                <w:rFonts w:eastAsia="Calibri" w:cs="Times New Roman"/>
                <w:i/>
                <w:sz w:val="20"/>
                <w:szCs w:val="20"/>
              </w:rPr>
              <w:t xml:space="preserve">et al. </w:t>
            </w:r>
            <w:r w:rsidR="005F1ED8" w:rsidRPr="003A74F5">
              <w:rPr>
                <w:rFonts w:eastAsia="Calibri" w:cs="Times New Roman"/>
                <w:i/>
                <w:sz w:val="20"/>
                <w:szCs w:val="20"/>
              </w:rPr>
              <w:t xml:space="preserve">v. </w:t>
            </w:r>
            <w:r>
              <w:rPr>
                <w:rFonts w:eastAsia="Calibri" w:cs="Times New Roman"/>
                <w:i/>
                <w:sz w:val="20"/>
                <w:szCs w:val="20"/>
              </w:rPr>
              <w:t>Howa</w:t>
            </w:r>
            <w:r w:rsidR="005F1ED8">
              <w:rPr>
                <w:rFonts w:eastAsia="Calibri" w:cs="Times New Roman"/>
                <w:i/>
                <w:sz w:val="20"/>
                <w:szCs w:val="20"/>
              </w:rPr>
              <w:t>r</w:t>
            </w:r>
            <w:r>
              <w:rPr>
                <w:rFonts w:eastAsia="Calibri" w:cs="Times New Roman"/>
                <w:i/>
                <w:sz w:val="20"/>
                <w:szCs w:val="20"/>
              </w:rPr>
              <w:t>d Gr</w:t>
            </w:r>
            <w:r w:rsidR="005F1ED8" w:rsidRPr="003A74F5">
              <w:rPr>
                <w:rFonts w:eastAsia="Calibri" w:cs="Times New Roman"/>
                <w:i/>
                <w:sz w:val="20"/>
                <w:szCs w:val="20"/>
              </w:rPr>
              <w:t>e</w:t>
            </w:r>
            <w:r w:rsidR="005F1ED8">
              <w:rPr>
                <w:rFonts w:eastAsia="Calibri" w:cs="Times New Roman"/>
                <w:i/>
                <w:sz w:val="20"/>
                <w:szCs w:val="20"/>
              </w:rPr>
              <w:t>en</w:t>
            </w:r>
            <w:r>
              <w:rPr>
                <w:rFonts w:eastAsia="Calibri" w:cs="Times New Roman"/>
                <w:i/>
                <w:sz w:val="20"/>
                <w:szCs w:val="20"/>
              </w:rPr>
              <w:t xml:space="preserve"> et </w:t>
            </w:r>
            <w:r w:rsidR="005F1ED8">
              <w:rPr>
                <w:rFonts w:eastAsia="Calibri" w:cs="Times New Roman"/>
                <w:i/>
                <w:sz w:val="20"/>
                <w:szCs w:val="20"/>
              </w:rPr>
              <w:t>al</w:t>
            </w:r>
            <w:r>
              <w:rPr>
                <w:rFonts w:eastAsia="Calibri" w:cs="Times New Roman"/>
                <w:i/>
                <w:sz w:val="20"/>
                <w:szCs w:val="20"/>
              </w:rPr>
              <w:t>.</w:t>
            </w:r>
            <w:r w:rsidR="005F1ED8">
              <w:rPr>
                <w:rFonts w:eastAsia="Calibri" w:cs="Times New Roman"/>
                <w:i/>
                <w:sz w:val="20"/>
                <w:szCs w:val="20"/>
              </w:rPr>
              <w:t xml:space="preserve"> </w:t>
            </w:r>
            <w:r w:rsidR="005F1ED8" w:rsidRPr="003A74F5">
              <w:rPr>
                <w:rFonts w:eastAsia="Calibri" w:cs="Times New Roman"/>
                <w:sz w:val="20"/>
                <w:szCs w:val="20"/>
              </w:rPr>
              <w:t>(</w:t>
            </w:r>
            <w:r>
              <w:rPr>
                <w:rFonts w:eastAsia="Calibri" w:cs="Times New Roman"/>
                <w:sz w:val="20"/>
                <w:szCs w:val="20"/>
              </w:rPr>
              <w:t>Ont</w:t>
            </w:r>
            <w:r w:rsidR="005F1ED8" w:rsidRPr="003A74F5">
              <w:rPr>
                <w:rFonts w:eastAsia="Calibri" w:cs="Times New Roman"/>
                <w:sz w:val="20"/>
                <w:szCs w:val="20"/>
              </w:rPr>
              <w:t>.) (Ci</w:t>
            </w:r>
            <w:r w:rsidR="005F1ED8">
              <w:rPr>
                <w:rFonts w:eastAsia="Calibri" w:cs="Times New Roman"/>
                <w:sz w:val="20"/>
                <w:szCs w:val="20"/>
              </w:rPr>
              <w:t>v</w:t>
            </w:r>
            <w:r w:rsidR="005F1ED8" w:rsidRPr="003A74F5">
              <w:rPr>
                <w:rFonts w:eastAsia="Calibri" w:cs="Times New Roman"/>
                <w:sz w:val="20"/>
                <w:szCs w:val="20"/>
              </w:rPr>
              <w:t>il) (By</w:t>
            </w:r>
            <w:r>
              <w:rPr>
                <w:rFonts w:eastAsia="Calibri" w:cs="Times New Roman"/>
                <w:sz w:val="20"/>
                <w:szCs w:val="20"/>
              </w:rPr>
              <w:t> </w:t>
            </w:r>
            <w:r w:rsidR="005F1ED8" w:rsidRPr="003A74F5">
              <w:rPr>
                <w:rFonts w:eastAsia="Calibri" w:cs="Times New Roman"/>
                <w:sz w:val="20"/>
                <w:szCs w:val="20"/>
              </w:rPr>
              <w:t>Leave) (3</w:t>
            </w:r>
            <w:r w:rsidR="005F1ED8">
              <w:rPr>
                <w:rFonts w:eastAsia="Calibri" w:cs="Times New Roman"/>
                <w:sz w:val="20"/>
                <w:szCs w:val="20"/>
              </w:rPr>
              <w:t>5</w:t>
            </w:r>
            <w:r>
              <w:rPr>
                <w:rFonts w:eastAsia="Calibri" w:cs="Times New Roman"/>
                <w:sz w:val="20"/>
                <w:szCs w:val="20"/>
              </w:rPr>
              <w:t>807</w:t>
            </w:r>
            <w:r w:rsidR="005F1ED8" w:rsidRPr="003A74F5">
              <w:rPr>
                <w:rFonts w:eastAsia="Calibri" w:cs="Times New Roman"/>
                <w:sz w:val="20"/>
                <w:szCs w:val="20"/>
              </w:rPr>
              <w:t>)</w:t>
            </w:r>
          </w:p>
          <w:p w:rsidR="001630B7" w:rsidRDefault="001630B7" w:rsidP="001630B7">
            <w:pPr>
              <w:jc w:val="both"/>
              <w:rPr>
                <w:rFonts w:eastAsia="Calibri" w:cs="Times New Roman"/>
                <w:sz w:val="20"/>
                <w:szCs w:val="20"/>
              </w:rPr>
            </w:pPr>
            <w:r>
              <w:rPr>
                <w:rFonts w:eastAsia="Calibri" w:cs="Times New Roman"/>
                <w:sz w:val="20"/>
                <w:szCs w:val="20"/>
              </w:rPr>
              <w:t>(Early start time: 9:00 a.m. / Horaire modifié : audience d</w:t>
            </w:r>
            <w:r w:rsidR="000466A3">
              <w:rPr>
                <w:rFonts w:eastAsia="Calibri" w:cs="Times New Roman"/>
                <w:sz w:val="20"/>
                <w:szCs w:val="20"/>
              </w:rPr>
              <w:t>é</w:t>
            </w:r>
            <w:r>
              <w:rPr>
                <w:rFonts w:eastAsia="Calibri" w:cs="Times New Roman"/>
                <w:sz w:val="20"/>
                <w:szCs w:val="20"/>
              </w:rPr>
              <w:t>butant à 9 h)</w:t>
            </w:r>
          </w:p>
          <w:p w:rsidR="00D56B38" w:rsidRDefault="00D56B38" w:rsidP="001630B7">
            <w:pPr>
              <w:jc w:val="both"/>
              <w:rPr>
                <w:rFonts w:eastAsia="Calibri" w:cs="Times New Roman"/>
                <w:sz w:val="20"/>
                <w:szCs w:val="20"/>
              </w:rPr>
            </w:pPr>
          </w:p>
          <w:p w:rsidR="00D56B38" w:rsidRDefault="00D56B38" w:rsidP="001630B7">
            <w:pPr>
              <w:jc w:val="both"/>
              <w:rPr>
                <w:rFonts w:eastAsia="Calibri" w:cs="Times New Roman"/>
                <w:sz w:val="20"/>
                <w:szCs w:val="20"/>
              </w:rPr>
            </w:pPr>
            <w:r>
              <w:rPr>
                <w:rFonts w:eastAsia="Calibri" w:cs="Times New Roman"/>
                <w:sz w:val="20"/>
                <w:szCs w:val="20"/>
              </w:rPr>
              <w:t>- and between -</w:t>
            </w:r>
          </w:p>
          <w:p w:rsidR="00D56B38" w:rsidRDefault="00D56B38" w:rsidP="001630B7">
            <w:pPr>
              <w:jc w:val="both"/>
              <w:rPr>
                <w:rFonts w:eastAsia="Calibri" w:cs="Times New Roman"/>
                <w:sz w:val="20"/>
                <w:szCs w:val="20"/>
              </w:rPr>
            </w:pPr>
          </w:p>
          <w:p w:rsidR="00D56B38" w:rsidRDefault="00D56B38" w:rsidP="001630B7">
            <w:pPr>
              <w:jc w:val="both"/>
              <w:rPr>
                <w:rFonts w:eastAsia="Calibri" w:cs="Times New Roman"/>
                <w:sz w:val="20"/>
                <w:szCs w:val="20"/>
              </w:rPr>
            </w:pPr>
            <w:r w:rsidRPr="004E7877">
              <w:rPr>
                <w:rFonts w:eastAsia="Calibri" w:cs="Times New Roman"/>
                <w:i/>
                <w:sz w:val="20"/>
                <w:szCs w:val="20"/>
                <w:lang w:val="fr-CA"/>
              </w:rPr>
              <w:t>IMAX Corporation et al. v. Marvin Neil Silver et al.</w:t>
            </w:r>
            <w:r w:rsidRPr="004E7877">
              <w:rPr>
                <w:rFonts w:eastAsia="Calibri" w:cs="Times New Roman"/>
                <w:sz w:val="20"/>
                <w:szCs w:val="20"/>
                <w:lang w:val="fr-CA"/>
              </w:rPr>
              <w:t xml:space="preserve"> </w:t>
            </w:r>
            <w:r w:rsidRPr="003A74F5">
              <w:rPr>
                <w:rFonts w:eastAsia="Calibri" w:cs="Times New Roman"/>
                <w:sz w:val="20"/>
                <w:szCs w:val="20"/>
              </w:rPr>
              <w:t>(</w:t>
            </w:r>
            <w:r>
              <w:rPr>
                <w:rFonts w:eastAsia="Calibri" w:cs="Times New Roman"/>
                <w:sz w:val="20"/>
                <w:szCs w:val="20"/>
              </w:rPr>
              <w:t>Ont</w:t>
            </w:r>
            <w:r w:rsidRPr="003A74F5">
              <w:rPr>
                <w:rFonts w:eastAsia="Calibri" w:cs="Times New Roman"/>
                <w:sz w:val="20"/>
                <w:szCs w:val="20"/>
              </w:rPr>
              <w:t>.) (Ci</w:t>
            </w:r>
            <w:r>
              <w:rPr>
                <w:rFonts w:eastAsia="Calibri" w:cs="Times New Roman"/>
                <w:sz w:val="20"/>
                <w:szCs w:val="20"/>
              </w:rPr>
              <w:t>v</w:t>
            </w:r>
            <w:r w:rsidRPr="003A74F5">
              <w:rPr>
                <w:rFonts w:eastAsia="Calibri" w:cs="Times New Roman"/>
                <w:sz w:val="20"/>
                <w:szCs w:val="20"/>
              </w:rPr>
              <w:t>il) (</w:t>
            </w:r>
            <w:r>
              <w:rPr>
                <w:rFonts w:eastAsia="Calibri" w:cs="Times New Roman"/>
                <w:sz w:val="20"/>
                <w:szCs w:val="20"/>
              </w:rPr>
              <w:t>By Leave</w:t>
            </w:r>
            <w:r w:rsidRPr="003A74F5">
              <w:rPr>
                <w:rFonts w:eastAsia="Calibri" w:cs="Times New Roman"/>
                <w:sz w:val="20"/>
                <w:szCs w:val="20"/>
              </w:rPr>
              <w:t>) (3</w:t>
            </w:r>
            <w:r>
              <w:rPr>
                <w:rFonts w:eastAsia="Calibri" w:cs="Times New Roman"/>
                <w:sz w:val="20"/>
                <w:szCs w:val="20"/>
              </w:rPr>
              <w:t>5811</w:t>
            </w:r>
            <w:r w:rsidRPr="003A74F5">
              <w:rPr>
                <w:rFonts w:eastAsia="Calibri" w:cs="Times New Roman"/>
                <w:sz w:val="20"/>
                <w:szCs w:val="20"/>
              </w:rPr>
              <w:t>)</w:t>
            </w:r>
          </w:p>
          <w:p w:rsidR="00D56B38" w:rsidRDefault="00D56B38" w:rsidP="00D56B38">
            <w:pPr>
              <w:jc w:val="both"/>
              <w:rPr>
                <w:rFonts w:eastAsia="Calibri" w:cs="Times New Roman"/>
                <w:sz w:val="20"/>
                <w:szCs w:val="20"/>
              </w:rPr>
            </w:pPr>
            <w:r>
              <w:rPr>
                <w:rFonts w:eastAsia="Calibri" w:cs="Times New Roman"/>
                <w:sz w:val="20"/>
                <w:szCs w:val="20"/>
              </w:rPr>
              <w:t>(Early start time: 9:00 a.m. / Horaire modifié : audience d</w:t>
            </w:r>
            <w:r w:rsidR="000466A3">
              <w:rPr>
                <w:rFonts w:eastAsia="Calibri" w:cs="Times New Roman"/>
                <w:sz w:val="20"/>
                <w:szCs w:val="20"/>
              </w:rPr>
              <w:t>é</w:t>
            </w:r>
            <w:r>
              <w:rPr>
                <w:rFonts w:eastAsia="Calibri" w:cs="Times New Roman"/>
                <w:sz w:val="20"/>
                <w:szCs w:val="20"/>
              </w:rPr>
              <w:t>butant à 9 h)</w:t>
            </w:r>
          </w:p>
          <w:p w:rsidR="00D56B38" w:rsidRDefault="00D56B38" w:rsidP="001630B7">
            <w:pPr>
              <w:jc w:val="both"/>
              <w:rPr>
                <w:rFonts w:eastAsia="Calibri" w:cs="Times New Roman"/>
                <w:sz w:val="20"/>
                <w:szCs w:val="20"/>
              </w:rPr>
            </w:pPr>
          </w:p>
          <w:p w:rsidR="00D56B38" w:rsidRDefault="00D56B38" w:rsidP="00D56B38">
            <w:pPr>
              <w:jc w:val="both"/>
              <w:rPr>
                <w:rFonts w:eastAsia="Calibri" w:cs="Times New Roman"/>
                <w:sz w:val="20"/>
                <w:szCs w:val="20"/>
              </w:rPr>
            </w:pPr>
            <w:r>
              <w:rPr>
                <w:rFonts w:eastAsia="Calibri" w:cs="Times New Roman"/>
                <w:sz w:val="20"/>
                <w:szCs w:val="20"/>
              </w:rPr>
              <w:t>- and between -</w:t>
            </w:r>
          </w:p>
          <w:p w:rsidR="00D56B38" w:rsidRDefault="00D56B38" w:rsidP="001630B7">
            <w:pPr>
              <w:jc w:val="both"/>
              <w:rPr>
                <w:rFonts w:eastAsia="Calibri" w:cs="Times New Roman"/>
                <w:sz w:val="20"/>
                <w:szCs w:val="20"/>
              </w:rPr>
            </w:pPr>
          </w:p>
          <w:p w:rsidR="00D56B38" w:rsidRDefault="00D56B38" w:rsidP="001630B7">
            <w:pPr>
              <w:jc w:val="both"/>
              <w:rPr>
                <w:rFonts w:eastAsia="Calibri" w:cs="Times New Roman"/>
                <w:sz w:val="20"/>
                <w:szCs w:val="20"/>
              </w:rPr>
            </w:pPr>
            <w:r>
              <w:rPr>
                <w:rFonts w:eastAsia="Calibri" w:cs="Times New Roman"/>
                <w:i/>
                <w:sz w:val="20"/>
                <w:szCs w:val="20"/>
              </w:rPr>
              <w:t>Cel</w:t>
            </w:r>
            <w:r w:rsidRPr="003B7455">
              <w:rPr>
                <w:rFonts w:eastAsia="Calibri" w:cs="Times New Roman"/>
                <w:i/>
                <w:sz w:val="20"/>
                <w:szCs w:val="20"/>
              </w:rPr>
              <w:t>es</w:t>
            </w:r>
            <w:r>
              <w:rPr>
                <w:rFonts w:eastAsia="Calibri" w:cs="Times New Roman"/>
                <w:i/>
                <w:sz w:val="20"/>
                <w:szCs w:val="20"/>
              </w:rPr>
              <w:t>tica</w:t>
            </w:r>
            <w:r w:rsidRPr="003B7455">
              <w:rPr>
                <w:rFonts w:eastAsia="Calibri" w:cs="Times New Roman"/>
                <w:i/>
                <w:sz w:val="20"/>
                <w:szCs w:val="20"/>
              </w:rPr>
              <w:t xml:space="preserve"> </w:t>
            </w:r>
            <w:r>
              <w:rPr>
                <w:rFonts w:eastAsia="Calibri" w:cs="Times New Roman"/>
                <w:i/>
                <w:sz w:val="20"/>
                <w:szCs w:val="20"/>
              </w:rPr>
              <w:t>Inc. et al.</w:t>
            </w:r>
            <w:r w:rsidRPr="003B7455">
              <w:rPr>
                <w:rFonts w:eastAsia="Calibri" w:cs="Times New Roman"/>
                <w:i/>
                <w:sz w:val="20"/>
                <w:szCs w:val="20"/>
              </w:rPr>
              <w:t xml:space="preserve"> v. </w:t>
            </w:r>
            <w:r>
              <w:rPr>
                <w:rFonts w:eastAsia="Calibri" w:cs="Times New Roman"/>
                <w:i/>
                <w:sz w:val="20"/>
                <w:szCs w:val="20"/>
              </w:rPr>
              <w:t>T</w:t>
            </w:r>
            <w:r w:rsidRPr="003B7455">
              <w:rPr>
                <w:rFonts w:eastAsia="Calibri" w:cs="Times New Roman"/>
                <w:i/>
                <w:sz w:val="20"/>
                <w:szCs w:val="20"/>
              </w:rPr>
              <w:t>r</w:t>
            </w:r>
            <w:r>
              <w:rPr>
                <w:rFonts w:eastAsia="Calibri" w:cs="Times New Roman"/>
                <w:i/>
                <w:sz w:val="20"/>
                <w:szCs w:val="20"/>
              </w:rPr>
              <w:t>ustees of the Millwright Regional Council of Ont</w:t>
            </w:r>
            <w:r w:rsidRPr="003B7455">
              <w:rPr>
                <w:rFonts w:eastAsia="Calibri" w:cs="Times New Roman"/>
                <w:i/>
                <w:sz w:val="20"/>
                <w:szCs w:val="20"/>
              </w:rPr>
              <w:t>a</w:t>
            </w:r>
            <w:r>
              <w:rPr>
                <w:rFonts w:eastAsia="Calibri" w:cs="Times New Roman"/>
                <w:i/>
                <w:sz w:val="20"/>
                <w:szCs w:val="20"/>
              </w:rPr>
              <w:t>rio P</w:t>
            </w:r>
            <w:r w:rsidRPr="003B7455">
              <w:rPr>
                <w:rFonts w:eastAsia="Calibri" w:cs="Times New Roman"/>
                <w:i/>
                <w:sz w:val="20"/>
                <w:szCs w:val="20"/>
              </w:rPr>
              <w:t>e</w:t>
            </w:r>
            <w:r>
              <w:rPr>
                <w:rFonts w:eastAsia="Calibri" w:cs="Times New Roman"/>
                <w:i/>
                <w:sz w:val="20"/>
                <w:szCs w:val="20"/>
              </w:rPr>
              <w:t>n</w:t>
            </w:r>
            <w:r w:rsidRPr="003B7455">
              <w:rPr>
                <w:rFonts w:eastAsia="Calibri" w:cs="Times New Roman"/>
                <w:i/>
                <w:sz w:val="20"/>
                <w:szCs w:val="20"/>
              </w:rPr>
              <w:t>s</w:t>
            </w:r>
            <w:r>
              <w:rPr>
                <w:rFonts w:eastAsia="Calibri" w:cs="Times New Roman"/>
                <w:i/>
                <w:sz w:val="20"/>
                <w:szCs w:val="20"/>
              </w:rPr>
              <w:t>ion Trus</w:t>
            </w:r>
            <w:r w:rsidRPr="003B7455">
              <w:rPr>
                <w:rFonts w:eastAsia="Calibri" w:cs="Times New Roman"/>
                <w:i/>
                <w:sz w:val="20"/>
                <w:szCs w:val="20"/>
              </w:rPr>
              <w:t>t</w:t>
            </w:r>
            <w:r>
              <w:rPr>
                <w:rFonts w:eastAsia="Calibri" w:cs="Times New Roman"/>
                <w:i/>
                <w:sz w:val="20"/>
                <w:szCs w:val="20"/>
              </w:rPr>
              <w:t xml:space="preserve"> Fu</w:t>
            </w:r>
            <w:r w:rsidRPr="003B7455">
              <w:rPr>
                <w:rFonts w:eastAsia="Calibri" w:cs="Times New Roman"/>
                <w:i/>
                <w:sz w:val="20"/>
                <w:szCs w:val="20"/>
              </w:rPr>
              <w:t>n</w:t>
            </w:r>
            <w:r>
              <w:rPr>
                <w:rFonts w:eastAsia="Calibri" w:cs="Times New Roman"/>
                <w:i/>
                <w:sz w:val="20"/>
                <w:szCs w:val="20"/>
              </w:rPr>
              <w:t>d et al.</w:t>
            </w:r>
            <w:r w:rsidRPr="003B7455">
              <w:rPr>
                <w:rFonts w:eastAsia="Calibri" w:cs="Times New Roman"/>
                <w:i/>
                <w:sz w:val="20"/>
                <w:szCs w:val="20"/>
              </w:rPr>
              <w:t xml:space="preserve"> </w:t>
            </w:r>
            <w:r w:rsidRPr="003B7455">
              <w:rPr>
                <w:rFonts w:eastAsia="Calibri" w:cs="Times New Roman"/>
                <w:sz w:val="20"/>
                <w:szCs w:val="20"/>
              </w:rPr>
              <w:t xml:space="preserve">(Ont.) </w:t>
            </w:r>
            <w:r w:rsidRPr="004E7877">
              <w:rPr>
                <w:rFonts w:eastAsia="Calibri" w:cs="Times New Roman"/>
                <w:sz w:val="20"/>
                <w:szCs w:val="20"/>
              </w:rPr>
              <w:t>(Ci</w:t>
            </w:r>
            <w:r>
              <w:rPr>
                <w:rFonts w:eastAsia="Calibri" w:cs="Times New Roman"/>
                <w:sz w:val="20"/>
                <w:szCs w:val="20"/>
              </w:rPr>
              <w:t>v</w:t>
            </w:r>
            <w:r w:rsidRPr="004E7877">
              <w:rPr>
                <w:rFonts w:eastAsia="Calibri" w:cs="Times New Roman"/>
                <w:sz w:val="20"/>
                <w:szCs w:val="20"/>
              </w:rPr>
              <w:t>il) (By Leave) (35813)</w:t>
            </w:r>
          </w:p>
          <w:p w:rsidR="00D56B38" w:rsidRDefault="00D56B38" w:rsidP="00D56B38">
            <w:pPr>
              <w:jc w:val="both"/>
              <w:rPr>
                <w:rFonts w:eastAsia="Calibri" w:cs="Times New Roman"/>
                <w:sz w:val="20"/>
                <w:szCs w:val="20"/>
              </w:rPr>
            </w:pPr>
            <w:r>
              <w:rPr>
                <w:rFonts w:eastAsia="Calibri" w:cs="Times New Roman"/>
                <w:sz w:val="20"/>
                <w:szCs w:val="20"/>
              </w:rPr>
              <w:t>(Early start time: 9:00 a.m. / Horaire modifié : audience d</w:t>
            </w:r>
            <w:r w:rsidR="000466A3">
              <w:rPr>
                <w:rFonts w:eastAsia="Calibri" w:cs="Times New Roman"/>
                <w:sz w:val="20"/>
                <w:szCs w:val="20"/>
              </w:rPr>
              <w:t>é</w:t>
            </w:r>
            <w:r>
              <w:rPr>
                <w:rFonts w:eastAsia="Calibri" w:cs="Times New Roman"/>
                <w:sz w:val="20"/>
                <w:szCs w:val="20"/>
              </w:rPr>
              <w:t>butant à 9 h)</w:t>
            </w:r>
          </w:p>
          <w:p w:rsidR="00D56B38" w:rsidRPr="003A74F5" w:rsidRDefault="00D56B38" w:rsidP="001630B7">
            <w:pPr>
              <w:jc w:val="both"/>
              <w:rPr>
                <w:rFonts w:eastAsia="Calibri" w:cs="Times New Roman"/>
                <w:sz w:val="20"/>
                <w:szCs w:val="20"/>
              </w:rPr>
            </w:pPr>
          </w:p>
        </w:tc>
      </w:tr>
      <w:tr w:rsidR="00561B10" w:rsidRPr="003A74F5" w:rsidTr="000466A3">
        <w:trPr>
          <w:cantSplit/>
        </w:trPr>
        <w:tc>
          <w:tcPr>
            <w:tcW w:w="2398" w:type="dxa"/>
          </w:tcPr>
          <w:p w:rsidR="00561B10" w:rsidRPr="003A74F5" w:rsidRDefault="00561B10" w:rsidP="00561B10">
            <w:pPr>
              <w:rPr>
                <w:rFonts w:eastAsia="Calibri" w:cs="Times New Roman"/>
                <w:sz w:val="20"/>
                <w:szCs w:val="20"/>
              </w:rPr>
            </w:pPr>
            <w:r>
              <w:rPr>
                <w:rFonts w:eastAsia="Calibri" w:cs="Times New Roman"/>
                <w:sz w:val="20"/>
                <w:szCs w:val="20"/>
              </w:rPr>
              <w:t>2015</w:t>
            </w:r>
            <w:r w:rsidRPr="003A74F5">
              <w:rPr>
                <w:rFonts w:eastAsia="Calibri" w:cs="Times New Roman"/>
                <w:sz w:val="20"/>
                <w:szCs w:val="20"/>
              </w:rPr>
              <w:t>-</w:t>
            </w:r>
            <w:r>
              <w:rPr>
                <w:rFonts w:eastAsia="Calibri" w:cs="Times New Roman"/>
                <w:sz w:val="20"/>
                <w:szCs w:val="20"/>
              </w:rPr>
              <w:t>02</w:t>
            </w:r>
            <w:r w:rsidRPr="003A74F5">
              <w:rPr>
                <w:rFonts w:eastAsia="Calibri" w:cs="Times New Roman"/>
                <w:sz w:val="20"/>
                <w:szCs w:val="20"/>
              </w:rPr>
              <w:t>-</w:t>
            </w:r>
            <w:r>
              <w:rPr>
                <w:rFonts w:eastAsia="Calibri" w:cs="Times New Roman"/>
                <w:sz w:val="20"/>
                <w:szCs w:val="20"/>
              </w:rPr>
              <w:t>11</w:t>
            </w:r>
          </w:p>
        </w:tc>
        <w:tc>
          <w:tcPr>
            <w:tcW w:w="7178" w:type="dxa"/>
          </w:tcPr>
          <w:p w:rsidR="00561B10" w:rsidRDefault="00030254" w:rsidP="00C815AC">
            <w:pPr>
              <w:jc w:val="both"/>
              <w:rPr>
                <w:rFonts w:eastAsia="Calibri" w:cs="Times New Roman"/>
                <w:sz w:val="20"/>
                <w:szCs w:val="20"/>
              </w:rPr>
            </w:pPr>
            <w:r>
              <w:rPr>
                <w:rFonts w:eastAsia="Calibri" w:cs="Times New Roman"/>
                <w:i/>
                <w:sz w:val="20"/>
                <w:szCs w:val="20"/>
              </w:rPr>
              <w:t>G</w:t>
            </w:r>
            <w:r w:rsidR="00561B10" w:rsidRPr="00202908">
              <w:rPr>
                <w:rFonts w:eastAsia="Calibri" w:cs="Times New Roman"/>
                <w:i/>
                <w:sz w:val="20"/>
                <w:szCs w:val="20"/>
              </w:rPr>
              <w:t>ra</w:t>
            </w:r>
            <w:r>
              <w:rPr>
                <w:rFonts w:eastAsia="Calibri" w:cs="Times New Roman"/>
                <w:i/>
                <w:sz w:val="20"/>
                <w:szCs w:val="20"/>
              </w:rPr>
              <w:t>n</w:t>
            </w:r>
            <w:r w:rsidR="00561B10" w:rsidRPr="00202908">
              <w:rPr>
                <w:rFonts w:eastAsia="Calibri" w:cs="Times New Roman"/>
                <w:i/>
                <w:sz w:val="20"/>
                <w:szCs w:val="20"/>
              </w:rPr>
              <w:t>t</w:t>
            </w:r>
            <w:r>
              <w:rPr>
                <w:rFonts w:eastAsia="Calibri" w:cs="Times New Roman"/>
                <w:i/>
                <w:sz w:val="20"/>
                <w:szCs w:val="20"/>
              </w:rPr>
              <w:t xml:space="preserve"> Anthon</w:t>
            </w:r>
            <w:r w:rsidR="00561B10" w:rsidRPr="00202908">
              <w:rPr>
                <w:rFonts w:eastAsia="Calibri" w:cs="Times New Roman"/>
                <w:i/>
                <w:sz w:val="20"/>
                <w:szCs w:val="20"/>
              </w:rPr>
              <w:t xml:space="preserve">y </w:t>
            </w:r>
            <w:r>
              <w:rPr>
                <w:rFonts w:eastAsia="Calibri" w:cs="Times New Roman"/>
                <w:i/>
                <w:sz w:val="20"/>
                <w:szCs w:val="20"/>
              </w:rPr>
              <w:t>Goleski</w:t>
            </w:r>
            <w:r w:rsidR="00561B10">
              <w:rPr>
                <w:rFonts w:eastAsia="Calibri" w:cs="Times New Roman"/>
                <w:i/>
                <w:sz w:val="20"/>
                <w:szCs w:val="20"/>
              </w:rPr>
              <w:t xml:space="preserve"> v. </w:t>
            </w:r>
            <w:r w:rsidRPr="00202908">
              <w:rPr>
                <w:rFonts w:eastAsia="Calibri" w:cs="Times New Roman"/>
                <w:i/>
                <w:sz w:val="20"/>
                <w:szCs w:val="20"/>
              </w:rPr>
              <w:t>Her Majesty the</w:t>
            </w:r>
            <w:r>
              <w:rPr>
                <w:rFonts w:eastAsia="Calibri" w:cs="Times New Roman"/>
                <w:i/>
                <w:sz w:val="20"/>
                <w:szCs w:val="20"/>
              </w:rPr>
              <w:t xml:space="preserve"> Quee</w:t>
            </w:r>
            <w:r w:rsidRPr="00202908">
              <w:rPr>
                <w:rFonts w:eastAsia="Calibri" w:cs="Times New Roman"/>
                <w:i/>
                <w:sz w:val="20"/>
                <w:szCs w:val="20"/>
              </w:rPr>
              <w:t>n</w:t>
            </w:r>
            <w:r w:rsidR="00561B10">
              <w:rPr>
                <w:rFonts w:eastAsia="Calibri" w:cs="Times New Roman"/>
                <w:i/>
                <w:sz w:val="20"/>
                <w:szCs w:val="20"/>
              </w:rPr>
              <w:t xml:space="preserve"> </w:t>
            </w:r>
            <w:r w:rsidR="00561B10" w:rsidRPr="00202908">
              <w:rPr>
                <w:rFonts w:eastAsia="Calibri" w:cs="Times New Roman"/>
                <w:sz w:val="20"/>
                <w:szCs w:val="20"/>
              </w:rPr>
              <w:t>(</w:t>
            </w:r>
            <w:r>
              <w:rPr>
                <w:rFonts w:eastAsia="Calibri" w:cs="Times New Roman"/>
                <w:sz w:val="20"/>
                <w:szCs w:val="20"/>
              </w:rPr>
              <w:t>B.C</w:t>
            </w:r>
            <w:r w:rsidR="00561B10" w:rsidRPr="00202908">
              <w:rPr>
                <w:rFonts w:eastAsia="Calibri" w:cs="Times New Roman"/>
                <w:sz w:val="20"/>
                <w:szCs w:val="20"/>
              </w:rPr>
              <w:t xml:space="preserve">.) </w:t>
            </w:r>
            <w:r w:rsidR="00561B10" w:rsidRPr="005B6C58">
              <w:rPr>
                <w:rFonts w:eastAsia="Calibri" w:cs="Times New Roman"/>
                <w:sz w:val="20"/>
                <w:szCs w:val="20"/>
              </w:rPr>
              <w:t>(C</w:t>
            </w:r>
            <w:r w:rsidR="00561B10">
              <w:rPr>
                <w:rFonts w:eastAsia="Calibri" w:cs="Times New Roman"/>
                <w:sz w:val="20"/>
                <w:szCs w:val="20"/>
              </w:rPr>
              <w:t>r</w:t>
            </w:r>
            <w:r w:rsidR="00561B10" w:rsidRPr="005B6C58">
              <w:rPr>
                <w:rFonts w:eastAsia="Calibri" w:cs="Times New Roman"/>
                <w:sz w:val="20"/>
                <w:szCs w:val="20"/>
              </w:rPr>
              <w:t>i</w:t>
            </w:r>
            <w:r w:rsidR="00561B10">
              <w:rPr>
                <w:rFonts w:eastAsia="Calibri" w:cs="Times New Roman"/>
                <w:sz w:val="20"/>
                <w:szCs w:val="20"/>
              </w:rPr>
              <w:t>m</w:t>
            </w:r>
            <w:r w:rsidR="00561B10" w:rsidRPr="005B6C58">
              <w:rPr>
                <w:rFonts w:eastAsia="Calibri" w:cs="Times New Roman"/>
                <w:sz w:val="20"/>
                <w:szCs w:val="20"/>
              </w:rPr>
              <w:t>i</w:t>
            </w:r>
            <w:r w:rsidR="00561B10">
              <w:rPr>
                <w:rFonts w:eastAsia="Calibri" w:cs="Times New Roman"/>
                <w:sz w:val="20"/>
                <w:szCs w:val="20"/>
              </w:rPr>
              <w:t>na</w:t>
            </w:r>
            <w:r w:rsidR="00561B10" w:rsidRPr="005B6C58">
              <w:rPr>
                <w:rFonts w:eastAsia="Calibri" w:cs="Times New Roman"/>
                <w:sz w:val="20"/>
                <w:szCs w:val="20"/>
              </w:rPr>
              <w:t>l) (</w:t>
            </w:r>
            <w:r>
              <w:rPr>
                <w:rFonts w:eastAsia="Calibri" w:cs="Times New Roman"/>
                <w:sz w:val="20"/>
                <w:szCs w:val="20"/>
              </w:rPr>
              <w:t>By Leave</w:t>
            </w:r>
            <w:r w:rsidR="00561B10" w:rsidRPr="005B6C58">
              <w:rPr>
                <w:rFonts w:eastAsia="Calibri" w:cs="Times New Roman"/>
                <w:sz w:val="20"/>
                <w:szCs w:val="20"/>
              </w:rPr>
              <w:t>) (3</w:t>
            </w:r>
            <w:r w:rsidR="00561B10">
              <w:rPr>
                <w:rFonts w:eastAsia="Calibri" w:cs="Times New Roman"/>
                <w:sz w:val="20"/>
                <w:szCs w:val="20"/>
              </w:rPr>
              <w:t>5</w:t>
            </w:r>
            <w:r w:rsidR="00C815AC">
              <w:rPr>
                <w:rFonts w:eastAsia="Calibri" w:cs="Times New Roman"/>
                <w:sz w:val="20"/>
                <w:szCs w:val="20"/>
              </w:rPr>
              <w:t>8</w:t>
            </w:r>
            <w:r w:rsidR="00561B10">
              <w:rPr>
                <w:rFonts w:eastAsia="Calibri" w:cs="Times New Roman"/>
                <w:sz w:val="20"/>
                <w:szCs w:val="20"/>
              </w:rPr>
              <w:t>6</w:t>
            </w:r>
            <w:r w:rsidR="00C815AC">
              <w:rPr>
                <w:rFonts w:eastAsia="Calibri" w:cs="Times New Roman"/>
                <w:sz w:val="20"/>
                <w:szCs w:val="20"/>
              </w:rPr>
              <w:t>2</w:t>
            </w:r>
            <w:r w:rsidR="00561B10" w:rsidRPr="005B6C58">
              <w:rPr>
                <w:rFonts w:eastAsia="Calibri" w:cs="Times New Roman"/>
                <w:sz w:val="20"/>
                <w:szCs w:val="20"/>
              </w:rPr>
              <w:t>)</w:t>
            </w:r>
          </w:p>
          <w:p w:rsidR="000466A3" w:rsidRPr="003A74F5" w:rsidRDefault="000466A3" w:rsidP="00C815AC">
            <w:pPr>
              <w:jc w:val="both"/>
              <w:rPr>
                <w:rFonts w:eastAsia="Calibri" w:cs="Times New Roman"/>
                <w:sz w:val="20"/>
                <w:szCs w:val="20"/>
              </w:rPr>
            </w:pPr>
          </w:p>
        </w:tc>
      </w:tr>
      <w:tr w:rsidR="00561B10" w:rsidRPr="00C815AC" w:rsidTr="000466A3">
        <w:trPr>
          <w:cantSplit/>
        </w:trPr>
        <w:tc>
          <w:tcPr>
            <w:tcW w:w="2398" w:type="dxa"/>
          </w:tcPr>
          <w:p w:rsidR="00561B10" w:rsidRPr="003A74F5" w:rsidRDefault="00561B10" w:rsidP="00561B10">
            <w:pPr>
              <w:rPr>
                <w:rFonts w:eastAsia="Calibri" w:cs="Times New Roman"/>
                <w:sz w:val="20"/>
                <w:szCs w:val="20"/>
              </w:rPr>
            </w:pPr>
            <w:r>
              <w:rPr>
                <w:rFonts w:eastAsia="Calibri" w:cs="Times New Roman"/>
                <w:sz w:val="20"/>
                <w:szCs w:val="20"/>
              </w:rPr>
              <w:t>2015</w:t>
            </w:r>
            <w:r w:rsidRPr="003A74F5">
              <w:rPr>
                <w:rFonts w:eastAsia="Calibri" w:cs="Times New Roman"/>
                <w:sz w:val="20"/>
                <w:szCs w:val="20"/>
              </w:rPr>
              <w:t>-</w:t>
            </w:r>
            <w:r>
              <w:rPr>
                <w:rFonts w:eastAsia="Calibri" w:cs="Times New Roman"/>
                <w:sz w:val="20"/>
                <w:szCs w:val="20"/>
              </w:rPr>
              <w:t>02</w:t>
            </w:r>
            <w:r w:rsidRPr="003A74F5">
              <w:rPr>
                <w:rFonts w:eastAsia="Calibri" w:cs="Times New Roman"/>
                <w:sz w:val="20"/>
                <w:szCs w:val="20"/>
              </w:rPr>
              <w:t>-</w:t>
            </w:r>
            <w:r>
              <w:rPr>
                <w:rFonts w:eastAsia="Calibri" w:cs="Times New Roman"/>
                <w:sz w:val="20"/>
                <w:szCs w:val="20"/>
              </w:rPr>
              <w:t>12</w:t>
            </w:r>
          </w:p>
        </w:tc>
        <w:tc>
          <w:tcPr>
            <w:tcW w:w="7178" w:type="dxa"/>
          </w:tcPr>
          <w:p w:rsidR="00561B10" w:rsidRDefault="00C815AC" w:rsidP="00C815AC">
            <w:pPr>
              <w:jc w:val="both"/>
              <w:rPr>
                <w:rFonts w:eastAsia="Calibri" w:cs="Times New Roman"/>
                <w:sz w:val="20"/>
                <w:szCs w:val="20"/>
              </w:rPr>
            </w:pPr>
            <w:r w:rsidRPr="00D96A7D">
              <w:rPr>
                <w:rFonts w:eastAsia="Calibri" w:cs="Times New Roman"/>
                <w:i/>
                <w:sz w:val="20"/>
                <w:szCs w:val="20"/>
              </w:rPr>
              <w:t xml:space="preserve">Her Majesty the Queen </w:t>
            </w:r>
            <w:r w:rsidR="00561B10" w:rsidRPr="00D96A7D">
              <w:rPr>
                <w:rFonts w:eastAsia="Calibri" w:cs="Times New Roman"/>
                <w:i/>
                <w:sz w:val="20"/>
                <w:szCs w:val="20"/>
              </w:rPr>
              <w:t xml:space="preserve">v. </w:t>
            </w:r>
            <w:r w:rsidRPr="00D96A7D">
              <w:rPr>
                <w:rFonts w:eastAsia="Calibri" w:cs="Times New Roman"/>
                <w:i/>
                <w:sz w:val="20"/>
                <w:szCs w:val="20"/>
              </w:rPr>
              <w:t>And</w:t>
            </w:r>
            <w:r w:rsidR="00561B10" w:rsidRPr="00D96A7D">
              <w:rPr>
                <w:rFonts w:eastAsia="Calibri" w:cs="Times New Roman"/>
                <w:i/>
                <w:sz w:val="20"/>
                <w:szCs w:val="20"/>
              </w:rPr>
              <w:t>re</w:t>
            </w:r>
            <w:r w:rsidRPr="00D96A7D">
              <w:rPr>
                <w:rFonts w:eastAsia="Calibri" w:cs="Times New Roman"/>
                <w:i/>
                <w:sz w:val="20"/>
                <w:szCs w:val="20"/>
              </w:rPr>
              <w:t>w Simp</w:t>
            </w:r>
            <w:r w:rsidR="00561B10" w:rsidRPr="00D96A7D">
              <w:rPr>
                <w:rFonts w:eastAsia="Calibri" w:cs="Times New Roman"/>
                <w:i/>
                <w:sz w:val="20"/>
                <w:szCs w:val="20"/>
              </w:rPr>
              <w:t>s</w:t>
            </w:r>
            <w:r w:rsidRPr="00D96A7D">
              <w:rPr>
                <w:rFonts w:eastAsia="Calibri" w:cs="Times New Roman"/>
                <w:i/>
                <w:sz w:val="20"/>
                <w:szCs w:val="20"/>
              </w:rPr>
              <w:t>o</w:t>
            </w:r>
            <w:r w:rsidR="00561B10" w:rsidRPr="00D96A7D">
              <w:rPr>
                <w:rFonts w:eastAsia="Calibri" w:cs="Times New Roman"/>
                <w:i/>
                <w:sz w:val="20"/>
                <w:szCs w:val="20"/>
              </w:rPr>
              <w:t>n</w:t>
            </w:r>
            <w:r w:rsidRPr="00D96A7D">
              <w:rPr>
                <w:rFonts w:eastAsia="Calibri" w:cs="Times New Roman"/>
                <w:i/>
                <w:sz w:val="20"/>
                <w:szCs w:val="20"/>
              </w:rPr>
              <w:t xml:space="preserve"> et al.</w:t>
            </w:r>
            <w:r w:rsidR="00561B10" w:rsidRPr="00D96A7D">
              <w:rPr>
                <w:rFonts w:eastAsia="Calibri" w:cs="Times New Roman"/>
                <w:i/>
                <w:sz w:val="20"/>
                <w:szCs w:val="20"/>
              </w:rPr>
              <w:t xml:space="preserve"> </w:t>
            </w:r>
            <w:r w:rsidR="00561B10" w:rsidRPr="00C815AC">
              <w:rPr>
                <w:rFonts w:eastAsia="Calibri" w:cs="Times New Roman"/>
                <w:sz w:val="20"/>
                <w:szCs w:val="20"/>
              </w:rPr>
              <w:t>(</w:t>
            </w:r>
            <w:r w:rsidRPr="00C815AC">
              <w:rPr>
                <w:rFonts w:eastAsia="Calibri" w:cs="Times New Roman"/>
                <w:sz w:val="20"/>
                <w:szCs w:val="20"/>
              </w:rPr>
              <w:t>Que</w:t>
            </w:r>
            <w:r w:rsidR="00561B10" w:rsidRPr="00C815AC">
              <w:rPr>
                <w:rFonts w:eastAsia="Calibri" w:cs="Times New Roman"/>
                <w:sz w:val="20"/>
                <w:szCs w:val="20"/>
              </w:rPr>
              <w:t>.) (Criminal) (As of Right) (35</w:t>
            </w:r>
            <w:r>
              <w:rPr>
                <w:rFonts w:eastAsia="Calibri" w:cs="Times New Roman"/>
                <w:sz w:val="20"/>
                <w:szCs w:val="20"/>
              </w:rPr>
              <w:t>971</w:t>
            </w:r>
            <w:r w:rsidR="00561B10" w:rsidRPr="00C815AC">
              <w:rPr>
                <w:rFonts w:eastAsia="Calibri" w:cs="Times New Roman"/>
                <w:sz w:val="20"/>
                <w:szCs w:val="20"/>
              </w:rPr>
              <w:t>)</w:t>
            </w:r>
          </w:p>
          <w:p w:rsidR="000466A3" w:rsidRPr="00C815AC" w:rsidRDefault="000466A3" w:rsidP="00C815AC">
            <w:pPr>
              <w:jc w:val="both"/>
              <w:rPr>
                <w:rFonts w:eastAsia="Calibri" w:cs="Times New Roman"/>
                <w:i/>
                <w:sz w:val="20"/>
                <w:szCs w:val="20"/>
              </w:rPr>
            </w:pPr>
          </w:p>
        </w:tc>
      </w:tr>
      <w:tr w:rsidR="00561B10" w:rsidRPr="00561B10" w:rsidTr="000466A3">
        <w:trPr>
          <w:cantSplit/>
        </w:trPr>
        <w:tc>
          <w:tcPr>
            <w:tcW w:w="2398" w:type="dxa"/>
          </w:tcPr>
          <w:p w:rsidR="00561B10" w:rsidRPr="00C815AC" w:rsidRDefault="00561B10" w:rsidP="00561B10">
            <w:pPr>
              <w:rPr>
                <w:rFonts w:eastAsia="Calibri" w:cs="Times New Roman"/>
                <w:sz w:val="20"/>
                <w:szCs w:val="20"/>
                <w:lang w:val="fr-CA"/>
              </w:rPr>
            </w:pPr>
            <w:r w:rsidRPr="00C815AC">
              <w:rPr>
                <w:rFonts w:eastAsia="Calibri" w:cs="Times New Roman"/>
                <w:sz w:val="20"/>
                <w:szCs w:val="20"/>
                <w:lang w:val="fr-CA"/>
              </w:rPr>
              <w:t>2015-02-13</w:t>
            </w:r>
          </w:p>
        </w:tc>
        <w:tc>
          <w:tcPr>
            <w:tcW w:w="7178" w:type="dxa"/>
          </w:tcPr>
          <w:p w:rsidR="00561B10" w:rsidRDefault="00C815AC" w:rsidP="00C815AC">
            <w:pPr>
              <w:jc w:val="both"/>
              <w:rPr>
                <w:rFonts w:eastAsia="Calibri" w:cs="Times New Roman"/>
                <w:sz w:val="20"/>
                <w:szCs w:val="20"/>
                <w:lang w:val="fr-CA"/>
              </w:rPr>
            </w:pPr>
            <w:r>
              <w:rPr>
                <w:rFonts w:eastAsia="Calibri" w:cs="Times New Roman"/>
                <w:i/>
                <w:sz w:val="20"/>
                <w:szCs w:val="20"/>
                <w:lang w:val="fr-CA"/>
              </w:rPr>
              <w:t>Gi</w:t>
            </w:r>
            <w:r w:rsidR="00561B10" w:rsidRPr="00A708C5">
              <w:rPr>
                <w:rFonts w:eastAsia="Calibri" w:cs="Times New Roman"/>
                <w:i/>
                <w:sz w:val="20"/>
                <w:szCs w:val="20"/>
                <w:lang w:val="fr-CA"/>
              </w:rPr>
              <w:t>l</w:t>
            </w:r>
            <w:r>
              <w:rPr>
                <w:rFonts w:eastAsia="Calibri" w:cs="Times New Roman"/>
                <w:i/>
                <w:sz w:val="20"/>
                <w:szCs w:val="20"/>
                <w:lang w:val="fr-CA"/>
              </w:rPr>
              <w:t>l</w:t>
            </w:r>
            <w:r w:rsidR="00561B10" w:rsidRPr="00A708C5">
              <w:rPr>
                <w:rFonts w:eastAsia="Calibri" w:cs="Times New Roman"/>
                <w:i/>
                <w:sz w:val="20"/>
                <w:szCs w:val="20"/>
                <w:lang w:val="fr-CA"/>
              </w:rPr>
              <w:t>e</w:t>
            </w:r>
            <w:r>
              <w:rPr>
                <w:rFonts w:eastAsia="Calibri" w:cs="Times New Roman"/>
                <w:i/>
                <w:sz w:val="20"/>
                <w:szCs w:val="20"/>
                <w:lang w:val="fr-CA"/>
              </w:rPr>
              <w:t>s Ca</w:t>
            </w:r>
            <w:r w:rsidR="00561B10" w:rsidRPr="00A708C5">
              <w:rPr>
                <w:rFonts w:eastAsia="Calibri" w:cs="Times New Roman"/>
                <w:i/>
                <w:sz w:val="20"/>
                <w:szCs w:val="20"/>
                <w:lang w:val="fr-CA"/>
              </w:rPr>
              <w:t>r</w:t>
            </w:r>
            <w:r>
              <w:rPr>
                <w:rFonts w:eastAsia="Calibri" w:cs="Times New Roman"/>
                <w:i/>
                <w:sz w:val="20"/>
                <w:szCs w:val="20"/>
                <w:lang w:val="fr-CA"/>
              </w:rPr>
              <w:t xml:space="preserve">on et </w:t>
            </w:r>
            <w:r w:rsidR="00561B10" w:rsidRPr="00A708C5">
              <w:rPr>
                <w:rFonts w:eastAsia="Calibri" w:cs="Times New Roman"/>
                <w:i/>
                <w:sz w:val="20"/>
                <w:szCs w:val="20"/>
                <w:lang w:val="fr-CA"/>
              </w:rPr>
              <w:t>a</w:t>
            </w:r>
            <w:r>
              <w:rPr>
                <w:rFonts w:eastAsia="Calibri" w:cs="Times New Roman"/>
                <w:i/>
                <w:sz w:val="20"/>
                <w:szCs w:val="20"/>
                <w:lang w:val="fr-CA"/>
              </w:rPr>
              <w:t>utre</w:t>
            </w:r>
            <w:r w:rsidR="00561B10" w:rsidRPr="00A708C5">
              <w:rPr>
                <w:rFonts w:eastAsia="Calibri" w:cs="Times New Roman"/>
                <w:i/>
                <w:sz w:val="20"/>
                <w:szCs w:val="20"/>
                <w:lang w:val="fr-CA"/>
              </w:rPr>
              <w:t xml:space="preserve"> c. S</w:t>
            </w:r>
            <w:r>
              <w:rPr>
                <w:rFonts w:eastAsia="Calibri" w:cs="Times New Roman"/>
                <w:i/>
                <w:sz w:val="20"/>
                <w:szCs w:val="20"/>
                <w:lang w:val="fr-CA"/>
              </w:rPr>
              <w:t>a Maj</w:t>
            </w:r>
            <w:r w:rsidR="00561B10" w:rsidRPr="00A708C5">
              <w:rPr>
                <w:rFonts w:eastAsia="Calibri" w:cs="Times New Roman"/>
                <w:i/>
                <w:sz w:val="20"/>
                <w:szCs w:val="20"/>
                <w:lang w:val="fr-CA"/>
              </w:rPr>
              <w:t>es</w:t>
            </w:r>
            <w:r>
              <w:rPr>
                <w:rFonts w:eastAsia="Calibri" w:cs="Times New Roman"/>
                <w:i/>
                <w:sz w:val="20"/>
                <w:szCs w:val="20"/>
                <w:lang w:val="fr-CA"/>
              </w:rPr>
              <w:t>té la R</w:t>
            </w:r>
            <w:r w:rsidR="00561B10" w:rsidRPr="00A708C5">
              <w:rPr>
                <w:rFonts w:eastAsia="Calibri" w:cs="Times New Roman"/>
                <w:i/>
                <w:sz w:val="20"/>
                <w:szCs w:val="20"/>
                <w:lang w:val="fr-CA"/>
              </w:rPr>
              <w:t>e</w:t>
            </w:r>
            <w:r>
              <w:rPr>
                <w:rFonts w:eastAsia="Calibri" w:cs="Times New Roman"/>
                <w:i/>
                <w:sz w:val="20"/>
                <w:szCs w:val="20"/>
                <w:lang w:val="fr-CA"/>
              </w:rPr>
              <w:t>ine e</w:t>
            </w:r>
            <w:r w:rsidR="00561B10" w:rsidRPr="00A708C5">
              <w:rPr>
                <w:rFonts w:eastAsia="Calibri" w:cs="Times New Roman"/>
                <w:i/>
                <w:sz w:val="20"/>
                <w:szCs w:val="20"/>
                <w:lang w:val="fr-CA"/>
              </w:rPr>
              <w:t xml:space="preserve">t autre </w:t>
            </w:r>
            <w:r w:rsidR="00561B10" w:rsidRPr="00A708C5">
              <w:rPr>
                <w:rFonts w:eastAsia="Calibri" w:cs="Times New Roman"/>
                <w:sz w:val="20"/>
                <w:szCs w:val="20"/>
                <w:lang w:val="fr-CA"/>
              </w:rPr>
              <w:t>(</w:t>
            </w:r>
            <w:r>
              <w:rPr>
                <w:rFonts w:eastAsia="Calibri" w:cs="Times New Roman"/>
                <w:sz w:val="20"/>
                <w:szCs w:val="20"/>
                <w:lang w:val="fr-CA"/>
              </w:rPr>
              <w:t>Alb.</w:t>
            </w:r>
            <w:r w:rsidR="00561B10" w:rsidRPr="00A708C5">
              <w:rPr>
                <w:rFonts w:eastAsia="Calibri" w:cs="Times New Roman"/>
                <w:sz w:val="20"/>
                <w:szCs w:val="20"/>
                <w:lang w:val="fr-CA"/>
              </w:rPr>
              <w:t>) (Civile) (Autorisation) (35</w:t>
            </w:r>
            <w:r>
              <w:rPr>
                <w:rFonts w:eastAsia="Calibri" w:cs="Times New Roman"/>
                <w:sz w:val="20"/>
                <w:szCs w:val="20"/>
                <w:lang w:val="fr-CA"/>
              </w:rPr>
              <w:t>84</w:t>
            </w:r>
            <w:r w:rsidR="00561B10" w:rsidRPr="00A708C5">
              <w:rPr>
                <w:rFonts w:eastAsia="Calibri" w:cs="Times New Roman"/>
                <w:sz w:val="20"/>
                <w:szCs w:val="20"/>
                <w:lang w:val="fr-CA"/>
              </w:rPr>
              <w:t>2)</w:t>
            </w:r>
          </w:p>
          <w:p w:rsidR="000466A3" w:rsidRPr="00A708C5" w:rsidRDefault="000466A3" w:rsidP="00C815AC">
            <w:pPr>
              <w:jc w:val="both"/>
              <w:rPr>
                <w:rFonts w:eastAsia="Calibri" w:cs="Times New Roman"/>
                <w:i/>
                <w:sz w:val="20"/>
                <w:szCs w:val="20"/>
                <w:lang w:val="fr-CA"/>
              </w:rPr>
            </w:pPr>
          </w:p>
        </w:tc>
      </w:tr>
      <w:tr w:rsidR="004E7877" w:rsidRPr="00C815AC" w:rsidTr="000466A3">
        <w:tc>
          <w:tcPr>
            <w:tcW w:w="2398" w:type="dxa"/>
          </w:tcPr>
          <w:p w:rsidR="004E7877" w:rsidRDefault="004E7877" w:rsidP="004E7877">
            <w:pPr>
              <w:rPr>
                <w:rFonts w:eastAsia="Calibri" w:cs="Times New Roman"/>
                <w:sz w:val="20"/>
                <w:szCs w:val="20"/>
                <w:lang w:val="fr-CA"/>
              </w:rPr>
            </w:pPr>
            <w:r w:rsidRPr="00C815AC">
              <w:rPr>
                <w:rFonts w:eastAsia="Calibri" w:cs="Times New Roman"/>
                <w:sz w:val="20"/>
                <w:szCs w:val="20"/>
                <w:lang w:val="fr-CA"/>
              </w:rPr>
              <w:t>2015-02-16</w:t>
            </w:r>
          </w:p>
          <w:p w:rsidR="00D56B38" w:rsidRDefault="00D56B38" w:rsidP="004E7877">
            <w:pPr>
              <w:rPr>
                <w:rFonts w:eastAsia="Calibri" w:cs="Times New Roman"/>
                <w:sz w:val="20"/>
                <w:szCs w:val="20"/>
                <w:lang w:val="fr-CA"/>
              </w:rPr>
            </w:pPr>
            <w:r>
              <w:rPr>
                <w:rFonts w:eastAsia="Calibri" w:cs="Times New Roman"/>
                <w:sz w:val="20"/>
                <w:szCs w:val="20"/>
                <w:lang w:val="fr-CA"/>
              </w:rPr>
              <w:t>and/et</w:t>
            </w:r>
          </w:p>
          <w:p w:rsidR="00D56B38" w:rsidRPr="000466A3" w:rsidRDefault="00D56B38" w:rsidP="004E7877">
            <w:pPr>
              <w:rPr>
                <w:rFonts w:eastAsia="Calibri" w:cs="Times New Roman"/>
                <w:sz w:val="20"/>
                <w:szCs w:val="20"/>
              </w:rPr>
            </w:pPr>
            <w:r w:rsidRPr="000466A3">
              <w:rPr>
                <w:rFonts w:eastAsia="Calibri" w:cs="Times New Roman"/>
                <w:sz w:val="20"/>
                <w:szCs w:val="20"/>
              </w:rPr>
              <w:t>2015-02-17</w:t>
            </w:r>
          </w:p>
          <w:p w:rsidR="003D3CEA" w:rsidRDefault="000466A3" w:rsidP="000466A3">
            <w:pPr>
              <w:rPr>
                <w:rFonts w:eastAsia="Calibri" w:cs="Times New Roman"/>
                <w:sz w:val="20"/>
                <w:szCs w:val="20"/>
              </w:rPr>
            </w:pPr>
            <w:r>
              <w:rPr>
                <w:rFonts w:eastAsia="Calibri" w:cs="Times New Roman"/>
                <w:sz w:val="20"/>
                <w:szCs w:val="20"/>
              </w:rPr>
              <w:t>and/et</w:t>
            </w:r>
            <w:r w:rsidR="003D3CEA">
              <w:rPr>
                <w:rFonts w:eastAsia="Calibri" w:cs="Times New Roman"/>
                <w:sz w:val="20"/>
                <w:szCs w:val="20"/>
              </w:rPr>
              <w:t xml:space="preserve"> </w:t>
            </w:r>
          </w:p>
          <w:p w:rsidR="000466A3" w:rsidRDefault="000466A3" w:rsidP="000466A3">
            <w:pPr>
              <w:rPr>
                <w:rFonts w:eastAsia="Calibri" w:cs="Times New Roman"/>
                <w:sz w:val="20"/>
                <w:szCs w:val="20"/>
              </w:rPr>
            </w:pPr>
            <w:r>
              <w:rPr>
                <w:rFonts w:eastAsia="Calibri" w:cs="Times New Roman"/>
                <w:sz w:val="20"/>
                <w:szCs w:val="20"/>
              </w:rPr>
              <w:t>2015</w:t>
            </w:r>
            <w:r w:rsidRPr="003A74F5">
              <w:rPr>
                <w:rFonts w:eastAsia="Calibri" w:cs="Times New Roman"/>
                <w:sz w:val="20"/>
                <w:szCs w:val="20"/>
              </w:rPr>
              <w:t>-</w:t>
            </w:r>
            <w:r>
              <w:rPr>
                <w:rFonts w:eastAsia="Calibri" w:cs="Times New Roman"/>
                <w:sz w:val="20"/>
                <w:szCs w:val="20"/>
              </w:rPr>
              <w:t>02</w:t>
            </w:r>
            <w:r w:rsidRPr="003A74F5">
              <w:rPr>
                <w:rFonts w:eastAsia="Calibri" w:cs="Times New Roman"/>
                <w:sz w:val="20"/>
                <w:szCs w:val="20"/>
              </w:rPr>
              <w:t>-</w:t>
            </w:r>
            <w:r>
              <w:rPr>
                <w:rFonts w:eastAsia="Calibri" w:cs="Times New Roman"/>
                <w:sz w:val="20"/>
                <w:szCs w:val="20"/>
              </w:rPr>
              <w:t>18</w:t>
            </w:r>
          </w:p>
          <w:p w:rsidR="000466A3" w:rsidRPr="000466A3" w:rsidRDefault="003D3CEA" w:rsidP="000466A3">
            <w:pPr>
              <w:rPr>
                <w:rFonts w:eastAsia="Calibri" w:cs="Times New Roman"/>
                <w:sz w:val="20"/>
                <w:szCs w:val="20"/>
              </w:rPr>
            </w:pPr>
            <w:r>
              <w:rPr>
                <w:rFonts w:eastAsia="Calibri" w:cs="Times New Roman"/>
                <w:sz w:val="20"/>
                <w:szCs w:val="20"/>
              </w:rPr>
              <w:t>(</w:t>
            </w:r>
            <w:r w:rsidR="000466A3">
              <w:rPr>
                <w:rFonts w:eastAsia="Calibri" w:cs="Times New Roman"/>
                <w:sz w:val="20"/>
                <w:szCs w:val="20"/>
              </w:rPr>
              <w:t>if necessary/si nécessaire)</w:t>
            </w:r>
          </w:p>
        </w:tc>
        <w:tc>
          <w:tcPr>
            <w:tcW w:w="7178" w:type="dxa"/>
          </w:tcPr>
          <w:p w:rsidR="004E7877" w:rsidRDefault="00C815AC" w:rsidP="00C815AC">
            <w:pPr>
              <w:jc w:val="both"/>
              <w:rPr>
                <w:rFonts w:eastAsia="Calibri" w:cs="Times New Roman"/>
                <w:sz w:val="20"/>
                <w:szCs w:val="20"/>
              </w:rPr>
            </w:pPr>
            <w:r w:rsidRPr="00C815AC">
              <w:rPr>
                <w:rFonts w:eastAsia="Calibri" w:cs="Times New Roman"/>
                <w:i/>
                <w:sz w:val="20"/>
                <w:szCs w:val="20"/>
              </w:rPr>
              <w:t>Jes</w:t>
            </w:r>
            <w:r w:rsidR="004E7877" w:rsidRPr="00C815AC">
              <w:rPr>
                <w:rFonts w:eastAsia="Calibri" w:cs="Times New Roman"/>
                <w:i/>
                <w:sz w:val="20"/>
                <w:szCs w:val="20"/>
              </w:rPr>
              <w:t xml:space="preserve">us </w:t>
            </w:r>
            <w:r w:rsidRPr="00C815AC">
              <w:rPr>
                <w:rFonts w:eastAsia="Calibri" w:cs="Times New Roman"/>
                <w:i/>
                <w:sz w:val="20"/>
                <w:szCs w:val="20"/>
              </w:rPr>
              <w:t>Rodriguez Hernandez</w:t>
            </w:r>
            <w:r w:rsidR="004E7877">
              <w:rPr>
                <w:rFonts w:eastAsia="Calibri" w:cs="Times New Roman"/>
                <w:i/>
                <w:sz w:val="20"/>
                <w:szCs w:val="20"/>
              </w:rPr>
              <w:t xml:space="preserve"> v. </w:t>
            </w:r>
            <w:r>
              <w:rPr>
                <w:rFonts w:eastAsia="Calibri" w:cs="Times New Roman"/>
                <w:i/>
                <w:sz w:val="20"/>
                <w:szCs w:val="20"/>
              </w:rPr>
              <w:t>Ministe</w:t>
            </w:r>
            <w:r w:rsidR="004E7877" w:rsidRPr="00202908">
              <w:rPr>
                <w:rFonts w:eastAsia="Calibri" w:cs="Times New Roman"/>
                <w:i/>
                <w:sz w:val="20"/>
                <w:szCs w:val="20"/>
              </w:rPr>
              <w:t xml:space="preserve">r </w:t>
            </w:r>
            <w:r>
              <w:rPr>
                <w:rFonts w:eastAsia="Calibri" w:cs="Times New Roman"/>
                <w:i/>
                <w:sz w:val="20"/>
                <w:szCs w:val="20"/>
              </w:rPr>
              <w:t>of Public Saf</w:t>
            </w:r>
            <w:r w:rsidR="004E7877" w:rsidRPr="00202908">
              <w:rPr>
                <w:rFonts w:eastAsia="Calibri" w:cs="Times New Roman"/>
                <w:i/>
                <w:sz w:val="20"/>
                <w:szCs w:val="20"/>
              </w:rPr>
              <w:t xml:space="preserve">ety </w:t>
            </w:r>
            <w:r>
              <w:rPr>
                <w:rFonts w:eastAsia="Calibri" w:cs="Times New Roman"/>
                <w:i/>
                <w:sz w:val="20"/>
                <w:szCs w:val="20"/>
              </w:rPr>
              <w:t xml:space="preserve">and Emergency Preparedness </w:t>
            </w:r>
            <w:r w:rsidR="004E7877" w:rsidRPr="00202908">
              <w:rPr>
                <w:rFonts w:eastAsia="Calibri" w:cs="Times New Roman"/>
                <w:sz w:val="20"/>
                <w:szCs w:val="20"/>
              </w:rPr>
              <w:t>(</w:t>
            </w:r>
            <w:r>
              <w:rPr>
                <w:rFonts w:eastAsia="Calibri" w:cs="Times New Roman"/>
                <w:sz w:val="20"/>
                <w:szCs w:val="20"/>
              </w:rPr>
              <w:t>F.C</w:t>
            </w:r>
            <w:r w:rsidR="004E7877" w:rsidRPr="00202908">
              <w:rPr>
                <w:rFonts w:eastAsia="Calibri" w:cs="Times New Roman"/>
                <w:sz w:val="20"/>
                <w:szCs w:val="20"/>
              </w:rPr>
              <w:t xml:space="preserve">.) </w:t>
            </w:r>
            <w:r w:rsidR="004E7877" w:rsidRPr="005B6C58">
              <w:rPr>
                <w:rFonts w:eastAsia="Calibri" w:cs="Times New Roman"/>
                <w:sz w:val="20"/>
                <w:szCs w:val="20"/>
              </w:rPr>
              <w:t>(Ci</w:t>
            </w:r>
            <w:r>
              <w:rPr>
                <w:rFonts w:eastAsia="Calibri" w:cs="Times New Roman"/>
                <w:sz w:val="20"/>
                <w:szCs w:val="20"/>
              </w:rPr>
              <w:t>v</w:t>
            </w:r>
            <w:r w:rsidR="004E7877" w:rsidRPr="005B6C58">
              <w:rPr>
                <w:rFonts w:eastAsia="Calibri" w:cs="Times New Roman"/>
                <w:sz w:val="20"/>
                <w:szCs w:val="20"/>
              </w:rPr>
              <w:t>il) (</w:t>
            </w:r>
            <w:r>
              <w:rPr>
                <w:rFonts w:eastAsia="Calibri" w:cs="Times New Roman"/>
                <w:sz w:val="20"/>
                <w:szCs w:val="20"/>
              </w:rPr>
              <w:t>By Leave</w:t>
            </w:r>
            <w:r w:rsidR="004E7877" w:rsidRPr="005B6C58">
              <w:rPr>
                <w:rFonts w:eastAsia="Calibri" w:cs="Times New Roman"/>
                <w:sz w:val="20"/>
                <w:szCs w:val="20"/>
              </w:rPr>
              <w:t>) (3</w:t>
            </w:r>
            <w:r w:rsidR="004E7877">
              <w:rPr>
                <w:rFonts w:eastAsia="Calibri" w:cs="Times New Roman"/>
                <w:sz w:val="20"/>
                <w:szCs w:val="20"/>
              </w:rPr>
              <w:t>56</w:t>
            </w:r>
            <w:r>
              <w:rPr>
                <w:rFonts w:eastAsia="Calibri" w:cs="Times New Roman"/>
                <w:sz w:val="20"/>
                <w:szCs w:val="20"/>
              </w:rPr>
              <w:t>77</w:t>
            </w:r>
            <w:r w:rsidR="004E7877">
              <w:rPr>
                <w:rFonts w:eastAsia="Calibri" w:cs="Times New Roman"/>
                <w:sz w:val="20"/>
                <w:szCs w:val="20"/>
              </w:rPr>
              <w:t>)</w:t>
            </w:r>
          </w:p>
          <w:p w:rsidR="001630B7" w:rsidRDefault="001630B7" w:rsidP="00C815AC">
            <w:pPr>
              <w:jc w:val="both"/>
              <w:rPr>
                <w:rFonts w:eastAsia="Calibri" w:cs="Times New Roman"/>
                <w:sz w:val="20"/>
                <w:szCs w:val="20"/>
              </w:rPr>
            </w:pPr>
            <w:r>
              <w:rPr>
                <w:rFonts w:eastAsia="Calibri" w:cs="Times New Roman"/>
                <w:sz w:val="20"/>
                <w:szCs w:val="20"/>
              </w:rPr>
              <w:t>(Early start time: 9:00 a.m. / Horaire modifié : audience d</w:t>
            </w:r>
            <w:r w:rsidR="000466A3">
              <w:rPr>
                <w:rFonts w:eastAsia="Calibri" w:cs="Times New Roman"/>
                <w:sz w:val="20"/>
                <w:szCs w:val="20"/>
              </w:rPr>
              <w:t>é</w:t>
            </w:r>
            <w:r>
              <w:rPr>
                <w:rFonts w:eastAsia="Calibri" w:cs="Times New Roman"/>
                <w:sz w:val="20"/>
                <w:szCs w:val="20"/>
              </w:rPr>
              <w:t>butant à 9 h)</w:t>
            </w:r>
          </w:p>
          <w:p w:rsidR="000466A3" w:rsidRDefault="000466A3" w:rsidP="00C815AC">
            <w:pPr>
              <w:jc w:val="both"/>
              <w:rPr>
                <w:rFonts w:eastAsia="Calibri" w:cs="Times New Roman"/>
                <w:sz w:val="20"/>
                <w:szCs w:val="20"/>
              </w:rPr>
            </w:pPr>
          </w:p>
          <w:p w:rsidR="000466A3" w:rsidRDefault="000466A3" w:rsidP="00C815AC">
            <w:pPr>
              <w:jc w:val="both"/>
              <w:rPr>
                <w:rFonts w:eastAsia="Calibri" w:cs="Times New Roman"/>
                <w:sz w:val="20"/>
                <w:szCs w:val="20"/>
              </w:rPr>
            </w:pPr>
            <w:r>
              <w:rPr>
                <w:rFonts w:eastAsia="Calibri" w:cs="Times New Roman"/>
                <w:i/>
                <w:sz w:val="20"/>
                <w:szCs w:val="20"/>
              </w:rPr>
              <w:t>B306 v. Minist</w:t>
            </w:r>
            <w:r w:rsidRPr="00202908">
              <w:rPr>
                <w:rFonts w:eastAsia="Calibri" w:cs="Times New Roman"/>
                <w:i/>
                <w:sz w:val="20"/>
                <w:szCs w:val="20"/>
              </w:rPr>
              <w:t xml:space="preserve">er </w:t>
            </w:r>
            <w:r>
              <w:rPr>
                <w:rFonts w:eastAsia="Calibri" w:cs="Times New Roman"/>
                <w:i/>
                <w:sz w:val="20"/>
                <w:szCs w:val="20"/>
              </w:rPr>
              <w:t>of Public S</w:t>
            </w:r>
            <w:r w:rsidRPr="00202908">
              <w:rPr>
                <w:rFonts w:eastAsia="Calibri" w:cs="Times New Roman"/>
                <w:i/>
                <w:sz w:val="20"/>
                <w:szCs w:val="20"/>
              </w:rPr>
              <w:t>a</w:t>
            </w:r>
            <w:r>
              <w:rPr>
                <w:rFonts w:eastAsia="Calibri" w:cs="Times New Roman"/>
                <w:i/>
                <w:sz w:val="20"/>
                <w:szCs w:val="20"/>
              </w:rPr>
              <w:t>f</w:t>
            </w:r>
            <w:r w:rsidRPr="00202908">
              <w:rPr>
                <w:rFonts w:eastAsia="Calibri" w:cs="Times New Roman"/>
                <w:i/>
                <w:sz w:val="20"/>
                <w:szCs w:val="20"/>
              </w:rPr>
              <w:t xml:space="preserve">ety </w:t>
            </w:r>
            <w:r>
              <w:rPr>
                <w:rFonts w:eastAsia="Calibri" w:cs="Times New Roman"/>
                <w:i/>
                <w:sz w:val="20"/>
                <w:szCs w:val="20"/>
              </w:rPr>
              <w:t>and Emergency Preparedness</w:t>
            </w:r>
            <w:r w:rsidRPr="00202908">
              <w:rPr>
                <w:rFonts w:eastAsia="Calibri" w:cs="Times New Roman"/>
                <w:sz w:val="20"/>
                <w:szCs w:val="20"/>
              </w:rPr>
              <w:t xml:space="preserve"> (</w:t>
            </w:r>
            <w:r>
              <w:rPr>
                <w:rFonts w:eastAsia="Calibri" w:cs="Times New Roman"/>
                <w:sz w:val="20"/>
                <w:szCs w:val="20"/>
              </w:rPr>
              <w:t>F</w:t>
            </w:r>
            <w:r w:rsidRPr="00202908">
              <w:rPr>
                <w:rFonts w:eastAsia="Calibri" w:cs="Times New Roman"/>
                <w:sz w:val="20"/>
                <w:szCs w:val="20"/>
              </w:rPr>
              <w:t>.</w:t>
            </w:r>
            <w:r>
              <w:rPr>
                <w:rFonts w:eastAsia="Calibri" w:cs="Times New Roman"/>
                <w:sz w:val="20"/>
                <w:szCs w:val="20"/>
              </w:rPr>
              <w:t>C.)</w:t>
            </w:r>
            <w:r w:rsidRPr="00202908">
              <w:rPr>
                <w:rFonts w:eastAsia="Calibri" w:cs="Times New Roman"/>
                <w:sz w:val="20"/>
                <w:szCs w:val="20"/>
              </w:rPr>
              <w:t xml:space="preserve"> </w:t>
            </w:r>
            <w:r w:rsidRPr="005B6C58">
              <w:rPr>
                <w:rFonts w:eastAsia="Calibri" w:cs="Times New Roman"/>
                <w:sz w:val="20"/>
                <w:szCs w:val="20"/>
              </w:rPr>
              <w:t>(Ci</w:t>
            </w:r>
            <w:r>
              <w:rPr>
                <w:rFonts w:eastAsia="Calibri" w:cs="Times New Roman"/>
                <w:sz w:val="20"/>
                <w:szCs w:val="20"/>
              </w:rPr>
              <w:t>v</w:t>
            </w:r>
            <w:r w:rsidRPr="005B6C58">
              <w:rPr>
                <w:rFonts w:eastAsia="Calibri" w:cs="Times New Roman"/>
                <w:sz w:val="20"/>
                <w:szCs w:val="20"/>
              </w:rPr>
              <w:t>il) (</w:t>
            </w:r>
            <w:r>
              <w:rPr>
                <w:rFonts w:eastAsia="Calibri" w:cs="Times New Roman"/>
                <w:sz w:val="20"/>
                <w:szCs w:val="20"/>
              </w:rPr>
              <w:t>By Leave</w:t>
            </w:r>
            <w:r w:rsidRPr="005B6C58">
              <w:rPr>
                <w:rFonts w:eastAsia="Calibri" w:cs="Times New Roman"/>
                <w:sz w:val="20"/>
                <w:szCs w:val="20"/>
              </w:rPr>
              <w:t>) (3</w:t>
            </w:r>
            <w:r>
              <w:rPr>
                <w:rFonts w:eastAsia="Calibri" w:cs="Times New Roman"/>
                <w:sz w:val="20"/>
                <w:szCs w:val="20"/>
              </w:rPr>
              <w:t>5685)</w:t>
            </w:r>
          </w:p>
          <w:p w:rsidR="000466A3" w:rsidRDefault="000466A3" w:rsidP="000466A3">
            <w:pPr>
              <w:jc w:val="both"/>
              <w:rPr>
                <w:rFonts w:eastAsia="Calibri" w:cs="Times New Roman"/>
                <w:sz w:val="20"/>
                <w:szCs w:val="20"/>
              </w:rPr>
            </w:pPr>
            <w:r>
              <w:rPr>
                <w:rFonts w:eastAsia="Calibri" w:cs="Times New Roman"/>
                <w:sz w:val="20"/>
                <w:szCs w:val="20"/>
              </w:rPr>
              <w:t>(Early start time: 9:00 a.m. / Horaire modifié : audience débutant à 9 h)</w:t>
            </w:r>
          </w:p>
          <w:p w:rsidR="000466A3" w:rsidRDefault="000466A3" w:rsidP="00C815AC">
            <w:pPr>
              <w:jc w:val="both"/>
              <w:rPr>
                <w:rFonts w:eastAsia="Calibri" w:cs="Times New Roman"/>
                <w:sz w:val="20"/>
                <w:szCs w:val="20"/>
              </w:rPr>
            </w:pPr>
          </w:p>
          <w:p w:rsidR="000466A3" w:rsidRDefault="000466A3" w:rsidP="00C815AC">
            <w:pPr>
              <w:jc w:val="both"/>
              <w:rPr>
                <w:rFonts w:eastAsia="Calibri" w:cs="Times New Roman"/>
                <w:sz w:val="20"/>
                <w:szCs w:val="20"/>
              </w:rPr>
            </w:pPr>
            <w:r>
              <w:rPr>
                <w:rFonts w:eastAsia="Calibri" w:cs="Times New Roman"/>
                <w:i/>
                <w:sz w:val="20"/>
                <w:szCs w:val="20"/>
              </w:rPr>
              <w:t>J.P. et al. v. Minist</w:t>
            </w:r>
            <w:r w:rsidRPr="00202908">
              <w:rPr>
                <w:rFonts w:eastAsia="Calibri" w:cs="Times New Roman"/>
                <w:i/>
                <w:sz w:val="20"/>
                <w:szCs w:val="20"/>
              </w:rPr>
              <w:t xml:space="preserve">er </w:t>
            </w:r>
            <w:r>
              <w:rPr>
                <w:rFonts w:eastAsia="Calibri" w:cs="Times New Roman"/>
                <w:i/>
                <w:sz w:val="20"/>
                <w:szCs w:val="20"/>
              </w:rPr>
              <w:t>of Public S</w:t>
            </w:r>
            <w:r w:rsidRPr="00202908">
              <w:rPr>
                <w:rFonts w:eastAsia="Calibri" w:cs="Times New Roman"/>
                <w:i/>
                <w:sz w:val="20"/>
                <w:szCs w:val="20"/>
              </w:rPr>
              <w:t>a</w:t>
            </w:r>
            <w:r>
              <w:rPr>
                <w:rFonts w:eastAsia="Calibri" w:cs="Times New Roman"/>
                <w:i/>
                <w:sz w:val="20"/>
                <w:szCs w:val="20"/>
              </w:rPr>
              <w:t>f</w:t>
            </w:r>
            <w:r w:rsidRPr="00202908">
              <w:rPr>
                <w:rFonts w:eastAsia="Calibri" w:cs="Times New Roman"/>
                <w:i/>
                <w:sz w:val="20"/>
                <w:szCs w:val="20"/>
              </w:rPr>
              <w:t xml:space="preserve">ety </w:t>
            </w:r>
            <w:r>
              <w:rPr>
                <w:rFonts w:eastAsia="Calibri" w:cs="Times New Roman"/>
                <w:i/>
                <w:sz w:val="20"/>
                <w:szCs w:val="20"/>
              </w:rPr>
              <w:t>and Emergency Preparedness</w:t>
            </w:r>
            <w:r w:rsidRPr="00202908">
              <w:rPr>
                <w:rFonts w:eastAsia="Calibri" w:cs="Times New Roman"/>
                <w:sz w:val="20"/>
                <w:szCs w:val="20"/>
              </w:rPr>
              <w:t xml:space="preserve"> (</w:t>
            </w:r>
            <w:r>
              <w:rPr>
                <w:rFonts w:eastAsia="Calibri" w:cs="Times New Roman"/>
                <w:sz w:val="20"/>
                <w:szCs w:val="20"/>
              </w:rPr>
              <w:t>F</w:t>
            </w:r>
            <w:r w:rsidRPr="00202908">
              <w:rPr>
                <w:rFonts w:eastAsia="Calibri" w:cs="Times New Roman"/>
                <w:sz w:val="20"/>
                <w:szCs w:val="20"/>
              </w:rPr>
              <w:t>.</w:t>
            </w:r>
            <w:r>
              <w:rPr>
                <w:rFonts w:eastAsia="Calibri" w:cs="Times New Roman"/>
                <w:sz w:val="20"/>
                <w:szCs w:val="20"/>
              </w:rPr>
              <w:t>C.)</w:t>
            </w:r>
            <w:r w:rsidRPr="00202908">
              <w:rPr>
                <w:rFonts w:eastAsia="Calibri" w:cs="Times New Roman"/>
                <w:sz w:val="20"/>
                <w:szCs w:val="20"/>
              </w:rPr>
              <w:t xml:space="preserve"> </w:t>
            </w:r>
            <w:r w:rsidRPr="005B6C58">
              <w:rPr>
                <w:rFonts w:eastAsia="Calibri" w:cs="Times New Roman"/>
                <w:sz w:val="20"/>
                <w:szCs w:val="20"/>
              </w:rPr>
              <w:t>(Ci</w:t>
            </w:r>
            <w:r>
              <w:rPr>
                <w:rFonts w:eastAsia="Calibri" w:cs="Times New Roman"/>
                <w:sz w:val="20"/>
                <w:szCs w:val="20"/>
              </w:rPr>
              <w:t>v</w:t>
            </w:r>
            <w:r w:rsidRPr="005B6C58">
              <w:rPr>
                <w:rFonts w:eastAsia="Calibri" w:cs="Times New Roman"/>
                <w:sz w:val="20"/>
                <w:szCs w:val="20"/>
              </w:rPr>
              <w:t>il) (</w:t>
            </w:r>
            <w:r>
              <w:rPr>
                <w:rFonts w:eastAsia="Calibri" w:cs="Times New Roman"/>
                <w:sz w:val="20"/>
                <w:szCs w:val="20"/>
              </w:rPr>
              <w:t>By Leave</w:t>
            </w:r>
            <w:r w:rsidRPr="005B6C58">
              <w:rPr>
                <w:rFonts w:eastAsia="Calibri" w:cs="Times New Roman"/>
                <w:sz w:val="20"/>
                <w:szCs w:val="20"/>
              </w:rPr>
              <w:t>) (3</w:t>
            </w:r>
            <w:r>
              <w:rPr>
                <w:rFonts w:eastAsia="Calibri" w:cs="Times New Roman"/>
                <w:sz w:val="20"/>
                <w:szCs w:val="20"/>
              </w:rPr>
              <w:t>5688)</w:t>
            </w:r>
          </w:p>
          <w:p w:rsidR="000466A3" w:rsidRDefault="000466A3" w:rsidP="000466A3">
            <w:pPr>
              <w:jc w:val="both"/>
              <w:rPr>
                <w:rFonts w:eastAsia="Calibri" w:cs="Times New Roman"/>
                <w:sz w:val="20"/>
                <w:szCs w:val="20"/>
              </w:rPr>
            </w:pPr>
            <w:r>
              <w:rPr>
                <w:rFonts w:eastAsia="Calibri" w:cs="Times New Roman"/>
                <w:sz w:val="20"/>
                <w:szCs w:val="20"/>
              </w:rPr>
              <w:t>(Early start time: 9:00 a.m. / Horaire modifié : audience débutant à 9 h)</w:t>
            </w:r>
          </w:p>
          <w:p w:rsidR="00D56B38" w:rsidRDefault="00D56B38" w:rsidP="00C815AC">
            <w:pPr>
              <w:jc w:val="both"/>
              <w:rPr>
                <w:rFonts w:eastAsia="Calibri" w:cs="Times New Roman"/>
                <w:i/>
                <w:sz w:val="20"/>
                <w:szCs w:val="20"/>
              </w:rPr>
            </w:pPr>
          </w:p>
          <w:p w:rsidR="000466A3" w:rsidRDefault="000466A3" w:rsidP="00C815AC">
            <w:pPr>
              <w:jc w:val="both"/>
              <w:rPr>
                <w:rFonts w:eastAsia="Calibri" w:cs="Times New Roman"/>
                <w:sz w:val="20"/>
                <w:szCs w:val="20"/>
              </w:rPr>
            </w:pPr>
            <w:r>
              <w:rPr>
                <w:rFonts w:eastAsia="Calibri" w:cs="Times New Roman"/>
                <w:i/>
                <w:sz w:val="20"/>
                <w:szCs w:val="20"/>
              </w:rPr>
              <w:t>B010 v. Minist</w:t>
            </w:r>
            <w:r w:rsidRPr="00202908">
              <w:rPr>
                <w:rFonts w:eastAsia="Calibri" w:cs="Times New Roman"/>
                <w:i/>
                <w:sz w:val="20"/>
                <w:szCs w:val="20"/>
              </w:rPr>
              <w:t xml:space="preserve">er </w:t>
            </w:r>
            <w:r>
              <w:rPr>
                <w:rFonts w:eastAsia="Calibri" w:cs="Times New Roman"/>
                <w:i/>
                <w:sz w:val="20"/>
                <w:szCs w:val="20"/>
              </w:rPr>
              <w:t xml:space="preserve">of Citizenship </w:t>
            </w:r>
            <w:r w:rsidRPr="00202908">
              <w:rPr>
                <w:rFonts w:eastAsia="Calibri" w:cs="Times New Roman"/>
                <w:i/>
                <w:sz w:val="20"/>
                <w:szCs w:val="20"/>
              </w:rPr>
              <w:t>a</w:t>
            </w:r>
            <w:r>
              <w:rPr>
                <w:rFonts w:eastAsia="Calibri" w:cs="Times New Roman"/>
                <w:i/>
                <w:sz w:val="20"/>
                <w:szCs w:val="20"/>
              </w:rPr>
              <w:t>nd Immigra</w:t>
            </w:r>
            <w:r w:rsidRPr="00202908">
              <w:rPr>
                <w:rFonts w:eastAsia="Calibri" w:cs="Times New Roman"/>
                <w:i/>
                <w:sz w:val="20"/>
                <w:szCs w:val="20"/>
              </w:rPr>
              <w:t>t</w:t>
            </w:r>
            <w:r>
              <w:rPr>
                <w:rFonts w:eastAsia="Calibri" w:cs="Times New Roman"/>
                <w:i/>
                <w:sz w:val="20"/>
                <w:szCs w:val="20"/>
              </w:rPr>
              <w:t>io</w:t>
            </w:r>
            <w:r w:rsidRPr="00202908">
              <w:rPr>
                <w:rFonts w:eastAsia="Calibri" w:cs="Times New Roman"/>
                <w:i/>
                <w:sz w:val="20"/>
                <w:szCs w:val="20"/>
              </w:rPr>
              <w:t>n</w:t>
            </w:r>
            <w:r>
              <w:rPr>
                <w:rFonts w:eastAsia="Calibri" w:cs="Times New Roman"/>
                <w:i/>
                <w:sz w:val="20"/>
                <w:szCs w:val="20"/>
              </w:rPr>
              <w:t xml:space="preserve"> </w:t>
            </w:r>
            <w:r w:rsidRPr="00202908">
              <w:rPr>
                <w:rFonts w:eastAsia="Calibri" w:cs="Times New Roman"/>
                <w:sz w:val="20"/>
                <w:szCs w:val="20"/>
              </w:rPr>
              <w:t>(</w:t>
            </w:r>
            <w:r>
              <w:rPr>
                <w:rFonts w:eastAsia="Calibri" w:cs="Times New Roman"/>
                <w:sz w:val="20"/>
                <w:szCs w:val="20"/>
              </w:rPr>
              <w:t>F.C</w:t>
            </w:r>
            <w:r w:rsidRPr="00202908">
              <w:rPr>
                <w:rFonts w:eastAsia="Calibri" w:cs="Times New Roman"/>
                <w:sz w:val="20"/>
                <w:szCs w:val="20"/>
              </w:rPr>
              <w:t xml:space="preserve">.) </w:t>
            </w:r>
            <w:r w:rsidRPr="005B6C58">
              <w:rPr>
                <w:rFonts w:eastAsia="Calibri" w:cs="Times New Roman"/>
                <w:sz w:val="20"/>
                <w:szCs w:val="20"/>
              </w:rPr>
              <w:t>(Ci</w:t>
            </w:r>
            <w:r>
              <w:rPr>
                <w:rFonts w:eastAsia="Calibri" w:cs="Times New Roman"/>
                <w:sz w:val="20"/>
                <w:szCs w:val="20"/>
              </w:rPr>
              <w:t>v</w:t>
            </w:r>
            <w:r w:rsidRPr="005B6C58">
              <w:rPr>
                <w:rFonts w:eastAsia="Calibri" w:cs="Times New Roman"/>
                <w:sz w:val="20"/>
                <w:szCs w:val="20"/>
              </w:rPr>
              <w:t>il) (</w:t>
            </w:r>
            <w:r>
              <w:rPr>
                <w:rFonts w:eastAsia="Calibri" w:cs="Times New Roman"/>
                <w:sz w:val="20"/>
                <w:szCs w:val="20"/>
              </w:rPr>
              <w:t>By Leave</w:t>
            </w:r>
            <w:r w:rsidRPr="005B6C58">
              <w:rPr>
                <w:rFonts w:eastAsia="Calibri" w:cs="Times New Roman"/>
                <w:sz w:val="20"/>
                <w:szCs w:val="20"/>
              </w:rPr>
              <w:t>) (3</w:t>
            </w:r>
            <w:r>
              <w:rPr>
                <w:rFonts w:eastAsia="Calibri" w:cs="Times New Roman"/>
                <w:sz w:val="20"/>
                <w:szCs w:val="20"/>
              </w:rPr>
              <w:t>5388)</w:t>
            </w:r>
          </w:p>
          <w:p w:rsidR="000466A3" w:rsidRDefault="000466A3" w:rsidP="000466A3">
            <w:pPr>
              <w:jc w:val="both"/>
              <w:rPr>
                <w:rFonts w:eastAsia="Calibri" w:cs="Times New Roman"/>
                <w:sz w:val="20"/>
                <w:szCs w:val="20"/>
              </w:rPr>
            </w:pPr>
            <w:r>
              <w:rPr>
                <w:rFonts w:eastAsia="Calibri" w:cs="Times New Roman"/>
                <w:sz w:val="20"/>
                <w:szCs w:val="20"/>
              </w:rPr>
              <w:t>(Early start time: 9:00 a.m. / Horaire modifié : audience débutant à 9 h)</w:t>
            </w:r>
          </w:p>
          <w:p w:rsidR="000466A3" w:rsidRDefault="000466A3" w:rsidP="00C815AC">
            <w:pPr>
              <w:jc w:val="both"/>
              <w:rPr>
                <w:rFonts w:eastAsia="Calibri" w:cs="Times New Roman"/>
                <w:i/>
                <w:sz w:val="20"/>
                <w:szCs w:val="20"/>
              </w:rPr>
            </w:pPr>
          </w:p>
          <w:p w:rsidR="000466A3" w:rsidRDefault="000466A3" w:rsidP="00C815AC">
            <w:pPr>
              <w:jc w:val="both"/>
              <w:rPr>
                <w:rFonts w:eastAsia="Calibri" w:cs="Times New Roman"/>
                <w:i/>
                <w:sz w:val="20"/>
                <w:szCs w:val="20"/>
              </w:rPr>
            </w:pPr>
            <w:r>
              <w:rPr>
                <w:rFonts w:eastAsia="Calibri" w:cs="Times New Roman"/>
                <w:i/>
                <w:sz w:val="20"/>
                <w:szCs w:val="20"/>
              </w:rPr>
              <w:t xml:space="preserve">Francis Anthonimuthu Appulonappa et al. v. </w:t>
            </w:r>
            <w:r w:rsidRPr="00202908">
              <w:rPr>
                <w:rFonts w:eastAsia="Calibri" w:cs="Times New Roman"/>
                <w:i/>
                <w:sz w:val="20"/>
                <w:szCs w:val="20"/>
              </w:rPr>
              <w:t>Her Majesty the</w:t>
            </w:r>
            <w:r>
              <w:rPr>
                <w:rFonts w:eastAsia="Calibri" w:cs="Times New Roman"/>
                <w:i/>
                <w:sz w:val="20"/>
                <w:szCs w:val="20"/>
              </w:rPr>
              <w:t xml:space="preserve"> Quee</w:t>
            </w:r>
            <w:r w:rsidRPr="00202908">
              <w:rPr>
                <w:rFonts w:eastAsia="Calibri" w:cs="Times New Roman"/>
                <w:i/>
                <w:sz w:val="20"/>
                <w:szCs w:val="20"/>
              </w:rPr>
              <w:t>n</w:t>
            </w:r>
            <w:r>
              <w:rPr>
                <w:rFonts w:eastAsia="Calibri" w:cs="Times New Roman"/>
                <w:i/>
                <w:sz w:val="20"/>
                <w:szCs w:val="20"/>
              </w:rPr>
              <w:t xml:space="preserve"> et al. </w:t>
            </w:r>
            <w:r w:rsidRPr="00202908">
              <w:rPr>
                <w:rFonts w:eastAsia="Calibri" w:cs="Times New Roman"/>
                <w:sz w:val="20"/>
                <w:szCs w:val="20"/>
              </w:rPr>
              <w:t>(</w:t>
            </w:r>
            <w:r>
              <w:rPr>
                <w:rFonts w:eastAsia="Calibri" w:cs="Times New Roman"/>
                <w:sz w:val="20"/>
                <w:szCs w:val="20"/>
              </w:rPr>
              <w:t>B.C</w:t>
            </w:r>
            <w:r w:rsidRPr="00202908">
              <w:rPr>
                <w:rFonts w:eastAsia="Calibri" w:cs="Times New Roman"/>
                <w:sz w:val="20"/>
                <w:szCs w:val="20"/>
              </w:rPr>
              <w:t xml:space="preserve">.) </w:t>
            </w:r>
            <w:r w:rsidRPr="005B6C58">
              <w:rPr>
                <w:rFonts w:eastAsia="Calibri" w:cs="Times New Roman"/>
                <w:sz w:val="20"/>
                <w:szCs w:val="20"/>
              </w:rPr>
              <w:t>(C</w:t>
            </w:r>
            <w:r>
              <w:rPr>
                <w:rFonts w:eastAsia="Calibri" w:cs="Times New Roman"/>
                <w:sz w:val="20"/>
                <w:szCs w:val="20"/>
              </w:rPr>
              <w:t>r</w:t>
            </w:r>
            <w:r w:rsidRPr="005B6C58">
              <w:rPr>
                <w:rFonts w:eastAsia="Calibri" w:cs="Times New Roman"/>
                <w:sz w:val="20"/>
                <w:szCs w:val="20"/>
              </w:rPr>
              <w:t>i</w:t>
            </w:r>
            <w:r>
              <w:rPr>
                <w:rFonts w:eastAsia="Calibri" w:cs="Times New Roman"/>
                <w:sz w:val="20"/>
                <w:szCs w:val="20"/>
              </w:rPr>
              <w:t>m</w:t>
            </w:r>
            <w:r w:rsidRPr="005B6C58">
              <w:rPr>
                <w:rFonts w:eastAsia="Calibri" w:cs="Times New Roman"/>
                <w:sz w:val="20"/>
                <w:szCs w:val="20"/>
              </w:rPr>
              <w:t>i</w:t>
            </w:r>
            <w:r>
              <w:rPr>
                <w:rFonts w:eastAsia="Calibri" w:cs="Times New Roman"/>
                <w:sz w:val="20"/>
                <w:szCs w:val="20"/>
              </w:rPr>
              <w:t>na</w:t>
            </w:r>
            <w:r w:rsidRPr="005B6C58">
              <w:rPr>
                <w:rFonts w:eastAsia="Calibri" w:cs="Times New Roman"/>
                <w:sz w:val="20"/>
                <w:szCs w:val="20"/>
              </w:rPr>
              <w:t>l) (</w:t>
            </w:r>
            <w:r>
              <w:rPr>
                <w:rFonts w:eastAsia="Calibri" w:cs="Times New Roman"/>
                <w:sz w:val="20"/>
                <w:szCs w:val="20"/>
              </w:rPr>
              <w:t>By Leave)</w:t>
            </w:r>
            <w:r w:rsidRPr="005B6C58">
              <w:rPr>
                <w:rFonts w:eastAsia="Calibri" w:cs="Times New Roman"/>
                <w:sz w:val="20"/>
                <w:szCs w:val="20"/>
              </w:rPr>
              <w:t xml:space="preserve"> (3</w:t>
            </w:r>
            <w:r>
              <w:rPr>
                <w:rFonts w:eastAsia="Calibri" w:cs="Times New Roman"/>
                <w:sz w:val="20"/>
                <w:szCs w:val="20"/>
              </w:rPr>
              <w:t>5958)</w:t>
            </w:r>
          </w:p>
          <w:p w:rsidR="000466A3" w:rsidRDefault="000466A3" w:rsidP="000466A3">
            <w:pPr>
              <w:jc w:val="both"/>
              <w:rPr>
                <w:rFonts w:eastAsia="Calibri" w:cs="Times New Roman"/>
                <w:sz w:val="20"/>
                <w:szCs w:val="20"/>
              </w:rPr>
            </w:pPr>
            <w:r>
              <w:rPr>
                <w:rFonts w:eastAsia="Calibri" w:cs="Times New Roman"/>
                <w:sz w:val="20"/>
                <w:szCs w:val="20"/>
              </w:rPr>
              <w:t>(Early start time: 9:00 a.m. / Horaire modifié : audience débutant à 9 h)</w:t>
            </w:r>
          </w:p>
          <w:p w:rsidR="000466A3" w:rsidRPr="00202908" w:rsidRDefault="000466A3" w:rsidP="00C815AC">
            <w:pPr>
              <w:jc w:val="both"/>
              <w:rPr>
                <w:rFonts w:eastAsia="Calibri" w:cs="Times New Roman"/>
                <w:i/>
                <w:sz w:val="20"/>
                <w:szCs w:val="20"/>
              </w:rPr>
            </w:pPr>
          </w:p>
        </w:tc>
      </w:tr>
      <w:tr w:rsidR="004E7877" w:rsidRPr="00C102AE" w:rsidTr="000466A3">
        <w:trPr>
          <w:trHeight w:hRule="exact" w:val="432"/>
        </w:trPr>
        <w:tc>
          <w:tcPr>
            <w:tcW w:w="2398" w:type="dxa"/>
          </w:tcPr>
          <w:p w:rsidR="004E7877" w:rsidRDefault="004E7877" w:rsidP="004E7877">
            <w:pPr>
              <w:rPr>
                <w:rFonts w:eastAsia="Calibri" w:cs="Times New Roman"/>
                <w:sz w:val="20"/>
                <w:szCs w:val="20"/>
              </w:rPr>
            </w:pPr>
            <w:r>
              <w:rPr>
                <w:rFonts w:eastAsia="Calibri" w:cs="Times New Roman"/>
                <w:sz w:val="20"/>
                <w:szCs w:val="20"/>
              </w:rPr>
              <w:lastRenderedPageBreak/>
              <w:t>2015</w:t>
            </w:r>
            <w:r w:rsidRPr="003A74F5">
              <w:rPr>
                <w:rFonts w:eastAsia="Calibri" w:cs="Times New Roman"/>
                <w:sz w:val="20"/>
                <w:szCs w:val="20"/>
              </w:rPr>
              <w:t>-</w:t>
            </w:r>
            <w:r>
              <w:rPr>
                <w:rFonts w:eastAsia="Calibri" w:cs="Times New Roman"/>
                <w:sz w:val="20"/>
                <w:szCs w:val="20"/>
              </w:rPr>
              <w:t>02-19</w:t>
            </w:r>
          </w:p>
        </w:tc>
        <w:tc>
          <w:tcPr>
            <w:tcW w:w="7178" w:type="dxa"/>
          </w:tcPr>
          <w:p w:rsidR="004E7877" w:rsidRPr="00A708C5" w:rsidRDefault="004E7877" w:rsidP="005B22AF">
            <w:pPr>
              <w:jc w:val="both"/>
              <w:rPr>
                <w:rFonts w:eastAsia="Calibri" w:cs="Times New Roman"/>
                <w:i/>
                <w:sz w:val="20"/>
                <w:szCs w:val="20"/>
                <w:lang w:val="fr-CA"/>
              </w:rPr>
            </w:pPr>
            <w:r w:rsidRPr="005B22AF">
              <w:rPr>
                <w:rFonts w:eastAsia="Calibri" w:cs="Times New Roman"/>
                <w:i/>
                <w:sz w:val="20"/>
                <w:szCs w:val="20"/>
              </w:rPr>
              <w:t>C</w:t>
            </w:r>
            <w:r w:rsidR="005B22AF" w:rsidRPr="005B22AF">
              <w:rPr>
                <w:rFonts w:eastAsia="Calibri" w:cs="Times New Roman"/>
                <w:i/>
                <w:sz w:val="20"/>
                <w:szCs w:val="20"/>
              </w:rPr>
              <w:t>la</w:t>
            </w:r>
            <w:r w:rsidRPr="005B22AF">
              <w:rPr>
                <w:rFonts w:eastAsia="Calibri" w:cs="Times New Roman"/>
                <w:i/>
                <w:sz w:val="20"/>
                <w:szCs w:val="20"/>
              </w:rPr>
              <w:t>din</w:t>
            </w:r>
            <w:r w:rsidR="005B22AF" w:rsidRPr="005B22AF">
              <w:rPr>
                <w:rFonts w:eastAsia="Calibri" w:cs="Times New Roman"/>
                <w:i/>
                <w:sz w:val="20"/>
                <w:szCs w:val="20"/>
              </w:rPr>
              <w:t>oro Perrone v</w:t>
            </w:r>
            <w:r w:rsidRPr="005B22AF">
              <w:rPr>
                <w:rFonts w:eastAsia="Calibri" w:cs="Times New Roman"/>
                <w:i/>
                <w:sz w:val="20"/>
                <w:szCs w:val="20"/>
              </w:rPr>
              <w:t xml:space="preserve">. </w:t>
            </w:r>
            <w:r w:rsidR="005B22AF" w:rsidRPr="00202908">
              <w:rPr>
                <w:rFonts w:eastAsia="Calibri" w:cs="Times New Roman"/>
                <w:i/>
                <w:sz w:val="20"/>
                <w:szCs w:val="20"/>
              </w:rPr>
              <w:t>Her Majesty the</w:t>
            </w:r>
            <w:r w:rsidR="005B22AF">
              <w:rPr>
                <w:rFonts w:eastAsia="Calibri" w:cs="Times New Roman"/>
                <w:i/>
                <w:sz w:val="20"/>
                <w:szCs w:val="20"/>
              </w:rPr>
              <w:t xml:space="preserve"> Quee</w:t>
            </w:r>
            <w:r w:rsidR="005B22AF" w:rsidRPr="00202908">
              <w:rPr>
                <w:rFonts w:eastAsia="Calibri" w:cs="Times New Roman"/>
                <w:i/>
                <w:sz w:val="20"/>
                <w:szCs w:val="20"/>
              </w:rPr>
              <w:t>n</w:t>
            </w:r>
            <w:r w:rsidR="005B22AF">
              <w:rPr>
                <w:rFonts w:eastAsia="Calibri" w:cs="Times New Roman"/>
                <w:i/>
                <w:sz w:val="20"/>
                <w:szCs w:val="20"/>
              </w:rPr>
              <w:t xml:space="preserve"> </w:t>
            </w:r>
            <w:r w:rsidRPr="005B22AF">
              <w:rPr>
                <w:rFonts w:eastAsia="Calibri" w:cs="Times New Roman"/>
                <w:sz w:val="20"/>
                <w:szCs w:val="20"/>
              </w:rPr>
              <w:t>(</w:t>
            </w:r>
            <w:r w:rsidR="005B22AF" w:rsidRPr="005B22AF">
              <w:rPr>
                <w:rFonts w:eastAsia="Calibri" w:cs="Times New Roman"/>
                <w:sz w:val="20"/>
                <w:szCs w:val="20"/>
              </w:rPr>
              <w:t>Man.</w:t>
            </w:r>
            <w:r w:rsidRPr="005B22AF">
              <w:rPr>
                <w:rFonts w:eastAsia="Calibri" w:cs="Times New Roman"/>
                <w:sz w:val="20"/>
                <w:szCs w:val="20"/>
              </w:rPr>
              <w:t xml:space="preserve">) </w:t>
            </w:r>
            <w:r w:rsidRPr="00A708C5">
              <w:rPr>
                <w:rFonts w:eastAsia="Calibri" w:cs="Times New Roman"/>
                <w:sz w:val="20"/>
                <w:szCs w:val="20"/>
                <w:lang w:val="fr-CA"/>
              </w:rPr>
              <w:t>(C</w:t>
            </w:r>
            <w:r w:rsidR="005B22AF">
              <w:rPr>
                <w:rFonts w:eastAsia="Calibri" w:cs="Times New Roman"/>
                <w:sz w:val="20"/>
                <w:szCs w:val="20"/>
                <w:lang w:val="fr-CA"/>
              </w:rPr>
              <w:t>r</w:t>
            </w:r>
            <w:r w:rsidRPr="00A708C5">
              <w:rPr>
                <w:rFonts w:eastAsia="Calibri" w:cs="Times New Roman"/>
                <w:sz w:val="20"/>
                <w:szCs w:val="20"/>
                <w:lang w:val="fr-CA"/>
              </w:rPr>
              <w:t>i</w:t>
            </w:r>
            <w:r w:rsidR="005B22AF">
              <w:rPr>
                <w:rFonts w:eastAsia="Calibri" w:cs="Times New Roman"/>
                <w:sz w:val="20"/>
                <w:szCs w:val="20"/>
                <w:lang w:val="fr-CA"/>
              </w:rPr>
              <w:t>m</w:t>
            </w:r>
            <w:r w:rsidRPr="00A708C5">
              <w:rPr>
                <w:rFonts w:eastAsia="Calibri" w:cs="Times New Roman"/>
                <w:sz w:val="20"/>
                <w:szCs w:val="20"/>
                <w:lang w:val="fr-CA"/>
              </w:rPr>
              <w:t>i</w:t>
            </w:r>
            <w:r w:rsidR="005B22AF">
              <w:rPr>
                <w:rFonts w:eastAsia="Calibri" w:cs="Times New Roman"/>
                <w:sz w:val="20"/>
                <w:szCs w:val="20"/>
                <w:lang w:val="fr-CA"/>
              </w:rPr>
              <w:t>na</w:t>
            </w:r>
            <w:r w:rsidRPr="00A708C5">
              <w:rPr>
                <w:rFonts w:eastAsia="Calibri" w:cs="Times New Roman"/>
                <w:sz w:val="20"/>
                <w:szCs w:val="20"/>
                <w:lang w:val="fr-CA"/>
              </w:rPr>
              <w:t>l) (A</w:t>
            </w:r>
            <w:r w:rsidR="005B22AF">
              <w:rPr>
                <w:rFonts w:eastAsia="Calibri" w:cs="Times New Roman"/>
                <w:sz w:val="20"/>
                <w:szCs w:val="20"/>
                <w:lang w:val="fr-CA"/>
              </w:rPr>
              <w:t xml:space="preserve">s </w:t>
            </w:r>
            <w:r w:rsidRPr="00A708C5">
              <w:rPr>
                <w:rFonts w:eastAsia="Calibri" w:cs="Times New Roman"/>
                <w:sz w:val="20"/>
                <w:szCs w:val="20"/>
                <w:lang w:val="fr-CA"/>
              </w:rPr>
              <w:t>o</w:t>
            </w:r>
            <w:r w:rsidR="005B22AF">
              <w:rPr>
                <w:rFonts w:eastAsia="Calibri" w:cs="Times New Roman"/>
                <w:sz w:val="20"/>
                <w:szCs w:val="20"/>
                <w:lang w:val="fr-CA"/>
              </w:rPr>
              <w:t>f R</w:t>
            </w:r>
            <w:r w:rsidRPr="00A708C5">
              <w:rPr>
                <w:rFonts w:eastAsia="Calibri" w:cs="Times New Roman"/>
                <w:sz w:val="20"/>
                <w:szCs w:val="20"/>
                <w:lang w:val="fr-CA"/>
              </w:rPr>
              <w:t>i</w:t>
            </w:r>
            <w:r w:rsidR="005B22AF">
              <w:rPr>
                <w:rFonts w:eastAsia="Calibri" w:cs="Times New Roman"/>
                <w:sz w:val="20"/>
                <w:szCs w:val="20"/>
                <w:lang w:val="fr-CA"/>
              </w:rPr>
              <w:t>gh</w:t>
            </w:r>
            <w:r w:rsidRPr="00A708C5">
              <w:rPr>
                <w:rFonts w:eastAsia="Calibri" w:cs="Times New Roman"/>
                <w:sz w:val="20"/>
                <w:szCs w:val="20"/>
                <w:lang w:val="fr-CA"/>
              </w:rPr>
              <w:t>t) (3</w:t>
            </w:r>
            <w:r w:rsidR="005B22AF">
              <w:rPr>
                <w:rFonts w:eastAsia="Calibri" w:cs="Times New Roman"/>
                <w:sz w:val="20"/>
                <w:szCs w:val="20"/>
                <w:lang w:val="fr-CA"/>
              </w:rPr>
              <w:t>602</w:t>
            </w:r>
            <w:r>
              <w:rPr>
                <w:rFonts w:eastAsia="Calibri" w:cs="Times New Roman"/>
                <w:sz w:val="20"/>
                <w:szCs w:val="20"/>
                <w:lang w:val="fr-CA"/>
              </w:rPr>
              <w:t>1</w:t>
            </w:r>
            <w:r w:rsidRPr="00A708C5">
              <w:rPr>
                <w:rFonts w:eastAsia="Calibri" w:cs="Times New Roman"/>
                <w:sz w:val="20"/>
                <w:szCs w:val="20"/>
                <w:lang w:val="fr-CA"/>
              </w:rPr>
              <w:t>)</w:t>
            </w:r>
          </w:p>
        </w:tc>
      </w:tr>
    </w:tbl>
    <w:p w:rsidR="005F1ED8" w:rsidRDefault="005F1ED8" w:rsidP="004B66B4">
      <w:pPr>
        <w:rPr>
          <w:sz w:val="20"/>
          <w:szCs w:val="20"/>
          <w:lang w:val="fr-CA"/>
        </w:rPr>
      </w:pPr>
    </w:p>
    <w:p w:rsidR="004B66B4" w:rsidRPr="00DD0B49" w:rsidRDefault="00E42AAB" w:rsidP="002868D0">
      <w:pPr>
        <w:jc w:val="both"/>
        <w:rPr>
          <w:sz w:val="20"/>
          <w:szCs w:val="20"/>
        </w:rPr>
      </w:pPr>
      <w:r>
        <w:rPr>
          <w:sz w:val="20"/>
          <w:szCs w:val="20"/>
          <w:lang w:val="fr-CA"/>
        </w:rPr>
        <w:pict>
          <v:rect id="_x0000_i1120" style="width:2in;height:1pt" o:hrpct="0" o:hralign="center" o:hrstd="t" o:hrnoshade="t" o:hr="t" fillcolor="black [3213]" stroked="f"/>
        </w:pict>
      </w:r>
    </w:p>
    <w:p w:rsidR="004B66B4" w:rsidRPr="00DD0B49" w:rsidRDefault="004B66B4" w:rsidP="004B66B4">
      <w:pPr>
        <w:tabs>
          <w:tab w:val="left" w:pos="1980"/>
        </w:tabs>
        <w:jc w:val="both"/>
        <w:rPr>
          <w:sz w:val="20"/>
          <w:szCs w:val="20"/>
        </w:rPr>
      </w:pPr>
    </w:p>
    <w:p w:rsidR="004B66B4" w:rsidRPr="00DD0B49" w:rsidRDefault="004B66B4" w:rsidP="004B66B4">
      <w:pPr>
        <w:jc w:val="both"/>
        <w:rPr>
          <w:sz w:val="20"/>
          <w:szCs w:val="20"/>
        </w:rPr>
      </w:pPr>
      <w:r w:rsidRPr="00DD0B49">
        <w:rPr>
          <w:b/>
          <w:sz w:val="20"/>
          <w:szCs w:val="20"/>
        </w:rPr>
        <w:t>NOTE:</w:t>
      </w:r>
      <w:r w:rsidRPr="00DD0B49">
        <w:rPr>
          <w:sz w:val="20"/>
          <w:szCs w:val="20"/>
        </w:rPr>
        <w:t xml:space="preserve"> This agenda is subject to change. Hearings normally commence at 9:30 a.m.; however, cases with multiple parties often commence at 9:00 a.m.  Where two cases are scheduled on a given day, the second case may be heard immediately after the first one or at 2:00 p.m.  Hearing dates and times should be confirmed with Registry staff at 613</w:t>
      </w:r>
      <w:r w:rsidR="001F6B2D">
        <w:rPr>
          <w:sz w:val="20"/>
          <w:szCs w:val="20"/>
        </w:rPr>
        <w:t>-</w:t>
      </w:r>
      <w:r w:rsidRPr="00DD0B49">
        <w:rPr>
          <w:sz w:val="20"/>
          <w:szCs w:val="20"/>
        </w:rPr>
        <w:t xml:space="preserve"> 996-8666.</w:t>
      </w:r>
    </w:p>
    <w:p w:rsidR="004B66B4" w:rsidRPr="00DD0B49" w:rsidRDefault="004B66B4" w:rsidP="004B66B4">
      <w:pPr>
        <w:jc w:val="both"/>
        <w:rPr>
          <w:sz w:val="20"/>
          <w:szCs w:val="20"/>
        </w:rPr>
      </w:pPr>
    </w:p>
    <w:p w:rsidR="004B66B4" w:rsidRPr="00DD0B49" w:rsidRDefault="004B66B4" w:rsidP="004B66B4">
      <w:pPr>
        <w:jc w:val="both"/>
        <w:rPr>
          <w:sz w:val="20"/>
          <w:szCs w:val="20"/>
          <w:lang w:val="fr-CA"/>
        </w:rPr>
      </w:pPr>
      <w:r w:rsidRPr="00DD0B49">
        <w:rPr>
          <w:sz w:val="20"/>
          <w:szCs w:val="20"/>
          <w:lang w:val="fr-CA"/>
        </w:rPr>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613 996-8666.</w:t>
      </w:r>
    </w:p>
    <w:p w:rsidR="00C50A5C" w:rsidRDefault="00C50A5C" w:rsidP="0022323B">
      <w:pPr>
        <w:rPr>
          <w:sz w:val="20"/>
          <w:szCs w:val="20"/>
          <w:lang w:val="fr-CA"/>
        </w:rPr>
      </w:pPr>
    </w:p>
    <w:p w:rsidR="00102926" w:rsidRPr="00C50A5C" w:rsidRDefault="00102926" w:rsidP="00782AE4">
      <w:pPr>
        <w:jc w:val="both"/>
        <w:rPr>
          <w:sz w:val="20"/>
          <w:szCs w:val="20"/>
          <w:lang w:val="fr-CA"/>
        </w:rPr>
      </w:pPr>
    </w:p>
    <w:p w:rsidR="0022323B" w:rsidRPr="00C50A5C" w:rsidRDefault="0022323B" w:rsidP="00782AE4">
      <w:pPr>
        <w:jc w:val="both"/>
        <w:rPr>
          <w:sz w:val="20"/>
          <w:szCs w:val="20"/>
          <w:lang w:val="fr-CA"/>
        </w:rPr>
        <w:sectPr w:rsidR="0022323B" w:rsidRPr="00C50A5C" w:rsidSect="0022323B">
          <w:headerReference w:type="even" r:id="rId150"/>
          <w:headerReference w:type="default" r:id="rId151"/>
          <w:footerReference w:type="even" r:id="rId152"/>
          <w:footerReference w:type="default" r:id="rId153"/>
          <w:headerReference w:type="first" r:id="rId154"/>
          <w:footerReference w:type="first" r:id="rId155"/>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F263E" w:rsidRPr="00C50A5C" w:rsidTr="0085476B">
        <w:tc>
          <w:tcPr>
            <w:tcW w:w="4200" w:type="dxa"/>
            <w:shd w:val="clear" w:color="auto" w:fill="auto"/>
            <w:tcMar>
              <w:left w:w="0" w:type="dxa"/>
              <w:right w:w="0" w:type="dxa"/>
            </w:tcMar>
          </w:tcPr>
          <w:p w:rsidR="005F263E" w:rsidRPr="00C50A5C" w:rsidRDefault="005F263E" w:rsidP="006B6926">
            <w:pPr>
              <w:keepNext/>
              <w:keepLines/>
              <w:rPr>
                <w:b/>
                <w:szCs w:val="24"/>
              </w:rPr>
            </w:pPr>
            <w:r w:rsidRPr="00C50A5C">
              <w:rPr>
                <w:b/>
                <w:szCs w:val="24"/>
              </w:rPr>
              <w:lastRenderedPageBreak/>
              <w:t>SUMMARIES OF THE CASES</w:t>
            </w:r>
          </w:p>
        </w:tc>
        <w:tc>
          <w:tcPr>
            <w:tcW w:w="1200" w:type="dxa"/>
            <w:shd w:val="clear" w:color="auto" w:fill="auto"/>
            <w:tcMar>
              <w:left w:w="0" w:type="dxa"/>
              <w:right w:w="0" w:type="dxa"/>
            </w:tcMar>
          </w:tcPr>
          <w:p w:rsidR="005F263E" w:rsidRPr="00C50A5C" w:rsidRDefault="005F263E" w:rsidP="005F26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rsidR="005F263E" w:rsidRPr="00C50A5C" w:rsidRDefault="005F263E" w:rsidP="005F263E">
            <w:pPr>
              <w:keepNext/>
              <w:keepLines/>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tc>
        <w:tc>
          <w:tcPr>
            <w:tcW w:w="4080" w:type="dxa"/>
            <w:shd w:val="clear" w:color="auto" w:fill="auto"/>
            <w:tcMar>
              <w:left w:w="0" w:type="dxa"/>
              <w:right w:w="0" w:type="dxa"/>
            </w:tcMar>
          </w:tcPr>
          <w:p w:rsidR="005F263E" w:rsidRPr="00C50A5C" w:rsidRDefault="005F263E" w:rsidP="006B692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50A5C">
              <w:rPr>
                <w:b/>
                <w:szCs w:val="24"/>
                <w:lang w:val="fr-CA"/>
              </w:rPr>
              <w:t>RÉSUMÉS DES AFFAIRES</w:t>
            </w:r>
          </w:p>
        </w:tc>
      </w:tr>
    </w:tbl>
    <w:p w:rsidR="005F263E" w:rsidRPr="00C50A5C" w:rsidRDefault="005F263E" w:rsidP="005F263E">
      <w:pPr>
        <w:tabs>
          <w:tab w:val="left" w:pos="-1440"/>
          <w:tab w:val="left" w:pos="-720"/>
        </w:tabs>
        <w:ind w:left="720" w:hanging="720"/>
        <w:jc w:val="both"/>
        <w:rPr>
          <w:b/>
          <w:sz w:val="20"/>
          <w:szCs w:val="20"/>
        </w:rPr>
      </w:pPr>
    </w:p>
    <w:p w:rsidR="00675D04" w:rsidRPr="0039234D" w:rsidRDefault="006F7944" w:rsidP="00675D04">
      <w:pPr>
        <w:widowControl w:val="0"/>
        <w:ind w:left="720" w:hanging="720"/>
        <w:contextualSpacing/>
        <w:jc w:val="both"/>
        <w:rPr>
          <w:b/>
          <w:i/>
          <w:sz w:val="20"/>
          <w:szCs w:val="20"/>
        </w:rPr>
      </w:pPr>
      <w:r w:rsidRPr="0039234D">
        <w:rPr>
          <w:b/>
          <w:sz w:val="20"/>
          <w:szCs w:val="20"/>
        </w:rPr>
        <w:fldChar w:fldCharType="begin"/>
      </w:r>
      <w:r w:rsidR="00675D04" w:rsidRPr="0039234D">
        <w:rPr>
          <w:b/>
          <w:sz w:val="20"/>
          <w:szCs w:val="20"/>
        </w:rPr>
        <w:instrText xml:space="preserve"> SEQ CHAPTER \h \r 1</w:instrText>
      </w:r>
      <w:r w:rsidRPr="0039234D">
        <w:rPr>
          <w:b/>
          <w:sz w:val="20"/>
          <w:szCs w:val="20"/>
        </w:rPr>
        <w:fldChar w:fldCharType="end"/>
      </w:r>
      <w:r w:rsidR="00675D04" w:rsidRPr="0039234D">
        <w:rPr>
          <w:b/>
          <w:sz w:val="20"/>
          <w:szCs w:val="20"/>
        </w:rPr>
        <w:t>35807</w:t>
      </w:r>
      <w:r w:rsidR="00675D04" w:rsidRPr="0039234D">
        <w:rPr>
          <w:sz w:val="20"/>
          <w:szCs w:val="20"/>
        </w:rPr>
        <w:tab/>
      </w:r>
      <w:r w:rsidR="00675D04" w:rsidRPr="0039234D">
        <w:rPr>
          <w:b/>
          <w:i/>
          <w:sz w:val="20"/>
          <w:szCs w:val="20"/>
        </w:rPr>
        <w:t>Canadian Imperial Bank of Commerce v. Howard Green and Anne Bell</w:t>
      </w:r>
    </w:p>
    <w:p w:rsidR="00675D04" w:rsidRPr="0039234D" w:rsidRDefault="00675D04" w:rsidP="00675D04">
      <w:pPr>
        <w:widowControl w:val="0"/>
        <w:ind w:left="720" w:hanging="720"/>
        <w:contextualSpacing/>
        <w:jc w:val="both"/>
        <w:rPr>
          <w:sz w:val="20"/>
          <w:szCs w:val="20"/>
        </w:rPr>
      </w:pPr>
      <w:r w:rsidRPr="0039234D">
        <w:rPr>
          <w:b/>
          <w:i/>
          <w:sz w:val="20"/>
          <w:szCs w:val="20"/>
        </w:rPr>
        <w:tab/>
        <w:t>Gerald McCaughey, Tom Woods, Brian G. Shaw and Ken Kilgour v. Howard Green and Anne Bell</w:t>
      </w:r>
    </w:p>
    <w:p w:rsidR="00675D04" w:rsidRPr="0039234D" w:rsidRDefault="00675D04" w:rsidP="00675D04">
      <w:pPr>
        <w:widowControl w:val="0"/>
        <w:jc w:val="both"/>
        <w:rPr>
          <w:sz w:val="20"/>
          <w:szCs w:val="20"/>
        </w:rPr>
      </w:pPr>
    </w:p>
    <w:p w:rsidR="00675D04" w:rsidRPr="0039234D" w:rsidRDefault="00675D04" w:rsidP="00675D04">
      <w:pPr>
        <w:widowControl w:val="0"/>
        <w:jc w:val="both"/>
        <w:rPr>
          <w:sz w:val="20"/>
          <w:szCs w:val="20"/>
        </w:rPr>
      </w:pPr>
      <w:r w:rsidRPr="0039234D">
        <w:rPr>
          <w:sz w:val="20"/>
          <w:szCs w:val="20"/>
        </w:rPr>
        <w:t xml:space="preserve">Limitation of actions - Legislation - Interpretation - Civil procedure - Class actions - Securities - Statutory claim - Statement of claim in proposed class action indicating that plaintiffs will seek order granting leave to assert statutory cause of action for misrepresentation provided by s. 138.3 of Part XXIII.1 of Ontario </w:t>
      </w:r>
      <w:r w:rsidRPr="0039234D">
        <w:rPr>
          <w:i/>
          <w:sz w:val="20"/>
          <w:szCs w:val="20"/>
        </w:rPr>
        <w:t>Securities Act</w:t>
      </w:r>
      <w:r w:rsidRPr="0039234D">
        <w:rPr>
          <w:sz w:val="20"/>
          <w:szCs w:val="20"/>
        </w:rPr>
        <w:t xml:space="preserve"> - Leave not obtained prior to expiry of three-year limitation period set out in s. 138.14 of </w:t>
      </w:r>
      <w:r w:rsidRPr="0039234D">
        <w:rPr>
          <w:i/>
          <w:sz w:val="20"/>
          <w:szCs w:val="20"/>
        </w:rPr>
        <w:t>Securities Act</w:t>
      </w:r>
      <w:r w:rsidRPr="0039234D">
        <w:rPr>
          <w:sz w:val="20"/>
          <w:szCs w:val="20"/>
        </w:rPr>
        <w:t xml:space="preserve"> - Whether the s. 138.14 limitation period was suspended by s. 28 of the </w:t>
      </w:r>
      <w:r w:rsidRPr="0039234D">
        <w:rPr>
          <w:i/>
          <w:sz w:val="20"/>
          <w:szCs w:val="20"/>
        </w:rPr>
        <w:t>Class Proceedings Act</w:t>
      </w:r>
      <w:r w:rsidRPr="0039234D">
        <w:rPr>
          <w:sz w:val="20"/>
          <w:szCs w:val="20"/>
        </w:rPr>
        <w:t xml:space="preserve"> prior to the grant of leave - Whether a class proceeding based on the common law cause of action can be the preferable procedure for resolving a secondary market misrepresentation claim - Whether the test for granting leave under s. 138.8 was properly interpreted and applied - </w:t>
      </w:r>
      <w:r w:rsidRPr="0039234D">
        <w:rPr>
          <w:i/>
          <w:sz w:val="20"/>
          <w:szCs w:val="20"/>
        </w:rPr>
        <w:t>Securities Act</w:t>
      </w:r>
      <w:r w:rsidRPr="0039234D">
        <w:rPr>
          <w:sz w:val="20"/>
          <w:szCs w:val="20"/>
        </w:rPr>
        <w:t xml:space="preserve">, R.S.O. 1990, c. S.5, ss. 138.3, 138.8, 138.14 - </w:t>
      </w:r>
      <w:r w:rsidRPr="0039234D">
        <w:rPr>
          <w:i/>
          <w:sz w:val="20"/>
          <w:szCs w:val="20"/>
        </w:rPr>
        <w:t>Class Proceedings Act, 1992</w:t>
      </w:r>
      <w:r w:rsidRPr="0039234D">
        <w:rPr>
          <w:sz w:val="20"/>
          <w:szCs w:val="20"/>
        </w:rPr>
        <w:t>, S.O. 1992, c. 6, s. 28.</w:t>
      </w:r>
    </w:p>
    <w:p w:rsidR="00675D04" w:rsidRPr="0039234D" w:rsidRDefault="00675D04" w:rsidP="00675D04">
      <w:pPr>
        <w:widowControl w:val="0"/>
        <w:jc w:val="both"/>
        <w:rPr>
          <w:sz w:val="20"/>
          <w:szCs w:val="20"/>
        </w:rPr>
      </w:pPr>
    </w:p>
    <w:p w:rsidR="00675D04" w:rsidRPr="0039234D" w:rsidRDefault="00675D04" w:rsidP="00675D04">
      <w:pPr>
        <w:jc w:val="both"/>
        <w:rPr>
          <w:sz w:val="20"/>
          <w:szCs w:val="20"/>
        </w:rPr>
      </w:pPr>
      <w:r w:rsidRPr="0039234D">
        <w:rPr>
          <w:sz w:val="20"/>
          <w:szCs w:val="20"/>
        </w:rPr>
        <w:t xml:space="preserve">In this class action proceeding, the representative plaintiffs are claiming damages under Part XXIII.1 of the Ontario </w:t>
      </w:r>
      <w:r w:rsidRPr="0039234D">
        <w:rPr>
          <w:i/>
          <w:sz w:val="20"/>
          <w:szCs w:val="20"/>
        </w:rPr>
        <w:t>Securities Act</w:t>
      </w:r>
      <w:r w:rsidRPr="0039234D">
        <w:rPr>
          <w:sz w:val="20"/>
          <w:szCs w:val="20"/>
        </w:rPr>
        <w:t xml:space="preserve"> (“OSA”) for misrepresentations alleged to have been made in respect of shares trading in the secondary market. In addition to common law negligent misrepresentation claims, they make a claim based on the new statutory cause of action found at s. 138.3 of the OSA, which can only be commenced with leave of the court. The statutory claim is also subject to a three-year limitation period, found at s. 138.14(1) of the OSA. The class action was commenced within the three-year limitation period and a motion for leave to commence the statutory claim was brought, but leave was not obtained within the limitation period. Applying the Ontario Court of Appeal’s 2012 decision in </w:t>
      </w:r>
      <w:r w:rsidRPr="0039234D">
        <w:rPr>
          <w:i/>
          <w:sz w:val="20"/>
          <w:szCs w:val="20"/>
        </w:rPr>
        <w:t>Sharma v. Timminco</w:t>
      </w:r>
      <w:r w:rsidRPr="0039234D">
        <w:rPr>
          <w:sz w:val="20"/>
          <w:szCs w:val="20"/>
        </w:rPr>
        <w:t xml:space="preserve">, 2012 ONCA 107, the motions judge dismissed the leave application and the statutory action as time-barred. However, on appeal, a five-judge panel of the Court of Appeal concluded that the decision in </w:t>
      </w:r>
      <w:r w:rsidRPr="0039234D">
        <w:rPr>
          <w:i/>
          <w:sz w:val="20"/>
          <w:szCs w:val="20"/>
        </w:rPr>
        <w:t>Timminco</w:t>
      </w:r>
      <w:r w:rsidRPr="0039234D">
        <w:rPr>
          <w:sz w:val="20"/>
          <w:szCs w:val="20"/>
        </w:rPr>
        <w:t xml:space="preserve"> should be overturned, and therefore that the action was not statute-barred. The motions judge, had he not found that the action was time-barred, would have certified the action as a class proceeding to assert the statutory cause of action, but not the cause of action for common law misrepresentation. The Court of Appeal, after finding that the action was not time-barred, certified the action as a class proceeding to assert both causes of action.</w:t>
      </w:r>
    </w:p>
    <w:p w:rsidR="00675D04" w:rsidRPr="0039234D" w:rsidRDefault="00675D04" w:rsidP="00675D04">
      <w:pPr>
        <w:widowControl w:val="0"/>
        <w:jc w:val="both"/>
        <w:rPr>
          <w:sz w:val="20"/>
          <w:szCs w:val="20"/>
        </w:rPr>
      </w:pPr>
    </w:p>
    <w:p w:rsidR="00675D04" w:rsidRPr="0039234D" w:rsidRDefault="00675D04" w:rsidP="00675D04">
      <w:pPr>
        <w:widowControl w:val="0"/>
        <w:jc w:val="both"/>
        <w:rPr>
          <w:sz w:val="20"/>
          <w:szCs w:val="20"/>
        </w:rPr>
      </w:pPr>
    </w:p>
    <w:p w:rsidR="00675D04" w:rsidRPr="0039234D" w:rsidRDefault="00675D04" w:rsidP="00675D04">
      <w:pPr>
        <w:widowControl w:val="0"/>
        <w:ind w:left="2880" w:hanging="2880"/>
        <w:jc w:val="both"/>
        <w:rPr>
          <w:sz w:val="20"/>
          <w:szCs w:val="20"/>
        </w:rPr>
      </w:pPr>
      <w:r w:rsidRPr="0039234D">
        <w:rPr>
          <w:sz w:val="20"/>
          <w:szCs w:val="20"/>
        </w:rPr>
        <w:t>Origin of the case:</w:t>
      </w:r>
      <w:r w:rsidRPr="0039234D">
        <w:rPr>
          <w:sz w:val="20"/>
          <w:szCs w:val="20"/>
        </w:rPr>
        <w:tab/>
        <w:t>Ontario</w:t>
      </w:r>
    </w:p>
    <w:p w:rsidR="00675D04" w:rsidRPr="0039234D" w:rsidRDefault="00675D04" w:rsidP="00675D04">
      <w:pPr>
        <w:widowControl w:val="0"/>
        <w:ind w:left="2880" w:hanging="2880"/>
        <w:jc w:val="both"/>
        <w:rPr>
          <w:sz w:val="20"/>
          <w:szCs w:val="20"/>
        </w:rPr>
      </w:pPr>
    </w:p>
    <w:p w:rsidR="00675D04" w:rsidRPr="0039234D" w:rsidRDefault="00675D04" w:rsidP="00675D04">
      <w:pPr>
        <w:widowControl w:val="0"/>
        <w:ind w:left="2880" w:hanging="2880"/>
        <w:jc w:val="both"/>
        <w:rPr>
          <w:sz w:val="20"/>
          <w:szCs w:val="20"/>
        </w:rPr>
      </w:pPr>
      <w:r w:rsidRPr="0039234D">
        <w:rPr>
          <w:sz w:val="20"/>
          <w:szCs w:val="20"/>
        </w:rPr>
        <w:t>File No.:</w:t>
      </w:r>
      <w:r w:rsidRPr="0039234D">
        <w:rPr>
          <w:sz w:val="20"/>
          <w:szCs w:val="20"/>
        </w:rPr>
        <w:tab/>
        <w:t>35807</w:t>
      </w:r>
    </w:p>
    <w:p w:rsidR="00675D04" w:rsidRPr="0039234D" w:rsidRDefault="00675D04" w:rsidP="00675D04">
      <w:pPr>
        <w:widowControl w:val="0"/>
        <w:ind w:left="2880" w:hanging="2880"/>
        <w:jc w:val="both"/>
        <w:rPr>
          <w:sz w:val="20"/>
          <w:szCs w:val="20"/>
        </w:rPr>
      </w:pPr>
    </w:p>
    <w:p w:rsidR="00675D04" w:rsidRPr="0039234D" w:rsidRDefault="00675D04" w:rsidP="00675D04">
      <w:pPr>
        <w:widowControl w:val="0"/>
        <w:ind w:left="2880" w:hanging="2880"/>
        <w:jc w:val="both"/>
        <w:rPr>
          <w:sz w:val="20"/>
          <w:szCs w:val="20"/>
        </w:rPr>
      </w:pPr>
      <w:r w:rsidRPr="0039234D">
        <w:rPr>
          <w:sz w:val="20"/>
          <w:szCs w:val="20"/>
        </w:rPr>
        <w:t>Judgment of the Court of Appeal:</w:t>
      </w:r>
      <w:r w:rsidRPr="0039234D">
        <w:rPr>
          <w:sz w:val="20"/>
          <w:szCs w:val="20"/>
        </w:rPr>
        <w:tab/>
        <w:t>February 3, 2014</w:t>
      </w:r>
    </w:p>
    <w:p w:rsidR="00675D04" w:rsidRPr="0039234D" w:rsidRDefault="00675D04" w:rsidP="00675D04">
      <w:pPr>
        <w:widowControl w:val="0"/>
        <w:ind w:left="2880" w:hanging="2880"/>
        <w:jc w:val="both"/>
        <w:rPr>
          <w:sz w:val="20"/>
          <w:szCs w:val="20"/>
        </w:rPr>
      </w:pPr>
    </w:p>
    <w:p w:rsidR="00675D04" w:rsidRPr="0039234D" w:rsidRDefault="00675D04" w:rsidP="00675D04">
      <w:pPr>
        <w:widowControl w:val="0"/>
        <w:ind w:left="2880" w:hanging="2880"/>
        <w:jc w:val="both"/>
        <w:rPr>
          <w:sz w:val="20"/>
          <w:szCs w:val="20"/>
        </w:rPr>
      </w:pPr>
      <w:r w:rsidRPr="0039234D">
        <w:rPr>
          <w:sz w:val="20"/>
          <w:szCs w:val="20"/>
        </w:rPr>
        <w:t>Counsel:</w:t>
      </w:r>
      <w:r w:rsidRPr="0039234D">
        <w:rPr>
          <w:sz w:val="20"/>
          <w:szCs w:val="20"/>
        </w:rPr>
        <w:tab/>
        <w:t>Sheila Block, James C. Tory, Crawford Smith and Andrew Gray for the appellant Canadian Imperial Bank of Commerce</w:t>
      </w:r>
    </w:p>
    <w:p w:rsidR="00675D04" w:rsidRPr="0039234D" w:rsidRDefault="00675D04" w:rsidP="00675D04">
      <w:pPr>
        <w:widowControl w:val="0"/>
        <w:ind w:left="2880" w:hanging="2880"/>
        <w:jc w:val="both"/>
        <w:rPr>
          <w:sz w:val="20"/>
          <w:szCs w:val="20"/>
        </w:rPr>
      </w:pPr>
      <w:r w:rsidRPr="0039234D">
        <w:rPr>
          <w:sz w:val="20"/>
          <w:szCs w:val="20"/>
        </w:rPr>
        <w:tab/>
        <w:t>Benjamin Zarnett and David D. Conklin for the appellants Gerald McCaughey, Tom Woods, Brian G. Shaw and Ken Kilgour</w:t>
      </w:r>
    </w:p>
    <w:p w:rsidR="00675D04" w:rsidRPr="0039234D" w:rsidRDefault="00675D04" w:rsidP="00675D04">
      <w:pPr>
        <w:widowControl w:val="0"/>
        <w:ind w:left="2880" w:hanging="2880"/>
        <w:jc w:val="both"/>
        <w:rPr>
          <w:sz w:val="20"/>
          <w:szCs w:val="20"/>
        </w:rPr>
      </w:pPr>
      <w:r w:rsidRPr="0039234D">
        <w:rPr>
          <w:sz w:val="20"/>
          <w:szCs w:val="20"/>
        </w:rPr>
        <w:tab/>
        <w:t>Joel P. Rochon, Peter R. Jervis, Remissa Hirji and Sakie Tambakos for the respondents</w:t>
      </w:r>
    </w:p>
    <w:p w:rsidR="000B3C9A" w:rsidRPr="005F1ED8" w:rsidRDefault="000B3C9A" w:rsidP="000B3C9A">
      <w:pPr>
        <w:tabs>
          <w:tab w:val="left" w:pos="-1440"/>
          <w:tab w:val="left" w:pos="-720"/>
        </w:tabs>
        <w:ind w:left="720" w:hanging="720"/>
        <w:jc w:val="both"/>
        <w:rPr>
          <w:sz w:val="20"/>
          <w:szCs w:val="20"/>
        </w:rPr>
      </w:pPr>
    </w:p>
    <w:p w:rsidR="000B3C9A" w:rsidRPr="00DD0B49" w:rsidRDefault="00E42AAB" w:rsidP="000B3C9A">
      <w:pPr>
        <w:tabs>
          <w:tab w:val="left" w:pos="-1440"/>
          <w:tab w:val="left" w:pos="-720"/>
        </w:tabs>
        <w:ind w:left="720" w:hanging="720"/>
        <w:jc w:val="both"/>
        <w:rPr>
          <w:sz w:val="20"/>
          <w:szCs w:val="20"/>
          <w:lang w:val="fr-CA"/>
        </w:rPr>
      </w:pPr>
      <w:r>
        <w:rPr>
          <w:sz w:val="20"/>
          <w:szCs w:val="20"/>
          <w:lang w:val="fr-CA"/>
        </w:rPr>
        <w:pict>
          <v:rect id="_x0000_i1123" style="width:2in;height:1pt" o:hrpct="0" o:hralign="center" o:hrstd="t" o:hrnoshade="t" o:hr="t" fillcolor="black [3213]" stroked="f"/>
        </w:pict>
      </w:r>
    </w:p>
    <w:p w:rsidR="000B3C9A" w:rsidRDefault="000B3C9A" w:rsidP="000B3C9A">
      <w:pPr>
        <w:tabs>
          <w:tab w:val="left" w:pos="-1440"/>
          <w:tab w:val="left" w:pos="-720"/>
        </w:tabs>
        <w:ind w:left="720" w:hanging="720"/>
        <w:jc w:val="both"/>
        <w:rPr>
          <w:lang w:val="fr-CA"/>
        </w:rPr>
      </w:pPr>
      <w:r>
        <w:rPr>
          <w:lang w:val="fr-CA"/>
        </w:rPr>
        <w:br w:type="page"/>
      </w:r>
    </w:p>
    <w:p w:rsidR="00675D04" w:rsidRPr="000168E3" w:rsidRDefault="006F7944" w:rsidP="00675D04">
      <w:pPr>
        <w:widowControl w:val="0"/>
        <w:ind w:left="720" w:hanging="720"/>
        <w:contextualSpacing/>
        <w:jc w:val="both"/>
        <w:rPr>
          <w:b/>
          <w:i/>
          <w:sz w:val="20"/>
          <w:szCs w:val="20"/>
          <w:lang w:val="fr-CA"/>
        </w:rPr>
      </w:pPr>
      <w:r w:rsidRPr="000168E3">
        <w:rPr>
          <w:b/>
          <w:sz w:val="20"/>
          <w:szCs w:val="20"/>
          <w:lang w:val="fr-CA"/>
        </w:rPr>
        <w:lastRenderedPageBreak/>
        <w:fldChar w:fldCharType="begin"/>
      </w:r>
      <w:r w:rsidR="00675D04" w:rsidRPr="000168E3">
        <w:rPr>
          <w:b/>
          <w:sz w:val="20"/>
          <w:szCs w:val="20"/>
          <w:lang w:val="fr-CA"/>
        </w:rPr>
        <w:instrText xml:space="preserve"> SEQ CHAPTER \h \r 1</w:instrText>
      </w:r>
      <w:r w:rsidRPr="000168E3">
        <w:rPr>
          <w:b/>
          <w:sz w:val="20"/>
          <w:szCs w:val="20"/>
          <w:lang w:val="fr-CA"/>
        </w:rPr>
        <w:fldChar w:fldCharType="end"/>
      </w:r>
      <w:r w:rsidR="00675D04" w:rsidRPr="000168E3">
        <w:rPr>
          <w:b/>
          <w:sz w:val="20"/>
          <w:szCs w:val="20"/>
          <w:lang w:val="fr-CA"/>
        </w:rPr>
        <w:t>35807</w:t>
      </w:r>
      <w:r w:rsidR="00675D04" w:rsidRPr="000168E3">
        <w:rPr>
          <w:sz w:val="20"/>
          <w:szCs w:val="20"/>
          <w:lang w:val="fr-CA"/>
        </w:rPr>
        <w:tab/>
      </w:r>
      <w:r w:rsidR="00675D04" w:rsidRPr="000168E3">
        <w:rPr>
          <w:b/>
          <w:i/>
          <w:sz w:val="20"/>
          <w:szCs w:val="20"/>
          <w:lang w:val="fr-CA"/>
        </w:rPr>
        <w:t>Banque Canadienne Impériale de Commerce c. Howard Green et Anne Bell</w:t>
      </w:r>
    </w:p>
    <w:p w:rsidR="00675D04" w:rsidRPr="000168E3" w:rsidRDefault="00675D04" w:rsidP="00675D04">
      <w:pPr>
        <w:widowControl w:val="0"/>
        <w:ind w:left="709" w:hanging="709"/>
        <w:jc w:val="both"/>
        <w:rPr>
          <w:sz w:val="20"/>
          <w:szCs w:val="20"/>
        </w:rPr>
      </w:pPr>
      <w:r w:rsidRPr="000168E3">
        <w:rPr>
          <w:b/>
          <w:i/>
          <w:sz w:val="20"/>
          <w:szCs w:val="20"/>
          <w:lang w:val="fr-CA"/>
        </w:rPr>
        <w:tab/>
      </w:r>
      <w:r w:rsidRPr="000168E3">
        <w:rPr>
          <w:b/>
          <w:i/>
          <w:sz w:val="20"/>
          <w:szCs w:val="20"/>
        </w:rPr>
        <w:t>Gerald McCaughey, Tom Woods, Brian G. Shaw et Ken Kilgour c. Howard Green et Anne Bell</w:t>
      </w:r>
    </w:p>
    <w:p w:rsidR="00675D04" w:rsidRPr="000168E3" w:rsidRDefault="00675D04" w:rsidP="00675D04">
      <w:pPr>
        <w:widowControl w:val="0"/>
        <w:jc w:val="both"/>
        <w:rPr>
          <w:sz w:val="20"/>
          <w:szCs w:val="20"/>
        </w:rPr>
      </w:pPr>
    </w:p>
    <w:p w:rsidR="00675D04" w:rsidRPr="000168E3" w:rsidRDefault="00675D04" w:rsidP="00675D04">
      <w:pPr>
        <w:widowControl w:val="0"/>
        <w:jc w:val="both"/>
        <w:rPr>
          <w:sz w:val="20"/>
          <w:szCs w:val="20"/>
          <w:lang w:val="fr-CA"/>
        </w:rPr>
      </w:pPr>
      <w:r w:rsidRPr="000168E3">
        <w:rPr>
          <w:sz w:val="20"/>
          <w:szCs w:val="20"/>
          <w:lang w:val="fr-CA"/>
        </w:rPr>
        <w:t xml:space="preserve">Prescription - Législation - Interprétation - Procédure civile - Recours collectifs - Valeurs mobilières - Action fondée sur une disposition législative - Déclaration par les demandeurs dans le cadre d’un recours collectif proposé indiquant leur intention de solliciter l’autorisation de plaider comme cause d’action la présentation inexacte des faits, prévue à l’art. 138.3 de la partie XXIII.1 de la </w:t>
      </w:r>
      <w:r w:rsidRPr="000168E3">
        <w:rPr>
          <w:i/>
          <w:sz w:val="20"/>
          <w:szCs w:val="20"/>
          <w:lang w:val="fr-CA"/>
        </w:rPr>
        <w:t>Loi sur les valeurs mobilières</w:t>
      </w:r>
      <w:r w:rsidRPr="000168E3">
        <w:rPr>
          <w:sz w:val="20"/>
          <w:szCs w:val="20"/>
          <w:lang w:val="fr-CA"/>
        </w:rPr>
        <w:t xml:space="preserve"> de l’Ontario - Autorisation non obtenue avant l’expiration du délai de prescription de trois ans prévu à l’art. 138.14 de cette loi - Le délai de prescription prévu à l’art. 138.14 avait-il été suspendu par l’effet de l’art. 28 de la </w:t>
      </w:r>
      <w:r w:rsidRPr="000168E3">
        <w:rPr>
          <w:i/>
          <w:sz w:val="20"/>
          <w:szCs w:val="20"/>
          <w:lang w:val="fr-CA"/>
        </w:rPr>
        <w:t>Loi sur les recours collectifs</w:t>
      </w:r>
      <w:r w:rsidRPr="000168E3">
        <w:rPr>
          <w:sz w:val="20"/>
          <w:szCs w:val="20"/>
          <w:lang w:val="fr-CA"/>
        </w:rPr>
        <w:t xml:space="preserve"> préalablement à l’autorisation? - Le recours collectif fondé sur la cause d’action en common law est-il le meilleur moyen de mener à terme l’action pour présentation inexacte des faits relativement au marché secondaire? - Le critère relatif à l’autorisation en vertu de l’art. 138.8 a-t-il été correctement interprété et appliqué? - </w:t>
      </w:r>
      <w:r w:rsidRPr="000168E3">
        <w:rPr>
          <w:i/>
          <w:sz w:val="20"/>
          <w:szCs w:val="20"/>
          <w:lang w:val="fr-CA"/>
        </w:rPr>
        <w:t>Loi sur les valeurs mobilières</w:t>
      </w:r>
      <w:r w:rsidRPr="000168E3">
        <w:rPr>
          <w:sz w:val="20"/>
          <w:szCs w:val="20"/>
          <w:lang w:val="fr-CA"/>
        </w:rPr>
        <w:t xml:space="preserve">, L.R.O. 1990, ch. S.5, art. 138.3, 138.8, 138.14 - </w:t>
      </w:r>
      <w:r w:rsidRPr="000168E3">
        <w:rPr>
          <w:i/>
          <w:sz w:val="20"/>
          <w:szCs w:val="20"/>
          <w:lang w:val="fr-CA"/>
        </w:rPr>
        <w:t xml:space="preserve">Loi de 1992 sur les recours collectifs, </w:t>
      </w:r>
      <w:r w:rsidRPr="000168E3">
        <w:rPr>
          <w:sz w:val="20"/>
          <w:szCs w:val="20"/>
          <w:lang w:val="fr-CA"/>
        </w:rPr>
        <w:t>L.O. 1992, ch. 6, art. 28.</w:t>
      </w:r>
    </w:p>
    <w:p w:rsidR="00675D04" w:rsidRPr="000168E3" w:rsidRDefault="00675D04" w:rsidP="00675D04">
      <w:pPr>
        <w:widowControl w:val="0"/>
        <w:jc w:val="both"/>
        <w:rPr>
          <w:sz w:val="20"/>
          <w:szCs w:val="20"/>
          <w:lang w:val="fr-CA"/>
        </w:rPr>
      </w:pPr>
    </w:p>
    <w:p w:rsidR="00675D04" w:rsidRPr="000168E3" w:rsidRDefault="00675D04" w:rsidP="00675D04">
      <w:pPr>
        <w:jc w:val="both"/>
        <w:rPr>
          <w:sz w:val="20"/>
          <w:szCs w:val="20"/>
          <w:lang w:val="fr-CA"/>
        </w:rPr>
      </w:pPr>
      <w:r w:rsidRPr="000168E3">
        <w:rPr>
          <w:sz w:val="20"/>
          <w:szCs w:val="20"/>
          <w:lang w:val="fr-CA"/>
        </w:rPr>
        <w:t xml:space="preserve">Les représentants des demandeurs dans le cadre d’un recours collectif intentent une action en dommages-intérêts en vertu de la partie XXIII.1 de la </w:t>
      </w:r>
      <w:r w:rsidRPr="000168E3">
        <w:rPr>
          <w:i/>
          <w:sz w:val="20"/>
          <w:szCs w:val="20"/>
          <w:lang w:val="fr-CA"/>
        </w:rPr>
        <w:t>Loi sur les valeurs mobilières</w:t>
      </w:r>
      <w:r w:rsidRPr="000168E3">
        <w:rPr>
          <w:sz w:val="20"/>
          <w:szCs w:val="20"/>
          <w:lang w:val="fr-CA"/>
        </w:rPr>
        <w:t xml:space="preserve"> de l’Ontario pour présentation inexacte des faits relativement à la négociation d’actions sur le marché secondaire. Outre l’assertion inexacte et négligente, une cause d’action issue de la common law, les demandeurs invoquent également la nouvelle cause d’action prévue à l’art. 138.3 de la Loi, qui ne peut être avancée que sur autorisation du tribunal. La demande fondée sur la disposition législative se prescrit par trois ans, en application du par. 138.14(1) de la Loi. Le recours collectif a été intenté avant l’expiration du délai de prescription, et une motion sollicitant l’autorisation d’invoquer la cause d’action fondée sur la disposition législative a été présentée, mais l’autorisation n’a pas été obtenue avant l’expiration du délai. Se fondant sur l’arrêt rendu en 2012 par la Cour d’appel de l’Ontario dans l’affaire </w:t>
      </w:r>
      <w:r w:rsidRPr="000168E3">
        <w:rPr>
          <w:i/>
          <w:sz w:val="20"/>
          <w:szCs w:val="20"/>
          <w:lang w:val="fr-CA"/>
        </w:rPr>
        <w:t>Sharma c. Timminco</w:t>
      </w:r>
      <w:r w:rsidRPr="000168E3">
        <w:rPr>
          <w:sz w:val="20"/>
          <w:szCs w:val="20"/>
          <w:lang w:val="fr-CA"/>
        </w:rPr>
        <w:t xml:space="preserve">, 2012 ONCA 107, le juge des requêtes a rejeté la demande d’autorisation et l’action fondée sur la disposition législative pour cause de prescription. Cependant, la formation de cinq juges de la Cour d’appel saisie de l’appel a infirmé l’arrêt </w:t>
      </w:r>
      <w:r w:rsidRPr="000168E3">
        <w:rPr>
          <w:i/>
          <w:sz w:val="20"/>
          <w:szCs w:val="20"/>
          <w:lang w:val="fr-CA"/>
        </w:rPr>
        <w:t>Timminco</w:t>
      </w:r>
      <w:r w:rsidRPr="000168E3">
        <w:rPr>
          <w:sz w:val="20"/>
          <w:szCs w:val="20"/>
          <w:lang w:val="fr-CA"/>
        </w:rPr>
        <w:t>, et par conséquent, l’action n’était plus prescrite. Le juge des requêtes, s’il n’avait pas conclu que l’action était prescrite, aurait autorisé le recours collectif pour faire valoir la cause d’action légale, mais non la cause d’action de présentation inexacte des faits en common law. La Cour d’appel, après avoir conclu que l’action n’était pas prescrite, a autorisé le recours collectif pour faire valoir les deux causes d’action.</w:t>
      </w:r>
    </w:p>
    <w:p w:rsidR="00675D04" w:rsidRPr="000168E3" w:rsidRDefault="00675D04" w:rsidP="00675D04">
      <w:pPr>
        <w:widowControl w:val="0"/>
        <w:jc w:val="both"/>
        <w:rPr>
          <w:sz w:val="20"/>
          <w:szCs w:val="20"/>
          <w:lang w:val="fr-CA"/>
        </w:rPr>
      </w:pPr>
    </w:p>
    <w:p w:rsidR="00675D04" w:rsidRPr="000168E3" w:rsidRDefault="00675D04" w:rsidP="00675D04">
      <w:pPr>
        <w:widowControl w:val="0"/>
        <w:jc w:val="both"/>
        <w:rPr>
          <w:sz w:val="20"/>
          <w:szCs w:val="20"/>
          <w:lang w:val="fr-CA"/>
        </w:rPr>
      </w:pPr>
    </w:p>
    <w:p w:rsidR="00675D04" w:rsidRPr="000168E3" w:rsidRDefault="00675D04" w:rsidP="00675D04">
      <w:pPr>
        <w:widowControl w:val="0"/>
        <w:ind w:left="2880" w:hanging="2880"/>
        <w:jc w:val="both"/>
        <w:rPr>
          <w:sz w:val="20"/>
          <w:szCs w:val="20"/>
          <w:lang w:val="fr-CA"/>
        </w:rPr>
      </w:pPr>
      <w:r w:rsidRPr="000168E3">
        <w:rPr>
          <w:sz w:val="20"/>
          <w:szCs w:val="20"/>
          <w:lang w:val="fr-CA"/>
        </w:rPr>
        <w:t>Origine :</w:t>
      </w:r>
      <w:r w:rsidRPr="000168E3">
        <w:rPr>
          <w:sz w:val="20"/>
          <w:szCs w:val="20"/>
          <w:lang w:val="fr-CA"/>
        </w:rPr>
        <w:tab/>
        <w:t>Ontario</w:t>
      </w:r>
    </w:p>
    <w:p w:rsidR="00675D04" w:rsidRPr="000168E3" w:rsidRDefault="00675D04" w:rsidP="00675D04">
      <w:pPr>
        <w:widowControl w:val="0"/>
        <w:ind w:left="2880" w:hanging="2880"/>
        <w:jc w:val="both"/>
        <w:rPr>
          <w:sz w:val="20"/>
          <w:szCs w:val="20"/>
          <w:lang w:val="fr-CA"/>
        </w:rPr>
      </w:pPr>
    </w:p>
    <w:p w:rsidR="00675D04" w:rsidRPr="000168E3" w:rsidRDefault="00675D04" w:rsidP="00675D04">
      <w:pPr>
        <w:widowControl w:val="0"/>
        <w:ind w:left="2880" w:hanging="2880"/>
        <w:jc w:val="both"/>
        <w:rPr>
          <w:sz w:val="20"/>
          <w:szCs w:val="20"/>
          <w:lang w:val="fr-CA"/>
        </w:rPr>
      </w:pPr>
      <w:r w:rsidRPr="000168E3">
        <w:rPr>
          <w:sz w:val="20"/>
          <w:szCs w:val="20"/>
          <w:lang w:val="fr-CA"/>
        </w:rPr>
        <w:t>N</w:t>
      </w:r>
      <w:r w:rsidRPr="000168E3">
        <w:rPr>
          <w:sz w:val="20"/>
          <w:szCs w:val="20"/>
          <w:vertAlign w:val="superscript"/>
          <w:lang w:val="fr-CA"/>
        </w:rPr>
        <w:t>o</w:t>
      </w:r>
      <w:r w:rsidRPr="000168E3">
        <w:rPr>
          <w:sz w:val="20"/>
          <w:szCs w:val="20"/>
          <w:lang w:val="fr-CA"/>
        </w:rPr>
        <w:t xml:space="preserve"> du greffe :</w:t>
      </w:r>
      <w:r w:rsidRPr="000168E3">
        <w:rPr>
          <w:sz w:val="20"/>
          <w:szCs w:val="20"/>
          <w:lang w:val="fr-CA"/>
        </w:rPr>
        <w:tab/>
        <w:t>35807</w:t>
      </w:r>
    </w:p>
    <w:p w:rsidR="00675D04" w:rsidRPr="000168E3" w:rsidRDefault="00675D04" w:rsidP="00675D04">
      <w:pPr>
        <w:widowControl w:val="0"/>
        <w:ind w:left="2880" w:hanging="2880"/>
        <w:jc w:val="both"/>
        <w:rPr>
          <w:sz w:val="20"/>
          <w:szCs w:val="20"/>
          <w:lang w:val="fr-CA"/>
        </w:rPr>
      </w:pPr>
    </w:p>
    <w:p w:rsidR="00675D04" w:rsidRPr="000168E3" w:rsidRDefault="00675D04" w:rsidP="00675D04">
      <w:pPr>
        <w:widowControl w:val="0"/>
        <w:ind w:left="2880" w:hanging="2880"/>
        <w:jc w:val="both"/>
        <w:rPr>
          <w:sz w:val="20"/>
          <w:szCs w:val="20"/>
          <w:lang w:val="fr-CA"/>
        </w:rPr>
      </w:pPr>
      <w:r w:rsidRPr="000168E3">
        <w:rPr>
          <w:sz w:val="20"/>
          <w:szCs w:val="20"/>
          <w:lang w:val="fr-CA"/>
        </w:rPr>
        <w:t>Arrêt de la Cour d’appel :</w:t>
      </w:r>
      <w:r w:rsidRPr="000168E3">
        <w:rPr>
          <w:sz w:val="20"/>
          <w:szCs w:val="20"/>
          <w:lang w:val="fr-CA"/>
        </w:rPr>
        <w:tab/>
        <w:t>le 3 février 2014</w:t>
      </w:r>
    </w:p>
    <w:p w:rsidR="00675D04" w:rsidRPr="000168E3" w:rsidRDefault="00675D04" w:rsidP="00675D04">
      <w:pPr>
        <w:widowControl w:val="0"/>
        <w:ind w:left="2880" w:hanging="2880"/>
        <w:jc w:val="both"/>
        <w:rPr>
          <w:sz w:val="20"/>
          <w:szCs w:val="20"/>
          <w:lang w:val="fr-CA"/>
        </w:rPr>
      </w:pPr>
    </w:p>
    <w:p w:rsidR="00675D04" w:rsidRPr="000168E3" w:rsidRDefault="00675D04" w:rsidP="00675D04">
      <w:pPr>
        <w:widowControl w:val="0"/>
        <w:ind w:left="2880" w:hanging="2880"/>
        <w:jc w:val="both"/>
        <w:rPr>
          <w:sz w:val="20"/>
          <w:szCs w:val="20"/>
          <w:lang w:val="fr-CA"/>
        </w:rPr>
      </w:pPr>
      <w:r w:rsidRPr="000168E3">
        <w:rPr>
          <w:sz w:val="20"/>
          <w:szCs w:val="20"/>
          <w:lang w:val="fr-CA"/>
        </w:rPr>
        <w:t>Avocats :</w:t>
      </w:r>
      <w:r w:rsidRPr="000168E3">
        <w:rPr>
          <w:sz w:val="20"/>
          <w:szCs w:val="20"/>
          <w:lang w:val="fr-CA"/>
        </w:rPr>
        <w:tab/>
        <w:t xml:space="preserve">Sheila Block, James C. Tory, Crawford Smith et Andrew Gray pour l’appelante, la Banque Canadienne Impériale de Commerce </w:t>
      </w:r>
    </w:p>
    <w:p w:rsidR="00675D04" w:rsidRPr="000168E3" w:rsidRDefault="00675D04" w:rsidP="00675D04">
      <w:pPr>
        <w:widowControl w:val="0"/>
        <w:ind w:left="2880" w:hanging="2880"/>
        <w:jc w:val="both"/>
        <w:rPr>
          <w:sz w:val="20"/>
          <w:szCs w:val="20"/>
        </w:rPr>
      </w:pPr>
      <w:r w:rsidRPr="000168E3">
        <w:rPr>
          <w:sz w:val="20"/>
          <w:szCs w:val="20"/>
          <w:lang w:val="fr-CA"/>
        </w:rPr>
        <w:tab/>
      </w:r>
      <w:r w:rsidRPr="000168E3">
        <w:rPr>
          <w:sz w:val="20"/>
          <w:szCs w:val="20"/>
        </w:rPr>
        <w:t>Benjamin Zarnett et David D. Conklin pour les appelants Gerald McCaughey, Tom Woods, Brian G. Shaw et Ken Kilgour</w:t>
      </w:r>
    </w:p>
    <w:p w:rsidR="00675D04" w:rsidRPr="000168E3" w:rsidRDefault="00675D04" w:rsidP="00675D04">
      <w:pPr>
        <w:widowControl w:val="0"/>
        <w:ind w:left="2880" w:hanging="2880"/>
        <w:jc w:val="both"/>
        <w:rPr>
          <w:sz w:val="20"/>
          <w:szCs w:val="20"/>
          <w:lang w:val="fr-CA"/>
        </w:rPr>
      </w:pPr>
      <w:r w:rsidRPr="000168E3">
        <w:rPr>
          <w:sz w:val="20"/>
          <w:szCs w:val="20"/>
        </w:rPr>
        <w:tab/>
      </w:r>
      <w:r w:rsidRPr="000168E3">
        <w:rPr>
          <w:sz w:val="20"/>
          <w:szCs w:val="20"/>
          <w:lang w:val="fr-CA"/>
        </w:rPr>
        <w:t>Joel P. Rochon, Peter R. Jervis, Remissa Hirji et Sakie Tambakos pour les intimés</w:t>
      </w:r>
    </w:p>
    <w:p w:rsidR="000B3C9A" w:rsidRPr="00DD0B49" w:rsidRDefault="000B3C9A" w:rsidP="000B3C9A">
      <w:pPr>
        <w:tabs>
          <w:tab w:val="left" w:pos="-1440"/>
          <w:tab w:val="left" w:pos="-720"/>
        </w:tabs>
        <w:jc w:val="both"/>
        <w:rPr>
          <w:sz w:val="20"/>
          <w:szCs w:val="20"/>
          <w:lang w:val="fr-CA"/>
        </w:rPr>
      </w:pPr>
    </w:p>
    <w:p w:rsidR="000B3C9A" w:rsidRDefault="00E42AAB" w:rsidP="000B3C9A">
      <w:pPr>
        <w:tabs>
          <w:tab w:val="left" w:pos="-1440"/>
          <w:tab w:val="left" w:pos="-720"/>
        </w:tabs>
        <w:jc w:val="both"/>
        <w:rPr>
          <w:sz w:val="20"/>
          <w:szCs w:val="20"/>
          <w:lang w:val="fr-CA"/>
        </w:rPr>
      </w:pPr>
      <w:r>
        <w:rPr>
          <w:sz w:val="20"/>
          <w:szCs w:val="20"/>
          <w:lang w:val="fr-CA"/>
        </w:rPr>
        <w:pict>
          <v:rect id="_x0000_i1124" style="width:2in;height:1pt" o:hrpct="0" o:hralign="center" o:hrstd="t" o:hrnoshade="t" o:hr="t" fillcolor="black [3213]" stroked="f"/>
        </w:pict>
      </w:r>
    </w:p>
    <w:p w:rsidR="00D96A7D" w:rsidRDefault="00D96A7D" w:rsidP="000B3C9A">
      <w:pPr>
        <w:tabs>
          <w:tab w:val="left" w:pos="-1440"/>
          <w:tab w:val="left" w:pos="-720"/>
        </w:tabs>
        <w:jc w:val="both"/>
        <w:rPr>
          <w:sz w:val="20"/>
          <w:szCs w:val="20"/>
          <w:lang w:val="fr-CA"/>
        </w:rPr>
      </w:pPr>
    </w:p>
    <w:p w:rsidR="00D96A7D" w:rsidRDefault="00D96A7D">
      <w:pPr>
        <w:rPr>
          <w:sz w:val="20"/>
          <w:szCs w:val="20"/>
          <w:lang w:val="fr-CA"/>
        </w:rPr>
      </w:pPr>
      <w:r>
        <w:rPr>
          <w:sz w:val="20"/>
          <w:szCs w:val="20"/>
          <w:lang w:val="fr-CA"/>
        </w:rPr>
        <w:br w:type="page"/>
      </w:r>
    </w:p>
    <w:p w:rsidR="00C179AC" w:rsidRPr="00490263" w:rsidRDefault="006F7944" w:rsidP="00C179AC">
      <w:pPr>
        <w:widowControl w:val="0"/>
        <w:ind w:left="720" w:hanging="720"/>
        <w:contextualSpacing/>
        <w:jc w:val="both"/>
        <w:rPr>
          <w:b/>
          <w:i/>
          <w:sz w:val="20"/>
          <w:szCs w:val="20"/>
        </w:rPr>
      </w:pPr>
      <w:r w:rsidRPr="00490263">
        <w:rPr>
          <w:b/>
          <w:sz w:val="20"/>
          <w:szCs w:val="20"/>
        </w:rPr>
        <w:lastRenderedPageBreak/>
        <w:fldChar w:fldCharType="begin"/>
      </w:r>
      <w:r w:rsidR="00C179AC" w:rsidRPr="00490263">
        <w:rPr>
          <w:b/>
          <w:sz w:val="20"/>
          <w:szCs w:val="20"/>
        </w:rPr>
        <w:instrText xml:space="preserve"> SEQ CHAPTER \h \r 1</w:instrText>
      </w:r>
      <w:r w:rsidRPr="00490263">
        <w:rPr>
          <w:b/>
          <w:sz w:val="20"/>
          <w:szCs w:val="20"/>
        </w:rPr>
        <w:fldChar w:fldCharType="end"/>
      </w:r>
      <w:r w:rsidR="00C179AC" w:rsidRPr="00490263">
        <w:rPr>
          <w:b/>
          <w:sz w:val="20"/>
          <w:szCs w:val="20"/>
        </w:rPr>
        <w:t>35811</w:t>
      </w:r>
      <w:r w:rsidR="00C179AC" w:rsidRPr="00490263">
        <w:rPr>
          <w:sz w:val="20"/>
          <w:szCs w:val="20"/>
        </w:rPr>
        <w:tab/>
      </w:r>
      <w:r w:rsidR="00C179AC" w:rsidRPr="00490263">
        <w:rPr>
          <w:b/>
          <w:i/>
          <w:sz w:val="20"/>
          <w:szCs w:val="20"/>
        </w:rPr>
        <w:t>Imax Corporation, Richard L. Gelfond, Bradley J. Wechsler, Francis T. Joyce, Neil S. Braun, Kenneth G. Copland, Garth M. Girvan, David W. Leebron and Kathryn A. Gamble v. Marvin Neil Silver and Cliff Cohen</w:t>
      </w:r>
    </w:p>
    <w:p w:rsidR="00C179AC" w:rsidRPr="00490263" w:rsidRDefault="00C179AC" w:rsidP="00C179AC">
      <w:pPr>
        <w:widowControl w:val="0"/>
        <w:jc w:val="both"/>
        <w:rPr>
          <w:sz w:val="20"/>
          <w:szCs w:val="20"/>
        </w:rPr>
      </w:pPr>
    </w:p>
    <w:p w:rsidR="00C179AC" w:rsidRPr="00490263" w:rsidRDefault="00C179AC" w:rsidP="00C179AC">
      <w:pPr>
        <w:jc w:val="both"/>
        <w:rPr>
          <w:sz w:val="20"/>
          <w:szCs w:val="20"/>
        </w:rPr>
      </w:pPr>
      <w:r w:rsidRPr="00490263">
        <w:rPr>
          <w:sz w:val="20"/>
          <w:szCs w:val="20"/>
        </w:rPr>
        <w:t xml:space="preserve">Limitation of actions - Legislation - Interpretation - Civil procedure - Class actions - Securities - Statutory claim - Statement of claim in proposed class action indicating that plaintiffs will seek order granting leave to assert statutory cause of action for misrepresentation provided by s. 138.3 of Part XXIII.1 of Ontario </w:t>
      </w:r>
      <w:r w:rsidRPr="00490263">
        <w:rPr>
          <w:i/>
          <w:sz w:val="20"/>
          <w:szCs w:val="20"/>
        </w:rPr>
        <w:t>Securities Act</w:t>
      </w:r>
      <w:r w:rsidRPr="00490263">
        <w:rPr>
          <w:sz w:val="20"/>
          <w:szCs w:val="20"/>
        </w:rPr>
        <w:t xml:space="preserve"> - Leave not obtained prior to expiry of three-year limitation period set out in s. 138.14 of </w:t>
      </w:r>
      <w:r w:rsidRPr="00490263">
        <w:rPr>
          <w:i/>
          <w:sz w:val="20"/>
          <w:szCs w:val="20"/>
        </w:rPr>
        <w:t>Securities Act</w:t>
      </w:r>
      <w:r w:rsidRPr="00490263">
        <w:rPr>
          <w:sz w:val="20"/>
          <w:szCs w:val="20"/>
        </w:rPr>
        <w:t xml:space="preserve"> - Whether the limitation period was suspended by the filing of a statement of claim pleading only common law claims while giving notice that the plaintiffs intended to assert a s. 138.3 cause of action - If not, whether the expiry of the limitation period can be cured by an order </w:t>
      </w:r>
      <w:r w:rsidRPr="00490263">
        <w:rPr>
          <w:i/>
          <w:sz w:val="20"/>
          <w:szCs w:val="20"/>
        </w:rPr>
        <w:t xml:space="preserve">nunc pro tunc </w:t>
      </w:r>
      <w:r w:rsidRPr="00490263">
        <w:rPr>
          <w:sz w:val="20"/>
          <w:szCs w:val="20"/>
        </w:rPr>
        <w:t xml:space="preserve">-  </w:t>
      </w:r>
      <w:r w:rsidRPr="00490263">
        <w:rPr>
          <w:i/>
          <w:sz w:val="20"/>
          <w:szCs w:val="20"/>
        </w:rPr>
        <w:t>Securities Act</w:t>
      </w:r>
      <w:r w:rsidRPr="00490263">
        <w:rPr>
          <w:sz w:val="20"/>
          <w:szCs w:val="20"/>
        </w:rPr>
        <w:t xml:space="preserve">, R.S.O. 1990, c. S.5, ss. 138.3, 138.8, 138.14 - </w:t>
      </w:r>
      <w:r w:rsidRPr="00490263">
        <w:rPr>
          <w:i/>
          <w:sz w:val="20"/>
          <w:szCs w:val="20"/>
        </w:rPr>
        <w:t>Class Proceedings Act, 1992</w:t>
      </w:r>
      <w:r w:rsidRPr="00490263">
        <w:rPr>
          <w:sz w:val="20"/>
          <w:szCs w:val="20"/>
        </w:rPr>
        <w:t>, S.O. 1992, c. 6, s. 28.</w:t>
      </w:r>
    </w:p>
    <w:p w:rsidR="00C179AC" w:rsidRPr="00490263" w:rsidRDefault="00C179AC" w:rsidP="00C179AC">
      <w:pPr>
        <w:widowControl w:val="0"/>
        <w:jc w:val="both"/>
        <w:rPr>
          <w:sz w:val="20"/>
          <w:szCs w:val="20"/>
        </w:rPr>
      </w:pPr>
    </w:p>
    <w:p w:rsidR="00C179AC" w:rsidRPr="00490263" w:rsidRDefault="00C179AC" w:rsidP="00C179AC">
      <w:pPr>
        <w:jc w:val="both"/>
        <w:rPr>
          <w:sz w:val="20"/>
          <w:szCs w:val="20"/>
        </w:rPr>
      </w:pPr>
      <w:r w:rsidRPr="00490263">
        <w:rPr>
          <w:sz w:val="20"/>
          <w:szCs w:val="20"/>
        </w:rPr>
        <w:t xml:space="preserve">In this class action proceeding, the representative plaintiffs are claiming damages under Part XXIII.1 of the Ontario </w:t>
      </w:r>
      <w:r w:rsidRPr="00490263">
        <w:rPr>
          <w:i/>
          <w:sz w:val="20"/>
          <w:szCs w:val="20"/>
        </w:rPr>
        <w:t>Securities Act</w:t>
      </w:r>
      <w:r w:rsidRPr="00490263">
        <w:rPr>
          <w:sz w:val="20"/>
          <w:szCs w:val="20"/>
        </w:rPr>
        <w:t xml:space="preserve"> (“OSA”) for misrepresentations alleged to have been made in respect of shares trading in the secondary market. In addition to common law negligent misrepresentation claims, they make a claim based on the new statutory cause of action found at s. 138.3 of the OSA, which can only be commenced with leave of the court and is subject to a three-year limitation period, found at s. 138.14(1) of the OSA. The class action was commenced within the three-year limitation period and a motion for leave to commence the statutory claim was brought, but leave was granted after the expiry of the limitation period. On motion by the defendants to dismiss the statutory claim as being time-barred in view of the Ontario Court of Appeal’s 2012 decision in </w:t>
      </w:r>
      <w:r w:rsidRPr="00490263">
        <w:rPr>
          <w:i/>
          <w:sz w:val="20"/>
          <w:szCs w:val="20"/>
        </w:rPr>
        <w:t>Sharma v. Timminco</w:t>
      </w:r>
      <w:r w:rsidRPr="00490263">
        <w:rPr>
          <w:sz w:val="20"/>
          <w:szCs w:val="20"/>
        </w:rPr>
        <w:t xml:space="preserve">, 2012 ONCA 107, the motions judge ordered that leave to commence the action applied </w:t>
      </w:r>
      <w:r w:rsidRPr="00490263">
        <w:rPr>
          <w:i/>
          <w:sz w:val="20"/>
          <w:szCs w:val="20"/>
        </w:rPr>
        <w:t>nunc pro tunc</w:t>
      </w:r>
      <w:r w:rsidRPr="00490263">
        <w:rPr>
          <w:sz w:val="20"/>
          <w:szCs w:val="20"/>
        </w:rPr>
        <w:t xml:space="preserve"> within the limitation period. On appeal by the defendants, a five-judge panel of the Court of Appeal concluded that the decision in </w:t>
      </w:r>
      <w:r w:rsidRPr="00490263">
        <w:rPr>
          <w:i/>
          <w:sz w:val="20"/>
          <w:szCs w:val="20"/>
        </w:rPr>
        <w:t>Timminco</w:t>
      </w:r>
      <w:r w:rsidRPr="00490263">
        <w:rPr>
          <w:sz w:val="20"/>
          <w:szCs w:val="20"/>
        </w:rPr>
        <w:t xml:space="preserve"> should be overturned, and therefore that the action was not statute-barred.</w:t>
      </w:r>
    </w:p>
    <w:p w:rsidR="00C179AC" w:rsidRPr="00490263" w:rsidRDefault="00C179AC" w:rsidP="00C179AC">
      <w:pPr>
        <w:widowControl w:val="0"/>
        <w:jc w:val="both"/>
        <w:rPr>
          <w:sz w:val="20"/>
          <w:szCs w:val="20"/>
        </w:rPr>
      </w:pPr>
    </w:p>
    <w:p w:rsidR="00C179AC" w:rsidRPr="00490263" w:rsidRDefault="00C179AC" w:rsidP="00C179AC">
      <w:pPr>
        <w:widowControl w:val="0"/>
        <w:jc w:val="both"/>
        <w:rPr>
          <w:sz w:val="20"/>
          <w:szCs w:val="20"/>
        </w:rPr>
      </w:pPr>
    </w:p>
    <w:p w:rsidR="00C179AC" w:rsidRPr="00490263" w:rsidRDefault="00C179AC" w:rsidP="00C179AC">
      <w:pPr>
        <w:widowControl w:val="0"/>
        <w:ind w:left="2880" w:hanging="2880"/>
        <w:jc w:val="both"/>
        <w:rPr>
          <w:sz w:val="20"/>
          <w:szCs w:val="20"/>
        </w:rPr>
      </w:pPr>
      <w:r w:rsidRPr="00490263">
        <w:rPr>
          <w:sz w:val="20"/>
          <w:szCs w:val="20"/>
        </w:rPr>
        <w:t>Origin of the case:</w:t>
      </w:r>
      <w:r w:rsidRPr="00490263">
        <w:rPr>
          <w:sz w:val="20"/>
          <w:szCs w:val="20"/>
        </w:rPr>
        <w:tab/>
        <w:t>Ontario</w:t>
      </w:r>
    </w:p>
    <w:p w:rsidR="00C179AC" w:rsidRPr="00490263" w:rsidRDefault="00C179AC" w:rsidP="00C179AC">
      <w:pPr>
        <w:widowControl w:val="0"/>
        <w:ind w:left="2880" w:hanging="2880"/>
        <w:jc w:val="both"/>
        <w:rPr>
          <w:sz w:val="20"/>
          <w:szCs w:val="20"/>
        </w:rPr>
      </w:pPr>
    </w:p>
    <w:p w:rsidR="00C179AC" w:rsidRPr="00490263" w:rsidRDefault="00C179AC" w:rsidP="00C179AC">
      <w:pPr>
        <w:widowControl w:val="0"/>
        <w:ind w:left="2880" w:hanging="2880"/>
        <w:jc w:val="both"/>
        <w:rPr>
          <w:sz w:val="20"/>
          <w:szCs w:val="20"/>
        </w:rPr>
      </w:pPr>
      <w:r w:rsidRPr="00490263">
        <w:rPr>
          <w:sz w:val="20"/>
          <w:szCs w:val="20"/>
        </w:rPr>
        <w:t>File No.:</w:t>
      </w:r>
      <w:r w:rsidRPr="00490263">
        <w:rPr>
          <w:sz w:val="20"/>
          <w:szCs w:val="20"/>
        </w:rPr>
        <w:tab/>
        <w:t>35811</w:t>
      </w:r>
    </w:p>
    <w:p w:rsidR="00C179AC" w:rsidRPr="00490263" w:rsidRDefault="00C179AC" w:rsidP="00C179AC">
      <w:pPr>
        <w:widowControl w:val="0"/>
        <w:ind w:left="2880" w:hanging="2880"/>
        <w:jc w:val="both"/>
        <w:rPr>
          <w:sz w:val="20"/>
          <w:szCs w:val="20"/>
        </w:rPr>
      </w:pPr>
    </w:p>
    <w:p w:rsidR="00C179AC" w:rsidRPr="00490263" w:rsidRDefault="00C179AC" w:rsidP="00C179AC">
      <w:pPr>
        <w:widowControl w:val="0"/>
        <w:ind w:left="2880" w:hanging="2880"/>
        <w:jc w:val="both"/>
        <w:rPr>
          <w:sz w:val="20"/>
          <w:szCs w:val="20"/>
        </w:rPr>
      </w:pPr>
      <w:r w:rsidRPr="00490263">
        <w:rPr>
          <w:sz w:val="20"/>
          <w:szCs w:val="20"/>
        </w:rPr>
        <w:t>Judgment of the Court of Appeal:</w:t>
      </w:r>
      <w:r w:rsidRPr="00490263">
        <w:rPr>
          <w:sz w:val="20"/>
          <w:szCs w:val="20"/>
        </w:rPr>
        <w:tab/>
        <w:t>February 3, 2014</w:t>
      </w:r>
    </w:p>
    <w:p w:rsidR="00C179AC" w:rsidRPr="00490263" w:rsidRDefault="00C179AC" w:rsidP="00C179AC">
      <w:pPr>
        <w:widowControl w:val="0"/>
        <w:ind w:left="2880" w:hanging="2880"/>
        <w:jc w:val="both"/>
        <w:rPr>
          <w:sz w:val="20"/>
          <w:szCs w:val="20"/>
        </w:rPr>
      </w:pPr>
    </w:p>
    <w:p w:rsidR="00C179AC" w:rsidRPr="00490263" w:rsidRDefault="00C179AC" w:rsidP="00C179AC">
      <w:pPr>
        <w:widowControl w:val="0"/>
        <w:ind w:left="2880" w:hanging="2880"/>
        <w:jc w:val="both"/>
        <w:rPr>
          <w:sz w:val="20"/>
          <w:szCs w:val="20"/>
        </w:rPr>
      </w:pPr>
      <w:r w:rsidRPr="00490263">
        <w:rPr>
          <w:sz w:val="20"/>
          <w:szCs w:val="20"/>
        </w:rPr>
        <w:t>Counsel:</w:t>
      </w:r>
      <w:r w:rsidRPr="00490263">
        <w:rPr>
          <w:sz w:val="20"/>
          <w:szCs w:val="20"/>
        </w:rPr>
        <w:tab/>
        <w:t xml:space="preserve">R. Paul Steep, Dana M. Peebles and Brandon Kain for the appellants </w:t>
      </w:r>
    </w:p>
    <w:p w:rsidR="00C179AC" w:rsidRPr="00490263" w:rsidRDefault="00C179AC" w:rsidP="00C179AC">
      <w:pPr>
        <w:widowControl w:val="0"/>
        <w:ind w:left="2880" w:hanging="2880"/>
        <w:jc w:val="both"/>
        <w:rPr>
          <w:sz w:val="20"/>
          <w:szCs w:val="20"/>
        </w:rPr>
      </w:pPr>
      <w:r w:rsidRPr="00490263">
        <w:rPr>
          <w:sz w:val="20"/>
          <w:szCs w:val="20"/>
        </w:rPr>
        <w:tab/>
        <w:t>Michael G. Robb, A. Dimitri Lascaris and Marie-France Major for the respondents</w:t>
      </w:r>
    </w:p>
    <w:p w:rsidR="00D96A7D" w:rsidRPr="00C179AC" w:rsidRDefault="00D96A7D">
      <w:pPr>
        <w:rPr>
          <w:sz w:val="20"/>
          <w:szCs w:val="20"/>
        </w:rPr>
      </w:pPr>
    </w:p>
    <w:p w:rsidR="00D96A7D" w:rsidRDefault="00E42AAB">
      <w:pPr>
        <w:rPr>
          <w:sz w:val="20"/>
          <w:szCs w:val="20"/>
          <w:lang w:val="fr-CA"/>
        </w:rPr>
      </w:pPr>
      <w:r>
        <w:rPr>
          <w:sz w:val="20"/>
          <w:szCs w:val="20"/>
          <w:lang w:val="fr-CA"/>
        </w:rPr>
        <w:pict>
          <v:rect id="_x0000_i1125" style="width:2in;height:1pt" o:hrpct="0" o:hralign="center" o:hrstd="t" o:hrnoshade="t" o:hr="t" fillcolor="black [3213]" stroked="f"/>
        </w:pict>
      </w:r>
    </w:p>
    <w:p w:rsidR="00D96A7D" w:rsidRDefault="00D96A7D">
      <w:pPr>
        <w:rPr>
          <w:sz w:val="20"/>
          <w:szCs w:val="20"/>
          <w:lang w:val="fr-CA"/>
        </w:rPr>
      </w:pPr>
      <w:r>
        <w:rPr>
          <w:sz w:val="20"/>
          <w:szCs w:val="20"/>
          <w:lang w:val="fr-CA"/>
        </w:rPr>
        <w:br w:type="page"/>
      </w:r>
    </w:p>
    <w:p w:rsidR="00C179AC" w:rsidRPr="007B7CF6" w:rsidRDefault="006F7944" w:rsidP="00C179AC">
      <w:pPr>
        <w:widowControl w:val="0"/>
        <w:ind w:left="720" w:hanging="720"/>
        <w:contextualSpacing/>
        <w:jc w:val="both"/>
        <w:rPr>
          <w:b/>
          <w:i/>
          <w:sz w:val="20"/>
          <w:szCs w:val="20"/>
        </w:rPr>
      </w:pPr>
      <w:r w:rsidRPr="007B7CF6">
        <w:rPr>
          <w:b/>
          <w:sz w:val="20"/>
          <w:szCs w:val="20"/>
          <w:lang w:val="fr-CA"/>
        </w:rPr>
        <w:lastRenderedPageBreak/>
        <w:fldChar w:fldCharType="begin"/>
      </w:r>
      <w:r w:rsidR="00C179AC" w:rsidRPr="007B7CF6">
        <w:rPr>
          <w:b/>
          <w:sz w:val="20"/>
          <w:szCs w:val="20"/>
        </w:rPr>
        <w:instrText xml:space="preserve"> SEQ CHAPTER \h \r 1</w:instrText>
      </w:r>
      <w:r w:rsidRPr="007B7CF6">
        <w:rPr>
          <w:b/>
          <w:sz w:val="20"/>
          <w:szCs w:val="20"/>
          <w:lang w:val="fr-CA"/>
        </w:rPr>
        <w:fldChar w:fldCharType="end"/>
      </w:r>
      <w:r w:rsidR="00C179AC" w:rsidRPr="007B7CF6">
        <w:rPr>
          <w:b/>
          <w:sz w:val="20"/>
          <w:szCs w:val="20"/>
        </w:rPr>
        <w:t>35811</w:t>
      </w:r>
      <w:r w:rsidR="00C179AC" w:rsidRPr="007B7CF6">
        <w:rPr>
          <w:sz w:val="20"/>
          <w:szCs w:val="20"/>
        </w:rPr>
        <w:tab/>
      </w:r>
      <w:r w:rsidR="00C179AC" w:rsidRPr="007B7CF6">
        <w:rPr>
          <w:b/>
          <w:i/>
          <w:sz w:val="20"/>
          <w:szCs w:val="20"/>
        </w:rPr>
        <w:t>Imax Corporation, Richard L. Gelfond, Bradley J. Wechsler, Francis T. Joyce, Neil S. Braun, Kenneth G. Copland, Garth M. Girvan, David W. Leebron et Kathryn A. Gamble c. Marvin Neil Silver et Cliff Cohen</w:t>
      </w:r>
    </w:p>
    <w:p w:rsidR="00C179AC" w:rsidRPr="007B7CF6" w:rsidRDefault="00C179AC" w:rsidP="00C179AC">
      <w:pPr>
        <w:widowControl w:val="0"/>
        <w:jc w:val="both"/>
        <w:rPr>
          <w:sz w:val="20"/>
          <w:szCs w:val="20"/>
        </w:rPr>
      </w:pPr>
    </w:p>
    <w:p w:rsidR="00C179AC" w:rsidRPr="007B7CF6" w:rsidRDefault="00C179AC" w:rsidP="00C179AC">
      <w:pPr>
        <w:jc w:val="both"/>
        <w:rPr>
          <w:sz w:val="20"/>
          <w:szCs w:val="20"/>
          <w:lang w:val="fr-CA"/>
        </w:rPr>
      </w:pPr>
      <w:r w:rsidRPr="007B7CF6">
        <w:rPr>
          <w:sz w:val="20"/>
          <w:szCs w:val="20"/>
          <w:lang w:val="fr-CA"/>
        </w:rPr>
        <w:t xml:space="preserve">Prescription - Législation - Interprétation - Procédure civile - Recours collectifs - Valeurs mobilières - Action fondée sur une disposition législative - Déclaration par les demandeurs dans le cadre d’un recours collectif proposé indiquant leur intention de solliciter l’autorisation de plaider comme cause d’action la présentation inexacte des faits, prévue à l’art. 138.3 de la partie XXIII.1 de la </w:t>
      </w:r>
      <w:r w:rsidRPr="007B7CF6">
        <w:rPr>
          <w:i/>
          <w:sz w:val="20"/>
          <w:szCs w:val="20"/>
          <w:lang w:val="fr-CA"/>
        </w:rPr>
        <w:t>Loi sur les valeurs mobilières</w:t>
      </w:r>
      <w:r w:rsidRPr="007B7CF6">
        <w:rPr>
          <w:sz w:val="20"/>
          <w:szCs w:val="20"/>
          <w:lang w:val="fr-CA"/>
        </w:rPr>
        <w:t xml:space="preserve"> de l’Ontario - Autorisation non obtenue avant l’expiration du délai de prescription de trois ans prévu à l’art. 138.14 de cette loi - Le délai de prescription avait-il été suspendu par le dépôt d’une déclaration qui ne plaidait que des revendications en common law tout en donnant un avis que les demandeurs entendaient faire valoir une cause d’action fondée sur l’art. 138.3? - Dans la négative, l’expiration du délai de prescription peut-elle être corrigée par une ordonnance avec effet rétroactif (</w:t>
      </w:r>
      <w:r w:rsidRPr="007B7CF6">
        <w:rPr>
          <w:i/>
          <w:sz w:val="20"/>
          <w:szCs w:val="20"/>
          <w:lang w:val="fr-CA"/>
        </w:rPr>
        <w:t>nunc pro tunc</w:t>
      </w:r>
      <w:r w:rsidRPr="007B7CF6">
        <w:rPr>
          <w:sz w:val="20"/>
          <w:szCs w:val="20"/>
          <w:lang w:val="fr-CA"/>
        </w:rPr>
        <w:t xml:space="preserve">)? - </w:t>
      </w:r>
      <w:r w:rsidRPr="007B7CF6">
        <w:rPr>
          <w:i/>
          <w:sz w:val="20"/>
          <w:szCs w:val="20"/>
          <w:lang w:val="fr-CA"/>
        </w:rPr>
        <w:t>Loi sur les valeurs mobilières</w:t>
      </w:r>
      <w:r w:rsidRPr="007B7CF6">
        <w:rPr>
          <w:sz w:val="20"/>
          <w:szCs w:val="20"/>
          <w:lang w:val="fr-CA"/>
        </w:rPr>
        <w:t xml:space="preserve">, L.R.O. 1990, ch. S.5, art. 138.3, 138.8, 138.14 - </w:t>
      </w:r>
      <w:r w:rsidRPr="007B7CF6">
        <w:rPr>
          <w:i/>
          <w:sz w:val="20"/>
          <w:szCs w:val="20"/>
          <w:lang w:val="fr-CA"/>
        </w:rPr>
        <w:t>Loi de 1992 sur les recours collectifs</w:t>
      </w:r>
      <w:r w:rsidRPr="007B7CF6">
        <w:rPr>
          <w:sz w:val="20"/>
          <w:szCs w:val="20"/>
          <w:lang w:val="fr-CA"/>
        </w:rPr>
        <w:t>,</w:t>
      </w:r>
      <w:r w:rsidRPr="007B7CF6">
        <w:rPr>
          <w:i/>
          <w:sz w:val="20"/>
          <w:szCs w:val="20"/>
          <w:lang w:val="fr-CA"/>
        </w:rPr>
        <w:t xml:space="preserve"> </w:t>
      </w:r>
      <w:r w:rsidRPr="007B7CF6">
        <w:rPr>
          <w:sz w:val="20"/>
          <w:szCs w:val="20"/>
          <w:lang w:val="fr-CA"/>
        </w:rPr>
        <w:t>L.O. 1992, ch. 6, art. 28.</w:t>
      </w:r>
    </w:p>
    <w:p w:rsidR="00C179AC" w:rsidRPr="007B7CF6" w:rsidRDefault="00C179AC" w:rsidP="00C179AC">
      <w:pPr>
        <w:widowControl w:val="0"/>
        <w:jc w:val="both"/>
        <w:rPr>
          <w:sz w:val="20"/>
          <w:szCs w:val="20"/>
          <w:lang w:val="fr-CA"/>
        </w:rPr>
      </w:pPr>
    </w:p>
    <w:p w:rsidR="00C179AC" w:rsidRPr="007B7CF6" w:rsidRDefault="00C179AC" w:rsidP="00C179AC">
      <w:pPr>
        <w:jc w:val="both"/>
        <w:rPr>
          <w:sz w:val="20"/>
          <w:szCs w:val="20"/>
          <w:lang w:val="fr-CA"/>
        </w:rPr>
      </w:pPr>
      <w:r w:rsidRPr="007B7CF6">
        <w:rPr>
          <w:sz w:val="20"/>
          <w:szCs w:val="20"/>
          <w:lang w:val="fr-CA"/>
        </w:rPr>
        <w:t xml:space="preserve">Les représentants des demandeurs dans le cadre d’un recours collectif intentent une action en dommages-intérêts en vertu de la partie XXIII.1 de la </w:t>
      </w:r>
      <w:r w:rsidRPr="007B7CF6">
        <w:rPr>
          <w:i/>
          <w:sz w:val="20"/>
          <w:szCs w:val="20"/>
          <w:lang w:val="fr-CA"/>
        </w:rPr>
        <w:t>Loi sur les valeurs mobilières</w:t>
      </w:r>
      <w:r w:rsidRPr="007B7CF6">
        <w:rPr>
          <w:sz w:val="20"/>
          <w:szCs w:val="20"/>
          <w:lang w:val="fr-CA"/>
        </w:rPr>
        <w:t xml:space="preserve"> de l’Ontario pour présentation inexacte des faits relativement à la négociation d’actions sur le marché secondaire. Outre l’assertion inexacte et négligente, une cause d’action issue de la common law, les demandeurs invoquent également la nouvelle cause d’action prévue à l’art. 138.3 de la Loi, qui ne peut être avancée que sur autorisation du tribunal et se prescrit par trois ans, en application du par. 138.14(1) de la Loi. Le recours collectif a été intenté avant l’expiration du délai de prescription de trois ans, et une motion sollicitant l’autorisation d’invoquer la cause d’action fondée sur la disposition législative a été présentée, mais l’autorisation a été obtenue après l’expiration du délai. Les défendeurs ont présenté une motion visant à faire rejeter la cause d’action fondée sur la disposition législative pour cause de prescription, suivant l’arrêt rendu en 2012 par la Cour d’appel de l’Ontario dans l’affaire </w:t>
      </w:r>
      <w:r w:rsidRPr="007B7CF6">
        <w:rPr>
          <w:i/>
          <w:sz w:val="20"/>
          <w:szCs w:val="20"/>
          <w:lang w:val="fr-CA"/>
        </w:rPr>
        <w:t>Sharma c. Timminco</w:t>
      </w:r>
      <w:r w:rsidRPr="007B7CF6">
        <w:rPr>
          <w:sz w:val="20"/>
          <w:szCs w:val="20"/>
          <w:lang w:val="fr-CA"/>
        </w:rPr>
        <w:t>, 2012 ONCA 107. Le juge des requêtes a ordonné que l’autorisation d’intenter l’action s’applique avec effet rétroactif (</w:t>
      </w:r>
      <w:r w:rsidRPr="007B7CF6">
        <w:rPr>
          <w:i/>
          <w:sz w:val="20"/>
          <w:szCs w:val="20"/>
          <w:lang w:val="fr-CA"/>
        </w:rPr>
        <w:t>nunc pro tunc</w:t>
      </w:r>
      <w:r w:rsidRPr="007B7CF6">
        <w:rPr>
          <w:sz w:val="20"/>
          <w:szCs w:val="20"/>
          <w:lang w:val="fr-CA"/>
        </w:rPr>
        <w:t xml:space="preserve">) à une date antérieure à l’expiration du délai de prescription. Dans le cadre de l’appel interjeté par les défendeurs, la formation de cinq juges de la Cour d’appel a infirmé l’arrêt </w:t>
      </w:r>
      <w:r w:rsidRPr="007B7CF6">
        <w:rPr>
          <w:i/>
          <w:sz w:val="20"/>
          <w:szCs w:val="20"/>
          <w:lang w:val="fr-CA"/>
        </w:rPr>
        <w:t>Timminco</w:t>
      </w:r>
      <w:r w:rsidRPr="007B7CF6">
        <w:rPr>
          <w:sz w:val="20"/>
          <w:szCs w:val="20"/>
          <w:lang w:val="fr-CA"/>
        </w:rPr>
        <w:t>, et par conséquent, l’action n’était plus prescrite.</w:t>
      </w:r>
    </w:p>
    <w:p w:rsidR="00C179AC" w:rsidRPr="007B7CF6" w:rsidRDefault="00C179AC" w:rsidP="00C179AC">
      <w:pPr>
        <w:widowControl w:val="0"/>
        <w:jc w:val="both"/>
        <w:rPr>
          <w:sz w:val="20"/>
          <w:szCs w:val="20"/>
          <w:lang w:val="fr-CA"/>
        </w:rPr>
      </w:pPr>
    </w:p>
    <w:p w:rsidR="00C179AC" w:rsidRPr="007B7CF6" w:rsidRDefault="00C179AC" w:rsidP="00C179AC">
      <w:pPr>
        <w:widowControl w:val="0"/>
        <w:jc w:val="both"/>
        <w:rPr>
          <w:sz w:val="20"/>
          <w:szCs w:val="20"/>
          <w:lang w:val="fr-CA"/>
        </w:rPr>
      </w:pPr>
    </w:p>
    <w:p w:rsidR="00C179AC" w:rsidRPr="007B7CF6" w:rsidRDefault="00C179AC" w:rsidP="00C179AC">
      <w:pPr>
        <w:widowControl w:val="0"/>
        <w:ind w:left="2880" w:hanging="2880"/>
        <w:jc w:val="both"/>
        <w:rPr>
          <w:sz w:val="20"/>
          <w:szCs w:val="20"/>
          <w:lang w:val="fr-CA"/>
        </w:rPr>
      </w:pPr>
      <w:r w:rsidRPr="007B7CF6">
        <w:rPr>
          <w:sz w:val="20"/>
          <w:szCs w:val="20"/>
          <w:lang w:val="fr-CA"/>
        </w:rPr>
        <w:t>Origine :</w:t>
      </w:r>
      <w:r w:rsidRPr="007B7CF6">
        <w:rPr>
          <w:sz w:val="20"/>
          <w:szCs w:val="20"/>
          <w:lang w:val="fr-CA"/>
        </w:rPr>
        <w:tab/>
        <w:t>Ontario</w:t>
      </w:r>
    </w:p>
    <w:p w:rsidR="00C179AC" w:rsidRPr="007B7CF6" w:rsidRDefault="00C179AC" w:rsidP="00C179AC">
      <w:pPr>
        <w:widowControl w:val="0"/>
        <w:ind w:left="2880" w:hanging="2880"/>
        <w:jc w:val="both"/>
        <w:rPr>
          <w:sz w:val="20"/>
          <w:szCs w:val="20"/>
          <w:lang w:val="fr-CA"/>
        </w:rPr>
      </w:pPr>
    </w:p>
    <w:p w:rsidR="00C179AC" w:rsidRPr="007B7CF6" w:rsidRDefault="00C179AC" w:rsidP="00C179AC">
      <w:pPr>
        <w:widowControl w:val="0"/>
        <w:ind w:left="2880" w:hanging="2880"/>
        <w:jc w:val="both"/>
        <w:rPr>
          <w:sz w:val="20"/>
          <w:szCs w:val="20"/>
          <w:lang w:val="fr-CA"/>
        </w:rPr>
      </w:pPr>
      <w:r w:rsidRPr="007B7CF6">
        <w:rPr>
          <w:sz w:val="20"/>
          <w:szCs w:val="20"/>
          <w:lang w:val="fr-CA"/>
        </w:rPr>
        <w:t>N</w:t>
      </w:r>
      <w:r w:rsidRPr="007B7CF6">
        <w:rPr>
          <w:sz w:val="20"/>
          <w:szCs w:val="20"/>
          <w:vertAlign w:val="superscript"/>
          <w:lang w:val="fr-CA"/>
        </w:rPr>
        <w:t>o</w:t>
      </w:r>
      <w:r w:rsidRPr="007B7CF6">
        <w:rPr>
          <w:sz w:val="20"/>
          <w:szCs w:val="20"/>
          <w:lang w:val="fr-CA"/>
        </w:rPr>
        <w:t xml:space="preserve"> du greffe :</w:t>
      </w:r>
      <w:r w:rsidRPr="007B7CF6">
        <w:rPr>
          <w:sz w:val="20"/>
          <w:szCs w:val="20"/>
          <w:lang w:val="fr-CA"/>
        </w:rPr>
        <w:tab/>
        <w:t>35811</w:t>
      </w:r>
    </w:p>
    <w:p w:rsidR="00C179AC" w:rsidRPr="007B7CF6" w:rsidRDefault="00C179AC" w:rsidP="00C179AC">
      <w:pPr>
        <w:widowControl w:val="0"/>
        <w:ind w:left="2880" w:hanging="2880"/>
        <w:jc w:val="both"/>
        <w:rPr>
          <w:sz w:val="20"/>
          <w:szCs w:val="20"/>
          <w:lang w:val="fr-CA"/>
        </w:rPr>
      </w:pPr>
    </w:p>
    <w:p w:rsidR="00C179AC" w:rsidRPr="007B7CF6" w:rsidRDefault="00C179AC" w:rsidP="00C179AC">
      <w:pPr>
        <w:widowControl w:val="0"/>
        <w:ind w:left="2880" w:hanging="2880"/>
        <w:jc w:val="both"/>
        <w:rPr>
          <w:sz w:val="20"/>
          <w:szCs w:val="20"/>
          <w:lang w:val="fr-CA"/>
        </w:rPr>
      </w:pPr>
      <w:r w:rsidRPr="007B7CF6">
        <w:rPr>
          <w:sz w:val="20"/>
          <w:szCs w:val="20"/>
          <w:lang w:val="fr-CA"/>
        </w:rPr>
        <w:t>Arrêt de la Cour d’appel :</w:t>
      </w:r>
      <w:r w:rsidRPr="007B7CF6">
        <w:rPr>
          <w:sz w:val="20"/>
          <w:szCs w:val="20"/>
          <w:lang w:val="fr-CA"/>
        </w:rPr>
        <w:tab/>
        <w:t>le 3 février 2014</w:t>
      </w:r>
    </w:p>
    <w:p w:rsidR="00C179AC" w:rsidRPr="007B7CF6" w:rsidRDefault="00C179AC" w:rsidP="00C179AC">
      <w:pPr>
        <w:widowControl w:val="0"/>
        <w:ind w:left="2880" w:hanging="2880"/>
        <w:jc w:val="both"/>
        <w:rPr>
          <w:sz w:val="20"/>
          <w:szCs w:val="20"/>
          <w:lang w:val="fr-CA"/>
        </w:rPr>
      </w:pPr>
    </w:p>
    <w:p w:rsidR="00C179AC" w:rsidRPr="007B7CF6" w:rsidRDefault="00C179AC" w:rsidP="00C179AC">
      <w:pPr>
        <w:widowControl w:val="0"/>
        <w:ind w:left="2880" w:hanging="2880"/>
        <w:jc w:val="both"/>
        <w:rPr>
          <w:sz w:val="20"/>
          <w:szCs w:val="20"/>
          <w:lang w:val="fr-CA"/>
        </w:rPr>
      </w:pPr>
      <w:r w:rsidRPr="007B7CF6">
        <w:rPr>
          <w:sz w:val="20"/>
          <w:szCs w:val="20"/>
          <w:lang w:val="fr-CA"/>
        </w:rPr>
        <w:t>Avocats :</w:t>
      </w:r>
      <w:r w:rsidRPr="007B7CF6">
        <w:rPr>
          <w:sz w:val="20"/>
          <w:szCs w:val="20"/>
          <w:lang w:val="fr-CA"/>
        </w:rPr>
        <w:tab/>
        <w:t xml:space="preserve">R. Paul Steep, Dana M. Peebles et Brandon Kain pour les appelants </w:t>
      </w:r>
    </w:p>
    <w:p w:rsidR="00C179AC" w:rsidRPr="007B7CF6" w:rsidRDefault="00C179AC" w:rsidP="00C179AC">
      <w:pPr>
        <w:widowControl w:val="0"/>
        <w:ind w:left="2880" w:hanging="2880"/>
        <w:jc w:val="both"/>
        <w:rPr>
          <w:sz w:val="20"/>
          <w:szCs w:val="20"/>
          <w:lang w:val="fr-CA"/>
        </w:rPr>
      </w:pPr>
      <w:r w:rsidRPr="007B7CF6">
        <w:rPr>
          <w:sz w:val="20"/>
          <w:szCs w:val="20"/>
          <w:lang w:val="fr-CA"/>
        </w:rPr>
        <w:tab/>
        <w:t>Michael G. Robb, A. Dimitri Lascaris et Marie-France Major pour les intimés</w:t>
      </w:r>
    </w:p>
    <w:p w:rsidR="00D96A7D" w:rsidRDefault="00D96A7D">
      <w:pPr>
        <w:rPr>
          <w:sz w:val="20"/>
          <w:szCs w:val="20"/>
          <w:lang w:val="fr-CA"/>
        </w:rPr>
      </w:pPr>
    </w:p>
    <w:p w:rsidR="00D96A7D" w:rsidRDefault="00E42AAB">
      <w:pPr>
        <w:rPr>
          <w:sz w:val="20"/>
          <w:szCs w:val="20"/>
          <w:lang w:val="fr-CA"/>
        </w:rPr>
      </w:pPr>
      <w:r>
        <w:rPr>
          <w:sz w:val="20"/>
          <w:szCs w:val="20"/>
          <w:lang w:val="fr-CA"/>
        </w:rPr>
        <w:pict>
          <v:rect id="_x0000_i1126" style="width:2in;height:1pt" o:hrpct="0" o:hralign="center" o:hrstd="t" o:hrnoshade="t" o:hr="t" fillcolor="black [3213]" stroked="f"/>
        </w:pict>
      </w:r>
    </w:p>
    <w:p w:rsidR="00D96A7D" w:rsidRDefault="00D96A7D">
      <w:pPr>
        <w:rPr>
          <w:sz w:val="20"/>
          <w:szCs w:val="20"/>
          <w:lang w:val="fr-CA"/>
        </w:rPr>
      </w:pPr>
      <w:r>
        <w:rPr>
          <w:sz w:val="20"/>
          <w:szCs w:val="20"/>
          <w:lang w:val="fr-CA"/>
        </w:rPr>
        <w:br w:type="page"/>
      </w:r>
    </w:p>
    <w:p w:rsidR="000149F8" w:rsidRPr="00184B33" w:rsidRDefault="006F7944" w:rsidP="000149F8">
      <w:pPr>
        <w:widowControl w:val="0"/>
        <w:ind w:left="720" w:hanging="720"/>
        <w:contextualSpacing/>
        <w:jc w:val="both"/>
        <w:rPr>
          <w:b/>
          <w:i/>
          <w:sz w:val="20"/>
          <w:szCs w:val="20"/>
        </w:rPr>
      </w:pPr>
      <w:r w:rsidRPr="00184B33">
        <w:rPr>
          <w:b/>
          <w:sz w:val="20"/>
          <w:szCs w:val="20"/>
        </w:rPr>
        <w:lastRenderedPageBreak/>
        <w:fldChar w:fldCharType="begin"/>
      </w:r>
      <w:r w:rsidR="000149F8" w:rsidRPr="00184B33">
        <w:rPr>
          <w:b/>
          <w:sz w:val="20"/>
          <w:szCs w:val="20"/>
        </w:rPr>
        <w:instrText xml:space="preserve"> SEQ CHAPTER \h \r 1</w:instrText>
      </w:r>
      <w:r w:rsidRPr="00184B33">
        <w:rPr>
          <w:b/>
          <w:sz w:val="20"/>
          <w:szCs w:val="20"/>
        </w:rPr>
        <w:fldChar w:fldCharType="end"/>
      </w:r>
      <w:r w:rsidR="000149F8" w:rsidRPr="00184B33">
        <w:rPr>
          <w:b/>
          <w:sz w:val="20"/>
          <w:szCs w:val="20"/>
        </w:rPr>
        <w:t>35813</w:t>
      </w:r>
      <w:r w:rsidR="000149F8" w:rsidRPr="00184B33">
        <w:rPr>
          <w:sz w:val="20"/>
          <w:szCs w:val="20"/>
        </w:rPr>
        <w:tab/>
      </w:r>
      <w:r w:rsidR="000149F8" w:rsidRPr="00184B33">
        <w:rPr>
          <w:b/>
          <w:i/>
          <w:sz w:val="20"/>
          <w:szCs w:val="20"/>
        </w:rPr>
        <w:t>Celestica Inc., Stephen W. Delaney and Anthony P. Puppi v. Trustees of the Millwright Regional Council of Ontario Pension Trust Fund</w:t>
      </w:r>
    </w:p>
    <w:p w:rsidR="000149F8" w:rsidRPr="00184B33" w:rsidRDefault="000149F8" w:rsidP="000149F8">
      <w:pPr>
        <w:widowControl w:val="0"/>
        <w:ind w:left="720" w:hanging="720"/>
        <w:contextualSpacing/>
        <w:jc w:val="both"/>
        <w:rPr>
          <w:b/>
          <w:i/>
          <w:sz w:val="20"/>
          <w:szCs w:val="20"/>
        </w:rPr>
      </w:pPr>
      <w:r w:rsidRPr="00184B33">
        <w:rPr>
          <w:b/>
          <w:i/>
          <w:sz w:val="20"/>
          <w:szCs w:val="20"/>
        </w:rPr>
        <w:tab/>
        <w:t>Celestica Inc., Stephen W. Delaney and Anthony P. Puppi v.</w:t>
      </w:r>
      <w:r w:rsidRPr="00184B33">
        <w:rPr>
          <w:sz w:val="20"/>
          <w:szCs w:val="20"/>
        </w:rPr>
        <w:t xml:space="preserve"> </w:t>
      </w:r>
      <w:r w:rsidRPr="00184B33">
        <w:rPr>
          <w:b/>
          <w:i/>
          <w:sz w:val="20"/>
          <w:szCs w:val="20"/>
        </w:rPr>
        <w:t>Nabil Berzi</w:t>
      </w:r>
    </w:p>
    <w:p w:rsidR="000149F8" w:rsidRPr="00184B33" w:rsidRDefault="000149F8" w:rsidP="000149F8">
      <w:pPr>
        <w:widowControl w:val="0"/>
        <w:ind w:left="720" w:hanging="720"/>
        <w:contextualSpacing/>
        <w:jc w:val="both"/>
        <w:rPr>
          <w:b/>
          <w:i/>
          <w:sz w:val="20"/>
          <w:szCs w:val="20"/>
        </w:rPr>
      </w:pPr>
      <w:r w:rsidRPr="00184B33">
        <w:rPr>
          <w:b/>
          <w:i/>
          <w:sz w:val="20"/>
          <w:szCs w:val="20"/>
        </w:rPr>
        <w:tab/>
        <w:t>Celestica Inc., Stephen W. Delaney and Anthony P. Puppi v. Huacheng Xing</w:t>
      </w:r>
    </w:p>
    <w:p w:rsidR="000149F8" w:rsidRPr="00184B33" w:rsidRDefault="000149F8" w:rsidP="000149F8">
      <w:pPr>
        <w:widowControl w:val="0"/>
        <w:ind w:left="1440" w:hanging="1440"/>
        <w:jc w:val="both"/>
        <w:rPr>
          <w:sz w:val="20"/>
          <w:szCs w:val="20"/>
        </w:rPr>
      </w:pPr>
    </w:p>
    <w:p w:rsidR="000149F8" w:rsidRPr="00184B33" w:rsidRDefault="000149F8" w:rsidP="000149F8">
      <w:pPr>
        <w:jc w:val="both"/>
        <w:rPr>
          <w:sz w:val="20"/>
          <w:szCs w:val="20"/>
        </w:rPr>
      </w:pPr>
      <w:r w:rsidRPr="00184B33">
        <w:rPr>
          <w:sz w:val="20"/>
          <w:szCs w:val="20"/>
        </w:rPr>
        <w:t xml:space="preserve">Limitation of actions - Legislation - Interpretation - Civil procedure - Class actions - Securities - Statutory claim - Statement of claim in proposed class action indicating that plaintiffs will seek order granting leave to assert statutory cause of action for misrepresentation provided by s. 138.3 of Part XXIII.1 of Ontario </w:t>
      </w:r>
      <w:r w:rsidRPr="00184B33">
        <w:rPr>
          <w:i/>
          <w:sz w:val="20"/>
          <w:szCs w:val="20"/>
        </w:rPr>
        <w:t>Securities Act</w:t>
      </w:r>
      <w:r w:rsidRPr="00184B33">
        <w:rPr>
          <w:sz w:val="20"/>
          <w:szCs w:val="20"/>
        </w:rPr>
        <w:t xml:space="preserve"> - Leave motion brought after expiry of three-year limitation period set out in s. 138.14 of </w:t>
      </w:r>
      <w:r w:rsidRPr="00184B33">
        <w:rPr>
          <w:i/>
          <w:sz w:val="20"/>
          <w:szCs w:val="20"/>
        </w:rPr>
        <w:t>Securities Act</w:t>
      </w:r>
      <w:r w:rsidRPr="00184B33">
        <w:rPr>
          <w:sz w:val="20"/>
          <w:szCs w:val="20"/>
        </w:rPr>
        <w:t xml:space="preserve"> - Whether Court of Appeal erred in concluding that the test for overturning </w:t>
      </w:r>
      <w:r w:rsidRPr="00184B33">
        <w:rPr>
          <w:i/>
          <w:sz w:val="20"/>
          <w:szCs w:val="20"/>
        </w:rPr>
        <w:t>Sharma v. Timminco</w:t>
      </w:r>
      <w:r w:rsidRPr="00184B33">
        <w:rPr>
          <w:sz w:val="20"/>
          <w:szCs w:val="20"/>
        </w:rPr>
        <w:t xml:space="preserve">, 2012 ONCA 107, had been satisfied - Whether Court of Appeal erred in its determination as to when the statutory limitation period under Part XXIII.1 stopped running - Whether the special circumstances doctrine is available to relieve the plaintiffs from compliance with the Part XXIII.1 limitation period - </w:t>
      </w:r>
      <w:r w:rsidRPr="00184B33">
        <w:rPr>
          <w:i/>
          <w:sz w:val="20"/>
          <w:szCs w:val="20"/>
        </w:rPr>
        <w:t>Securities Act</w:t>
      </w:r>
      <w:r w:rsidRPr="00184B33">
        <w:rPr>
          <w:sz w:val="20"/>
          <w:szCs w:val="20"/>
        </w:rPr>
        <w:t xml:space="preserve">, R.S.O. 1990, c. S.5, ss. 138.3, 138.8, 138.14 - </w:t>
      </w:r>
      <w:r w:rsidRPr="00184B33">
        <w:rPr>
          <w:i/>
          <w:sz w:val="20"/>
          <w:szCs w:val="20"/>
        </w:rPr>
        <w:t>Class Proceedings Act, 1992</w:t>
      </w:r>
      <w:r w:rsidRPr="00184B33">
        <w:rPr>
          <w:sz w:val="20"/>
          <w:szCs w:val="20"/>
        </w:rPr>
        <w:t>, S.O. 1992, c. 6, s. 28.</w:t>
      </w:r>
    </w:p>
    <w:p w:rsidR="000149F8" w:rsidRPr="00184B33" w:rsidRDefault="000149F8" w:rsidP="000149F8">
      <w:pPr>
        <w:widowControl w:val="0"/>
        <w:jc w:val="both"/>
        <w:rPr>
          <w:sz w:val="20"/>
          <w:szCs w:val="20"/>
        </w:rPr>
      </w:pPr>
    </w:p>
    <w:p w:rsidR="000149F8" w:rsidRPr="00184B33" w:rsidRDefault="000149F8" w:rsidP="000149F8">
      <w:pPr>
        <w:jc w:val="both"/>
        <w:rPr>
          <w:sz w:val="20"/>
          <w:szCs w:val="20"/>
        </w:rPr>
      </w:pPr>
      <w:r w:rsidRPr="00184B33">
        <w:rPr>
          <w:sz w:val="20"/>
          <w:szCs w:val="20"/>
        </w:rPr>
        <w:t xml:space="preserve">In this class action proceeding, the representative plaintiffs are claiming damages under Part XXIII.1 of the Ontario </w:t>
      </w:r>
      <w:r w:rsidRPr="00184B33">
        <w:rPr>
          <w:i/>
          <w:sz w:val="20"/>
          <w:szCs w:val="20"/>
        </w:rPr>
        <w:t>Securities Act</w:t>
      </w:r>
      <w:r w:rsidRPr="00184B33">
        <w:rPr>
          <w:sz w:val="20"/>
          <w:szCs w:val="20"/>
        </w:rPr>
        <w:t xml:space="preserve"> (“OSA”) for misrepresentations alleged to have been made in respect of shares trading in the secondary market. In addition to common law negligent misrepresentation claims, they make a claim based on the new statutory cause of action found at s. 138.3 of the OSA, which can only be commenced with leave of the court and is subject to a three-year limitation period. The plaintiffs brought a motion seeking leave beyond the three-year limitation period. On motion by the defendants to strike the statutory claims as being time-barred in view of the Ontario Court of Appeal’s 2012 decision in </w:t>
      </w:r>
      <w:r w:rsidRPr="00184B33">
        <w:rPr>
          <w:i/>
          <w:sz w:val="20"/>
          <w:szCs w:val="20"/>
        </w:rPr>
        <w:t>Sharma v. Timminco</w:t>
      </w:r>
      <w:r w:rsidRPr="00184B33">
        <w:rPr>
          <w:sz w:val="20"/>
          <w:szCs w:val="20"/>
        </w:rPr>
        <w:t xml:space="preserve">, 2012 ONCA 107, the motions judge held that there were special circumstances justifying an order granting leave </w:t>
      </w:r>
      <w:r w:rsidRPr="00184B33">
        <w:rPr>
          <w:i/>
          <w:sz w:val="20"/>
          <w:szCs w:val="20"/>
        </w:rPr>
        <w:t>nunc pro tunc</w:t>
      </w:r>
      <w:r w:rsidRPr="00184B33">
        <w:rPr>
          <w:sz w:val="20"/>
          <w:szCs w:val="20"/>
        </w:rPr>
        <w:t xml:space="preserve"> despite the expiry of the limitation period. On appeal by the defendants, a five-judge panel of the Court of Appeal concluded that the decision in </w:t>
      </w:r>
      <w:r w:rsidRPr="00184B33">
        <w:rPr>
          <w:i/>
          <w:sz w:val="20"/>
          <w:szCs w:val="20"/>
        </w:rPr>
        <w:t>Timminco</w:t>
      </w:r>
      <w:r w:rsidRPr="00184B33">
        <w:rPr>
          <w:sz w:val="20"/>
          <w:szCs w:val="20"/>
        </w:rPr>
        <w:t xml:space="preserve"> should be overturned, and therefore that the action was not statute-barred.</w:t>
      </w:r>
    </w:p>
    <w:p w:rsidR="000149F8" w:rsidRPr="00184B33" w:rsidRDefault="000149F8" w:rsidP="000149F8">
      <w:pPr>
        <w:widowControl w:val="0"/>
        <w:jc w:val="both"/>
        <w:rPr>
          <w:sz w:val="20"/>
          <w:szCs w:val="20"/>
        </w:rPr>
      </w:pPr>
    </w:p>
    <w:p w:rsidR="000149F8" w:rsidRPr="00184B33" w:rsidRDefault="000149F8" w:rsidP="000149F8">
      <w:pPr>
        <w:widowControl w:val="0"/>
        <w:jc w:val="both"/>
        <w:rPr>
          <w:sz w:val="20"/>
          <w:szCs w:val="20"/>
        </w:rPr>
      </w:pPr>
    </w:p>
    <w:p w:rsidR="000149F8" w:rsidRPr="00184B33" w:rsidRDefault="000149F8" w:rsidP="000149F8">
      <w:pPr>
        <w:widowControl w:val="0"/>
        <w:ind w:left="2880" w:hanging="2880"/>
        <w:jc w:val="both"/>
        <w:rPr>
          <w:sz w:val="20"/>
          <w:szCs w:val="20"/>
        </w:rPr>
      </w:pPr>
      <w:r w:rsidRPr="00184B33">
        <w:rPr>
          <w:sz w:val="20"/>
          <w:szCs w:val="20"/>
        </w:rPr>
        <w:t>Origin of the case:</w:t>
      </w:r>
      <w:r w:rsidRPr="00184B33">
        <w:rPr>
          <w:sz w:val="20"/>
          <w:szCs w:val="20"/>
        </w:rPr>
        <w:tab/>
        <w:t>Ontario</w:t>
      </w:r>
    </w:p>
    <w:p w:rsidR="000149F8" w:rsidRPr="00184B33" w:rsidRDefault="000149F8" w:rsidP="000149F8">
      <w:pPr>
        <w:widowControl w:val="0"/>
        <w:ind w:left="2880" w:hanging="2880"/>
        <w:jc w:val="both"/>
        <w:rPr>
          <w:sz w:val="20"/>
          <w:szCs w:val="20"/>
        </w:rPr>
      </w:pPr>
    </w:p>
    <w:p w:rsidR="000149F8" w:rsidRPr="00184B33" w:rsidRDefault="000149F8" w:rsidP="000149F8">
      <w:pPr>
        <w:widowControl w:val="0"/>
        <w:ind w:left="2880" w:hanging="2880"/>
        <w:jc w:val="both"/>
        <w:rPr>
          <w:sz w:val="20"/>
          <w:szCs w:val="20"/>
        </w:rPr>
      </w:pPr>
      <w:r w:rsidRPr="00184B33">
        <w:rPr>
          <w:sz w:val="20"/>
          <w:szCs w:val="20"/>
        </w:rPr>
        <w:t>File No.:</w:t>
      </w:r>
      <w:r w:rsidRPr="00184B33">
        <w:rPr>
          <w:sz w:val="20"/>
          <w:szCs w:val="20"/>
        </w:rPr>
        <w:tab/>
        <w:t>35813</w:t>
      </w:r>
    </w:p>
    <w:p w:rsidR="000149F8" w:rsidRPr="00184B33" w:rsidRDefault="000149F8" w:rsidP="000149F8">
      <w:pPr>
        <w:widowControl w:val="0"/>
        <w:ind w:left="2880" w:hanging="2880"/>
        <w:jc w:val="both"/>
        <w:rPr>
          <w:sz w:val="20"/>
          <w:szCs w:val="20"/>
        </w:rPr>
      </w:pPr>
    </w:p>
    <w:p w:rsidR="000149F8" w:rsidRPr="00184B33" w:rsidRDefault="000149F8" w:rsidP="000149F8">
      <w:pPr>
        <w:widowControl w:val="0"/>
        <w:ind w:left="2880" w:hanging="2880"/>
        <w:jc w:val="both"/>
        <w:rPr>
          <w:sz w:val="20"/>
          <w:szCs w:val="20"/>
        </w:rPr>
      </w:pPr>
      <w:r w:rsidRPr="00184B33">
        <w:rPr>
          <w:sz w:val="20"/>
          <w:szCs w:val="20"/>
        </w:rPr>
        <w:t>Judgment of the Court of Appeal:</w:t>
      </w:r>
      <w:r w:rsidRPr="00184B33">
        <w:rPr>
          <w:sz w:val="20"/>
          <w:szCs w:val="20"/>
        </w:rPr>
        <w:tab/>
        <w:t>February 3, 2014</w:t>
      </w:r>
    </w:p>
    <w:p w:rsidR="000149F8" w:rsidRPr="00184B33" w:rsidRDefault="000149F8" w:rsidP="000149F8">
      <w:pPr>
        <w:widowControl w:val="0"/>
        <w:ind w:left="2880" w:hanging="2880"/>
        <w:jc w:val="both"/>
        <w:rPr>
          <w:sz w:val="20"/>
          <w:szCs w:val="20"/>
        </w:rPr>
      </w:pPr>
    </w:p>
    <w:p w:rsidR="000149F8" w:rsidRPr="00184B33" w:rsidRDefault="000149F8" w:rsidP="000149F8">
      <w:pPr>
        <w:widowControl w:val="0"/>
        <w:ind w:left="2880" w:hanging="2880"/>
        <w:jc w:val="both"/>
        <w:rPr>
          <w:sz w:val="20"/>
          <w:szCs w:val="20"/>
        </w:rPr>
      </w:pPr>
      <w:r w:rsidRPr="00184B33">
        <w:rPr>
          <w:sz w:val="20"/>
          <w:szCs w:val="20"/>
        </w:rPr>
        <w:t>Counsel:</w:t>
      </w:r>
      <w:r w:rsidRPr="00184B33">
        <w:rPr>
          <w:sz w:val="20"/>
          <w:szCs w:val="20"/>
        </w:rPr>
        <w:tab/>
        <w:t xml:space="preserve">Nigel Campbell, Andrea Laing and Ryan A. Morris for the appellants </w:t>
      </w:r>
    </w:p>
    <w:p w:rsidR="000149F8" w:rsidRPr="00184B33" w:rsidRDefault="000149F8" w:rsidP="000149F8">
      <w:pPr>
        <w:widowControl w:val="0"/>
        <w:ind w:left="2880" w:hanging="2880"/>
        <w:jc w:val="both"/>
        <w:rPr>
          <w:sz w:val="20"/>
          <w:szCs w:val="20"/>
        </w:rPr>
      </w:pPr>
      <w:r w:rsidRPr="00184B33">
        <w:rPr>
          <w:sz w:val="20"/>
          <w:szCs w:val="20"/>
        </w:rPr>
        <w:tab/>
        <w:t>Kirk M. Baert and Michael Mazzuca for the respondents</w:t>
      </w:r>
    </w:p>
    <w:p w:rsidR="00D96A7D" w:rsidRPr="000149F8" w:rsidRDefault="00D96A7D">
      <w:pPr>
        <w:rPr>
          <w:sz w:val="20"/>
          <w:szCs w:val="20"/>
        </w:rPr>
      </w:pPr>
    </w:p>
    <w:p w:rsidR="00D96A7D" w:rsidRDefault="00E42AAB">
      <w:pPr>
        <w:rPr>
          <w:sz w:val="20"/>
          <w:szCs w:val="20"/>
          <w:lang w:val="fr-CA"/>
        </w:rPr>
      </w:pPr>
      <w:r>
        <w:rPr>
          <w:sz w:val="20"/>
          <w:szCs w:val="20"/>
          <w:lang w:val="fr-CA"/>
        </w:rPr>
        <w:pict>
          <v:rect id="_x0000_i1127" style="width:2in;height:1pt" o:hrpct="0" o:hralign="center" o:hrstd="t" o:hrnoshade="t" o:hr="t" fillcolor="black [3213]" stroked="f"/>
        </w:pict>
      </w:r>
    </w:p>
    <w:p w:rsidR="00D96A7D" w:rsidRDefault="00D96A7D">
      <w:pPr>
        <w:rPr>
          <w:sz w:val="20"/>
          <w:szCs w:val="20"/>
          <w:lang w:val="fr-CA"/>
        </w:rPr>
      </w:pPr>
      <w:r>
        <w:rPr>
          <w:sz w:val="20"/>
          <w:szCs w:val="20"/>
          <w:lang w:val="fr-CA"/>
        </w:rPr>
        <w:br w:type="page"/>
      </w:r>
    </w:p>
    <w:p w:rsidR="000149F8" w:rsidRPr="00C25698" w:rsidRDefault="006F7944" w:rsidP="000149F8">
      <w:pPr>
        <w:widowControl w:val="0"/>
        <w:ind w:left="720" w:hanging="720"/>
        <w:contextualSpacing/>
        <w:jc w:val="both"/>
        <w:rPr>
          <w:b/>
          <w:i/>
          <w:sz w:val="20"/>
          <w:szCs w:val="20"/>
        </w:rPr>
      </w:pPr>
      <w:r w:rsidRPr="00C25698">
        <w:rPr>
          <w:b/>
          <w:sz w:val="20"/>
          <w:szCs w:val="20"/>
          <w:lang w:val="fr-CA"/>
        </w:rPr>
        <w:lastRenderedPageBreak/>
        <w:fldChar w:fldCharType="begin"/>
      </w:r>
      <w:r w:rsidR="000149F8" w:rsidRPr="00C25698">
        <w:rPr>
          <w:b/>
          <w:sz w:val="20"/>
          <w:szCs w:val="20"/>
        </w:rPr>
        <w:instrText xml:space="preserve"> SEQ CHAPTER \h \r 1</w:instrText>
      </w:r>
      <w:r w:rsidRPr="00C25698">
        <w:rPr>
          <w:b/>
          <w:sz w:val="20"/>
          <w:szCs w:val="20"/>
          <w:lang w:val="fr-CA"/>
        </w:rPr>
        <w:fldChar w:fldCharType="end"/>
      </w:r>
      <w:r w:rsidR="000149F8" w:rsidRPr="00C25698">
        <w:rPr>
          <w:b/>
          <w:sz w:val="20"/>
          <w:szCs w:val="20"/>
        </w:rPr>
        <w:t>35813</w:t>
      </w:r>
      <w:r w:rsidR="000149F8" w:rsidRPr="00C25698">
        <w:rPr>
          <w:sz w:val="20"/>
          <w:szCs w:val="20"/>
        </w:rPr>
        <w:tab/>
      </w:r>
      <w:r w:rsidR="000149F8" w:rsidRPr="00C25698">
        <w:rPr>
          <w:b/>
          <w:i/>
          <w:sz w:val="20"/>
          <w:szCs w:val="20"/>
        </w:rPr>
        <w:t>Celestica Inc., Stephen W. Delaney et Anthony P. Puppi c. Trustees of the Millwright Regional Council of Ontario Pension Trust Fund</w:t>
      </w:r>
    </w:p>
    <w:p w:rsidR="000149F8" w:rsidRPr="00C25698" w:rsidRDefault="000149F8" w:rsidP="000149F8">
      <w:pPr>
        <w:widowControl w:val="0"/>
        <w:ind w:left="720" w:hanging="720"/>
        <w:contextualSpacing/>
        <w:jc w:val="both"/>
        <w:rPr>
          <w:b/>
          <w:i/>
          <w:sz w:val="20"/>
          <w:szCs w:val="20"/>
        </w:rPr>
      </w:pPr>
      <w:r w:rsidRPr="00C25698">
        <w:rPr>
          <w:b/>
          <w:i/>
          <w:sz w:val="20"/>
          <w:szCs w:val="20"/>
        </w:rPr>
        <w:tab/>
        <w:t>Celestica Inc., Stephen W. Delaney et Anthony P. Puppi c. Nabil Berzi</w:t>
      </w:r>
    </w:p>
    <w:p w:rsidR="000149F8" w:rsidRPr="00C25698" w:rsidRDefault="000149F8" w:rsidP="000149F8">
      <w:pPr>
        <w:widowControl w:val="0"/>
        <w:ind w:left="720" w:hanging="720"/>
        <w:contextualSpacing/>
        <w:jc w:val="both"/>
        <w:rPr>
          <w:b/>
          <w:i/>
          <w:sz w:val="20"/>
          <w:szCs w:val="20"/>
        </w:rPr>
      </w:pPr>
      <w:r w:rsidRPr="00C25698">
        <w:rPr>
          <w:b/>
          <w:i/>
          <w:sz w:val="20"/>
          <w:szCs w:val="20"/>
        </w:rPr>
        <w:tab/>
        <w:t>Celestica Inc., Stephen W. Delaney et Anthony P. Puppi c. Huacheng Xing</w:t>
      </w:r>
    </w:p>
    <w:p w:rsidR="000149F8" w:rsidRPr="00C25698" w:rsidRDefault="000149F8" w:rsidP="000149F8">
      <w:pPr>
        <w:widowControl w:val="0"/>
        <w:ind w:left="1440" w:hanging="1440"/>
        <w:jc w:val="both"/>
        <w:rPr>
          <w:sz w:val="20"/>
          <w:szCs w:val="20"/>
        </w:rPr>
      </w:pPr>
    </w:p>
    <w:p w:rsidR="000149F8" w:rsidRPr="00C25698" w:rsidRDefault="000149F8" w:rsidP="000149F8">
      <w:pPr>
        <w:jc w:val="both"/>
        <w:rPr>
          <w:sz w:val="20"/>
          <w:szCs w:val="20"/>
          <w:lang w:val="fr-CA"/>
        </w:rPr>
      </w:pPr>
      <w:r w:rsidRPr="00C25698">
        <w:rPr>
          <w:sz w:val="20"/>
          <w:szCs w:val="20"/>
          <w:lang w:val="fr-CA"/>
        </w:rPr>
        <w:t xml:space="preserve">Prescription - Législation - Interprétation - Procédure civile - Recours collectifs - Valeurs mobilières - Action fondée sur une disposition législative - Déclaration par les demandeurs dans le cadre d’un recours collectif proposé indiquant leur intention de solliciter l’autorisation de plaider comme cause d’action la présentation inexacte des faits, prévue à l’art. 138.3 de la partie XXIII.1 de la </w:t>
      </w:r>
      <w:r w:rsidRPr="00C25698">
        <w:rPr>
          <w:i/>
          <w:sz w:val="20"/>
          <w:szCs w:val="20"/>
          <w:lang w:val="fr-CA"/>
        </w:rPr>
        <w:t>Loi sur les valeurs mobilières</w:t>
      </w:r>
      <w:r w:rsidRPr="00C25698">
        <w:rPr>
          <w:sz w:val="20"/>
          <w:szCs w:val="20"/>
          <w:lang w:val="fr-CA"/>
        </w:rPr>
        <w:t xml:space="preserve"> de l’Ontario - Motion en autorisation présentée après l’expiration du délai de prescription de trois ans prévu à l’art. 138.14 de cette loi - La Cour d’appel a-t-elle eu tort de conclure que le critère qui permet d’infirmer </w:t>
      </w:r>
      <w:r w:rsidRPr="00C25698">
        <w:rPr>
          <w:i/>
          <w:sz w:val="20"/>
          <w:szCs w:val="20"/>
          <w:lang w:val="fr-CA"/>
        </w:rPr>
        <w:t>Sharma c. Timminco</w:t>
      </w:r>
      <w:r w:rsidRPr="00C25698">
        <w:rPr>
          <w:sz w:val="20"/>
          <w:szCs w:val="20"/>
          <w:lang w:val="fr-CA"/>
        </w:rPr>
        <w:t xml:space="preserve">, 2012 ONCA 107 avait été rempli? - La Cour d’appel a-t-elle commis une erreur dans sa détermination du moment où le délai de prescription en application de la partie XXIII.1 cessait de courir? - La doctrine des circonstances spéciales peut-elle être invoquée pour soustraire les demandeurs de l’obligation de se conformer au délai la prescription de la partie XXIII.1? - </w:t>
      </w:r>
      <w:r w:rsidRPr="00C25698">
        <w:rPr>
          <w:i/>
          <w:sz w:val="20"/>
          <w:szCs w:val="20"/>
          <w:lang w:val="fr-CA"/>
        </w:rPr>
        <w:t>Loi sur les valeurs mobilières</w:t>
      </w:r>
      <w:r w:rsidRPr="00C25698">
        <w:rPr>
          <w:sz w:val="20"/>
          <w:szCs w:val="20"/>
          <w:lang w:val="fr-CA"/>
        </w:rPr>
        <w:t xml:space="preserve">, L.R.O. 1990, ch. S.5, art. 138.3, 138.8, 138.14 - </w:t>
      </w:r>
      <w:r w:rsidRPr="00C25698">
        <w:rPr>
          <w:i/>
          <w:sz w:val="20"/>
          <w:szCs w:val="20"/>
          <w:lang w:val="fr-CA"/>
        </w:rPr>
        <w:t>Loi de 1992 sur les recours collectifs</w:t>
      </w:r>
      <w:r w:rsidRPr="00C25698">
        <w:rPr>
          <w:sz w:val="20"/>
          <w:szCs w:val="20"/>
          <w:lang w:val="fr-CA"/>
        </w:rPr>
        <w:t>,</w:t>
      </w:r>
      <w:r w:rsidRPr="00C25698">
        <w:rPr>
          <w:i/>
          <w:sz w:val="20"/>
          <w:szCs w:val="20"/>
          <w:lang w:val="fr-CA"/>
        </w:rPr>
        <w:t xml:space="preserve"> </w:t>
      </w:r>
      <w:r w:rsidRPr="00C25698">
        <w:rPr>
          <w:sz w:val="20"/>
          <w:szCs w:val="20"/>
          <w:lang w:val="fr-CA"/>
        </w:rPr>
        <w:t>L.O. 1992, ch. 6, art. 28.</w:t>
      </w:r>
    </w:p>
    <w:p w:rsidR="000149F8" w:rsidRPr="00C25698" w:rsidRDefault="000149F8" w:rsidP="000149F8">
      <w:pPr>
        <w:widowControl w:val="0"/>
        <w:jc w:val="both"/>
        <w:rPr>
          <w:sz w:val="20"/>
          <w:szCs w:val="20"/>
          <w:lang w:val="fr-CA"/>
        </w:rPr>
      </w:pPr>
    </w:p>
    <w:p w:rsidR="000149F8" w:rsidRPr="00C25698" w:rsidRDefault="000149F8" w:rsidP="000149F8">
      <w:pPr>
        <w:jc w:val="both"/>
        <w:rPr>
          <w:sz w:val="20"/>
          <w:szCs w:val="20"/>
          <w:lang w:val="fr-CA"/>
        </w:rPr>
      </w:pPr>
      <w:r w:rsidRPr="00C25698">
        <w:rPr>
          <w:sz w:val="20"/>
          <w:szCs w:val="20"/>
          <w:lang w:val="fr-CA"/>
        </w:rPr>
        <w:t xml:space="preserve">Les représentants des demandeurs dans le cadre d’un recours collectif intentent une action en dommages-intérêts en vertu de la partie XXIII.1 de la </w:t>
      </w:r>
      <w:r w:rsidRPr="00C25698">
        <w:rPr>
          <w:i/>
          <w:sz w:val="20"/>
          <w:szCs w:val="20"/>
          <w:lang w:val="fr-CA"/>
        </w:rPr>
        <w:t>Loi sur les valeurs mobilières</w:t>
      </w:r>
      <w:r w:rsidRPr="00C25698">
        <w:rPr>
          <w:sz w:val="20"/>
          <w:szCs w:val="20"/>
          <w:lang w:val="fr-CA"/>
        </w:rPr>
        <w:t xml:space="preserve"> de l’Ontario pour présentation inexacte des faits relativement à la négociation d’actions sur le marché secondaire. Outre l’assertion inexacte et négligente, une cause d’action issue de la common law, les demandeurs invoquent également la nouvelle cause d’action prévue à l’art. 138.3 de la Loi, qui ne peut être avancée que sur autorisation du tribunal et se prescrit par trois ans. Les demandeurs ont présenté une motion en autorisation après l’expiration du délai de prescription de trois ans. Les défendeurs ont présenté une motion visant à faire rejeter la cause d’action fondée sur la disposition législative pour cause de prescription, suivant l’arrêt rendu en 2012 par la Cour d’appel de l’Ontario dans l’affaire </w:t>
      </w:r>
      <w:r w:rsidRPr="00C25698">
        <w:rPr>
          <w:i/>
          <w:sz w:val="20"/>
          <w:szCs w:val="20"/>
          <w:lang w:val="fr-CA"/>
        </w:rPr>
        <w:t>Sharma c. Timminco</w:t>
      </w:r>
      <w:r w:rsidRPr="00C25698">
        <w:rPr>
          <w:sz w:val="20"/>
          <w:szCs w:val="20"/>
          <w:lang w:val="fr-CA"/>
        </w:rPr>
        <w:t>, 2012 ONCA 107. Le juge des requêtes a indiqué que des circonstances spéciales justifiaient l’autorisation avec effet rétroactif (</w:t>
      </w:r>
      <w:r w:rsidRPr="00C25698">
        <w:rPr>
          <w:i/>
          <w:sz w:val="20"/>
          <w:szCs w:val="20"/>
          <w:lang w:val="fr-CA"/>
        </w:rPr>
        <w:t>nunc pro tunc</w:t>
      </w:r>
      <w:r w:rsidRPr="00C25698">
        <w:rPr>
          <w:sz w:val="20"/>
          <w:szCs w:val="20"/>
          <w:lang w:val="fr-CA"/>
        </w:rPr>
        <w:t xml:space="preserve">), en dépit de l’expiration du délai de prescription. Dans le cadre de l’appel interjeté par les défendeurs, la formation de cinq juges de la Cour d’appel a infirmé l’arrêt </w:t>
      </w:r>
      <w:r w:rsidRPr="00C25698">
        <w:rPr>
          <w:i/>
          <w:sz w:val="20"/>
          <w:szCs w:val="20"/>
          <w:lang w:val="fr-CA"/>
        </w:rPr>
        <w:t>Timminco</w:t>
      </w:r>
      <w:r w:rsidRPr="00C25698">
        <w:rPr>
          <w:sz w:val="20"/>
          <w:szCs w:val="20"/>
          <w:lang w:val="fr-CA"/>
        </w:rPr>
        <w:t>, et par conséquent, l’action n’était plus prescrite.</w:t>
      </w:r>
    </w:p>
    <w:p w:rsidR="000149F8" w:rsidRPr="00C25698" w:rsidRDefault="000149F8" w:rsidP="000149F8">
      <w:pPr>
        <w:widowControl w:val="0"/>
        <w:jc w:val="both"/>
        <w:rPr>
          <w:sz w:val="20"/>
          <w:szCs w:val="20"/>
          <w:lang w:val="fr-CA"/>
        </w:rPr>
      </w:pPr>
    </w:p>
    <w:p w:rsidR="000149F8" w:rsidRPr="00C25698" w:rsidRDefault="000149F8" w:rsidP="000149F8">
      <w:pPr>
        <w:widowControl w:val="0"/>
        <w:jc w:val="both"/>
        <w:rPr>
          <w:sz w:val="20"/>
          <w:szCs w:val="20"/>
          <w:lang w:val="fr-CA"/>
        </w:rPr>
      </w:pPr>
    </w:p>
    <w:p w:rsidR="000149F8" w:rsidRPr="00C25698" w:rsidRDefault="000149F8" w:rsidP="000149F8">
      <w:pPr>
        <w:widowControl w:val="0"/>
        <w:ind w:left="2880" w:hanging="2880"/>
        <w:jc w:val="both"/>
        <w:rPr>
          <w:sz w:val="20"/>
          <w:szCs w:val="20"/>
          <w:lang w:val="fr-CA"/>
        </w:rPr>
      </w:pPr>
      <w:r w:rsidRPr="00C25698">
        <w:rPr>
          <w:sz w:val="20"/>
          <w:szCs w:val="20"/>
          <w:lang w:val="fr-CA"/>
        </w:rPr>
        <w:t>Origine :</w:t>
      </w:r>
      <w:r w:rsidRPr="00C25698">
        <w:rPr>
          <w:sz w:val="20"/>
          <w:szCs w:val="20"/>
          <w:lang w:val="fr-CA"/>
        </w:rPr>
        <w:tab/>
        <w:t>Ontario</w:t>
      </w:r>
    </w:p>
    <w:p w:rsidR="000149F8" w:rsidRPr="00C25698" w:rsidRDefault="000149F8" w:rsidP="000149F8">
      <w:pPr>
        <w:widowControl w:val="0"/>
        <w:ind w:left="2880" w:hanging="2880"/>
        <w:jc w:val="both"/>
        <w:rPr>
          <w:sz w:val="20"/>
          <w:szCs w:val="20"/>
          <w:lang w:val="fr-CA"/>
        </w:rPr>
      </w:pPr>
    </w:p>
    <w:p w:rsidR="000149F8" w:rsidRPr="00C25698" w:rsidRDefault="000149F8" w:rsidP="000149F8">
      <w:pPr>
        <w:widowControl w:val="0"/>
        <w:ind w:left="2880" w:hanging="2880"/>
        <w:jc w:val="both"/>
        <w:rPr>
          <w:sz w:val="20"/>
          <w:szCs w:val="20"/>
          <w:lang w:val="fr-CA"/>
        </w:rPr>
      </w:pPr>
      <w:r w:rsidRPr="00C25698">
        <w:rPr>
          <w:sz w:val="20"/>
          <w:szCs w:val="20"/>
          <w:lang w:val="fr-CA"/>
        </w:rPr>
        <w:t>N</w:t>
      </w:r>
      <w:r w:rsidRPr="00C25698">
        <w:rPr>
          <w:sz w:val="20"/>
          <w:szCs w:val="20"/>
          <w:vertAlign w:val="superscript"/>
          <w:lang w:val="fr-CA"/>
        </w:rPr>
        <w:t>o</w:t>
      </w:r>
      <w:r w:rsidRPr="00C25698">
        <w:rPr>
          <w:sz w:val="20"/>
          <w:szCs w:val="20"/>
          <w:lang w:val="fr-CA"/>
        </w:rPr>
        <w:t xml:space="preserve"> du greffe :</w:t>
      </w:r>
      <w:r w:rsidRPr="00C25698">
        <w:rPr>
          <w:sz w:val="20"/>
          <w:szCs w:val="20"/>
          <w:lang w:val="fr-CA"/>
        </w:rPr>
        <w:tab/>
        <w:t>35813</w:t>
      </w:r>
    </w:p>
    <w:p w:rsidR="000149F8" w:rsidRPr="00C25698" w:rsidRDefault="000149F8" w:rsidP="000149F8">
      <w:pPr>
        <w:widowControl w:val="0"/>
        <w:ind w:left="2880" w:hanging="2880"/>
        <w:jc w:val="both"/>
        <w:rPr>
          <w:sz w:val="20"/>
          <w:szCs w:val="20"/>
          <w:lang w:val="fr-CA"/>
        </w:rPr>
      </w:pPr>
    </w:p>
    <w:p w:rsidR="000149F8" w:rsidRPr="00C25698" w:rsidRDefault="000149F8" w:rsidP="000149F8">
      <w:pPr>
        <w:widowControl w:val="0"/>
        <w:ind w:left="2880" w:hanging="2880"/>
        <w:jc w:val="both"/>
        <w:rPr>
          <w:sz w:val="20"/>
          <w:szCs w:val="20"/>
          <w:lang w:val="fr-CA"/>
        </w:rPr>
      </w:pPr>
      <w:r w:rsidRPr="00C25698">
        <w:rPr>
          <w:sz w:val="20"/>
          <w:szCs w:val="20"/>
          <w:lang w:val="fr-CA"/>
        </w:rPr>
        <w:t>Arrêt de la Cour d’appel :</w:t>
      </w:r>
      <w:r w:rsidRPr="00C25698">
        <w:rPr>
          <w:sz w:val="20"/>
          <w:szCs w:val="20"/>
          <w:lang w:val="fr-CA"/>
        </w:rPr>
        <w:tab/>
        <w:t>le 3 février 2014</w:t>
      </w:r>
    </w:p>
    <w:p w:rsidR="000149F8" w:rsidRPr="00C25698" w:rsidRDefault="000149F8" w:rsidP="000149F8">
      <w:pPr>
        <w:widowControl w:val="0"/>
        <w:ind w:left="2880" w:hanging="2880"/>
        <w:jc w:val="both"/>
        <w:rPr>
          <w:sz w:val="20"/>
          <w:szCs w:val="20"/>
          <w:lang w:val="fr-CA"/>
        </w:rPr>
      </w:pPr>
    </w:p>
    <w:p w:rsidR="000149F8" w:rsidRPr="00C25698" w:rsidRDefault="000149F8" w:rsidP="000149F8">
      <w:pPr>
        <w:widowControl w:val="0"/>
        <w:ind w:left="2880" w:hanging="2880"/>
        <w:jc w:val="both"/>
        <w:rPr>
          <w:sz w:val="20"/>
          <w:szCs w:val="20"/>
          <w:lang w:val="fr-CA"/>
        </w:rPr>
      </w:pPr>
      <w:r w:rsidRPr="00C25698">
        <w:rPr>
          <w:sz w:val="20"/>
          <w:szCs w:val="20"/>
          <w:lang w:val="fr-CA"/>
        </w:rPr>
        <w:t>Avocats :</w:t>
      </w:r>
      <w:r w:rsidRPr="00C25698">
        <w:rPr>
          <w:sz w:val="20"/>
          <w:szCs w:val="20"/>
          <w:lang w:val="fr-CA"/>
        </w:rPr>
        <w:tab/>
        <w:t xml:space="preserve">Nigel Campbell, Andrea Laing et Ryan A. Morris pour les appelants </w:t>
      </w:r>
    </w:p>
    <w:p w:rsidR="000149F8" w:rsidRPr="00C25698" w:rsidRDefault="000149F8" w:rsidP="000149F8">
      <w:pPr>
        <w:widowControl w:val="0"/>
        <w:ind w:left="2880" w:hanging="2880"/>
        <w:jc w:val="both"/>
        <w:rPr>
          <w:sz w:val="20"/>
          <w:szCs w:val="20"/>
          <w:lang w:val="fr-CA"/>
        </w:rPr>
      </w:pPr>
      <w:r w:rsidRPr="00C25698">
        <w:rPr>
          <w:sz w:val="20"/>
          <w:szCs w:val="20"/>
          <w:lang w:val="fr-CA"/>
        </w:rPr>
        <w:tab/>
        <w:t>Kirk M. Baert et Michael Mazzuca pour les intimés</w:t>
      </w:r>
    </w:p>
    <w:p w:rsidR="00D96A7D" w:rsidRDefault="00D96A7D">
      <w:pPr>
        <w:rPr>
          <w:sz w:val="20"/>
          <w:szCs w:val="20"/>
          <w:lang w:val="fr-CA"/>
        </w:rPr>
      </w:pPr>
    </w:p>
    <w:p w:rsidR="00D96A7D" w:rsidRDefault="00E42AAB">
      <w:pPr>
        <w:rPr>
          <w:sz w:val="20"/>
          <w:szCs w:val="20"/>
          <w:lang w:val="fr-CA"/>
        </w:rPr>
      </w:pPr>
      <w:r>
        <w:rPr>
          <w:sz w:val="20"/>
          <w:szCs w:val="20"/>
          <w:lang w:val="fr-CA"/>
        </w:rPr>
        <w:pict>
          <v:rect id="_x0000_i1128" style="width:2in;height:1pt" o:hrpct="0" o:hralign="center" o:hrstd="t" o:hrnoshade="t" o:hr="t" fillcolor="black [3213]" stroked="f"/>
        </w:pict>
      </w:r>
    </w:p>
    <w:p w:rsidR="00D96A7D" w:rsidRDefault="00D96A7D">
      <w:pPr>
        <w:rPr>
          <w:sz w:val="20"/>
          <w:szCs w:val="20"/>
          <w:lang w:val="fr-CA"/>
        </w:rPr>
      </w:pPr>
      <w:r>
        <w:rPr>
          <w:sz w:val="20"/>
          <w:szCs w:val="20"/>
          <w:lang w:val="fr-CA"/>
        </w:rPr>
        <w:br w:type="page"/>
      </w:r>
    </w:p>
    <w:p w:rsidR="006E4583" w:rsidRPr="00385086" w:rsidRDefault="006F7944" w:rsidP="006E4583">
      <w:pPr>
        <w:widowControl w:val="0"/>
        <w:ind w:left="720" w:hanging="720"/>
        <w:jc w:val="both"/>
        <w:rPr>
          <w:b/>
          <w:sz w:val="20"/>
          <w:szCs w:val="20"/>
        </w:rPr>
      </w:pPr>
      <w:r w:rsidRPr="00385086">
        <w:rPr>
          <w:b/>
          <w:sz w:val="20"/>
          <w:szCs w:val="20"/>
        </w:rPr>
        <w:lastRenderedPageBreak/>
        <w:fldChar w:fldCharType="begin"/>
      </w:r>
      <w:r w:rsidR="006E4583" w:rsidRPr="00385086">
        <w:rPr>
          <w:b/>
          <w:sz w:val="20"/>
          <w:szCs w:val="20"/>
        </w:rPr>
        <w:instrText xml:space="preserve"> SEQ CHAPTER \h \r 1</w:instrText>
      </w:r>
      <w:r w:rsidRPr="00385086">
        <w:rPr>
          <w:b/>
          <w:sz w:val="20"/>
          <w:szCs w:val="20"/>
        </w:rPr>
        <w:fldChar w:fldCharType="end"/>
      </w:r>
      <w:r w:rsidR="006E4583" w:rsidRPr="00385086">
        <w:rPr>
          <w:b/>
          <w:sz w:val="20"/>
          <w:szCs w:val="20"/>
        </w:rPr>
        <w:t>35862</w:t>
      </w:r>
      <w:r w:rsidR="006E4583" w:rsidRPr="00385086">
        <w:rPr>
          <w:b/>
          <w:sz w:val="20"/>
          <w:szCs w:val="20"/>
        </w:rPr>
        <w:tab/>
      </w:r>
      <w:r w:rsidR="006E4583" w:rsidRPr="00385086">
        <w:rPr>
          <w:b/>
          <w:i/>
          <w:sz w:val="20"/>
          <w:szCs w:val="20"/>
        </w:rPr>
        <w:t xml:space="preserve">Grant Anthony Goleski v. Her Majesty the Queen </w:t>
      </w:r>
    </w:p>
    <w:p w:rsidR="006E4583" w:rsidRPr="00385086" w:rsidRDefault="006E4583" w:rsidP="006E4583">
      <w:pPr>
        <w:widowControl w:val="0"/>
        <w:jc w:val="both"/>
        <w:rPr>
          <w:sz w:val="20"/>
          <w:szCs w:val="20"/>
        </w:rPr>
      </w:pPr>
    </w:p>
    <w:p w:rsidR="006E4583" w:rsidRPr="00385086" w:rsidRDefault="006E4583" w:rsidP="006E4583">
      <w:pPr>
        <w:jc w:val="both"/>
        <w:rPr>
          <w:sz w:val="20"/>
          <w:szCs w:val="20"/>
        </w:rPr>
      </w:pPr>
      <w:r w:rsidRPr="00385086">
        <w:rPr>
          <w:sz w:val="20"/>
          <w:szCs w:val="20"/>
        </w:rPr>
        <w:t xml:space="preserve">Criminal law - Offences - Motor vehicles - Failing or refusing to provide breath sample - Burden of proof - Interpretation of s. 794(2) of the </w:t>
      </w:r>
      <w:r w:rsidRPr="00385086">
        <w:rPr>
          <w:i/>
          <w:sz w:val="20"/>
          <w:szCs w:val="20"/>
        </w:rPr>
        <w:t>Criminal Code</w:t>
      </w:r>
      <w:r w:rsidRPr="00385086">
        <w:rPr>
          <w:sz w:val="20"/>
          <w:szCs w:val="20"/>
        </w:rPr>
        <w:t xml:space="preserve"> - Whether s. 794(2) imposes a persuasive burden on accused to prove “reasonable excuse” to refuse to provide breath sample or whether it requires Crown to disprove that reasonable excuse once accused has established evidentiary basis for such an excuse? - </w:t>
      </w:r>
      <w:r w:rsidRPr="00385086">
        <w:rPr>
          <w:i/>
          <w:sz w:val="20"/>
          <w:szCs w:val="20"/>
        </w:rPr>
        <w:t>Criminal Code</w:t>
      </w:r>
      <w:r w:rsidRPr="00385086">
        <w:rPr>
          <w:sz w:val="20"/>
          <w:szCs w:val="20"/>
        </w:rPr>
        <w:t>, R.C.S. 1985, c. C-26, ss. 254(4) and 794(2).</w:t>
      </w:r>
    </w:p>
    <w:p w:rsidR="006E4583" w:rsidRPr="00385086" w:rsidRDefault="006E4583" w:rsidP="006E4583">
      <w:pPr>
        <w:widowControl w:val="0"/>
        <w:jc w:val="both"/>
        <w:rPr>
          <w:sz w:val="20"/>
          <w:szCs w:val="20"/>
        </w:rPr>
      </w:pPr>
    </w:p>
    <w:p w:rsidR="006E4583" w:rsidRPr="00385086" w:rsidRDefault="006E4583" w:rsidP="006E4583">
      <w:pPr>
        <w:jc w:val="both"/>
        <w:rPr>
          <w:sz w:val="20"/>
          <w:szCs w:val="20"/>
        </w:rPr>
      </w:pPr>
      <w:r w:rsidRPr="00385086">
        <w:rPr>
          <w:sz w:val="20"/>
          <w:szCs w:val="20"/>
        </w:rPr>
        <w:t>In 2006, the appellant was driving his vehicle when he was pulled over by police. He was informed that he was being stopped for failing to obey two stop signs. Detecting the odour of alcohol on the appellant’s breath, the police officer demanded that the appellant give a roadside breath sample into an approved screening device. Based on the result of that roadside sample, the police officer made a demand that the appellant accompany him to the local detachment in order to provide breath samples into an approved instrument. When the appellant was transported to the detachment and asked to provide samples, he stated that he would not comply.</w:t>
      </w:r>
    </w:p>
    <w:p w:rsidR="006E4583" w:rsidRPr="00385086" w:rsidRDefault="006E4583" w:rsidP="006E4583">
      <w:pPr>
        <w:rPr>
          <w:sz w:val="20"/>
          <w:szCs w:val="20"/>
          <w:highlight w:val="yellow"/>
        </w:rPr>
      </w:pPr>
    </w:p>
    <w:p w:rsidR="006E4583" w:rsidRPr="00385086" w:rsidRDefault="006E4583" w:rsidP="006E4583">
      <w:pPr>
        <w:jc w:val="both"/>
        <w:rPr>
          <w:sz w:val="20"/>
          <w:szCs w:val="20"/>
        </w:rPr>
      </w:pPr>
      <w:r w:rsidRPr="00385086">
        <w:rPr>
          <w:sz w:val="20"/>
          <w:szCs w:val="20"/>
        </w:rPr>
        <w:t>At trial, the appellant testified that he had refused to provide a breath sample because he did not believe that the police officer would prepare his report of the breath sample honestly. According to the appellant’s testimony at trial, he believed that the police officer was lying when he claimed that the appellant had failed to obey the stop signs. He felt that he was being treated unfairly. The appellant’s testimony according to which he had come to a complete stop at each of the two stop signs was corroborated by the evidence of a passenger who had been in the appellant’s vehicle at the time. The appellant claimed that it was his suspicion that the police officer was treating him unfairly that led him to refuse to provide a breath sample at the detachment.</w:t>
      </w:r>
    </w:p>
    <w:p w:rsidR="006E4583" w:rsidRPr="00385086" w:rsidRDefault="006E4583" w:rsidP="006E4583">
      <w:pPr>
        <w:widowControl w:val="0"/>
        <w:jc w:val="both"/>
        <w:rPr>
          <w:sz w:val="20"/>
          <w:szCs w:val="20"/>
        </w:rPr>
      </w:pPr>
    </w:p>
    <w:p w:rsidR="006E4583" w:rsidRPr="00385086" w:rsidRDefault="006E4583" w:rsidP="006E4583">
      <w:pPr>
        <w:widowControl w:val="0"/>
        <w:jc w:val="both"/>
        <w:rPr>
          <w:sz w:val="20"/>
          <w:szCs w:val="20"/>
        </w:rPr>
      </w:pPr>
    </w:p>
    <w:p w:rsidR="006E4583" w:rsidRPr="00385086" w:rsidRDefault="006E4583" w:rsidP="006E4583">
      <w:pPr>
        <w:widowControl w:val="0"/>
        <w:ind w:left="2880" w:hanging="2880"/>
        <w:jc w:val="both"/>
        <w:rPr>
          <w:sz w:val="20"/>
          <w:szCs w:val="20"/>
        </w:rPr>
      </w:pPr>
      <w:r w:rsidRPr="00385086">
        <w:rPr>
          <w:sz w:val="20"/>
          <w:szCs w:val="20"/>
        </w:rPr>
        <w:t>Origin of the case:</w:t>
      </w:r>
      <w:r w:rsidRPr="00385086">
        <w:rPr>
          <w:sz w:val="20"/>
          <w:szCs w:val="20"/>
        </w:rPr>
        <w:tab/>
        <w:t>British Columbia</w:t>
      </w:r>
    </w:p>
    <w:p w:rsidR="006E4583" w:rsidRPr="00385086" w:rsidRDefault="006E4583" w:rsidP="006E4583">
      <w:pPr>
        <w:widowControl w:val="0"/>
        <w:ind w:left="2880" w:hanging="2880"/>
        <w:jc w:val="both"/>
        <w:rPr>
          <w:sz w:val="20"/>
          <w:szCs w:val="20"/>
        </w:rPr>
      </w:pPr>
    </w:p>
    <w:p w:rsidR="006E4583" w:rsidRPr="00385086" w:rsidRDefault="006E4583" w:rsidP="006E4583">
      <w:pPr>
        <w:widowControl w:val="0"/>
        <w:ind w:left="2880" w:hanging="2880"/>
        <w:jc w:val="both"/>
        <w:rPr>
          <w:sz w:val="20"/>
          <w:szCs w:val="20"/>
        </w:rPr>
      </w:pPr>
      <w:r w:rsidRPr="00385086">
        <w:rPr>
          <w:sz w:val="20"/>
          <w:szCs w:val="20"/>
        </w:rPr>
        <w:t>File No.:</w:t>
      </w:r>
      <w:r w:rsidRPr="00385086">
        <w:rPr>
          <w:sz w:val="20"/>
          <w:szCs w:val="20"/>
        </w:rPr>
        <w:tab/>
        <w:t>35862</w:t>
      </w:r>
    </w:p>
    <w:p w:rsidR="006E4583" w:rsidRPr="00385086" w:rsidRDefault="006E4583" w:rsidP="006E4583">
      <w:pPr>
        <w:widowControl w:val="0"/>
        <w:ind w:left="2880" w:hanging="2880"/>
        <w:jc w:val="both"/>
        <w:rPr>
          <w:sz w:val="20"/>
          <w:szCs w:val="20"/>
        </w:rPr>
      </w:pPr>
    </w:p>
    <w:p w:rsidR="006E4583" w:rsidRPr="00385086" w:rsidRDefault="006E4583" w:rsidP="006E4583">
      <w:pPr>
        <w:ind w:left="2880" w:hanging="2880"/>
        <w:rPr>
          <w:sz w:val="20"/>
          <w:szCs w:val="20"/>
        </w:rPr>
      </w:pPr>
      <w:r w:rsidRPr="00385086">
        <w:rPr>
          <w:sz w:val="20"/>
          <w:szCs w:val="20"/>
        </w:rPr>
        <w:t>Judgment of the Court of Appeal:</w:t>
      </w:r>
      <w:r w:rsidRPr="00385086">
        <w:rPr>
          <w:sz w:val="20"/>
          <w:szCs w:val="20"/>
        </w:rPr>
        <w:tab/>
        <w:t>March 3, 2014</w:t>
      </w:r>
    </w:p>
    <w:p w:rsidR="006E4583" w:rsidRPr="00385086" w:rsidRDefault="006E4583" w:rsidP="006E4583">
      <w:pPr>
        <w:widowControl w:val="0"/>
        <w:ind w:left="2880" w:hanging="2880"/>
        <w:jc w:val="both"/>
        <w:rPr>
          <w:sz w:val="20"/>
          <w:szCs w:val="20"/>
        </w:rPr>
      </w:pPr>
    </w:p>
    <w:p w:rsidR="006E4583" w:rsidRPr="00385086" w:rsidRDefault="006E4583" w:rsidP="006E4583">
      <w:pPr>
        <w:widowControl w:val="0"/>
        <w:ind w:left="2880" w:hanging="2880"/>
        <w:jc w:val="both"/>
        <w:rPr>
          <w:sz w:val="20"/>
          <w:szCs w:val="20"/>
        </w:rPr>
      </w:pPr>
      <w:r w:rsidRPr="00385086">
        <w:rPr>
          <w:sz w:val="20"/>
          <w:szCs w:val="20"/>
        </w:rPr>
        <w:t>Counsel:</w:t>
      </w:r>
      <w:r w:rsidRPr="00385086">
        <w:rPr>
          <w:sz w:val="20"/>
          <w:szCs w:val="20"/>
        </w:rPr>
        <w:tab/>
        <w:t>Amandeep Jaswal for the appellant</w:t>
      </w:r>
    </w:p>
    <w:p w:rsidR="006E4583" w:rsidRPr="00385086" w:rsidRDefault="006E4583" w:rsidP="006E4583">
      <w:pPr>
        <w:widowControl w:val="0"/>
        <w:ind w:left="2880" w:hanging="2880"/>
        <w:jc w:val="both"/>
        <w:rPr>
          <w:sz w:val="20"/>
          <w:szCs w:val="20"/>
        </w:rPr>
      </w:pPr>
      <w:r w:rsidRPr="00385086">
        <w:rPr>
          <w:sz w:val="20"/>
          <w:szCs w:val="20"/>
        </w:rPr>
        <w:tab/>
        <w:t>Mary T. Ainslie and John Caldwell for the respondent</w:t>
      </w:r>
    </w:p>
    <w:p w:rsidR="00D96A7D" w:rsidRPr="006E4583" w:rsidRDefault="00D96A7D">
      <w:pPr>
        <w:rPr>
          <w:sz w:val="20"/>
          <w:szCs w:val="20"/>
        </w:rPr>
      </w:pPr>
    </w:p>
    <w:p w:rsidR="00D96A7D" w:rsidRDefault="00E42AAB">
      <w:pPr>
        <w:rPr>
          <w:sz w:val="20"/>
          <w:szCs w:val="20"/>
          <w:lang w:val="fr-CA"/>
        </w:rPr>
      </w:pPr>
      <w:r>
        <w:rPr>
          <w:sz w:val="20"/>
          <w:szCs w:val="20"/>
          <w:lang w:val="fr-CA"/>
        </w:rPr>
        <w:pict>
          <v:rect id="_x0000_i1129" style="width:2in;height:1pt" o:hrpct="0" o:hralign="center" o:hrstd="t" o:hrnoshade="t" o:hr="t" fillcolor="black [3213]" stroked="f"/>
        </w:pict>
      </w:r>
    </w:p>
    <w:p w:rsidR="00D96A7D" w:rsidRDefault="00D96A7D">
      <w:pPr>
        <w:rPr>
          <w:sz w:val="20"/>
          <w:szCs w:val="20"/>
          <w:lang w:val="fr-CA"/>
        </w:rPr>
      </w:pPr>
      <w:r>
        <w:rPr>
          <w:sz w:val="20"/>
          <w:szCs w:val="20"/>
          <w:lang w:val="fr-CA"/>
        </w:rPr>
        <w:br w:type="page"/>
      </w:r>
    </w:p>
    <w:p w:rsidR="006E4583" w:rsidRPr="008F2748" w:rsidRDefault="006F7944" w:rsidP="006E4583">
      <w:pPr>
        <w:widowControl w:val="0"/>
        <w:ind w:left="720" w:hanging="720"/>
        <w:jc w:val="both"/>
        <w:rPr>
          <w:b/>
          <w:sz w:val="20"/>
          <w:szCs w:val="20"/>
          <w:lang w:val="fr-CA"/>
        </w:rPr>
      </w:pPr>
      <w:r w:rsidRPr="008F2748">
        <w:rPr>
          <w:b/>
          <w:sz w:val="20"/>
          <w:szCs w:val="20"/>
          <w:lang w:val="fr-CA"/>
        </w:rPr>
        <w:lastRenderedPageBreak/>
        <w:fldChar w:fldCharType="begin"/>
      </w:r>
      <w:r w:rsidR="006E4583" w:rsidRPr="008F2748">
        <w:rPr>
          <w:b/>
          <w:sz w:val="20"/>
          <w:szCs w:val="20"/>
          <w:lang w:val="fr-CA"/>
        </w:rPr>
        <w:instrText xml:space="preserve"> SEQ CHAPTER \h \r 1</w:instrText>
      </w:r>
      <w:r w:rsidRPr="008F2748">
        <w:rPr>
          <w:b/>
          <w:sz w:val="20"/>
          <w:szCs w:val="20"/>
          <w:lang w:val="fr-CA"/>
        </w:rPr>
        <w:fldChar w:fldCharType="end"/>
      </w:r>
      <w:r w:rsidR="006E4583" w:rsidRPr="008F2748">
        <w:rPr>
          <w:b/>
          <w:sz w:val="20"/>
          <w:szCs w:val="20"/>
          <w:lang w:val="fr-CA"/>
        </w:rPr>
        <w:t>35862</w:t>
      </w:r>
      <w:r w:rsidR="006E4583" w:rsidRPr="008F2748">
        <w:rPr>
          <w:b/>
          <w:sz w:val="20"/>
          <w:szCs w:val="20"/>
          <w:lang w:val="fr-CA"/>
        </w:rPr>
        <w:tab/>
      </w:r>
      <w:r w:rsidR="006E4583" w:rsidRPr="008F2748">
        <w:rPr>
          <w:b/>
          <w:i/>
          <w:sz w:val="20"/>
          <w:szCs w:val="20"/>
          <w:lang w:val="fr-CA"/>
        </w:rPr>
        <w:t xml:space="preserve">Grant Anthony Goleski c. Sa Majesté la Reine </w:t>
      </w:r>
    </w:p>
    <w:p w:rsidR="006E4583" w:rsidRPr="008F2748" w:rsidRDefault="006E4583" w:rsidP="006E4583">
      <w:pPr>
        <w:widowControl w:val="0"/>
        <w:jc w:val="both"/>
        <w:rPr>
          <w:b/>
          <w:sz w:val="20"/>
          <w:szCs w:val="20"/>
          <w:u w:val="single"/>
          <w:lang w:val="fr-CA"/>
        </w:rPr>
      </w:pPr>
    </w:p>
    <w:p w:rsidR="006E4583" w:rsidRPr="008F2748" w:rsidRDefault="006E4583" w:rsidP="006E4583">
      <w:pPr>
        <w:jc w:val="both"/>
        <w:rPr>
          <w:sz w:val="20"/>
          <w:szCs w:val="20"/>
          <w:lang w:val="fr-CA"/>
        </w:rPr>
      </w:pPr>
      <w:r w:rsidRPr="008F2748">
        <w:rPr>
          <w:sz w:val="20"/>
          <w:szCs w:val="20"/>
          <w:lang w:val="fr-CA"/>
        </w:rPr>
        <w:t xml:space="preserve">Droit criminel - Infractions - Véhicules à moteur - Omission ou refus de fournir un échantillon d’haleine - Fardeau de la preuve - Interprétation du par. 794(2) du </w:t>
      </w:r>
      <w:r w:rsidRPr="008F2748">
        <w:rPr>
          <w:i/>
          <w:sz w:val="20"/>
          <w:szCs w:val="20"/>
          <w:lang w:val="fr-CA"/>
        </w:rPr>
        <w:t>Code criminel</w:t>
      </w:r>
      <w:r w:rsidRPr="008F2748">
        <w:rPr>
          <w:sz w:val="20"/>
          <w:szCs w:val="20"/>
          <w:lang w:val="fr-CA"/>
        </w:rPr>
        <w:t xml:space="preserve"> - Le par. 794(2) impose-t-il à l’accusé une charge de persuasion en vertu de laquelle il serait tenu de prouver une « excuse raisonnable » pour refuser de fournir un échantillon d’haleine ou oblige-t-il plutôt le ministère public à réfuter cette excuse raisonnable dès que l’accusé a établi le fondement probatoire d’une telle excuse? - </w:t>
      </w:r>
      <w:r w:rsidRPr="008F2748">
        <w:rPr>
          <w:i/>
          <w:sz w:val="20"/>
          <w:szCs w:val="20"/>
          <w:lang w:val="fr-CA"/>
        </w:rPr>
        <w:t>Code criminel</w:t>
      </w:r>
      <w:r w:rsidRPr="008F2748">
        <w:rPr>
          <w:sz w:val="20"/>
          <w:szCs w:val="20"/>
          <w:lang w:val="fr-CA"/>
        </w:rPr>
        <w:t>, L.R.C. 1985, c. C-46, art. 254(4) et 794(2).</w:t>
      </w:r>
    </w:p>
    <w:p w:rsidR="006E4583" w:rsidRPr="008F2748" w:rsidRDefault="006E4583" w:rsidP="006E4583">
      <w:pPr>
        <w:widowControl w:val="0"/>
        <w:jc w:val="both"/>
        <w:rPr>
          <w:sz w:val="20"/>
          <w:szCs w:val="20"/>
          <w:lang w:val="fr-CA"/>
        </w:rPr>
      </w:pPr>
    </w:p>
    <w:p w:rsidR="006E4583" w:rsidRPr="008F2748" w:rsidRDefault="006E4583" w:rsidP="006E4583">
      <w:pPr>
        <w:jc w:val="both"/>
        <w:rPr>
          <w:sz w:val="20"/>
          <w:szCs w:val="20"/>
          <w:lang w:val="fr-CA"/>
        </w:rPr>
      </w:pPr>
      <w:r w:rsidRPr="008F2748">
        <w:rPr>
          <w:sz w:val="20"/>
          <w:szCs w:val="20"/>
          <w:lang w:val="fr-CA"/>
        </w:rPr>
        <w:t>En 2006, l’appelant conduisait son véhicule lorsqu’il a été intercepté par la police. L’agent l’a informé qu’il avait été intercepté parce qu’il n’avait respecté deux arrêts. Décelant une odeur d’alcool se dégageant de l’haleine de l’appelant, l’agent a ordonné à ce dernier de se soumettre à un test de détection routier à l’aide d’un appareil de détection approuvé. Le résultat obtenu a amené l’agent à ordonner à l’appelant de le suivre au poste pour se soumettre à un test à l’aide d’un alcootest approuvé. Une fois au poste, l’appelant a refusé d’obtempérer.</w:t>
      </w:r>
    </w:p>
    <w:p w:rsidR="006E4583" w:rsidRPr="008F2748" w:rsidRDefault="006E4583" w:rsidP="006E4583">
      <w:pPr>
        <w:rPr>
          <w:sz w:val="20"/>
          <w:szCs w:val="20"/>
          <w:highlight w:val="yellow"/>
          <w:lang w:val="fr-CA"/>
        </w:rPr>
      </w:pPr>
    </w:p>
    <w:p w:rsidR="006E4583" w:rsidRPr="008F2748" w:rsidRDefault="006E4583" w:rsidP="006E4583">
      <w:pPr>
        <w:jc w:val="both"/>
        <w:rPr>
          <w:sz w:val="20"/>
          <w:szCs w:val="20"/>
          <w:lang w:val="fr-CA"/>
        </w:rPr>
      </w:pPr>
      <w:r w:rsidRPr="008F2748">
        <w:rPr>
          <w:sz w:val="20"/>
          <w:szCs w:val="20"/>
          <w:lang w:val="fr-CA"/>
        </w:rPr>
        <w:t>À son procès, l’appelant a déclaré qu’il avait refusé de fournir un échantillon d’haleine parce qu’il ne croyait pas que l’agent rédigerait un rapport honnête au sujet du test effectué à partir de l’échantillon d’haleine. Suivant le témoignage de l’appelant au procès, ce dernier croyait que l’agent mentait lorsqu’il a déclaré que l’appelant n’avait pas respecté les deux arrêts. L’appelant estimait ne pas avoir été traité de manière juste. Le témoignage de l’appelant comme quoi il avait immobilisé son véhicule à chacun des arrêts a été corroboré par la déclaration d’une personne qui prenait place à ce moment dans le véhicule de l’appelant. Selon l’appelant, c’est parce qu’il soupçonnait que le policier l’avait traité injustement qu’il a refusé de fournir un échantillon d’haleine au poste.</w:t>
      </w:r>
    </w:p>
    <w:p w:rsidR="006E4583" w:rsidRPr="008F2748" w:rsidRDefault="006E4583" w:rsidP="006E4583">
      <w:pPr>
        <w:widowControl w:val="0"/>
        <w:jc w:val="both"/>
        <w:rPr>
          <w:sz w:val="20"/>
          <w:szCs w:val="20"/>
          <w:lang w:val="fr-CA"/>
        </w:rPr>
      </w:pPr>
    </w:p>
    <w:p w:rsidR="006E4583" w:rsidRPr="008F2748" w:rsidRDefault="006E4583" w:rsidP="006E4583">
      <w:pPr>
        <w:widowControl w:val="0"/>
        <w:jc w:val="both"/>
        <w:rPr>
          <w:sz w:val="20"/>
          <w:szCs w:val="20"/>
          <w:lang w:val="fr-CA"/>
        </w:rPr>
      </w:pPr>
    </w:p>
    <w:p w:rsidR="006E4583" w:rsidRPr="008F2748" w:rsidRDefault="006E4583" w:rsidP="006E4583">
      <w:pPr>
        <w:widowControl w:val="0"/>
        <w:ind w:left="2880" w:hanging="2880"/>
        <w:jc w:val="both"/>
        <w:rPr>
          <w:sz w:val="20"/>
          <w:szCs w:val="20"/>
          <w:lang w:val="fr-CA"/>
        </w:rPr>
      </w:pPr>
      <w:r w:rsidRPr="008F2748">
        <w:rPr>
          <w:sz w:val="20"/>
          <w:szCs w:val="20"/>
          <w:lang w:val="fr-CA"/>
        </w:rPr>
        <w:t>Origine :</w:t>
      </w:r>
      <w:r w:rsidRPr="008F2748">
        <w:rPr>
          <w:sz w:val="20"/>
          <w:szCs w:val="20"/>
          <w:lang w:val="fr-CA"/>
        </w:rPr>
        <w:tab/>
        <w:t>Colombie-Britannique</w:t>
      </w:r>
    </w:p>
    <w:p w:rsidR="006E4583" w:rsidRPr="008F2748" w:rsidRDefault="006E4583" w:rsidP="006E4583">
      <w:pPr>
        <w:widowControl w:val="0"/>
        <w:ind w:left="2880" w:hanging="2880"/>
        <w:jc w:val="both"/>
        <w:rPr>
          <w:sz w:val="20"/>
          <w:szCs w:val="20"/>
          <w:lang w:val="fr-CA"/>
        </w:rPr>
      </w:pPr>
    </w:p>
    <w:p w:rsidR="006E4583" w:rsidRPr="008F2748" w:rsidRDefault="006E4583" w:rsidP="006E4583">
      <w:pPr>
        <w:widowControl w:val="0"/>
        <w:ind w:left="2880" w:hanging="2880"/>
        <w:jc w:val="both"/>
        <w:rPr>
          <w:sz w:val="20"/>
          <w:szCs w:val="20"/>
          <w:lang w:val="fr-CA"/>
        </w:rPr>
      </w:pPr>
      <w:r w:rsidRPr="008F2748">
        <w:rPr>
          <w:sz w:val="20"/>
          <w:szCs w:val="20"/>
          <w:lang w:val="fr-CA"/>
        </w:rPr>
        <w:t>N</w:t>
      </w:r>
      <w:r w:rsidRPr="008F2748">
        <w:rPr>
          <w:sz w:val="20"/>
          <w:szCs w:val="20"/>
          <w:vertAlign w:val="superscript"/>
          <w:lang w:val="fr-CA"/>
        </w:rPr>
        <w:t>o</w:t>
      </w:r>
      <w:r w:rsidRPr="008F2748">
        <w:rPr>
          <w:sz w:val="20"/>
          <w:szCs w:val="20"/>
          <w:lang w:val="fr-CA"/>
        </w:rPr>
        <w:t xml:space="preserve"> du greffe :</w:t>
      </w:r>
      <w:r w:rsidRPr="008F2748">
        <w:rPr>
          <w:sz w:val="20"/>
          <w:szCs w:val="20"/>
          <w:lang w:val="fr-CA"/>
        </w:rPr>
        <w:tab/>
        <w:t>35862</w:t>
      </w:r>
    </w:p>
    <w:p w:rsidR="006E4583" w:rsidRPr="008F2748" w:rsidRDefault="006E4583" w:rsidP="006E4583">
      <w:pPr>
        <w:widowControl w:val="0"/>
        <w:ind w:left="2880" w:hanging="2880"/>
        <w:jc w:val="both"/>
        <w:rPr>
          <w:sz w:val="20"/>
          <w:szCs w:val="20"/>
          <w:lang w:val="fr-CA"/>
        </w:rPr>
      </w:pPr>
    </w:p>
    <w:p w:rsidR="006E4583" w:rsidRPr="008F2748" w:rsidRDefault="006E4583" w:rsidP="006E4583">
      <w:pPr>
        <w:ind w:left="2880" w:hanging="2880"/>
        <w:rPr>
          <w:sz w:val="20"/>
          <w:szCs w:val="20"/>
          <w:lang w:val="fr-CA"/>
        </w:rPr>
      </w:pPr>
      <w:r w:rsidRPr="008F2748">
        <w:rPr>
          <w:sz w:val="20"/>
          <w:szCs w:val="20"/>
          <w:lang w:val="fr-CA"/>
        </w:rPr>
        <w:t>Arrêt de la Cour d’appel :</w:t>
      </w:r>
      <w:r w:rsidRPr="008F2748">
        <w:rPr>
          <w:sz w:val="20"/>
          <w:szCs w:val="20"/>
          <w:lang w:val="fr-CA"/>
        </w:rPr>
        <w:tab/>
        <w:t>le 3 mars 2014</w:t>
      </w:r>
    </w:p>
    <w:p w:rsidR="006E4583" w:rsidRPr="008F2748" w:rsidRDefault="006E4583" w:rsidP="006E4583">
      <w:pPr>
        <w:widowControl w:val="0"/>
        <w:ind w:left="2880" w:hanging="2880"/>
        <w:jc w:val="both"/>
        <w:rPr>
          <w:sz w:val="20"/>
          <w:szCs w:val="20"/>
          <w:lang w:val="fr-CA"/>
        </w:rPr>
      </w:pPr>
    </w:p>
    <w:p w:rsidR="006E4583" w:rsidRPr="008F2748" w:rsidRDefault="006E4583" w:rsidP="006E4583">
      <w:pPr>
        <w:widowControl w:val="0"/>
        <w:ind w:left="2880" w:hanging="2880"/>
        <w:jc w:val="both"/>
        <w:rPr>
          <w:sz w:val="20"/>
          <w:szCs w:val="20"/>
          <w:lang w:val="fr-CA"/>
        </w:rPr>
      </w:pPr>
      <w:r w:rsidRPr="008F2748">
        <w:rPr>
          <w:sz w:val="20"/>
          <w:szCs w:val="20"/>
          <w:lang w:val="fr-CA"/>
        </w:rPr>
        <w:t>Avocats :</w:t>
      </w:r>
      <w:r w:rsidRPr="008F2748">
        <w:rPr>
          <w:sz w:val="20"/>
          <w:szCs w:val="20"/>
          <w:lang w:val="fr-CA"/>
        </w:rPr>
        <w:tab/>
        <w:t>Amandeep Jaswal pour l’appelant</w:t>
      </w:r>
    </w:p>
    <w:p w:rsidR="006E4583" w:rsidRPr="008F2748" w:rsidRDefault="006E4583" w:rsidP="006E4583">
      <w:pPr>
        <w:widowControl w:val="0"/>
        <w:ind w:left="2880" w:hanging="2880"/>
        <w:jc w:val="both"/>
        <w:rPr>
          <w:sz w:val="20"/>
          <w:szCs w:val="20"/>
          <w:lang w:val="fr-CA"/>
        </w:rPr>
      </w:pPr>
      <w:r w:rsidRPr="008F2748">
        <w:rPr>
          <w:sz w:val="20"/>
          <w:szCs w:val="20"/>
          <w:lang w:val="fr-CA"/>
        </w:rPr>
        <w:tab/>
        <w:t>Mary T. Ainslie et John Caldwell pour l’intimée</w:t>
      </w:r>
    </w:p>
    <w:p w:rsidR="00D96A7D" w:rsidRDefault="00D96A7D">
      <w:pPr>
        <w:rPr>
          <w:sz w:val="20"/>
          <w:szCs w:val="20"/>
          <w:lang w:val="fr-CA"/>
        </w:rPr>
      </w:pPr>
    </w:p>
    <w:p w:rsidR="00D96A7D" w:rsidRDefault="00E42AAB">
      <w:pPr>
        <w:rPr>
          <w:sz w:val="20"/>
          <w:szCs w:val="20"/>
          <w:lang w:val="fr-CA"/>
        </w:rPr>
      </w:pPr>
      <w:r>
        <w:rPr>
          <w:sz w:val="20"/>
          <w:szCs w:val="20"/>
          <w:lang w:val="fr-CA"/>
        </w:rPr>
        <w:pict>
          <v:rect id="_x0000_i1130" style="width:2in;height:1pt" o:hrpct="0" o:hralign="center" o:hrstd="t" o:hrnoshade="t" o:hr="t" fillcolor="black [3213]" stroked="f"/>
        </w:pict>
      </w:r>
    </w:p>
    <w:p w:rsidR="00D96A7D" w:rsidRDefault="00D96A7D">
      <w:pPr>
        <w:rPr>
          <w:sz w:val="20"/>
          <w:szCs w:val="20"/>
          <w:lang w:val="fr-CA"/>
        </w:rPr>
      </w:pPr>
      <w:r>
        <w:rPr>
          <w:sz w:val="20"/>
          <w:szCs w:val="20"/>
          <w:lang w:val="fr-CA"/>
        </w:rPr>
        <w:br w:type="page"/>
      </w:r>
    </w:p>
    <w:p w:rsidR="00FF0024" w:rsidRPr="002E2688" w:rsidRDefault="006F7944" w:rsidP="00FF0024">
      <w:pPr>
        <w:widowControl w:val="0"/>
        <w:ind w:left="720" w:hanging="720"/>
        <w:jc w:val="both"/>
        <w:rPr>
          <w:sz w:val="20"/>
          <w:szCs w:val="20"/>
        </w:rPr>
      </w:pPr>
      <w:r w:rsidRPr="002E2688">
        <w:rPr>
          <w:b/>
          <w:sz w:val="20"/>
          <w:szCs w:val="20"/>
        </w:rPr>
        <w:lastRenderedPageBreak/>
        <w:fldChar w:fldCharType="begin"/>
      </w:r>
      <w:r w:rsidR="00FF0024" w:rsidRPr="002E2688">
        <w:rPr>
          <w:b/>
          <w:sz w:val="20"/>
          <w:szCs w:val="20"/>
        </w:rPr>
        <w:instrText xml:space="preserve"> SEQ CHAPTER \h \r 1</w:instrText>
      </w:r>
      <w:r w:rsidRPr="002E2688">
        <w:rPr>
          <w:b/>
          <w:sz w:val="20"/>
          <w:szCs w:val="20"/>
        </w:rPr>
        <w:fldChar w:fldCharType="end"/>
      </w:r>
      <w:r w:rsidR="00FF0024" w:rsidRPr="002E2688">
        <w:rPr>
          <w:b/>
          <w:sz w:val="20"/>
          <w:szCs w:val="20"/>
        </w:rPr>
        <w:t>35971</w:t>
      </w:r>
      <w:r w:rsidR="00FF0024" w:rsidRPr="002E2688">
        <w:rPr>
          <w:sz w:val="20"/>
          <w:szCs w:val="20"/>
        </w:rPr>
        <w:tab/>
      </w:r>
      <w:r w:rsidR="00FF0024" w:rsidRPr="002E2688">
        <w:rPr>
          <w:b/>
          <w:i/>
          <w:sz w:val="20"/>
          <w:szCs w:val="20"/>
        </w:rPr>
        <w:t>Her Majesty the Queen v. Andrew Simpson and Kizzy-Ann Farell</w:t>
      </w:r>
    </w:p>
    <w:p w:rsidR="00FF0024" w:rsidRPr="002E2688" w:rsidRDefault="00FF0024" w:rsidP="00FF0024">
      <w:pPr>
        <w:widowControl w:val="0"/>
        <w:jc w:val="both"/>
        <w:rPr>
          <w:sz w:val="20"/>
          <w:szCs w:val="20"/>
        </w:rPr>
      </w:pPr>
    </w:p>
    <w:p w:rsidR="00FF0024" w:rsidRPr="002E2688" w:rsidRDefault="00FF0024" w:rsidP="00FF0024">
      <w:pPr>
        <w:widowControl w:val="0"/>
        <w:jc w:val="both"/>
        <w:rPr>
          <w:sz w:val="20"/>
          <w:szCs w:val="20"/>
        </w:rPr>
      </w:pPr>
      <w:r w:rsidRPr="002E2688">
        <w:rPr>
          <w:i/>
          <w:sz w:val="20"/>
          <w:szCs w:val="20"/>
        </w:rPr>
        <w:t>Charter of Rights</w:t>
      </w:r>
      <w:r w:rsidRPr="002E2688">
        <w:rPr>
          <w:sz w:val="20"/>
          <w:szCs w:val="20"/>
        </w:rPr>
        <w:t xml:space="preserve"> - Unreasonable search and seizure - Breaking and entering - Colour of right - Whether the trial judge erred in law in finding that the respondents’ s. 8 </w:t>
      </w:r>
      <w:r w:rsidRPr="002E2688">
        <w:rPr>
          <w:i/>
          <w:sz w:val="20"/>
          <w:szCs w:val="20"/>
        </w:rPr>
        <w:t>Charter</w:t>
      </w:r>
      <w:r w:rsidRPr="002E2688">
        <w:rPr>
          <w:sz w:val="20"/>
          <w:szCs w:val="20"/>
        </w:rPr>
        <w:t xml:space="preserve"> rights were violated - Whether the trial judge erred in finding colour of right.</w:t>
      </w:r>
    </w:p>
    <w:p w:rsidR="00FF0024" w:rsidRPr="002E2688" w:rsidRDefault="00FF0024" w:rsidP="00FF0024">
      <w:pPr>
        <w:widowControl w:val="0"/>
        <w:jc w:val="both"/>
        <w:rPr>
          <w:sz w:val="20"/>
          <w:szCs w:val="20"/>
        </w:rPr>
      </w:pPr>
    </w:p>
    <w:p w:rsidR="00FF0024" w:rsidRPr="002E2688" w:rsidRDefault="00FF0024" w:rsidP="00FF0024">
      <w:pPr>
        <w:widowControl w:val="0"/>
        <w:jc w:val="both"/>
        <w:rPr>
          <w:sz w:val="20"/>
          <w:szCs w:val="20"/>
        </w:rPr>
      </w:pPr>
      <w:r w:rsidRPr="002E2688">
        <w:rPr>
          <w:sz w:val="20"/>
          <w:szCs w:val="20"/>
        </w:rPr>
        <w:t xml:space="preserve">The respondents were acquitted of the charges of breaking and entering, interference with the lawful use of property and exploitation of property, assaulting a police officer and assault with a weapon. During the building inspection of a commercial unit in which the respondents were residing, they assaulted police officers assisting municipal employees with the inspection. At trial, the respondents’ motion pursuant to ss. 7 and 8 of the </w:t>
      </w:r>
      <w:r w:rsidRPr="002E2688">
        <w:rPr>
          <w:i/>
          <w:sz w:val="20"/>
          <w:szCs w:val="20"/>
        </w:rPr>
        <w:t>Charter</w:t>
      </w:r>
      <w:r w:rsidRPr="002E2688">
        <w:rPr>
          <w:sz w:val="20"/>
          <w:szCs w:val="20"/>
        </w:rPr>
        <w:t xml:space="preserve"> was granted and the state evidence against them was excluded. A majority of the Court of Appeal dismissed the Crown’s appeal. Thibault J.A., dissenting, would have allowed the appeal and ordered a new trial. In her view, “the absence of a right of occupation had been demonstrated beyond a reasonable doubt and the inspector’s visit accompanied by policemen was legal”.</w:t>
      </w:r>
    </w:p>
    <w:p w:rsidR="00FF0024" w:rsidRPr="002E2688" w:rsidRDefault="00FF0024" w:rsidP="00FF0024">
      <w:pPr>
        <w:widowControl w:val="0"/>
        <w:jc w:val="both"/>
        <w:rPr>
          <w:sz w:val="20"/>
          <w:szCs w:val="20"/>
        </w:rPr>
      </w:pPr>
    </w:p>
    <w:p w:rsidR="00FF0024" w:rsidRPr="002E2688" w:rsidRDefault="00FF0024" w:rsidP="00FF0024">
      <w:pPr>
        <w:widowControl w:val="0"/>
        <w:jc w:val="both"/>
        <w:rPr>
          <w:sz w:val="20"/>
          <w:szCs w:val="20"/>
        </w:rPr>
      </w:pPr>
    </w:p>
    <w:p w:rsidR="00FF0024" w:rsidRPr="002E2688" w:rsidRDefault="00FF0024" w:rsidP="00FF0024">
      <w:pPr>
        <w:widowControl w:val="0"/>
        <w:ind w:left="2880" w:hanging="2880"/>
        <w:jc w:val="both"/>
        <w:rPr>
          <w:sz w:val="20"/>
          <w:szCs w:val="20"/>
        </w:rPr>
      </w:pPr>
      <w:r w:rsidRPr="002E2688">
        <w:rPr>
          <w:sz w:val="20"/>
          <w:szCs w:val="20"/>
        </w:rPr>
        <w:t>Origin of the case:</w:t>
      </w:r>
      <w:r w:rsidRPr="002E2688">
        <w:rPr>
          <w:sz w:val="20"/>
          <w:szCs w:val="20"/>
        </w:rPr>
        <w:tab/>
        <w:t>Quebec</w:t>
      </w:r>
    </w:p>
    <w:p w:rsidR="00FF0024" w:rsidRPr="002E2688" w:rsidRDefault="00FF0024" w:rsidP="00FF0024">
      <w:pPr>
        <w:widowControl w:val="0"/>
        <w:ind w:left="2880" w:hanging="2880"/>
        <w:jc w:val="both"/>
        <w:rPr>
          <w:sz w:val="20"/>
          <w:szCs w:val="20"/>
        </w:rPr>
      </w:pPr>
    </w:p>
    <w:p w:rsidR="00FF0024" w:rsidRPr="002E2688" w:rsidRDefault="00FF0024" w:rsidP="00FF0024">
      <w:pPr>
        <w:widowControl w:val="0"/>
        <w:ind w:left="2880" w:hanging="2880"/>
        <w:jc w:val="both"/>
        <w:rPr>
          <w:sz w:val="20"/>
          <w:szCs w:val="20"/>
        </w:rPr>
      </w:pPr>
      <w:r w:rsidRPr="002E2688">
        <w:rPr>
          <w:sz w:val="20"/>
          <w:szCs w:val="20"/>
        </w:rPr>
        <w:t>File No.:</w:t>
      </w:r>
      <w:r w:rsidRPr="002E2688">
        <w:rPr>
          <w:sz w:val="20"/>
          <w:szCs w:val="20"/>
        </w:rPr>
        <w:tab/>
        <w:t>35971</w:t>
      </w:r>
    </w:p>
    <w:p w:rsidR="00FF0024" w:rsidRPr="002E2688" w:rsidRDefault="00FF0024" w:rsidP="00FF0024">
      <w:pPr>
        <w:widowControl w:val="0"/>
        <w:ind w:left="2880" w:hanging="2880"/>
        <w:jc w:val="both"/>
        <w:rPr>
          <w:sz w:val="20"/>
          <w:szCs w:val="20"/>
        </w:rPr>
      </w:pPr>
    </w:p>
    <w:p w:rsidR="00FF0024" w:rsidRPr="002E2688" w:rsidRDefault="00FF0024" w:rsidP="00FF0024">
      <w:pPr>
        <w:widowControl w:val="0"/>
        <w:ind w:left="2880" w:hanging="2880"/>
        <w:jc w:val="both"/>
        <w:rPr>
          <w:sz w:val="20"/>
          <w:szCs w:val="20"/>
        </w:rPr>
      </w:pPr>
      <w:r w:rsidRPr="002E2688">
        <w:rPr>
          <w:sz w:val="20"/>
          <w:szCs w:val="20"/>
        </w:rPr>
        <w:t>Judgment of the Court of Appeal:</w:t>
      </w:r>
      <w:r w:rsidRPr="002E2688">
        <w:rPr>
          <w:sz w:val="20"/>
          <w:szCs w:val="20"/>
        </w:rPr>
        <w:tab/>
        <w:t>May 30, 2014</w:t>
      </w:r>
    </w:p>
    <w:p w:rsidR="00FF0024" w:rsidRPr="002E2688" w:rsidRDefault="00FF0024" w:rsidP="00FF0024">
      <w:pPr>
        <w:widowControl w:val="0"/>
        <w:ind w:left="2880" w:hanging="2880"/>
        <w:jc w:val="both"/>
        <w:rPr>
          <w:sz w:val="20"/>
          <w:szCs w:val="20"/>
        </w:rPr>
      </w:pPr>
    </w:p>
    <w:p w:rsidR="00FF0024" w:rsidRPr="002E2688" w:rsidRDefault="00FF0024" w:rsidP="00FF0024">
      <w:pPr>
        <w:widowControl w:val="0"/>
        <w:ind w:left="2880" w:hanging="2880"/>
        <w:jc w:val="both"/>
        <w:rPr>
          <w:sz w:val="20"/>
          <w:szCs w:val="20"/>
        </w:rPr>
      </w:pPr>
      <w:r w:rsidRPr="002E2688">
        <w:rPr>
          <w:sz w:val="20"/>
          <w:szCs w:val="20"/>
        </w:rPr>
        <w:t>Counsel:</w:t>
      </w:r>
      <w:r w:rsidRPr="002E2688">
        <w:rPr>
          <w:sz w:val="20"/>
          <w:szCs w:val="20"/>
        </w:rPr>
        <w:tab/>
        <w:t>Dennis Galiatsatos for the appellant</w:t>
      </w:r>
    </w:p>
    <w:p w:rsidR="00FF0024" w:rsidRPr="002E2688" w:rsidRDefault="00FF0024" w:rsidP="00FF0024">
      <w:pPr>
        <w:widowControl w:val="0"/>
        <w:ind w:left="2880" w:hanging="2880"/>
        <w:jc w:val="both"/>
        <w:rPr>
          <w:sz w:val="20"/>
          <w:szCs w:val="20"/>
        </w:rPr>
      </w:pPr>
      <w:r w:rsidRPr="002E2688">
        <w:rPr>
          <w:sz w:val="20"/>
          <w:szCs w:val="20"/>
        </w:rPr>
        <w:tab/>
        <w:t>Andrew Simpson and Kizzy-Ann Farell, unrepresented</w:t>
      </w:r>
    </w:p>
    <w:p w:rsidR="00D96A7D" w:rsidRPr="00FF0024" w:rsidRDefault="00D96A7D">
      <w:pPr>
        <w:rPr>
          <w:sz w:val="20"/>
          <w:szCs w:val="20"/>
        </w:rPr>
      </w:pPr>
    </w:p>
    <w:p w:rsidR="00D96A7D" w:rsidRDefault="00E42AAB">
      <w:pPr>
        <w:rPr>
          <w:sz w:val="20"/>
          <w:szCs w:val="20"/>
          <w:lang w:val="fr-CA"/>
        </w:rPr>
      </w:pPr>
      <w:r>
        <w:rPr>
          <w:sz w:val="20"/>
          <w:szCs w:val="20"/>
          <w:lang w:val="fr-CA"/>
        </w:rPr>
        <w:pict>
          <v:rect id="_x0000_i1131" style="width:2in;height:1pt" o:hrpct="0" o:hralign="center" o:hrstd="t" o:hrnoshade="t" o:hr="t" fillcolor="black [3213]" stroked="f"/>
        </w:pict>
      </w:r>
    </w:p>
    <w:p w:rsidR="00D96A7D" w:rsidRDefault="00D96A7D">
      <w:pPr>
        <w:rPr>
          <w:sz w:val="20"/>
          <w:szCs w:val="20"/>
          <w:lang w:val="fr-CA"/>
        </w:rPr>
      </w:pPr>
      <w:r>
        <w:rPr>
          <w:sz w:val="20"/>
          <w:szCs w:val="20"/>
          <w:lang w:val="fr-CA"/>
        </w:rPr>
        <w:br w:type="page"/>
      </w:r>
    </w:p>
    <w:p w:rsidR="00F41ED5" w:rsidRPr="00473B7E" w:rsidRDefault="006F7944" w:rsidP="00F41ED5">
      <w:pPr>
        <w:widowControl w:val="0"/>
        <w:ind w:left="720" w:hanging="720"/>
        <w:jc w:val="both"/>
        <w:rPr>
          <w:sz w:val="20"/>
          <w:szCs w:val="20"/>
          <w:lang w:val="fr-CA"/>
        </w:rPr>
      </w:pPr>
      <w:r w:rsidRPr="00473B7E">
        <w:rPr>
          <w:b/>
          <w:sz w:val="20"/>
          <w:szCs w:val="20"/>
          <w:lang w:val="fr-CA"/>
        </w:rPr>
        <w:lastRenderedPageBreak/>
        <w:fldChar w:fldCharType="begin"/>
      </w:r>
      <w:r w:rsidR="00F41ED5" w:rsidRPr="00473B7E">
        <w:rPr>
          <w:b/>
          <w:sz w:val="20"/>
          <w:szCs w:val="20"/>
          <w:lang w:val="fr-CA"/>
        </w:rPr>
        <w:instrText xml:space="preserve"> SEQ CHAPTER \h \r 1</w:instrText>
      </w:r>
      <w:r w:rsidRPr="00473B7E">
        <w:rPr>
          <w:b/>
          <w:sz w:val="20"/>
          <w:szCs w:val="20"/>
          <w:lang w:val="fr-CA"/>
        </w:rPr>
        <w:fldChar w:fldCharType="end"/>
      </w:r>
      <w:r w:rsidR="00F41ED5" w:rsidRPr="00473B7E">
        <w:rPr>
          <w:b/>
          <w:sz w:val="20"/>
          <w:szCs w:val="20"/>
          <w:lang w:val="fr-CA"/>
        </w:rPr>
        <w:t>35971</w:t>
      </w:r>
      <w:r w:rsidR="00F41ED5" w:rsidRPr="00473B7E">
        <w:rPr>
          <w:sz w:val="20"/>
          <w:szCs w:val="20"/>
          <w:lang w:val="fr-CA"/>
        </w:rPr>
        <w:tab/>
      </w:r>
      <w:r w:rsidR="00F41ED5" w:rsidRPr="00473B7E">
        <w:rPr>
          <w:b/>
          <w:i/>
          <w:sz w:val="20"/>
          <w:szCs w:val="20"/>
          <w:lang w:val="fr-CA"/>
        </w:rPr>
        <w:t>Sa Majesté la Reine c. Andrew Simpson et Kizzy-Ann Farell</w:t>
      </w:r>
    </w:p>
    <w:p w:rsidR="00F41ED5" w:rsidRPr="00473B7E" w:rsidRDefault="00F41ED5" w:rsidP="00F41ED5">
      <w:pPr>
        <w:widowControl w:val="0"/>
        <w:jc w:val="both"/>
        <w:rPr>
          <w:sz w:val="20"/>
          <w:szCs w:val="20"/>
          <w:lang w:val="fr-CA"/>
        </w:rPr>
      </w:pPr>
    </w:p>
    <w:p w:rsidR="00F41ED5" w:rsidRPr="00473B7E" w:rsidRDefault="00F41ED5" w:rsidP="00F41ED5">
      <w:pPr>
        <w:widowControl w:val="0"/>
        <w:jc w:val="both"/>
        <w:rPr>
          <w:sz w:val="20"/>
          <w:szCs w:val="20"/>
          <w:lang w:val="fr-CA"/>
        </w:rPr>
      </w:pPr>
      <w:r w:rsidRPr="00473B7E">
        <w:rPr>
          <w:i/>
          <w:sz w:val="20"/>
          <w:szCs w:val="20"/>
          <w:lang w:val="fr-CA"/>
        </w:rPr>
        <w:t>Charte des droits</w:t>
      </w:r>
      <w:r w:rsidRPr="00473B7E">
        <w:rPr>
          <w:sz w:val="20"/>
          <w:szCs w:val="20"/>
          <w:lang w:val="fr-CA"/>
        </w:rPr>
        <w:t xml:space="preserve"> - Perquisition, fouille et saisie abusives - Introduction par effraction - Apparence de droit - Le juge du procès a-t-il commis une erreur de droit en concluant qu’il y avait eu atteinte aux droits que l’art. 8 de la </w:t>
      </w:r>
      <w:r w:rsidRPr="00473B7E">
        <w:rPr>
          <w:i/>
          <w:sz w:val="20"/>
          <w:szCs w:val="20"/>
          <w:lang w:val="fr-CA"/>
        </w:rPr>
        <w:t>Charte</w:t>
      </w:r>
      <w:r w:rsidRPr="00473B7E">
        <w:rPr>
          <w:sz w:val="20"/>
          <w:szCs w:val="20"/>
          <w:lang w:val="fr-CA"/>
        </w:rPr>
        <w:t xml:space="preserve"> garantit aux intimés? - Le juge du procès a-t-il eu tort de conclure qu’il y avait apparence de droit?</w:t>
      </w:r>
    </w:p>
    <w:p w:rsidR="00F41ED5" w:rsidRPr="00473B7E" w:rsidRDefault="00F41ED5" w:rsidP="00F41ED5">
      <w:pPr>
        <w:widowControl w:val="0"/>
        <w:jc w:val="both"/>
        <w:rPr>
          <w:sz w:val="20"/>
          <w:szCs w:val="20"/>
          <w:lang w:val="fr-CA"/>
        </w:rPr>
      </w:pPr>
    </w:p>
    <w:p w:rsidR="00F41ED5" w:rsidRPr="00473B7E" w:rsidRDefault="00F41ED5" w:rsidP="00F41ED5">
      <w:pPr>
        <w:widowControl w:val="0"/>
        <w:jc w:val="both"/>
        <w:rPr>
          <w:sz w:val="20"/>
          <w:szCs w:val="20"/>
          <w:lang w:val="fr-CA"/>
        </w:rPr>
      </w:pPr>
      <w:r w:rsidRPr="00473B7E">
        <w:rPr>
          <w:sz w:val="20"/>
          <w:szCs w:val="20"/>
          <w:lang w:val="fr-CA"/>
        </w:rPr>
        <w:t xml:space="preserve">Les intimés ont été acquittés d’accusations d’introduction par effraction, d’entrave à l’emploi d’un bien ou à l’exploitation d’un bien, de voies de fait à l’endroit d’un policier et d’agression armée. Pendant l’inspection de l’unité commerciale d’un bâtiment où vivaient les intimés, ces derniers ont agressé les policiers qui aidaient les employés municipaux à faire l’inspection. Au procès, la requête des intimés fondée sur les art. 7 et 8 de la </w:t>
      </w:r>
      <w:r w:rsidRPr="00473B7E">
        <w:rPr>
          <w:i/>
          <w:sz w:val="20"/>
          <w:szCs w:val="20"/>
          <w:lang w:val="fr-CA"/>
        </w:rPr>
        <w:t>Charte</w:t>
      </w:r>
      <w:r w:rsidRPr="00473B7E">
        <w:rPr>
          <w:sz w:val="20"/>
          <w:szCs w:val="20"/>
          <w:lang w:val="fr-CA"/>
        </w:rPr>
        <w:t xml:space="preserve"> a été accueillie, et la preuve du ministère public contre eux a été rejetée. Les juges majoritaires de la Cour d’appel ont rejeté l’appel du ministère public. La juge Thibault, dissidente, était d’avis d’accueillir l’appel et d’ordonner un nouveau procès. À son avis, [</w:t>
      </w:r>
      <w:r w:rsidRPr="00473B7E">
        <w:rPr>
          <w:smallCaps/>
          <w:sz w:val="20"/>
          <w:szCs w:val="20"/>
          <w:lang w:val="fr-CA"/>
        </w:rPr>
        <w:t>traduction</w:t>
      </w:r>
      <w:r w:rsidRPr="00473B7E">
        <w:rPr>
          <w:sz w:val="20"/>
          <w:szCs w:val="20"/>
          <w:lang w:val="fr-CA"/>
        </w:rPr>
        <w:t>] « l’absence de droit d’occupation avait été démontrée hors de tout doute raisonnable et la visite de l’inspecteur accompagnée de policiers était légale ».</w:t>
      </w:r>
    </w:p>
    <w:p w:rsidR="00F41ED5" w:rsidRPr="00473B7E" w:rsidRDefault="00F41ED5" w:rsidP="00F41ED5">
      <w:pPr>
        <w:widowControl w:val="0"/>
        <w:jc w:val="both"/>
        <w:rPr>
          <w:sz w:val="20"/>
          <w:szCs w:val="20"/>
          <w:lang w:val="fr-CA"/>
        </w:rPr>
      </w:pPr>
    </w:p>
    <w:p w:rsidR="00F41ED5" w:rsidRPr="00473B7E" w:rsidRDefault="00F41ED5" w:rsidP="00F41ED5">
      <w:pPr>
        <w:widowControl w:val="0"/>
        <w:jc w:val="both"/>
        <w:rPr>
          <w:sz w:val="20"/>
          <w:szCs w:val="20"/>
          <w:lang w:val="fr-CA"/>
        </w:rPr>
      </w:pPr>
    </w:p>
    <w:p w:rsidR="00F41ED5" w:rsidRPr="00473B7E" w:rsidRDefault="00F41ED5" w:rsidP="00F41ED5">
      <w:pPr>
        <w:widowControl w:val="0"/>
        <w:ind w:left="2880" w:hanging="2880"/>
        <w:jc w:val="both"/>
        <w:rPr>
          <w:sz w:val="20"/>
          <w:szCs w:val="20"/>
          <w:lang w:val="fr-CA"/>
        </w:rPr>
      </w:pPr>
      <w:r w:rsidRPr="00473B7E">
        <w:rPr>
          <w:sz w:val="20"/>
          <w:szCs w:val="20"/>
          <w:lang w:val="fr-CA"/>
        </w:rPr>
        <w:t>Origine :</w:t>
      </w:r>
      <w:r w:rsidRPr="00473B7E">
        <w:rPr>
          <w:sz w:val="20"/>
          <w:szCs w:val="20"/>
          <w:lang w:val="fr-CA"/>
        </w:rPr>
        <w:tab/>
        <w:t>Québec</w:t>
      </w:r>
    </w:p>
    <w:p w:rsidR="00F41ED5" w:rsidRPr="00473B7E" w:rsidRDefault="00F41ED5" w:rsidP="00F41ED5">
      <w:pPr>
        <w:widowControl w:val="0"/>
        <w:ind w:left="2880" w:hanging="2880"/>
        <w:jc w:val="both"/>
        <w:rPr>
          <w:sz w:val="20"/>
          <w:szCs w:val="20"/>
          <w:lang w:val="fr-CA"/>
        </w:rPr>
      </w:pPr>
    </w:p>
    <w:p w:rsidR="00F41ED5" w:rsidRPr="00473B7E" w:rsidRDefault="00F41ED5" w:rsidP="00F41ED5">
      <w:pPr>
        <w:widowControl w:val="0"/>
        <w:ind w:left="2880" w:hanging="2880"/>
        <w:jc w:val="both"/>
        <w:rPr>
          <w:sz w:val="20"/>
          <w:szCs w:val="20"/>
          <w:lang w:val="fr-CA"/>
        </w:rPr>
      </w:pPr>
      <w:r w:rsidRPr="00473B7E">
        <w:rPr>
          <w:sz w:val="20"/>
          <w:szCs w:val="20"/>
          <w:lang w:val="fr-CA"/>
        </w:rPr>
        <w:t>N</w:t>
      </w:r>
      <w:r w:rsidRPr="00473B7E">
        <w:rPr>
          <w:sz w:val="20"/>
          <w:szCs w:val="20"/>
          <w:vertAlign w:val="superscript"/>
          <w:lang w:val="fr-CA"/>
        </w:rPr>
        <w:t>o</w:t>
      </w:r>
      <w:r w:rsidRPr="00473B7E">
        <w:rPr>
          <w:sz w:val="20"/>
          <w:szCs w:val="20"/>
          <w:lang w:val="fr-CA"/>
        </w:rPr>
        <w:t xml:space="preserve"> du greffe :</w:t>
      </w:r>
      <w:r w:rsidRPr="00473B7E">
        <w:rPr>
          <w:sz w:val="20"/>
          <w:szCs w:val="20"/>
          <w:lang w:val="fr-CA"/>
        </w:rPr>
        <w:tab/>
        <w:t>35971</w:t>
      </w:r>
    </w:p>
    <w:p w:rsidR="00F41ED5" w:rsidRPr="00473B7E" w:rsidRDefault="00F41ED5" w:rsidP="00F41ED5">
      <w:pPr>
        <w:widowControl w:val="0"/>
        <w:ind w:left="2880" w:hanging="2880"/>
        <w:jc w:val="both"/>
        <w:rPr>
          <w:sz w:val="20"/>
          <w:szCs w:val="20"/>
          <w:lang w:val="fr-CA"/>
        </w:rPr>
      </w:pPr>
    </w:p>
    <w:p w:rsidR="00F41ED5" w:rsidRPr="00473B7E" w:rsidRDefault="00F41ED5" w:rsidP="00F41ED5">
      <w:pPr>
        <w:widowControl w:val="0"/>
        <w:ind w:left="2880" w:hanging="2880"/>
        <w:jc w:val="both"/>
        <w:rPr>
          <w:sz w:val="20"/>
          <w:szCs w:val="20"/>
          <w:lang w:val="fr-CA"/>
        </w:rPr>
      </w:pPr>
      <w:r w:rsidRPr="00473B7E">
        <w:rPr>
          <w:sz w:val="20"/>
          <w:szCs w:val="20"/>
          <w:lang w:val="fr-CA"/>
        </w:rPr>
        <w:t>Arrêt de la Cour d’appel :</w:t>
      </w:r>
      <w:r w:rsidRPr="00473B7E">
        <w:rPr>
          <w:sz w:val="20"/>
          <w:szCs w:val="20"/>
          <w:lang w:val="fr-CA"/>
        </w:rPr>
        <w:tab/>
        <w:t>le 30 mai 2014</w:t>
      </w:r>
    </w:p>
    <w:p w:rsidR="00F41ED5" w:rsidRPr="00473B7E" w:rsidRDefault="00F41ED5" w:rsidP="00F41ED5">
      <w:pPr>
        <w:widowControl w:val="0"/>
        <w:ind w:left="2880" w:hanging="2880"/>
        <w:jc w:val="both"/>
        <w:rPr>
          <w:sz w:val="20"/>
          <w:szCs w:val="20"/>
          <w:lang w:val="fr-CA"/>
        </w:rPr>
      </w:pPr>
    </w:p>
    <w:p w:rsidR="00F41ED5" w:rsidRPr="00473B7E" w:rsidRDefault="00F41ED5" w:rsidP="00F41ED5">
      <w:pPr>
        <w:widowControl w:val="0"/>
        <w:ind w:left="2880" w:hanging="2880"/>
        <w:jc w:val="both"/>
        <w:rPr>
          <w:sz w:val="20"/>
          <w:szCs w:val="20"/>
          <w:lang w:val="fr-CA"/>
        </w:rPr>
      </w:pPr>
      <w:r w:rsidRPr="00473B7E">
        <w:rPr>
          <w:sz w:val="20"/>
          <w:szCs w:val="20"/>
          <w:lang w:val="fr-CA"/>
        </w:rPr>
        <w:t>Avocats :</w:t>
      </w:r>
      <w:r w:rsidRPr="00473B7E">
        <w:rPr>
          <w:sz w:val="20"/>
          <w:szCs w:val="20"/>
          <w:lang w:val="fr-CA"/>
        </w:rPr>
        <w:tab/>
        <w:t>Dennis Galiatsatos pour l’appelant</w:t>
      </w:r>
    </w:p>
    <w:p w:rsidR="00F41ED5" w:rsidRPr="00473B7E" w:rsidRDefault="00F41ED5" w:rsidP="00F41ED5">
      <w:pPr>
        <w:widowControl w:val="0"/>
        <w:ind w:left="2880" w:hanging="2880"/>
        <w:jc w:val="both"/>
        <w:rPr>
          <w:sz w:val="20"/>
          <w:szCs w:val="20"/>
          <w:lang w:val="fr-CA"/>
        </w:rPr>
      </w:pPr>
      <w:r w:rsidRPr="00473B7E">
        <w:rPr>
          <w:sz w:val="20"/>
          <w:szCs w:val="20"/>
          <w:lang w:val="fr-CA"/>
        </w:rPr>
        <w:tab/>
        <w:t>Andrew Simpson et Kizzy-Ann Farell, non représentés</w:t>
      </w:r>
    </w:p>
    <w:p w:rsidR="00D96A7D" w:rsidRDefault="00D96A7D">
      <w:pPr>
        <w:rPr>
          <w:sz w:val="20"/>
          <w:szCs w:val="20"/>
          <w:lang w:val="fr-CA"/>
        </w:rPr>
      </w:pPr>
    </w:p>
    <w:p w:rsidR="00D96A7D" w:rsidRDefault="00E42AAB">
      <w:pPr>
        <w:rPr>
          <w:sz w:val="20"/>
          <w:szCs w:val="20"/>
          <w:lang w:val="fr-CA"/>
        </w:rPr>
      </w:pPr>
      <w:r>
        <w:rPr>
          <w:sz w:val="20"/>
          <w:szCs w:val="20"/>
          <w:lang w:val="fr-CA"/>
        </w:rPr>
        <w:pict>
          <v:rect id="_x0000_i1132" style="width:2in;height:1pt" o:hrpct="0" o:hralign="center" o:hrstd="t" o:hrnoshade="t" o:hr="t" fillcolor="black [3213]" stroked="f"/>
        </w:pict>
      </w:r>
    </w:p>
    <w:p w:rsidR="00D96A7D" w:rsidRDefault="00D96A7D">
      <w:pPr>
        <w:rPr>
          <w:sz w:val="20"/>
          <w:szCs w:val="20"/>
          <w:lang w:val="fr-CA"/>
        </w:rPr>
      </w:pPr>
      <w:r>
        <w:rPr>
          <w:sz w:val="20"/>
          <w:szCs w:val="20"/>
          <w:lang w:val="fr-CA"/>
        </w:rPr>
        <w:br w:type="page"/>
      </w:r>
    </w:p>
    <w:p w:rsidR="00CF7A89" w:rsidRPr="00385671" w:rsidRDefault="006F7944" w:rsidP="00CF7A89">
      <w:pPr>
        <w:widowControl w:val="0"/>
        <w:ind w:left="720" w:hanging="720"/>
        <w:jc w:val="both"/>
        <w:rPr>
          <w:sz w:val="20"/>
          <w:szCs w:val="20"/>
        </w:rPr>
      </w:pPr>
      <w:r w:rsidRPr="00385671">
        <w:rPr>
          <w:b/>
          <w:sz w:val="20"/>
          <w:szCs w:val="20"/>
        </w:rPr>
        <w:lastRenderedPageBreak/>
        <w:fldChar w:fldCharType="begin"/>
      </w:r>
      <w:r w:rsidR="00CF7A89" w:rsidRPr="00385671">
        <w:rPr>
          <w:b/>
          <w:sz w:val="20"/>
          <w:szCs w:val="20"/>
        </w:rPr>
        <w:instrText xml:space="preserve"> SEQ CHAPTER \h \r 1</w:instrText>
      </w:r>
      <w:r w:rsidRPr="00385671">
        <w:rPr>
          <w:b/>
          <w:sz w:val="20"/>
          <w:szCs w:val="20"/>
        </w:rPr>
        <w:fldChar w:fldCharType="end"/>
      </w:r>
      <w:r w:rsidR="00CF7A89" w:rsidRPr="00385671">
        <w:rPr>
          <w:b/>
          <w:sz w:val="20"/>
          <w:szCs w:val="20"/>
        </w:rPr>
        <w:t>35842</w:t>
      </w:r>
      <w:r w:rsidR="00CF7A89" w:rsidRPr="00385671">
        <w:rPr>
          <w:sz w:val="20"/>
          <w:szCs w:val="20"/>
        </w:rPr>
        <w:tab/>
      </w:r>
      <w:r w:rsidR="00CF7A89" w:rsidRPr="00385671">
        <w:rPr>
          <w:b/>
          <w:i/>
          <w:sz w:val="20"/>
          <w:szCs w:val="20"/>
        </w:rPr>
        <w:t>Pierre Boutet v. Her Majesty the Queen — and between — Gilles Caron v. Her Majesty the Queen</w:t>
      </w:r>
    </w:p>
    <w:p w:rsidR="00F41ED5" w:rsidRPr="007B0BC3" w:rsidRDefault="00F41ED5" w:rsidP="00F41ED5">
      <w:pPr>
        <w:jc w:val="both"/>
        <w:rPr>
          <w:sz w:val="20"/>
          <w:szCs w:val="20"/>
        </w:rPr>
      </w:pPr>
    </w:p>
    <w:p w:rsidR="00F41ED5" w:rsidRPr="007B0BC3" w:rsidRDefault="00F41ED5" w:rsidP="00F41ED5">
      <w:pPr>
        <w:jc w:val="both"/>
        <w:rPr>
          <w:sz w:val="20"/>
          <w:szCs w:val="20"/>
        </w:rPr>
      </w:pPr>
      <w:r w:rsidRPr="007B0BC3">
        <w:rPr>
          <w:sz w:val="20"/>
          <w:szCs w:val="20"/>
        </w:rPr>
        <w:t xml:space="preserve">Constitutional law - Language guarantees - Right to publication - Scope of </w:t>
      </w:r>
      <w:r w:rsidRPr="007B0BC3">
        <w:rPr>
          <w:i/>
          <w:sz w:val="20"/>
          <w:szCs w:val="20"/>
        </w:rPr>
        <w:t>Rupert’s Land and North-Western Territory Order</w:t>
      </w:r>
      <w:r w:rsidRPr="007B0BC3">
        <w:rPr>
          <w:sz w:val="20"/>
          <w:szCs w:val="20"/>
        </w:rPr>
        <w:t xml:space="preserve">, June 23, 1870, R.S.C. 1985, App. II, No. 9 - Appellants charged with offences under </w:t>
      </w:r>
      <w:r w:rsidRPr="007B0BC3">
        <w:rPr>
          <w:i/>
          <w:sz w:val="20"/>
          <w:szCs w:val="20"/>
        </w:rPr>
        <w:t>Traffic Safety Act</w:t>
      </w:r>
      <w:r w:rsidRPr="007B0BC3">
        <w:rPr>
          <w:sz w:val="20"/>
          <w:szCs w:val="20"/>
        </w:rPr>
        <w:t xml:space="preserve">, R.S.A. 2000, c. T-6, Alberta statute enacted in English only - At trial, appellants arguing that </w:t>
      </w:r>
      <w:r w:rsidRPr="007B0BC3">
        <w:rPr>
          <w:i/>
          <w:sz w:val="20"/>
          <w:szCs w:val="20"/>
        </w:rPr>
        <w:t xml:space="preserve">Traffic Safety Act </w:t>
      </w:r>
      <w:r w:rsidRPr="007B0BC3">
        <w:rPr>
          <w:sz w:val="20"/>
          <w:szCs w:val="20"/>
        </w:rPr>
        <w:t xml:space="preserve">unconstitutional because it not enacted in English and in French - At conclusion of trial, Alberta Provincial Court judge ruling in appellants’ favour and declaring that </w:t>
      </w:r>
      <w:r w:rsidRPr="007B0BC3">
        <w:rPr>
          <w:i/>
          <w:sz w:val="20"/>
          <w:szCs w:val="20"/>
        </w:rPr>
        <w:t xml:space="preserve">1870 Order </w:t>
      </w:r>
      <w:r w:rsidRPr="007B0BC3">
        <w:rPr>
          <w:sz w:val="20"/>
          <w:szCs w:val="20"/>
        </w:rPr>
        <w:t xml:space="preserve">imposed obligation on Legislative Assembly of Alberta to enact legislation in English and in French - That decision set aside by Court of Queen’s Bench in judgment that subsequently affirmed by Court of Appeal - Whether </w:t>
      </w:r>
      <w:r w:rsidRPr="007B0BC3">
        <w:rPr>
          <w:i/>
          <w:sz w:val="20"/>
          <w:szCs w:val="20"/>
        </w:rPr>
        <w:t>Languages Act</w:t>
      </w:r>
      <w:r w:rsidRPr="007B0BC3">
        <w:rPr>
          <w:sz w:val="20"/>
          <w:szCs w:val="20"/>
        </w:rPr>
        <w:t xml:space="preserve">, R.S.A. 2000, c. L-6, is </w:t>
      </w:r>
      <w:r w:rsidRPr="007B0BC3">
        <w:rPr>
          <w:i/>
          <w:sz w:val="20"/>
          <w:szCs w:val="20"/>
        </w:rPr>
        <w:t>ultra vires</w:t>
      </w:r>
      <w:r w:rsidRPr="007B0BC3">
        <w:rPr>
          <w:sz w:val="20"/>
          <w:szCs w:val="20"/>
        </w:rPr>
        <w:t xml:space="preserve"> or inoperative insofar as it abrogates constitutional duty owed by Alberta to enact, print and publish its laws and regulations in English and in French in accordance, </w:t>
      </w:r>
      <w:r w:rsidRPr="007B0BC3">
        <w:rPr>
          <w:i/>
          <w:sz w:val="20"/>
          <w:szCs w:val="20"/>
        </w:rPr>
        <w:t>inter alia</w:t>
      </w:r>
      <w:r w:rsidRPr="007B0BC3">
        <w:rPr>
          <w:sz w:val="20"/>
          <w:szCs w:val="20"/>
        </w:rPr>
        <w:t xml:space="preserve">, with </w:t>
      </w:r>
      <w:r w:rsidRPr="007B0BC3">
        <w:rPr>
          <w:i/>
          <w:sz w:val="20"/>
          <w:szCs w:val="20"/>
        </w:rPr>
        <w:t>1870 Order</w:t>
      </w:r>
      <w:r w:rsidRPr="007B0BC3">
        <w:rPr>
          <w:sz w:val="20"/>
          <w:szCs w:val="20"/>
        </w:rPr>
        <w:t xml:space="preserve"> - If answer to question 1 is affirmative, whether </w:t>
      </w:r>
      <w:r w:rsidRPr="007B0BC3">
        <w:rPr>
          <w:i/>
          <w:sz w:val="20"/>
          <w:szCs w:val="20"/>
        </w:rPr>
        <w:t>Traffic Safety Act</w:t>
      </w:r>
      <w:r w:rsidRPr="007B0BC3">
        <w:rPr>
          <w:sz w:val="20"/>
          <w:szCs w:val="20"/>
        </w:rPr>
        <w:t xml:space="preserve"> and any other laws and regulations that have not been enacted, printed and published in French are inoperative.</w:t>
      </w:r>
    </w:p>
    <w:p w:rsidR="00F41ED5" w:rsidRPr="007B0BC3" w:rsidRDefault="00F41ED5" w:rsidP="00F41ED5">
      <w:pPr>
        <w:jc w:val="both"/>
        <w:rPr>
          <w:sz w:val="20"/>
          <w:szCs w:val="20"/>
        </w:rPr>
      </w:pPr>
    </w:p>
    <w:p w:rsidR="00F41ED5" w:rsidRPr="007B0BC3" w:rsidRDefault="00F41ED5" w:rsidP="00F41ED5">
      <w:pPr>
        <w:jc w:val="both"/>
        <w:rPr>
          <w:sz w:val="20"/>
          <w:szCs w:val="20"/>
        </w:rPr>
      </w:pPr>
      <w:r w:rsidRPr="007B0BC3">
        <w:rPr>
          <w:sz w:val="20"/>
          <w:szCs w:val="20"/>
        </w:rPr>
        <w:t xml:space="preserve">The appellant Pierre Boutet was charged with an offence under the </w:t>
      </w:r>
      <w:r w:rsidRPr="007B0BC3">
        <w:rPr>
          <w:i/>
          <w:sz w:val="20"/>
          <w:szCs w:val="20"/>
        </w:rPr>
        <w:t>Traffic Safety Act</w:t>
      </w:r>
      <w:r w:rsidRPr="007B0BC3">
        <w:rPr>
          <w:sz w:val="20"/>
          <w:szCs w:val="20"/>
        </w:rPr>
        <w:t>, an Alberta statute enacted in English only. At trial, he argued that the Act</w:t>
      </w:r>
      <w:r w:rsidRPr="007B0BC3">
        <w:rPr>
          <w:i/>
          <w:sz w:val="20"/>
          <w:szCs w:val="20"/>
        </w:rPr>
        <w:t xml:space="preserve"> </w:t>
      </w:r>
      <w:r w:rsidRPr="007B0BC3">
        <w:rPr>
          <w:sz w:val="20"/>
          <w:szCs w:val="20"/>
        </w:rPr>
        <w:t xml:space="preserve">was unconstitutional because it had not been enacted in English and in French. Mr. Boutet’s case was joined to that of Gilles Caron, which raised the same issues. At the conclusion of a trial lasting nearly 90 days, Judge Wenden of the Alberta Provincial Court ruled in favour of Mr. Boutet and Mr. Caron and declared that the </w:t>
      </w:r>
      <w:r w:rsidRPr="007B0BC3">
        <w:rPr>
          <w:i/>
          <w:sz w:val="20"/>
          <w:szCs w:val="20"/>
        </w:rPr>
        <w:t>Royal Proclamation of 1869</w:t>
      </w:r>
      <w:r w:rsidRPr="007B0BC3">
        <w:rPr>
          <w:sz w:val="20"/>
          <w:szCs w:val="20"/>
        </w:rPr>
        <w:t xml:space="preserve"> and the </w:t>
      </w:r>
      <w:r w:rsidRPr="007B0BC3">
        <w:rPr>
          <w:i/>
          <w:sz w:val="20"/>
          <w:szCs w:val="20"/>
        </w:rPr>
        <w:t>1870 Order</w:t>
      </w:r>
      <w:r w:rsidRPr="007B0BC3">
        <w:rPr>
          <w:sz w:val="20"/>
          <w:szCs w:val="20"/>
        </w:rPr>
        <w:t xml:space="preserve"> imposed an obligation on the Legislative Assembly of Alberta to enact legislation in English and in French. That decision was set aside by the Court of Queen’s Bench in a judgment that was subsequently affirmed by the Court of Appeal.</w:t>
      </w:r>
    </w:p>
    <w:p w:rsidR="00F41ED5" w:rsidRPr="007B0BC3" w:rsidRDefault="00F41ED5" w:rsidP="00F41ED5">
      <w:pPr>
        <w:jc w:val="both"/>
        <w:rPr>
          <w:sz w:val="20"/>
          <w:szCs w:val="20"/>
        </w:rPr>
      </w:pPr>
    </w:p>
    <w:p w:rsidR="00F41ED5" w:rsidRPr="007B0BC3" w:rsidRDefault="00F41ED5" w:rsidP="00F41ED5">
      <w:pPr>
        <w:widowControl w:val="0"/>
        <w:jc w:val="both"/>
        <w:rPr>
          <w:sz w:val="20"/>
          <w:szCs w:val="20"/>
        </w:rPr>
      </w:pPr>
    </w:p>
    <w:p w:rsidR="00F41ED5" w:rsidRPr="007B0BC3" w:rsidRDefault="00F41ED5" w:rsidP="00F41ED5">
      <w:pPr>
        <w:widowControl w:val="0"/>
        <w:ind w:left="2880" w:hanging="2880"/>
        <w:jc w:val="both"/>
        <w:rPr>
          <w:sz w:val="20"/>
          <w:szCs w:val="20"/>
        </w:rPr>
      </w:pPr>
      <w:r w:rsidRPr="007B0BC3">
        <w:rPr>
          <w:sz w:val="20"/>
          <w:szCs w:val="20"/>
        </w:rPr>
        <w:t>Origin of the case:</w:t>
      </w:r>
      <w:r w:rsidRPr="007B0BC3">
        <w:rPr>
          <w:sz w:val="20"/>
          <w:szCs w:val="20"/>
        </w:rPr>
        <w:tab/>
        <w:t>Alberta</w:t>
      </w:r>
    </w:p>
    <w:p w:rsidR="00F41ED5" w:rsidRPr="007B0BC3" w:rsidRDefault="00F41ED5" w:rsidP="00F41ED5">
      <w:pPr>
        <w:widowControl w:val="0"/>
        <w:ind w:left="2880" w:hanging="2880"/>
        <w:jc w:val="both"/>
        <w:rPr>
          <w:sz w:val="20"/>
          <w:szCs w:val="20"/>
        </w:rPr>
      </w:pPr>
    </w:p>
    <w:p w:rsidR="00F41ED5" w:rsidRPr="007B0BC3" w:rsidRDefault="00F41ED5" w:rsidP="00F41ED5">
      <w:pPr>
        <w:widowControl w:val="0"/>
        <w:ind w:left="2880" w:hanging="2880"/>
        <w:jc w:val="both"/>
        <w:rPr>
          <w:sz w:val="20"/>
          <w:szCs w:val="20"/>
        </w:rPr>
      </w:pPr>
      <w:r w:rsidRPr="007B0BC3">
        <w:rPr>
          <w:sz w:val="20"/>
          <w:szCs w:val="20"/>
        </w:rPr>
        <w:t>File No.:</w:t>
      </w:r>
      <w:r w:rsidRPr="007B0BC3">
        <w:rPr>
          <w:sz w:val="20"/>
          <w:szCs w:val="20"/>
        </w:rPr>
        <w:tab/>
        <w:t>35842</w:t>
      </w:r>
    </w:p>
    <w:p w:rsidR="00F41ED5" w:rsidRPr="007B0BC3" w:rsidRDefault="00F41ED5" w:rsidP="00F41ED5">
      <w:pPr>
        <w:widowControl w:val="0"/>
        <w:ind w:left="2880" w:hanging="2880"/>
        <w:jc w:val="both"/>
        <w:rPr>
          <w:sz w:val="20"/>
          <w:szCs w:val="20"/>
        </w:rPr>
      </w:pPr>
    </w:p>
    <w:p w:rsidR="00F41ED5" w:rsidRPr="007B0BC3" w:rsidRDefault="00F41ED5" w:rsidP="00F41ED5">
      <w:pPr>
        <w:ind w:left="2880" w:hanging="2880"/>
        <w:rPr>
          <w:sz w:val="20"/>
          <w:szCs w:val="20"/>
        </w:rPr>
      </w:pPr>
      <w:r w:rsidRPr="007B0BC3">
        <w:rPr>
          <w:sz w:val="20"/>
          <w:szCs w:val="20"/>
        </w:rPr>
        <w:t>Judgment of the Court of Appeal:</w:t>
      </w:r>
      <w:r w:rsidRPr="007B0BC3">
        <w:rPr>
          <w:sz w:val="20"/>
          <w:szCs w:val="20"/>
        </w:rPr>
        <w:tab/>
        <w:t>February 21, 2014</w:t>
      </w:r>
    </w:p>
    <w:p w:rsidR="00F41ED5" w:rsidRPr="007B0BC3" w:rsidRDefault="00F41ED5" w:rsidP="00F41ED5">
      <w:pPr>
        <w:widowControl w:val="0"/>
        <w:ind w:left="2880" w:hanging="2880"/>
        <w:jc w:val="both"/>
        <w:rPr>
          <w:sz w:val="20"/>
          <w:szCs w:val="20"/>
        </w:rPr>
      </w:pPr>
    </w:p>
    <w:p w:rsidR="00F41ED5" w:rsidRPr="007B0BC3" w:rsidRDefault="00F41ED5" w:rsidP="00F41ED5">
      <w:pPr>
        <w:widowControl w:val="0"/>
        <w:ind w:left="2880" w:hanging="2880"/>
        <w:jc w:val="both"/>
        <w:rPr>
          <w:sz w:val="20"/>
          <w:szCs w:val="20"/>
        </w:rPr>
      </w:pPr>
      <w:r w:rsidRPr="007B0BC3">
        <w:rPr>
          <w:sz w:val="20"/>
          <w:szCs w:val="20"/>
        </w:rPr>
        <w:t>Counsel:</w:t>
      </w:r>
      <w:r w:rsidRPr="007B0BC3">
        <w:rPr>
          <w:sz w:val="20"/>
          <w:szCs w:val="20"/>
        </w:rPr>
        <w:tab/>
        <w:t>Allan Damer and Sébastien Grammond for the appellant Boutet</w:t>
      </w:r>
    </w:p>
    <w:p w:rsidR="00F41ED5" w:rsidRPr="007B0BC3" w:rsidRDefault="00F41ED5" w:rsidP="00F41ED5">
      <w:pPr>
        <w:widowControl w:val="0"/>
        <w:ind w:left="2880" w:hanging="2880"/>
        <w:jc w:val="both"/>
        <w:rPr>
          <w:sz w:val="20"/>
          <w:szCs w:val="20"/>
        </w:rPr>
      </w:pPr>
      <w:r>
        <w:rPr>
          <w:sz w:val="20"/>
          <w:szCs w:val="20"/>
        </w:rPr>
        <w:tab/>
      </w:r>
      <w:r w:rsidRPr="007B0BC3">
        <w:rPr>
          <w:sz w:val="20"/>
          <w:szCs w:val="20"/>
        </w:rPr>
        <w:t>Roger J.F. Lepage, Francis P. Poulin and Romain Baudemont for the appellant Caron</w:t>
      </w:r>
    </w:p>
    <w:p w:rsidR="00F41ED5" w:rsidRPr="007B0BC3" w:rsidRDefault="00F41ED5" w:rsidP="00F41ED5">
      <w:pPr>
        <w:widowControl w:val="0"/>
        <w:ind w:left="2880" w:hanging="2880"/>
        <w:jc w:val="both"/>
        <w:rPr>
          <w:sz w:val="20"/>
          <w:szCs w:val="20"/>
        </w:rPr>
      </w:pPr>
      <w:r w:rsidRPr="007B0BC3">
        <w:rPr>
          <w:sz w:val="20"/>
          <w:szCs w:val="20"/>
        </w:rPr>
        <w:tab/>
        <w:t>Teresa R. Haykowsky for the respondent</w:t>
      </w:r>
    </w:p>
    <w:p w:rsidR="00D96A7D" w:rsidRPr="00F41ED5" w:rsidRDefault="00D96A7D">
      <w:pPr>
        <w:rPr>
          <w:sz w:val="20"/>
          <w:szCs w:val="20"/>
        </w:rPr>
      </w:pPr>
    </w:p>
    <w:p w:rsidR="00D96A7D" w:rsidRDefault="00E42AAB">
      <w:pPr>
        <w:rPr>
          <w:sz w:val="20"/>
          <w:szCs w:val="20"/>
          <w:lang w:val="fr-CA"/>
        </w:rPr>
      </w:pPr>
      <w:r>
        <w:rPr>
          <w:sz w:val="20"/>
          <w:szCs w:val="20"/>
          <w:lang w:val="fr-CA"/>
        </w:rPr>
        <w:pict>
          <v:rect id="_x0000_i1133" style="width:2in;height:1pt" o:hrpct="0" o:hralign="center" o:hrstd="t" o:hrnoshade="t" o:hr="t" fillcolor="black [3213]" stroked="f"/>
        </w:pict>
      </w:r>
    </w:p>
    <w:p w:rsidR="00D96A7D" w:rsidRDefault="00D96A7D">
      <w:pPr>
        <w:rPr>
          <w:sz w:val="20"/>
          <w:szCs w:val="20"/>
          <w:lang w:val="fr-CA"/>
        </w:rPr>
      </w:pPr>
      <w:r>
        <w:rPr>
          <w:sz w:val="20"/>
          <w:szCs w:val="20"/>
          <w:lang w:val="fr-CA"/>
        </w:rPr>
        <w:br w:type="page"/>
      </w:r>
    </w:p>
    <w:p w:rsidR="00CF7A89" w:rsidRPr="0077165C" w:rsidRDefault="006F7944" w:rsidP="00CF7A89">
      <w:pPr>
        <w:widowControl w:val="0"/>
        <w:ind w:left="720" w:hanging="720"/>
        <w:jc w:val="both"/>
        <w:rPr>
          <w:sz w:val="20"/>
          <w:szCs w:val="20"/>
          <w:lang w:val="fr-CA"/>
        </w:rPr>
      </w:pPr>
      <w:r w:rsidRPr="0077165C">
        <w:rPr>
          <w:b/>
          <w:sz w:val="20"/>
          <w:szCs w:val="20"/>
          <w:lang w:val="fr-CA"/>
        </w:rPr>
        <w:lastRenderedPageBreak/>
        <w:fldChar w:fldCharType="begin"/>
      </w:r>
      <w:r w:rsidR="00CF7A89" w:rsidRPr="0077165C">
        <w:rPr>
          <w:b/>
          <w:sz w:val="20"/>
          <w:szCs w:val="20"/>
          <w:lang w:val="fr-CA"/>
        </w:rPr>
        <w:instrText xml:space="preserve"> SEQ CHAPTER \h \r 1</w:instrText>
      </w:r>
      <w:r w:rsidRPr="0077165C">
        <w:rPr>
          <w:b/>
          <w:sz w:val="20"/>
          <w:szCs w:val="20"/>
        </w:rPr>
        <w:fldChar w:fldCharType="end"/>
      </w:r>
      <w:r w:rsidR="00CF7A89" w:rsidRPr="0077165C">
        <w:rPr>
          <w:b/>
          <w:sz w:val="20"/>
          <w:szCs w:val="20"/>
          <w:lang w:val="fr-CA"/>
        </w:rPr>
        <w:t>35842</w:t>
      </w:r>
      <w:r w:rsidR="00CF7A89" w:rsidRPr="0077165C">
        <w:rPr>
          <w:sz w:val="20"/>
          <w:szCs w:val="20"/>
          <w:lang w:val="fr-CA"/>
        </w:rPr>
        <w:tab/>
      </w:r>
      <w:r w:rsidR="00CF7A89" w:rsidRPr="0077165C">
        <w:rPr>
          <w:b/>
          <w:i/>
          <w:sz w:val="20"/>
          <w:szCs w:val="20"/>
          <w:lang w:val="fr-CA"/>
        </w:rPr>
        <w:t>Pierre Boutet c. Sa Majesté la Reine — et entre — Gilles Caron c. Sa Majesté la Reine</w:t>
      </w:r>
    </w:p>
    <w:p w:rsidR="00F41ED5" w:rsidRPr="00C24FB0" w:rsidRDefault="00F41ED5" w:rsidP="00F41ED5">
      <w:pPr>
        <w:jc w:val="both"/>
        <w:rPr>
          <w:sz w:val="20"/>
          <w:szCs w:val="20"/>
          <w:lang w:val="fr-CA"/>
        </w:rPr>
      </w:pPr>
    </w:p>
    <w:p w:rsidR="00F41ED5" w:rsidRPr="00C24FB0" w:rsidRDefault="00F41ED5" w:rsidP="00F41ED5">
      <w:pPr>
        <w:jc w:val="both"/>
        <w:rPr>
          <w:sz w:val="20"/>
          <w:szCs w:val="20"/>
          <w:lang w:val="fr-CA"/>
        </w:rPr>
      </w:pPr>
      <w:r w:rsidRPr="00C24FB0">
        <w:rPr>
          <w:sz w:val="20"/>
          <w:szCs w:val="20"/>
          <w:lang w:val="fr-CA"/>
        </w:rPr>
        <w:t xml:space="preserve">Droit constitutionnel - Garanties linguistiques - Droit à la publication - Portée du </w:t>
      </w:r>
      <w:r w:rsidRPr="00C24FB0">
        <w:rPr>
          <w:i/>
          <w:sz w:val="20"/>
          <w:szCs w:val="20"/>
          <w:lang w:val="fr-CA"/>
        </w:rPr>
        <w:t>Décret en conseil sur la Terre de Rupert et du Territoire du Nord-Ouest</w:t>
      </w:r>
      <w:r w:rsidRPr="00C24FB0">
        <w:rPr>
          <w:sz w:val="20"/>
          <w:szCs w:val="20"/>
          <w:lang w:val="fr-CA"/>
        </w:rPr>
        <w:t xml:space="preserve">, le 23 juin 1870, LRC 1985, app II, no 9 - Les appelants ont été accusés d’infractions à la </w:t>
      </w:r>
      <w:r w:rsidRPr="00C24FB0">
        <w:rPr>
          <w:i/>
          <w:sz w:val="20"/>
          <w:szCs w:val="20"/>
          <w:lang w:val="fr-CA"/>
        </w:rPr>
        <w:t>Traffic Safety Act</w:t>
      </w:r>
      <w:r w:rsidRPr="00C24FB0">
        <w:rPr>
          <w:sz w:val="20"/>
          <w:szCs w:val="20"/>
          <w:lang w:val="fr-CA"/>
        </w:rPr>
        <w:t xml:space="preserve">, R.S.A. 2000, c. T-6, une loi albertaine adoptée en anglais seulement - À leur procès, les appelants ont soutenu que la </w:t>
      </w:r>
      <w:r w:rsidRPr="00C24FB0">
        <w:rPr>
          <w:i/>
          <w:sz w:val="20"/>
          <w:szCs w:val="20"/>
          <w:lang w:val="fr-CA"/>
        </w:rPr>
        <w:t xml:space="preserve">Traffic Safety Act </w:t>
      </w:r>
      <w:r w:rsidRPr="00C24FB0">
        <w:rPr>
          <w:sz w:val="20"/>
          <w:szCs w:val="20"/>
          <w:lang w:val="fr-CA"/>
        </w:rPr>
        <w:t xml:space="preserve">était inconstitutionnelle, puisqu’elle n’avait pas été adoptée en français et en anglais - Au terme du procès, un juge de la Cour provinciale de l’Alberta a donné raison aux appelants et a déclaré que le </w:t>
      </w:r>
      <w:r w:rsidRPr="00C24FB0">
        <w:rPr>
          <w:i/>
          <w:sz w:val="20"/>
          <w:szCs w:val="20"/>
          <w:lang w:val="fr-CA"/>
        </w:rPr>
        <w:t xml:space="preserve">Décret de 1870 </w:t>
      </w:r>
      <w:r w:rsidRPr="00C24FB0">
        <w:rPr>
          <w:sz w:val="20"/>
          <w:szCs w:val="20"/>
          <w:lang w:val="fr-CA"/>
        </w:rPr>
        <w:t xml:space="preserve">imposait à l’Assemblée législative albertaine l’obligation d’adopter les lois en français et en anglais - Cette décision a été infirmée par la Cour du banc de la Reine, un jugement confirmé par la Cour d’appel - Est-ce que la </w:t>
      </w:r>
      <w:r w:rsidRPr="00C24FB0">
        <w:rPr>
          <w:i/>
          <w:sz w:val="20"/>
          <w:szCs w:val="20"/>
          <w:lang w:val="fr-CA"/>
        </w:rPr>
        <w:t>Loi linguistique</w:t>
      </w:r>
      <w:r w:rsidRPr="00C24FB0">
        <w:rPr>
          <w:sz w:val="20"/>
          <w:szCs w:val="20"/>
          <w:lang w:val="fr-CA"/>
        </w:rPr>
        <w:t xml:space="preserve">, R.S.A. 2000, c. L-6, est </w:t>
      </w:r>
      <w:r w:rsidRPr="00C24FB0">
        <w:rPr>
          <w:i/>
          <w:sz w:val="20"/>
          <w:szCs w:val="20"/>
          <w:lang w:val="fr-CA"/>
        </w:rPr>
        <w:t>ultra vires</w:t>
      </w:r>
      <w:r w:rsidRPr="00C24FB0">
        <w:rPr>
          <w:sz w:val="20"/>
          <w:szCs w:val="20"/>
          <w:lang w:val="fr-CA"/>
        </w:rPr>
        <w:t xml:space="preserve"> ou sans effet dans la mesure où elle abroge une obligation constitutionnelle de l’Alberta d’édicter, d’imprimer et de publier ses lois et ses règlements en français et en anglais conformément, notamment, au </w:t>
      </w:r>
      <w:r w:rsidRPr="00C24FB0">
        <w:rPr>
          <w:i/>
          <w:sz w:val="20"/>
          <w:szCs w:val="20"/>
          <w:lang w:val="fr-CA"/>
        </w:rPr>
        <w:t>Décret de 1870</w:t>
      </w:r>
      <w:r w:rsidRPr="00C24FB0">
        <w:rPr>
          <w:sz w:val="20"/>
          <w:szCs w:val="20"/>
          <w:lang w:val="fr-CA"/>
        </w:rPr>
        <w:t xml:space="preserve">? - En cas de réponse affirmative à la question 1, est-ce que la </w:t>
      </w:r>
      <w:r w:rsidRPr="00C24FB0">
        <w:rPr>
          <w:i/>
          <w:sz w:val="20"/>
          <w:szCs w:val="20"/>
          <w:lang w:val="fr-CA"/>
        </w:rPr>
        <w:t xml:space="preserve">Traffic Safety Act </w:t>
      </w:r>
      <w:r w:rsidRPr="00C24FB0">
        <w:rPr>
          <w:sz w:val="20"/>
          <w:szCs w:val="20"/>
          <w:lang w:val="fr-CA"/>
        </w:rPr>
        <w:t xml:space="preserve">ainsi que les autres lois et règlements qui n’ont pas été édictés, imprimés et publiés en français sont inopérants ? </w:t>
      </w:r>
    </w:p>
    <w:p w:rsidR="00F41ED5" w:rsidRPr="00C24FB0" w:rsidRDefault="00F41ED5" w:rsidP="00F41ED5">
      <w:pPr>
        <w:jc w:val="both"/>
        <w:rPr>
          <w:sz w:val="20"/>
          <w:szCs w:val="20"/>
          <w:lang w:val="fr-CA"/>
        </w:rPr>
      </w:pPr>
    </w:p>
    <w:p w:rsidR="00F41ED5" w:rsidRPr="00C24FB0" w:rsidRDefault="00F41ED5" w:rsidP="00F41ED5">
      <w:pPr>
        <w:jc w:val="both"/>
        <w:rPr>
          <w:sz w:val="20"/>
          <w:szCs w:val="20"/>
          <w:lang w:val="fr-CA"/>
        </w:rPr>
      </w:pPr>
      <w:r w:rsidRPr="00C24FB0">
        <w:rPr>
          <w:sz w:val="20"/>
          <w:szCs w:val="20"/>
          <w:lang w:val="fr-CA"/>
        </w:rPr>
        <w:t xml:space="preserve">L’appelant Pierre Boutet a été accusé d’une infraction à la </w:t>
      </w:r>
      <w:r w:rsidRPr="00C24FB0">
        <w:rPr>
          <w:i/>
          <w:sz w:val="20"/>
          <w:szCs w:val="20"/>
          <w:lang w:val="fr-CA"/>
        </w:rPr>
        <w:t>Traffic Safety Act</w:t>
      </w:r>
      <w:r w:rsidRPr="00C24FB0">
        <w:rPr>
          <w:sz w:val="20"/>
          <w:szCs w:val="20"/>
          <w:lang w:val="fr-CA"/>
        </w:rPr>
        <w:t>, une loi albertaine adoptée en anglais seulement. À son procès, Monsieur Boutet a soutenu que la loi</w:t>
      </w:r>
      <w:r w:rsidRPr="00C24FB0">
        <w:rPr>
          <w:i/>
          <w:sz w:val="20"/>
          <w:szCs w:val="20"/>
          <w:lang w:val="fr-CA"/>
        </w:rPr>
        <w:t xml:space="preserve"> </w:t>
      </w:r>
      <w:r w:rsidRPr="00C24FB0">
        <w:rPr>
          <w:sz w:val="20"/>
          <w:szCs w:val="20"/>
          <w:lang w:val="fr-CA"/>
        </w:rPr>
        <w:t xml:space="preserve">était inconstitutionnelle, puisqu’elle n’avait pas été adoptée en français et en anglais. La cause de Monsieur Boutet a été jointe à celle de Monsieur Gilles Caron, qui soulevait les mêmes questions. Au terme d’un procès qui a duré près de 90 jours, le juge Wenden de la Cour provinciale de l’Alberta a donné raison aux Messieurs Boutet et Caron et a déclaré que la </w:t>
      </w:r>
      <w:r w:rsidRPr="00C24FB0">
        <w:rPr>
          <w:i/>
          <w:sz w:val="20"/>
          <w:szCs w:val="20"/>
          <w:lang w:val="fr-CA"/>
        </w:rPr>
        <w:t>Proclamation royale de 1869</w:t>
      </w:r>
      <w:r w:rsidRPr="00C24FB0">
        <w:rPr>
          <w:sz w:val="20"/>
          <w:szCs w:val="20"/>
          <w:lang w:val="fr-CA"/>
        </w:rPr>
        <w:t xml:space="preserve"> et le </w:t>
      </w:r>
      <w:r w:rsidRPr="00C24FB0">
        <w:rPr>
          <w:i/>
          <w:sz w:val="20"/>
          <w:szCs w:val="20"/>
          <w:lang w:val="fr-CA"/>
        </w:rPr>
        <w:t>Décret de 1870</w:t>
      </w:r>
      <w:r w:rsidRPr="00C24FB0">
        <w:rPr>
          <w:sz w:val="20"/>
          <w:szCs w:val="20"/>
          <w:lang w:val="fr-CA"/>
        </w:rPr>
        <w:t xml:space="preserve"> imposaient à l’Assemblée législative albertaine l’obligation d’adopter les lois en français et en anglais. Cette décision a été infirmée par la Cour du banc de la Reine, un jugement confirmé par la Cour d’appel.</w:t>
      </w:r>
    </w:p>
    <w:p w:rsidR="00F41ED5" w:rsidRPr="00C24FB0" w:rsidRDefault="00F41ED5" w:rsidP="00F41ED5">
      <w:pPr>
        <w:jc w:val="both"/>
        <w:rPr>
          <w:sz w:val="20"/>
          <w:szCs w:val="20"/>
          <w:lang w:val="fr-CA"/>
        </w:rPr>
      </w:pPr>
    </w:p>
    <w:p w:rsidR="00F41ED5" w:rsidRPr="00C24FB0" w:rsidRDefault="00F41ED5" w:rsidP="00F41ED5">
      <w:pPr>
        <w:widowControl w:val="0"/>
        <w:jc w:val="both"/>
        <w:rPr>
          <w:sz w:val="20"/>
          <w:szCs w:val="20"/>
          <w:lang w:val="fr-CA"/>
        </w:rPr>
      </w:pPr>
    </w:p>
    <w:p w:rsidR="00F41ED5" w:rsidRPr="00C24FB0" w:rsidRDefault="00F41ED5" w:rsidP="00F41ED5">
      <w:pPr>
        <w:widowControl w:val="0"/>
        <w:ind w:left="2880" w:hanging="2880"/>
        <w:jc w:val="both"/>
        <w:rPr>
          <w:sz w:val="20"/>
          <w:szCs w:val="20"/>
          <w:lang w:val="fr-CA"/>
        </w:rPr>
      </w:pPr>
      <w:r w:rsidRPr="00C24FB0">
        <w:rPr>
          <w:sz w:val="20"/>
          <w:szCs w:val="20"/>
          <w:lang w:val="fr-CA"/>
        </w:rPr>
        <w:t>Origine:</w:t>
      </w:r>
      <w:r w:rsidRPr="00C24FB0">
        <w:rPr>
          <w:sz w:val="20"/>
          <w:szCs w:val="20"/>
          <w:lang w:val="fr-CA"/>
        </w:rPr>
        <w:tab/>
        <w:t>Alberta</w:t>
      </w:r>
    </w:p>
    <w:p w:rsidR="00F41ED5" w:rsidRPr="00C24FB0" w:rsidRDefault="00F41ED5" w:rsidP="00F41ED5">
      <w:pPr>
        <w:widowControl w:val="0"/>
        <w:ind w:left="2880" w:hanging="2880"/>
        <w:jc w:val="both"/>
        <w:rPr>
          <w:sz w:val="20"/>
          <w:szCs w:val="20"/>
          <w:lang w:val="fr-CA"/>
        </w:rPr>
      </w:pPr>
    </w:p>
    <w:p w:rsidR="00F41ED5" w:rsidRPr="00C24FB0" w:rsidRDefault="00F41ED5" w:rsidP="00F41ED5">
      <w:pPr>
        <w:widowControl w:val="0"/>
        <w:ind w:left="2880" w:hanging="2880"/>
        <w:jc w:val="both"/>
        <w:rPr>
          <w:sz w:val="20"/>
          <w:szCs w:val="20"/>
          <w:lang w:val="fr-CA"/>
        </w:rPr>
      </w:pPr>
      <w:r w:rsidRPr="00C24FB0">
        <w:rPr>
          <w:sz w:val="20"/>
          <w:szCs w:val="20"/>
          <w:lang w:val="fr-CA"/>
        </w:rPr>
        <w:t>N</w:t>
      </w:r>
      <w:r w:rsidRPr="00C24FB0">
        <w:rPr>
          <w:sz w:val="20"/>
          <w:szCs w:val="20"/>
          <w:vertAlign w:val="superscript"/>
          <w:lang w:val="fr-CA"/>
        </w:rPr>
        <w:t>o</w:t>
      </w:r>
      <w:r w:rsidRPr="00C24FB0">
        <w:rPr>
          <w:sz w:val="20"/>
          <w:szCs w:val="20"/>
          <w:lang w:val="fr-CA"/>
        </w:rPr>
        <w:t xml:space="preserve"> du greffe:</w:t>
      </w:r>
      <w:r w:rsidRPr="00C24FB0">
        <w:rPr>
          <w:sz w:val="20"/>
          <w:szCs w:val="20"/>
          <w:lang w:val="fr-CA"/>
        </w:rPr>
        <w:tab/>
        <w:t>35842</w:t>
      </w:r>
    </w:p>
    <w:p w:rsidR="00F41ED5" w:rsidRPr="00C24FB0" w:rsidRDefault="00F41ED5" w:rsidP="00F41ED5">
      <w:pPr>
        <w:widowControl w:val="0"/>
        <w:ind w:left="2880" w:hanging="2880"/>
        <w:jc w:val="both"/>
        <w:rPr>
          <w:sz w:val="20"/>
          <w:szCs w:val="20"/>
          <w:lang w:val="fr-CA"/>
        </w:rPr>
      </w:pPr>
    </w:p>
    <w:p w:rsidR="00F41ED5" w:rsidRPr="00C24FB0" w:rsidRDefault="00F41ED5" w:rsidP="00F41ED5">
      <w:pPr>
        <w:ind w:left="2880" w:hanging="2880"/>
        <w:rPr>
          <w:sz w:val="20"/>
          <w:szCs w:val="20"/>
          <w:lang w:val="fr-CA"/>
        </w:rPr>
      </w:pPr>
      <w:r w:rsidRPr="00C24FB0">
        <w:rPr>
          <w:sz w:val="20"/>
          <w:szCs w:val="20"/>
          <w:lang w:val="fr-CA"/>
        </w:rPr>
        <w:t>Arrêt de la Cour d’appel:</w:t>
      </w:r>
      <w:r w:rsidRPr="00C24FB0">
        <w:rPr>
          <w:sz w:val="20"/>
          <w:szCs w:val="20"/>
          <w:lang w:val="fr-CA"/>
        </w:rPr>
        <w:tab/>
        <w:t>le 21 février 2014</w:t>
      </w:r>
    </w:p>
    <w:p w:rsidR="00F41ED5" w:rsidRPr="00C24FB0" w:rsidRDefault="00F41ED5" w:rsidP="00F41ED5">
      <w:pPr>
        <w:widowControl w:val="0"/>
        <w:ind w:left="2880" w:hanging="2880"/>
        <w:jc w:val="both"/>
        <w:rPr>
          <w:sz w:val="20"/>
          <w:szCs w:val="20"/>
          <w:lang w:val="fr-CA"/>
        </w:rPr>
      </w:pPr>
    </w:p>
    <w:p w:rsidR="00F41ED5" w:rsidRPr="00C24FB0" w:rsidRDefault="00F41ED5" w:rsidP="00F41ED5">
      <w:pPr>
        <w:widowControl w:val="0"/>
        <w:ind w:left="2880" w:hanging="2880"/>
        <w:jc w:val="both"/>
        <w:rPr>
          <w:sz w:val="20"/>
          <w:szCs w:val="20"/>
          <w:lang w:val="fr-CA"/>
        </w:rPr>
      </w:pPr>
      <w:r w:rsidRPr="00C24FB0">
        <w:rPr>
          <w:sz w:val="20"/>
          <w:szCs w:val="20"/>
          <w:lang w:val="fr-CA"/>
        </w:rPr>
        <w:t>Avocats:</w:t>
      </w:r>
      <w:r w:rsidRPr="00C24FB0">
        <w:rPr>
          <w:sz w:val="20"/>
          <w:szCs w:val="20"/>
          <w:lang w:val="fr-CA"/>
        </w:rPr>
        <w:tab/>
        <w:t>M</w:t>
      </w:r>
      <w:r w:rsidRPr="00C24FB0">
        <w:rPr>
          <w:sz w:val="20"/>
          <w:szCs w:val="20"/>
          <w:vertAlign w:val="superscript"/>
          <w:lang w:val="fr-CA"/>
        </w:rPr>
        <w:t>e</w:t>
      </w:r>
      <w:r w:rsidRPr="00C24FB0">
        <w:rPr>
          <w:sz w:val="20"/>
          <w:szCs w:val="20"/>
          <w:lang w:val="fr-CA"/>
        </w:rPr>
        <w:t> Allan Damer et M</w:t>
      </w:r>
      <w:r w:rsidRPr="00C24FB0">
        <w:rPr>
          <w:sz w:val="20"/>
          <w:szCs w:val="20"/>
          <w:vertAlign w:val="superscript"/>
          <w:lang w:val="fr-CA"/>
        </w:rPr>
        <w:t>e</w:t>
      </w:r>
      <w:r w:rsidRPr="00C24FB0">
        <w:rPr>
          <w:sz w:val="20"/>
          <w:szCs w:val="20"/>
          <w:lang w:val="fr-CA"/>
        </w:rPr>
        <w:t> Sébastien Grammond pour l’appelant Monsieur Boutet</w:t>
      </w:r>
    </w:p>
    <w:p w:rsidR="00F41ED5" w:rsidRPr="00C24FB0" w:rsidRDefault="00F41ED5" w:rsidP="00F41ED5">
      <w:pPr>
        <w:widowControl w:val="0"/>
        <w:ind w:left="2880" w:hanging="2880"/>
        <w:jc w:val="both"/>
        <w:rPr>
          <w:sz w:val="20"/>
          <w:szCs w:val="20"/>
          <w:lang w:val="fr-CA"/>
        </w:rPr>
      </w:pPr>
      <w:r>
        <w:rPr>
          <w:sz w:val="20"/>
          <w:szCs w:val="20"/>
          <w:lang w:val="fr-CA"/>
        </w:rPr>
        <w:tab/>
      </w:r>
      <w:r w:rsidRPr="00C24FB0">
        <w:rPr>
          <w:sz w:val="20"/>
          <w:szCs w:val="20"/>
          <w:lang w:val="fr-CA"/>
        </w:rPr>
        <w:t>M</w:t>
      </w:r>
      <w:r w:rsidRPr="00C24FB0">
        <w:rPr>
          <w:sz w:val="20"/>
          <w:szCs w:val="20"/>
          <w:vertAlign w:val="superscript"/>
          <w:lang w:val="fr-CA"/>
        </w:rPr>
        <w:t>e</w:t>
      </w:r>
      <w:r w:rsidRPr="00C24FB0">
        <w:rPr>
          <w:sz w:val="20"/>
          <w:szCs w:val="20"/>
          <w:lang w:val="fr-CA"/>
        </w:rPr>
        <w:t> Roger J.F. Lepage, M</w:t>
      </w:r>
      <w:r w:rsidRPr="00C24FB0">
        <w:rPr>
          <w:sz w:val="20"/>
          <w:szCs w:val="20"/>
          <w:vertAlign w:val="superscript"/>
          <w:lang w:val="fr-CA"/>
        </w:rPr>
        <w:t>e</w:t>
      </w:r>
      <w:r w:rsidRPr="00C24FB0">
        <w:rPr>
          <w:sz w:val="20"/>
          <w:szCs w:val="20"/>
          <w:lang w:val="fr-CA"/>
        </w:rPr>
        <w:t> Francis P. Poulin et M</w:t>
      </w:r>
      <w:r w:rsidRPr="00C24FB0">
        <w:rPr>
          <w:sz w:val="20"/>
          <w:szCs w:val="20"/>
          <w:vertAlign w:val="superscript"/>
          <w:lang w:val="fr-CA"/>
        </w:rPr>
        <w:t>e</w:t>
      </w:r>
      <w:r w:rsidRPr="00C24FB0">
        <w:rPr>
          <w:sz w:val="20"/>
          <w:szCs w:val="20"/>
          <w:lang w:val="fr-CA"/>
        </w:rPr>
        <w:t> Romain Baudemont pour l’appelant Monsieur Caron</w:t>
      </w:r>
    </w:p>
    <w:p w:rsidR="00F41ED5" w:rsidRPr="00C24FB0" w:rsidRDefault="00F41ED5" w:rsidP="00F41ED5">
      <w:pPr>
        <w:widowControl w:val="0"/>
        <w:ind w:left="2880" w:hanging="2880"/>
        <w:jc w:val="both"/>
        <w:rPr>
          <w:sz w:val="20"/>
          <w:szCs w:val="20"/>
          <w:lang w:val="fr-CA"/>
        </w:rPr>
      </w:pPr>
      <w:r w:rsidRPr="00C24FB0">
        <w:rPr>
          <w:sz w:val="20"/>
          <w:szCs w:val="20"/>
          <w:lang w:val="fr-CA"/>
        </w:rPr>
        <w:tab/>
        <w:t>M</w:t>
      </w:r>
      <w:r w:rsidRPr="00C24FB0">
        <w:rPr>
          <w:sz w:val="20"/>
          <w:szCs w:val="20"/>
          <w:vertAlign w:val="superscript"/>
          <w:lang w:val="fr-CA"/>
        </w:rPr>
        <w:t>e</w:t>
      </w:r>
      <w:r w:rsidRPr="00C24FB0">
        <w:rPr>
          <w:sz w:val="20"/>
          <w:szCs w:val="20"/>
          <w:lang w:val="fr-CA"/>
        </w:rPr>
        <w:t> Teresa R. Haykowsky pour l’intimée</w:t>
      </w:r>
    </w:p>
    <w:p w:rsidR="00D96A7D" w:rsidRDefault="00D96A7D">
      <w:pPr>
        <w:rPr>
          <w:sz w:val="20"/>
          <w:szCs w:val="20"/>
          <w:lang w:val="fr-CA"/>
        </w:rPr>
      </w:pPr>
    </w:p>
    <w:p w:rsidR="00D96A7D" w:rsidRDefault="00E42AAB">
      <w:pPr>
        <w:rPr>
          <w:sz w:val="20"/>
          <w:szCs w:val="20"/>
          <w:lang w:val="fr-CA"/>
        </w:rPr>
      </w:pPr>
      <w:r>
        <w:rPr>
          <w:sz w:val="20"/>
          <w:szCs w:val="20"/>
          <w:lang w:val="fr-CA"/>
        </w:rPr>
        <w:pict>
          <v:rect id="_x0000_i1134" style="width:2in;height:1pt" o:hrpct="0" o:hralign="center" o:hrstd="t" o:hrnoshade="t" o:hr="t" fillcolor="black [3213]" stroked="f"/>
        </w:pict>
      </w:r>
    </w:p>
    <w:p w:rsidR="00D96A7D" w:rsidRDefault="00D96A7D">
      <w:pPr>
        <w:rPr>
          <w:sz w:val="20"/>
          <w:szCs w:val="20"/>
          <w:lang w:val="fr-CA"/>
        </w:rPr>
      </w:pPr>
      <w:r>
        <w:rPr>
          <w:sz w:val="20"/>
          <w:szCs w:val="20"/>
          <w:lang w:val="fr-CA"/>
        </w:rPr>
        <w:br w:type="page"/>
      </w:r>
    </w:p>
    <w:p w:rsidR="00653B2E" w:rsidRPr="00885A6D" w:rsidRDefault="006F7944" w:rsidP="00653B2E">
      <w:pPr>
        <w:widowControl w:val="0"/>
        <w:ind w:left="720" w:hanging="720"/>
        <w:contextualSpacing/>
        <w:jc w:val="both"/>
        <w:rPr>
          <w:sz w:val="20"/>
          <w:szCs w:val="20"/>
        </w:rPr>
      </w:pPr>
      <w:r w:rsidRPr="00885A6D">
        <w:rPr>
          <w:b/>
          <w:sz w:val="20"/>
          <w:szCs w:val="20"/>
        </w:rPr>
        <w:lastRenderedPageBreak/>
        <w:fldChar w:fldCharType="begin"/>
      </w:r>
      <w:r w:rsidR="00653B2E" w:rsidRPr="00885A6D">
        <w:rPr>
          <w:b/>
          <w:sz w:val="20"/>
          <w:szCs w:val="20"/>
        </w:rPr>
        <w:instrText xml:space="preserve"> SEQ CHAPTER \h \r 1</w:instrText>
      </w:r>
      <w:r w:rsidRPr="00885A6D">
        <w:rPr>
          <w:b/>
          <w:sz w:val="20"/>
          <w:szCs w:val="20"/>
        </w:rPr>
        <w:fldChar w:fldCharType="end"/>
      </w:r>
      <w:r w:rsidR="00653B2E" w:rsidRPr="00885A6D">
        <w:rPr>
          <w:b/>
          <w:sz w:val="20"/>
          <w:szCs w:val="20"/>
        </w:rPr>
        <w:t>35677</w:t>
      </w:r>
      <w:r w:rsidR="00653B2E" w:rsidRPr="00885A6D">
        <w:rPr>
          <w:sz w:val="20"/>
          <w:szCs w:val="20"/>
        </w:rPr>
        <w:tab/>
      </w:r>
      <w:r w:rsidR="00653B2E" w:rsidRPr="00885A6D">
        <w:rPr>
          <w:b/>
          <w:i/>
          <w:sz w:val="20"/>
          <w:szCs w:val="20"/>
        </w:rPr>
        <w:t>Jesus Rodriguez Hernandez v. Minister of Public Safety and Emergency Preparedness</w:t>
      </w:r>
    </w:p>
    <w:p w:rsidR="00653B2E" w:rsidRPr="00885A6D" w:rsidRDefault="00653B2E" w:rsidP="00653B2E">
      <w:pPr>
        <w:widowControl w:val="0"/>
        <w:jc w:val="both"/>
        <w:rPr>
          <w:sz w:val="20"/>
          <w:szCs w:val="20"/>
        </w:rPr>
      </w:pPr>
    </w:p>
    <w:p w:rsidR="00653B2E" w:rsidRPr="00885A6D" w:rsidRDefault="00653B2E" w:rsidP="00653B2E">
      <w:pPr>
        <w:widowControl w:val="0"/>
        <w:jc w:val="both"/>
        <w:rPr>
          <w:sz w:val="20"/>
          <w:szCs w:val="20"/>
        </w:rPr>
      </w:pPr>
      <w:r w:rsidRPr="00885A6D">
        <w:rPr>
          <w:i/>
          <w:sz w:val="20"/>
          <w:szCs w:val="20"/>
        </w:rPr>
        <w:t xml:space="preserve">Charter of Rights and Freedoms </w:t>
      </w:r>
      <w:r w:rsidRPr="00885A6D">
        <w:rPr>
          <w:sz w:val="20"/>
          <w:szCs w:val="20"/>
        </w:rPr>
        <w:t>- Right to life, liberty and security of the person - Immigration law - Inadmissibility and removal - Inadmissibility under s. 37(1)(</w:t>
      </w:r>
      <w:r w:rsidRPr="00885A6D">
        <w:rPr>
          <w:i/>
          <w:sz w:val="20"/>
          <w:szCs w:val="20"/>
        </w:rPr>
        <w:t>b</w:t>
      </w:r>
      <w:r w:rsidRPr="00885A6D">
        <w:rPr>
          <w:sz w:val="20"/>
          <w:szCs w:val="20"/>
        </w:rPr>
        <w:t>) of the</w:t>
      </w:r>
      <w:r w:rsidRPr="00885A6D">
        <w:rPr>
          <w:i/>
          <w:sz w:val="20"/>
          <w:szCs w:val="20"/>
        </w:rPr>
        <w:t xml:space="preserve"> Immigration and Refugee Protection Act</w:t>
      </w:r>
      <w:r w:rsidRPr="00885A6D">
        <w:rPr>
          <w:sz w:val="20"/>
          <w:szCs w:val="20"/>
        </w:rPr>
        <w:t>, S.C. 2001, c. 27 (“</w:t>
      </w:r>
      <w:r w:rsidRPr="00885A6D">
        <w:rPr>
          <w:i/>
          <w:sz w:val="20"/>
          <w:szCs w:val="20"/>
        </w:rPr>
        <w:t>IRPA</w:t>
      </w:r>
      <w:r w:rsidRPr="00885A6D">
        <w:rPr>
          <w:sz w:val="20"/>
          <w:szCs w:val="20"/>
        </w:rPr>
        <w:t>”), on grounds of organized criminality for engaging, in the context of transnational crime, in activities such as people smuggling - What is the standard of review in respect of the Immigration Division of the Immigration and Refugee Protection Board’s interpretation of the scope of s. 37(1)(</w:t>
      </w:r>
      <w:r w:rsidRPr="00885A6D">
        <w:rPr>
          <w:i/>
          <w:sz w:val="20"/>
          <w:szCs w:val="20"/>
        </w:rPr>
        <w:t>b</w:t>
      </w:r>
      <w:r w:rsidRPr="00885A6D">
        <w:rPr>
          <w:sz w:val="20"/>
          <w:szCs w:val="20"/>
        </w:rPr>
        <w:t>)? - What is the scope of s. 37(1)(</w:t>
      </w:r>
      <w:r w:rsidRPr="00885A6D">
        <w:rPr>
          <w:i/>
          <w:sz w:val="20"/>
          <w:szCs w:val="20"/>
        </w:rPr>
        <w:t>b</w:t>
      </w:r>
      <w:r w:rsidRPr="00885A6D">
        <w:rPr>
          <w:sz w:val="20"/>
          <w:szCs w:val="20"/>
        </w:rPr>
        <w:t xml:space="preserve">)? - Is s. 7 of the </w:t>
      </w:r>
      <w:r w:rsidRPr="00885A6D">
        <w:rPr>
          <w:i/>
          <w:sz w:val="20"/>
          <w:szCs w:val="20"/>
        </w:rPr>
        <w:t>Charter</w:t>
      </w:r>
      <w:r w:rsidRPr="00885A6D">
        <w:rPr>
          <w:sz w:val="20"/>
          <w:szCs w:val="20"/>
        </w:rPr>
        <w:t xml:space="preserve"> engaged in the inadmissibility process before the Board?</w:t>
      </w:r>
    </w:p>
    <w:p w:rsidR="00653B2E" w:rsidRPr="00885A6D" w:rsidRDefault="00653B2E" w:rsidP="00653B2E">
      <w:pPr>
        <w:widowControl w:val="0"/>
        <w:jc w:val="both"/>
        <w:rPr>
          <w:sz w:val="20"/>
          <w:szCs w:val="20"/>
        </w:rPr>
      </w:pPr>
    </w:p>
    <w:p w:rsidR="00653B2E" w:rsidRPr="00885A6D" w:rsidRDefault="00653B2E" w:rsidP="00653B2E">
      <w:pPr>
        <w:jc w:val="both"/>
        <w:rPr>
          <w:sz w:val="20"/>
          <w:szCs w:val="20"/>
        </w:rPr>
      </w:pPr>
      <w:r w:rsidRPr="00885A6D">
        <w:rPr>
          <w:sz w:val="20"/>
          <w:szCs w:val="20"/>
        </w:rPr>
        <w:t xml:space="preserve">Mr. Hernandez is a 43-year-old Cuban national who left Cuba for the United States in 2001, fearing persecution because of his participation in democratic movements opposing the policies and practices of the Cuban government. He was granted asylum in the U.S. in 2001. </w:t>
      </w:r>
    </w:p>
    <w:p w:rsidR="00653B2E" w:rsidRPr="00885A6D" w:rsidRDefault="00653B2E" w:rsidP="00653B2E">
      <w:pPr>
        <w:jc w:val="both"/>
        <w:rPr>
          <w:sz w:val="20"/>
          <w:szCs w:val="20"/>
        </w:rPr>
      </w:pPr>
    </w:p>
    <w:p w:rsidR="00653B2E" w:rsidRPr="00885A6D" w:rsidRDefault="00653B2E" w:rsidP="00653B2E">
      <w:pPr>
        <w:jc w:val="both"/>
        <w:rPr>
          <w:sz w:val="20"/>
          <w:szCs w:val="20"/>
        </w:rPr>
      </w:pPr>
      <w:r w:rsidRPr="00885A6D">
        <w:rPr>
          <w:sz w:val="20"/>
          <w:szCs w:val="20"/>
        </w:rPr>
        <w:t xml:space="preserve">In 2003, Mr. Hernandez returned to Cuba to assist his family to leave the country and enter the U.S. While in the U.S., he and two others bought a boat and left Florida for Cuba, purportedly to pick up family members. Forty-eight Cuban nationals boarded the vessel. They were later apprehended 80 to 100 km from the U.S. coast. American authorities convicted Mr. Hernandez of the offence of alien smuggling. He was subject to deportation from the U.S. </w:t>
      </w:r>
    </w:p>
    <w:p w:rsidR="00653B2E" w:rsidRPr="00885A6D" w:rsidRDefault="00653B2E" w:rsidP="00653B2E">
      <w:pPr>
        <w:jc w:val="both"/>
        <w:rPr>
          <w:sz w:val="20"/>
          <w:szCs w:val="20"/>
        </w:rPr>
      </w:pPr>
    </w:p>
    <w:p w:rsidR="00653B2E" w:rsidRPr="00885A6D" w:rsidRDefault="00653B2E" w:rsidP="00653B2E">
      <w:pPr>
        <w:jc w:val="both"/>
        <w:rPr>
          <w:i/>
          <w:sz w:val="20"/>
          <w:szCs w:val="20"/>
        </w:rPr>
      </w:pPr>
      <w:r w:rsidRPr="00885A6D">
        <w:rPr>
          <w:sz w:val="20"/>
          <w:szCs w:val="20"/>
        </w:rPr>
        <w:t>Following his release from prison, after serving a sentence of 12 months and 1 day, Mr. Hernandez came to Canada, where he made a refugee claim. Mr. Hernandez was found inadmissible under s. 37(1)(</w:t>
      </w:r>
      <w:r w:rsidRPr="00885A6D">
        <w:rPr>
          <w:i/>
          <w:sz w:val="20"/>
          <w:szCs w:val="20"/>
        </w:rPr>
        <w:t>b</w:t>
      </w:r>
      <w:r w:rsidRPr="00885A6D">
        <w:rPr>
          <w:sz w:val="20"/>
          <w:szCs w:val="20"/>
        </w:rPr>
        <w:t>) for having engaged in people smuggling</w:t>
      </w:r>
      <w:r w:rsidRPr="00885A6D">
        <w:rPr>
          <w:i/>
          <w:sz w:val="20"/>
          <w:szCs w:val="20"/>
        </w:rPr>
        <w:t>.</w:t>
      </w:r>
    </w:p>
    <w:p w:rsidR="00653B2E" w:rsidRPr="00885A6D" w:rsidRDefault="00653B2E" w:rsidP="00653B2E">
      <w:pPr>
        <w:widowControl w:val="0"/>
        <w:jc w:val="both"/>
        <w:rPr>
          <w:sz w:val="20"/>
          <w:szCs w:val="20"/>
        </w:rPr>
      </w:pPr>
    </w:p>
    <w:p w:rsidR="00653B2E" w:rsidRPr="00885A6D" w:rsidRDefault="00653B2E" w:rsidP="00653B2E">
      <w:pPr>
        <w:widowControl w:val="0"/>
        <w:jc w:val="both"/>
        <w:rPr>
          <w:sz w:val="20"/>
          <w:szCs w:val="20"/>
        </w:rPr>
      </w:pPr>
    </w:p>
    <w:p w:rsidR="00653B2E" w:rsidRPr="00885A6D" w:rsidRDefault="00653B2E" w:rsidP="00653B2E">
      <w:pPr>
        <w:widowControl w:val="0"/>
        <w:ind w:left="2880" w:hanging="2880"/>
        <w:jc w:val="both"/>
        <w:rPr>
          <w:sz w:val="20"/>
          <w:szCs w:val="20"/>
        </w:rPr>
      </w:pPr>
      <w:r w:rsidRPr="00885A6D">
        <w:rPr>
          <w:sz w:val="20"/>
          <w:szCs w:val="20"/>
        </w:rPr>
        <w:t>Origin of the case:</w:t>
      </w:r>
      <w:r w:rsidRPr="00885A6D">
        <w:rPr>
          <w:sz w:val="20"/>
          <w:szCs w:val="20"/>
        </w:rPr>
        <w:tab/>
        <w:t>Federal Court of Appeal</w:t>
      </w:r>
    </w:p>
    <w:p w:rsidR="00653B2E" w:rsidRPr="00885A6D" w:rsidRDefault="00653B2E" w:rsidP="00653B2E">
      <w:pPr>
        <w:widowControl w:val="0"/>
        <w:ind w:left="2880" w:hanging="2880"/>
        <w:jc w:val="both"/>
        <w:rPr>
          <w:sz w:val="20"/>
          <w:szCs w:val="20"/>
        </w:rPr>
      </w:pPr>
    </w:p>
    <w:p w:rsidR="00653B2E" w:rsidRPr="00885A6D" w:rsidRDefault="00653B2E" w:rsidP="00653B2E">
      <w:pPr>
        <w:widowControl w:val="0"/>
        <w:ind w:left="2880" w:hanging="2880"/>
        <w:jc w:val="both"/>
        <w:rPr>
          <w:sz w:val="20"/>
          <w:szCs w:val="20"/>
        </w:rPr>
      </w:pPr>
      <w:r w:rsidRPr="00885A6D">
        <w:rPr>
          <w:sz w:val="20"/>
          <w:szCs w:val="20"/>
        </w:rPr>
        <w:t>File No.:</w:t>
      </w:r>
      <w:r w:rsidRPr="00885A6D">
        <w:rPr>
          <w:sz w:val="20"/>
          <w:szCs w:val="20"/>
        </w:rPr>
        <w:tab/>
        <w:t>35677</w:t>
      </w:r>
    </w:p>
    <w:p w:rsidR="00653B2E" w:rsidRPr="00885A6D" w:rsidRDefault="00653B2E" w:rsidP="00653B2E">
      <w:pPr>
        <w:widowControl w:val="0"/>
        <w:ind w:left="2880" w:hanging="2880"/>
        <w:jc w:val="both"/>
        <w:rPr>
          <w:sz w:val="20"/>
          <w:szCs w:val="20"/>
        </w:rPr>
      </w:pPr>
    </w:p>
    <w:p w:rsidR="00653B2E" w:rsidRPr="00885A6D" w:rsidRDefault="00653B2E" w:rsidP="00653B2E">
      <w:pPr>
        <w:widowControl w:val="0"/>
        <w:ind w:left="2880" w:hanging="2880"/>
        <w:jc w:val="both"/>
        <w:rPr>
          <w:sz w:val="20"/>
          <w:szCs w:val="20"/>
        </w:rPr>
      </w:pPr>
      <w:r w:rsidRPr="00885A6D">
        <w:rPr>
          <w:sz w:val="20"/>
          <w:szCs w:val="20"/>
        </w:rPr>
        <w:t>Judgment of the Court of Appeal:</w:t>
      </w:r>
      <w:r w:rsidRPr="00885A6D">
        <w:rPr>
          <w:sz w:val="20"/>
          <w:szCs w:val="20"/>
        </w:rPr>
        <w:tab/>
        <w:t>November 12, 2013</w:t>
      </w:r>
    </w:p>
    <w:p w:rsidR="00653B2E" w:rsidRPr="00885A6D" w:rsidRDefault="00653B2E" w:rsidP="00653B2E">
      <w:pPr>
        <w:widowControl w:val="0"/>
        <w:ind w:left="2880" w:hanging="2880"/>
        <w:jc w:val="both"/>
        <w:rPr>
          <w:sz w:val="20"/>
          <w:szCs w:val="20"/>
        </w:rPr>
      </w:pPr>
    </w:p>
    <w:p w:rsidR="00653B2E" w:rsidRPr="00885A6D" w:rsidRDefault="00653B2E" w:rsidP="00653B2E">
      <w:pPr>
        <w:widowControl w:val="0"/>
        <w:ind w:left="2880" w:hanging="2880"/>
        <w:jc w:val="both"/>
        <w:rPr>
          <w:sz w:val="20"/>
          <w:szCs w:val="20"/>
        </w:rPr>
      </w:pPr>
      <w:r w:rsidRPr="00885A6D">
        <w:rPr>
          <w:sz w:val="20"/>
          <w:szCs w:val="20"/>
        </w:rPr>
        <w:t>Counsel:</w:t>
      </w:r>
      <w:r w:rsidRPr="00885A6D">
        <w:rPr>
          <w:sz w:val="20"/>
          <w:szCs w:val="20"/>
        </w:rPr>
        <w:tab/>
        <w:t>Ronald Poulton for the Appellant</w:t>
      </w:r>
    </w:p>
    <w:p w:rsidR="00653B2E" w:rsidRPr="00885A6D" w:rsidRDefault="00653B2E" w:rsidP="00653B2E">
      <w:pPr>
        <w:widowControl w:val="0"/>
        <w:ind w:left="2880" w:hanging="2880"/>
        <w:jc w:val="both"/>
        <w:rPr>
          <w:sz w:val="20"/>
          <w:szCs w:val="20"/>
        </w:rPr>
      </w:pPr>
      <w:r w:rsidRPr="00885A6D">
        <w:rPr>
          <w:sz w:val="20"/>
          <w:szCs w:val="20"/>
        </w:rPr>
        <w:tab/>
        <w:t>Marianne Zoric and François Joyal for the Respondent</w:t>
      </w:r>
    </w:p>
    <w:p w:rsidR="00D96A7D" w:rsidRPr="00653B2E" w:rsidRDefault="00D96A7D">
      <w:pPr>
        <w:rPr>
          <w:sz w:val="20"/>
          <w:szCs w:val="20"/>
        </w:rPr>
      </w:pPr>
    </w:p>
    <w:p w:rsidR="00D96A7D" w:rsidRDefault="00E42AAB">
      <w:pPr>
        <w:rPr>
          <w:sz w:val="20"/>
          <w:szCs w:val="20"/>
          <w:lang w:val="fr-CA"/>
        </w:rPr>
      </w:pPr>
      <w:r>
        <w:rPr>
          <w:sz w:val="20"/>
          <w:szCs w:val="20"/>
          <w:lang w:val="fr-CA"/>
        </w:rPr>
        <w:pict>
          <v:rect id="_x0000_i1135" style="width:2in;height:1pt" o:hrpct="0" o:hralign="center" o:hrstd="t" o:hrnoshade="t" o:hr="t" fillcolor="black [3213]" stroked="f"/>
        </w:pict>
      </w:r>
    </w:p>
    <w:p w:rsidR="00D96A7D" w:rsidRDefault="00D96A7D">
      <w:pPr>
        <w:rPr>
          <w:sz w:val="20"/>
          <w:szCs w:val="20"/>
          <w:lang w:val="fr-CA"/>
        </w:rPr>
      </w:pPr>
      <w:r>
        <w:rPr>
          <w:sz w:val="20"/>
          <w:szCs w:val="20"/>
          <w:lang w:val="fr-CA"/>
        </w:rPr>
        <w:br w:type="page"/>
      </w:r>
    </w:p>
    <w:p w:rsidR="00037D0F" w:rsidRPr="00CF3CB4" w:rsidRDefault="006F7944" w:rsidP="00037D0F">
      <w:pPr>
        <w:widowControl w:val="0"/>
        <w:ind w:left="720" w:hanging="720"/>
        <w:contextualSpacing/>
        <w:jc w:val="both"/>
        <w:rPr>
          <w:sz w:val="20"/>
          <w:szCs w:val="20"/>
          <w:lang w:val="fr-CA"/>
        </w:rPr>
      </w:pPr>
      <w:r w:rsidRPr="00CF3CB4">
        <w:rPr>
          <w:b/>
          <w:sz w:val="20"/>
          <w:szCs w:val="20"/>
          <w:lang w:val="fr-CA"/>
        </w:rPr>
        <w:lastRenderedPageBreak/>
        <w:fldChar w:fldCharType="begin"/>
      </w:r>
      <w:r w:rsidR="00037D0F" w:rsidRPr="00CF3CB4">
        <w:rPr>
          <w:b/>
          <w:sz w:val="20"/>
          <w:szCs w:val="20"/>
          <w:lang w:val="fr-CA"/>
        </w:rPr>
        <w:instrText xml:space="preserve"> SEQ CHAPTER \h \r 1</w:instrText>
      </w:r>
      <w:r w:rsidRPr="00CF3CB4">
        <w:rPr>
          <w:b/>
          <w:sz w:val="20"/>
          <w:szCs w:val="20"/>
          <w:lang w:val="fr-CA"/>
        </w:rPr>
        <w:fldChar w:fldCharType="end"/>
      </w:r>
      <w:r w:rsidR="00037D0F" w:rsidRPr="00CF3CB4">
        <w:rPr>
          <w:b/>
          <w:sz w:val="20"/>
          <w:szCs w:val="20"/>
          <w:lang w:val="fr-CA"/>
        </w:rPr>
        <w:t>35677</w:t>
      </w:r>
      <w:r w:rsidR="00037D0F" w:rsidRPr="00CF3CB4">
        <w:rPr>
          <w:sz w:val="20"/>
          <w:szCs w:val="20"/>
          <w:lang w:val="fr-CA"/>
        </w:rPr>
        <w:tab/>
      </w:r>
      <w:r w:rsidR="00037D0F" w:rsidRPr="00CF3CB4">
        <w:rPr>
          <w:b/>
          <w:i/>
          <w:sz w:val="20"/>
          <w:szCs w:val="20"/>
          <w:lang w:val="fr-CA"/>
        </w:rPr>
        <w:t>Jesus Rodriguez Hernandez c. Ministre de la Sécurité publique et de la Protection civile</w:t>
      </w:r>
    </w:p>
    <w:p w:rsidR="00037D0F" w:rsidRPr="00CF3CB4" w:rsidRDefault="00037D0F" w:rsidP="00037D0F">
      <w:pPr>
        <w:widowControl w:val="0"/>
        <w:jc w:val="both"/>
        <w:rPr>
          <w:sz w:val="20"/>
          <w:szCs w:val="20"/>
          <w:lang w:val="fr-CA"/>
        </w:rPr>
      </w:pPr>
    </w:p>
    <w:p w:rsidR="00037D0F" w:rsidRPr="00CF3CB4" w:rsidRDefault="00037D0F" w:rsidP="00037D0F">
      <w:pPr>
        <w:widowControl w:val="0"/>
        <w:jc w:val="both"/>
        <w:rPr>
          <w:sz w:val="20"/>
          <w:szCs w:val="20"/>
          <w:lang w:val="fr-CA"/>
        </w:rPr>
      </w:pPr>
      <w:r w:rsidRPr="00CF3CB4">
        <w:rPr>
          <w:i/>
          <w:sz w:val="20"/>
          <w:szCs w:val="20"/>
          <w:lang w:val="fr-CA"/>
        </w:rPr>
        <w:t>Charte des droits et libertés</w:t>
      </w:r>
      <w:r w:rsidRPr="00CF3CB4">
        <w:rPr>
          <w:sz w:val="20"/>
          <w:szCs w:val="20"/>
          <w:lang w:val="fr-CA"/>
        </w:rPr>
        <w:t xml:space="preserve"> - Droit à la vie, à la liberté et à la sécurité de la personne - Droit de l’immigration - Interdiction de territoire et renvoi - Interdiction de territoire en application de l’al. 37(1)</w:t>
      </w:r>
      <w:r w:rsidRPr="00CF3CB4">
        <w:rPr>
          <w:i/>
          <w:sz w:val="20"/>
          <w:szCs w:val="20"/>
          <w:lang w:val="fr-CA"/>
        </w:rPr>
        <w:t>b)</w:t>
      </w:r>
      <w:r w:rsidRPr="00CF3CB4">
        <w:rPr>
          <w:sz w:val="20"/>
          <w:szCs w:val="20"/>
          <w:lang w:val="fr-CA"/>
        </w:rPr>
        <w:t xml:space="preserve"> de la </w:t>
      </w:r>
      <w:r w:rsidRPr="00CF3CB4">
        <w:rPr>
          <w:i/>
          <w:sz w:val="20"/>
          <w:szCs w:val="20"/>
          <w:lang w:val="fr-CA"/>
        </w:rPr>
        <w:t>Loi sur l’immigration et la protection des réfugiés</w:t>
      </w:r>
      <w:r w:rsidRPr="00CF3CB4">
        <w:rPr>
          <w:sz w:val="20"/>
          <w:szCs w:val="20"/>
          <w:lang w:val="fr-CA"/>
        </w:rPr>
        <w:t>, L.C. 2001, ch. 27 (« LIPR ») pour criminalité organisée, c’est-à-dire pour s’être livré, dans le cadre de la criminalité transnationale, à des activités telles le passage de clandestins - Quelle est la norme de contrôle à l’égard de l’interprétation, par la Section de l’immigration de la Commission de l’immigration et du statut de réfugié, de la portée de l’al. 37(1)</w:t>
      </w:r>
      <w:r w:rsidRPr="00CF3CB4">
        <w:rPr>
          <w:i/>
          <w:sz w:val="20"/>
          <w:szCs w:val="20"/>
          <w:lang w:val="fr-CA"/>
        </w:rPr>
        <w:t>b)</w:t>
      </w:r>
      <w:r w:rsidRPr="00CF3CB4">
        <w:rPr>
          <w:sz w:val="20"/>
          <w:szCs w:val="20"/>
          <w:lang w:val="fr-CA"/>
        </w:rPr>
        <w:t>? - Quelle est la portée de l’al. 31(1)</w:t>
      </w:r>
      <w:r w:rsidRPr="00CF3CB4">
        <w:rPr>
          <w:i/>
          <w:sz w:val="20"/>
          <w:szCs w:val="20"/>
          <w:lang w:val="fr-CA"/>
        </w:rPr>
        <w:t>b)</w:t>
      </w:r>
      <w:r w:rsidRPr="00CF3CB4">
        <w:rPr>
          <w:sz w:val="20"/>
          <w:szCs w:val="20"/>
          <w:lang w:val="fr-CA"/>
        </w:rPr>
        <w:t xml:space="preserve">? - L’art. 7 de la Charte entre-t-il en jeu dans le processus d’interdiction de territoire devant la Commission? </w:t>
      </w:r>
    </w:p>
    <w:p w:rsidR="00037D0F" w:rsidRPr="00CF3CB4" w:rsidRDefault="00037D0F" w:rsidP="00037D0F">
      <w:pPr>
        <w:widowControl w:val="0"/>
        <w:jc w:val="both"/>
        <w:rPr>
          <w:sz w:val="20"/>
          <w:szCs w:val="20"/>
          <w:lang w:val="fr-CA"/>
        </w:rPr>
      </w:pPr>
    </w:p>
    <w:p w:rsidR="00037D0F" w:rsidRPr="00CF3CB4" w:rsidRDefault="00037D0F" w:rsidP="00037D0F">
      <w:pPr>
        <w:jc w:val="both"/>
        <w:rPr>
          <w:sz w:val="20"/>
          <w:szCs w:val="20"/>
          <w:lang w:val="fr-CA"/>
        </w:rPr>
      </w:pPr>
      <w:r w:rsidRPr="00CF3CB4">
        <w:rPr>
          <w:sz w:val="20"/>
          <w:szCs w:val="20"/>
          <w:lang w:val="fr-CA"/>
        </w:rPr>
        <w:t xml:space="preserve">M. Hernandez est un ressortissant cubain âgé de 43 ans qui a quitté Cuba pour se rendre aux États-Unis en 2001, craignant la persécution en raison de sa participation dans des mouvements démocratiques opposant les politiques et les pratiques du gouvernement cubain. Il s’est vu accorder l’asile aux États-Unis en 2001. </w:t>
      </w:r>
    </w:p>
    <w:p w:rsidR="00037D0F" w:rsidRPr="00CF3CB4" w:rsidRDefault="00037D0F" w:rsidP="00037D0F">
      <w:pPr>
        <w:jc w:val="both"/>
        <w:rPr>
          <w:sz w:val="20"/>
          <w:szCs w:val="20"/>
          <w:lang w:val="fr-CA"/>
        </w:rPr>
      </w:pPr>
    </w:p>
    <w:p w:rsidR="00037D0F" w:rsidRPr="00CF3CB4" w:rsidRDefault="00037D0F" w:rsidP="00037D0F">
      <w:pPr>
        <w:jc w:val="both"/>
        <w:rPr>
          <w:sz w:val="20"/>
          <w:szCs w:val="20"/>
          <w:lang w:val="fr-CA"/>
        </w:rPr>
      </w:pPr>
      <w:r w:rsidRPr="00CF3CB4">
        <w:rPr>
          <w:sz w:val="20"/>
          <w:szCs w:val="20"/>
          <w:lang w:val="fr-CA"/>
        </w:rPr>
        <w:t xml:space="preserve">En 2003, M. Hernandez est retourné à Cuba pour aider sa famille à quitter le pays et entrer aux États-Unis. Pendant son séjour aux États-Unis, deux personnes et lui ont acheté une embarcation et quitté la Floride à bord de celle-ci, censément pour aller chercher des membres de leur famille à Cuba. Quarante-huit ressortissants cubains sont montés à bord du bateau. Ceux-ci ont plus tard été arrêtés à une distance de 80 à 100 km de la côte américaine. Les autorités américaines ont déclaré M. Hernandez coupable de passage de clandestins étrangers. Il a fait l’objet d’une mesure d’expulsion des États-Unis. </w:t>
      </w:r>
    </w:p>
    <w:p w:rsidR="00037D0F" w:rsidRPr="00CF3CB4" w:rsidRDefault="00037D0F" w:rsidP="00037D0F">
      <w:pPr>
        <w:jc w:val="both"/>
        <w:rPr>
          <w:sz w:val="20"/>
          <w:szCs w:val="20"/>
          <w:lang w:val="fr-CA"/>
        </w:rPr>
      </w:pPr>
    </w:p>
    <w:p w:rsidR="00037D0F" w:rsidRPr="00CF3CB4" w:rsidRDefault="00037D0F" w:rsidP="00037D0F">
      <w:pPr>
        <w:jc w:val="both"/>
        <w:rPr>
          <w:sz w:val="20"/>
          <w:szCs w:val="20"/>
          <w:lang w:val="fr-CA"/>
        </w:rPr>
      </w:pPr>
      <w:r w:rsidRPr="00CF3CB4">
        <w:rPr>
          <w:sz w:val="20"/>
          <w:szCs w:val="20"/>
          <w:lang w:val="fr-CA"/>
        </w:rPr>
        <w:t>Après sa libération de prison, où il a purgé une peine de douze mois et un jour, M. Hernandez est venu au Canada, où il a demandé l’asile</w:t>
      </w:r>
      <w:r w:rsidRPr="00CF3CB4">
        <w:rPr>
          <w:i/>
          <w:sz w:val="20"/>
          <w:szCs w:val="20"/>
          <w:lang w:val="fr-CA"/>
        </w:rPr>
        <w:t xml:space="preserve">. </w:t>
      </w:r>
      <w:r w:rsidRPr="00CF3CB4">
        <w:rPr>
          <w:sz w:val="20"/>
          <w:szCs w:val="20"/>
          <w:lang w:val="fr-CA"/>
        </w:rPr>
        <w:t>Monsieur Hernandez a été interdit de territoire en application de l’al. 37(1)</w:t>
      </w:r>
      <w:r w:rsidRPr="00CF3CB4">
        <w:rPr>
          <w:i/>
          <w:sz w:val="20"/>
          <w:szCs w:val="20"/>
          <w:lang w:val="fr-CA"/>
        </w:rPr>
        <w:t>b)</w:t>
      </w:r>
      <w:r w:rsidRPr="00CF3CB4">
        <w:rPr>
          <w:sz w:val="20"/>
          <w:szCs w:val="20"/>
          <w:lang w:val="fr-CA"/>
        </w:rPr>
        <w:t xml:space="preserve"> pour s’être livré au passage de clandestins.</w:t>
      </w:r>
    </w:p>
    <w:p w:rsidR="00037D0F" w:rsidRPr="00CF3CB4" w:rsidRDefault="00037D0F" w:rsidP="00037D0F">
      <w:pPr>
        <w:widowControl w:val="0"/>
        <w:jc w:val="both"/>
        <w:rPr>
          <w:sz w:val="20"/>
          <w:szCs w:val="20"/>
          <w:lang w:val="fr-CA"/>
        </w:rPr>
      </w:pPr>
    </w:p>
    <w:p w:rsidR="00037D0F" w:rsidRPr="00CF3CB4" w:rsidRDefault="00037D0F" w:rsidP="00037D0F">
      <w:pPr>
        <w:widowControl w:val="0"/>
        <w:jc w:val="both"/>
        <w:rPr>
          <w:sz w:val="20"/>
          <w:szCs w:val="20"/>
          <w:lang w:val="fr-CA"/>
        </w:rPr>
      </w:pPr>
    </w:p>
    <w:p w:rsidR="00037D0F" w:rsidRPr="00CF3CB4" w:rsidRDefault="00037D0F" w:rsidP="00037D0F">
      <w:pPr>
        <w:widowControl w:val="0"/>
        <w:ind w:left="2880" w:hanging="2880"/>
        <w:jc w:val="both"/>
        <w:rPr>
          <w:sz w:val="20"/>
          <w:szCs w:val="20"/>
          <w:lang w:val="fr-CA"/>
        </w:rPr>
      </w:pPr>
      <w:r w:rsidRPr="00CF3CB4">
        <w:rPr>
          <w:sz w:val="20"/>
          <w:szCs w:val="20"/>
          <w:lang w:val="fr-CA"/>
        </w:rPr>
        <w:t>Origine :</w:t>
      </w:r>
      <w:r w:rsidRPr="00CF3CB4">
        <w:rPr>
          <w:sz w:val="20"/>
          <w:szCs w:val="20"/>
          <w:lang w:val="fr-CA"/>
        </w:rPr>
        <w:tab/>
        <w:t>Cour d’appel fédérale</w:t>
      </w:r>
    </w:p>
    <w:p w:rsidR="00037D0F" w:rsidRPr="00CF3CB4" w:rsidRDefault="00037D0F" w:rsidP="00037D0F">
      <w:pPr>
        <w:widowControl w:val="0"/>
        <w:ind w:left="2880" w:hanging="2880"/>
        <w:jc w:val="both"/>
        <w:rPr>
          <w:sz w:val="20"/>
          <w:szCs w:val="20"/>
          <w:lang w:val="fr-CA"/>
        </w:rPr>
      </w:pPr>
    </w:p>
    <w:p w:rsidR="00037D0F" w:rsidRPr="00CF3CB4" w:rsidRDefault="00037D0F" w:rsidP="00037D0F">
      <w:pPr>
        <w:widowControl w:val="0"/>
        <w:ind w:left="2880" w:hanging="2880"/>
        <w:jc w:val="both"/>
        <w:rPr>
          <w:sz w:val="20"/>
          <w:szCs w:val="20"/>
          <w:lang w:val="fr-CA"/>
        </w:rPr>
      </w:pPr>
      <w:r w:rsidRPr="00CF3CB4">
        <w:rPr>
          <w:sz w:val="20"/>
          <w:szCs w:val="20"/>
          <w:lang w:val="fr-CA"/>
        </w:rPr>
        <w:t>N</w:t>
      </w:r>
      <w:r w:rsidRPr="00CF3CB4">
        <w:rPr>
          <w:sz w:val="20"/>
          <w:szCs w:val="20"/>
          <w:vertAlign w:val="superscript"/>
          <w:lang w:val="fr-CA"/>
        </w:rPr>
        <w:t>o</w:t>
      </w:r>
      <w:r w:rsidRPr="00CF3CB4">
        <w:rPr>
          <w:sz w:val="20"/>
          <w:szCs w:val="20"/>
          <w:lang w:val="fr-CA"/>
        </w:rPr>
        <w:t xml:space="preserve"> du greffe :</w:t>
      </w:r>
      <w:r w:rsidRPr="00CF3CB4">
        <w:rPr>
          <w:sz w:val="20"/>
          <w:szCs w:val="20"/>
          <w:lang w:val="fr-CA"/>
        </w:rPr>
        <w:tab/>
        <w:t>35677</w:t>
      </w:r>
    </w:p>
    <w:p w:rsidR="00037D0F" w:rsidRPr="00CF3CB4" w:rsidRDefault="00037D0F" w:rsidP="00037D0F">
      <w:pPr>
        <w:widowControl w:val="0"/>
        <w:ind w:left="2880" w:hanging="2880"/>
        <w:jc w:val="both"/>
        <w:rPr>
          <w:sz w:val="20"/>
          <w:szCs w:val="20"/>
          <w:lang w:val="fr-CA"/>
        </w:rPr>
      </w:pPr>
    </w:p>
    <w:p w:rsidR="00037D0F" w:rsidRPr="00CF3CB4" w:rsidRDefault="00037D0F" w:rsidP="00037D0F">
      <w:pPr>
        <w:widowControl w:val="0"/>
        <w:ind w:left="2880" w:hanging="2880"/>
        <w:jc w:val="both"/>
        <w:rPr>
          <w:sz w:val="20"/>
          <w:szCs w:val="20"/>
          <w:lang w:val="fr-CA"/>
        </w:rPr>
      </w:pPr>
      <w:r w:rsidRPr="00CF3CB4">
        <w:rPr>
          <w:sz w:val="20"/>
          <w:szCs w:val="20"/>
          <w:lang w:val="fr-CA"/>
        </w:rPr>
        <w:t>Arrêt de la Cour d’appel :</w:t>
      </w:r>
      <w:r w:rsidRPr="00CF3CB4">
        <w:rPr>
          <w:sz w:val="20"/>
          <w:szCs w:val="20"/>
          <w:lang w:val="fr-CA"/>
        </w:rPr>
        <w:tab/>
        <w:t>le 12 novembre 2013</w:t>
      </w:r>
    </w:p>
    <w:p w:rsidR="00037D0F" w:rsidRPr="00CF3CB4" w:rsidRDefault="00037D0F" w:rsidP="00037D0F">
      <w:pPr>
        <w:widowControl w:val="0"/>
        <w:ind w:left="2880" w:hanging="2880"/>
        <w:jc w:val="both"/>
        <w:rPr>
          <w:sz w:val="20"/>
          <w:szCs w:val="20"/>
          <w:lang w:val="fr-CA"/>
        </w:rPr>
      </w:pPr>
    </w:p>
    <w:p w:rsidR="00037D0F" w:rsidRPr="00CF3CB4" w:rsidRDefault="00037D0F" w:rsidP="00037D0F">
      <w:pPr>
        <w:widowControl w:val="0"/>
        <w:ind w:left="2880" w:hanging="2880"/>
        <w:jc w:val="both"/>
        <w:rPr>
          <w:sz w:val="20"/>
          <w:szCs w:val="20"/>
          <w:lang w:val="fr-CA"/>
        </w:rPr>
      </w:pPr>
      <w:r w:rsidRPr="00CF3CB4">
        <w:rPr>
          <w:sz w:val="20"/>
          <w:szCs w:val="20"/>
          <w:lang w:val="fr-CA"/>
        </w:rPr>
        <w:t>Avocats :</w:t>
      </w:r>
      <w:r w:rsidRPr="00CF3CB4">
        <w:rPr>
          <w:sz w:val="20"/>
          <w:szCs w:val="20"/>
          <w:lang w:val="fr-CA"/>
        </w:rPr>
        <w:tab/>
        <w:t>Ronald Poulton pour l’appelant</w:t>
      </w:r>
    </w:p>
    <w:p w:rsidR="00037D0F" w:rsidRPr="00CF3CB4" w:rsidRDefault="00037D0F" w:rsidP="00037D0F">
      <w:pPr>
        <w:widowControl w:val="0"/>
        <w:ind w:left="2880" w:hanging="2880"/>
        <w:jc w:val="both"/>
        <w:rPr>
          <w:sz w:val="20"/>
          <w:szCs w:val="20"/>
          <w:lang w:val="fr-CA"/>
        </w:rPr>
      </w:pPr>
      <w:r w:rsidRPr="00CF3CB4">
        <w:rPr>
          <w:sz w:val="20"/>
          <w:szCs w:val="20"/>
          <w:lang w:val="fr-CA"/>
        </w:rPr>
        <w:tab/>
        <w:t>Marianne Zoric et François Joyal pour l’intimé</w:t>
      </w:r>
    </w:p>
    <w:p w:rsidR="00D96A7D" w:rsidRDefault="00D96A7D">
      <w:pPr>
        <w:rPr>
          <w:sz w:val="20"/>
          <w:szCs w:val="20"/>
          <w:lang w:val="fr-CA"/>
        </w:rPr>
      </w:pPr>
    </w:p>
    <w:p w:rsidR="00D96A7D" w:rsidRDefault="00E42AAB">
      <w:pPr>
        <w:rPr>
          <w:sz w:val="20"/>
          <w:szCs w:val="20"/>
          <w:lang w:val="fr-CA"/>
        </w:rPr>
      </w:pPr>
      <w:r>
        <w:rPr>
          <w:sz w:val="20"/>
          <w:szCs w:val="20"/>
          <w:lang w:val="fr-CA"/>
        </w:rPr>
        <w:pict>
          <v:rect id="_x0000_i1136" style="width:2in;height:1pt" o:hrpct="0" o:hralign="center" o:hrstd="t" o:hrnoshade="t" o:hr="t" fillcolor="black [3213]" stroked="f"/>
        </w:pict>
      </w:r>
    </w:p>
    <w:p w:rsidR="00D96A7D" w:rsidRDefault="00D96A7D">
      <w:pPr>
        <w:rPr>
          <w:sz w:val="20"/>
          <w:szCs w:val="20"/>
          <w:lang w:val="fr-CA"/>
        </w:rPr>
      </w:pPr>
      <w:r>
        <w:rPr>
          <w:sz w:val="20"/>
          <w:szCs w:val="20"/>
          <w:lang w:val="fr-CA"/>
        </w:rPr>
        <w:br w:type="page"/>
      </w:r>
    </w:p>
    <w:p w:rsidR="00701338" w:rsidRPr="00C87924" w:rsidRDefault="006F7944" w:rsidP="00701338">
      <w:pPr>
        <w:widowControl w:val="0"/>
        <w:ind w:left="720" w:hanging="720"/>
        <w:contextualSpacing/>
        <w:jc w:val="both"/>
        <w:rPr>
          <w:sz w:val="20"/>
          <w:szCs w:val="20"/>
        </w:rPr>
      </w:pPr>
      <w:r w:rsidRPr="00C87924">
        <w:rPr>
          <w:b/>
          <w:sz w:val="20"/>
          <w:szCs w:val="20"/>
        </w:rPr>
        <w:lastRenderedPageBreak/>
        <w:fldChar w:fldCharType="begin"/>
      </w:r>
      <w:r w:rsidR="00701338" w:rsidRPr="00C87924">
        <w:rPr>
          <w:b/>
          <w:sz w:val="20"/>
          <w:szCs w:val="20"/>
        </w:rPr>
        <w:instrText xml:space="preserve"> SEQ CHAPTER \h \r 1</w:instrText>
      </w:r>
      <w:r w:rsidRPr="00C87924">
        <w:rPr>
          <w:b/>
          <w:sz w:val="20"/>
          <w:szCs w:val="20"/>
        </w:rPr>
        <w:fldChar w:fldCharType="end"/>
      </w:r>
      <w:r w:rsidR="00701338" w:rsidRPr="00C87924">
        <w:rPr>
          <w:b/>
          <w:sz w:val="20"/>
          <w:szCs w:val="20"/>
        </w:rPr>
        <w:t>35685</w:t>
      </w:r>
      <w:r w:rsidR="00701338" w:rsidRPr="00C87924">
        <w:rPr>
          <w:sz w:val="20"/>
          <w:szCs w:val="20"/>
        </w:rPr>
        <w:tab/>
      </w:r>
      <w:r w:rsidR="00701338" w:rsidRPr="00C87924">
        <w:rPr>
          <w:b/>
          <w:i/>
          <w:sz w:val="20"/>
          <w:szCs w:val="20"/>
        </w:rPr>
        <w:t>B306 v. Minister of Public Safety and Emergency Preparedness</w:t>
      </w:r>
    </w:p>
    <w:p w:rsidR="00701338" w:rsidRPr="00C87924" w:rsidRDefault="00701338" w:rsidP="00701338">
      <w:pPr>
        <w:widowControl w:val="0"/>
        <w:jc w:val="both"/>
        <w:rPr>
          <w:sz w:val="20"/>
          <w:szCs w:val="20"/>
        </w:rPr>
      </w:pPr>
    </w:p>
    <w:p w:rsidR="00701338" w:rsidRPr="00C87924" w:rsidRDefault="00701338" w:rsidP="00701338">
      <w:pPr>
        <w:widowControl w:val="0"/>
        <w:jc w:val="both"/>
        <w:rPr>
          <w:smallCaps/>
          <w:sz w:val="20"/>
          <w:szCs w:val="20"/>
        </w:rPr>
      </w:pPr>
      <w:r w:rsidRPr="00C87924">
        <w:rPr>
          <w:smallCaps/>
          <w:sz w:val="20"/>
          <w:szCs w:val="20"/>
        </w:rPr>
        <w:t xml:space="preserve">Publication </w:t>
      </w:r>
      <w:r>
        <w:rPr>
          <w:smallCaps/>
          <w:sz w:val="20"/>
          <w:szCs w:val="20"/>
        </w:rPr>
        <w:t>B</w:t>
      </w:r>
      <w:r w:rsidRPr="00C87924">
        <w:rPr>
          <w:smallCaps/>
          <w:sz w:val="20"/>
          <w:szCs w:val="20"/>
        </w:rPr>
        <w:t xml:space="preserve">an in </w:t>
      </w:r>
      <w:r>
        <w:rPr>
          <w:smallCaps/>
          <w:sz w:val="20"/>
          <w:szCs w:val="20"/>
        </w:rPr>
        <w:t>C</w:t>
      </w:r>
      <w:r w:rsidRPr="00C87924">
        <w:rPr>
          <w:smallCaps/>
          <w:sz w:val="20"/>
          <w:szCs w:val="20"/>
        </w:rPr>
        <w:t>ase</w:t>
      </w:r>
    </w:p>
    <w:p w:rsidR="00701338" w:rsidRPr="00C87924" w:rsidRDefault="00701338" w:rsidP="00701338">
      <w:pPr>
        <w:widowControl w:val="0"/>
        <w:jc w:val="both"/>
        <w:rPr>
          <w:sz w:val="20"/>
          <w:szCs w:val="20"/>
        </w:rPr>
      </w:pPr>
    </w:p>
    <w:p w:rsidR="00701338" w:rsidRPr="00C87924" w:rsidRDefault="00701338" w:rsidP="00701338">
      <w:pPr>
        <w:widowControl w:val="0"/>
        <w:jc w:val="both"/>
        <w:rPr>
          <w:sz w:val="20"/>
          <w:szCs w:val="20"/>
        </w:rPr>
      </w:pPr>
      <w:r w:rsidRPr="00C87924">
        <w:rPr>
          <w:i/>
          <w:sz w:val="20"/>
          <w:szCs w:val="20"/>
        </w:rPr>
        <w:t xml:space="preserve">Charter of Rights and Freedoms </w:t>
      </w:r>
      <w:r w:rsidRPr="00C87924">
        <w:rPr>
          <w:sz w:val="20"/>
          <w:szCs w:val="20"/>
        </w:rPr>
        <w:t>- Right to life, liberty and security of the person - Immigration law - Inadmissibility and removal - Inadmissibility under s. 37(1)(</w:t>
      </w:r>
      <w:r w:rsidRPr="00C87924">
        <w:rPr>
          <w:i/>
          <w:sz w:val="20"/>
          <w:szCs w:val="20"/>
        </w:rPr>
        <w:t>b</w:t>
      </w:r>
      <w:r w:rsidRPr="00C87924">
        <w:rPr>
          <w:sz w:val="20"/>
          <w:szCs w:val="20"/>
        </w:rPr>
        <w:t>) of the</w:t>
      </w:r>
      <w:r w:rsidRPr="00C87924">
        <w:rPr>
          <w:i/>
          <w:sz w:val="20"/>
          <w:szCs w:val="20"/>
        </w:rPr>
        <w:t xml:space="preserve"> Immigration and Refugee Protection Act</w:t>
      </w:r>
      <w:r w:rsidRPr="00C87924">
        <w:rPr>
          <w:sz w:val="20"/>
          <w:szCs w:val="20"/>
        </w:rPr>
        <w:t>, S.C. 2001, c. 27 (“</w:t>
      </w:r>
      <w:r w:rsidRPr="00C87924">
        <w:rPr>
          <w:i/>
          <w:sz w:val="20"/>
          <w:szCs w:val="20"/>
        </w:rPr>
        <w:t>IRPA</w:t>
      </w:r>
      <w:r w:rsidRPr="00C87924">
        <w:rPr>
          <w:sz w:val="20"/>
          <w:szCs w:val="20"/>
        </w:rPr>
        <w:t>”), on grounds of organized criminality for engaging, in the context of transnational crime, in activities such as people smuggling - What is the standard of review in respect of the Immigration Division of the Immigration and Refugee Protection Board’s interpretation of the scope of s. 37(1)(</w:t>
      </w:r>
      <w:r w:rsidRPr="00C87924">
        <w:rPr>
          <w:i/>
          <w:sz w:val="20"/>
          <w:szCs w:val="20"/>
        </w:rPr>
        <w:t>b</w:t>
      </w:r>
      <w:r w:rsidRPr="00C87924">
        <w:rPr>
          <w:sz w:val="20"/>
          <w:szCs w:val="20"/>
        </w:rPr>
        <w:t>)? - What is the scope of s. 37(1)(</w:t>
      </w:r>
      <w:r w:rsidRPr="00C87924">
        <w:rPr>
          <w:i/>
          <w:sz w:val="20"/>
          <w:szCs w:val="20"/>
        </w:rPr>
        <w:t>b</w:t>
      </w:r>
      <w:r w:rsidRPr="00C87924">
        <w:rPr>
          <w:sz w:val="20"/>
          <w:szCs w:val="20"/>
        </w:rPr>
        <w:t xml:space="preserve">)? - Is s. 7 of the </w:t>
      </w:r>
      <w:r w:rsidRPr="00C87924">
        <w:rPr>
          <w:i/>
          <w:sz w:val="20"/>
          <w:szCs w:val="20"/>
        </w:rPr>
        <w:t>Charter</w:t>
      </w:r>
      <w:r w:rsidRPr="00C87924">
        <w:rPr>
          <w:sz w:val="20"/>
          <w:szCs w:val="20"/>
        </w:rPr>
        <w:t xml:space="preserve"> engaged in the inadmissibility process before the Board?</w:t>
      </w:r>
    </w:p>
    <w:p w:rsidR="00701338" w:rsidRPr="00C87924" w:rsidRDefault="00701338" w:rsidP="00701338">
      <w:pPr>
        <w:widowControl w:val="0"/>
        <w:jc w:val="both"/>
        <w:rPr>
          <w:sz w:val="20"/>
          <w:szCs w:val="20"/>
        </w:rPr>
      </w:pPr>
    </w:p>
    <w:p w:rsidR="00701338" w:rsidRPr="00C87924" w:rsidRDefault="00701338" w:rsidP="00701338">
      <w:pPr>
        <w:jc w:val="both"/>
        <w:rPr>
          <w:sz w:val="20"/>
          <w:szCs w:val="20"/>
        </w:rPr>
      </w:pPr>
      <w:r w:rsidRPr="00C87924">
        <w:rPr>
          <w:sz w:val="20"/>
          <w:szCs w:val="20"/>
        </w:rPr>
        <w:t xml:space="preserve">B306, a young male Tamil from northern Sri Lanka, was one of the 492 Sri Lankan nationals who arrived in Canada in 2010 aboard the </w:t>
      </w:r>
      <w:r w:rsidRPr="00C87924">
        <w:rPr>
          <w:i/>
          <w:sz w:val="20"/>
          <w:szCs w:val="20"/>
        </w:rPr>
        <w:t>MV Sun Sea</w:t>
      </w:r>
      <w:r w:rsidRPr="00C87924">
        <w:rPr>
          <w:sz w:val="20"/>
          <w:szCs w:val="20"/>
        </w:rPr>
        <w:t>, seeking to make a refugee protection claim. After boarding the ship in Thailand, B306 volunteered to act as a cook and as a lookout to avoid the ship being detected, in exchange for food. He was ill at the time of boarding the ship.</w:t>
      </w:r>
    </w:p>
    <w:p w:rsidR="00701338" w:rsidRPr="00C87924" w:rsidRDefault="00701338" w:rsidP="00701338">
      <w:pPr>
        <w:jc w:val="both"/>
        <w:rPr>
          <w:sz w:val="20"/>
          <w:szCs w:val="20"/>
        </w:rPr>
      </w:pPr>
    </w:p>
    <w:p w:rsidR="00701338" w:rsidRPr="00C87924" w:rsidRDefault="00701338" w:rsidP="00701338">
      <w:pPr>
        <w:jc w:val="both"/>
        <w:rPr>
          <w:sz w:val="20"/>
          <w:szCs w:val="20"/>
        </w:rPr>
      </w:pPr>
      <w:r w:rsidRPr="00C87924">
        <w:rPr>
          <w:sz w:val="20"/>
          <w:szCs w:val="20"/>
        </w:rPr>
        <w:t>Upon arriving in Canada, B306 submitted a refugee claim, but the Board determined that he was inadmissible to Canada under s. 37(1)(</w:t>
      </w:r>
      <w:r w:rsidRPr="00C87924">
        <w:rPr>
          <w:i/>
          <w:sz w:val="20"/>
          <w:szCs w:val="20"/>
        </w:rPr>
        <w:t>b</w:t>
      </w:r>
      <w:r w:rsidRPr="00C87924">
        <w:rPr>
          <w:sz w:val="20"/>
          <w:szCs w:val="20"/>
        </w:rPr>
        <w:t xml:space="preserve">) of the </w:t>
      </w:r>
      <w:r w:rsidRPr="00C87924">
        <w:rPr>
          <w:i/>
          <w:sz w:val="20"/>
          <w:szCs w:val="20"/>
        </w:rPr>
        <w:t>IRPA</w:t>
      </w:r>
      <w:r w:rsidRPr="00C87924">
        <w:rPr>
          <w:sz w:val="20"/>
          <w:szCs w:val="20"/>
        </w:rPr>
        <w:t xml:space="preserve">, because he had engaged, in the context of a transnational crime, in people smuggling. </w:t>
      </w:r>
    </w:p>
    <w:p w:rsidR="00701338" w:rsidRPr="00C87924" w:rsidRDefault="00701338" w:rsidP="00701338">
      <w:pPr>
        <w:widowControl w:val="0"/>
        <w:jc w:val="both"/>
        <w:rPr>
          <w:sz w:val="20"/>
          <w:szCs w:val="20"/>
        </w:rPr>
      </w:pPr>
    </w:p>
    <w:p w:rsidR="00701338" w:rsidRPr="00C87924" w:rsidRDefault="00701338" w:rsidP="00701338">
      <w:pPr>
        <w:widowControl w:val="0"/>
        <w:jc w:val="both"/>
        <w:rPr>
          <w:sz w:val="20"/>
          <w:szCs w:val="20"/>
        </w:rPr>
      </w:pPr>
    </w:p>
    <w:p w:rsidR="00701338" w:rsidRPr="00C87924" w:rsidRDefault="00701338" w:rsidP="00701338">
      <w:pPr>
        <w:widowControl w:val="0"/>
        <w:ind w:left="2880" w:hanging="2880"/>
        <w:jc w:val="both"/>
        <w:rPr>
          <w:sz w:val="20"/>
          <w:szCs w:val="20"/>
        </w:rPr>
      </w:pPr>
      <w:r w:rsidRPr="00C87924">
        <w:rPr>
          <w:sz w:val="20"/>
          <w:szCs w:val="20"/>
        </w:rPr>
        <w:t>Origin of the case:</w:t>
      </w:r>
      <w:r w:rsidRPr="00C87924">
        <w:rPr>
          <w:sz w:val="20"/>
          <w:szCs w:val="20"/>
        </w:rPr>
        <w:tab/>
        <w:t>Federal Court of Appeal</w:t>
      </w:r>
    </w:p>
    <w:p w:rsidR="00701338" w:rsidRPr="00C87924" w:rsidRDefault="00701338" w:rsidP="00701338">
      <w:pPr>
        <w:widowControl w:val="0"/>
        <w:ind w:left="2880" w:hanging="2880"/>
        <w:jc w:val="both"/>
        <w:rPr>
          <w:sz w:val="20"/>
          <w:szCs w:val="20"/>
        </w:rPr>
      </w:pPr>
    </w:p>
    <w:p w:rsidR="00701338" w:rsidRPr="00C87924" w:rsidRDefault="00701338" w:rsidP="00701338">
      <w:pPr>
        <w:widowControl w:val="0"/>
        <w:ind w:left="2880" w:hanging="2880"/>
        <w:jc w:val="both"/>
        <w:rPr>
          <w:sz w:val="20"/>
          <w:szCs w:val="20"/>
        </w:rPr>
      </w:pPr>
      <w:r w:rsidRPr="00C87924">
        <w:rPr>
          <w:sz w:val="20"/>
          <w:szCs w:val="20"/>
        </w:rPr>
        <w:t>File No.:</w:t>
      </w:r>
      <w:r w:rsidRPr="00C87924">
        <w:rPr>
          <w:sz w:val="20"/>
          <w:szCs w:val="20"/>
        </w:rPr>
        <w:tab/>
        <w:t>35685</w:t>
      </w:r>
    </w:p>
    <w:p w:rsidR="00701338" w:rsidRPr="00C87924" w:rsidRDefault="00701338" w:rsidP="00701338">
      <w:pPr>
        <w:widowControl w:val="0"/>
        <w:ind w:left="2880" w:hanging="2880"/>
        <w:jc w:val="both"/>
        <w:rPr>
          <w:sz w:val="20"/>
          <w:szCs w:val="20"/>
        </w:rPr>
      </w:pPr>
    </w:p>
    <w:p w:rsidR="00701338" w:rsidRPr="00C87924" w:rsidRDefault="00701338" w:rsidP="00701338">
      <w:pPr>
        <w:widowControl w:val="0"/>
        <w:ind w:left="2880" w:hanging="2880"/>
        <w:jc w:val="both"/>
        <w:rPr>
          <w:sz w:val="20"/>
          <w:szCs w:val="20"/>
        </w:rPr>
      </w:pPr>
      <w:r w:rsidRPr="00C87924">
        <w:rPr>
          <w:sz w:val="20"/>
          <w:szCs w:val="20"/>
        </w:rPr>
        <w:t>Judgment of the Court of Appeal:</w:t>
      </w:r>
      <w:r w:rsidRPr="00C87924">
        <w:rPr>
          <w:sz w:val="20"/>
          <w:szCs w:val="20"/>
        </w:rPr>
        <w:tab/>
        <w:t>November 12, 2013</w:t>
      </w:r>
    </w:p>
    <w:p w:rsidR="00701338" w:rsidRPr="00C87924" w:rsidRDefault="00701338" w:rsidP="00701338">
      <w:pPr>
        <w:widowControl w:val="0"/>
        <w:ind w:left="2880" w:hanging="2880"/>
        <w:jc w:val="both"/>
        <w:rPr>
          <w:sz w:val="20"/>
          <w:szCs w:val="20"/>
        </w:rPr>
      </w:pPr>
    </w:p>
    <w:p w:rsidR="00701338" w:rsidRPr="00C87924" w:rsidRDefault="00701338" w:rsidP="00701338">
      <w:pPr>
        <w:widowControl w:val="0"/>
        <w:ind w:left="2880" w:hanging="2880"/>
        <w:jc w:val="both"/>
        <w:rPr>
          <w:sz w:val="20"/>
          <w:szCs w:val="20"/>
        </w:rPr>
      </w:pPr>
      <w:r w:rsidRPr="00C87924">
        <w:rPr>
          <w:sz w:val="20"/>
          <w:szCs w:val="20"/>
        </w:rPr>
        <w:t>Counsel:</w:t>
      </w:r>
      <w:r w:rsidRPr="00C87924">
        <w:rPr>
          <w:sz w:val="20"/>
          <w:szCs w:val="20"/>
        </w:rPr>
        <w:tab/>
        <w:t>Raoul Boulakia for the Appellant</w:t>
      </w:r>
    </w:p>
    <w:p w:rsidR="00701338" w:rsidRPr="00C87924" w:rsidRDefault="00701338" w:rsidP="00701338">
      <w:pPr>
        <w:widowControl w:val="0"/>
        <w:ind w:left="2880" w:hanging="2880"/>
        <w:jc w:val="both"/>
        <w:rPr>
          <w:sz w:val="20"/>
          <w:szCs w:val="20"/>
        </w:rPr>
      </w:pPr>
      <w:r w:rsidRPr="00C87924">
        <w:rPr>
          <w:sz w:val="20"/>
          <w:szCs w:val="20"/>
        </w:rPr>
        <w:tab/>
        <w:t>Marianne Zoric and François Joyal for the Respondent</w:t>
      </w:r>
    </w:p>
    <w:p w:rsidR="00D96A7D" w:rsidRPr="00701338" w:rsidRDefault="00D96A7D">
      <w:pPr>
        <w:rPr>
          <w:sz w:val="20"/>
          <w:szCs w:val="20"/>
        </w:rPr>
      </w:pPr>
    </w:p>
    <w:p w:rsidR="00D96A7D" w:rsidRDefault="00E42AAB">
      <w:pPr>
        <w:rPr>
          <w:sz w:val="20"/>
          <w:szCs w:val="20"/>
          <w:lang w:val="fr-CA"/>
        </w:rPr>
      </w:pPr>
      <w:r>
        <w:rPr>
          <w:sz w:val="20"/>
          <w:szCs w:val="20"/>
          <w:lang w:val="fr-CA"/>
        </w:rPr>
        <w:pict>
          <v:rect id="_x0000_i1137" style="width:2in;height:1pt" o:hrpct="0" o:hralign="center" o:hrstd="t" o:hrnoshade="t" o:hr="t" fillcolor="black [3213]" stroked="f"/>
        </w:pict>
      </w:r>
    </w:p>
    <w:p w:rsidR="00D96A7D" w:rsidRDefault="00D96A7D">
      <w:pPr>
        <w:rPr>
          <w:sz w:val="20"/>
          <w:szCs w:val="20"/>
          <w:lang w:val="fr-CA"/>
        </w:rPr>
      </w:pPr>
      <w:r>
        <w:rPr>
          <w:sz w:val="20"/>
          <w:szCs w:val="20"/>
          <w:lang w:val="fr-CA"/>
        </w:rPr>
        <w:br w:type="page"/>
      </w:r>
    </w:p>
    <w:p w:rsidR="00701338" w:rsidRPr="009E35EE" w:rsidRDefault="006F7944" w:rsidP="00701338">
      <w:pPr>
        <w:widowControl w:val="0"/>
        <w:ind w:left="720" w:hanging="720"/>
        <w:contextualSpacing/>
        <w:jc w:val="both"/>
        <w:rPr>
          <w:sz w:val="20"/>
          <w:szCs w:val="20"/>
          <w:lang w:val="fr-CA"/>
        </w:rPr>
      </w:pPr>
      <w:r w:rsidRPr="009E35EE">
        <w:rPr>
          <w:b/>
          <w:sz w:val="20"/>
          <w:szCs w:val="20"/>
          <w:lang w:val="fr-CA"/>
        </w:rPr>
        <w:lastRenderedPageBreak/>
        <w:fldChar w:fldCharType="begin"/>
      </w:r>
      <w:r w:rsidR="00701338" w:rsidRPr="009E35EE">
        <w:rPr>
          <w:b/>
          <w:sz w:val="20"/>
          <w:szCs w:val="20"/>
          <w:lang w:val="fr-CA"/>
        </w:rPr>
        <w:instrText xml:space="preserve"> SEQ CHAPTER \h \r 1</w:instrText>
      </w:r>
      <w:r w:rsidRPr="009E35EE">
        <w:rPr>
          <w:b/>
          <w:sz w:val="20"/>
          <w:szCs w:val="20"/>
          <w:lang w:val="fr-CA"/>
        </w:rPr>
        <w:fldChar w:fldCharType="end"/>
      </w:r>
      <w:r w:rsidR="00701338" w:rsidRPr="009E35EE">
        <w:rPr>
          <w:b/>
          <w:sz w:val="20"/>
          <w:szCs w:val="20"/>
          <w:lang w:val="fr-CA"/>
        </w:rPr>
        <w:t>35685</w:t>
      </w:r>
      <w:r w:rsidR="00701338" w:rsidRPr="009E35EE">
        <w:rPr>
          <w:sz w:val="20"/>
          <w:szCs w:val="20"/>
          <w:lang w:val="fr-CA"/>
        </w:rPr>
        <w:tab/>
      </w:r>
      <w:r w:rsidR="00701338" w:rsidRPr="009E35EE">
        <w:rPr>
          <w:b/>
          <w:i/>
          <w:sz w:val="20"/>
          <w:szCs w:val="20"/>
          <w:lang w:val="fr-CA"/>
        </w:rPr>
        <w:t>B306 c. Ministre de la Sécurité publique et de la Protection civile</w:t>
      </w:r>
    </w:p>
    <w:p w:rsidR="00701338" w:rsidRPr="009E35EE" w:rsidRDefault="00701338" w:rsidP="00701338">
      <w:pPr>
        <w:widowControl w:val="0"/>
        <w:jc w:val="both"/>
        <w:rPr>
          <w:sz w:val="20"/>
          <w:szCs w:val="20"/>
          <w:lang w:val="fr-CA"/>
        </w:rPr>
      </w:pPr>
    </w:p>
    <w:p w:rsidR="00701338" w:rsidRPr="009E35EE" w:rsidRDefault="00701338" w:rsidP="00701338">
      <w:pPr>
        <w:widowControl w:val="0"/>
        <w:jc w:val="both"/>
        <w:rPr>
          <w:smallCaps/>
          <w:sz w:val="20"/>
          <w:szCs w:val="20"/>
          <w:lang w:val="fr-CA"/>
        </w:rPr>
      </w:pPr>
      <w:r w:rsidRPr="009E35EE">
        <w:rPr>
          <w:smallCaps/>
          <w:sz w:val="20"/>
          <w:szCs w:val="20"/>
          <w:lang w:val="fr-CA"/>
        </w:rPr>
        <w:t>Ordonnance de non-publication dans le dossier</w:t>
      </w:r>
    </w:p>
    <w:p w:rsidR="00701338" w:rsidRPr="009E35EE" w:rsidRDefault="00701338" w:rsidP="00701338">
      <w:pPr>
        <w:widowControl w:val="0"/>
        <w:jc w:val="both"/>
        <w:rPr>
          <w:sz w:val="20"/>
          <w:szCs w:val="20"/>
          <w:lang w:val="fr-CA"/>
        </w:rPr>
      </w:pPr>
    </w:p>
    <w:p w:rsidR="00701338" w:rsidRPr="009E35EE" w:rsidRDefault="00701338" w:rsidP="00701338">
      <w:pPr>
        <w:widowControl w:val="0"/>
        <w:jc w:val="both"/>
        <w:rPr>
          <w:sz w:val="20"/>
          <w:szCs w:val="20"/>
          <w:lang w:val="fr-CA"/>
        </w:rPr>
      </w:pPr>
      <w:r w:rsidRPr="009E35EE">
        <w:rPr>
          <w:i/>
          <w:sz w:val="20"/>
          <w:szCs w:val="20"/>
          <w:lang w:val="fr-CA"/>
        </w:rPr>
        <w:t>Charte des droits et libertés</w:t>
      </w:r>
      <w:r w:rsidRPr="009E35EE">
        <w:rPr>
          <w:sz w:val="20"/>
          <w:szCs w:val="20"/>
          <w:lang w:val="fr-CA"/>
        </w:rPr>
        <w:t xml:space="preserve"> - Droit à la vie, à la liberté et à la sécurité de la personne - Droit de l’immigration - Interdiction de territoire et renvoi - Interdiction de territoire en application de l’al. 37(1)</w:t>
      </w:r>
      <w:r w:rsidRPr="009E35EE">
        <w:rPr>
          <w:i/>
          <w:sz w:val="20"/>
          <w:szCs w:val="20"/>
          <w:lang w:val="fr-CA"/>
        </w:rPr>
        <w:t>b)</w:t>
      </w:r>
      <w:r w:rsidRPr="009E35EE">
        <w:rPr>
          <w:sz w:val="20"/>
          <w:szCs w:val="20"/>
          <w:lang w:val="fr-CA"/>
        </w:rPr>
        <w:t xml:space="preserve"> de la </w:t>
      </w:r>
      <w:r w:rsidRPr="009E35EE">
        <w:rPr>
          <w:i/>
          <w:sz w:val="20"/>
          <w:szCs w:val="20"/>
          <w:lang w:val="fr-CA"/>
        </w:rPr>
        <w:t>Loi sur l’immigration et la protection des réfugiés</w:t>
      </w:r>
      <w:r w:rsidRPr="009E35EE">
        <w:rPr>
          <w:sz w:val="20"/>
          <w:szCs w:val="20"/>
          <w:lang w:val="fr-CA"/>
        </w:rPr>
        <w:t>, L.C. 2001, ch. 27 (« LIPR ») pour criminalité organisée, c’est-à-dire pour s’être livré, dans le cadre de la criminalité transnationale, à des activités telles le passage de clandestins - Quelle est la norme de contrôle à l’égard de l’interprétation, par la Section de l’immigration de la Commission de l’immigration et du statut de réfugié, de la portée de l’al. 37(1)</w:t>
      </w:r>
      <w:r w:rsidRPr="009E35EE">
        <w:rPr>
          <w:i/>
          <w:sz w:val="20"/>
          <w:szCs w:val="20"/>
          <w:lang w:val="fr-CA"/>
        </w:rPr>
        <w:t>b)</w:t>
      </w:r>
      <w:r w:rsidRPr="009E35EE">
        <w:rPr>
          <w:sz w:val="20"/>
          <w:szCs w:val="20"/>
          <w:lang w:val="fr-CA"/>
        </w:rPr>
        <w:t>? - Quelle est la portée de l’al. 31(1)</w:t>
      </w:r>
      <w:r w:rsidRPr="009E35EE">
        <w:rPr>
          <w:i/>
          <w:sz w:val="20"/>
          <w:szCs w:val="20"/>
          <w:lang w:val="fr-CA"/>
        </w:rPr>
        <w:t>b)</w:t>
      </w:r>
      <w:r w:rsidRPr="009E35EE">
        <w:rPr>
          <w:sz w:val="20"/>
          <w:szCs w:val="20"/>
          <w:lang w:val="fr-CA"/>
        </w:rPr>
        <w:t>? - L’art. 7 de la Charte entre-t-il en jeu dans le processus d’interdiction de territoire devant la Commission?</w:t>
      </w:r>
    </w:p>
    <w:p w:rsidR="00701338" w:rsidRPr="009E35EE" w:rsidRDefault="00701338" w:rsidP="00701338">
      <w:pPr>
        <w:widowControl w:val="0"/>
        <w:jc w:val="both"/>
        <w:rPr>
          <w:sz w:val="20"/>
          <w:szCs w:val="20"/>
          <w:lang w:val="fr-CA"/>
        </w:rPr>
      </w:pPr>
    </w:p>
    <w:p w:rsidR="00701338" w:rsidRPr="009E35EE" w:rsidRDefault="00701338" w:rsidP="00701338">
      <w:pPr>
        <w:jc w:val="both"/>
        <w:rPr>
          <w:sz w:val="20"/>
          <w:szCs w:val="20"/>
          <w:lang w:val="fr-CA"/>
        </w:rPr>
      </w:pPr>
      <w:r w:rsidRPr="009E35EE">
        <w:rPr>
          <w:sz w:val="20"/>
          <w:szCs w:val="20"/>
          <w:lang w:val="fr-CA"/>
        </w:rPr>
        <w:t xml:space="preserve">B306, un jeune Tamoul du nord du Sri Lanka, est l’un des 492 ressortissants sri-lankais qui sont arrivés au Canada en 2010 à bord du </w:t>
      </w:r>
      <w:r w:rsidRPr="009E35EE">
        <w:rPr>
          <w:i/>
          <w:sz w:val="20"/>
          <w:szCs w:val="20"/>
          <w:lang w:val="fr-CA"/>
        </w:rPr>
        <w:t>MV Sun Sea</w:t>
      </w:r>
      <w:r w:rsidRPr="009E35EE">
        <w:rPr>
          <w:sz w:val="20"/>
          <w:szCs w:val="20"/>
          <w:lang w:val="fr-CA"/>
        </w:rPr>
        <w:t>, cherchant à faire une demande d’asile. Après être monté à bord du navire en Thaïlande, B306 s’est porté volontaire pour travailler comme cuisinier et comme vigie pour éviter que le navire soit détecté, en échange de nourriture. Il était malade au moment de monter à bord du navire.</w:t>
      </w:r>
    </w:p>
    <w:p w:rsidR="00701338" w:rsidRPr="009E35EE" w:rsidRDefault="00701338" w:rsidP="00701338">
      <w:pPr>
        <w:jc w:val="both"/>
        <w:rPr>
          <w:sz w:val="20"/>
          <w:szCs w:val="20"/>
          <w:lang w:val="fr-CA"/>
        </w:rPr>
      </w:pPr>
    </w:p>
    <w:p w:rsidR="00701338" w:rsidRPr="009E35EE" w:rsidRDefault="00701338" w:rsidP="00701338">
      <w:pPr>
        <w:jc w:val="both"/>
        <w:rPr>
          <w:sz w:val="20"/>
          <w:szCs w:val="20"/>
          <w:lang w:val="fr-CA"/>
        </w:rPr>
      </w:pPr>
      <w:r w:rsidRPr="009E35EE">
        <w:rPr>
          <w:sz w:val="20"/>
          <w:szCs w:val="20"/>
          <w:lang w:val="fr-CA"/>
        </w:rPr>
        <w:t>À son arrivée au Canada, B306 a fait une demande d’asile, mais la Commission a conclu que B306 était interdit de territoire au Canada, en application de l’al. 37(1)</w:t>
      </w:r>
      <w:r w:rsidRPr="009E35EE">
        <w:rPr>
          <w:i/>
          <w:sz w:val="20"/>
          <w:szCs w:val="20"/>
          <w:lang w:val="fr-CA"/>
        </w:rPr>
        <w:t>b</w:t>
      </w:r>
      <w:r w:rsidRPr="009E35EE">
        <w:rPr>
          <w:sz w:val="20"/>
          <w:szCs w:val="20"/>
          <w:lang w:val="fr-CA"/>
        </w:rPr>
        <w:t xml:space="preserve">) de la </w:t>
      </w:r>
      <w:r w:rsidRPr="009E35EE">
        <w:rPr>
          <w:i/>
          <w:sz w:val="20"/>
          <w:szCs w:val="20"/>
          <w:lang w:val="fr-CA"/>
        </w:rPr>
        <w:t>LIPR</w:t>
      </w:r>
      <w:r w:rsidRPr="009E35EE">
        <w:rPr>
          <w:sz w:val="20"/>
          <w:szCs w:val="20"/>
          <w:lang w:val="fr-CA"/>
        </w:rPr>
        <w:t xml:space="preserve">, parce qu’il s’était livré au passage de clandestins dans le cadre de la criminalité transnationale. </w:t>
      </w:r>
    </w:p>
    <w:p w:rsidR="00701338" w:rsidRPr="009E35EE" w:rsidRDefault="00701338" w:rsidP="00701338">
      <w:pPr>
        <w:widowControl w:val="0"/>
        <w:jc w:val="both"/>
        <w:rPr>
          <w:sz w:val="20"/>
          <w:szCs w:val="20"/>
          <w:lang w:val="fr-CA"/>
        </w:rPr>
      </w:pPr>
    </w:p>
    <w:p w:rsidR="00701338" w:rsidRPr="009E35EE" w:rsidRDefault="00701338" w:rsidP="00701338">
      <w:pPr>
        <w:widowControl w:val="0"/>
        <w:jc w:val="both"/>
        <w:rPr>
          <w:sz w:val="20"/>
          <w:szCs w:val="20"/>
          <w:lang w:val="fr-CA"/>
        </w:rPr>
      </w:pPr>
    </w:p>
    <w:p w:rsidR="00701338" w:rsidRPr="009E35EE" w:rsidRDefault="00701338" w:rsidP="00701338">
      <w:pPr>
        <w:widowControl w:val="0"/>
        <w:ind w:left="2880" w:hanging="2880"/>
        <w:jc w:val="both"/>
        <w:rPr>
          <w:sz w:val="20"/>
          <w:szCs w:val="20"/>
          <w:lang w:val="fr-CA"/>
        </w:rPr>
      </w:pPr>
      <w:r w:rsidRPr="009E35EE">
        <w:rPr>
          <w:sz w:val="20"/>
          <w:szCs w:val="20"/>
          <w:lang w:val="fr-CA"/>
        </w:rPr>
        <w:t>Origine :</w:t>
      </w:r>
      <w:r w:rsidRPr="009E35EE">
        <w:rPr>
          <w:sz w:val="20"/>
          <w:szCs w:val="20"/>
          <w:lang w:val="fr-CA"/>
        </w:rPr>
        <w:tab/>
        <w:t>Cour d’appel fédérale</w:t>
      </w:r>
    </w:p>
    <w:p w:rsidR="00701338" w:rsidRPr="009E35EE" w:rsidRDefault="00701338" w:rsidP="00701338">
      <w:pPr>
        <w:widowControl w:val="0"/>
        <w:ind w:left="2880" w:hanging="2880"/>
        <w:jc w:val="both"/>
        <w:rPr>
          <w:sz w:val="20"/>
          <w:szCs w:val="20"/>
          <w:lang w:val="fr-CA"/>
        </w:rPr>
      </w:pPr>
    </w:p>
    <w:p w:rsidR="00701338" w:rsidRPr="009E35EE" w:rsidRDefault="00701338" w:rsidP="00701338">
      <w:pPr>
        <w:widowControl w:val="0"/>
        <w:ind w:left="2880" w:hanging="2880"/>
        <w:jc w:val="both"/>
        <w:rPr>
          <w:sz w:val="20"/>
          <w:szCs w:val="20"/>
          <w:lang w:val="fr-CA"/>
        </w:rPr>
      </w:pPr>
      <w:r w:rsidRPr="009E35EE">
        <w:rPr>
          <w:sz w:val="20"/>
          <w:szCs w:val="20"/>
          <w:lang w:val="fr-CA"/>
        </w:rPr>
        <w:t>N</w:t>
      </w:r>
      <w:r w:rsidRPr="009E35EE">
        <w:rPr>
          <w:sz w:val="20"/>
          <w:szCs w:val="20"/>
          <w:vertAlign w:val="superscript"/>
          <w:lang w:val="fr-CA"/>
        </w:rPr>
        <w:t>o</w:t>
      </w:r>
      <w:r w:rsidRPr="009E35EE">
        <w:rPr>
          <w:sz w:val="20"/>
          <w:szCs w:val="20"/>
          <w:lang w:val="fr-CA"/>
        </w:rPr>
        <w:t xml:space="preserve"> du greffe :</w:t>
      </w:r>
      <w:r w:rsidRPr="009E35EE">
        <w:rPr>
          <w:sz w:val="20"/>
          <w:szCs w:val="20"/>
          <w:lang w:val="fr-CA"/>
        </w:rPr>
        <w:tab/>
        <w:t>35685</w:t>
      </w:r>
    </w:p>
    <w:p w:rsidR="00701338" w:rsidRPr="009E35EE" w:rsidRDefault="00701338" w:rsidP="00701338">
      <w:pPr>
        <w:widowControl w:val="0"/>
        <w:ind w:left="2880" w:hanging="2880"/>
        <w:jc w:val="both"/>
        <w:rPr>
          <w:sz w:val="20"/>
          <w:szCs w:val="20"/>
          <w:lang w:val="fr-CA"/>
        </w:rPr>
      </w:pPr>
    </w:p>
    <w:p w:rsidR="00701338" w:rsidRPr="009E35EE" w:rsidRDefault="00701338" w:rsidP="00701338">
      <w:pPr>
        <w:widowControl w:val="0"/>
        <w:ind w:left="2880" w:hanging="2880"/>
        <w:jc w:val="both"/>
        <w:rPr>
          <w:sz w:val="20"/>
          <w:szCs w:val="20"/>
          <w:lang w:val="fr-CA"/>
        </w:rPr>
      </w:pPr>
      <w:r w:rsidRPr="009E35EE">
        <w:rPr>
          <w:sz w:val="20"/>
          <w:szCs w:val="20"/>
          <w:lang w:val="fr-CA"/>
        </w:rPr>
        <w:t>Arrêt de la Cour fédérale :</w:t>
      </w:r>
      <w:r w:rsidRPr="009E35EE">
        <w:rPr>
          <w:sz w:val="20"/>
          <w:szCs w:val="20"/>
          <w:lang w:val="fr-CA"/>
        </w:rPr>
        <w:tab/>
        <w:t>le 12 novembre 2013</w:t>
      </w:r>
    </w:p>
    <w:p w:rsidR="00701338" w:rsidRPr="009E35EE" w:rsidRDefault="00701338" w:rsidP="00701338">
      <w:pPr>
        <w:widowControl w:val="0"/>
        <w:ind w:left="2880" w:hanging="2880"/>
        <w:jc w:val="both"/>
        <w:rPr>
          <w:sz w:val="20"/>
          <w:szCs w:val="20"/>
          <w:lang w:val="fr-CA"/>
        </w:rPr>
      </w:pPr>
    </w:p>
    <w:p w:rsidR="00701338" w:rsidRPr="009E35EE" w:rsidRDefault="00701338" w:rsidP="00701338">
      <w:pPr>
        <w:widowControl w:val="0"/>
        <w:ind w:left="2880" w:hanging="2880"/>
        <w:jc w:val="both"/>
        <w:rPr>
          <w:sz w:val="20"/>
          <w:szCs w:val="20"/>
          <w:lang w:val="fr-CA"/>
        </w:rPr>
      </w:pPr>
      <w:r w:rsidRPr="009E35EE">
        <w:rPr>
          <w:sz w:val="20"/>
          <w:szCs w:val="20"/>
          <w:lang w:val="fr-CA"/>
        </w:rPr>
        <w:t>Avocats :</w:t>
      </w:r>
      <w:r w:rsidRPr="009E35EE">
        <w:rPr>
          <w:sz w:val="20"/>
          <w:szCs w:val="20"/>
          <w:lang w:val="fr-CA"/>
        </w:rPr>
        <w:tab/>
        <w:t>Raoul Boulakia pour l’appelant</w:t>
      </w:r>
    </w:p>
    <w:p w:rsidR="00701338" w:rsidRPr="009E35EE" w:rsidRDefault="00701338" w:rsidP="00701338">
      <w:pPr>
        <w:widowControl w:val="0"/>
        <w:ind w:left="2880" w:hanging="2880"/>
        <w:jc w:val="both"/>
        <w:rPr>
          <w:sz w:val="20"/>
          <w:szCs w:val="20"/>
          <w:lang w:val="fr-CA"/>
        </w:rPr>
      </w:pPr>
      <w:r w:rsidRPr="009E35EE">
        <w:rPr>
          <w:sz w:val="20"/>
          <w:szCs w:val="20"/>
          <w:lang w:val="fr-CA"/>
        </w:rPr>
        <w:tab/>
        <w:t>Marianne Zoric et François Joyal pour l’intimé</w:t>
      </w:r>
    </w:p>
    <w:p w:rsidR="00D96A7D" w:rsidRDefault="00D96A7D">
      <w:pPr>
        <w:rPr>
          <w:sz w:val="20"/>
          <w:szCs w:val="20"/>
          <w:lang w:val="fr-CA"/>
        </w:rPr>
      </w:pPr>
    </w:p>
    <w:p w:rsidR="00D96A7D" w:rsidRDefault="00E42AAB">
      <w:pPr>
        <w:rPr>
          <w:sz w:val="20"/>
          <w:szCs w:val="20"/>
          <w:lang w:val="fr-CA"/>
        </w:rPr>
      </w:pPr>
      <w:r>
        <w:rPr>
          <w:sz w:val="20"/>
          <w:szCs w:val="20"/>
          <w:lang w:val="fr-CA"/>
        </w:rPr>
        <w:pict>
          <v:rect id="_x0000_i1138" style="width:2in;height:1pt" o:hrpct="0" o:hralign="center" o:hrstd="t" o:hrnoshade="t" o:hr="t" fillcolor="black [3213]" stroked="f"/>
        </w:pict>
      </w:r>
    </w:p>
    <w:p w:rsidR="00D96A7D" w:rsidRDefault="00D96A7D">
      <w:pPr>
        <w:rPr>
          <w:sz w:val="20"/>
          <w:szCs w:val="20"/>
          <w:lang w:val="fr-CA"/>
        </w:rPr>
      </w:pPr>
      <w:r>
        <w:rPr>
          <w:sz w:val="20"/>
          <w:szCs w:val="20"/>
          <w:lang w:val="fr-CA"/>
        </w:rPr>
        <w:br w:type="page"/>
      </w:r>
    </w:p>
    <w:p w:rsidR="000D6D9D" w:rsidRPr="00BC63C6" w:rsidRDefault="006F7944" w:rsidP="000D6D9D">
      <w:pPr>
        <w:widowControl w:val="0"/>
        <w:ind w:left="720" w:hanging="720"/>
        <w:contextualSpacing/>
        <w:jc w:val="both"/>
        <w:rPr>
          <w:sz w:val="20"/>
          <w:szCs w:val="20"/>
        </w:rPr>
      </w:pPr>
      <w:r w:rsidRPr="00BC63C6">
        <w:rPr>
          <w:b/>
          <w:sz w:val="20"/>
          <w:szCs w:val="20"/>
        </w:rPr>
        <w:lastRenderedPageBreak/>
        <w:fldChar w:fldCharType="begin"/>
      </w:r>
      <w:r w:rsidR="000D6D9D" w:rsidRPr="00BC63C6">
        <w:rPr>
          <w:b/>
          <w:sz w:val="20"/>
          <w:szCs w:val="20"/>
        </w:rPr>
        <w:instrText xml:space="preserve"> SEQ CHAPTER \h \r 1</w:instrText>
      </w:r>
      <w:r w:rsidRPr="00BC63C6">
        <w:rPr>
          <w:b/>
          <w:sz w:val="20"/>
          <w:szCs w:val="20"/>
        </w:rPr>
        <w:fldChar w:fldCharType="end"/>
      </w:r>
      <w:r w:rsidR="000D6D9D" w:rsidRPr="00BC63C6">
        <w:rPr>
          <w:b/>
          <w:sz w:val="20"/>
          <w:szCs w:val="20"/>
        </w:rPr>
        <w:t>35688</w:t>
      </w:r>
      <w:r w:rsidR="000D6D9D" w:rsidRPr="00BC63C6">
        <w:rPr>
          <w:sz w:val="20"/>
          <w:szCs w:val="20"/>
        </w:rPr>
        <w:tab/>
      </w:r>
      <w:r w:rsidR="000D6D9D" w:rsidRPr="00BC63C6">
        <w:rPr>
          <w:b/>
          <w:i/>
          <w:sz w:val="20"/>
          <w:szCs w:val="20"/>
        </w:rPr>
        <w:t>J.P. and G.J. v. Minister of Public Safety and Emergency Preparedness</w:t>
      </w:r>
    </w:p>
    <w:p w:rsidR="000D6D9D" w:rsidRPr="00BC63C6" w:rsidRDefault="000D6D9D" w:rsidP="000D6D9D">
      <w:pPr>
        <w:widowControl w:val="0"/>
        <w:jc w:val="both"/>
        <w:rPr>
          <w:sz w:val="20"/>
          <w:szCs w:val="20"/>
        </w:rPr>
      </w:pPr>
    </w:p>
    <w:p w:rsidR="000D6D9D" w:rsidRPr="00BC63C6" w:rsidRDefault="000D6D9D" w:rsidP="000D6D9D">
      <w:pPr>
        <w:widowControl w:val="0"/>
        <w:jc w:val="both"/>
        <w:rPr>
          <w:smallCaps/>
          <w:sz w:val="20"/>
          <w:szCs w:val="20"/>
        </w:rPr>
      </w:pPr>
      <w:r w:rsidRPr="00BC63C6">
        <w:rPr>
          <w:smallCaps/>
          <w:sz w:val="20"/>
          <w:szCs w:val="20"/>
        </w:rPr>
        <w:t xml:space="preserve">Publication </w:t>
      </w:r>
      <w:r>
        <w:rPr>
          <w:smallCaps/>
          <w:sz w:val="20"/>
          <w:szCs w:val="20"/>
        </w:rPr>
        <w:t>B</w:t>
      </w:r>
      <w:r w:rsidRPr="00BC63C6">
        <w:rPr>
          <w:smallCaps/>
          <w:sz w:val="20"/>
          <w:szCs w:val="20"/>
        </w:rPr>
        <w:t xml:space="preserve">an in </w:t>
      </w:r>
      <w:r>
        <w:rPr>
          <w:smallCaps/>
          <w:sz w:val="20"/>
          <w:szCs w:val="20"/>
        </w:rPr>
        <w:t>C</w:t>
      </w:r>
      <w:r w:rsidRPr="00BC63C6">
        <w:rPr>
          <w:smallCaps/>
          <w:sz w:val="20"/>
          <w:szCs w:val="20"/>
        </w:rPr>
        <w:t>ase</w:t>
      </w:r>
    </w:p>
    <w:p w:rsidR="000D6D9D" w:rsidRPr="00BC63C6" w:rsidRDefault="000D6D9D" w:rsidP="000D6D9D">
      <w:pPr>
        <w:widowControl w:val="0"/>
        <w:jc w:val="both"/>
        <w:rPr>
          <w:sz w:val="20"/>
          <w:szCs w:val="20"/>
        </w:rPr>
      </w:pPr>
    </w:p>
    <w:p w:rsidR="000D6D9D" w:rsidRPr="00BC63C6" w:rsidRDefault="000D6D9D" w:rsidP="000D6D9D">
      <w:pPr>
        <w:widowControl w:val="0"/>
        <w:jc w:val="both"/>
        <w:rPr>
          <w:sz w:val="20"/>
          <w:szCs w:val="20"/>
        </w:rPr>
      </w:pPr>
      <w:r w:rsidRPr="00BC63C6">
        <w:rPr>
          <w:i/>
          <w:sz w:val="20"/>
          <w:szCs w:val="20"/>
        </w:rPr>
        <w:t xml:space="preserve">Charter of Rights and Freedoms </w:t>
      </w:r>
      <w:r w:rsidRPr="00BC63C6">
        <w:rPr>
          <w:sz w:val="20"/>
          <w:szCs w:val="20"/>
        </w:rPr>
        <w:t>- Right to life, liberty and security of the person - Immigration law - Inadmissibility and removal - Inadmissibility under s. 37(1)(</w:t>
      </w:r>
      <w:r w:rsidRPr="00BC63C6">
        <w:rPr>
          <w:i/>
          <w:sz w:val="20"/>
          <w:szCs w:val="20"/>
        </w:rPr>
        <w:t>b</w:t>
      </w:r>
      <w:r w:rsidRPr="00BC63C6">
        <w:rPr>
          <w:sz w:val="20"/>
          <w:szCs w:val="20"/>
        </w:rPr>
        <w:t>) of the</w:t>
      </w:r>
      <w:r w:rsidRPr="00BC63C6">
        <w:rPr>
          <w:i/>
          <w:sz w:val="20"/>
          <w:szCs w:val="20"/>
        </w:rPr>
        <w:t xml:space="preserve"> Immigration and Refugee Protection Act</w:t>
      </w:r>
      <w:r w:rsidRPr="00BC63C6">
        <w:rPr>
          <w:sz w:val="20"/>
          <w:szCs w:val="20"/>
        </w:rPr>
        <w:t>, S.C. 2001, c. 27 (“</w:t>
      </w:r>
      <w:r w:rsidRPr="00BC63C6">
        <w:rPr>
          <w:i/>
          <w:sz w:val="20"/>
          <w:szCs w:val="20"/>
        </w:rPr>
        <w:t>IRPA</w:t>
      </w:r>
      <w:r w:rsidRPr="00BC63C6">
        <w:rPr>
          <w:sz w:val="20"/>
          <w:szCs w:val="20"/>
        </w:rPr>
        <w:t>”), on grounds of organized criminality for engaging, in the context of transnational crime, in activities such as people smuggling - What is the standard of review in respect of the Immigration Division of the Immigration and Refugee Protection Board’s interpretation of the scope of s. 37(1)(</w:t>
      </w:r>
      <w:r w:rsidRPr="00BC63C6">
        <w:rPr>
          <w:i/>
          <w:sz w:val="20"/>
          <w:szCs w:val="20"/>
        </w:rPr>
        <w:t>b</w:t>
      </w:r>
      <w:r w:rsidRPr="00BC63C6">
        <w:rPr>
          <w:sz w:val="20"/>
          <w:szCs w:val="20"/>
        </w:rPr>
        <w:t>)? - What is the scope of s. 37(1)(</w:t>
      </w:r>
      <w:r w:rsidRPr="00BC63C6">
        <w:rPr>
          <w:i/>
          <w:sz w:val="20"/>
          <w:szCs w:val="20"/>
        </w:rPr>
        <w:t>b</w:t>
      </w:r>
      <w:r w:rsidRPr="00BC63C6">
        <w:rPr>
          <w:sz w:val="20"/>
          <w:szCs w:val="20"/>
        </w:rPr>
        <w:t xml:space="preserve">)? - Is s. 7 of the </w:t>
      </w:r>
      <w:r w:rsidRPr="00BC63C6">
        <w:rPr>
          <w:i/>
          <w:sz w:val="20"/>
          <w:szCs w:val="20"/>
        </w:rPr>
        <w:t>Charter</w:t>
      </w:r>
      <w:r w:rsidRPr="00BC63C6">
        <w:rPr>
          <w:sz w:val="20"/>
          <w:szCs w:val="20"/>
        </w:rPr>
        <w:t xml:space="preserve"> engaged in the inadmissibility process before the Board?</w:t>
      </w:r>
    </w:p>
    <w:p w:rsidR="000D6D9D" w:rsidRPr="00BC63C6" w:rsidRDefault="000D6D9D" w:rsidP="000D6D9D">
      <w:pPr>
        <w:widowControl w:val="0"/>
        <w:jc w:val="both"/>
        <w:rPr>
          <w:sz w:val="20"/>
          <w:szCs w:val="20"/>
        </w:rPr>
      </w:pPr>
    </w:p>
    <w:p w:rsidR="000D6D9D" w:rsidRPr="00BC63C6" w:rsidRDefault="000D6D9D" w:rsidP="000D6D9D">
      <w:pPr>
        <w:jc w:val="both"/>
        <w:rPr>
          <w:sz w:val="20"/>
          <w:szCs w:val="20"/>
        </w:rPr>
      </w:pPr>
      <w:r w:rsidRPr="00BC63C6">
        <w:rPr>
          <w:sz w:val="20"/>
          <w:szCs w:val="20"/>
        </w:rPr>
        <w:t xml:space="preserve">J.P. and his wife G.J., Tamils from Sri Lanka, are two of the 492 Sri Lankan nationals who arrived in Canada in 2010 aboard the </w:t>
      </w:r>
      <w:r w:rsidRPr="00BC63C6">
        <w:rPr>
          <w:i/>
          <w:sz w:val="20"/>
          <w:szCs w:val="20"/>
        </w:rPr>
        <w:t>MV Sun Sea</w:t>
      </w:r>
      <w:r w:rsidRPr="00BC63C6">
        <w:rPr>
          <w:sz w:val="20"/>
          <w:szCs w:val="20"/>
        </w:rPr>
        <w:t xml:space="preserve">, seeking to make refugee protection claims. After the Thai crew abandoned the ship, J.P. was one of 12 passengers on board who operated the ship to complete the voyage. J.P. stood on lookout, read GPS and radar, and acted as an assistant navigator during the voyage. J.P. and G.J. lived in crew quarters, and thus benefited from more humane conditions on the ship than other travelers. </w:t>
      </w:r>
    </w:p>
    <w:p w:rsidR="000D6D9D" w:rsidRPr="00BC63C6" w:rsidRDefault="000D6D9D" w:rsidP="000D6D9D">
      <w:pPr>
        <w:tabs>
          <w:tab w:val="left" w:pos="2038"/>
        </w:tabs>
        <w:jc w:val="both"/>
        <w:rPr>
          <w:sz w:val="20"/>
          <w:szCs w:val="20"/>
        </w:rPr>
      </w:pPr>
    </w:p>
    <w:p w:rsidR="000D6D9D" w:rsidRPr="00BC63C6" w:rsidRDefault="000D6D9D" w:rsidP="000D6D9D">
      <w:pPr>
        <w:jc w:val="both"/>
        <w:rPr>
          <w:sz w:val="20"/>
          <w:szCs w:val="20"/>
        </w:rPr>
      </w:pPr>
      <w:r w:rsidRPr="00BC63C6">
        <w:rPr>
          <w:sz w:val="20"/>
          <w:szCs w:val="20"/>
        </w:rPr>
        <w:t xml:space="preserve">Upon arrival in Canada, they were detained by the Canada Border Services Agency. The Minister issued reports under s. 44(1) of the </w:t>
      </w:r>
      <w:r w:rsidRPr="00BC63C6">
        <w:rPr>
          <w:i/>
          <w:sz w:val="20"/>
          <w:szCs w:val="20"/>
        </w:rPr>
        <w:t xml:space="preserve">IRPA </w:t>
      </w:r>
      <w:r w:rsidRPr="00BC63C6">
        <w:rPr>
          <w:sz w:val="20"/>
          <w:szCs w:val="20"/>
        </w:rPr>
        <w:t xml:space="preserve">alleging that J.P. was inadmissible to Canada under s. 37(1)(b) of the </w:t>
      </w:r>
      <w:r w:rsidRPr="00BC63C6">
        <w:rPr>
          <w:i/>
          <w:sz w:val="20"/>
          <w:szCs w:val="20"/>
        </w:rPr>
        <w:t>IRPA</w:t>
      </w:r>
      <w:r w:rsidRPr="00BC63C6">
        <w:rPr>
          <w:sz w:val="20"/>
          <w:szCs w:val="20"/>
        </w:rPr>
        <w:t xml:space="preserve">, and that G.J. was inadmissible as an accompanying family member. </w:t>
      </w:r>
    </w:p>
    <w:p w:rsidR="000D6D9D" w:rsidRPr="00BC63C6" w:rsidRDefault="000D6D9D" w:rsidP="000D6D9D">
      <w:pPr>
        <w:widowControl w:val="0"/>
        <w:jc w:val="both"/>
        <w:rPr>
          <w:sz w:val="20"/>
          <w:szCs w:val="20"/>
        </w:rPr>
      </w:pPr>
    </w:p>
    <w:p w:rsidR="000D6D9D" w:rsidRPr="00BC63C6" w:rsidRDefault="000D6D9D" w:rsidP="000D6D9D">
      <w:pPr>
        <w:widowControl w:val="0"/>
        <w:jc w:val="both"/>
        <w:rPr>
          <w:sz w:val="20"/>
          <w:szCs w:val="20"/>
        </w:rPr>
      </w:pPr>
    </w:p>
    <w:p w:rsidR="000D6D9D" w:rsidRPr="00BC63C6" w:rsidRDefault="000D6D9D" w:rsidP="000D6D9D">
      <w:pPr>
        <w:widowControl w:val="0"/>
        <w:ind w:left="2880" w:hanging="2880"/>
        <w:jc w:val="both"/>
        <w:rPr>
          <w:sz w:val="20"/>
          <w:szCs w:val="20"/>
        </w:rPr>
      </w:pPr>
      <w:r w:rsidRPr="00BC63C6">
        <w:rPr>
          <w:sz w:val="20"/>
          <w:szCs w:val="20"/>
        </w:rPr>
        <w:t>Origin of the case:</w:t>
      </w:r>
      <w:r w:rsidRPr="00BC63C6">
        <w:rPr>
          <w:sz w:val="20"/>
          <w:szCs w:val="20"/>
        </w:rPr>
        <w:tab/>
        <w:t>Federal Court of Appeal</w:t>
      </w:r>
    </w:p>
    <w:p w:rsidR="000D6D9D" w:rsidRPr="00BC63C6" w:rsidRDefault="000D6D9D" w:rsidP="000D6D9D">
      <w:pPr>
        <w:widowControl w:val="0"/>
        <w:ind w:left="2880" w:hanging="2880"/>
        <w:jc w:val="both"/>
        <w:rPr>
          <w:sz w:val="20"/>
          <w:szCs w:val="20"/>
        </w:rPr>
      </w:pPr>
    </w:p>
    <w:p w:rsidR="000D6D9D" w:rsidRPr="00BC63C6" w:rsidRDefault="000D6D9D" w:rsidP="000D6D9D">
      <w:pPr>
        <w:widowControl w:val="0"/>
        <w:ind w:left="2880" w:hanging="2880"/>
        <w:jc w:val="both"/>
        <w:rPr>
          <w:sz w:val="20"/>
          <w:szCs w:val="20"/>
        </w:rPr>
      </w:pPr>
      <w:r w:rsidRPr="00BC63C6">
        <w:rPr>
          <w:sz w:val="20"/>
          <w:szCs w:val="20"/>
        </w:rPr>
        <w:t>File No.:</w:t>
      </w:r>
      <w:r w:rsidRPr="00BC63C6">
        <w:rPr>
          <w:sz w:val="20"/>
          <w:szCs w:val="20"/>
        </w:rPr>
        <w:tab/>
        <w:t>35688</w:t>
      </w:r>
    </w:p>
    <w:p w:rsidR="000D6D9D" w:rsidRPr="00BC63C6" w:rsidRDefault="000D6D9D" w:rsidP="000D6D9D">
      <w:pPr>
        <w:widowControl w:val="0"/>
        <w:ind w:left="2880" w:hanging="2880"/>
        <w:jc w:val="both"/>
        <w:rPr>
          <w:sz w:val="20"/>
          <w:szCs w:val="20"/>
        </w:rPr>
      </w:pPr>
    </w:p>
    <w:p w:rsidR="000D6D9D" w:rsidRPr="00BC63C6" w:rsidRDefault="000D6D9D" w:rsidP="000D6D9D">
      <w:pPr>
        <w:widowControl w:val="0"/>
        <w:ind w:left="2880" w:hanging="2880"/>
        <w:jc w:val="both"/>
        <w:rPr>
          <w:sz w:val="20"/>
          <w:szCs w:val="20"/>
        </w:rPr>
      </w:pPr>
      <w:r w:rsidRPr="00BC63C6">
        <w:rPr>
          <w:sz w:val="20"/>
          <w:szCs w:val="20"/>
        </w:rPr>
        <w:t>Judgment of the Court of Appeal:</w:t>
      </w:r>
      <w:r w:rsidRPr="00BC63C6">
        <w:rPr>
          <w:sz w:val="20"/>
          <w:szCs w:val="20"/>
        </w:rPr>
        <w:tab/>
        <w:t>November 12, 2013</w:t>
      </w:r>
    </w:p>
    <w:p w:rsidR="000D6D9D" w:rsidRPr="00BC63C6" w:rsidRDefault="000D6D9D" w:rsidP="000D6D9D">
      <w:pPr>
        <w:widowControl w:val="0"/>
        <w:ind w:left="2880" w:hanging="2880"/>
        <w:jc w:val="both"/>
        <w:rPr>
          <w:sz w:val="20"/>
          <w:szCs w:val="20"/>
        </w:rPr>
      </w:pPr>
    </w:p>
    <w:p w:rsidR="000D6D9D" w:rsidRPr="00BC63C6" w:rsidRDefault="000D6D9D" w:rsidP="000D6D9D">
      <w:pPr>
        <w:widowControl w:val="0"/>
        <w:ind w:left="2880" w:hanging="2880"/>
        <w:jc w:val="both"/>
        <w:rPr>
          <w:sz w:val="20"/>
          <w:szCs w:val="20"/>
        </w:rPr>
      </w:pPr>
      <w:r w:rsidRPr="00BC63C6">
        <w:rPr>
          <w:sz w:val="20"/>
          <w:szCs w:val="20"/>
        </w:rPr>
        <w:t>Counsel:</w:t>
      </w:r>
      <w:r w:rsidRPr="00BC63C6">
        <w:rPr>
          <w:sz w:val="20"/>
          <w:szCs w:val="20"/>
        </w:rPr>
        <w:tab/>
        <w:t>Lorne Waldman for the Appellants</w:t>
      </w:r>
    </w:p>
    <w:p w:rsidR="000D6D9D" w:rsidRPr="00BC63C6" w:rsidRDefault="000D6D9D" w:rsidP="000D6D9D">
      <w:pPr>
        <w:widowControl w:val="0"/>
        <w:ind w:left="2880" w:hanging="2880"/>
        <w:jc w:val="both"/>
        <w:rPr>
          <w:sz w:val="20"/>
          <w:szCs w:val="20"/>
        </w:rPr>
      </w:pPr>
      <w:r w:rsidRPr="00BC63C6">
        <w:rPr>
          <w:sz w:val="20"/>
          <w:szCs w:val="20"/>
        </w:rPr>
        <w:tab/>
        <w:t>Marianne Zoric and François Joyal for the Respondent</w:t>
      </w:r>
    </w:p>
    <w:p w:rsidR="00D96A7D" w:rsidRPr="000D6D9D" w:rsidRDefault="00D96A7D">
      <w:pPr>
        <w:rPr>
          <w:sz w:val="20"/>
          <w:szCs w:val="20"/>
        </w:rPr>
      </w:pPr>
    </w:p>
    <w:p w:rsidR="00D96A7D" w:rsidRDefault="00E42AAB">
      <w:pPr>
        <w:rPr>
          <w:sz w:val="20"/>
          <w:szCs w:val="20"/>
          <w:lang w:val="fr-CA"/>
        </w:rPr>
      </w:pPr>
      <w:r>
        <w:rPr>
          <w:sz w:val="20"/>
          <w:szCs w:val="20"/>
          <w:lang w:val="fr-CA"/>
        </w:rPr>
        <w:pict>
          <v:rect id="_x0000_i1139" style="width:2in;height:1pt" o:hrpct="0" o:hralign="center" o:hrstd="t" o:hrnoshade="t" o:hr="t" fillcolor="black [3213]" stroked="f"/>
        </w:pict>
      </w:r>
    </w:p>
    <w:p w:rsidR="00D96A7D" w:rsidRDefault="00D96A7D">
      <w:pPr>
        <w:rPr>
          <w:sz w:val="20"/>
          <w:szCs w:val="20"/>
          <w:lang w:val="fr-CA"/>
        </w:rPr>
      </w:pPr>
      <w:r>
        <w:rPr>
          <w:sz w:val="20"/>
          <w:szCs w:val="20"/>
          <w:lang w:val="fr-CA"/>
        </w:rPr>
        <w:br w:type="page"/>
      </w:r>
    </w:p>
    <w:p w:rsidR="00931517" w:rsidRPr="007A28E0" w:rsidRDefault="006F7944" w:rsidP="00931517">
      <w:pPr>
        <w:widowControl w:val="0"/>
        <w:ind w:left="720" w:hanging="720"/>
        <w:contextualSpacing/>
        <w:jc w:val="both"/>
        <w:rPr>
          <w:sz w:val="20"/>
          <w:szCs w:val="20"/>
          <w:lang w:val="fr-CA"/>
        </w:rPr>
      </w:pPr>
      <w:r w:rsidRPr="007A28E0">
        <w:rPr>
          <w:b/>
          <w:sz w:val="20"/>
          <w:szCs w:val="20"/>
          <w:lang w:val="fr-CA"/>
        </w:rPr>
        <w:lastRenderedPageBreak/>
        <w:fldChar w:fldCharType="begin"/>
      </w:r>
      <w:r w:rsidR="00931517" w:rsidRPr="007A28E0">
        <w:rPr>
          <w:b/>
          <w:sz w:val="20"/>
          <w:szCs w:val="20"/>
          <w:lang w:val="fr-CA"/>
        </w:rPr>
        <w:instrText xml:space="preserve"> SEQ CHAPTER \h \r 1</w:instrText>
      </w:r>
      <w:r w:rsidRPr="007A28E0">
        <w:rPr>
          <w:b/>
          <w:sz w:val="20"/>
          <w:szCs w:val="20"/>
          <w:lang w:val="fr-CA"/>
        </w:rPr>
        <w:fldChar w:fldCharType="end"/>
      </w:r>
      <w:r w:rsidR="00931517" w:rsidRPr="007A28E0">
        <w:rPr>
          <w:b/>
          <w:sz w:val="20"/>
          <w:szCs w:val="20"/>
          <w:lang w:val="fr-CA"/>
        </w:rPr>
        <w:t>35688</w:t>
      </w:r>
      <w:r w:rsidR="00931517" w:rsidRPr="007A28E0">
        <w:rPr>
          <w:sz w:val="20"/>
          <w:szCs w:val="20"/>
          <w:lang w:val="fr-CA"/>
        </w:rPr>
        <w:tab/>
      </w:r>
      <w:r w:rsidR="00931517" w:rsidRPr="007A28E0">
        <w:rPr>
          <w:b/>
          <w:i/>
          <w:sz w:val="20"/>
          <w:szCs w:val="20"/>
          <w:lang w:val="fr-CA"/>
        </w:rPr>
        <w:t>J.P. et G.J. c. Ministre de la Sécurité publique et de la Protection civile</w:t>
      </w:r>
    </w:p>
    <w:p w:rsidR="00931517" w:rsidRPr="007A28E0" w:rsidRDefault="00931517" w:rsidP="00931517">
      <w:pPr>
        <w:widowControl w:val="0"/>
        <w:jc w:val="both"/>
        <w:rPr>
          <w:sz w:val="20"/>
          <w:szCs w:val="20"/>
          <w:lang w:val="fr-CA"/>
        </w:rPr>
      </w:pPr>
    </w:p>
    <w:p w:rsidR="00931517" w:rsidRPr="007A28E0" w:rsidRDefault="00931517" w:rsidP="00931517">
      <w:pPr>
        <w:widowControl w:val="0"/>
        <w:jc w:val="both"/>
        <w:rPr>
          <w:smallCaps/>
          <w:sz w:val="20"/>
          <w:szCs w:val="20"/>
          <w:lang w:val="fr-CA"/>
        </w:rPr>
      </w:pPr>
      <w:r w:rsidRPr="007A28E0">
        <w:rPr>
          <w:smallCaps/>
          <w:sz w:val="20"/>
          <w:szCs w:val="20"/>
          <w:lang w:val="fr-CA"/>
        </w:rPr>
        <w:t>Ordonnance de non-publication dans le dossier</w:t>
      </w:r>
    </w:p>
    <w:p w:rsidR="00931517" w:rsidRPr="007A28E0" w:rsidRDefault="00931517" w:rsidP="00931517">
      <w:pPr>
        <w:widowControl w:val="0"/>
        <w:jc w:val="both"/>
        <w:rPr>
          <w:sz w:val="20"/>
          <w:szCs w:val="20"/>
          <w:lang w:val="fr-CA"/>
        </w:rPr>
      </w:pPr>
    </w:p>
    <w:p w:rsidR="00931517" w:rsidRPr="007A28E0" w:rsidRDefault="00931517" w:rsidP="00931517">
      <w:pPr>
        <w:widowControl w:val="0"/>
        <w:jc w:val="both"/>
        <w:rPr>
          <w:sz w:val="20"/>
          <w:szCs w:val="20"/>
          <w:lang w:val="fr-CA"/>
        </w:rPr>
      </w:pPr>
      <w:r w:rsidRPr="007A28E0">
        <w:rPr>
          <w:i/>
          <w:sz w:val="20"/>
          <w:szCs w:val="20"/>
          <w:lang w:val="fr-CA"/>
        </w:rPr>
        <w:t>Charte des droits et libertés</w:t>
      </w:r>
      <w:r w:rsidRPr="007A28E0">
        <w:rPr>
          <w:sz w:val="20"/>
          <w:szCs w:val="20"/>
          <w:lang w:val="fr-CA"/>
        </w:rPr>
        <w:t xml:space="preserve"> - Droit à la vie, à la liberté et à la sécurité de la personne - Droit de l’immigration - Interdiction de territoire et renvoi - Interdiction de territoire en application de l’al. 37(1)</w:t>
      </w:r>
      <w:r w:rsidRPr="007A28E0">
        <w:rPr>
          <w:i/>
          <w:sz w:val="20"/>
          <w:szCs w:val="20"/>
          <w:lang w:val="fr-CA"/>
        </w:rPr>
        <w:t>b)</w:t>
      </w:r>
      <w:r w:rsidRPr="007A28E0">
        <w:rPr>
          <w:sz w:val="20"/>
          <w:szCs w:val="20"/>
          <w:lang w:val="fr-CA"/>
        </w:rPr>
        <w:t xml:space="preserve"> de la </w:t>
      </w:r>
      <w:r w:rsidRPr="007A28E0">
        <w:rPr>
          <w:i/>
          <w:sz w:val="20"/>
          <w:szCs w:val="20"/>
          <w:lang w:val="fr-CA"/>
        </w:rPr>
        <w:t>Loi sur l’immigration et la protection des réfugiés</w:t>
      </w:r>
      <w:r w:rsidRPr="007A28E0">
        <w:rPr>
          <w:sz w:val="20"/>
          <w:szCs w:val="20"/>
          <w:lang w:val="fr-CA"/>
        </w:rPr>
        <w:t>, L.C. 2001, ch. 27 (« LIPR ») pour criminalité organisée, c’est-à-dire pour s’être livré, dans le cadre de la criminalité transnationale, à des activités telles le passage de clandestins - Quelle est la norme de contrôle à l’égard de l’interprétation, par la Section de l’immigration de la Commission de l’immigration et du statut de réfugié, de la portée de l’al. 37(1)</w:t>
      </w:r>
      <w:r w:rsidRPr="007A28E0">
        <w:rPr>
          <w:i/>
          <w:sz w:val="20"/>
          <w:szCs w:val="20"/>
          <w:lang w:val="fr-CA"/>
        </w:rPr>
        <w:t>b)</w:t>
      </w:r>
      <w:r w:rsidRPr="007A28E0">
        <w:rPr>
          <w:sz w:val="20"/>
          <w:szCs w:val="20"/>
          <w:lang w:val="fr-CA"/>
        </w:rPr>
        <w:t>? - Quelle est la portée de l’al. 31(1)</w:t>
      </w:r>
      <w:r w:rsidRPr="007A28E0">
        <w:rPr>
          <w:i/>
          <w:sz w:val="20"/>
          <w:szCs w:val="20"/>
          <w:lang w:val="fr-CA"/>
        </w:rPr>
        <w:t>b)</w:t>
      </w:r>
      <w:r w:rsidRPr="007A28E0">
        <w:rPr>
          <w:sz w:val="20"/>
          <w:szCs w:val="20"/>
          <w:lang w:val="fr-CA"/>
        </w:rPr>
        <w:t>? - L’art. 7 de la Charte entre-t-il en jeu dans le processus d’interdiction de territoire devant la Commission?</w:t>
      </w:r>
    </w:p>
    <w:p w:rsidR="00931517" w:rsidRPr="007A28E0" w:rsidRDefault="00931517" w:rsidP="00931517">
      <w:pPr>
        <w:widowControl w:val="0"/>
        <w:jc w:val="both"/>
        <w:rPr>
          <w:sz w:val="20"/>
          <w:szCs w:val="20"/>
          <w:lang w:val="fr-CA"/>
        </w:rPr>
      </w:pPr>
    </w:p>
    <w:p w:rsidR="00931517" w:rsidRPr="007A28E0" w:rsidRDefault="00931517" w:rsidP="00931517">
      <w:pPr>
        <w:jc w:val="both"/>
        <w:rPr>
          <w:sz w:val="20"/>
          <w:szCs w:val="20"/>
          <w:lang w:val="fr-CA"/>
        </w:rPr>
      </w:pPr>
      <w:r w:rsidRPr="007A28E0">
        <w:rPr>
          <w:sz w:val="20"/>
          <w:szCs w:val="20"/>
          <w:lang w:val="fr-CA"/>
        </w:rPr>
        <w:t xml:space="preserve">J.P. et son épouse G.J., des Tamouls du Sri-Lanka, sont deux des 492 ressortissants sri-lankais qui sont arrivés au Canada à bord du </w:t>
      </w:r>
      <w:r w:rsidRPr="007A28E0">
        <w:rPr>
          <w:i/>
          <w:sz w:val="20"/>
          <w:szCs w:val="20"/>
          <w:lang w:val="fr-CA"/>
        </w:rPr>
        <w:t>MV Sun Sea</w:t>
      </w:r>
      <w:r w:rsidRPr="007A28E0">
        <w:rPr>
          <w:sz w:val="20"/>
          <w:szCs w:val="20"/>
          <w:lang w:val="fr-CA"/>
        </w:rPr>
        <w:t xml:space="preserve"> en 2010, cherchant à faire des demandes d’asile. Après que l’équipage thaïlandais a abandonné le navire, J.P. faisait partie des douze passagers à bord qui ont fait fonctionner le navire pour compléter le voyage. J.P. a agi comme vigie, a lu le GPS et le radar et a agi comme assistant navigateur pendant le voyage. J.P. et G.J. ont vécu dans les quartiers de l’équipage, bénéficiant ainsi de conditions plus salubres sur le navire que les autres voyageurs. </w:t>
      </w:r>
    </w:p>
    <w:p w:rsidR="00931517" w:rsidRPr="007A28E0" w:rsidRDefault="00931517" w:rsidP="00931517">
      <w:pPr>
        <w:tabs>
          <w:tab w:val="left" w:pos="2038"/>
        </w:tabs>
        <w:jc w:val="both"/>
        <w:rPr>
          <w:sz w:val="20"/>
          <w:szCs w:val="20"/>
          <w:lang w:val="fr-CA"/>
        </w:rPr>
      </w:pPr>
    </w:p>
    <w:p w:rsidR="00931517" w:rsidRPr="007A28E0" w:rsidRDefault="00931517" w:rsidP="00931517">
      <w:pPr>
        <w:jc w:val="both"/>
        <w:rPr>
          <w:sz w:val="20"/>
          <w:szCs w:val="20"/>
          <w:lang w:val="fr-CA"/>
        </w:rPr>
      </w:pPr>
      <w:r w:rsidRPr="007A28E0">
        <w:rPr>
          <w:sz w:val="20"/>
          <w:szCs w:val="20"/>
          <w:lang w:val="fr-CA"/>
        </w:rPr>
        <w:t>À leur arrivée au Canada, ils ont été détenus par l’Agence des services frontaliers du Canada. Le ministre a délivré des rapports en application du par. 44(1) de la LIPR alléguant que J.P. était interdit de territoire au Canada aux termes de l’al. 37(1)</w:t>
      </w:r>
      <w:r w:rsidRPr="007A28E0">
        <w:rPr>
          <w:i/>
          <w:sz w:val="20"/>
          <w:szCs w:val="20"/>
          <w:lang w:val="fr-CA"/>
        </w:rPr>
        <w:t>b</w:t>
      </w:r>
      <w:r w:rsidRPr="007A28E0">
        <w:rPr>
          <w:sz w:val="20"/>
          <w:szCs w:val="20"/>
          <w:lang w:val="fr-CA"/>
        </w:rPr>
        <w:t xml:space="preserve">) et que G.J. était également interdite de territoire en tant que membre de la famille accompagnant une personne interdite de territoire. </w:t>
      </w:r>
    </w:p>
    <w:p w:rsidR="00931517" w:rsidRPr="007A28E0" w:rsidRDefault="00931517" w:rsidP="00931517">
      <w:pPr>
        <w:widowControl w:val="0"/>
        <w:jc w:val="both"/>
        <w:rPr>
          <w:sz w:val="20"/>
          <w:szCs w:val="20"/>
          <w:lang w:val="fr-CA"/>
        </w:rPr>
      </w:pPr>
    </w:p>
    <w:p w:rsidR="00931517" w:rsidRPr="007A28E0" w:rsidRDefault="00931517" w:rsidP="00931517">
      <w:pPr>
        <w:widowControl w:val="0"/>
        <w:jc w:val="both"/>
        <w:rPr>
          <w:sz w:val="20"/>
          <w:szCs w:val="20"/>
          <w:lang w:val="fr-CA"/>
        </w:rPr>
      </w:pPr>
    </w:p>
    <w:p w:rsidR="00931517" w:rsidRPr="007A28E0" w:rsidRDefault="00931517" w:rsidP="00931517">
      <w:pPr>
        <w:widowControl w:val="0"/>
        <w:ind w:left="2880" w:hanging="2880"/>
        <w:jc w:val="both"/>
        <w:rPr>
          <w:sz w:val="20"/>
          <w:szCs w:val="20"/>
          <w:lang w:val="fr-CA"/>
        </w:rPr>
      </w:pPr>
      <w:r w:rsidRPr="007A28E0">
        <w:rPr>
          <w:sz w:val="20"/>
          <w:szCs w:val="20"/>
          <w:lang w:val="fr-CA"/>
        </w:rPr>
        <w:t>Origine :</w:t>
      </w:r>
      <w:r w:rsidRPr="007A28E0">
        <w:rPr>
          <w:sz w:val="20"/>
          <w:szCs w:val="20"/>
          <w:lang w:val="fr-CA"/>
        </w:rPr>
        <w:tab/>
        <w:t>Cour d’appel fédérale</w:t>
      </w:r>
    </w:p>
    <w:p w:rsidR="00931517" w:rsidRPr="007A28E0" w:rsidRDefault="00931517" w:rsidP="00931517">
      <w:pPr>
        <w:widowControl w:val="0"/>
        <w:ind w:left="2880" w:hanging="2880"/>
        <w:jc w:val="both"/>
        <w:rPr>
          <w:sz w:val="20"/>
          <w:szCs w:val="20"/>
          <w:lang w:val="fr-CA"/>
        </w:rPr>
      </w:pPr>
    </w:p>
    <w:p w:rsidR="00931517" w:rsidRPr="007A28E0" w:rsidRDefault="00931517" w:rsidP="00931517">
      <w:pPr>
        <w:widowControl w:val="0"/>
        <w:ind w:left="2880" w:hanging="2880"/>
        <w:jc w:val="both"/>
        <w:rPr>
          <w:sz w:val="20"/>
          <w:szCs w:val="20"/>
          <w:lang w:val="fr-CA"/>
        </w:rPr>
      </w:pPr>
      <w:r w:rsidRPr="007A28E0">
        <w:rPr>
          <w:sz w:val="20"/>
          <w:szCs w:val="20"/>
          <w:lang w:val="fr-CA"/>
        </w:rPr>
        <w:t>N</w:t>
      </w:r>
      <w:r w:rsidRPr="007A28E0">
        <w:rPr>
          <w:sz w:val="20"/>
          <w:szCs w:val="20"/>
          <w:vertAlign w:val="superscript"/>
          <w:lang w:val="fr-CA"/>
        </w:rPr>
        <w:t>o</w:t>
      </w:r>
      <w:r w:rsidRPr="007A28E0">
        <w:rPr>
          <w:sz w:val="20"/>
          <w:szCs w:val="20"/>
          <w:lang w:val="fr-CA"/>
        </w:rPr>
        <w:t xml:space="preserve"> du greffe :</w:t>
      </w:r>
      <w:r w:rsidRPr="007A28E0">
        <w:rPr>
          <w:sz w:val="20"/>
          <w:szCs w:val="20"/>
          <w:lang w:val="fr-CA"/>
        </w:rPr>
        <w:tab/>
        <w:t>35688</w:t>
      </w:r>
    </w:p>
    <w:p w:rsidR="00931517" w:rsidRPr="007A28E0" w:rsidRDefault="00931517" w:rsidP="00931517">
      <w:pPr>
        <w:widowControl w:val="0"/>
        <w:ind w:left="2880" w:hanging="2880"/>
        <w:jc w:val="both"/>
        <w:rPr>
          <w:sz w:val="20"/>
          <w:szCs w:val="20"/>
          <w:lang w:val="fr-CA"/>
        </w:rPr>
      </w:pPr>
    </w:p>
    <w:p w:rsidR="00931517" w:rsidRPr="007A28E0" w:rsidRDefault="00931517" w:rsidP="00931517">
      <w:pPr>
        <w:widowControl w:val="0"/>
        <w:ind w:left="2880" w:hanging="2880"/>
        <w:jc w:val="both"/>
        <w:rPr>
          <w:sz w:val="20"/>
          <w:szCs w:val="20"/>
          <w:lang w:val="fr-CA"/>
        </w:rPr>
      </w:pPr>
      <w:r w:rsidRPr="007A28E0">
        <w:rPr>
          <w:sz w:val="20"/>
          <w:szCs w:val="20"/>
          <w:lang w:val="fr-CA"/>
        </w:rPr>
        <w:t>Arrêt de la Cour d’appel :</w:t>
      </w:r>
      <w:r w:rsidRPr="007A28E0">
        <w:rPr>
          <w:sz w:val="20"/>
          <w:szCs w:val="20"/>
          <w:lang w:val="fr-CA"/>
        </w:rPr>
        <w:tab/>
        <w:t>le 12 novembre 2013</w:t>
      </w:r>
    </w:p>
    <w:p w:rsidR="00931517" w:rsidRPr="007A28E0" w:rsidRDefault="00931517" w:rsidP="00931517">
      <w:pPr>
        <w:widowControl w:val="0"/>
        <w:ind w:left="2880" w:hanging="2880"/>
        <w:jc w:val="both"/>
        <w:rPr>
          <w:sz w:val="20"/>
          <w:szCs w:val="20"/>
          <w:lang w:val="fr-CA"/>
        </w:rPr>
      </w:pPr>
    </w:p>
    <w:p w:rsidR="00931517" w:rsidRPr="007A28E0" w:rsidRDefault="00931517" w:rsidP="00931517">
      <w:pPr>
        <w:widowControl w:val="0"/>
        <w:ind w:left="2880" w:hanging="2880"/>
        <w:jc w:val="both"/>
        <w:rPr>
          <w:sz w:val="20"/>
          <w:szCs w:val="20"/>
          <w:lang w:val="fr-CA"/>
        </w:rPr>
      </w:pPr>
      <w:r w:rsidRPr="007A28E0">
        <w:rPr>
          <w:sz w:val="20"/>
          <w:szCs w:val="20"/>
          <w:lang w:val="fr-CA"/>
        </w:rPr>
        <w:t>Avocats :</w:t>
      </w:r>
      <w:r w:rsidRPr="007A28E0">
        <w:rPr>
          <w:sz w:val="20"/>
          <w:szCs w:val="20"/>
          <w:lang w:val="fr-CA"/>
        </w:rPr>
        <w:tab/>
        <w:t>Lorne Waldman pour les appelants</w:t>
      </w:r>
    </w:p>
    <w:p w:rsidR="00931517" w:rsidRPr="007A28E0" w:rsidRDefault="00931517" w:rsidP="00931517">
      <w:pPr>
        <w:widowControl w:val="0"/>
        <w:ind w:left="2880" w:hanging="2880"/>
        <w:jc w:val="both"/>
        <w:rPr>
          <w:sz w:val="20"/>
          <w:szCs w:val="20"/>
          <w:lang w:val="fr-CA"/>
        </w:rPr>
      </w:pPr>
      <w:r w:rsidRPr="007A28E0">
        <w:rPr>
          <w:sz w:val="20"/>
          <w:szCs w:val="20"/>
          <w:lang w:val="fr-CA"/>
        </w:rPr>
        <w:tab/>
        <w:t>Marianne Zoric et François Joyal pour l’intimé</w:t>
      </w:r>
    </w:p>
    <w:p w:rsidR="00D96A7D" w:rsidRDefault="00D96A7D">
      <w:pPr>
        <w:rPr>
          <w:sz w:val="20"/>
          <w:szCs w:val="20"/>
          <w:lang w:val="fr-CA"/>
        </w:rPr>
      </w:pPr>
    </w:p>
    <w:p w:rsidR="00D96A7D" w:rsidRDefault="00E42AAB">
      <w:pPr>
        <w:rPr>
          <w:sz w:val="20"/>
          <w:szCs w:val="20"/>
          <w:lang w:val="fr-CA"/>
        </w:rPr>
      </w:pPr>
      <w:r>
        <w:rPr>
          <w:sz w:val="20"/>
          <w:szCs w:val="20"/>
          <w:lang w:val="fr-CA"/>
        </w:rPr>
        <w:pict>
          <v:rect id="_x0000_i1140" style="width:2in;height:1pt" o:hrpct="0" o:hralign="center" o:hrstd="t" o:hrnoshade="t" o:hr="t" fillcolor="black [3213]" stroked="f"/>
        </w:pict>
      </w:r>
    </w:p>
    <w:p w:rsidR="00D96A7D" w:rsidRDefault="00D96A7D">
      <w:pPr>
        <w:rPr>
          <w:sz w:val="20"/>
          <w:szCs w:val="20"/>
          <w:lang w:val="fr-CA"/>
        </w:rPr>
      </w:pPr>
      <w:r>
        <w:rPr>
          <w:sz w:val="20"/>
          <w:szCs w:val="20"/>
          <w:lang w:val="fr-CA"/>
        </w:rPr>
        <w:br w:type="page"/>
      </w:r>
    </w:p>
    <w:p w:rsidR="002845D4" w:rsidRPr="00244CDB" w:rsidRDefault="006F7944" w:rsidP="002845D4">
      <w:pPr>
        <w:widowControl w:val="0"/>
        <w:ind w:left="720" w:hanging="720"/>
        <w:jc w:val="both"/>
        <w:rPr>
          <w:sz w:val="20"/>
          <w:szCs w:val="20"/>
        </w:rPr>
      </w:pPr>
      <w:r w:rsidRPr="00244CDB">
        <w:rPr>
          <w:b/>
          <w:sz w:val="20"/>
          <w:szCs w:val="20"/>
        </w:rPr>
        <w:lastRenderedPageBreak/>
        <w:fldChar w:fldCharType="begin"/>
      </w:r>
      <w:r w:rsidR="002845D4" w:rsidRPr="00244CDB">
        <w:rPr>
          <w:b/>
          <w:sz w:val="20"/>
          <w:szCs w:val="20"/>
        </w:rPr>
        <w:instrText xml:space="preserve"> SEQ CHAPTER \h \r 1</w:instrText>
      </w:r>
      <w:r w:rsidRPr="00244CDB">
        <w:rPr>
          <w:b/>
          <w:sz w:val="20"/>
          <w:szCs w:val="20"/>
        </w:rPr>
        <w:fldChar w:fldCharType="end"/>
      </w:r>
      <w:r w:rsidR="002845D4" w:rsidRPr="00244CDB">
        <w:rPr>
          <w:b/>
          <w:sz w:val="20"/>
          <w:szCs w:val="20"/>
        </w:rPr>
        <w:t>35388</w:t>
      </w:r>
      <w:r w:rsidR="002845D4" w:rsidRPr="00244CDB">
        <w:rPr>
          <w:sz w:val="20"/>
          <w:szCs w:val="20"/>
        </w:rPr>
        <w:tab/>
      </w:r>
      <w:r w:rsidR="002845D4" w:rsidRPr="00244CDB">
        <w:rPr>
          <w:b/>
          <w:i/>
          <w:sz w:val="20"/>
          <w:szCs w:val="20"/>
        </w:rPr>
        <w:t>B010 v. Minister of Citizenship and Immigration</w:t>
      </w:r>
    </w:p>
    <w:p w:rsidR="002845D4" w:rsidRPr="00244CDB" w:rsidRDefault="002845D4" w:rsidP="002845D4">
      <w:pPr>
        <w:widowControl w:val="0"/>
        <w:jc w:val="both"/>
        <w:rPr>
          <w:sz w:val="20"/>
          <w:szCs w:val="20"/>
        </w:rPr>
      </w:pPr>
    </w:p>
    <w:p w:rsidR="002845D4" w:rsidRPr="00244CDB" w:rsidRDefault="002845D4" w:rsidP="002845D4">
      <w:pPr>
        <w:widowControl w:val="0"/>
        <w:jc w:val="both"/>
        <w:rPr>
          <w:smallCaps/>
          <w:sz w:val="20"/>
          <w:szCs w:val="20"/>
        </w:rPr>
      </w:pPr>
      <w:r w:rsidRPr="00244CDB">
        <w:rPr>
          <w:smallCaps/>
          <w:sz w:val="20"/>
          <w:szCs w:val="20"/>
        </w:rPr>
        <w:t>Publication ban in case</w:t>
      </w:r>
    </w:p>
    <w:p w:rsidR="002845D4" w:rsidRPr="00244CDB" w:rsidRDefault="002845D4" w:rsidP="002845D4">
      <w:pPr>
        <w:widowControl w:val="0"/>
        <w:jc w:val="both"/>
        <w:rPr>
          <w:sz w:val="20"/>
          <w:szCs w:val="20"/>
        </w:rPr>
      </w:pPr>
    </w:p>
    <w:p w:rsidR="002845D4" w:rsidRPr="00244CDB" w:rsidRDefault="002845D4" w:rsidP="002845D4">
      <w:pPr>
        <w:widowControl w:val="0"/>
        <w:jc w:val="both"/>
        <w:rPr>
          <w:sz w:val="20"/>
          <w:szCs w:val="20"/>
        </w:rPr>
      </w:pPr>
      <w:r w:rsidRPr="00244CDB">
        <w:rPr>
          <w:i/>
          <w:sz w:val="20"/>
          <w:szCs w:val="20"/>
        </w:rPr>
        <w:t xml:space="preserve">Charter of Rights and Freedoms </w:t>
      </w:r>
      <w:r w:rsidRPr="00244CDB">
        <w:rPr>
          <w:sz w:val="20"/>
          <w:szCs w:val="20"/>
        </w:rPr>
        <w:t>- Right to life, liberty and security of the person - Immigration law - Inadmissibility and removal - Inadmissibility under s. 37(1)(</w:t>
      </w:r>
      <w:r w:rsidRPr="00244CDB">
        <w:rPr>
          <w:i/>
          <w:sz w:val="20"/>
          <w:szCs w:val="20"/>
        </w:rPr>
        <w:t>b</w:t>
      </w:r>
      <w:r w:rsidRPr="00244CDB">
        <w:rPr>
          <w:sz w:val="20"/>
          <w:szCs w:val="20"/>
        </w:rPr>
        <w:t>) of the</w:t>
      </w:r>
      <w:r w:rsidRPr="00244CDB">
        <w:rPr>
          <w:i/>
          <w:sz w:val="20"/>
          <w:szCs w:val="20"/>
        </w:rPr>
        <w:t xml:space="preserve"> Immigration and Refugee Protection Act</w:t>
      </w:r>
      <w:r w:rsidRPr="00244CDB">
        <w:rPr>
          <w:sz w:val="20"/>
          <w:szCs w:val="20"/>
        </w:rPr>
        <w:t>, S.C. 2001, c. 27 (“</w:t>
      </w:r>
      <w:r w:rsidRPr="00244CDB">
        <w:rPr>
          <w:i/>
          <w:sz w:val="20"/>
          <w:szCs w:val="20"/>
        </w:rPr>
        <w:t>IRPA</w:t>
      </w:r>
      <w:r w:rsidRPr="00244CDB">
        <w:rPr>
          <w:sz w:val="20"/>
          <w:szCs w:val="20"/>
        </w:rPr>
        <w:t>”), on grounds of organized criminality for engaging, in the context of transnational crime, in activities such as people smuggling - What is the standard of review in respect of the Immigration Division of the Immigration and Refugee Protection Board’s interpretation of the scope of s. 37(1)(</w:t>
      </w:r>
      <w:r w:rsidRPr="00244CDB">
        <w:rPr>
          <w:i/>
          <w:sz w:val="20"/>
          <w:szCs w:val="20"/>
        </w:rPr>
        <w:t>b</w:t>
      </w:r>
      <w:r w:rsidRPr="00244CDB">
        <w:rPr>
          <w:sz w:val="20"/>
          <w:szCs w:val="20"/>
        </w:rPr>
        <w:t>)? - What is the scope of s. 37(1)(</w:t>
      </w:r>
      <w:r w:rsidRPr="00244CDB">
        <w:rPr>
          <w:i/>
          <w:sz w:val="20"/>
          <w:szCs w:val="20"/>
        </w:rPr>
        <w:t>b</w:t>
      </w:r>
      <w:r w:rsidRPr="00244CDB">
        <w:rPr>
          <w:sz w:val="20"/>
          <w:szCs w:val="20"/>
        </w:rPr>
        <w:t xml:space="preserve">)? - Is s. 7 of the </w:t>
      </w:r>
      <w:r w:rsidRPr="00244CDB">
        <w:rPr>
          <w:i/>
          <w:sz w:val="20"/>
          <w:szCs w:val="20"/>
        </w:rPr>
        <w:t>Charter</w:t>
      </w:r>
      <w:r w:rsidRPr="00244CDB">
        <w:rPr>
          <w:sz w:val="20"/>
          <w:szCs w:val="20"/>
        </w:rPr>
        <w:t xml:space="preserve"> engaged in the inadmissibility process before the Board?</w:t>
      </w:r>
    </w:p>
    <w:p w:rsidR="002845D4" w:rsidRPr="00244CDB" w:rsidRDefault="002845D4" w:rsidP="002845D4">
      <w:pPr>
        <w:widowControl w:val="0"/>
        <w:jc w:val="both"/>
        <w:rPr>
          <w:sz w:val="20"/>
          <w:szCs w:val="20"/>
        </w:rPr>
      </w:pPr>
    </w:p>
    <w:p w:rsidR="002845D4" w:rsidRPr="00244CDB" w:rsidRDefault="002845D4" w:rsidP="002845D4">
      <w:pPr>
        <w:widowControl w:val="0"/>
        <w:jc w:val="both"/>
        <w:rPr>
          <w:sz w:val="20"/>
          <w:szCs w:val="20"/>
        </w:rPr>
      </w:pPr>
      <w:r w:rsidRPr="00244CDB">
        <w:rPr>
          <w:sz w:val="20"/>
          <w:szCs w:val="20"/>
        </w:rPr>
        <w:t xml:space="preserve">B010, a 35-year-old Tamil from Sri Lanka, arrived in Canadian waters via Thailand on August 12, 2010 aboard the </w:t>
      </w:r>
      <w:r w:rsidRPr="00244CDB">
        <w:rPr>
          <w:i/>
          <w:sz w:val="20"/>
          <w:szCs w:val="20"/>
        </w:rPr>
        <w:t>MV Sun Sea</w:t>
      </w:r>
      <w:r w:rsidRPr="00244CDB">
        <w:rPr>
          <w:sz w:val="20"/>
          <w:szCs w:val="20"/>
        </w:rPr>
        <w:t xml:space="preserve">, an unregistered ship upon which 492 migrants seeking refuge travelled. B010 is married and has two children. During much of the civil war, B010 lived in the northern territory of Sri Lanka controlled by the Liberation Tigers of Tamil Eelam (“LTTE”), where he worked as a driver, mechanic and fisher. </w:t>
      </w:r>
    </w:p>
    <w:p w:rsidR="002845D4" w:rsidRPr="00244CDB" w:rsidRDefault="002845D4" w:rsidP="002845D4">
      <w:pPr>
        <w:rPr>
          <w:sz w:val="20"/>
          <w:szCs w:val="20"/>
        </w:rPr>
      </w:pPr>
    </w:p>
    <w:p w:rsidR="002845D4" w:rsidRPr="00244CDB" w:rsidRDefault="002845D4" w:rsidP="002845D4">
      <w:pPr>
        <w:widowControl w:val="0"/>
        <w:jc w:val="both"/>
        <w:rPr>
          <w:sz w:val="20"/>
          <w:szCs w:val="20"/>
        </w:rPr>
      </w:pPr>
      <w:r w:rsidRPr="00244CDB">
        <w:rPr>
          <w:sz w:val="20"/>
          <w:szCs w:val="20"/>
        </w:rPr>
        <w:t xml:space="preserve">When the Sri Lankan government regained control of the area in 2009, B010 was detained and interrogated on several occasions by government forces for suspected LTTE involvement. Upon learning he was to be taken to a detention camp, B010 fled to Thailand where he eventually was offered a spot on the </w:t>
      </w:r>
      <w:r w:rsidRPr="00244CDB">
        <w:rPr>
          <w:i/>
          <w:sz w:val="20"/>
          <w:szCs w:val="20"/>
        </w:rPr>
        <w:t>MV Sun Sea</w:t>
      </w:r>
      <w:r w:rsidRPr="00244CDB">
        <w:rPr>
          <w:sz w:val="20"/>
          <w:szCs w:val="20"/>
        </w:rPr>
        <w:t xml:space="preserve">, bound for Canada, in return for which he paid the organizers of the voyage. The Thai crew subsequently abandoned the ship while en route, and the passengers decided to perform tasks on the ship to continue with the voyage. B010 agreed to work six hours a day in the engine room, monitoring the equipment. </w:t>
      </w:r>
    </w:p>
    <w:p w:rsidR="002845D4" w:rsidRPr="00244CDB" w:rsidRDefault="002845D4" w:rsidP="002845D4">
      <w:pPr>
        <w:rPr>
          <w:sz w:val="20"/>
          <w:szCs w:val="20"/>
        </w:rPr>
      </w:pPr>
    </w:p>
    <w:p w:rsidR="002845D4" w:rsidRPr="00244CDB" w:rsidRDefault="002845D4" w:rsidP="002845D4">
      <w:pPr>
        <w:widowControl w:val="0"/>
        <w:jc w:val="both"/>
        <w:rPr>
          <w:sz w:val="20"/>
          <w:szCs w:val="20"/>
        </w:rPr>
      </w:pPr>
      <w:r w:rsidRPr="00244CDB">
        <w:rPr>
          <w:sz w:val="20"/>
          <w:szCs w:val="20"/>
        </w:rPr>
        <w:t>After the ship’s arrival in Canadian waters, the Canada Border Services Agency (“CBSA”) conducted an investigation that revealed that the ship had been part of an elaborate for-profit scheme to bring migrants to Canada. The CBSA also determined that B010 was one of 12 passengers aboard the ship who had served as the ship’s crew during the three-month voyage. An immigration officer reported B010 as inadmissible to Canada by reason of people smuggling, pursuant to s. 37(1)(</w:t>
      </w:r>
      <w:r w:rsidRPr="00244CDB">
        <w:rPr>
          <w:i/>
          <w:sz w:val="20"/>
          <w:szCs w:val="20"/>
        </w:rPr>
        <w:t>b</w:t>
      </w:r>
      <w:r w:rsidRPr="00244CDB">
        <w:rPr>
          <w:sz w:val="20"/>
          <w:szCs w:val="20"/>
        </w:rPr>
        <w:t xml:space="preserve">) of the </w:t>
      </w:r>
      <w:r w:rsidRPr="00244CDB">
        <w:rPr>
          <w:i/>
          <w:sz w:val="20"/>
          <w:szCs w:val="20"/>
        </w:rPr>
        <w:t>IRPA</w:t>
      </w:r>
      <w:r w:rsidRPr="00244CDB">
        <w:rPr>
          <w:sz w:val="20"/>
          <w:szCs w:val="20"/>
        </w:rPr>
        <w:t>.</w:t>
      </w:r>
    </w:p>
    <w:p w:rsidR="002845D4" w:rsidRPr="00244CDB" w:rsidRDefault="002845D4" w:rsidP="002845D4">
      <w:pPr>
        <w:widowControl w:val="0"/>
        <w:jc w:val="both"/>
        <w:rPr>
          <w:sz w:val="20"/>
          <w:szCs w:val="20"/>
        </w:rPr>
      </w:pPr>
    </w:p>
    <w:p w:rsidR="002845D4" w:rsidRPr="00244CDB" w:rsidRDefault="002845D4" w:rsidP="002845D4">
      <w:pPr>
        <w:widowControl w:val="0"/>
        <w:jc w:val="both"/>
        <w:rPr>
          <w:sz w:val="20"/>
          <w:szCs w:val="20"/>
        </w:rPr>
      </w:pPr>
    </w:p>
    <w:p w:rsidR="002845D4" w:rsidRPr="00244CDB" w:rsidRDefault="002845D4" w:rsidP="002845D4">
      <w:pPr>
        <w:widowControl w:val="0"/>
        <w:ind w:left="2880" w:hanging="2880"/>
        <w:jc w:val="both"/>
        <w:rPr>
          <w:sz w:val="20"/>
          <w:szCs w:val="20"/>
        </w:rPr>
      </w:pPr>
      <w:r w:rsidRPr="00244CDB">
        <w:rPr>
          <w:sz w:val="20"/>
          <w:szCs w:val="20"/>
        </w:rPr>
        <w:t>Origin of the case:</w:t>
      </w:r>
      <w:r w:rsidRPr="00244CDB">
        <w:rPr>
          <w:sz w:val="20"/>
          <w:szCs w:val="20"/>
        </w:rPr>
        <w:tab/>
        <w:t>Federal Court of Appeal</w:t>
      </w:r>
    </w:p>
    <w:p w:rsidR="002845D4" w:rsidRPr="00244CDB" w:rsidRDefault="002845D4" w:rsidP="002845D4">
      <w:pPr>
        <w:widowControl w:val="0"/>
        <w:ind w:left="2880" w:hanging="2880"/>
        <w:jc w:val="both"/>
        <w:rPr>
          <w:sz w:val="20"/>
          <w:szCs w:val="20"/>
        </w:rPr>
      </w:pPr>
    </w:p>
    <w:p w:rsidR="002845D4" w:rsidRPr="00244CDB" w:rsidRDefault="002845D4" w:rsidP="002845D4">
      <w:pPr>
        <w:widowControl w:val="0"/>
        <w:ind w:left="2880" w:hanging="2880"/>
        <w:jc w:val="both"/>
        <w:rPr>
          <w:sz w:val="20"/>
          <w:szCs w:val="20"/>
        </w:rPr>
      </w:pPr>
      <w:r w:rsidRPr="00244CDB">
        <w:rPr>
          <w:sz w:val="20"/>
          <w:szCs w:val="20"/>
        </w:rPr>
        <w:t>File No.:</w:t>
      </w:r>
      <w:r w:rsidRPr="00244CDB">
        <w:rPr>
          <w:sz w:val="20"/>
          <w:szCs w:val="20"/>
        </w:rPr>
        <w:tab/>
        <w:t>35388</w:t>
      </w:r>
    </w:p>
    <w:p w:rsidR="002845D4" w:rsidRPr="00244CDB" w:rsidRDefault="002845D4" w:rsidP="002845D4">
      <w:pPr>
        <w:widowControl w:val="0"/>
        <w:ind w:left="2880" w:hanging="2880"/>
        <w:jc w:val="both"/>
        <w:rPr>
          <w:sz w:val="20"/>
          <w:szCs w:val="20"/>
        </w:rPr>
      </w:pPr>
    </w:p>
    <w:p w:rsidR="002845D4" w:rsidRPr="00244CDB" w:rsidRDefault="002845D4" w:rsidP="002845D4">
      <w:pPr>
        <w:widowControl w:val="0"/>
        <w:ind w:left="2880" w:hanging="2880"/>
        <w:jc w:val="both"/>
        <w:rPr>
          <w:sz w:val="20"/>
          <w:szCs w:val="20"/>
        </w:rPr>
      </w:pPr>
      <w:r w:rsidRPr="00244CDB">
        <w:rPr>
          <w:sz w:val="20"/>
          <w:szCs w:val="20"/>
        </w:rPr>
        <w:t>Judgment of the Court of Appeal:</w:t>
      </w:r>
      <w:r w:rsidRPr="00244CDB">
        <w:rPr>
          <w:sz w:val="20"/>
          <w:szCs w:val="20"/>
        </w:rPr>
        <w:tab/>
        <w:t>March 22, 2013</w:t>
      </w:r>
    </w:p>
    <w:p w:rsidR="002845D4" w:rsidRPr="00244CDB" w:rsidRDefault="002845D4" w:rsidP="002845D4">
      <w:pPr>
        <w:widowControl w:val="0"/>
        <w:ind w:left="2880" w:hanging="2880"/>
        <w:jc w:val="both"/>
        <w:rPr>
          <w:sz w:val="20"/>
          <w:szCs w:val="20"/>
        </w:rPr>
      </w:pPr>
    </w:p>
    <w:p w:rsidR="002845D4" w:rsidRPr="00244CDB" w:rsidRDefault="002845D4" w:rsidP="002845D4">
      <w:pPr>
        <w:widowControl w:val="0"/>
        <w:ind w:left="2880" w:hanging="2880"/>
        <w:jc w:val="both"/>
        <w:rPr>
          <w:sz w:val="20"/>
          <w:szCs w:val="20"/>
        </w:rPr>
      </w:pPr>
      <w:r w:rsidRPr="00244CDB">
        <w:rPr>
          <w:sz w:val="20"/>
          <w:szCs w:val="20"/>
        </w:rPr>
        <w:t>Counsel:</w:t>
      </w:r>
      <w:r w:rsidRPr="00244CDB">
        <w:rPr>
          <w:sz w:val="20"/>
          <w:szCs w:val="20"/>
        </w:rPr>
        <w:tab/>
        <w:t>Rod H.G. Holloway, Erica Olmstead and Maria Sokolova for the Appellant</w:t>
      </w:r>
    </w:p>
    <w:p w:rsidR="002845D4" w:rsidRPr="00244CDB" w:rsidRDefault="002845D4" w:rsidP="002845D4">
      <w:pPr>
        <w:widowControl w:val="0"/>
        <w:ind w:left="2880" w:hanging="2880"/>
        <w:jc w:val="both"/>
        <w:rPr>
          <w:sz w:val="20"/>
          <w:szCs w:val="20"/>
        </w:rPr>
      </w:pPr>
      <w:r w:rsidRPr="00244CDB">
        <w:rPr>
          <w:sz w:val="20"/>
          <w:szCs w:val="20"/>
        </w:rPr>
        <w:tab/>
        <w:t>Marianne Zoric and François Joyal for the Respondent</w:t>
      </w:r>
    </w:p>
    <w:p w:rsidR="00D96A7D" w:rsidRPr="002845D4" w:rsidRDefault="00D96A7D">
      <w:pPr>
        <w:rPr>
          <w:sz w:val="20"/>
          <w:szCs w:val="20"/>
        </w:rPr>
      </w:pPr>
    </w:p>
    <w:p w:rsidR="00D96A7D" w:rsidRDefault="00E42AAB">
      <w:pPr>
        <w:rPr>
          <w:sz w:val="20"/>
          <w:szCs w:val="20"/>
          <w:lang w:val="fr-CA"/>
        </w:rPr>
      </w:pPr>
      <w:r>
        <w:rPr>
          <w:sz w:val="20"/>
          <w:szCs w:val="20"/>
          <w:lang w:val="fr-CA"/>
        </w:rPr>
        <w:pict>
          <v:rect id="_x0000_i1141" style="width:2in;height:1pt" o:hrpct="0" o:hralign="center" o:hrstd="t" o:hrnoshade="t" o:hr="t" fillcolor="black [3213]" stroked="f"/>
        </w:pict>
      </w:r>
    </w:p>
    <w:p w:rsidR="00D96A7D" w:rsidRDefault="00D96A7D">
      <w:pPr>
        <w:rPr>
          <w:sz w:val="20"/>
          <w:szCs w:val="20"/>
          <w:lang w:val="fr-CA"/>
        </w:rPr>
      </w:pPr>
      <w:r>
        <w:rPr>
          <w:sz w:val="20"/>
          <w:szCs w:val="20"/>
          <w:lang w:val="fr-CA"/>
        </w:rPr>
        <w:br w:type="page"/>
      </w:r>
    </w:p>
    <w:p w:rsidR="002845D4" w:rsidRPr="00EF6C4E" w:rsidRDefault="006F7944" w:rsidP="002845D4">
      <w:pPr>
        <w:widowControl w:val="0"/>
        <w:ind w:left="720" w:hanging="720"/>
        <w:jc w:val="both"/>
        <w:rPr>
          <w:b/>
          <w:i/>
          <w:sz w:val="20"/>
          <w:szCs w:val="20"/>
          <w:lang w:val="fr-CA"/>
        </w:rPr>
      </w:pPr>
      <w:r w:rsidRPr="00EF6C4E">
        <w:rPr>
          <w:b/>
          <w:sz w:val="20"/>
          <w:szCs w:val="20"/>
          <w:lang w:val="fr-CA"/>
        </w:rPr>
        <w:lastRenderedPageBreak/>
        <w:fldChar w:fldCharType="begin"/>
      </w:r>
      <w:r w:rsidR="002845D4" w:rsidRPr="00EF6C4E">
        <w:rPr>
          <w:b/>
          <w:sz w:val="20"/>
          <w:szCs w:val="20"/>
          <w:lang w:val="fr-CA"/>
        </w:rPr>
        <w:instrText xml:space="preserve"> SEQ CHAPTER \h \r 1</w:instrText>
      </w:r>
      <w:r w:rsidRPr="00EF6C4E">
        <w:rPr>
          <w:b/>
          <w:sz w:val="20"/>
          <w:szCs w:val="20"/>
          <w:lang w:val="fr-CA"/>
        </w:rPr>
        <w:fldChar w:fldCharType="end"/>
      </w:r>
      <w:r w:rsidR="002845D4" w:rsidRPr="00EF6C4E">
        <w:rPr>
          <w:b/>
          <w:sz w:val="20"/>
          <w:szCs w:val="20"/>
          <w:lang w:val="fr-CA"/>
        </w:rPr>
        <w:t>35388</w:t>
      </w:r>
      <w:r w:rsidR="002845D4" w:rsidRPr="00EF6C4E">
        <w:rPr>
          <w:sz w:val="20"/>
          <w:szCs w:val="20"/>
          <w:lang w:val="fr-CA"/>
        </w:rPr>
        <w:tab/>
      </w:r>
      <w:r w:rsidR="002845D4" w:rsidRPr="00EF6C4E">
        <w:rPr>
          <w:b/>
          <w:i/>
          <w:sz w:val="20"/>
          <w:szCs w:val="20"/>
          <w:lang w:val="fr-CA"/>
        </w:rPr>
        <w:t>B010 c. Ministre de la Citoyenneté et de l’Immigration</w:t>
      </w:r>
    </w:p>
    <w:p w:rsidR="002845D4" w:rsidRPr="00EF6C4E" w:rsidRDefault="002845D4" w:rsidP="002845D4">
      <w:pPr>
        <w:widowControl w:val="0"/>
        <w:jc w:val="both"/>
        <w:rPr>
          <w:sz w:val="20"/>
          <w:szCs w:val="20"/>
          <w:lang w:val="fr-CA"/>
        </w:rPr>
      </w:pPr>
    </w:p>
    <w:p w:rsidR="002845D4" w:rsidRPr="00EF6C4E" w:rsidRDefault="002845D4" w:rsidP="002845D4">
      <w:pPr>
        <w:widowControl w:val="0"/>
        <w:jc w:val="both"/>
        <w:rPr>
          <w:smallCaps/>
          <w:sz w:val="20"/>
          <w:szCs w:val="20"/>
          <w:lang w:val="fr-CA"/>
        </w:rPr>
      </w:pPr>
      <w:r w:rsidRPr="00EF6C4E">
        <w:rPr>
          <w:smallCaps/>
          <w:sz w:val="20"/>
          <w:szCs w:val="20"/>
          <w:lang w:val="fr-CA"/>
        </w:rPr>
        <w:t>Ordonnance de non-publication dans le dossier</w:t>
      </w:r>
    </w:p>
    <w:p w:rsidR="002845D4" w:rsidRPr="00EF6C4E" w:rsidRDefault="002845D4" w:rsidP="002845D4">
      <w:pPr>
        <w:widowControl w:val="0"/>
        <w:jc w:val="both"/>
        <w:rPr>
          <w:sz w:val="20"/>
          <w:szCs w:val="20"/>
          <w:lang w:val="fr-CA"/>
        </w:rPr>
      </w:pPr>
    </w:p>
    <w:p w:rsidR="002845D4" w:rsidRPr="00EF6C4E" w:rsidRDefault="002845D4" w:rsidP="002845D4">
      <w:pPr>
        <w:widowControl w:val="0"/>
        <w:jc w:val="both"/>
        <w:rPr>
          <w:sz w:val="20"/>
          <w:szCs w:val="20"/>
          <w:lang w:val="fr-CA"/>
        </w:rPr>
      </w:pPr>
      <w:r w:rsidRPr="00EF6C4E">
        <w:rPr>
          <w:i/>
          <w:sz w:val="20"/>
          <w:szCs w:val="20"/>
          <w:lang w:val="fr-CA"/>
        </w:rPr>
        <w:t>Charte des droits et libertés</w:t>
      </w:r>
      <w:r w:rsidRPr="00EF6C4E">
        <w:rPr>
          <w:sz w:val="20"/>
          <w:szCs w:val="20"/>
          <w:lang w:val="fr-CA"/>
        </w:rPr>
        <w:t xml:space="preserve"> - Droit à la vie, à la liberté et à la sécurité de la personne - Droit de l’immigration - Interdiction de territoire et renvoi - Interdiction de territoire en application de l’al. 37(1)</w:t>
      </w:r>
      <w:r w:rsidRPr="00EF6C4E">
        <w:rPr>
          <w:i/>
          <w:sz w:val="20"/>
          <w:szCs w:val="20"/>
          <w:lang w:val="fr-CA"/>
        </w:rPr>
        <w:t>b)</w:t>
      </w:r>
      <w:r w:rsidRPr="00EF6C4E">
        <w:rPr>
          <w:sz w:val="20"/>
          <w:szCs w:val="20"/>
          <w:lang w:val="fr-CA"/>
        </w:rPr>
        <w:t xml:space="preserve"> de la</w:t>
      </w:r>
      <w:r w:rsidRPr="00EF6C4E">
        <w:rPr>
          <w:i/>
          <w:sz w:val="20"/>
          <w:szCs w:val="20"/>
          <w:lang w:val="fr-CA"/>
        </w:rPr>
        <w:t xml:space="preserve"> Loi sur l’immigration et la protection des réfugiés</w:t>
      </w:r>
      <w:r w:rsidRPr="00EF6C4E">
        <w:rPr>
          <w:sz w:val="20"/>
          <w:szCs w:val="20"/>
          <w:lang w:val="fr-CA"/>
        </w:rPr>
        <w:t>, L.C. 2001, ch. 27 (« </w:t>
      </w:r>
      <w:r w:rsidRPr="00EF6C4E">
        <w:rPr>
          <w:i/>
          <w:sz w:val="20"/>
          <w:szCs w:val="20"/>
          <w:lang w:val="fr-CA"/>
        </w:rPr>
        <w:t>LIPR</w:t>
      </w:r>
      <w:r w:rsidRPr="00EF6C4E">
        <w:rPr>
          <w:sz w:val="20"/>
          <w:szCs w:val="20"/>
          <w:lang w:val="fr-CA"/>
        </w:rPr>
        <w:t> ») pour criminalité organisée, c’est-à-dire pour s’être livré, dans le cadre de la criminalité transnationale, à des activités telles le passage de clandestins - Quelle est la norme de contrôle à l’égard de l’interprétation, par la Section de l’immigration de la Commission de l’immigration et du statut de réfugié, de la portée de l’al. 37(1)</w:t>
      </w:r>
      <w:r w:rsidRPr="00EF6C4E">
        <w:rPr>
          <w:i/>
          <w:sz w:val="20"/>
          <w:szCs w:val="20"/>
          <w:lang w:val="fr-CA"/>
        </w:rPr>
        <w:t>b)</w:t>
      </w:r>
      <w:r w:rsidRPr="00EF6C4E">
        <w:rPr>
          <w:sz w:val="20"/>
          <w:szCs w:val="20"/>
          <w:lang w:val="fr-CA"/>
        </w:rPr>
        <w:t>? - Quelle est la portée de l’al. 31(1)</w:t>
      </w:r>
      <w:r w:rsidRPr="00EF6C4E">
        <w:rPr>
          <w:i/>
          <w:sz w:val="20"/>
          <w:szCs w:val="20"/>
          <w:lang w:val="fr-CA"/>
        </w:rPr>
        <w:t>b)</w:t>
      </w:r>
      <w:r w:rsidRPr="00EF6C4E">
        <w:rPr>
          <w:sz w:val="20"/>
          <w:szCs w:val="20"/>
          <w:lang w:val="fr-CA"/>
        </w:rPr>
        <w:t xml:space="preserve">? - L’art. 7 de la </w:t>
      </w:r>
      <w:r w:rsidRPr="00EF6C4E">
        <w:rPr>
          <w:i/>
          <w:sz w:val="20"/>
          <w:szCs w:val="20"/>
          <w:lang w:val="fr-CA"/>
        </w:rPr>
        <w:t>Charte</w:t>
      </w:r>
      <w:r w:rsidRPr="00EF6C4E">
        <w:rPr>
          <w:sz w:val="20"/>
          <w:szCs w:val="20"/>
          <w:lang w:val="fr-CA"/>
        </w:rPr>
        <w:t xml:space="preserve"> entre-t-il en jeu dans le processus d’interdiction de territoire devant la Commission?</w:t>
      </w:r>
    </w:p>
    <w:p w:rsidR="002845D4" w:rsidRPr="00EF6C4E" w:rsidRDefault="002845D4" w:rsidP="002845D4">
      <w:pPr>
        <w:widowControl w:val="0"/>
        <w:jc w:val="both"/>
        <w:rPr>
          <w:sz w:val="20"/>
          <w:szCs w:val="20"/>
          <w:lang w:val="fr-CA"/>
        </w:rPr>
      </w:pPr>
    </w:p>
    <w:p w:rsidR="002845D4" w:rsidRPr="00EF6C4E" w:rsidRDefault="002845D4" w:rsidP="002845D4">
      <w:pPr>
        <w:widowControl w:val="0"/>
        <w:jc w:val="both"/>
        <w:rPr>
          <w:sz w:val="20"/>
          <w:szCs w:val="20"/>
          <w:lang w:val="fr-CA"/>
        </w:rPr>
      </w:pPr>
      <w:r w:rsidRPr="00EF6C4E">
        <w:rPr>
          <w:sz w:val="20"/>
          <w:szCs w:val="20"/>
          <w:lang w:val="fr-CA"/>
        </w:rPr>
        <w:t xml:space="preserve">B010, un Tamoul du Sri Lanka âgé de 35 ans, est arrivé dans les eaux canadiennes en passant par la Thaïlande le 12 août 2010 à bord du </w:t>
      </w:r>
      <w:r w:rsidRPr="00EF6C4E">
        <w:rPr>
          <w:i/>
          <w:sz w:val="20"/>
          <w:szCs w:val="20"/>
          <w:lang w:val="fr-CA"/>
        </w:rPr>
        <w:t>MV Sun Sea</w:t>
      </w:r>
      <w:r w:rsidRPr="00EF6C4E">
        <w:rPr>
          <w:sz w:val="20"/>
          <w:szCs w:val="20"/>
          <w:lang w:val="fr-CA"/>
        </w:rPr>
        <w:t xml:space="preserve">, un navire non immatriculé à bord duquel 492 migrants demandeurs d’asile ont voyagé. B010 est marié et a deux enfants. Pendant une bonne partie de la guerre civile, B010 avait vécu dans le territoire du nord du Sri Lanka contrôlé par les Tigres de libération de l’Eelam tamoul [les LTTE], où il travaillait comme chauffeur, mécanicien et pêcheur. </w:t>
      </w:r>
    </w:p>
    <w:p w:rsidR="002845D4" w:rsidRPr="00EF6C4E" w:rsidRDefault="002845D4" w:rsidP="002845D4">
      <w:pPr>
        <w:rPr>
          <w:sz w:val="20"/>
          <w:szCs w:val="20"/>
          <w:lang w:val="fr-CA"/>
        </w:rPr>
      </w:pPr>
    </w:p>
    <w:p w:rsidR="002845D4" w:rsidRPr="00EF6C4E" w:rsidRDefault="002845D4" w:rsidP="002845D4">
      <w:pPr>
        <w:widowControl w:val="0"/>
        <w:jc w:val="both"/>
        <w:rPr>
          <w:sz w:val="20"/>
          <w:szCs w:val="20"/>
          <w:lang w:val="fr-CA"/>
        </w:rPr>
      </w:pPr>
      <w:r w:rsidRPr="00EF6C4E">
        <w:rPr>
          <w:sz w:val="20"/>
          <w:szCs w:val="20"/>
          <w:lang w:val="fr-CA"/>
        </w:rPr>
        <w:t xml:space="preserve">Lorsque le gouvernement sri lankais a repris le contrôle de la région en 2009, B010 a été détenu et interrogé à plusieurs occasions par des forces gouvernementales en raison de sa présumée implication dans les LTTE. Lorsqu’il a appris qu’on allait l’emmener dans un camp de détention, B010 s’est enfui en Thaïlande ou il a fini par se voir offrir un poste sur le </w:t>
      </w:r>
      <w:r w:rsidRPr="00EF6C4E">
        <w:rPr>
          <w:i/>
          <w:sz w:val="20"/>
          <w:szCs w:val="20"/>
          <w:lang w:val="fr-CA"/>
        </w:rPr>
        <w:t>MV Sun Sea</w:t>
      </w:r>
      <w:r w:rsidRPr="00EF6C4E">
        <w:rPr>
          <w:sz w:val="20"/>
          <w:szCs w:val="20"/>
          <w:lang w:val="fr-CA"/>
        </w:rPr>
        <w:t xml:space="preserve">, à destination du Canada, en contrepartie de quoi il a payé les organisateurs du voyage. L’équipage thaïlandais a subséquemment abandonné le navire en cours de route et les passagers ont décidé d’effectuer des tâches sur le navire pour poursuivre le voyage. B010 a accepté de travailler six heures par jour dans la salle des machines où il surveillait le matériel. </w:t>
      </w:r>
    </w:p>
    <w:p w:rsidR="002845D4" w:rsidRPr="00EF6C4E" w:rsidRDefault="002845D4" w:rsidP="002845D4">
      <w:pPr>
        <w:rPr>
          <w:sz w:val="20"/>
          <w:szCs w:val="20"/>
          <w:lang w:val="fr-CA"/>
        </w:rPr>
      </w:pPr>
    </w:p>
    <w:p w:rsidR="002845D4" w:rsidRPr="00EF6C4E" w:rsidRDefault="002845D4" w:rsidP="002845D4">
      <w:pPr>
        <w:widowControl w:val="0"/>
        <w:jc w:val="both"/>
        <w:rPr>
          <w:sz w:val="20"/>
          <w:szCs w:val="20"/>
          <w:lang w:val="fr-CA"/>
        </w:rPr>
      </w:pPr>
      <w:r w:rsidRPr="00EF6C4E">
        <w:rPr>
          <w:sz w:val="20"/>
          <w:szCs w:val="20"/>
          <w:lang w:val="fr-CA"/>
        </w:rPr>
        <w:t>Après l’arrivée du navire dans les eaux canadiennes, l’Agence des services frontaliers du Canada « ASFC ») a mené une enquête qui a révélé que le navire faisait partie d’un stratagème lucratif élaboré visant à amener des migrants au Canada. L’ASFC a également conclu que B010 était au nombre des douze passagers à bord du navire qui avaient travaillé comme membres de l’équipage du navire pendant le voyage de trois mois. Un agent d’immigration s’est dit d’avis que B010 devait être interdit de territoire au Canada pour s’être livré au passage de clandestins aux termes de l’al. 37(1)</w:t>
      </w:r>
      <w:r w:rsidRPr="00EF6C4E">
        <w:rPr>
          <w:i/>
          <w:sz w:val="20"/>
          <w:szCs w:val="20"/>
          <w:lang w:val="fr-CA"/>
        </w:rPr>
        <w:t>b)</w:t>
      </w:r>
      <w:r w:rsidRPr="00EF6C4E">
        <w:rPr>
          <w:sz w:val="20"/>
          <w:szCs w:val="20"/>
          <w:lang w:val="fr-CA"/>
        </w:rPr>
        <w:t xml:space="preserve"> de la</w:t>
      </w:r>
      <w:r w:rsidRPr="00EF6C4E">
        <w:rPr>
          <w:i/>
          <w:sz w:val="20"/>
          <w:szCs w:val="20"/>
          <w:lang w:val="fr-CA"/>
        </w:rPr>
        <w:t xml:space="preserve"> LIPR</w:t>
      </w:r>
      <w:r w:rsidRPr="00EF6C4E">
        <w:rPr>
          <w:sz w:val="20"/>
          <w:szCs w:val="20"/>
          <w:lang w:val="fr-CA"/>
        </w:rPr>
        <w:t>.</w:t>
      </w:r>
    </w:p>
    <w:p w:rsidR="002845D4" w:rsidRPr="00EF6C4E" w:rsidRDefault="002845D4" w:rsidP="002845D4">
      <w:pPr>
        <w:widowControl w:val="0"/>
        <w:jc w:val="both"/>
        <w:rPr>
          <w:sz w:val="20"/>
          <w:szCs w:val="20"/>
          <w:lang w:val="fr-CA"/>
        </w:rPr>
      </w:pPr>
    </w:p>
    <w:p w:rsidR="002845D4" w:rsidRPr="00EF6C4E" w:rsidRDefault="002845D4" w:rsidP="002845D4">
      <w:pPr>
        <w:widowControl w:val="0"/>
        <w:jc w:val="both"/>
        <w:rPr>
          <w:sz w:val="20"/>
          <w:szCs w:val="20"/>
          <w:lang w:val="fr-CA"/>
        </w:rPr>
      </w:pPr>
    </w:p>
    <w:p w:rsidR="002845D4" w:rsidRPr="00EF6C4E" w:rsidRDefault="002845D4" w:rsidP="002845D4">
      <w:pPr>
        <w:widowControl w:val="0"/>
        <w:ind w:left="2880" w:hanging="2880"/>
        <w:jc w:val="both"/>
        <w:rPr>
          <w:sz w:val="20"/>
          <w:szCs w:val="20"/>
          <w:lang w:val="fr-CA"/>
        </w:rPr>
      </w:pPr>
      <w:r w:rsidRPr="00EF6C4E">
        <w:rPr>
          <w:sz w:val="20"/>
          <w:szCs w:val="20"/>
          <w:lang w:val="fr-CA"/>
        </w:rPr>
        <w:t>Origine :</w:t>
      </w:r>
      <w:r w:rsidRPr="00EF6C4E">
        <w:rPr>
          <w:sz w:val="20"/>
          <w:szCs w:val="20"/>
          <w:lang w:val="fr-CA"/>
        </w:rPr>
        <w:tab/>
        <w:t>Cour d’appel fédérale</w:t>
      </w:r>
    </w:p>
    <w:p w:rsidR="002845D4" w:rsidRPr="00EF6C4E" w:rsidRDefault="002845D4" w:rsidP="002845D4">
      <w:pPr>
        <w:widowControl w:val="0"/>
        <w:ind w:left="2880" w:hanging="2880"/>
        <w:jc w:val="both"/>
        <w:rPr>
          <w:sz w:val="20"/>
          <w:szCs w:val="20"/>
          <w:lang w:val="fr-CA"/>
        </w:rPr>
      </w:pPr>
    </w:p>
    <w:p w:rsidR="002845D4" w:rsidRPr="00EF6C4E" w:rsidRDefault="002845D4" w:rsidP="002845D4">
      <w:pPr>
        <w:widowControl w:val="0"/>
        <w:ind w:left="2880" w:hanging="2880"/>
        <w:jc w:val="both"/>
        <w:rPr>
          <w:sz w:val="20"/>
          <w:szCs w:val="20"/>
          <w:lang w:val="fr-CA"/>
        </w:rPr>
      </w:pPr>
      <w:r w:rsidRPr="00EF6C4E">
        <w:rPr>
          <w:sz w:val="20"/>
          <w:szCs w:val="20"/>
          <w:lang w:val="fr-CA"/>
        </w:rPr>
        <w:t>N</w:t>
      </w:r>
      <w:r w:rsidRPr="00EF6C4E">
        <w:rPr>
          <w:sz w:val="20"/>
          <w:szCs w:val="20"/>
          <w:vertAlign w:val="superscript"/>
          <w:lang w:val="fr-CA"/>
        </w:rPr>
        <w:t>o</w:t>
      </w:r>
      <w:r w:rsidRPr="00EF6C4E">
        <w:rPr>
          <w:sz w:val="20"/>
          <w:szCs w:val="20"/>
          <w:lang w:val="fr-CA"/>
        </w:rPr>
        <w:t xml:space="preserve"> du greffe :</w:t>
      </w:r>
      <w:r w:rsidRPr="00EF6C4E">
        <w:rPr>
          <w:sz w:val="20"/>
          <w:szCs w:val="20"/>
          <w:lang w:val="fr-CA"/>
        </w:rPr>
        <w:tab/>
        <w:t>35388</w:t>
      </w:r>
    </w:p>
    <w:p w:rsidR="002845D4" w:rsidRPr="00EF6C4E" w:rsidRDefault="002845D4" w:rsidP="002845D4">
      <w:pPr>
        <w:widowControl w:val="0"/>
        <w:ind w:left="2880" w:hanging="2880"/>
        <w:jc w:val="both"/>
        <w:rPr>
          <w:sz w:val="20"/>
          <w:szCs w:val="20"/>
          <w:lang w:val="fr-CA"/>
        </w:rPr>
      </w:pPr>
    </w:p>
    <w:p w:rsidR="002845D4" w:rsidRPr="00EF6C4E" w:rsidRDefault="002845D4" w:rsidP="002845D4">
      <w:pPr>
        <w:widowControl w:val="0"/>
        <w:ind w:left="2880" w:hanging="2880"/>
        <w:jc w:val="both"/>
        <w:rPr>
          <w:sz w:val="20"/>
          <w:szCs w:val="20"/>
          <w:lang w:val="fr-CA"/>
        </w:rPr>
      </w:pPr>
      <w:r w:rsidRPr="00EF6C4E">
        <w:rPr>
          <w:sz w:val="20"/>
          <w:szCs w:val="20"/>
          <w:lang w:val="fr-CA"/>
        </w:rPr>
        <w:t>Arrêt de la Cour d’appel :</w:t>
      </w:r>
      <w:r w:rsidRPr="00EF6C4E">
        <w:rPr>
          <w:sz w:val="20"/>
          <w:szCs w:val="20"/>
          <w:lang w:val="fr-CA"/>
        </w:rPr>
        <w:tab/>
        <w:t>le 22 mars 2013</w:t>
      </w:r>
    </w:p>
    <w:p w:rsidR="002845D4" w:rsidRPr="00EF6C4E" w:rsidRDefault="002845D4" w:rsidP="002845D4">
      <w:pPr>
        <w:widowControl w:val="0"/>
        <w:ind w:left="2880" w:hanging="2880"/>
        <w:jc w:val="both"/>
        <w:rPr>
          <w:sz w:val="20"/>
          <w:szCs w:val="20"/>
          <w:lang w:val="fr-CA"/>
        </w:rPr>
      </w:pPr>
    </w:p>
    <w:p w:rsidR="002845D4" w:rsidRPr="00EF6C4E" w:rsidRDefault="002845D4" w:rsidP="002845D4">
      <w:pPr>
        <w:widowControl w:val="0"/>
        <w:ind w:left="2880" w:hanging="2880"/>
        <w:jc w:val="both"/>
        <w:rPr>
          <w:sz w:val="20"/>
          <w:szCs w:val="20"/>
        </w:rPr>
      </w:pPr>
      <w:r w:rsidRPr="00EF6C4E">
        <w:rPr>
          <w:sz w:val="20"/>
          <w:szCs w:val="20"/>
        </w:rPr>
        <w:t>Avocats :</w:t>
      </w:r>
      <w:r w:rsidRPr="00EF6C4E">
        <w:rPr>
          <w:sz w:val="20"/>
          <w:szCs w:val="20"/>
        </w:rPr>
        <w:tab/>
        <w:t>Rod H.G. Holloway, Erica Olmstead et Maria Sokolova pour l’appelant</w:t>
      </w:r>
    </w:p>
    <w:p w:rsidR="002845D4" w:rsidRPr="00EF6C4E" w:rsidRDefault="002845D4" w:rsidP="002845D4">
      <w:pPr>
        <w:widowControl w:val="0"/>
        <w:ind w:left="2880" w:hanging="2880"/>
        <w:jc w:val="both"/>
        <w:rPr>
          <w:sz w:val="20"/>
          <w:szCs w:val="20"/>
          <w:lang w:val="fr-CA"/>
        </w:rPr>
      </w:pPr>
      <w:r w:rsidRPr="00EF6C4E">
        <w:rPr>
          <w:sz w:val="20"/>
          <w:szCs w:val="20"/>
        </w:rPr>
        <w:tab/>
      </w:r>
      <w:r w:rsidRPr="00EF6C4E">
        <w:rPr>
          <w:sz w:val="20"/>
          <w:szCs w:val="20"/>
          <w:lang w:val="fr-CA"/>
        </w:rPr>
        <w:t>Marianne Zoric et François Joyal pour l’intimé</w:t>
      </w:r>
    </w:p>
    <w:p w:rsidR="00D96A7D" w:rsidRDefault="00D96A7D">
      <w:pPr>
        <w:rPr>
          <w:sz w:val="20"/>
          <w:szCs w:val="20"/>
          <w:lang w:val="fr-CA"/>
        </w:rPr>
      </w:pPr>
    </w:p>
    <w:p w:rsidR="00D96A7D" w:rsidRDefault="00E42AAB">
      <w:pPr>
        <w:rPr>
          <w:sz w:val="20"/>
          <w:szCs w:val="20"/>
          <w:lang w:val="fr-CA"/>
        </w:rPr>
      </w:pPr>
      <w:r>
        <w:rPr>
          <w:sz w:val="20"/>
          <w:szCs w:val="20"/>
          <w:lang w:val="fr-CA"/>
        </w:rPr>
        <w:pict>
          <v:rect id="_x0000_i1142" style="width:2in;height:1pt" o:hrpct="0" o:hralign="center" o:hrstd="t" o:hrnoshade="t" o:hr="t" fillcolor="black [3213]" stroked="f"/>
        </w:pict>
      </w:r>
    </w:p>
    <w:p w:rsidR="00D96A7D" w:rsidRDefault="00D96A7D">
      <w:pPr>
        <w:rPr>
          <w:sz w:val="20"/>
          <w:szCs w:val="20"/>
          <w:lang w:val="fr-CA"/>
        </w:rPr>
      </w:pPr>
      <w:r>
        <w:rPr>
          <w:sz w:val="20"/>
          <w:szCs w:val="20"/>
          <w:lang w:val="fr-CA"/>
        </w:rPr>
        <w:br w:type="page"/>
      </w:r>
    </w:p>
    <w:p w:rsidR="00413F86" w:rsidRPr="00CD681D" w:rsidRDefault="006F7944" w:rsidP="00413F86">
      <w:pPr>
        <w:widowControl w:val="0"/>
        <w:ind w:left="720" w:hanging="720"/>
        <w:jc w:val="both"/>
        <w:rPr>
          <w:sz w:val="20"/>
          <w:szCs w:val="20"/>
        </w:rPr>
      </w:pPr>
      <w:r w:rsidRPr="00CD681D">
        <w:rPr>
          <w:b/>
          <w:sz w:val="20"/>
          <w:szCs w:val="20"/>
        </w:rPr>
        <w:lastRenderedPageBreak/>
        <w:fldChar w:fldCharType="begin"/>
      </w:r>
      <w:r w:rsidR="00413F86" w:rsidRPr="00CD681D">
        <w:rPr>
          <w:b/>
          <w:sz w:val="20"/>
          <w:szCs w:val="20"/>
        </w:rPr>
        <w:instrText xml:space="preserve"> SEQ CHAPTER \h \r 1</w:instrText>
      </w:r>
      <w:r w:rsidRPr="00CD681D">
        <w:rPr>
          <w:b/>
          <w:sz w:val="20"/>
          <w:szCs w:val="20"/>
        </w:rPr>
        <w:fldChar w:fldCharType="end"/>
      </w:r>
      <w:r w:rsidR="00413F86" w:rsidRPr="00CD681D">
        <w:rPr>
          <w:b/>
          <w:sz w:val="20"/>
          <w:szCs w:val="20"/>
        </w:rPr>
        <w:t>35958</w:t>
      </w:r>
      <w:r w:rsidR="00413F86" w:rsidRPr="00CD681D">
        <w:rPr>
          <w:sz w:val="20"/>
          <w:szCs w:val="20"/>
        </w:rPr>
        <w:tab/>
      </w:r>
      <w:r w:rsidR="00413F86" w:rsidRPr="00CD681D">
        <w:rPr>
          <w:b/>
          <w:i/>
          <w:sz w:val="20"/>
          <w:szCs w:val="20"/>
        </w:rPr>
        <w:t>Francis Anthonimuthu Appulonappa, et al. v. Her Majesty the Queen</w:t>
      </w:r>
    </w:p>
    <w:p w:rsidR="00413F86" w:rsidRPr="00CD681D" w:rsidRDefault="00413F86" w:rsidP="00413F86">
      <w:pPr>
        <w:widowControl w:val="0"/>
        <w:jc w:val="both"/>
        <w:rPr>
          <w:sz w:val="20"/>
          <w:szCs w:val="20"/>
        </w:rPr>
      </w:pPr>
    </w:p>
    <w:p w:rsidR="00413F86" w:rsidRPr="00CD681D" w:rsidRDefault="00413F86" w:rsidP="00413F86">
      <w:pPr>
        <w:widowControl w:val="0"/>
        <w:jc w:val="both"/>
        <w:rPr>
          <w:sz w:val="20"/>
          <w:szCs w:val="20"/>
        </w:rPr>
      </w:pPr>
      <w:r w:rsidRPr="00CD681D">
        <w:rPr>
          <w:sz w:val="20"/>
          <w:szCs w:val="20"/>
        </w:rPr>
        <w:t>(</w:t>
      </w:r>
      <w:r w:rsidRPr="00413F86">
        <w:rPr>
          <w:smallCaps/>
          <w:sz w:val="20"/>
          <w:szCs w:val="20"/>
        </w:rPr>
        <w:t xml:space="preserve">Publication </w:t>
      </w:r>
      <w:r>
        <w:rPr>
          <w:smallCaps/>
          <w:sz w:val="20"/>
          <w:szCs w:val="20"/>
        </w:rPr>
        <w:t>B</w:t>
      </w:r>
      <w:r w:rsidRPr="00413F86">
        <w:rPr>
          <w:smallCaps/>
          <w:sz w:val="20"/>
          <w:szCs w:val="20"/>
        </w:rPr>
        <w:t xml:space="preserve">an in </w:t>
      </w:r>
      <w:r>
        <w:rPr>
          <w:smallCaps/>
          <w:sz w:val="20"/>
          <w:szCs w:val="20"/>
        </w:rPr>
        <w:t>C</w:t>
      </w:r>
      <w:r w:rsidRPr="00413F86">
        <w:rPr>
          <w:smallCaps/>
          <w:sz w:val="20"/>
          <w:szCs w:val="20"/>
        </w:rPr>
        <w:t>ase</w:t>
      </w:r>
      <w:r w:rsidRPr="00CD681D">
        <w:rPr>
          <w:sz w:val="20"/>
          <w:szCs w:val="20"/>
        </w:rPr>
        <w:t>)</w:t>
      </w:r>
    </w:p>
    <w:p w:rsidR="00413F86" w:rsidRPr="00CD681D" w:rsidRDefault="00413F86" w:rsidP="00413F86">
      <w:pPr>
        <w:widowControl w:val="0"/>
        <w:jc w:val="both"/>
        <w:rPr>
          <w:sz w:val="20"/>
          <w:szCs w:val="20"/>
        </w:rPr>
      </w:pPr>
    </w:p>
    <w:p w:rsidR="00413F86" w:rsidRPr="00CD681D" w:rsidRDefault="00413F86" w:rsidP="00413F86">
      <w:pPr>
        <w:jc w:val="both"/>
        <w:rPr>
          <w:sz w:val="20"/>
          <w:szCs w:val="20"/>
        </w:rPr>
      </w:pPr>
      <w:r w:rsidRPr="00CD681D">
        <w:rPr>
          <w:i/>
          <w:sz w:val="20"/>
          <w:szCs w:val="20"/>
        </w:rPr>
        <w:t>Charter of Rights and Freedoms</w:t>
      </w:r>
      <w:r w:rsidRPr="00CD681D">
        <w:rPr>
          <w:sz w:val="20"/>
          <w:szCs w:val="20"/>
        </w:rPr>
        <w:t xml:space="preserve"> - Constitutional law - Right to life, liberty and security of the person - Overbreadth - Provision of the </w:t>
      </w:r>
      <w:r w:rsidRPr="00CD681D">
        <w:rPr>
          <w:i/>
          <w:sz w:val="20"/>
          <w:szCs w:val="20"/>
        </w:rPr>
        <w:t>Immigration and Refugee Protection Act</w:t>
      </w:r>
      <w:r w:rsidRPr="00CD681D">
        <w:rPr>
          <w:sz w:val="20"/>
          <w:szCs w:val="20"/>
        </w:rPr>
        <w:t xml:space="preserve"> making it an offence to knowingly aid or abet the coming into Canada of one or more persons who are not in possession of a visa, passport or other document required by that Act - Whether the provision is overbroad or vague and therefore unjustifiably infringes s. 7 of the </w:t>
      </w:r>
      <w:r w:rsidRPr="00CD681D">
        <w:rPr>
          <w:i/>
          <w:sz w:val="20"/>
          <w:szCs w:val="20"/>
        </w:rPr>
        <w:t>Canadian Charter of Rights and Freedoms</w:t>
      </w:r>
      <w:r w:rsidRPr="00CD681D">
        <w:rPr>
          <w:sz w:val="20"/>
          <w:szCs w:val="20"/>
        </w:rPr>
        <w:t xml:space="preserve">? - </w:t>
      </w:r>
      <w:r w:rsidRPr="00CD681D">
        <w:rPr>
          <w:i/>
          <w:sz w:val="20"/>
          <w:szCs w:val="20"/>
        </w:rPr>
        <w:t>Immigration and Refugee Protection Act</w:t>
      </w:r>
      <w:r w:rsidRPr="00CD681D">
        <w:rPr>
          <w:sz w:val="20"/>
          <w:szCs w:val="20"/>
        </w:rPr>
        <w:t>, S.C. 2001, c. 27 (“</w:t>
      </w:r>
      <w:r w:rsidRPr="00CD681D">
        <w:rPr>
          <w:i/>
          <w:sz w:val="20"/>
          <w:szCs w:val="20"/>
        </w:rPr>
        <w:t>IRPA</w:t>
      </w:r>
      <w:r w:rsidRPr="00CD681D">
        <w:rPr>
          <w:sz w:val="20"/>
          <w:szCs w:val="20"/>
        </w:rPr>
        <w:t>”), s. 117.</w:t>
      </w:r>
    </w:p>
    <w:p w:rsidR="00413F86" w:rsidRPr="00CD681D" w:rsidRDefault="00413F86" w:rsidP="00413F86">
      <w:pPr>
        <w:widowControl w:val="0"/>
        <w:jc w:val="both"/>
        <w:rPr>
          <w:sz w:val="20"/>
          <w:szCs w:val="20"/>
        </w:rPr>
      </w:pPr>
    </w:p>
    <w:p w:rsidR="00413F86" w:rsidRPr="00CD681D" w:rsidRDefault="00413F86" w:rsidP="00413F86">
      <w:pPr>
        <w:jc w:val="both"/>
        <w:rPr>
          <w:sz w:val="20"/>
          <w:szCs w:val="20"/>
        </w:rPr>
      </w:pPr>
      <w:r w:rsidRPr="00CD681D">
        <w:rPr>
          <w:sz w:val="20"/>
          <w:szCs w:val="20"/>
        </w:rPr>
        <w:t xml:space="preserve">On October 17, 2009, Canadian authorities intercepted a freight ship off the coast of Vancouver Island, British Columbia. The vessel was carrying 76 Sri Lankan Tamils, none of whom had proper documentation to enter the country, and all of whom initiated refugee claims upon arrival in Canada. Each paid, or promised to pay, between $30,000 and $40,000 for the voyage. </w:t>
      </w:r>
    </w:p>
    <w:p w:rsidR="00413F86" w:rsidRPr="00CD681D" w:rsidRDefault="00413F86" w:rsidP="00413F86">
      <w:pPr>
        <w:jc w:val="both"/>
        <w:rPr>
          <w:sz w:val="20"/>
          <w:szCs w:val="20"/>
        </w:rPr>
      </w:pPr>
    </w:p>
    <w:p w:rsidR="00413F86" w:rsidRPr="00CD681D" w:rsidRDefault="00413F86" w:rsidP="00413F86">
      <w:pPr>
        <w:jc w:val="both"/>
        <w:rPr>
          <w:sz w:val="20"/>
          <w:szCs w:val="20"/>
        </w:rPr>
      </w:pPr>
      <w:r w:rsidRPr="00CD681D">
        <w:rPr>
          <w:sz w:val="20"/>
          <w:szCs w:val="20"/>
        </w:rPr>
        <w:t xml:space="preserve">The Crown alleged that the four appellants, who were on board the ship, had organized the voyage, and were the captain and chief crew members of the ship. The appellants were charged under s. 117 of the </w:t>
      </w:r>
      <w:r w:rsidRPr="00CD681D">
        <w:rPr>
          <w:i/>
          <w:sz w:val="20"/>
          <w:szCs w:val="20"/>
        </w:rPr>
        <w:t>IRPA</w:t>
      </w:r>
      <w:r w:rsidRPr="00CD681D">
        <w:rPr>
          <w:sz w:val="20"/>
          <w:szCs w:val="20"/>
        </w:rPr>
        <w:t xml:space="preserve">, with organizing the illegal entry into Canada of a group of 10 or more individuals. The offence is known colloquially as the offence of “human smuggling.” </w:t>
      </w:r>
    </w:p>
    <w:p w:rsidR="00413F86" w:rsidRPr="00CD681D" w:rsidRDefault="00413F86" w:rsidP="00413F86">
      <w:pPr>
        <w:jc w:val="both"/>
        <w:rPr>
          <w:sz w:val="20"/>
          <w:szCs w:val="20"/>
        </w:rPr>
      </w:pPr>
    </w:p>
    <w:p w:rsidR="00413F86" w:rsidRPr="00CD681D" w:rsidRDefault="00413F86" w:rsidP="00413F86">
      <w:pPr>
        <w:widowControl w:val="0"/>
        <w:jc w:val="both"/>
        <w:rPr>
          <w:sz w:val="20"/>
          <w:szCs w:val="20"/>
        </w:rPr>
      </w:pPr>
      <w:r w:rsidRPr="00CD681D">
        <w:rPr>
          <w:sz w:val="20"/>
          <w:szCs w:val="20"/>
        </w:rPr>
        <w:t xml:space="preserve">Prior to their trial, the appellants sought an order declaring that s. 117 unjustifiably infringes s. 7 of the </w:t>
      </w:r>
      <w:r w:rsidRPr="00CD681D">
        <w:rPr>
          <w:i/>
          <w:sz w:val="20"/>
          <w:szCs w:val="20"/>
        </w:rPr>
        <w:t>Canadian Charter of Rights and Freedom</w:t>
      </w:r>
      <w:r w:rsidRPr="00CD681D">
        <w:rPr>
          <w:sz w:val="20"/>
          <w:szCs w:val="20"/>
        </w:rPr>
        <w:t xml:space="preserve"> and is therefore of no force or effect. They claimed that s. 117 was overbroad and inconsistent with the principles of fundamental justice, as it criminalized the acts of certain persons (i.e. humanitarian workers and close family members helping each other) who were not intended to be prosecuted. They were successful before the Supreme Court of British Columbia, but the British Columbia Court of Appeal overturned the decision.</w:t>
      </w:r>
    </w:p>
    <w:p w:rsidR="00413F86" w:rsidRPr="00CD681D" w:rsidRDefault="00413F86" w:rsidP="00413F86">
      <w:pPr>
        <w:widowControl w:val="0"/>
        <w:jc w:val="both"/>
        <w:rPr>
          <w:sz w:val="20"/>
          <w:szCs w:val="20"/>
        </w:rPr>
      </w:pPr>
    </w:p>
    <w:p w:rsidR="00413F86" w:rsidRPr="00CD681D" w:rsidRDefault="00413F86" w:rsidP="00413F86">
      <w:pPr>
        <w:widowControl w:val="0"/>
        <w:jc w:val="both"/>
        <w:rPr>
          <w:sz w:val="20"/>
          <w:szCs w:val="20"/>
        </w:rPr>
      </w:pPr>
    </w:p>
    <w:p w:rsidR="00413F86" w:rsidRPr="00CD681D" w:rsidRDefault="00413F86" w:rsidP="00413F86">
      <w:pPr>
        <w:widowControl w:val="0"/>
        <w:ind w:left="2880" w:hanging="2880"/>
        <w:jc w:val="both"/>
        <w:rPr>
          <w:sz w:val="20"/>
          <w:szCs w:val="20"/>
        </w:rPr>
      </w:pPr>
      <w:r w:rsidRPr="00CD681D">
        <w:rPr>
          <w:sz w:val="20"/>
          <w:szCs w:val="20"/>
        </w:rPr>
        <w:t>Origin of the case:</w:t>
      </w:r>
      <w:r w:rsidRPr="00CD681D">
        <w:rPr>
          <w:sz w:val="20"/>
          <w:szCs w:val="20"/>
        </w:rPr>
        <w:tab/>
        <w:t>British Columbia</w:t>
      </w:r>
    </w:p>
    <w:p w:rsidR="00413F86" w:rsidRPr="00CD681D" w:rsidRDefault="00413F86" w:rsidP="00413F86">
      <w:pPr>
        <w:widowControl w:val="0"/>
        <w:ind w:left="2880" w:hanging="2880"/>
        <w:jc w:val="both"/>
        <w:rPr>
          <w:sz w:val="20"/>
          <w:szCs w:val="20"/>
        </w:rPr>
      </w:pPr>
    </w:p>
    <w:p w:rsidR="00413F86" w:rsidRPr="00CD681D" w:rsidRDefault="00413F86" w:rsidP="00413F86">
      <w:pPr>
        <w:widowControl w:val="0"/>
        <w:ind w:left="2880" w:hanging="2880"/>
        <w:jc w:val="both"/>
        <w:rPr>
          <w:sz w:val="20"/>
          <w:szCs w:val="20"/>
        </w:rPr>
      </w:pPr>
      <w:r w:rsidRPr="00CD681D">
        <w:rPr>
          <w:sz w:val="20"/>
          <w:szCs w:val="20"/>
        </w:rPr>
        <w:t>File No.:</w:t>
      </w:r>
      <w:r w:rsidRPr="00CD681D">
        <w:rPr>
          <w:sz w:val="20"/>
          <w:szCs w:val="20"/>
        </w:rPr>
        <w:tab/>
        <w:t>35958</w:t>
      </w:r>
    </w:p>
    <w:p w:rsidR="00413F86" w:rsidRPr="00CD681D" w:rsidRDefault="00413F86" w:rsidP="00413F86">
      <w:pPr>
        <w:widowControl w:val="0"/>
        <w:ind w:left="2880" w:hanging="2880"/>
        <w:jc w:val="both"/>
        <w:rPr>
          <w:sz w:val="20"/>
          <w:szCs w:val="20"/>
        </w:rPr>
      </w:pPr>
    </w:p>
    <w:p w:rsidR="00413F86" w:rsidRPr="00CD681D" w:rsidRDefault="00413F86" w:rsidP="00413F86">
      <w:pPr>
        <w:widowControl w:val="0"/>
        <w:ind w:left="2880" w:hanging="2880"/>
        <w:jc w:val="both"/>
        <w:rPr>
          <w:sz w:val="20"/>
          <w:szCs w:val="20"/>
        </w:rPr>
      </w:pPr>
      <w:r w:rsidRPr="00CD681D">
        <w:rPr>
          <w:sz w:val="20"/>
          <w:szCs w:val="20"/>
        </w:rPr>
        <w:t>Judgment of the Court of Appeal:</w:t>
      </w:r>
      <w:r w:rsidRPr="00CD681D">
        <w:rPr>
          <w:sz w:val="20"/>
          <w:szCs w:val="20"/>
        </w:rPr>
        <w:tab/>
        <w:t>April 30, 2014</w:t>
      </w:r>
    </w:p>
    <w:p w:rsidR="00413F86" w:rsidRPr="00CD681D" w:rsidRDefault="00413F86" w:rsidP="00413F86">
      <w:pPr>
        <w:widowControl w:val="0"/>
        <w:ind w:left="2880" w:hanging="2880"/>
        <w:jc w:val="both"/>
        <w:rPr>
          <w:sz w:val="20"/>
          <w:szCs w:val="20"/>
        </w:rPr>
      </w:pPr>
    </w:p>
    <w:p w:rsidR="00413F86" w:rsidRPr="00CD681D" w:rsidRDefault="00413F86" w:rsidP="00413F86">
      <w:pPr>
        <w:widowControl w:val="0"/>
        <w:ind w:left="2880" w:hanging="2880"/>
        <w:jc w:val="both"/>
        <w:rPr>
          <w:sz w:val="20"/>
          <w:szCs w:val="20"/>
        </w:rPr>
      </w:pPr>
      <w:r w:rsidRPr="00CD681D">
        <w:rPr>
          <w:sz w:val="20"/>
          <w:szCs w:val="20"/>
        </w:rPr>
        <w:t>Counsel:</w:t>
      </w:r>
      <w:r w:rsidRPr="00CD681D">
        <w:rPr>
          <w:sz w:val="20"/>
          <w:szCs w:val="20"/>
        </w:rPr>
        <w:tab/>
        <w:t>Fiona Begg for the appellant Appulonappa</w:t>
      </w:r>
    </w:p>
    <w:p w:rsidR="00413F86" w:rsidRPr="00CD681D" w:rsidRDefault="00413F86" w:rsidP="00413F86">
      <w:pPr>
        <w:widowControl w:val="0"/>
        <w:ind w:left="2880" w:hanging="2880"/>
        <w:jc w:val="both"/>
        <w:rPr>
          <w:sz w:val="20"/>
          <w:szCs w:val="20"/>
        </w:rPr>
      </w:pPr>
      <w:r w:rsidRPr="00CD681D">
        <w:rPr>
          <w:sz w:val="20"/>
          <w:szCs w:val="20"/>
        </w:rPr>
        <w:tab/>
        <w:t>Peter H. Edelmann for the appellant Handasamy</w:t>
      </w:r>
    </w:p>
    <w:p w:rsidR="00413F86" w:rsidRPr="00CD681D" w:rsidRDefault="00413F86" w:rsidP="00413F86">
      <w:pPr>
        <w:widowControl w:val="0"/>
        <w:ind w:left="2880" w:hanging="2880"/>
        <w:jc w:val="both"/>
        <w:rPr>
          <w:sz w:val="20"/>
          <w:szCs w:val="20"/>
        </w:rPr>
      </w:pPr>
      <w:r w:rsidRPr="00CD681D">
        <w:rPr>
          <w:sz w:val="20"/>
          <w:szCs w:val="20"/>
        </w:rPr>
        <w:tab/>
        <w:t>Phillip C. Rankin for the appellant Kanagarajah</w:t>
      </w:r>
    </w:p>
    <w:p w:rsidR="00413F86" w:rsidRPr="00CD681D" w:rsidRDefault="00413F86" w:rsidP="00413F86">
      <w:pPr>
        <w:widowControl w:val="0"/>
        <w:ind w:left="2880" w:hanging="2880"/>
        <w:jc w:val="both"/>
        <w:rPr>
          <w:sz w:val="20"/>
          <w:szCs w:val="20"/>
        </w:rPr>
      </w:pPr>
      <w:r w:rsidRPr="00CD681D">
        <w:rPr>
          <w:sz w:val="20"/>
          <w:szCs w:val="20"/>
        </w:rPr>
        <w:tab/>
        <w:t>Gregory P. DelBigio, Q.C. for the appellant Thevarajah</w:t>
      </w:r>
    </w:p>
    <w:p w:rsidR="00413F86" w:rsidRPr="00CD681D" w:rsidRDefault="00413F86" w:rsidP="00413F86">
      <w:pPr>
        <w:widowControl w:val="0"/>
        <w:ind w:left="2880" w:hanging="2880"/>
        <w:jc w:val="both"/>
        <w:rPr>
          <w:sz w:val="20"/>
          <w:szCs w:val="20"/>
        </w:rPr>
      </w:pPr>
      <w:r w:rsidRPr="00CD681D">
        <w:rPr>
          <w:sz w:val="20"/>
          <w:szCs w:val="20"/>
        </w:rPr>
        <w:tab/>
        <w:t>Paul W. Riley for the Respondent</w:t>
      </w:r>
    </w:p>
    <w:p w:rsidR="00D96A7D" w:rsidRPr="00413F86" w:rsidRDefault="00D96A7D">
      <w:pPr>
        <w:rPr>
          <w:sz w:val="20"/>
          <w:szCs w:val="20"/>
        </w:rPr>
      </w:pPr>
    </w:p>
    <w:p w:rsidR="00D96A7D" w:rsidRDefault="00E42AAB">
      <w:pPr>
        <w:rPr>
          <w:sz w:val="20"/>
          <w:szCs w:val="20"/>
          <w:lang w:val="fr-CA"/>
        </w:rPr>
      </w:pPr>
      <w:r>
        <w:rPr>
          <w:sz w:val="20"/>
          <w:szCs w:val="20"/>
          <w:lang w:val="fr-CA"/>
        </w:rPr>
        <w:pict>
          <v:rect id="_x0000_i1143" style="width:2in;height:1pt" o:hrpct="0" o:hralign="center" o:hrstd="t" o:hrnoshade="t" o:hr="t" fillcolor="black [3213]" stroked="f"/>
        </w:pict>
      </w:r>
    </w:p>
    <w:p w:rsidR="00D96A7D" w:rsidRDefault="00D96A7D">
      <w:pPr>
        <w:rPr>
          <w:sz w:val="20"/>
          <w:szCs w:val="20"/>
          <w:lang w:val="fr-CA"/>
        </w:rPr>
      </w:pPr>
      <w:r>
        <w:rPr>
          <w:sz w:val="20"/>
          <w:szCs w:val="20"/>
          <w:lang w:val="fr-CA"/>
        </w:rPr>
        <w:br w:type="page"/>
      </w:r>
    </w:p>
    <w:p w:rsidR="00413F86" w:rsidRPr="007B734B" w:rsidRDefault="006F7944" w:rsidP="00413F86">
      <w:pPr>
        <w:widowControl w:val="0"/>
        <w:ind w:left="720" w:hanging="720"/>
        <w:jc w:val="both"/>
        <w:rPr>
          <w:sz w:val="20"/>
          <w:szCs w:val="20"/>
          <w:lang w:val="fr-CA"/>
        </w:rPr>
      </w:pPr>
      <w:r w:rsidRPr="007B734B">
        <w:rPr>
          <w:b/>
          <w:sz w:val="20"/>
          <w:szCs w:val="20"/>
          <w:lang w:val="fr-CA"/>
        </w:rPr>
        <w:lastRenderedPageBreak/>
        <w:fldChar w:fldCharType="begin"/>
      </w:r>
      <w:r w:rsidR="00413F86" w:rsidRPr="007B734B">
        <w:rPr>
          <w:b/>
          <w:sz w:val="20"/>
          <w:szCs w:val="20"/>
          <w:lang w:val="fr-CA"/>
        </w:rPr>
        <w:instrText xml:space="preserve"> SEQ CHAPTER \h \r 1</w:instrText>
      </w:r>
      <w:r w:rsidRPr="007B734B">
        <w:rPr>
          <w:b/>
          <w:sz w:val="20"/>
          <w:szCs w:val="20"/>
          <w:lang w:val="fr-CA"/>
        </w:rPr>
        <w:fldChar w:fldCharType="end"/>
      </w:r>
      <w:r w:rsidR="00413F86" w:rsidRPr="007B734B">
        <w:rPr>
          <w:b/>
          <w:sz w:val="20"/>
          <w:szCs w:val="20"/>
          <w:lang w:val="fr-CA"/>
        </w:rPr>
        <w:t>35958</w:t>
      </w:r>
      <w:r w:rsidR="00413F86" w:rsidRPr="007B734B">
        <w:rPr>
          <w:sz w:val="20"/>
          <w:szCs w:val="20"/>
          <w:lang w:val="fr-CA"/>
        </w:rPr>
        <w:tab/>
      </w:r>
      <w:r w:rsidR="00413F86" w:rsidRPr="007B734B">
        <w:rPr>
          <w:b/>
          <w:i/>
          <w:sz w:val="20"/>
          <w:szCs w:val="20"/>
          <w:lang w:val="fr-CA"/>
        </w:rPr>
        <w:t>Francis Anthonimuthu Appulonappa, et al. c. Sa Majesté la Reine</w:t>
      </w:r>
    </w:p>
    <w:p w:rsidR="00413F86" w:rsidRPr="007B734B" w:rsidRDefault="00413F86" w:rsidP="00413F86">
      <w:pPr>
        <w:widowControl w:val="0"/>
        <w:jc w:val="both"/>
        <w:rPr>
          <w:sz w:val="20"/>
          <w:szCs w:val="20"/>
          <w:lang w:val="fr-CA"/>
        </w:rPr>
      </w:pPr>
    </w:p>
    <w:p w:rsidR="00413F86" w:rsidRPr="007B734B" w:rsidRDefault="00413F86" w:rsidP="00413F86">
      <w:pPr>
        <w:widowControl w:val="0"/>
        <w:jc w:val="both"/>
        <w:rPr>
          <w:sz w:val="20"/>
          <w:szCs w:val="20"/>
          <w:lang w:val="fr-CA"/>
        </w:rPr>
      </w:pPr>
      <w:r w:rsidRPr="007B734B">
        <w:rPr>
          <w:sz w:val="20"/>
          <w:szCs w:val="20"/>
          <w:lang w:val="fr-CA"/>
        </w:rPr>
        <w:t>(</w:t>
      </w:r>
      <w:r w:rsidRPr="007B734B">
        <w:rPr>
          <w:smallCaps/>
          <w:sz w:val="20"/>
          <w:szCs w:val="20"/>
          <w:lang w:val="fr-CA"/>
        </w:rPr>
        <w:t>Ordonnance de non-publication dans le dossier</w:t>
      </w:r>
      <w:r w:rsidRPr="007B734B">
        <w:rPr>
          <w:sz w:val="20"/>
          <w:szCs w:val="20"/>
          <w:lang w:val="fr-CA"/>
        </w:rPr>
        <w:t>)</w:t>
      </w:r>
    </w:p>
    <w:p w:rsidR="00413F86" w:rsidRPr="007B734B" w:rsidRDefault="00413F86" w:rsidP="00413F86">
      <w:pPr>
        <w:widowControl w:val="0"/>
        <w:jc w:val="both"/>
        <w:rPr>
          <w:sz w:val="20"/>
          <w:szCs w:val="20"/>
          <w:lang w:val="fr-CA"/>
        </w:rPr>
      </w:pPr>
    </w:p>
    <w:p w:rsidR="00413F86" w:rsidRPr="007B734B" w:rsidRDefault="00413F86" w:rsidP="00413F86">
      <w:pPr>
        <w:jc w:val="both"/>
        <w:rPr>
          <w:sz w:val="20"/>
          <w:szCs w:val="20"/>
          <w:lang w:val="fr-CA"/>
        </w:rPr>
      </w:pPr>
      <w:r w:rsidRPr="007B734B">
        <w:rPr>
          <w:i/>
          <w:sz w:val="20"/>
          <w:szCs w:val="20"/>
          <w:lang w:val="fr-CA"/>
        </w:rPr>
        <w:t xml:space="preserve">Charte des droits et libertés </w:t>
      </w:r>
      <w:r w:rsidRPr="007B734B">
        <w:rPr>
          <w:sz w:val="20"/>
          <w:szCs w:val="20"/>
          <w:lang w:val="fr-CA"/>
        </w:rPr>
        <w:t xml:space="preserve">- Droit constitutionnel - Droit à la vie, à la liberté et à la sécurité de la personne - Portée excessive - Aux termes d’une disposition de la </w:t>
      </w:r>
      <w:r w:rsidRPr="007B734B">
        <w:rPr>
          <w:i/>
          <w:sz w:val="20"/>
          <w:szCs w:val="20"/>
          <w:lang w:val="fr-CA"/>
        </w:rPr>
        <w:t>Loi sur l’immigration et la protection des réfugiés</w:t>
      </w:r>
      <w:r w:rsidRPr="007B734B">
        <w:rPr>
          <w:sz w:val="20"/>
          <w:szCs w:val="20"/>
          <w:lang w:val="fr-CA"/>
        </w:rPr>
        <w:t xml:space="preserve">, est coupable d’une infraction quiconque sciemment aide ou encourage l’entrée au Canada d’une ou de plusieurs personnes qui ne sont pas munies d’un visa, d’un passeport ou d’un autre document exigé par cette loi - La disposition a-t-elle une portée excessive ou est-elle imprécise, violant ainsi d’une manière injustifiable l’art. 7 de la </w:t>
      </w:r>
      <w:r w:rsidRPr="007B734B">
        <w:rPr>
          <w:i/>
          <w:sz w:val="20"/>
          <w:szCs w:val="20"/>
          <w:lang w:val="fr-CA"/>
        </w:rPr>
        <w:t>Charte canadienne des droits et libertés</w:t>
      </w:r>
      <w:r w:rsidRPr="007B734B">
        <w:rPr>
          <w:sz w:val="20"/>
          <w:szCs w:val="20"/>
          <w:lang w:val="fr-CA"/>
        </w:rPr>
        <w:t xml:space="preserve">? - </w:t>
      </w:r>
      <w:r w:rsidRPr="007B734B">
        <w:rPr>
          <w:i/>
          <w:sz w:val="20"/>
          <w:szCs w:val="20"/>
          <w:lang w:val="fr-CA"/>
        </w:rPr>
        <w:t xml:space="preserve">Loi sur l’immigration et la protection des réfugiés, </w:t>
      </w:r>
      <w:r w:rsidRPr="007B734B">
        <w:rPr>
          <w:sz w:val="20"/>
          <w:szCs w:val="20"/>
          <w:lang w:val="fr-CA"/>
        </w:rPr>
        <w:t>L.C. 2001, c. 27 (« </w:t>
      </w:r>
      <w:r w:rsidRPr="007B734B">
        <w:rPr>
          <w:i/>
          <w:sz w:val="20"/>
          <w:szCs w:val="20"/>
          <w:lang w:val="fr-CA"/>
        </w:rPr>
        <w:t>LIPR</w:t>
      </w:r>
      <w:r w:rsidRPr="007B734B">
        <w:rPr>
          <w:sz w:val="20"/>
          <w:szCs w:val="20"/>
          <w:lang w:val="fr-CA"/>
        </w:rPr>
        <w:t> ») art. 117.</w:t>
      </w:r>
    </w:p>
    <w:p w:rsidR="00413F86" w:rsidRPr="007B734B" w:rsidRDefault="00413F86" w:rsidP="00413F86">
      <w:pPr>
        <w:widowControl w:val="0"/>
        <w:jc w:val="both"/>
        <w:rPr>
          <w:sz w:val="20"/>
          <w:szCs w:val="20"/>
          <w:lang w:val="fr-CA"/>
        </w:rPr>
      </w:pPr>
    </w:p>
    <w:p w:rsidR="00413F86" w:rsidRPr="007B734B" w:rsidRDefault="00413F86" w:rsidP="00413F86">
      <w:pPr>
        <w:jc w:val="both"/>
        <w:rPr>
          <w:sz w:val="20"/>
          <w:szCs w:val="20"/>
          <w:lang w:val="fr-CA"/>
        </w:rPr>
      </w:pPr>
      <w:r w:rsidRPr="007B734B">
        <w:rPr>
          <w:sz w:val="20"/>
          <w:szCs w:val="20"/>
          <w:lang w:val="fr-CA"/>
        </w:rPr>
        <w:t xml:space="preserve">Le 17 octobre 2009, les autorités canadiennes ont intercepté un navire près de la côte de l’île de Vancouver (Colombie-Britannique). Le navire avait à son bord 76 Tamouls Sri Lankais; aucun d’entre eux n’avait la documentation adéquate pour entrer au pays et tous ont introduit des demandes d’asile à leur arrivée au Canada. Chacun d’eux avait payé, ou promis de payer, entre 30 000$ et 40 000$ pour le voyage. </w:t>
      </w:r>
    </w:p>
    <w:p w:rsidR="00413F86" w:rsidRPr="007B734B" w:rsidRDefault="00413F86" w:rsidP="00413F86">
      <w:pPr>
        <w:jc w:val="both"/>
        <w:rPr>
          <w:sz w:val="20"/>
          <w:szCs w:val="20"/>
          <w:lang w:val="fr-CA"/>
        </w:rPr>
      </w:pPr>
    </w:p>
    <w:p w:rsidR="00413F86" w:rsidRPr="007B734B" w:rsidRDefault="00413F86" w:rsidP="00413F86">
      <w:pPr>
        <w:jc w:val="both"/>
        <w:rPr>
          <w:sz w:val="20"/>
          <w:szCs w:val="20"/>
          <w:lang w:val="fr-CA"/>
        </w:rPr>
      </w:pPr>
      <w:r w:rsidRPr="007B734B">
        <w:rPr>
          <w:sz w:val="20"/>
          <w:szCs w:val="20"/>
          <w:lang w:val="fr-CA"/>
        </w:rPr>
        <w:t xml:space="preserve">Le ministère public a allégué que les quatre appelants qui se trouvaient à bord du navire avaient organisé le voyage et qu’ils agissaient à titre de capitaine et de membres de l’équipage en chef du navire. Les appelants ont été accusés en vertu de l’art. 117 de la </w:t>
      </w:r>
      <w:r w:rsidRPr="007B734B">
        <w:rPr>
          <w:i/>
          <w:sz w:val="20"/>
          <w:szCs w:val="20"/>
          <w:lang w:val="fr-CA"/>
        </w:rPr>
        <w:t xml:space="preserve">LIPR </w:t>
      </w:r>
      <w:r w:rsidRPr="007B734B">
        <w:rPr>
          <w:sz w:val="20"/>
          <w:szCs w:val="20"/>
          <w:lang w:val="fr-CA"/>
        </w:rPr>
        <w:t xml:space="preserve">d’avoir organisé l’entrée illégale au Canada d’un groupe de dix personnes et plus. L’infraction est surnommée « passage de clandestins ». </w:t>
      </w:r>
    </w:p>
    <w:p w:rsidR="00413F86" w:rsidRPr="007B734B" w:rsidRDefault="00413F86" w:rsidP="00413F86">
      <w:pPr>
        <w:jc w:val="both"/>
        <w:rPr>
          <w:sz w:val="20"/>
          <w:szCs w:val="20"/>
          <w:lang w:val="fr-CA"/>
        </w:rPr>
      </w:pPr>
    </w:p>
    <w:p w:rsidR="00413F86" w:rsidRPr="007B734B" w:rsidRDefault="00413F86" w:rsidP="00413F86">
      <w:pPr>
        <w:widowControl w:val="0"/>
        <w:jc w:val="both"/>
        <w:rPr>
          <w:sz w:val="20"/>
          <w:szCs w:val="20"/>
          <w:lang w:val="fr-CA"/>
        </w:rPr>
      </w:pPr>
      <w:r w:rsidRPr="007B734B">
        <w:rPr>
          <w:sz w:val="20"/>
          <w:szCs w:val="20"/>
          <w:lang w:val="fr-CA"/>
        </w:rPr>
        <w:t xml:space="preserve">Avant leur procès, les appelants ont demandé une ordonnance déclarant que l’art. 117 viole d’une manière injustifiable l’art. 7 de la </w:t>
      </w:r>
      <w:r w:rsidRPr="007B734B">
        <w:rPr>
          <w:i/>
          <w:sz w:val="20"/>
          <w:szCs w:val="20"/>
          <w:lang w:val="fr-CA"/>
        </w:rPr>
        <w:t xml:space="preserve">Charte canadienne des droits et libertés </w:t>
      </w:r>
      <w:r w:rsidRPr="007B734B">
        <w:rPr>
          <w:sz w:val="20"/>
          <w:szCs w:val="20"/>
          <w:lang w:val="fr-CA"/>
        </w:rPr>
        <w:t>et est, par conséquent, inopérant. Les demandeurs ont allégué que l’art. 117 avait une portée excessive et qu’il était incompatible avec les principes de justice fondamentale, puisqu’il criminalise les gestes de certaines personnes (notamment les travailleurs humanitaires et les proches parents qui s’entraident) qui n’étaient pas censées être poursuivies en justice. Ils ont eu gain de cause en Cour suprême de la Colombie-Britannique, mais la Cour d’appel a infirmé la décision.</w:t>
      </w:r>
    </w:p>
    <w:p w:rsidR="00413F86" w:rsidRPr="007B734B" w:rsidRDefault="00413F86" w:rsidP="00413F86">
      <w:pPr>
        <w:widowControl w:val="0"/>
        <w:jc w:val="both"/>
        <w:rPr>
          <w:sz w:val="20"/>
          <w:szCs w:val="20"/>
          <w:lang w:val="fr-CA"/>
        </w:rPr>
      </w:pPr>
    </w:p>
    <w:p w:rsidR="00413F86" w:rsidRPr="007B734B" w:rsidRDefault="00413F86" w:rsidP="00413F86">
      <w:pPr>
        <w:widowControl w:val="0"/>
        <w:jc w:val="both"/>
        <w:rPr>
          <w:sz w:val="20"/>
          <w:szCs w:val="20"/>
          <w:lang w:val="fr-CA"/>
        </w:rPr>
      </w:pPr>
    </w:p>
    <w:p w:rsidR="00413F86" w:rsidRPr="007B734B" w:rsidRDefault="00413F86" w:rsidP="00413F86">
      <w:pPr>
        <w:widowControl w:val="0"/>
        <w:ind w:left="2880" w:hanging="2880"/>
        <w:jc w:val="both"/>
        <w:rPr>
          <w:sz w:val="20"/>
          <w:szCs w:val="20"/>
          <w:lang w:val="fr-CA"/>
        </w:rPr>
      </w:pPr>
      <w:r w:rsidRPr="007B734B">
        <w:rPr>
          <w:sz w:val="20"/>
          <w:szCs w:val="20"/>
          <w:lang w:val="fr-CA"/>
        </w:rPr>
        <w:t>Origine :</w:t>
      </w:r>
      <w:r w:rsidRPr="007B734B">
        <w:rPr>
          <w:sz w:val="20"/>
          <w:szCs w:val="20"/>
          <w:lang w:val="fr-CA"/>
        </w:rPr>
        <w:tab/>
        <w:t>Colombie-Britannique</w:t>
      </w:r>
    </w:p>
    <w:p w:rsidR="00413F86" w:rsidRPr="007B734B" w:rsidRDefault="00413F86" w:rsidP="00413F86">
      <w:pPr>
        <w:widowControl w:val="0"/>
        <w:ind w:left="2880" w:hanging="2880"/>
        <w:jc w:val="both"/>
        <w:rPr>
          <w:sz w:val="20"/>
          <w:szCs w:val="20"/>
          <w:lang w:val="fr-CA"/>
        </w:rPr>
      </w:pPr>
    </w:p>
    <w:p w:rsidR="00413F86" w:rsidRPr="007B734B" w:rsidRDefault="00413F86" w:rsidP="00413F86">
      <w:pPr>
        <w:widowControl w:val="0"/>
        <w:ind w:left="2880" w:hanging="2880"/>
        <w:jc w:val="both"/>
        <w:rPr>
          <w:sz w:val="20"/>
          <w:szCs w:val="20"/>
          <w:lang w:val="fr-CA"/>
        </w:rPr>
      </w:pPr>
      <w:r w:rsidRPr="007B734B">
        <w:rPr>
          <w:sz w:val="20"/>
          <w:szCs w:val="20"/>
          <w:lang w:val="fr-CA"/>
        </w:rPr>
        <w:t>N</w:t>
      </w:r>
      <w:r w:rsidRPr="007B734B">
        <w:rPr>
          <w:sz w:val="20"/>
          <w:szCs w:val="20"/>
          <w:vertAlign w:val="superscript"/>
          <w:lang w:val="fr-CA"/>
        </w:rPr>
        <w:t>o</w:t>
      </w:r>
      <w:r w:rsidRPr="007B734B">
        <w:rPr>
          <w:sz w:val="20"/>
          <w:szCs w:val="20"/>
          <w:lang w:val="fr-CA"/>
        </w:rPr>
        <w:t xml:space="preserve"> du greffe :</w:t>
      </w:r>
      <w:r w:rsidRPr="007B734B">
        <w:rPr>
          <w:sz w:val="20"/>
          <w:szCs w:val="20"/>
          <w:lang w:val="fr-CA"/>
        </w:rPr>
        <w:tab/>
        <w:t>35958</w:t>
      </w:r>
    </w:p>
    <w:p w:rsidR="00413F86" w:rsidRPr="007B734B" w:rsidRDefault="00413F86" w:rsidP="00413F86">
      <w:pPr>
        <w:widowControl w:val="0"/>
        <w:ind w:left="2880" w:hanging="2880"/>
        <w:jc w:val="both"/>
        <w:rPr>
          <w:sz w:val="20"/>
          <w:szCs w:val="20"/>
          <w:lang w:val="fr-CA"/>
        </w:rPr>
      </w:pPr>
    </w:p>
    <w:p w:rsidR="00413F86" w:rsidRPr="007B734B" w:rsidRDefault="00413F86" w:rsidP="00413F86">
      <w:pPr>
        <w:widowControl w:val="0"/>
        <w:ind w:left="2880" w:hanging="2880"/>
        <w:jc w:val="both"/>
        <w:rPr>
          <w:sz w:val="20"/>
          <w:szCs w:val="20"/>
          <w:lang w:val="fr-CA"/>
        </w:rPr>
      </w:pPr>
      <w:r w:rsidRPr="007B734B">
        <w:rPr>
          <w:sz w:val="20"/>
          <w:szCs w:val="20"/>
          <w:lang w:val="fr-CA"/>
        </w:rPr>
        <w:t>Arrêt de la Cour d’appel :</w:t>
      </w:r>
      <w:r w:rsidRPr="007B734B">
        <w:rPr>
          <w:sz w:val="20"/>
          <w:szCs w:val="20"/>
          <w:lang w:val="fr-CA"/>
        </w:rPr>
        <w:tab/>
        <w:t>le 30 avril 2014</w:t>
      </w:r>
    </w:p>
    <w:p w:rsidR="00413F86" w:rsidRPr="007B734B" w:rsidRDefault="00413F86" w:rsidP="00413F86">
      <w:pPr>
        <w:widowControl w:val="0"/>
        <w:ind w:left="2880" w:hanging="2880"/>
        <w:jc w:val="both"/>
        <w:rPr>
          <w:sz w:val="20"/>
          <w:szCs w:val="20"/>
          <w:lang w:val="fr-CA"/>
        </w:rPr>
      </w:pPr>
    </w:p>
    <w:p w:rsidR="00413F86" w:rsidRPr="007B734B" w:rsidRDefault="00413F86" w:rsidP="00413F86">
      <w:pPr>
        <w:widowControl w:val="0"/>
        <w:ind w:left="2880" w:hanging="2880"/>
        <w:jc w:val="both"/>
        <w:rPr>
          <w:sz w:val="20"/>
          <w:szCs w:val="20"/>
          <w:lang w:val="fr-CA"/>
        </w:rPr>
      </w:pPr>
      <w:r w:rsidRPr="007B734B">
        <w:rPr>
          <w:sz w:val="20"/>
          <w:szCs w:val="20"/>
          <w:lang w:val="fr-CA"/>
        </w:rPr>
        <w:t>Avocats :</w:t>
      </w:r>
      <w:r w:rsidRPr="007B734B">
        <w:rPr>
          <w:sz w:val="20"/>
          <w:szCs w:val="20"/>
          <w:lang w:val="fr-CA"/>
        </w:rPr>
        <w:tab/>
        <w:t>Fiona Begg pour l’appelant M. Appulonappa</w:t>
      </w:r>
    </w:p>
    <w:p w:rsidR="00413F86" w:rsidRPr="007B734B" w:rsidRDefault="00413F86" w:rsidP="00413F86">
      <w:pPr>
        <w:widowControl w:val="0"/>
        <w:ind w:left="2880" w:hanging="2880"/>
        <w:jc w:val="both"/>
        <w:rPr>
          <w:sz w:val="20"/>
          <w:szCs w:val="20"/>
          <w:lang w:val="fr-CA"/>
        </w:rPr>
      </w:pPr>
      <w:r w:rsidRPr="007B734B">
        <w:rPr>
          <w:sz w:val="20"/>
          <w:szCs w:val="20"/>
          <w:lang w:val="fr-CA"/>
        </w:rPr>
        <w:tab/>
        <w:t>Peter H. Edelmann pour l’appelant M. Handasamy</w:t>
      </w:r>
    </w:p>
    <w:p w:rsidR="00413F86" w:rsidRPr="007B734B" w:rsidRDefault="00413F86" w:rsidP="00413F86">
      <w:pPr>
        <w:widowControl w:val="0"/>
        <w:ind w:left="2880" w:hanging="2880"/>
        <w:jc w:val="both"/>
        <w:rPr>
          <w:sz w:val="20"/>
          <w:szCs w:val="20"/>
          <w:lang w:val="fr-CA"/>
        </w:rPr>
      </w:pPr>
      <w:r w:rsidRPr="007B734B">
        <w:rPr>
          <w:sz w:val="20"/>
          <w:szCs w:val="20"/>
          <w:lang w:val="fr-CA"/>
        </w:rPr>
        <w:tab/>
        <w:t>Phillip C. Rankin pour l’appelant M. Kanagarajah</w:t>
      </w:r>
    </w:p>
    <w:p w:rsidR="00413F86" w:rsidRPr="007B734B" w:rsidRDefault="00413F86" w:rsidP="00413F86">
      <w:pPr>
        <w:widowControl w:val="0"/>
        <w:ind w:left="2880" w:hanging="2880"/>
        <w:jc w:val="both"/>
        <w:rPr>
          <w:sz w:val="20"/>
          <w:szCs w:val="20"/>
          <w:lang w:val="fr-CA"/>
        </w:rPr>
      </w:pPr>
      <w:r w:rsidRPr="007B734B">
        <w:rPr>
          <w:sz w:val="20"/>
          <w:szCs w:val="20"/>
          <w:lang w:val="fr-CA"/>
        </w:rPr>
        <w:tab/>
        <w:t>Gregory P. DelBigio, c.r. pour l’appelant M. Thevarajah</w:t>
      </w:r>
    </w:p>
    <w:p w:rsidR="00413F86" w:rsidRPr="007B734B" w:rsidRDefault="00413F86" w:rsidP="00413F86">
      <w:pPr>
        <w:widowControl w:val="0"/>
        <w:ind w:left="2880" w:hanging="2880"/>
        <w:jc w:val="both"/>
        <w:rPr>
          <w:sz w:val="20"/>
          <w:szCs w:val="20"/>
          <w:lang w:val="fr-CA"/>
        </w:rPr>
      </w:pPr>
      <w:r w:rsidRPr="007B734B">
        <w:rPr>
          <w:sz w:val="20"/>
          <w:szCs w:val="20"/>
          <w:lang w:val="fr-CA"/>
        </w:rPr>
        <w:tab/>
        <w:t>Paul W. Riley pour l’intimée</w:t>
      </w:r>
    </w:p>
    <w:p w:rsidR="00D96A7D" w:rsidRDefault="00D96A7D">
      <w:pPr>
        <w:rPr>
          <w:sz w:val="20"/>
          <w:szCs w:val="20"/>
          <w:lang w:val="fr-CA"/>
        </w:rPr>
      </w:pPr>
    </w:p>
    <w:p w:rsidR="00D96A7D" w:rsidRDefault="00E42AAB">
      <w:pPr>
        <w:rPr>
          <w:sz w:val="20"/>
          <w:szCs w:val="20"/>
          <w:lang w:val="fr-CA"/>
        </w:rPr>
      </w:pPr>
      <w:r>
        <w:rPr>
          <w:sz w:val="20"/>
          <w:szCs w:val="20"/>
          <w:lang w:val="fr-CA"/>
        </w:rPr>
        <w:pict>
          <v:rect id="_x0000_i1144" style="width:2in;height:1pt" o:hrpct="0" o:hralign="center" o:hrstd="t" o:hrnoshade="t" o:hr="t" fillcolor="black [3213]" stroked="f"/>
        </w:pict>
      </w:r>
    </w:p>
    <w:p w:rsidR="00D96A7D" w:rsidRDefault="00D96A7D">
      <w:pPr>
        <w:rPr>
          <w:sz w:val="20"/>
          <w:szCs w:val="20"/>
          <w:lang w:val="fr-CA"/>
        </w:rPr>
      </w:pPr>
      <w:r>
        <w:rPr>
          <w:sz w:val="20"/>
          <w:szCs w:val="20"/>
          <w:lang w:val="fr-CA"/>
        </w:rPr>
        <w:br w:type="page"/>
      </w:r>
    </w:p>
    <w:bookmarkStart w:id="6" w:name="1"/>
    <w:bookmarkEnd w:id="6"/>
    <w:p w:rsidR="003D0CC6" w:rsidRPr="00F913F3" w:rsidRDefault="006F7944" w:rsidP="003D0CC6">
      <w:pPr>
        <w:widowControl w:val="0"/>
        <w:ind w:left="720" w:hanging="720"/>
        <w:jc w:val="both"/>
        <w:rPr>
          <w:sz w:val="20"/>
          <w:szCs w:val="20"/>
        </w:rPr>
      </w:pPr>
      <w:r w:rsidRPr="00F913F3">
        <w:rPr>
          <w:b/>
          <w:sz w:val="20"/>
          <w:szCs w:val="20"/>
        </w:rPr>
        <w:lastRenderedPageBreak/>
        <w:fldChar w:fldCharType="begin"/>
      </w:r>
      <w:r w:rsidR="003D0CC6" w:rsidRPr="00F913F3">
        <w:rPr>
          <w:b/>
          <w:sz w:val="20"/>
          <w:szCs w:val="20"/>
        </w:rPr>
        <w:instrText xml:space="preserve"> SEQ CHAPTER \h \r 1</w:instrText>
      </w:r>
      <w:r w:rsidRPr="00F913F3">
        <w:rPr>
          <w:b/>
          <w:sz w:val="20"/>
          <w:szCs w:val="20"/>
        </w:rPr>
        <w:fldChar w:fldCharType="end"/>
      </w:r>
      <w:r w:rsidR="003D0CC6" w:rsidRPr="00F913F3">
        <w:rPr>
          <w:b/>
          <w:sz w:val="20"/>
          <w:szCs w:val="20"/>
        </w:rPr>
        <w:t>36021</w:t>
      </w:r>
      <w:r w:rsidR="003D0CC6" w:rsidRPr="00F913F3">
        <w:rPr>
          <w:sz w:val="20"/>
          <w:szCs w:val="20"/>
        </w:rPr>
        <w:tab/>
      </w:r>
      <w:bookmarkStart w:id="7" w:name="3"/>
      <w:bookmarkEnd w:id="7"/>
      <w:r w:rsidR="003D0CC6" w:rsidRPr="00F913F3">
        <w:rPr>
          <w:b/>
          <w:i/>
          <w:sz w:val="20"/>
          <w:szCs w:val="20"/>
        </w:rPr>
        <w:t>Cladinoro Perrone v. Her Majesty the Queen</w:t>
      </w:r>
    </w:p>
    <w:p w:rsidR="003D0CC6" w:rsidRPr="00F913F3" w:rsidRDefault="003D0CC6" w:rsidP="003D0CC6">
      <w:pPr>
        <w:widowControl w:val="0"/>
        <w:jc w:val="both"/>
        <w:rPr>
          <w:sz w:val="20"/>
          <w:szCs w:val="20"/>
        </w:rPr>
      </w:pPr>
    </w:p>
    <w:p w:rsidR="003D0CC6" w:rsidRPr="00F913F3" w:rsidRDefault="003D0CC6" w:rsidP="003D0CC6">
      <w:pPr>
        <w:widowControl w:val="0"/>
        <w:jc w:val="both"/>
        <w:rPr>
          <w:smallCaps/>
          <w:sz w:val="20"/>
          <w:szCs w:val="20"/>
        </w:rPr>
      </w:pPr>
      <w:r w:rsidRPr="00F913F3">
        <w:rPr>
          <w:smallCaps/>
          <w:sz w:val="20"/>
          <w:szCs w:val="20"/>
        </w:rPr>
        <w:t xml:space="preserve">(Publication </w:t>
      </w:r>
      <w:r>
        <w:rPr>
          <w:smallCaps/>
          <w:sz w:val="20"/>
          <w:szCs w:val="20"/>
        </w:rPr>
        <w:t>B</w:t>
      </w:r>
      <w:r w:rsidRPr="00F913F3">
        <w:rPr>
          <w:smallCaps/>
          <w:sz w:val="20"/>
          <w:szCs w:val="20"/>
        </w:rPr>
        <w:t xml:space="preserve">an in </w:t>
      </w:r>
      <w:r>
        <w:rPr>
          <w:smallCaps/>
          <w:sz w:val="20"/>
          <w:szCs w:val="20"/>
        </w:rPr>
        <w:t>C</w:t>
      </w:r>
      <w:r w:rsidRPr="00F913F3">
        <w:rPr>
          <w:smallCaps/>
          <w:sz w:val="20"/>
          <w:szCs w:val="20"/>
        </w:rPr>
        <w:t>ase)</w:t>
      </w:r>
    </w:p>
    <w:p w:rsidR="003D0CC6" w:rsidRPr="00F913F3" w:rsidRDefault="003D0CC6" w:rsidP="003D0CC6">
      <w:pPr>
        <w:widowControl w:val="0"/>
        <w:jc w:val="both"/>
        <w:rPr>
          <w:sz w:val="20"/>
          <w:szCs w:val="20"/>
        </w:rPr>
      </w:pPr>
    </w:p>
    <w:p w:rsidR="003D0CC6" w:rsidRPr="00F913F3" w:rsidRDefault="003D0CC6" w:rsidP="003D0CC6">
      <w:pPr>
        <w:widowControl w:val="0"/>
        <w:jc w:val="both"/>
        <w:rPr>
          <w:sz w:val="20"/>
          <w:szCs w:val="20"/>
        </w:rPr>
      </w:pPr>
      <w:r w:rsidRPr="00F913F3">
        <w:rPr>
          <w:sz w:val="20"/>
          <w:szCs w:val="20"/>
        </w:rPr>
        <w:t>Criminal law - Sexual assault - Assessment of evidence - Credibility and reliability - Whether the trial judge gave proper consideration to the issue of reliability, separate and apart from the issue of credibility, when assessing the complainant’s evidence.</w:t>
      </w:r>
    </w:p>
    <w:p w:rsidR="003D0CC6" w:rsidRPr="00F913F3" w:rsidRDefault="003D0CC6" w:rsidP="003D0CC6">
      <w:pPr>
        <w:widowControl w:val="0"/>
        <w:jc w:val="both"/>
        <w:rPr>
          <w:sz w:val="20"/>
          <w:szCs w:val="20"/>
        </w:rPr>
      </w:pPr>
    </w:p>
    <w:p w:rsidR="003D0CC6" w:rsidRPr="00F913F3" w:rsidRDefault="003D0CC6" w:rsidP="003D0CC6">
      <w:pPr>
        <w:widowControl w:val="0"/>
        <w:jc w:val="both"/>
        <w:rPr>
          <w:sz w:val="20"/>
          <w:szCs w:val="20"/>
        </w:rPr>
      </w:pPr>
      <w:r w:rsidRPr="00F913F3">
        <w:rPr>
          <w:sz w:val="20"/>
          <w:szCs w:val="20"/>
        </w:rPr>
        <w:t xml:space="preserve">The appellant was convicted of sexual assault. The only evidence at trial was that of the complainant. She testified that while at the appellant’s residence, and after consuming alcohol and smoking marihuana, she blacked out and woke up to find him sexually assaulting her. The appellant appealed his conviction on the basis that the verdict was unreasonable and not supported by the evidence, and on the basis that the trial judge erred in finding that the offence was proved beyond a reasonable doubt. A majority of the Court of Appeal dismissed the appeal. MacInnes J.A., dissenting, would have allowed the appeal and ordered a new trial on the basis that the trial judge failed to examine the reliability of the complainant’s evidence. </w:t>
      </w:r>
    </w:p>
    <w:p w:rsidR="003D0CC6" w:rsidRPr="00F913F3" w:rsidRDefault="003D0CC6" w:rsidP="003D0CC6">
      <w:pPr>
        <w:widowControl w:val="0"/>
        <w:jc w:val="both"/>
        <w:rPr>
          <w:sz w:val="20"/>
          <w:szCs w:val="20"/>
        </w:rPr>
      </w:pPr>
    </w:p>
    <w:p w:rsidR="003D0CC6" w:rsidRPr="00F913F3" w:rsidRDefault="003D0CC6" w:rsidP="003D0CC6">
      <w:pPr>
        <w:widowControl w:val="0"/>
        <w:jc w:val="both"/>
        <w:rPr>
          <w:sz w:val="20"/>
          <w:szCs w:val="20"/>
        </w:rPr>
      </w:pPr>
    </w:p>
    <w:p w:rsidR="003D0CC6" w:rsidRPr="00F913F3" w:rsidRDefault="003D0CC6" w:rsidP="003D0CC6">
      <w:pPr>
        <w:widowControl w:val="0"/>
        <w:ind w:left="2880" w:hanging="2880"/>
        <w:jc w:val="both"/>
        <w:rPr>
          <w:sz w:val="20"/>
          <w:szCs w:val="20"/>
        </w:rPr>
      </w:pPr>
      <w:r w:rsidRPr="00F913F3">
        <w:rPr>
          <w:sz w:val="20"/>
          <w:szCs w:val="20"/>
        </w:rPr>
        <w:t>Origin of the case:</w:t>
      </w:r>
      <w:r w:rsidRPr="00F913F3">
        <w:rPr>
          <w:sz w:val="20"/>
          <w:szCs w:val="20"/>
        </w:rPr>
        <w:tab/>
      </w:r>
      <w:bookmarkStart w:id="8" w:name="4"/>
      <w:bookmarkEnd w:id="8"/>
      <w:r w:rsidRPr="00F913F3">
        <w:rPr>
          <w:sz w:val="20"/>
          <w:szCs w:val="20"/>
        </w:rPr>
        <w:t>Manitoba</w:t>
      </w:r>
    </w:p>
    <w:p w:rsidR="003D0CC6" w:rsidRPr="00F913F3" w:rsidRDefault="003D0CC6" w:rsidP="003D0CC6">
      <w:pPr>
        <w:widowControl w:val="0"/>
        <w:ind w:left="2880" w:hanging="2880"/>
        <w:jc w:val="both"/>
        <w:rPr>
          <w:sz w:val="20"/>
          <w:szCs w:val="20"/>
        </w:rPr>
      </w:pPr>
    </w:p>
    <w:p w:rsidR="003D0CC6" w:rsidRPr="00F913F3" w:rsidRDefault="003D0CC6" w:rsidP="003D0CC6">
      <w:pPr>
        <w:widowControl w:val="0"/>
        <w:ind w:left="2880" w:hanging="2880"/>
        <w:jc w:val="both"/>
        <w:rPr>
          <w:sz w:val="20"/>
          <w:szCs w:val="20"/>
        </w:rPr>
      </w:pPr>
      <w:r w:rsidRPr="00F913F3">
        <w:rPr>
          <w:sz w:val="20"/>
          <w:szCs w:val="20"/>
        </w:rPr>
        <w:t>File No.:</w:t>
      </w:r>
      <w:r w:rsidRPr="00F913F3">
        <w:rPr>
          <w:sz w:val="20"/>
          <w:szCs w:val="20"/>
        </w:rPr>
        <w:tab/>
      </w:r>
      <w:bookmarkStart w:id="9" w:name="2"/>
      <w:bookmarkEnd w:id="9"/>
      <w:r w:rsidRPr="00F913F3">
        <w:rPr>
          <w:sz w:val="20"/>
          <w:szCs w:val="20"/>
        </w:rPr>
        <w:t>36021</w:t>
      </w:r>
    </w:p>
    <w:p w:rsidR="003D0CC6" w:rsidRPr="00F913F3" w:rsidRDefault="003D0CC6" w:rsidP="003D0CC6">
      <w:pPr>
        <w:widowControl w:val="0"/>
        <w:ind w:left="2880" w:hanging="2880"/>
        <w:jc w:val="both"/>
        <w:rPr>
          <w:sz w:val="20"/>
          <w:szCs w:val="20"/>
        </w:rPr>
      </w:pPr>
    </w:p>
    <w:p w:rsidR="003D0CC6" w:rsidRPr="00F913F3" w:rsidRDefault="003D0CC6" w:rsidP="003D0CC6">
      <w:pPr>
        <w:widowControl w:val="0"/>
        <w:ind w:left="2880" w:hanging="2880"/>
        <w:jc w:val="both"/>
        <w:rPr>
          <w:sz w:val="20"/>
          <w:szCs w:val="20"/>
        </w:rPr>
      </w:pPr>
      <w:r w:rsidRPr="00F913F3">
        <w:rPr>
          <w:sz w:val="20"/>
          <w:szCs w:val="20"/>
        </w:rPr>
        <w:t>Judgment of the Court of Appeal:</w:t>
      </w:r>
      <w:r w:rsidRPr="00F913F3">
        <w:rPr>
          <w:sz w:val="20"/>
          <w:szCs w:val="20"/>
        </w:rPr>
        <w:tab/>
      </w:r>
      <w:bookmarkStart w:id="10" w:name="5"/>
      <w:bookmarkEnd w:id="10"/>
      <w:r w:rsidRPr="00F913F3">
        <w:rPr>
          <w:sz w:val="20"/>
          <w:szCs w:val="20"/>
        </w:rPr>
        <w:t>July 24, 2014</w:t>
      </w:r>
    </w:p>
    <w:p w:rsidR="003D0CC6" w:rsidRPr="00F913F3" w:rsidRDefault="003D0CC6" w:rsidP="003D0CC6">
      <w:pPr>
        <w:widowControl w:val="0"/>
        <w:ind w:left="2880" w:hanging="2880"/>
        <w:jc w:val="both"/>
        <w:rPr>
          <w:sz w:val="20"/>
          <w:szCs w:val="20"/>
        </w:rPr>
      </w:pPr>
    </w:p>
    <w:p w:rsidR="003D0CC6" w:rsidRPr="00F913F3" w:rsidRDefault="003D0CC6" w:rsidP="003D0CC6">
      <w:pPr>
        <w:widowControl w:val="0"/>
        <w:ind w:left="2880" w:hanging="2880"/>
        <w:jc w:val="both"/>
        <w:rPr>
          <w:sz w:val="20"/>
          <w:szCs w:val="20"/>
        </w:rPr>
      </w:pPr>
      <w:r w:rsidRPr="00F913F3">
        <w:rPr>
          <w:sz w:val="20"/>
          <w:szCs w:val="20"/>
        </w:rPr>
        <w:t>Counsel:</w:t>
      </w:r>
      <w:r w:rsidRPr="00F913F3">
        <w:rPr>
          <w:sz w:val="20"/>
          <w:szCs w:val="20"/>
        </w:rPr>
        <w:tab/>
      </w:r>
      <w:bookmarkStart w:id="11" w:name="6"/>
      <w:bookmarkEnd w:id="11"/>
      <w:r w:rsidRPr="00F913F3">
        <w:rPr>
          <w:sz w:val="20"/>
          <w:szCs w:val="20"/>
        </w:rPr>
        <w:t>Amanda Sansregret and Josh A. Weinstein for the appellant</w:t>
      </w:r>
    </w:p>
    <w:p w:rsidR="003D0CC6" w:rsidRPr="00F913F3" w:rsidRDefault="003D0CC6" w:rsidP="003D0CC6">
      <w:pPr>
        <w:widowControl w:val="0"/>
        <w:ind w:left="2880" w:hanging="2880"/>
        <w:jc w:val="both"/>
        <w:rPr>
          <w:sz w:val="20"/>
          <w:szCs w:val="20"/>
        </w:rPr>
      </w:pPr>
      <w:r w:rsidRPr="00F913F3">
        <w:rPr>
          <w:sz w:val="20"/>
          <w:szCs w:val="20"/>
        </w:rPr>
        <w:tab/>
      </w:r>
      <w:bookmarkStart w:id="12" w:name="7"/>
      <w:bookmarkEnd w:id="12"/>
      <w:r w:rsidRPr="00F913F3">
        <w:rPr>
          <w:sz w:val="20"/>
          <w:szCs w:val="20"/>
        </w:rPr>
        <w:t>Rekha Malaviya for the respondent</w:t>
      </w:r>
    </w:p>
    <w:p w:rsidR="00D96A7D" w:rsidRPr="003D0CC6" w:rsidRDefault="00D96A7D">
      <w:pPr>
        <w:rPr>
          <w:sz w:val="20"/>
          <w:szCs w:val="20"/>
        </w:rPr>
      </w:pPr>
    </w:p>
    <w:p w:rsidR="00D96A7D" w:rsidRDefault="00E42AAB">
      <w:pPr>
        <w:rPr>
          <w:sz w:val="20"/>
          <w:szCs w:val="20"/>
          <w:lang w:val="fr-CA"/>
        </w:rPr>
      </w:pPr>
      <w:r>
        <w:rPr>
          <w:sz w:val="20"/>
          <w:szCs w:val="20"/>
          <w:lang w:val="fr-CA"/>
        </w:rPr>
        <w:pict>
          <v:rect id="_x0000_i1145" style="width:2in;height:1pt" o:hrpct="0" o:hralign="center" o:hrstd="t" o:hrnoshade="t" o:hr="t" fillcolor="black [3213]" stroked="f"/>
        </w:pict>
      </w:r>
    </w:p>
    <w:p w:rsidR="00D96A7D" w:rsidRDefault="00D96A7D">
      <w:pPr>
        <w:rPr>
          <w:sz w:val="20"/>
          <w:szCs w:val="20"/>
          <w:lang w:val="fr-CA"/>
        </w:rPr>
      </w:pPr>
      <w:r>
        <w:rPr>
          <w:sz w:val="20"/>
          <w:szCs w:val="20"/>
          <w:lang w:val="fr-CA"/>
        </w:rPr>
        <w:br w:type="page"/>
      </w:r>
    </w:p>
    <w:p w:rsidR="003D0CC6" w:rsidRPr="001B2E57" w:rsidRDefault="006F7944" w:rsidP="003D0CC6">
      <w:pPr>
        <w:widowControl w:val="0"/>
        <w:ind w:left="720" w:hanging="720"/>
        <w:jc w:val="both"/>
        <w:rPr>
          <w:sz w:val="20"/>
          <w:szCs w:val="20"/>
          <w:lang w:val="fr-CA"/>
        </w:rPr>
      </w:pPr>
      <w:r w:rsidRPr="001B2E57">
        <w:rPr>
          <w:b/>
          <w:sz w:val="20"/>
          <w:szCs w:val="20"/>
        </w:rPr>
        <w:lastRenderedPageBreak/>
        <w:fldChar w:fldCharType="begin"/>
      </w:r>
      <w:r w:rsidR="003D0CC6" w:rsidRPr="001B2E57">
        <w:rPr>
          <w:b/>
          <w:sz w:val="20"/>
          <w:szCs w:val="20"/>
          <w:lang w:val="fr-CA"/>
        </w:rPr>
        <w:instrText xml:space="preserve"> SEQ CHAPTER \h \r 1</w:instrText>
      </w:r>
      <w:r w:rsidRPr="001B2E57">
        <w:rPr>
          <w:b/>
          <w:sz w:val="20"/>
          <w:szCs w:val="20"/>
        </w:rPr>
        <w:fldChar w:fldCharType="end"/>
      </w:r>
      <w:r w:rsidR="003D0CC6" w:rsidRPr="001B2E57">
        <w:rPr>
          <w:b/>
          <w:sz w:val="20"/>
          <w:szCs w:val="20"/>
          <w:lang w:val="fr-CA"/>
        </w:rPr>
        <w:t>36021</w:t>
      </w:r>
      <w:r w:rsidR="003D0CC6" w:rsidRPr="001B2E57">
        <w:rPr>
          <w:sz w:val="20"/>
          <w:szCs w:val="20"/>
          <w:lang w:val="fr-CA"/>
        </w:rPr>
        <w:tab/>
      </w:r>
      <w:r w:rsidR="003D0CC6" w:rsidRPr="001B2E57">
        <w:rPr>
          <w:b/>
          <w:i/>
          <w:sz w:val="20"/>
          <w:szCs w:val="20"/>
          <w:lang w:val="fr-CA"/>
        </w:rPr>
        <w:t>Cladinoro Perrone c. Sa Majesté la Reine</w:t>
      </w:r>
    </w:p>
    <w:p w:rsidR="003D0CC6" w:rsidRPr="001B2E57" w:rsidRDefault="003D0CC6" w:rsidP="003D0CC6">
      <w:pPr>
        <w:widowControl w:val="0"/>
        <w:jc w:val="both"/>
        <w:rPr>
          <w:sz w:val="20"/>
          <w:szCs w:val="20"/>
          <w:lang w:val="fr-CA"/>
        </w:rPr>
      </w:pPr>
    </w:p>
    <w:p w:rsidR="003D0CC6" w:rsidRPr="001B2E57" w:rsidRDefault="003D0CC6" w:rsidP="003D0CC6">
      <w:pPr>
        <w:widowControl w:val="0"/>
        <w:jc w:val="both"/>
        <w:rPr>
          <w:smallCaps/>
          <w:sz w:val="20"/>
          <w:szCs w:val="20"/>
          <w:lang w:val="fr-CA"/>
        </w:rPr>
      </w:pPr>
      <w:r w:rsidRPr="001B2E57">
        <w:rPr>
          <w:smallCaps/>
          <w:sz w:val="20"/>
          <w:szCs w:val="20"/>
          <w:lang w:val="fr-CA"/>
        </w:rPr>
        <w:t>(Ordonnance de non-publication dans le dossier)</w:t>
      </w:r>
    </w:p>
    <w:p w:rsidR="003D0CC6" w:rsidRPr="001B2E57" w:rsidRDefault="003D0CC6" w:rsidP="003D0CC6">
      <w:pPr>
        <w:widowControl w:val="0"/>
        <w:jc w:val="both"/>
        <w:rPr>
          <w:sz w:val="20"/>
          <w:szCs w:val="20"/>
          <w:lang w:val="fr-CA"/>
        </w:rPr>
      </w:pPr>
    </w:p>
    <w:p w:rsidR="003D0CC6" w:rsidRPr="001B2E57" w:rsidRDefault="003D0CC6" w:rsidP="003D0CC6">
      <w:pPr>
        <w:widowControl w:val="0"/>
        <w:jc w:val="both"/>
        <w:rPr>
          <w:sz w:val="20"/>
          <w:szCs w:val="20"/>
          <w:lang w:val="fr-CA"/>
        </w:rPr>
      </w:pPr>
      <w:r w:rsidRPr="001B2E57">
        <w:rPr>
          <w:sz w:val="20"/>
          <w:szCs w:val="20"/>
          <w:lang w:val="fr-CA"/>
        </w:rPr>
        <w:t xml:space="preserve">Droit criminel - Agression sexuelle - Appréciation de la preuve - Crédibilité et fiabilité - Est-ce que le juge du procès a accordé suffisamment d’attention à la question de la fiabilité, séparément et distinctement de la question de la crédibilité, lors de l’appréciation de la preuve?  </w:t>
      </w:r>
    </w:p>
    <w:p w:rsidR="003D0CC6" w:rsidRPr="001B2E57" w:rsidRDefault="003D0CC6" w:rsidP="003D0CC6">
      <w:pPr>
        <w:widowControl w:val="0"/>
        <w:jc w:val="both"/>
        <w:rPr>
          <w:sz w:val="20"/>
          <w:szCs w:val="20"/>
          <w:lang w:val="fr-CA"/>
        </w:rPr>
      </w:pPr>
    </w:p>
    <w:p w:rsidR="003D0CC6" w:rsidRPr="001B2E57" w:rsidRDefault="003D0CC6" w:rsidP="003D0CC6">
      <w:pPr>
        <w:widowControl w:val="0"/>
        <w:jc w:val="both"/>
        <w:rPr>
          <w:sz w:val="20"/>
          <w:szCs w:val="20"/>
          <w:lang w:val="fr-CA"/>
        </w:rPr>
      </w:pPr>
      <w:r w:rsidRPr="001B2E57">
        <w:rPr>
          <w:sz w:val="20"/>
          <w:szCs w:val="20"/>
          <w:lang w:val="fr-CA"/>
        </w:rPr>
        <w:t xml:space="preserve">L’appelant a été déclaré coupable d’agression sexuelle. L’unique preuve présentée durant le procès émanait de la plaignante. Elle a témoigné que lorsqu’elle était à la résidence de l’appelant, et après avoir consommé de l’alcool et avoir fumé de la marihuana, elle a perdu conscience et à son réveil l’appelant était en train de l’agresser sexuellement. L’appelant a interjeté appel de la déclaration de culpabilité, plaidant que le verdict était déraisonnable et non étayé par la preuve, et que le juge du procès avait commis une erreur en concluant que l’infraction avait été établie hors de tout doute raisonnable. Les juges majoritaires ont rejeté l’appel. Le juge MacInnes, dissident, aurait accueilli l’appel et ordonné un nouveau procès sur le fondement que le juge du procès a négligé d’examiner la fiabilité de la preuve de la plaignante.  </w:t>
      </w:r>
    </w:p>
    <w:p w:rsidR="003D0CC6" w:rsidRPr="001B2E57" w:rsidRDefault="003D0CC6" w:rsidP="003D0CC6">
      <w:pPr>
        <w:widowControl w:val="0"/>
        <w:jc w:val="both"/>
        <w:rPr>
          <w:sz w:val="20"/>
          <w:szCs w:val="20"/>
          <w:lang w:val="fr-CA"/>
        </w:rPr>
      </w:pPr>
    </w:p>
    <w:p w:rsidR="003D0CC6" w:rsidRPr="001B2E57" w:rsidRDefault="003D0CC6" w:rsidP="003D0CC6">
      <w:pPr>
        <w:widowControl w:val="0"/>
        <w:jc w:val="both"/>
        <w:rPr>
          <w:sz w:val="20"/>
          <w:szCs w:val="20"/>
          <w:lang w:val="fr-CA"/>
        </w:rPr>
      </w:pPr>
    </w:p>
    <w:p w:rsidR="003D0CC6" w:rsidRPr="001B2E57" w:rsidRDefault="003D0CC6" w:rsidP="00DB023F">
      <w:pPr>
        <w:widowControl w:val="0"/>
        <w:ind w:left="2880" w:hanging="2880"/>
        <w:jc w:val="both"/>
        <w:rPr>
          <w:sz w:val="20"/>
          <w:szCs w:val="20"/>
          <w:lang w:val="fr-CA"/>
        </w:rPr>
      </w:pPr>
      <w:r w:rsidRPr="001B2E57">
        <w:rPr>
          <w:sz w:val="20"/>
          <w:szCs w:val="20"/>
          <w:lang w:val="fr-CA"/>
        </w:rPr>
        <w:t>Origine:</w:t>
      </w:r>
      <w:r w:rsidRPr="001B2E57">
        <w:rPr>
          <w:sz w:val="20"/>
          <w:szCs w:val="20"/>
          <w:lang w:val="fr-CA"/>
        </w:rPr>
        <w:tab/>
        <w:t>Manitoba</w:t>
      </w:r>
    </w:p>
    <w:p w:rsidR="003D0CC6" w:rsidRPr="001B2E57" w:rsidRDefault="003D0CC6" w:rsidP="00DB023F">
      <w:pPr>
        <w:widowControl w:val="0"/>
        <w:ind w:left="2880" w:hanging="2880"/>
        <w:jc w:val="both"/>
        <w:rPr>
          <w:sz w:val="20"/>
          <w:szCs w:val="20"/>
          <w:lang w:val="fr-CA"/>
        </w:rPr>
      </w:pPr>
    </w:p>
    <w:p w:rsidR="003D0CC6" w:rsidRPr="001B2E57" w:rsidRDefault="003D0CC6" w:rsidP="00DB023F">
      <w:pPr>
        <w:widowControl w:val="0"/>
        <w:ind w:left="2880" w:hanging="2880"/>
        <w:jc w:val="both"/>
        <w:rPr>
          <w:sz w:val="20"/>
          <w:szCs w:val="20"/>
          <w:lang w:val="fr-CA"/>
        </w:rPr>
      </w:pPr>
      <w:r w:rsidRPr="001B2E57">
        <w:rPr>
          <w:sz w:val="20"/>
          <w:szCs w:val="20"/>
          <w:lang w:val="fr-CA"/>
        </w:rPr>
        <w:t>N</w:t>
      </w:r>
      <w:r w:rsidRPr="001B2E57">
        <w:rPr>
          <w:sz w:val="20"/>
          <w:szCs w:val="20"/>
          <w:vertAlign w:val="superscript"/>
          <w:lang w:val="fr-CA"/>
        </w:rPr>
        <w:t>o</w:t>
      </w:r>
      <w:r w:rsidRPr="001B2E57">
        <w:rPr>
          <w:sz w:val="20"/>
          <w:szCs w:val="20"/>
          <w:lang w:val="fr-CA"/>
        </w:rPr>
        <w:t xml:space="preserve"> du greffe:</w:t>
      </w:r>
      <w:r w:rsidRPr="001B2E57">
        <w:rPr>
          <w:sz w:val="20"/>
          <w:szCs w:val="20"/>
          <w:lang w:val="fr-CA"/>
        </w:rPr>
        <w:tab/>
        <w:t>36021</w:t>
      </w:r>
    </w:p>
    <w:p w:rsidR="003D0CC6" w:rsidRPr="001B2E57" w:rsidRDefault="003D0CC6" w:rsidP="00DB023F">
      <w:pPr>
        <w:widowControl w:val="0"/>
        <w:ind w:left="2880" w:hanging="2880"/>
        <w:jc w:val="both"/>
        <w:rPr>
          <w:sz w:val="20"/>
          <w:szCs w:val="20"/>
          <w:lang w:val="fr-CA"/>
        </w:rPr>
      </w:pPr>
    </w:p>
    <w:p w:rsidR="003D0CC6" w:rsidRPr="001B2E57" w:rsidRDefault="003D0CC6" w:rsidP="00DB023F">
      <w:pPr>
        <w:widowControl w:val="0"/>
        <w:ind w:left="2880" w:hanging="2880"/>
        <w:jc w:val="both"/>
        <w:rPr>
          <w:sz w:val="20"/>
          <w:szCs w:val="20"/>
          <w:lang w:val="fr-CA"/>
        </w:rPr>
      </w:pPr>
      <w:r w:rsidRPr="001B2E57">
        <w:rPr>
          <w:sz w:val="20"/>
          <w:szCs w:val="20"/>
          <w:lang w:val="fr-CA"/>
        </w:rPr>
        <w:t>Arrêt de la Cour d’appel:</w:t>
      </w:r>
      <w:r w:rsidRPr="001B2E57">
        <w:rPr>
          <w:sz w:val="20"/>
          <w:szCs w:val="20"/>
          <w:lang w:val="fr-CA"/>
        </w:rPr>
        <w:tab/>
        <w:t>le 24 juillet 2014</w:t>
      </w:r>
    </w:p>
    <w:p w:rsidR="003D0CC6" w:rsidRPr="001B2E57" w:rsidRDefault="003D0CC6" w:rsidP="00DB023F">
      <w:pPr>
        <w:widowControl w:val="0"/>
        <w:ind w:left="2880" w:hanging="2880"/>
        <w:jc w:val="both"/>
        <w:rPr>
          <w:sz w:val="20"/>
          <w:szCs w:val="20"/>
          <w:lang w:val="fr-CA"/>
        </w:rPr>
      </w:pPr>
    </w:p>
    <w:p w:rsidR="003D0CC6" w:rsidRPr="001B2E57" w:rsidRDefault="003D0CC6" w:rsidP="00DB023F">
      <w:pPr>
        <w:widowControl w:val="0"/>
        <w:ind w:left="2880" w:hanging="2880"/>
        <w:jc w:val="both"/>
        <w:rPr>
          <w:sz w:val="20"/>
          <w:szCs w:val="20"/>
          <w:lang w:val="fr-CA"/>
        </w:rPr>
      </w:pPr>
      <w:r w:rsidRPr="001B2E57">
        <w:rPr>
          <w:sz w:val="20"/>
          <w:szCs w:val="20"/>
          <w:lang w:val="fr-CA"/>
        </w:rPr>
        <w:t>Avocats:</w:t>
      </w:r>
      <w:r w:rsidRPr="001B2E57">
        <w:rPr>
          <w:sz w:val="20"/>
          <w:szCs w:val="20"/>
          <w:lang w:val="fr-CA"/>
        </w:rPr>
        <w:tab/>
        <w:t>Amanda Sansregret et Josh A. Weinstein pour l’appelant</w:t>
      </w:r>
    </w:p>
    <w:p w:rsidR="003D0CC6" w:rsidRPr="001B2E57" w:rsidRDefault="003D0CC6" w:rsidP="00DB023F">
      <w:pPr>
        <w:widowControl w:val="0"/>
        <w:ind w:left="2880" w:hanging="2880"/>
        <w:jc w:val="both"/>
        <w:rPr>
          <w:sz w:val="20"/>
          <w:szCs w:val="20"/>
        </w:rPr>
      </w:pPr>
      <w:r w:rsidRPr="001B2E57">
        <w:rPr>
          <w:sz w:val="20"/>
          <w:szCs w:val="20"/>
          <w:lang w:val="fr-CA"/>
        </w:rPr>
        <w:tab/>
      </w:r>
      <w:r w:rsidRPr="001B2E57">
        <w:rPr>
          <w:sz w:val="20"/>
          <w:szCs w:val="20"/>
        </w:rPr>
        <w:t>Rekha Malaviya pour l’intimé</w:t>
      </w:r>
    </w:p>
    <w:p w:rsidR="00D96A7D" w:rsidRDefault="00D96A7D" w:rsidP="000B3C9A">
      <w:pPr>
        <w:tabs>
          <w:tab w:val="left" w:pos="-1440"/>
          <w:tab w:val="left" w:pos="-720"/>
        </w:tabs>
        <w:jc w:val="both"/>
        <w:rPr>
          <w:sz w:val="20"/>
          <w:szCs w:val="20"/>
          <w:lang w:val="fr-CA"/>
        </w:rPr>
      </w:pPr>
    </w:p>
    <w:p w:rsidR="00D96A7D" w:rsidRDefault="00E42AAB" w:rsidP="000B3C9A">
      <w:pPr>
        <w:tabs>
          <w:tab w:val="left" w:pos="-1440"/>
          <w:tab w:val="left" w:pos="-720"/>
        </w:tabs>
        <w:jc w:val="both"/>
        <w:rPr>
          <w:sz w:val="20"/>
          <w:szCs w:val="20"/>
          <w:lang w:val="fr-CA"/>
        </w:rPr>
      </w:pPr>
      <w:r>
        <w:rPr>
          <w:sz w:val="20"/>
          <w:szCs w:val="20"/>
          <w:lang w:val="fr-CA"/>
        </w:rPr>
        <w:pict>
          <v:rect id="_x0000_i1146" style="width:2in;height:1pt" o:hrpct="0" o:hralign="center" o:hrstd="t" o:hrnoshade="t" o:hr="t" fillcolor="black [3213]" stroked="f"/>
        </w:pict>
      </w:r>
    </w:p>
    <w:p w:rsidR="00D96A7D" w:rsidRDefault="00D96A7D" w:rsidP="000B3C9A">
      <w:pPr>
        <w:tabs>
          <w:tab w:val="left" w:pos="-1440"/>
          <w:tab w:val="left" w:pos="-720"/>
        </w:tabs>
        <w:jc w:val="both"/>
        <w:rPr>
          <w:sz w:val="20"/>
          <w:szCs w:val="20"/>
          <w:lang w:val="fr-CA"/>
        </w:rPr>
      </w:pPr>
    </w:p>
    <w:p w:rsidR="00D96A7D" w:rsidRPr="00DD0B49" w:rsidRDefault="00D96A7D" w:rsidP="000B3C9A">
      <w:pPr>
        <w:tabs>
          <w:tab w:val="left" w:pos="-1440"/>
          <w:tab w:val="left" w:pos="-720"/>
        </w:tabs>
        <w:jc w:val="both"/>
        <w:rPr>
          <w:sz w:val="20"/>
          <w:szCs w:val="20"/>
          <w:lang w:val="fr-CA"/>
        </w:rPr>
      </w:pPr>
    </w:p>
    <w:p w:rsidR="005F263E" w:rsidRPr="00C50A5C" w:rsidRDefault="005F263E" w:rsidP="00782AE4">
      <w:pPr>
        <w:jc w:val="both"/>
        <w:rPr>
          <w:sz w:val="20"/>
          <w:szCs w:val="20"/>
          <w:lang w:val="fr-CA"/>
        </w:rPr>
      </w:pPr>
    </w:p>
    <w:p w:rsidR="005F263E" w:rsidRPr="00C50A5C" w:rsidRDefault="005F263E" w:rsidP="00782AE4">
      <w:pPr>
        <w:jc w:val="both"/>
        <w:rPr>
          <w:sz w:val="20"/>
          <w:szCs w:val="20"/>
          <w:lang w:val="fr-CA"/>
        </w:rPr>
        <w:sectPr w:rsidR="005F263E" w:rsidRPr="00C50A5C" w:rsidSect="005F263E">
          <w:headerReference w:type="default" r:id="rId156"/>
          <w:footerReference w:type="default" r:id="rId157"/>
          <w:headerReference w:type="first" r:id="rId158"/>
          <w:footerReference w:type="first" r:id="rId159"/>
          <w:pgSz w:w="12240" w:h="15840"/>
          <w:pgMar w:top="720" w:right="965" w:bottom="1080" w:left="1656" w:header="720" w:footer="965" w:gutter="0"/>
          <w:cols w:space="720"/>
          <w:titlePg/>
          <w:docGrid w:linePitch="326"/>
        </w:sectPr>
      </w:pPr>
    </w:p>
    <w:p w:rsidR="008112A9" w:rsidRPr="002E0C7E" w:rsidRDefault="006F7944" w:rsidP="008112A9">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8112A9"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8112A9" w:rsidRPr="002E0C7E">
        <w:rPr>
          <w:rFonts w:asciiTheme="minorHAnsi" w:hAnsiTheme="minorHAnsi" w:cstheme="minorHAnsi"/>
          <w:b/>
          <w:szCs w:val="24"/>
        </w:rPr>
        <w:t>SUPREME COURT OF CANADA SCHEDULE / CALENDRIER DE LA COUR SUPREME</w:t>
      </w:r>
    </w:p>
    <w:p w:rsidR="008112A9" w:rsidRPr="002E0C7E" w:rsidRDefault="008112A9" w:rsidP="008112A9">
      <w:pPr>
        <w:widowControl w:val="0"/>
        <w:spacing w:line="180" w:lineRule="auto"/>
        <w:rPr>
          <w:rFonts w:asciiTheme="minorHAnsi" w:hAnsiTheme="minorHAnsi" w:cstheme="minorHAnsi"/>
          <w:szCs w:val="24"/>
        </w:rPr>
      </w:pPr>
    </w:p>
    <w:p w:rsidR="008112A9" w:rsidRPr="002E0C7E" w:rsidRDefault="008112A9" w:rsidP="008112A9">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4</w:t>
      </w:r>
      <w:r w:rsidRPr="002E0C7E">
        <w:rPr>
          <w:rFonts w:ascii="Arial" w:hAnsi="Arial"/>
          <w:i/>
          <w:sz w:val="36"/>
        </w:rPr>
        <w:t xml:space="preserve"> -</w:t>
      </w:r>
      <w:r w:rsidRPr="002E0C7E">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112A9" w:rsidRPr="002E0C7E" w:rsidTr="00BB5405">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BB5405">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BB5405">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BB5405">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BB5405">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BB5405">
            <w:pPr>
              <w:widowControl w:val="0"/>
              <w:jc w:val="center"/>
              <w:rPr>
                <w:rFonts w:ascii="Arial" w:hAnsi="Arial"/>
                <w:sz w:val="14"/>
              </w:rPr>
            </w:pPr>
            <w:r w:rsidRPr="002E0C7E">
              <w:rPr>
                <w:rFonts w:ascii="Arial" w:hAnsi="Arial"/>
                <w:b/>
                <w:sz w:val="14"/>
              </w:rPr>
              <w:t>DECEMBER - DÉCEMBRE</w:t>
            </w:r>
          </w:p>
        </w:tc>
      </w:tr>
      <w:tr w:rsidR="008112A9" w:rsidRPr="002E0C7E" w:rsidTr="00BB5405">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S</w:t>
            </w:r>
          </w:p>
          <w:p w:rsidR="008112A9" w:rsidRPr="002E0C7E" w:rsidRDefault="008112A9" w:rsidP="00BB5405">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M</w:t>
            </w:r>
          </w:p>
          <w:p w:rsidR="008112A9" w:rsidRPr="002E0C7E" w:rsidRDefault="008112A9" w:rsidP="00BB5405">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T</w:t>
            </w:r>
          </w:p>
          <w:p w:rsidR="008112A9" w:rsidRPr="002E0C7E" w:rsidRDefault="008112A9" w:rsidP="00BB5405">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W</w:t>
            </w:r>
          </w:p>
          <w:p w:rsidR="008112A9" w:rsidRPr="002E0C7E" w:rsidRDefault="008112A9" w:rsidP="00BB5405">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T</w:t>
            </w:r>
          </w:p>
          <w:p w:rsidR="008112A9" w:rsidRPr="002E0C7E" w:rsidRDefault="008112A9" w:rsidP="00BB5405">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F</w:t>
            </w:r>
          </w:p>
          <w:p w:rsidR="008112A9" w:rsidRPr="002E0C7E" w:rsidRDefault="008112A9" w:rsidP="00BB5405">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S</w:t>
            </w:r>
          </w:p>
          <w:p w:rsidR="008112A9" w:rsidRPr="002E0C7E" w:rsidRDefault="008112A9" w:rsidP="00BB5405">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S</w:t>
            </w:r>
          </w:p>
          <w:p w:rsidR="008112A9" w:rsidRPr="002E0C7E" w:rsidRDefault="008112A9" w:rsidP="00BB5405">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M</w:t>
            </w:r>
          </w:p>
          <w:p w:rsidR="008112A9" w:rsidRPr="002E0C7E" w:rsidRDefault="008112A9" w:rsidP="00BB5405">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T</w:t>
            </w:r>
          </w:p>
          <w:p w:rsidR="008112A9" w:rsidRPr="002E0C7E" w:rsidRDefault="008112A9" w:rsidP="00BB5405">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W</w:t>
            </w:r>
          </w:p>
          <w:p w:rsidR="008112A9" w:rsidRPr="002E0C7E" w:rsidRDefault="008112A9" w:rsidP="00BB5405">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T</w:t>
            </w:r>
          </w:p>
          <w:p w:rsidR="008112A9" w:rsidRPr="002E0C7E" w:rsidRDefault="008112A9" w:rsidP="00BB5405">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F</w:t>
            </w:r>
          </w:p>
          <w:p w:rsidR="008112A9" w:rsidRPr="002E0C7E" w:rsidRDefault="008112A9" w:rsidP="00BB5405">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S</w:t>
            </w:r>
          </w:p>
          <w:p w:rsidR="008112A9" w:rsidRPr="002E0C7E" w:rsidRDefault="008112A9" w:rsidP="00BB5405">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S</w:t>
            </w:r>
          </w:p>
          <w:p w:rsidR="008112A9" w:rsidRPr="002E0C7E" w:rsidRDefault="008112A9" w:rsidP="00BB5405">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M</w:t>
            </w:r>
          </w:p>
          <w:p w:rsidR="008112A9" w:rsidRPr="002E0C7E" w:rsidRDefault="008112A9" w:rsidP="00BB5405">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T</w:t>
            </w:r>
          </w:p>
          <w:p w:rsidR="008112A9" w:rsidRPr="002E0C7E" w:rsidRDefault="008112A9" w:rsidP="00BB5405">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W</w:t>
            </w:r>
          </w:p>
          <w:p w:rsidR="008112A9" w:rsidRPr="002E0C7E" w:rsidRDefault="008112A9" w:rsidP="00BB5405">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T</w:t>
            </w:r>
          </w:p>
          <w:p w:rsidR="008112A9" w:rsidRPr="002E0C7E" w:rsidRDefault="008112A9" w:rsidP="00BB5405">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F</w:t>
            </w:r>
          </w:p>
          <w:p w:rsidR="008112A9" w:rsidRPr="002E0C7E" w:rsidRDefault="008112A9" w:rsidP="00BB5405">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S</w:t>
            </w:r>
          </w:p>
          <w:p w:rsidR="008112A9" w:rsidRPr="002E0C7E" w:rsidRDefault="008112A9" w:rsidP="00BB5405">
            <w:pPr>
              <w:widowControl w:val="0"/>
              <w:jc w:val="center"/>
              <w:rPr>
                <w:rFonts w:ascii="Arial" w:hAnsi="Arial"/>
                <w:sz w:val="14"/>
              </w:rPr>
            </w:pPr>
            <w:r w:rsidRPr="002E0C7E">
              <w:rPr>
                <w:rFonts w:ascii="Arial" w:hAnsi="Arial"/>
                <w:sz w:val="14"/>
              </w:rPr>
              <w:t>S</w:t>
            </w:r>
          </w:p>
        </w:tc>
      </w:tr>
      <w:tr w:rsidR="008112A9" w:rsidRPr="002E0C7E" w:rsidTr="00BB5405">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12A9" w:rsidRPr="00035CC4" w:rsidRDefault="008112A9" w:rsidP="00BB5405">
            <w:pPr>
              <w:widowControl w:val="0"/>
              <w:jc w:val="center"/>
              <w:rPr>
                <w:rFonts w:ascii="Arial" w:hAnsi="Arial"/>
                <w:b/>
                <w:sz w:val="14"/>
              </w:rPr>
            </w:pPr>
            <w:r>
              <w:rPr>
                <w:rFonts w:ascii="Arial" w:hAnsi="Arial"/>
                <w:b/>
                <w:sz w:val="14"/>
              </w:rPr>
              <w:t>M</w:t>
            </w:r>
          </w:p>
          <w:p w:rsidR="008112A9" w:rsidRPr="002E0C7E" w:rsidRDefault="008112A9" w:rsidP="00BB5405">
            <w:pPr>
              <w:widowControl w:val="0"/>
              <w:jc w:val="center"/>
              <w:rPr>
                <w:rFonts w:ascii="Arial" w:hAnsi="Arial"/>
                <w:sz w:val="14"/>
              </w:rPr>
            </w:pPr>
            <w:r>
              <w:rPr>
                <w:rFonts w:ascii="Arial" w:hAnsi="Arial"/>
                <w:sz w:val="14"/>
              </w:rPr>
              <w:t>1</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6</w:t>
            </w:r>
          </w:p>
        </w:tc>
      </w:tr>
      <w:tr w:rsidR="008112A9" w:rsidRPr="002E0C7E" w:rsidTr="00BB5405">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12A9" w:rsidRPr="000C583B" w:rsidRDefault="008112A9" w:rsidP="00BB5405">
            <w:pPr>
              <w:widowControl w:val="0"/>
              <w:jc w:val="center"/>
              <w:rPr>
                <w:rFonts w:ascii="Arial" w:hAnsi="Arial"/>
                <w:b/>
                <w:sz w:val="14"/>
              </w:rPr>
            </w:pPr>
            <w:r>
              <w:rPr>
                <w:rFonts w:ascii="Arial" w:hAnsi="Arial"/>
                <w:b/>
                <w:sz w:val="14"/>
              </w:rPr>
              <w:t>M</w:t>
            </w:r>
          </w:p>
          <w:p w:rsidR="008112A9" w:rsidRPr="002E0C7E" w:rsidRDefault="008112A9" w:rsidP="00BB5405">
            <w:pPr>
              <w:widowControl w:val="0"/>
              <w:jc w:val="center"/>
              <w:rPr>
                <w:rFonts w:ascii="Arial" w:hAnsi="Arial"/>
                <w:sz w:val="14"/>
              </w:rPr>
            </w:pPr>
            <w:r>
              <w:rPr>
                <w:rFonts w:ascii="Arial" w:hAnsi="Arial"/>
                <w:sz w:val="14"/>
              </w:rPr>
              <w:t>6</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0C583B" w:rsidRDefault="008112A9" w:rsidP="00BB5405">
            <w:pPr>
              <w:widowControl w:val="0"/>
              <w:jc w:val="center"/>
              <w:rPr>
                <w:rFonts w:ascii="Arial" w:hAnsi="Arial"/>
                <w:b/>
                <w:sz w:val="14"/>
              </w:rPr>
            </w:pPr>
          </w:p>
          <w:p w:rsidR="008112A9" w:rsidRPr="002E0C7E" w:rsidRDefault="008112A9" w:rsidP="00BB5405">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11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w:t>
            </w:r>
          </w:p>
        </w:tc>
        <w:tc>
          <w:tcPr>
            <w:tcW w:w="47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b/>
                <w:sz w:val="14"/>
              </w:rPr>
              <w:t>M</w:t>
            </w:r>
          </w:p>
          <w:p w:rsidR="008112A9" w:rsidRPr="002E0C7E" w:rsidRDefault="008112A9" w:rsidP="00BB5405">
            <w:pPr>
              <w:widowControl w:val="0"/>
              <w:jc w:val="center"/>
              <w:rPr>
                <w:rFonts w:ascii="Arial" w:hAnsi="Arial"/>
                <w:sz w:val="14"/>
              </w:rPr>
            </w:pPr>
            <w:r>
              <w:rPr>
                <w:rFonts w:ascii="Arial" w:hAnsi="Arial"/>
                <w:sz w:val="14"/>
              </w:rPr>
              <w:t>3</w:t>
            </w:r>
          </w:p>
        </w:tc>
        <w:tc>
          <w:tcPr>
            <w:tcW w:w="469" w:type="dxa"/>
            <w:tcBorders>
              <w:top w:val="single" w:sz="8" w:space="0" w:color="000000"/>
              <w:left w:val="double" w:sz="6" w:space="0" w:color="000000"/>
              <w:bottom w:val="double" w:sz="6"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13</w:t>
            </w:r>
          </w:p>
        </w:tc>
      </w:tr>
      <w:tr w:rsidR="008112A9" w:rsidRPr="002E0C7E" w:rsidTr="00BB5405">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0C583B" w:rsidRDefault="008112A9" w:rsidP="00BB5405">
            <w:pPr>
              <w:widowControl w:val="0"/>
              <w:jc w:val="center"/>
              <w:rPr>
                <w:rFonts w:ascii="Arial" w:hAnsi="Arial"/>
                <w:b/>
                <w:sz w:val="14"/>
              </w:rPr>
            </w:pPr>
            <w:r>
              <w:rPr>
                <w:rFonts w:ascii="Arial" w:hAnsi="Arial"/>
                <w:b/>
                <w:sz w:val="14"/>
              </w:rPr>
              <w:t>H</w:t>
            </w:r>
          </w:p>
          <w:p w:rsidR="008112A9" w:rsidRPr="002E0C7E" w:rsidRDefault="008112A9" w:rsidP="00BB5405">
            <w:pPr>
              <w:widowControl w:val="0"/>
              <w:jc w:val="center"/>
              <w:rPr>
                <w:rFonts w:ascii="Arial" w:hAnsi="Arial"/>
                <w:sz w:val="14"/>
              </w:rPr>
            </w:pPr>
            <w:r w:rsidRPr="002E0C7E">
              <w:rPr>
                <w:rFonts w:ascii="Arial" w:hAnsi="Arial"/>
                <w:sz w:val="14"/>
              </w:rPr>
              <w:t>1</w:t>
            </w:r>
            <w:r>
              <w:rPr>
                <w:rFonts w:ascii="Arial" w:hAnsi="Arial"/>
                <w:sz w:val="14"/>
              </w:rPr>
              <w:t>3</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0C583B"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18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9</w:t>
            </w:r>
          </w:p>
        </w:tc>
        <w:tc>
          <w:tcPr>
            <w:tcW w:w="470" w:type="dxa"/>
            <w:tcBorders>
              <w:top w:val="double" w:sz="6" w:space="0" w:color="000000"/>
              <w:left w:val="single" w:sz="8" w:space="0" w:color="000000"/>
              <w:bottom w:val="single" w:sz="4" w:space="0" w:color="auto"/>
              <w:right w:val="double" w:sz="6" w:space="0" w:color="000000"/>
            </w:tcBorders>
            <w:shd w:val="pct30" w:color="auto" w:fill="auto"/>
            <w:tcMar>
              <w:top w:w="72" w:type="dxa"/>
              <w:left w:w="0" w:type="dxa"/>
              <w:bottom w:w="43" w:type="dxa"/>
              <w:right w:w="0" w:type="dxa"/>
            </w:tcMar>
          </w:tcPr>
          <w:p w:rsidR="008112A9" w:rsidRPr="004030BA"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4F066E" w:rsidRDefault="008112A9" w:rsidP="00BB5405">
            <w:pPr>
              <w:widowControl w:val="0"/>
              <w:jc w:val="center"/>
              <w:rPr>
                <w:rFonts w:ascii="Arial" w:hAnsi="Arial"/>
                <w:b/>
                <w:sz w:val="14"/>
              </w:rPr>
            </w:pPr>
            <w:r w:rsidRPr="004F066E">
              <w:rPr>
                <w:rFonts w:ascii="Arial" w:hAnsi="Arial"/>
                <w:b/>
                <w:sz w:val="14"/>
              </w:rPr>
              <w:t>H</w:t>
            </w:r>
          </w:p>
          <w:p w:rsidR="008112A9" w:rsidRPr="002E0C7E" w:rsidRDefault="008112A9" w:rsidP="00BB5405">
            <w:pPr>
              <w:widowControl w:val="0"/>
              <w:jc w:val="center"/>
              <w:rPr>
                <w:rFonts w:ascii="Arial" w:hAnsi="Arial"/>
                <w:sz w:val="14"/>
              </w:rPr>
            </w:pPr>
            <w:r>
              <w:rPr>
                <w:rFonts w:ascii="Arial" w:hAnsi="Arial"/>
                <w:sz w:val="14"/>
              </w:rPr>
              <w:t>11</w:t>
            </w:r>
          </w:p>
        </w:tc>
        <w:tc>
          <w:tcPr>
            <w:tcW w:w="470"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1</w:t>
            </w: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4" w:space="0" w:color="auto"/>
              <w:right w:val="single" w:sz="8" w:space="0" w:color="000000"/>
            </w:tcBorders>
            <w:shd w:val="clear"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20</w:t>
            </w:r>
          </w:p>
        </w:tc>
      </w:tr>
      <w:tr w:rsidR="008112A9" w:rsidRPr="002E0C7E" w:rsidTr="00BB5405">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22</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16</w:t>
            </w:r>
          </w:p>
        </w:tc>
        <w:tc>
          <w:tcPr>
            <w:tcW w:w="470" w:type="dxa"/>
            <w:tcBorders>
              <w:top w:val="single" w:sz="4" w:space="0" w:color="auto"/>
              <w:left w:val="single" w:sz="8" w:space="0" w:color="000000"/>
              <w:bottom w:val="nil"/>
              <w:right w:val="nil"/>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single" w:sz="8" w:space="0" w:color="000000"/>
              <w:bottom w:val="nil"/>
              <w:right w:val="nil"/>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18</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2</w:t>
            </w:r>
            <w:r>
              <w:rPr>
                <w:rFonts w:ascii="Arial" w:hAnsi="Arial"/>
                <w:sz w:val="14"/>
              </w:rPr>
              <w:t>0</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22</w:t>
            </w:r>
          </w:p>
        </w:tc>
        <w:tc>
          <w:tcPr>
            <w:tcW w:w="470" w:type="dxa"/>
            <w:tcBorders>
              <w:top w:val="single" w:sz="8" w:space="0" w:color="000000"/>
              <w:left w:val="single" w:sz="8" w:space="0" w:color="000000"/>
              <w:bottom w:val="single" w:sz="8" w:space="0" w:color="000000"/>
              <w:right w:val="single" w:sz="4" w:space="0" w:color="auto"/>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23</w:t>
            </w:r>
          </w:p>
        </w:tc>
        <w:tc>
          <w:tcPr>
            <w:tcW w:w="469" w:type="dxa"/>
            <w:tcBorders>
              <w:top w:val="single" w:sz="4" w:space="0" w:color="auto"/>
              <w:left w:val="single" w:sz="4" w:space="0" w:color="auto"/>
              <w:bottom w:val="single" w:sz="4" w:space="0" w:color="auto"/>
              <w:right w:val="double" w:sz="6" w:space="0" w:color="000000"/>
            </w:tcBorders>
            <w:tcMar>
              <w:top w:w="72" w:type="dxa"/>
              <w:left w:w="0" w:type="dxa"/>
              <w:bottom w:w="43" w:type="dxa"/>
              <w:right w:w="0" w:type="dxa"/>
            </w:tcMar>
          </w:tcPr>
          <w:p w:rsidR="008112A9" w:rsidRPr="00D23ECF" w:rsidRDefault="008112A9" w:rsidP="00BB5405">
            <w:pPr>
              <w:widowControl w:val="0"/>
              <w:jc w:val="center"/>
              <w:rPr>
                <w:rFonts w:ascii="Arial" w:hAnsi="Arial"/>
                <w:b/>
                <w:sz w:val="14"/>
              </w:rPr>
            </w:pPr>
          </w:p>
          <w:p w:rsidR="008112A9" w:rsidRPr="002E0C7E" w:rsidRDefault="008112A9" w:rsidP="00BB5405">
            <w:pPr>
              <w:widowControl w:val="0"/>
              <w:jc w:val="center"/>
              <w:rPr>
                <w:rFonts w:ascii="Arial" w:hAnsi="Arial"/>
                <w:sz w:val="14"/>
              </w:rPr>
            </w:pPr>
            <w:r>
              <w:rPr>
                <w:rFonts w:ascii="Arial" w:hAnsi="Arial"/>
                <w:sz w:val="14"/>
              </w:rPr>
              <w:t>24</w:t>
            </w:r>
          </w:p>
        </w:tc>
        <w:tc>
          <w:tcPr>
            <w:tcW w:w="470"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D23ECF" w:rsidRDefault="008112A9" w:rsidP="00BB5405">
            <w:pPr>
              <w:widowControl w:val="0"/>
              <w:jc w:val="center"/>
              <w:rPr>
                <w:rFonts w:ascii="Arial" w:hAnsi="Arial"/>
                <w:b/>
                <w:sz w:val="14"/>
              </w:rPr>
            </w:pPr>
            <w:r>
              <w:rPr>
                <w:rFonts w:ascii="Arial" w:hAnsi="Arial"/>
                <w:b/>
                <w:sz w:val="14"/>
              </w:rPr>
              <w:t>H</w:t>
            </w:r>
          </w:p>
          <w:p w:rsidR="008112A9" w:rsidRPr="002E0C7E" w:rsidRDefault="008112A9" w:rsidP="00BB5405">
            <w:pPr>
              <w:widowControl w:val="0"/>
              <w:jc w:val="center"/>
              <w:rPr>
                <w:rFonts w:ascii="Arial" w:hAnsi="Arial"/>
                <w:sz w:val="14"/>
              </w:rPr>
            </w:pPr>
            <w:r>
              <w:rPr>
                <w:rFonts w:ascii="Arial" w:hAnsi="Arial"/>
                <w:sz w:val="14"/>
              </w:rPr>
              <w:t>25</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D23ECF" w:rsidRDefault="008112A9" w:rsidP="00BB5405">
            <w:pPr>
              <w:widowControl w:val="0"/>
              <w:jc w:val="center"/>
              <w:rPr>
                <w:rFonts w:ascii="Arial" w:hAnsi="Arial"/>
                <w:b/>
                <w:sz w:val="14"/>
              </w:rPr>
            </w:pPr>
            <w:r>
              <w:rPr>
                <w:rFonts w:ascii="Arial" w:hAnsi="Arial"/>
                <w:b/>
                <w:sz w:val="14"/>
              </w:rPr>
              <w:t>H</w:t>
            </w:r>
          </w:p>
          <w:p w:rsidR="008112A9" w:rsidRPr="002E0C7E" w:rsidRDefault="008112A9" w:rsidP="00BB5405">
            <w:pPr>
              <w:widowControl w:val="0"/>
              <w:jc w:val="center"/>
              <w:rPr>
                <w:rFonts w:ascii="Arial" w:hAnsi="Arial"/>
                <w:sz w:val="14"/>
              </w:rPr>
            </w:pPr>
            <w:r>
              <w:rPr>
                <w:rFonts w:ascii="Arial" w:hAnsi="Arial"/>
                <w:sz w:val="14"/>
              </w:rPr>
              <w:t>26</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2</w:t>
            </w:r>
            <w:r>
              <w:rPr>
                <w:rFonts w:ascii="Arial" w:hAnsi="Arial"/>
                <w:sz w:val="14"/>
              </w:rPr>
              <w:t>7</w:t>
            </w:r>
          </w:p>
        </w:tc>
      </w:tr>
      <w:tr w:rsidR="008112A9" w:rsidRPr="002E0C7E" w:rsidTr="00BB5405">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27</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29</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31</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Default="008112A9" w:rsidP="00BB5405">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3</w:t>
            </w:r>
          </w:p>
          <w:p w:rsidR="008112A9" w:rsidRPr="002E0C7E" w:rsidRDefault="008112A9" w:rsidP="00BB5405">
            <w:pPr>
              <w:widowControl w:val="0"/>
              <w:rPr>
                <w:rFonts w:ascii="Arial" w:hAnsi="Arial"/>
                <w:sz w:val="14"/>
              </w:rPr>
            </w:pPr>
            <w:r>
              <w:rPr>
                <w:rFonts w:ascii="Arial" w:hAnsi="Arial"/>
                <w:sz w:val="14"/>
              </w:rPr>
              <w:t xml:space="preserve">      30</w:t>
            </w: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27</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29</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30</w:t>
            </w:r>
          </w:p>
        </w:tc>
        <w:tc>
          <w:tcPr>
            <w:tcW w:w="469" w:type="dxa"/>
            <w:tcBorders>
              <w:top w:val="single" w:sz="4" w:space="0" w:color="auto"/>
              <w:left w:val="single" w:sz="8" w:space="0" w:color="000000"/>
              <w:bottom w:val="double" w:sz="6" w:space="0" w:color="000000"/>
              <w:right w:val="single" w:sz="4" w:space="0" w:color="auto"/>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31</w:t>
            </w:r>
          </w:p>
        </w:tc>
        <w:tc>
          <w:tcPr>
            <w:tcW w:w="470" w:type="dxa"/>
            <w:tcBorders>
              <w:top w:val="double" w:sz="6" w:space="0" w:color="000000"/>
              <w:left w:val="single" w:sz="4" w:space="0" w:color="auto"/>
              <w:bottom w:val="double" w:sz="6"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p>
        </w:tc>
      </w:tr>
    </w:tbl>
    <w:p w:rsidR="008112A9" w:rsidRPr="002E0C7E" w:rsidRDefault="008112A9" w:rsidP="008112A9">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5</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112A9" w:rsidRPr="002E0C7E" w:rsidTr="00BB5405">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BB5405">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BB5405">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BB5405">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BB5405">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BB5405">
            <w:pPr>
              <w:widowControl w:val="0"/>
              <w:jc w:val="center"/>
              <w:rPr>
                <w:rFonts w:ascii="Arial" w:hAnsi="Arial"/>
                <w:sz w:val="14"/>
              </w:rPr>
            </w:pPr>
            <w:r w:rsidRPr="002E0C7E">
              <w:rPr>
                <w:rFonts w:ascii="Arial" w:hAnsi="Arial"/>
                <w:b/>
                <w:sz w:val="14"/>
              </w:rPr>
              <w:t>MARCH - MARS</w:t>
            </w:r>
          </w:p>
        </w:tc>
      </w:tr>
      <w:tr w:rsidR="008112A9" w:rsidRPr="002E0C7E" w:rsidTr="00BB5405">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S</w:t>
            </w:r>
          </w:p>
          <w:p w:rsidR="008112A9" w:rsidRPr="002E0C7E" w:rsidRDefault="008112A9" w:rsidP="00BB5405">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M</w:t>
            </w:r>
          </w:p>
          <w:p w:rsidR="008112A9" w:rsidRPr="002E0C7E" w:rsidRDefault="008112A9" w:rsidP="00BB5405">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T</w:t>
            </w:r>
          </w:p>
          <w:p w:rsidR="008112A9" w:rsidRPr="002E0C7E" w:rsidRDefault="008112A9" w:rsidP="00BB5405">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4" w:space="0" w:color="auto"/>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W</w:t>
            </w:r>
          </w:p>
          <w:p w:rsidR="008112A9" w:rsidRPr="002E0C7E" w:rsidRDefault="008112A9" w:rsidP="00BB5405">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T</w:t>
            </w:r>
          </w:p>
          <w:p w:rsidR="008112A9" w:rsidRPr="002E0C7E" w:rsidRDefault="008112A9" w:rsidP="00BB5405">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F</w:t>
            </w:r>
          </w:p>
          <w:p w:rsidR="008112A9" w:rsidRPr="002E0C7E" w:rsidRDefault="008112A9" w:rsidP="00BB5405">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S</w:t>
            </w:r>
          </w:p>
          <w:p w:rsidR="008112A9" w:rsidRPr="002E0C7E" w:rsidRDefault="008112A9" w:rsidP="00BB5405">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S</w:t>
            </w:r>
          </w:p>
          <w:p w:rsidR="008112A9" w:rsidRPr="002E0C7E" w:rsidRDefault="008112A9" w:rsidP="00BB5405">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M</w:t>
            </w:r>
          </w:p>
          <w:p w:rsidR="008112A9" w:rsidRPr="002E0C7E" w:rsidRDefault="008112A9" w:rsidP="00BB5405">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T</w:t>
            </w:r>
          </w:p>
          <w:p w:rsidR="008112A9" w:rsidRPr="002E0C7E" w:rsidRDefault="008112A9" w:rsidP="00BB5405">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W</w:t>
            </w:r>
          </w:p>
          <w:p w:rsidR="008112A9" w:rsidRPr="002E0C7E" w:rsidRDefault="008112A9" w:rsidP="00BB5405">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T</w:t>
            </w:r>
          </w:p>
          <w:p w:rsidR="008112A9" w:rsidRPr="002E0C7E" w:rsidRDefault="008112A9" w:rsidP="00BB5405">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F</w:t>
            </w:r>
          </w:p>
          <w:p w:rsidR="008112A9" w:rsidRPr="002E0C7E" w:rsidRDefault="008112A9" w:rsidP="00BB5405">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S</w:t>
            </w:r>
          </w:p>
          <w:p w:rsidR="008112A9" w:rsidRPr="002E0C7E" w:rsidRDefault="008112A9" w:rsidP="00BB5405">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S</w:t>
            </w:r>
          </w:p>
          <w:p w:rsidR="008112A9" w:rsidRPr="002E0C7E" w:rsidRDefault="008112A9" w:rsidP="00BB5405">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M</w:t>
            </w:r>
          </w:p>
          <w:p w:rsidR="008112A9" w:rsidRPr="002E0C7E" w:rsidRDefault="008112A9" w:rsidP="00BB5405">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T</w:t>
            </w:r>
          </w:p>
          <w:p w:rsidR="008112A9" w:rsidRPr="002E0C7E" w:rsidRDefault="008112A9" w:rsidP="00BB5405">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W</w:t>
            </w:r>
          </w:p>
          <w:p w:rsidR="008112A9" w:rsidRPr="002E0C7E" w:rsidRDefault="008112A9" w:rsidP="00BB5405">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T</w:t>
            </w:r>
          </w:p>
          <w:p w:rsidR="008112A9" w:rsidRPr="002E0C7E" w:rsidRDefault="008112A9" w:rsidP="00BB5405">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F</w:t>
            </w:r>
          </w:p>
          <w:p w:rsidR="008112A9" w:rsidRPr="002E0C7E" w:rsidRDefault="008112A9" w:rsidP="00BB5405">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S</w:t>
            </w:r>
          </w:p>
          <w:p w:rsidR="008112A9" w:rsidRPr="002E0C7E" w:rsidRDefault="008112A9" w:rsidP="00BB5405">
            <w:pPr>
              <w:widowControl w:val="0"/>
              <w:jc w:val="center"/>
              <w:rPr>
                <w:rFonts w:ascii="Arial" w:hAnsi="Arial"/>
                <w:sz w:val="14"/>
              </w:rPr>
            </w:pPr>
            <w:r w:rsidRPr="002E0C7E">
              <w:rPr>
                <w:rFonts w:ascii="Arial" w:hAnsi="Arial"/>
                <w:sz w:val="14"/>
              </w:rPr>
              <w:t>S</w:t>
            </w:r>
          </w:p>
        </w:tc>
      </w:tr>
      <w:tr w:rsidR="008112A9" w:rsidRPr="002E0C7E" w:rsidTr="00BB5405">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4" w:space="0" w:color="auto"/>
            </w:tcBorders>
            <w:tcMar>
              <w:top w:w="72" w:type="dxa"/>
              <w:left w:w="0" w:type="dxa"/>
              <w:bottom w:w="43" w:type="dxa"/>
              <w:right w:w="0" w:type="dxa"/>
            </w:tcMar>
          </w:tcPr>
          <w:p w:rsidR="008112A9" w:rsidRPr="00317A69" w:rsidRDefault="008112A9" w:rsidP="00BB5405">
            <w:pPr>
              <w:widowControl w:val="0"/>
              <w:jc w:val="center"/>
              <w:rPr>
                <w:rFonts w:ascii="Arial" w:hAnsi="Arial"/>
                <w:b/>
                <w:sz w:val="14"/>
              </w:rPr>
            </w:pPr>
          </w:p>
          <w:p w:rsidR="008112A9" w:rsidRPr="002E0C7E" w:rsidRDefault="008112A9" w:rsidP="00BB5405">
            <w:pPr>
              <w:widowControl w:val="0"/>
              <w:jc w:val="center"/>
              <w:rPr>
                <w:rFonts w:ascii="Arial" w:hAnsi="Arial"/>
                <w:sz w:val="14"/>
              </w:rPr>
            </w:pPr>
          </w:p>
        </w:tc>
        <w:tc>
          <w:tcPr>
            <w:tcW w:w="469" w:type="dxa"/>
            <w:tcBorders>
              <w:top w:val="single" w:sz="4" w:space="0" w:color="auto"/>
              <w:left w:val="single" w:sz="4" w:space="0" w:color="auto"/>
              <w:bottom w:val="single" w:sz="4" w:space="0" w:color="auto"/>
              <w:right w:val="double" w:sz="6" w:space="0" w:color="000000"/>
            </w:tcBorders>
            <w:tcMar>
              <w:top w:w="72" w:type="dxa"/>
              <w:left w:w="0" w:type="dxa"/>
              <w:bottom w:w="43" w:type="dxa"/>
              <w:right w:w="0" w:type="dxa"/>
            </w:tcMar>
          </w:tcPr>
          <w:p w:rsidR="008112A9" w:rsidRPr="00D23ECF" w:rsidRDefault="008112A9" w:rsidP="00BB5405">
            <w:pPr>
              <w:widowControl w:val="0"/>
              <w:jc w:val="center"/>
              <w:rPr>
                <w:rFonts w:ascii="Arial" w:hAnsi="Arial"/>
                <w:b/>
                <w:sz w:val="14"/>
              </w:rPr>
            </w:pPr>
          </w:p>
          <w:p w:rsidR="008112A9" w:rsidRPr="002E0C7E" w:rsidRDefault="008112A9" w:rsidP="00BB5405">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4F066E" w:rsidRDefault="008112A9" w:rsidP="00BB5405">
            <w:pPr>
              <w:widowControl w:val="0"/>
              <w:jc w:val="center"/>
              <w:rPr>
                <w:rFonts w:ascii="Arial" w:hAnsi="Arial"/>
                <w:b/>
                <w:sz w:val="14"/>
              </w:rPr>
            </w:pPr>
            <w:r w:rsidRPr="004F066E">
              <w:rPr>
                <w:rFonts w:ascii="Arial" w:hAnsi="Arial"/>
                <w:b/>
                <w:sz w:val="14"/>
              </w:rPr>
              <w:t>H</w:t>
            </w:r>
          </w:p>
          <w:p w:rsidR="008112A9" w:rsidRPr="002E0C7E" w:rsidRDefault="008112A9" w:rsidP="00BB5405">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7</w:t>
            </w:r>
          </w:p>
        </w:tc>
      </w:tr>
      <w:tr w:rsidR="008112A9" w:rsidRPr="002E0C7E" w:rsidTr="00BB5405">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6</w:t>
            </w:r>
          </w:p>
        </w:tc>
        <w:tc>
          <w:tcPr>
            <w:tcW w:w="469" w:type="dxa"/>
            <w:tcBorders>
              <w:top w:val="single" w:sz="4" w:space="0" w:color="auto"/>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8</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645AC1" w:rsidRDefault="008112A9" w:rsidP="00BB5405">
            <w:pPr>
              <w:widowControl w:val="0"/>
              <w:jc w:val="center"/>
              <w:rPr>
                <w:rFonts w:ascii="Arial" w:hAnsi="Arial"/>
                <w:b/>
                <w:sz w:val="14"/>
              </w:rPr>
            </w:pPr>
            <w:r>
              <w:rPr>
                <w:rFonts w:ascii="Arial" w:hAnsi="Arial"/>
                <w:b/>
                <w:sz w:val="14"/>
              </w:rPr>
              <w:t>M</w:t>
            </w:r>
          </w:p>
          <w:p w:rsidR="008112A9" w:rsidRPr="002E0C7E" w:rsidRDefault="008112A9" w:rsidP="00BB5405">
            <w:pPr>
              <w:widowControl w:val="0"/>
              <w:jc w:val="center"/>
              <w:rPr>
                <w:rFonts w:ascii="Arial" w:hAnsi="Arial"/>
                <w:sz w:val="14"/>
              </w:rPr>
            </w:pPr>
            <w:r>
              <w:rPr>
                <w:rFonts w:ascii="Arial" w:hAnsi="Arial"/>
                <w:sz w:val="14"/>
              </w:rPr>
              <w:t>9</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14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14</w:t>
            </w:r>
          </w:p>
        </w:tc>
      </w:tr>
      <w:tr w:rsidR="008112A9" w:rsidRPr="002E0C7E" w:rsidTr="00BB5405">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7255AD" w:rsidRDefault="008112A9" w:rsidP="00BB5405">
            <w:pPr>
              <w:widowControl w:val="0"/>
              <w:jc w:val="center"/>
              <w:rPr>
                <w:rFonts w:ascii="Arial" w:hAnsi="Arial"/>
                <w:b/>
                <w:sz w:val="14"/>
              </w:rPr>
            </w:pPr>
            <w:r>
              <w:rPr>
                <w:rFonts w:ascii="Arial" w:hAnsi="Arial"/>
                <w:b/>
                <w:sz w:val="14"/>
              </w:rPr>
              <w:t>M</w:t>
            </w:r>
          </w:p>
          <w:p w:rsidR="008112A9" w:rsidRPr="002E0C7E" w:rsidRDefault="008112A9" w:rsidP="00BB5405">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16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15</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0E2B85" w:rsidRDefault="008112A9" w:rsidP="00BB5405">
            <w:pPr>
              <w:widowControl w:val="0"/>
              <w:jc w:val="center"/>
              <w:rPr>
                <w:rFonts w:ascii="Arial" w:hAnsi="Arial"/>
                <w:b/>
                <w:sz w:val="14"/>
              </w:rPr>
            </w:pPr>
          </w:p>
          <w:p w:rsidR="008112A9" w:rsidRPr="002E0C7E" w:rsidRDefault="008112A9" w:rsidP="00BB5405">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w:t>
            </w:r>
            <w:r w:rsidRPr="002E0C7E">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15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9900C5" w:rsidRDefault="008112A9" w:rsidP="00BB5405">
            <w:pPr>
              <w:widowControl w:val="0"/>
              <w:jc w:val="center"/>
              <w:rPr>
                <w:rFonts w:ascii="Arial" w:hAnsi="Arial"/>
                <w:b/>
                <w:sz w:val="14"/>
              </w:rPr>
            </w:pPr>
            <w:r w:rsidRPr="009900C5">
              <w:rPr>
                <w:rFonts w:ascii="Arial" w:hAnsi="Arial"/>
                <w:b/>
                <w:sz w:val="14"/>
              </w:rPr>
              <w:t>M</w:t>
            </w:r>
          </w:p>
          <w:p w:rsidR="008112A9" w:rsidRPr="002E0C7E" w:rsidRDefault="008112A9" w:rsidP="00BB5405">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w:t>
            </w:r>
            <w:r w:rsidRPr="002E0C7E">
              <w:rPr>
                <w:rFonts w:ascii="Arial" w:hAnsi="Arial"/>
                <w:sz w:val="14"/>
              </w:rPr>
              <w:t>1</w:t>
            </w:r>
          </w:p>
        </w:tc>
      </w:tr>
      <w:tr w:rsidR="008112A9" w:rsidRPr="002E0C7E" w:rsidTr="00BB5405">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18</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24</w:t>
            </w:r>
          </w:p>
        </w:tc>
        <w:tc>
          <w:tcPr>
            <w:tcW w:w="470"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22</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D34238" w:rsidRDefault="008112A9" w:rsidP="00BB5405">
            <w:pPr>
              <w:widowControl w:val="0"/>
              <w:jc w:val="center"/>
              <w:rPr>
                <w:rFonts w:ascii="Arial" w:hAnsi="Arial"/>
                <w:b/>
                <w:sz w:val="14"/>
              </w:rPr>
            </w:pPr>
          </w:p>
          <w:p w:rsidR="008112A9" w:rsidRPr="002E0C7E" w:rsidRDefault="008112A9" w:rsidP="00BB5405">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2</w:t>
            </w:r>
            <w:r>
              <w:rPr>
                <w:rFonts w:ascii="Arial" w:hAnsi="Arial"/>
                <w:sz w:val="14"/>
              </w:rPr>
              <w:t>8</w:t>
            </w:r>
          </w:p>
        </w:tc>
      </w:tr>
      <w:tr w:rsidR="008112A9" w:rsidRPr="002E0C7E" w:rsidTr="00BB5405">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31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61B35" w:rsidRDefault="008112A9" w:rsidP="00BB5405">
            <w:pPr>
              <w:widowControl w:val="0"/>
              <w:jc w:val="center"/>
              <w:rPr>
                <w:rFonts w:ascii="Arial" w:hAnsi="Arial"/>
                <w:b/>
                <w:sz w:val="14"/>
              </w:rPr>
            </w:pPr>
          </w:p>
          <w:p w:rsidR="008112A9" w:rsidRPr="002E0C7E" w:rsidRDefault="008112A9" w:rsidP="00BB5405">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tc>
      </w:tr>
    </w:tbl>
    <w:p w:rsidR="008112A9" w:rsidRPr="002E0C7E" w:rsidRDefault="008112A9" w:rsidP="008112A9">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112A9" w:rsidRPr="002E0C7E" w:rsidTr="00BB5405">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BB5405">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BB5405">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BB5405">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BB5405">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BB5405">
            <w:pPr>
              <w:widowControl w:val="0"/>
              <w:jc w:val="center"/>
              <w:rPr>
                <w:rFonts w:ascii="Arial" w:hAnsi="Arial"/>
                <w:sz w:val="14"/>
              </w:rPr>
            </w:pPr>
            <w:r w:rsidRPr="002E0C7E">
              <w:rPr>
                <w:rFonts w:ascii="Arial" w:hAnsi="Arial"/>
                <w:b/>
                <w:sz w:val="14"/>
              </w:rPr>
              <w:t>JUNE - JUIN</w:t>
            </w:r>
          </w:p>
        </w:tc>
      </w:tr>
      <w:tr w:rsidR="008112A9" w:rsidRPr="002E0C7E" w:rsidTr="00BB5405">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S</w:t>
            </w:r>
          </w:p>
          <w:p w:rsidR="008112A9" w:rsidRPr="002E0C7E" w:rsidRDefault="008112A9" w:rsidP="00BB5405">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M</w:t>
            </w:r>
          </w:p>
          <w:p w:rsidR="008112A9" w:rsidRPr="002E0C7E" w:rsidRDefault="008112A9" w:rsidP="00BB5405">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T</w:t>
            </w:r>
          </w:p>
          <w:p w:rsidR="008112A9" w:rsidRPr="002E0C7E" w:rsidRDefault="008112A9" w:rsidP="00BB5405">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W</w:t>
            </w:r>
          </w:p>
          <w:p w:rsidR="008112A9" w:rsidRPr="002E0C7E" w:rsidRDefault="008112A9" w:rsidP="00BB5405">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T</w:t>
            </w:r>
          </w:p>
          <w:p w:rsidR="008112A9" w:rsidRPr="002E0C7E" w:rsidRDefault="008112A9" w:rsidP="00BB5405">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F</w:t>
            </w:r>
          </w:p>
          <w:p w:rsidR="008112A9" w:rsidRPr="002E0C7E" w:rsidRDefault="008112A9" w:rsidP="00BB5405">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S</w:t>
            </w:r>
          </w:p>
          <w:p w:rsidR="008112A9" w:rsidRPr="002E0C7E" w:rsidRDefault="008112A9" w:rsidP="00BB5405">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S</w:t>
            </w:r>
          </w:p>
          <w:p w:rsidR="008112A9" w:rsidRPr="002E0C7E" w:rsidRDefault="008112A9" w:rsidP="00BB5405">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M</w:t>
            </w:r>
          </w:p>
          <w:p w:rsidR="008112A9" w:rsidRPr="002E0C7E" w:rsidRDefault="008112A9" w:rsidP="00BB5405">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T</w:t>
            </w:r>
          </w:p>
          <w:p w:rsidR="008112A9" w:rsidRPr="002E0C7E" w:rsidRDefault="008112A9" w:rsidP="00BB5405">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W</w:t>
            </w:r>
          </w:p>
          <w:p w:rsidR="008112A9" w:rsidRPr="002E0C7E" w:rsidRDefault="008112A9" w:rsidP="00BB5405">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T</w:t>
            </w:r>
          </w:p>
          <w:p w:rsidR="008112A9" w:rsidRPr="002E0C7E" w:rsidRDefault="008112A9" w:rsidP="00BB5405">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F</w:t>
            </w:r>
          </w:p>
          <w:p w:rsidR="008112A9" w:rsidRPr="002E0C7E" w:rsidRDefault="008112A9" w:rsidP="00BB5405">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S</w:t>
            </w:r>
          </w:p>
          <w:p w:rsidR="008112A9" w:rsidRPr="002E0C7E" w:rsidRDefault="008112A9" w:rsidP="00BB5405">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S</w:t>
            </w:r>
          </w:p>
          <w:p w:rsidR="008112A9" w:rsidRPr="002E0C7E" w:rsidRDefault="008112A9" w:rsidP="00BB5405">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M</w:t>
            </w:r>
          </w:p>
          <w:p w:rsidR="008112A9" w:rsidRPr="002E0C7E" w:rsidRDefault="008112A9" w:rsidP="00BB5405">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T</w:t>
            </w:r>
          </w:p>
          <w:p w:rsidR="008112A9" w:rsidRPr="002E0C7E" w:rsidRDefault="008112A9" w:rsidP="00BB5405">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W</w:t>
            </w:r>
          </w:p>
          <w:p w:rsidR="008112A9" w:rsidRPr="002E0C7E" w:rsidRDefault="008112A9" w:rsidP="00BB5405">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T</w:t>
            </w:r>
          </w:p>
          <w:p w:rsidR="008112A9" w:rsidRPr="002E0C7E" w:rsidRDefault="008112A9" w:rsidP="00BB5405">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sidRPr="002E0C7E">
              <w:rPr>
                <w:rFonts w:ascii="Arial" w:hAnsi="Arial"/>
                <w:sz w:val="14"/>
              </w:rPr>
              <w:t>F</w:t>
            </w:r>
          </w:p>
          <w:p w:rsidR="008112A9" w:rsidRPr="002E0C7E" w:rsidRDefault="008112A9" w:rsidP="00BB5405">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r>
              <w:rPr>
                <w:rFonts w:ascii="Arial" w:hAnsi="Arial"/>
                <w:sz w:val="14"/>
              </w:rPr>
              <w:t>S</w:t>
            </w:r>
          </w:p>
          <w:p w:rsidR="008112A9" w:rsidRPr="002E0C7E" w:rsidRDefault="008112A9" w:rsidP="00BB5405">
            <w:pPr>
              <w:widowControl w:val="0"/>
              <w:jc w:val="center"/>
              <w:rPr>
                <w:rFonts w:ascii="Arial" w:hAnsi="Arial"/>
                <w:sz w:val="14"/>
              </w:rPr>
            </w:pPr>
            <w:r>
              <w:rPr>
                <w:rFonts w:ascii="Arial" w:hAnsi="Arial"/>
                <w:sz w:val="14"/>
              </w:rPr>
              <w:t>S</w:t>
            </w:r>
          </w:p>
        </w:tc>
      </w:tr>
      <w:tr w:rsidR="008112A9" w:rsidRPr="002E0C7E" w:rsidTr="00BB5405">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072FEE" w:rsidRDefault="008112A9" w:rsidP="00BB5405">
            <w:pPr>
              <w:widowControl w:val="0"/>
              <w:jc w:val="center"/>
              <w:rPr>
                <w:rFonts w:ascii="Arial" w:hAnsi="Arial"/>
                <w:b/>
                <w:sz w:val="14"/>
              </w:rPr>
            </w:pPr>
            <w:r>
              <w:rPr>
                <w:rFonts w:ascii="Arial" w:hAnsi="Arial"/>
                <w:b/>
                <w:sz w:val="14"/>
              </w:rPr>
              <w:t>H</w:t>
            </w:r>
          </w:p>
          <w:p w:rsidR="008112A9" w:rsidRPr="002E0C7E" w:rsidRDefault="008112A9" w:rsidP="00BB5405">
            <w:pPr>
              <w:widowControl w:val="0"/>
              <w:jc w:val="center"/>
              <w:rPr>
                <w:rFonts w:ascii="Arial" w:hAnsi="Arial"/>
                <w:sz w:val="14"/>
              </w:rPr>
            </w:pPr>
            <w:r>
              <w:rPr>
                <w:rFonts w:ascii="Arial" w:hAnsi="Arial"/>
                <w:sz w:val="14"/>
              </w:rPr>
              <w:t>3</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b/>
                <w:sz w:val="14"/>
              </w:rPr>
            </w:pPr>
          </w:p>
          <w:p w:rsidR="008112A9" w:rsidRPr="002E0C7E" w:rsidRDefault="008112A9" w:rsidP="00BB5405">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6</w:t>
            </w:r>
          </w:p>
        </w:tc>
      </w:tr>
      <w:tr w:rsidR="008112A9" w:rsidRPr="002E0C7E" w:rsidTr="00BB5405">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710C8B" w:rsidRDefault="008112A9" w:rsidP="00BB5405">
            <w:pPr>
              <w:widowControl w:val="0"/>
              <w:jc w:val="center"/>
              <w:rPr>
                <w:rFonts w:ascii="Arial" w:hAnsi="Arial"/>
                <w:b/>
                <w:sz w:val="14"/>
              </w:rPr>
            </w:pPr>
            <w:r>
              <w:rPr>
                <w:rFonts w:ascii="Arial" w:hAnsi="Arial"/>
                <w:b/>
                <w:sz w:val="14"/>
              </w:rPr>
              <w:t>H</w:t>
            </w:r>
          </w:p>
          <w:p w:rsidR="008112A9" w:rsidRPr="002E0C7E" w:rsidRDefault="008112A9" w:rsidP="00BB5405">
            <w:pPr>
              <w:widowControl w:val="0"/>
              <w:jc w:val="center"/>
              <w:rPr>
                <w:rFonts w:ascii="Arial" w:hAnsi="Arial"/>
                <w:sz w:val="14"/>
              </w:rPr>
            </w:pP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9</w:t>
            </w:r>
          </w:p>
        </w:tc>
        <w:tc>
          <w:tcPr>
            <w:tcW w:w="469" w:type="dxa"/>
            <w:tcBorders>
              <w:top w:val="double" w:sz="6"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1</w:t>
            </w:r>
            <w:r>
              <w:rPr>
                <w:rFonts w:ascii="Arial" w:hAnsi="Arial"/>
                <w:sz w:val="14"/>
              </w:rPr>
              <w:t>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7</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6D6F71" w:rsidRDefault="008112A9" w:rsidP="00BB5405">
            <w:pPr>
              <w:widowControl w:val="0"/>
              <w:jc w:val="center"/>
              <w:rPr>
                <w:rFonts w:ascii="Arial" w:hAnsi="Arial"/>
                <w:b/>
                <w:sz w:val="14"/>
              </w:rPr>
            </w:pPr>
            <w:r>
              <w:rPr>
                <w:rFonts w:ascii="Arial" w:hAnsi="Arial"/>
                <w:b/>
                <w:sz w:val="14"/>
              </w:rPr>
              <w:t>M</w:t>
            </w:r>
          </w:p>
          <w:p w:rsidR="008112A9" w:rsidRPr="002E0C7E" w:rsidRDefault="008112A9" w:rsidP="00BB5405">
            <w:pPr>
              <w:widowControl w:val="0"/>
              <w:jc w:val="center"/>
              <w:rPr>
                <w:rFonts w:ascii="Arial" w:hAnsi="Arial"/>
                <w:sz w:val="14"/>
              </w:rPr>
            </w:pPr>
            <w:r>
              <w:rPr>
                <w:rFonts w:ascii="Arial" w:hAnsi="Arial"/>
                <w:sz w:val="14"/>
              </w:rPr>
              <w:t>8</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13</w:t>
            </w:r>
          </w:p>
        </w:tc>
      </w:tr>
      <w:tr w:rsidR="008112A9" w:rsidRPr="002E0C7E" w:rsidTr="00BB5405">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DB5777" w:rsidRDefault="008112A9" w:rsidP="00BB5405">
            <w:pPr>
              <w:widowControl w:val="0"/>
              <w:jc w:val="center"/>
              <w:rPr>
                <w:rFonts w:ascii="Arial" w:hAnsi="Arial"/>
                <w:b/>
                <w:sz w:val="14"/>
              </w:rPr>
            </w:pPr>
            <w:r>
              <w:rPr>
                <w:rFonts w:ascii="Arial" w:hAnsi="Arial"/>
                <w:b/>
                <w:sz w:val="14"/>
              </w:rPr>
              <w:t>M</w:t>
            </w:r>
          </w:p>
          <w:p w:rsidR="008112A9" w:rsidRPr="002E0C7E" w:rsidRDefault="008112A9" w:rsidP="00BB5405">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852172" w:rsidRDefault="008112A9" w:rsidP="00BB5405">
            <w:pPr>
              <w:widowControl w:val="0"/>
              <w:jc w:val="center"/>
              <w:rPr>
                <w:rFonts w:ascii="Arial" w:hAnsi="Arial"/>
                <w:b/>
                <w:sz w:val="14"/>
              </w:rPr>
            </w:pPr>
          </w:p>
          <w:p w:rsidR="008112A9" w:rsidRPr="002E0C7E" w:rsidRDefault="008112A9" w:rsidP="00BB5405">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18</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2453E3" w:rsidRDefault="008112A9" w:rsidP="00BB5405">
            <w:pPr>
              <w:widowControl w:val="0"/>
              <w:jc w:val="center"/>
              <w:rPr>
                <w:rFonts w:ascii="Arial" w:hAnsi="Arial"/>
                <w:b/>
                <w:sz w:val="14"/>
              </w:rPr>
            </w:pPr>
            <w:r w:rsidRPr="002453E3">
              <w:rPr>
                <w:rFonts w:ascii="Arial" w:hAnsi="Arial"/>
                <w:b/>
                <w:sz w:val="14"/>
              </w:rPr>
              <w:t>M</w:t>
            </w:r>
          </w:p>
          <w:p w:rsidR="008112A9" w:rsidRPr="002E0C7E" w:rsidRDefault="008112A9" w:rsidP="00BB5405">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14</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20</w:t>
            </w:r>
          </w:p>
        </w:tc>
      </w:tr>
      <w:tr w:rsidR="008112A9" w:rsidRPr="002E0C7E" w:rsidTr="00BB5405">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vAlign w:val="center"/>
          </w:tcPr>
          <w:p w:rsidR="008112A9" w:rsidRPr="00CD57C3" w:rsidRDefault="008112A9" w:rsidP="00BB5405">
            <w:pPr>
              <w:widowControl w:val="0"/>
              <w:jc w:val="center"/>
              <w:rPr>
                <w:rFonts w:ascii="Arial" w:hAnsi="Arial"/>
                <w:b/>
                <w:sz w:val="14"/>
              </w:rPr>
            </w:pPr>
          </w:p>
          <w:p w:rsidR="008112A9" w:rsidRPr="002E0C7E" w:rsidRDefault="008112A9" w:rsidP="00BB5405">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17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2453E3" w:rsidRDefault="008112A9" w:rsidP="00BB5405">
            <w:pPr>
              <w:widowControl w:val="0"/>
              <w:jc w:val="center"/>
              <w:rPr>
                <w:rFonts w:ascii="Arial" w:hAnsi="Arial"/>
                <w:b/>
                <w:sz w:val="14"/>
              </w:rPr>
            </w:pPr>
            <w:r>
              <w:rPr>
                <w:rFonts w:ascii="Arial" w:hAnsi="Arial"/>
                <w:b/>
                <w:sz w:val="14"/>
              </w:rPr>
              <w:t>H</w:t>
            </w:r>
          </w:p>
          <w:p w:rsidR="008112A9" w:rsidRPr="002E0C7E" w:rsidRDefault="008112A9" w:rsidP="00BB5405">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2</w:t>
            </w: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2</w:t>
            </w:r>
            <w:r>
              <w:rPr>
                <w:rFonts w:ascii="Arial" w:hAnsi="Arial"/>
                <w:sz w:val="14"/>
              </w:rPr>
              <w:t>7</w:t>
            </w:r>
          </w:p>
        </w:tc>
      </w:tr>
      <w:tr w:rsidR="008112A9" w:rsidRPr="002E0C7E" w:rsidTr="00BB5405">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Default="008112A9" w:rsidP="00BB5405">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4</w:t>
            </w:r>
          </w:p>
          <w:p w:rsidR="008112A9" w:rsidRPr="002E0C7E" w:rsidRDefault="008112A9" w:rsidP="00BB5405">
            <w:pPr>
              <w:widowControl w:val="0"/>
              <w:jc w:val="center"/>
              <w:rPr>
                <w:rFonts w:ascii="Arial" w:hAnsi="Arial"/>
                <w:sz w:val="14"/>
              </w:rPr>
            </w:pPr>
            <w:r>
              <w:rPr>
                <w:rFonts w:ascii="Arial" w:hAnsi="Arial"/>
                <w:sz w:val="14"/>
              </w:rPr>
              <w:t xml:space="preserve">    31</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30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BB5405">
            <w:pPr>
              <w:widowControl w:val="0"/>
              <w:jc w:val="center"/>
              <w:rPr>
                <w:rFonts w:ascii="Arial" w:hAnsi="Arial"/>
                <w:sz w:val="14"/>
              </w:rPr>
            </w:pPr>
          </w:p>
          <w:p w:rsidR="008112A9" w:rsidRPr="002E0C7E" w:rsidRDefault="008112A9" w:rsidP="00BB5405">
            <w:pPr>
              <w:widowControl w:val="0"/>
              <w:jc w:val="center"/>
              <w:rPr>
                <w:rFonts w:ascii="Arial" w:hAnsi="Arial"/>
                <w:sz w:val="14"/>
              </w:rPr>
            </w:pPr>
          </w:p>
        </w:tc>
      </w:tr>
    </w:tbl>
    <w:p w:rsidR="008112A9" w:rsidRPr="002E0C7E" w:rsidRDefault="008112A9" w:rsidP="008112A9">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112A9" w:rsidRPr="002E0C7E" w:rsidTr="00BB5405">
        <w:trPr>
          <w:cantSplit/>
        </w:trPr>
        <w:tc>
          <w:tcPr>
            <w:tcW w:w="1710" w:type="dxa"/>
            <w:tcBorders>
              <w:top w:val="nil"/>
              <w:left w:val="nil"/>
              <w:bottom w:val="nil"/>
              <w:right w:val="nil"/>
            </w:tcBorders>
            <w:tcMar>
              <w:top w:w="43" w:type="dxa"/>
              <w:left w:w="120" w:type="dxa"/>
              <w:bottom w:w="29" w:type="dxa"/>
              <w:right w:w="120" w:type="dxa"/>
            </w:tcMar>
          </w:tcPr>
          <w:p w:rsidR="008112A9" w:rsidRPr="002E0C7E" w:rsidRDefault="008112A9" w:rsidP="00BB5405">
            <w:pPr>
              <w:widowControl w:val="0"/>
              <w:rPr>
                <w:rFonts w:ascii="Arial" w:hAnsi="Arial"/>
                <w:sz w:val="16"/>
              </w:rPr>
            </w:pPr>
            <w:r w:rsidRPr="002E0C7E">
              <w:rPr>
                <w:rFonts w:ascii="Arial" w:hAnsi="Arial"/>
                <w:sz w:val="16"/>
              </w:rPr>
              <w:t>Sittings of the court:</w:t>
            </w:r>
          </w:p>
          <w:p w:rsidR="008112A9" w:rsidRPr="002E0C7E" w:rsidRDefault="008112A9" w:rsidP="00BB5405">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112A9" w:rsidRPr="002E0C7E" w:rsidRDefault="008112A9" w:rsidP="00BB5405">
            <w:pPr>
              <w:widowControl w:val="0"/>
              <w:rPr>
                <w:rFonts w:ascii="Arial" w:hAnsi="Arial"/>
                <w:sz w:val="16"/>
              </w:rPr>
            </w:pPr>
          </w:p>
          <w:p w:rsidR="008112A9" w:rsidRPr="002E0C7E" w:rsidRDefault="008112A9" w:rsidP="00BB5405">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112A9" w:rsidRPr="00B058C3" w:rsidRDefault="008112A9" w:rsidP="00BB540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112A9" w:rsidRPr="00B058C3" w:rsidRDefault="008112A9" w:rsidP="00BB540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112A9" w:rsidRPr="00B058C3" w:rsidRDefault="008112A9" w:rsidP="00BB540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w:t>
            </w:r>
            <w:r>
              <w:rPr>
                <w:rFonts w:ascii="Arial" w:hAnsi="Arial"/>
                <w:b/>
                <w:sz w:val="16"/>
                <w:lang w:val="fr-CA"/>
              </w:rPr>
              <w:t xml:space="preserve"> </w:t>
            </w:r>
            <w:r w:rsidRPr="00B058C3">
              <w:rPr>
                <w:rFonts w:ascii="Arial" w:hAnsi="Arial"/>
                <w:b/>
                <w:sz w:val="16"/>
                <w:lang w:val="fr-CA"/>
              </w:rPr>
              <w:t>/ journées des requêtes et des conférences</w:t>
            </w:r>
          </w:p>
          <w:p w:rsidR="008112A9" w:rsidRPr="002E0C7E" w:rsidRDefault="008112A9" w:rsidP="00BB540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3</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8112A9" w:rsidRPr="002E0C7E" w:rsidRDefault="008112A9" w:rsidP="00BB540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12A9" w:rsidRPr="002E0C7E" w:rsidTr="00BB5405">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12A9" w:rsidRPr="002E0C7E" w:rsidRDefault="008112A9" w:rsidP="00BB540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112A9" w:rsidRPr="002E0C7E" w:rsidRDefault="008112A9" w:rsidP="00BB540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112A9" w:rsidRPr="002E0C7E" w:rsidRDefault="008112A9" w:rsidP="00BB540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112A9" w:rsidRPr="002E0C7E" w:rsidRDefault="008112A9" w:rsidP="00BB540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12A9" w:rsidRPr="002E0C7E" w:rsidTr="00BB5405">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12A9" w:rsidRPr="002E0C7E" w:rsidRDefault="008112A9" w:rsidP="00BB540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112A9" w:rsidRPr="002E0C7E" w:rsidRDefault="008112A9" w:rsidP="00BB540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112A9" w:rsidRPr="002E0C7E" w:rsidRDefault="008112A9" w:rsidP="00BB5405">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112A9" w:rsidRPr="002E0C7E" w:rsidRDefault="008112A9" w:rsidP="00BB540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112A9" w:rsidRPr="002E0C7E" w:rsidRDefault="008112A9" w:rsidP="008112A9">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160"/>
      <w:footerReference w:type="default" r:id="rId161"/>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47E" w:rsidRDefault="0035247E" w:rsidP="00A87207">
      <w:r>
        <w:separator/>
      </w:r>
    </w:p>
  </w:endnote>
  <w:endnote w:type="continuationSeparator" w:id="0">
    <w:p w:rsidR="0035247E" w:rsidRDefault="0035247E"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B7E" w:rsidRDefault="00FF5B7E">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47E" w:rsidRDefault="00E42AAB">
    <w:pPr>
      <w:pStyle w:val="Footer"/>
      <w:rPr>
        <w:lang w:val="fr-CA"/>
      </w:rPr>
    </w:pPr>
    <w:r>
      <w:rPr>
        <w:lang w:val="fr-CA"/>
      </w:rPr>
      <w:pict>
        <v:rect id="_x0000_i1098" style="width:480.95pt;height:1pt" o:hralign="center" o:hrstd="t" o:hrnoshade="t" o:hr="t" fillcolor="black [3213]" stroked="f"/>
      </w:pict>
    </w:r>
  </w:p>
  <w:p w:rsidR="0035247E" w:rsidRDefault="0035247E" w:rsidP="00245129">
    <w:pPr>
      <w:tabs>
        <w:tab w:val="center" w:pos="4680"/>
      </w:tabs>
    </w:pPr>
    <w:r>
      <w:tab/>
    </w:r>
    <w:r w:rsidRPr="0009648D">
      <w:t xml:space="preserve">- </w:t>
    </w:r>
    <w:r w:rsidR="00E42AAB">
      <w:fldChar w:fldCharType="begin"/>
    </w:r>
    <w:r w:rsidR="00E42AAB">
      <w:instrText xml:space="preserve"> PAGE   \* MERGEFORMAT </w:instrText>
    </w:r>
    <w:r w:rsidR="00E42AAB">
      <w:fldChar w:fldCharType="separate"/>
    </w:r>
    <w:r w:rsidR="00E42AAB">
      <w:rPr>
        <w:noProof/>
      </w:rPr>
      <w:t>153</w:t>
    </w:r>
    <w:r w:rsidR="00E42AAB">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47E" w:rsidRDefault="003524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5247E" w:rsidRDefault="003524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5247E" w:rsidRDefault="0035247E">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47E" w:rsidRDefault="00E42AAB" w:rsidP="00755F22">
    <w:pPr>
      <w:tabs>
        <w:tab w:val="left" w:pos="-1440"/>
        <w:tab w:val="left" w:pos="-720"/>
      </w:tabs>
    </w:pPr>
    <w:r>
      <w:pict>
        <v:rect id="_x0000_i1104" style="width:480.95pt;height:1pt" o:hralign="center" o:hrstd="t" o:hrnoshade="t" o:hr="t" fillcolor="black [3213]" stroked="f"/>
      </w:pict>
    </w:r>
  </w:p>
  <w:p w:rsidR="0035247E" w:rsidRDefault="0035247E" w:rsidP="00EB2B90">
    <w:pPr>
      <w:tabs>
        <w:tab w:val="center" w:pos="4680"/>
      </w:tabs>
    </w:pPr>
    <w:r>
      <w:tab/>
      <w:t xml:space="preserve">- </w:t>
    </w:r>
    <w:r w:rsidR="00E42AAB">
      <w:fldChar w:fldCharType="begin"/>
    </w:r>
    <w:r w:rsidR="00E42AAB">
      <w:instrText xml:space="preserve"> PAGE   \* MERGEFORMAT </w:instrText>
    </w:r>
    <w:r w:rsidR="00E42AAB">
      <w:fldChar w:fldCharType="separate"/>
    </w:r>
    <w:r w:rsidR="00E42AAB">
      <w:rPr>
        <w:noProof/>
      </w:rPr>
      <w:t>215</w:t>
    </w:r>
    <w:r w:rsidR="00E42AAB">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47E" w:rsidRDefault="00E42AAB" w:rsidP="00EB2B90">
    <w:pPr>
      <w:tabs>
        <w:tab w:val="center" w:pos="4680"/>
      </w:tabs>
    </w:pPr>
    <w:r>
      <w:pict>
        <v:rect id="_x0000_i1105" style="width:480.95pt;height:1pt" o:hralign="center" o:hrstd="t" o:hrnoshade="t" o:hr="t" fillcolor="black [3213]" stroked="f"/>
      </w:pict>
    </w:r>
  </w:p>
  <w:p w:rsidR="0035247E" w:rsidRPr="0031432F" w:rsidRDefault="0035247E" w:rsidP="00EB2B90">
    <w:pPr>
      <w:tabs>
        <w:tab w:val="center" w:pos="4680"/>
      </w:tabs>
    </w:pPr>
    <w:r>
      <w:tab/>
      <w:t xml:space="preserve">- </w:t>
    </w:r>
    <w:r w:rsidR="00E42AAB">
      <w:fldChar w:fldCharType="begin"/>
    </w:r>
    <w:r w:rsidR="00E42AAB">
      <w:instrText xml:space="preserve"> PAGE   \* MERGEFORMAT </w:instrText>
    </w:r>
    <w:r w:rsidR="00E42AAB">
      <w:fldChar w:fldCharType="separate"/>
    </w:r>
    <w:r w:rsidR="00E42AAB">
      <w:rPr>
        <w:noProof/>
      </w:rPr>
      <w:t>208</w:t>
    </w:r>
    <w:r w:rsidR="00E42AAB">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47E" w:rsidRDefault="003524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5247E" w:rsidRDefault="003524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5247E" w:rsidRDefault="0035247E">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47E" w:rsidRDefault="00E42A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107" style="width:480.95pt;height:1pt" o:hralign="center" o:hrstd="t" o:hrnoshade="t" o:hr="t" fillcolor="black [3213]" stroked="f"/>
      </w:pict>
    </w:r>
  </w:p>
  <w:p w:rsidR="0035247E" w:rsidRDefault="0035247E" w:rsidP="00EB2B90">
    <w:pPr>
      <w:tabs>
        <w:tab w:val="center" w:pos="4680"/>
      </w:tabs>
    </w:pPr>
    <w:r>
      <w:tab/>
      <w:t xml:space="preserve">- </w:t>
    </w:r>
    <w:r w:rsidR="00E42AAB">
      <w:fldChar w:fldCharType="begin"/>
    </w:r>
    <w:r w:rsidR="00E42AAB">
      <w:instrText xml:space="preserve"> PAGE   \* MERGEFORMAT </w:instrText>
    </w:r>
    <w:r w:rsidR="00E42AAB">
      <w:fldChar w:fldCharType="separate"/>
    </w:r>
    <w:r>
      <w:rPr>
        <w:noProof/>
      </w:rPr>
      <w:t>524</w:t>
    </w:r>
    <w:r w:rsidR="00E42AAB">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47E" w:rsidRDefault="00E42AAB">
    <w:pPr>
      <w:pStyle w:val="Footer"/>
      <w:rPr>
        <w:lang w:val="fr-CA"/>
      </w:rPr>
    </w:pPr>
    <w:r>
      <w:rPr>
        <w:lang w:val="fr-CA"/>
      </w:rPr>
      <w:pict>
        <v:rect id="_x0000_i1108" style="width:480.95pt;height:1pt" o:hralign="center" o:hrstd="t" o:hrnoshade="t" o:hr="t" fillcolor="black [3213]" stroked="f"/>
      </w:pict>
    </w:r>
  </w:p>
  <w:p w:rsidR="0035247E" w:rsidRDefault="0035247E" w:rsidP="00EB2B90">
    <w:pPr>
      <w:tabs>
        <w:tab w:val="center" w:pos="4680"/>
      </w:tabs>
    </w:pPr>
    <w:r>
      <w:tab/>
      <w:t xml:space="preserve">- </w:t>
    </w:r>
    <w:r w:rsidR="00E42AAB">
      <w:fldChar w:fldCharType="begin"/>
    </w:r>
    <w:r w:rsidR="00E42AAB">
      <w:instrText xml:space="preserve"> PAGE   \* MERGEFORMAT </w:instrText>
    </w:r>
    <w:r w:rsidR="00E42AAB">
      <w:fldChar w:fldCharType="separate"/>
    </w:r>
    <w:r w:rsidR="00E42AAB">
      <w:rPr>
        <w:noProof/>
      </w:rPr>
      <w:t>216</w:t>
    </w:r>
    <w:r w:rsidR="00E42AAB">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47E" w:rsidRDefault="003524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5247E" w:rsidRDefault="003524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5247E" w:rsidRDefault="0035247E">
    <w:pPr>
      <w:tabs>
        <w:tab w:val="center" w:pos="4740"/>
      </w:tabs>
    </w:pPr>
    <w:r>
      <w:tab/>
      <w:t xml:space="preserve">- </w:t>
    </w:r>
    <w:r>
      <w:pgNum/>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47E" w:rsidRDefault="00E42AAB" w:rsidP="00732DB7">
    <w:r>
      <w:pict>
        <v:rect id="_x0000_i1110" style="width:480.95pt;height:1pt" o:hralign="center" o:hrstd="t" o:hrnoshade="t" o:hr="t" fillcolor="black" stroked="f"/>
      </w:pict>
    </w:r>
  </w:p>
  <w:p w:rsidR="0035247E" w:rsidRDefault="0035247E">
    <w:pPr>
      <w:tabs>
        <w:tab w:val="center" w:pos="4740"/>
      </w:tabs>
      <w:spacing w:line="0" w:lineRule="atLeast"/>
    </w:pPr>
    <w:r>
      <w:tab/>
      <w:t xml:space="preserve">- </w:t>
    </w:r>
    <w:r>
      <w:pgNum/>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47E" w:rsidRDefault="00E42AAB">
    <w:pPr>
      <w:pStyle w:val="Footer"/>
    </w:pPr>
    <w:r>
      <w:pict>
        <v:rect id="_x0000_i1111" style="width:480.95pt;height:1pt" o:hralign="center" o:hrstd="t" o:hrnoshade="t" o:hr="t" fillcolor="black" stroked="f"/>
      </w:pict>
    </w:r>
  </w:p>
  <w:p w:rsidR="0035247E" w:rsidRPr="00283C52" w:rsidRDefault="0035247E">
    <w:pPr>
      <w:pStyle w:val="Footer"/>
    </w:pPr>
    <w:r>
      <w:tab/>
    </w:r>
    <w:r w:rsidRPr="00283C52">
      <w:t xml:space="preserve">- </w:t>
    </w:r>
    <w:r w:rsidRPr="00283C52">
      <w:pgNum/>
    </w:r>
    <w:r w:rsidRPr="00283C52">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B7E" w:rsidRDefault="00FF5B7E">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47E" w:rsidRDefault="003524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5247E" w:rsidRDefault="003524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5247E" w:rsidRDefault="0035247E">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47E" w:rsidRDefault="00E42AAB" w:rsidP="00732DB7">
    <w:r>
      <w:pict>
        <v:rect id="_x0000_i1113" style="width:480.95pt;height:1pt" o:hralign="center" o:hrstd="t" o:hrnoshade="t" o:hr="t" fillcolor="black" stroked="f"/>
      </w:pict>
    </w:r>
  </w:p>
  <w:p w:rsidR="0035247E" w:rsidRDefault="0035247E">
    <w:pPr>
      <w:tabs>
        <w:tab w:val="center" w:pos="4740"/>
      </w:tabs>
      <w:spacing w:line="0" w:lineRule="atLeast"/>
    </w:pPr>
    <w:r>
      <w:tab/>
      <w:t xml:space="preserve">- </w:t>
    </w:r>
    <w:r>
      <w:pgNum/>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47E" w:rsidRDefault="00E42AAB">
    <w:pPr>
      <w:pStyle w:val="Footer"/>
    </w:pPr>
    <w:r>
      <w:pict>
        <v:rect id="_x0000_i1114" style="width:480.95pt;height:1pt" o:hralign="center" o:hrstd="t" o:hrnoshade="t" o:hr="t" fillcolor="black [3213]" stroked="f"/>
      </w:pict>
    </w:r>
  </w:p>
  <w:p w:rsidR="0035247E" w:rsidRPr="003C2C0F" w:rsidRDefault="0035247E" w:rsidP="00697C62">
    <w:pPr>
      <w:tabs>
        <w:tab w:val="center" w:pos="4680"/>
      </w:tabs>
    </w:pPr>
    <w:r>
      <w:tab/>
      <w:t xml:space="preserve">- </w:t>
    </w:r>
    <w:r w:rsidR="00E42AAB">
      <w:fldChar w:fldCharType="begin"/>
    </w:r>
    <w:r w:rsidR="00E42AAB">
      <w:instrText xml:space="preserve"> PAGE   \* MERGEFORMAT </w:instrText>
    </w:r>
    <w:r w:rsidR="00E42AAB">
      <w:fldChar w:fldCharType="separate"/>
    </w:r>
    <w:r w:rsidR="00E42AAB">
      <w:rPr>
        <w:noProof/>
      </w:rPr>
      <w:t>219</w:t>
    </w:r>
    <w:r w:rsidR="00E42AAB">
      <w:rPr>
        <w:noProof/>
      </w:rPr>
      <w:fldChar w:fldCharType="end"/>
    </w:r>
    <w: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47E" w:rsidRDefault="003524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5247E" w:rsidRDefault="003524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5247E" w:rsidRDefault="0035247E">
    <w:pPr>
      <w:tabs>
        <w:tab w:val="center" w:pos="4740"/>
      </w:tabs>
    </w:pPr>
    <w:r>
      <w:tab/>
      <w:t xml:space="preserve">- </w:t>
    </w:r>
    <w:r>
      <w:pgNum/>
    </w:r>
    <w: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47E" w:rsidRDefault="003524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5247E" w:rsidRDefault="00E42A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117" style="width:480.95pt;height:1pt" o:hralign="center" o:hrstd="t" o:hrnoshade="t" o:hr="t" fillcolor="black [3213]" stroked="f"/>
      </w:pict>
    </w:r>
  </w:p>
  <w:p w:rsidR="0035247E" w:rsidRDefault="0035247E" w:rsidP="00782AE4">
    <w:pPr>
      <w:tabs>
        <w:tab w:val="center" w:pos="4680"/>
      </w:tabs>
    </w:pPr>
    <w:r>
      <w:tab/>
      <w:t xml:space="preserve">- </w:t>
    </w:r>
    <w:r w:rsidR="006F7944" w:rsidRPr="001775C1">
      <w:rPr>
        <w:szCs w:val="24"/>
      </w:rPr>
      <w:fldChar w:fldCharType="begin"/>
    </w:r>
    <w:r w:rsidRPr="001775C1">
      <w:rPr>
        <w:szCs w:val="24"/>
      </w:rPr>
      <w:instrText xml:space="preserve"> PAGE   \* MERGEFORMAT </w:instrText>
    </w:r>
    <w:r w:rsidR="006F7944" w:rsidRPr="001775C1">
      <w:rPr>
        <w:szCs w:val="24"/>
      </w:rPr>
      <w:fldChar w:fldCharType="separate"/>
    </w:r>
    <w:r w:rsidR="00E42AAB">
      <w:rPr>
        <w:noProof/>
        <w:szCs w:val="24"/>
      </w:rPr>
      <w:t>232</w:t>
    </w:r>
    <w:r w:rsidR="006F7944" w:rsidRPr="001775C1">
      <w:rPr>
        <w:szCs w:val="24"/>
      </w:rPr>
      <w:fldChar w:fldCharType="end"/>
    </w:r>
    <w:r>
      <w:t xml:space="preserve">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47E" w:rsidRDefault="00E42AAB" w:rsidP="00782AE4">
    <w:pPr>
      <w:tabs>
        <w:tab w:val="center" w:pos="4680"/>
      </w:tabs>
    </w:pPr>
    <w:r>
      <w:pict>
        <v:rect id="_x0000_i1118" style="width:480.95pt;height:1pt" o:hralign="center" o:hrstd="t" o:hrnoshade="t" o:hr="t" fillcolor="black [3213]" stroked="f"/>
      </w:pict>
    </w:r>
  </w:p>
  <w:p w:rsidR="0035247E" w:rsidRDefault="0035247E" w:rsidP="00782AE4">
    <w:pPr>
      <w:tabs>
        <w:tab w:val="center" w:pos="4680"/>
      </w:tabs>
    </w:pPr>
    <w:r>
      <w:tab/>
      <w:t xml:space="preserve">- </w:t>
    </w:r>
    <w:r w:rsidR="006F7944" w:rsidRPr="001775C1">
      <w:rPr>
        <w:szCs w:val="24"/>
      </w:rPr>
      <w:fldChar w:fldCharType="begin"/>
    </w:r>
    <w:r w:rsidRPr="001775C1">
      <w:rPr>
        <w:szCs w:val="24"/>
      </w:rPr>
      <w:instrText xml:space="preserve"> PAGE   \* MERGEFORMAT </w:instrText>
    </w:r>
    <w:r w:rsidR="006F7944" w:rsidRPr="001775C1">
      <w:rPr>
        <w:szCs w:val="24"/>
      </w:rPr>
      <w:fldChar w:fldCharType="separate"/>
    </w:r>
    <w:r w:rsidR="00E42AAB">
      <w:rPr>
        <w:noProof/>
        <w:szCs w:val="24"/>
      </w:rPr>
      <w:t>220</w:t>
    </w:r>
    <w:r w:rsidR="006F7944" w:rsidRPr="001775C1">
      <w:rPr>
        <w:szCs w:val="24"/>
      </w:rPr>
      <w:fldChar w:fldCharType="end"/>
    </w:r>
    <w:r>
      <w:t xml:space="preserve"> -</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47E" w:rsidRDefault="0035247E">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35247E" w:rsidRDefault="0035247E">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35247E" w:rsidRDefault="0035247E">
    <w:pPr>
      <w:tabs>
        <w:tab w:val="center" w:pos="4740"/>
      </w:tabs>
    </w:pPr>
    <w:r>
      <w:tab/>
      <w:t xml:space="preserve">- </w:t>
    </w:r>
    <w:r>
      <w:pgNum/>
    </w:r>
    <w:r>
      <w:t xml:space="preserve"> -</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47E" w:rsidRDefault="00E42AAB" w:rsidP="0022323B">
    <w:r>
      <w:pict>
        <v:rect id="_x0000_i1121" style="width:480.95pt;height:1pt" o:hralign="center" o:hrstd="t" o:hrnoshade="t" o:hr="t" fillcolor="black [3213]" stroked="f"/>
      </w:pict>
    </w:r>
  </w:p>
  <w:p w:rsidR="0035247E" w:rsidRDefault="0035247E">
    <w:pPr>
      <w:tabs>
        <w:tab w:val="center" w:pos="4740"/>
      </w:tabs>
      <w:spacing w:line="0" w:lineRule="atLeast"/>
    </w:pPr>
    <w:r>
      <w:tab/>
      <w:t xml:space="preserve">- </w:t>
    </w:r>
    <w:r w:rsidR="00E42AAB">
      <w:fldChar w:fldCharType="begin"/>
    </w:r>
    <w:r w:rsidR="00E42AAB">
      <w:instrText xml:space="preserve"> PAGE   \* MERGEFORMAT </w:instrText>
    </w:r>
    <w:r w:rsidR="00E42AAB">
      <w:fldChar w:fldCharType="separate"/>
    </w:r>
    <w:r w:rsidR="00E42AAB">
      <w:rPr>
        <w:noProof/>
      </w:rPr>
      <w:t>234</w:t>
    </w:r>
    <w:r w:rsidR="00E42AAB">
      <w:rPr>
        <w:noProof/>
      </w:rPr>
      <w:fldChar w:fldCharType="end"/>
    </w:r>
    <w:r>
      <w:t xml:space="preserve"> -</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47E" w:rsidRDefault="00E42AAB" w:rsidP="0022323B">
    <w:r>
      <w:pict>
        <v:rect id="_x0000_i1122" style="width:480.95pt;height:1pt" o:hralign="center" o:hrstd="t" o:hrnoshade="t" o:hr="t" fillcolor="black [3213]" stroked="f"/>
      </w:pict>
    </w:r>
  </w:p>
  <w:p w:rsidR="0035247E" w:rsidRDefault="0035247E" w:rsidP="0022323B">
    <w:pPr>
      <w:tabs>
        <w:tab w:val="center" w:pos="4740"/>
      </w:tabs>
      <w:spacing w:line="0" w:lineRule="atLeast"/>
    </w:pPr>
    <w:r>
      <w:tab/>
      <w:t xml:space="preserve">- </w:t>
    </w:r>
    <w:r w:rsidR="00E42AAB">
      <w:fldChar w:fldCharType="begin"/>
    </w:r>
    <w:r w:rsidR="00E42AAB">
      <w:instrText xml:space="preserve"> PAGE   \* MERGEFORMAT </w:instrText>
    </w:r>
    <w:r w:rsidR="00E42AAB">
      <w:fldChar w:fldCharType="separate"/>
    </w:r>
    <w:r w:rsidR="00E42AAB">
      <w:rPr>
        <w:noProof/>
      </w:rPr>
      <w:t>233</w:t>
    </w:r>
    <w:r w:rsidR="00E42AAB">
      <w:rPr>
        <w:noProof/>
      </w:rPr>
      <w:fldChar w:fldCharType="end"/>
    </w:r>
    <w:r>
      <w:t xml:space="preserve"> -</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47E" w:rsidRDefault="00E42AAB" w:rsidP="0022323B">
    <w:r>
      <w:pict>
        <v:rect id="_x0000_i1147" style="width:480.95pt;height:1pt" o:hralign="center" o:hrstd="t" o:hrnoshade="t" o:hr="t" fillcolor="black [3213]" stroked="f"/>
      </w:pict>
    </w:r>
  </w:p>
  <w:p w:rsidR="0035247E" w:rsidRDefault="0035247E">
    <w:pPr>
      <w:tabs>
        <w:tab w:val="center" w:pos="4740"/>
      </w:tabs>
      <w:spacing w:line="0" w:lineRule="atLeast"/>
    </w:pPr>
    <w:r>
      <w:tab/>
      <w:t xml:space="preserve">- </w:t>
    </w:r>
    <w:r w:rsidR="00E42AAB">
      <w:fldChar w:fldCharType="begin"/>
    </w:r>
    <w:r w:rsidR="00E42AAB">
      <w:instrText xml:space="preserve"> PAGE   \* MERGEFORMAT </w:instrText>
    </w:r>
    <w:r w:rsidR="00E42AAB">
      <w:fldChar w:fldCharType="separate"/>
    </w:r>
    <w:r w:rsidR="00E42AAB">
      <w:rPr>
        <w:noProof/>
      </w:rPr>
      <w:t>258</w:t>
    </w:r>
    <w:r w:rsidR="00E42AAB">
      <w:rPr>
        <w:noProof/>
      </w:rP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B7E" w:rsidRDefault="00FF5B7E">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47E" w:rsidRDefault="00E42AAB" w:rsidP="0022323B">
    <w:r>
      <w:pict>
        <v:rect id="_x0000_i1148" style="width:480.95pt;height:1pt" o:hralign="center" o:hrstd="t" o:hrnoshade="t" o:hr="t" fillcolor="black [3213]" stroked="f"/>
      </w:pict>
    </w:r>
  </w:p>
  <w:p w:rsidR="0035247E" w:rsidRDefault="0035247E" w:rsidP="0022323B">
    <w:pPr>
      <w:tabs>
        <w:tab w:val="center" w:pos="4740"/>
      </w:tabs>
      <w:spacing w:line="0" w:lineRule="atLeast"/>
    </w:pPr>
    <w:r>
      <w:tab/>
      <w:t xml:space="preserve">- </w:t>
    </w:r>
    <w:r w:rsidR="00E42AAB">
      <w:fldChar w:fldCharType="begin"/>
    </w:r>
    <w:r w:rsidR="00E42AAB">
      <w:instrText xml:space="preserve"> PAGE   \* MERGEFORMAT </w:instrText>
    </w:r>
    <w:r w:rsidR="00E42AAB">
      <w:fldChar w:fldCharType="separate"/>
    </w:r>
    <w:r w:rsidR="00E42AAB">
      <w:rPr>
        <w:noProof/>
      </w:rPr>
      <w:t>235</w:t>
    </w:r>
    <w:r w:rsidR="00E42AAB">
      <w:rPr>
        <w:noProof/>
      </w:rPr>
      <w:fldChar w:fldCharType="end"/>
    </w:r>
    <w:r>
      <w:t xml:space="preserve"> -</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47E" w:rsidRPr="00924065" w:rsidRDefault="0035247E" w:rsidP="00924065">
    <w:pPr>
      <w:pStyle w:val="Footer"/>
      <w:rPr>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47E" w:rsidRDefault="00E42AAB" w:rsidP="00A87207">
    <w:pPr>
      <w:pStyle w:val="Footer"/>
    </w:pPr>
    <w:r>
      <w:pict>
        <v:rect id="_x0000_i1040" style="width:480.95pt;height:1pt" o:hralign="center" o:hrstd="t" o:hrnoshade="t" o:hr="t" fillcolor="black [3213]" stroked="f"/>
      </w:pict>
    </w:r>
  </w:p>
  <w:p w:rsidR="0035247E" w:rsidRPr="00B7374B" w:rsidRDefault="0035247E" w:rsidP="00B7374B">
    <w:pPr>
      <w:tabs>
        <w:tab w:val="center" w:pos="4680"/>
      </w:tabs>
      <w:rPr>
        <w:szCs w:val="24"/>
      </w:rPr>
    </w:pPr>
    <w:r w:rsidRPr="00954D22">
      <w:rPr>
        <w:szCs w:val="24"/>
      </w:rPr>
      <w:tab/>
      <w:t xml:space="preserve">- </w:t>
    </w:r>
    <w:r w:rsidR="006F7944" w:rsidRPr="00954D22">
      <w:rPr>
        <w:szCs w:val="24"/>
      </w:rPr>
      <w:fldChar w:fldCharType="begin"/>
    </w:r>
    <w:r w:rsidRPr="00954D22">
      <w:rPr>
        <w:szCs w:val="24"/>
      </w:rPr>
      <w:instrText xml:space="preserve"> PAGE   \* MERGEFORMAT </w:instrText>
    </w:r>
    <w:r w:rsidR="006F7944" w:rsidRPr="00954D22">
      <w:rPr>
        <w:szCs w:val="24"/>
      </w:rPr>
      <w:fldChar w:fldCharType="separate"/>
    </w:r>
    <w:r w:rsidR="00E42AAB">
      <w:rPr>
        <w:noProof/>
        <w:szCs w:val="24"/>
      </w:rPr>
      <w:t>151</w:t>
    </w:r>
    <w:r w:rsidR="006F7944"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47E" w:rsidRDefault="00E42AAB" w:rsidP="00755F22">
    <w:pPr>
      <w:tabs>
        <w:tab w:val="left" w:pos="-1440"/>
        <w:tab w:val="left" w:pos="-720"/>
      </w:tabs>
    </w:pPr>
    <w:r>
      <w:pict>
        <v:rect id="_x0000_i1041" style="width:480.95pt;height:1pt" o:hralign="center" o:hrstd="t" o:hrnoshade="t" o:hr="t" fillcolor="black [3213]" stroked="f"/>
      </w:pict>
    </w:r>
  </w:p>
  <w:p w:rsidR="0035247E" w:rsidRPr="00954D22" w:rsidRDefault="0035247E" w:rsidP="00B7374B">
    <w:pPr>
      <w:tabs>
        <w:tab w:val="center" w:pos="4680"/>
      </w:tabs>
      <w:rPr>
        <w:szCs w:val="24"/>
      </w:rPr>
    </w:pPr>
    <w:r w:rsidRPr="00954D22">
      <w:rPr>
        <w:szCs w:val="24"/>
      </w:rPr>
      <w:tab/>
      <w:t xml:space="preserve">- </w:t>
    </w:r>
    <w:r w:rsidR="006F7944">
      <w:rPr>
        <w:szCs w:val="24"/>
      </w:rPr>
      <w:fldChar w:fldCharType="begin"/>
    </w:r>
    <w:r>
      <w:rPr>
        <w:szCs w:val="24"/>
      </w:rPr>
      <w:instrText xml:space="preserve"> PAGE   \* MERGEFORMAT </w:instrText>
    </w:r>
    <w:r w:rsidR="006F7944">
      <w:rPr>
        <w:szCs w:val="24"/>
      </w:rPr>
      <w:fldChar w:fldCharType="separate"/>
    </w:r>
    <w:r w:rsidR="00E42AAB">
      <w:rPr>
        <w:noProof/>
        <w:szCs w:val="24"/>
      </w:rPr>
      <w:t>150</w:t>
    </w:r>
    <w:r w:rsidR="006F7944">
      <w:rPr>
        <w:szCs w:val="24"/>
      </w:rPr>
      <w:fldChar w:fldCharType="end"/>
    </w:r>
    <w:r w:rsidRPr="00954D22">
      <w:rPr>
        <w:szCs w:val="24"/>
      </w:rPr>
      <w:t xml:space="preserve"> -</w:t>
    </w:r>
  </w:p>
  <w:p w:rsidR="0035247E" w:rsidRDefault="0035247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47E" w:rsidRDefault="00E42AAB" w:rsidP="00A87207">
    <w:pPr>
      <w:pStyle w:val="Footer"/>
    </w:pPr>
    <w:r>
      <w:pict>
        <v:rect id="_x0000_i1043" style="width:480.95pt;height:1pt" o:hralign="center" o:hrstd="t" o:hrnoshade="t" o:hr="t" fillcolor="black [3213]" stroked="f"/>
      </w:pict>
    </w:r>
  </w:p>
  <w:p w:rsidR="0035247E" w:rsidRPr="00B7374B" w:rsidRDefault="0035247E" w:rsidP="00B7374B">
    <w:pPr>
      <w:tabs>
        <w:tab w:val="center" w:pos="4680"/>
      </w:tabs>
      <w:rPr>
        <w:szCs w:val="24"/>
      </w:rPr>
    </w:pPr>
    <w:r w:rsidRPr="00954D22">
      <w:rPr>
        <w:szCs w:val="24"/>
      </w:rPr>
      <w:tab/>
      <w:t xml:space="preserve">- </w:t>
    </w:r>
    <w:r w:rsidR="006F7944" w:rsidRPr="00954D22">
      <w:rPr>
        <w:szCs w:val="24"/>
      </w:rPr>
      <w:fldChar w:fldCharType="begin"/>
    </w:r>
    <w:r w:rsidRPr="00954D22">
      <w:rPr>
        <w:szCs w:val="24"/>
      </w:rPr>
      <w:instrText xml:space="preserve"> PAGE   \* MERGEFORMAT </w:instrText>
    </w:r>
    <w:r w:rsidR="006F7944" w:rsidRPr="00954D22">
      <w:rPr>
        <w:szCs w:val="24"/>
      </w:rPr>
      <w:fldChar w:fldCharType="separate"/>
    </w:r>
    <w:r>
      <w:rPr>
        <w:noProof/>
        <w:szCs w:val="24"/>
      </w:rPr>
      <w:t>153</w:t>
    </w:r>
    <w:r w:rsidR="006F7944"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47E" w:rsidRDefault="00E42AAB"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4" style="width:480.95pt;height:1pt" o:hralign="center" o:hrstd="t" o:hrnoshade="t" o:hr="t" fillcolor="black [3213]" stroked="f"/>
      </w:pict>
    </w:r>
  </w:p>
  <w:p w:rsidR="0035247E" w:rsidRPr="00954D22" w:rsidRDefault="0035247E" w:rsidP="00B7374B">
    <w:pPr>
      <w:tabs>
        <w:tab w:val="center" w:pos="4680"/>
      </w:tabs>
      <w:rPr>
        <w:szCs w:val="24"/>
      </w:rPr>
    </w:pPr>
    <w:r w:rsidRPr="00954D22">
      <w:rPr>
        <w:szCs w:val="24"/>
      </w:rPr>
      <w:tab/>
      <w:t xml:space="preserve">- </w:t>
    </w:r>
    <w:r w:rsidR="006F7944" w:rsidRPr="00954D22">
      <w:rPr>
        <w:szCs w:val="24"/>
      </w:rPr>
      <w:fldChar w:fldCharType="begin"/>
    </w:r>
    <w:r w:rsidRPr="00954D22">
      <w:rPr>
        <w:szCs w:val="24"/>
      </w:rPr>
      <w:instrText xml:space="preserve"> PAGE   \* MERGEFORMAT </w:instrText>
    </w:r>
    <w:r w:rsidR="006F7944" w:rsidRPr="00954D22">
      <w:rPr>
        <w:szCs w:val="24"/>
      </w:rPr>
      <w:fldChar w:fldCharType="separate"/>
    </w:r>
    <w:r w:rsidR="00E42AAB">
      <w:rPr>
        <w:noProof/>
        <w:szCs w:val="24"/>
      </w:rPr>
      <w:t>152</w:t>
    </w:r>
    <w:r w:rsidR="006F7944"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47E" w:rsidRDefault="003524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35247E" w:rsidRDefault="003524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5247E" w:rsidRDefault="0035247E">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47E" w:rsidRDefault="00E42A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97" style="width:480.95pt;height:1pt" o:hralign="center" o:hrstd="t" o:hrnoshade="t" o:hr="t" fillcolor="black [3213]" stroked="f"/>
      </w:pict>
    </w:r>
  </w:p>
  <w:p w:rsidR="0035247E" w:rsidRPr="0009648D" w:rsidRDefault="0035247E" w:rsidP="00ED7E83">
    <w:pPr>
      <w:tabs>
        <w:tab w:val="center" w:pos="4680"/>
      </w:tabs>
    </w:pPr>
    <w:r>
      <w:tab/>
    </w:r>
    <w:r w:rsidRPr="0009648D">
      <w:t xml:space="preserve">- </w:t>
    </w:r>
    <w:r w:rsidR="00E42AAB">
      <w:fldChar w:fldCharType="begin"/>
    </w:r>
    <w:r w:rsidR="00E42AAB">
      <w:instrText xml:space="preserve"> PAGE   \* MERGEFORMAT </w:instrText>
    </w:r>
    <w:r w:rsidR="00E42AAB">
      <w:fldChar w:fldCharType="separate"/>
    </w:r>
    <w:r w:rsidR="00E42AAB">
      <w:rPr>
        <w:noProof/>
      </w:rPr>
      <w:t>204</w:t>
    </w:r>
    <w:r w:rsidR="00E42AAB">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47E" w:rsidRDefault="0035247E" w:rsidP="00A87207">
      <w:r>
        <w:separator/>
      </w:r>
    </w:p>
  </w:footnote>
  <w:footnote w:type="continuationSeparator" w:id="0">
    <w:p w:rsidR="0035247E" w:rsidRDefault="0035247E"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B7E" w:rsidRDefault="00FF5B7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47E" w:rsidRDefault="0035247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35247E">
      <w:tc>
        <w:tcPr>
          <w:tcW w:w="4230" w:type="dxa"/>
          <w:tcMar>
            <w:left w:w="0" w:type="dxa"/>
            <w:right w:w="0" w:type="dxa"/>
          </w:tcMar>
        </w:tcPr>
        <w:p w:rsidR="0035247E" w:rsidRDefault="003524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35247E" w:rsidRDefault="0035247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5247E" w:rsidRDefault="0035247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35247E">
      <w:trPr>
        <w:gridAfter w:val="2"/>
        <w:wAfter w:w="5250" w:type="dxa"/>
      </w:trPr>
      <w:tc>
        <w:tcPr>
          <w:tcW w:w="4230" w:type="dxa"/>
          <w:tcMar>
            <w:left w:w="0" w:type="dxa"/>
            <w:right w:w="0" w:type="dxa"/>
          </w:tcMar>
        </w:tcPr>
        <w:p w:rsidR="0035247E" w:rsidRDefault="003524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35247E" w:rsidRDefault="003524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35247E" w:rsidRPr="00755F22" w:rsidTr="00245129">
      <w:tc>
        <w:tcPr>
          <w:tcW w:w="4230" w:type="dxa"/>
          <w:tcMar>
            <w:left w:w="0" w:type="dxa"/>
            <w:right w:w="0" w:type="dxa"/>
          </w:tcMar>
        </w:tcPr>
        <w:p w:rsidR="0035247E" w:rsidRPr="00755F22" w:rsidRDefault="0035247E" w:rsidP="00831CA9">
          <w:pPr>
            <w:keepNext/>
            <w:keepLines/>
            <w:rPr>
              <w:sz w:val="20"/>
              <w:szCs w:val="20"/>
            </w:rPr>
          </w:pPr>
          <w:r w:rsidRPr="00755F22">
            <w:rPr>
              <w:sz w:val="20"/>
              <w:szCs w:val="20"/>
            </w:rPr>
            <w:t>MOTIONS</w:t>
          </w:r>
        </w:p>
      </w:tc>
      <w:tc>
        <w:tcPr>
          <w:tcW w:w="1170" w:type="dxa"/>
          <w:tcMar>
            <w:left w:w="0" w:type="dxa"/>
            <w:right w:w="0" w:type="dxa"/>
          </w:tcMar>
        </w:tcPr>
        <w:p w:rsidR="0035247E" w:rsidRPr="00755F22" w:rsidRDefault="0035247E" w:rsidP="00831CA9">
          <w:pPr>
            <w:keepLines/>
            <w:jc w:val="center"/>
            <w:rPr>
              <w:sz w:val="20"/>
              <w:szCs w:val="20"/>
            </w:rPr>
          </w:pPr>
        </w:p>
        <w:p w:rsidR="0035247E" w:rsidRPr="00755F22" w:rsidRDefault="0035247E" w:rsidP="00831CA9">
          <w:pPr>
            <w:keepLines/>
            <w:tabs>
              <w:tab w:val="left" w:pos="-1440"/>
              <w:tab w:val="left" w:pos="-720"/>
            </w:tabs>
            <w:jc w:val="center"/>
            <w:rPr>
              <w:sz w:val="20"/>
              <w:szCs w:val="20"/>
            </w:rPr>
          </w:pPr>
        </w:p>
      </w:tc>
      <w:tc>
        <w:tcPr>
          <w:tcW w:w="4080" w:type="dxa"/>
          <w:tcMar>
            <w:left w:w="0" w:type="dxa"/>
            <w:right w:w="0" w:type="dxa"/>
          </w:tcMar>
        </w:tcPr>
        <w:p w:rsidR="0035247E" w:rsidRPr="00BA6468" w:rsidRDefault="0035247E" w:rsidP="00BA6468">
          <w:pPr>
            <w:keepLines/>
            <w:rPr>
              <w:sz w:val="20"/>
              <w:szCs w:val="20"/>
              <w:lang w:val="fr-CA"/>
            </w:rPr>
          </w:pPr>
          <w:r w:rsidRPr="00BA6468">
            <w:rPr>
              <w:sz w:val="20"/>
              <w:szCs w:val="20"/>
              <w:lang w:val="fr-CA"/>
            </w:rPr>
            <w:t>REQUÊTES</w:t>
          </w:r>
        </w:p>
      </w:tc>
    </w:tr>
  </w:tbl>
  <w:p w:rsidR="0035247E" w:rsidRDefault="0035247E"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47E" w:rsidRDefault="0035247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35247E" w:rsidRPr="0025502E">
      <w:tc>
        <w:tcPr>
          <w:tcW w:w="4200" w:type="dxa"/>
          <w:tcMar>
            <w:left w:w="0" w:type="dxa"/>
            <w:right w:w="0" w:type="dxa"/>
          </w:tcMar>
        </w:tcPr>
        <w:p w:rsidR="0035247E" w:rsidRDefault="003524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35247E" w:rsidRDefault="003524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5247E" w:rsidRPr="00B01A03" w:rsidRDefault="0035247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35247E" w:rsidRPr="00B01A03" w:rsidRDefault="003524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35247E" w:rsidRPr="00B01A03" w:rsidRDefault="003524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35247E" w:rsidRPr="0025502E" w:rsidTr="00245129">
      <w:tc>
        <w:tcPr>
          <w:tcW w:w="4200" w:type="dxa"/>
          <w:tcMar>
            <w:left w:w="0" w:type="dxa"/>
            <w:right w:w="0" w:type="dxa"/>
          </w:tcMar>
        </w:tcPr>
        <w:p w:rsidR="0035247E" w:rsidRPr="00F40249" w:rsidRDefault="0035247E"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35247E" w:rsidRDefault="0035247E" w:rsidP="00102926">
          <w:pPr>
            <w:keepNext/>
            <w:keepLines/>
            <w:tabs>
              <w:tab w:val="left" w:pos="-1440"/>
              <w:tab w:val="left" w:pos="-720"/>
            </w:tabs>
            <w:jc w:val="center"/>
            <w:rPr>
              <w:sz w:val="20"/>
              <w:szCs w:val="20"/>
            </w:rPr>
          </w:pPr>
        </w:p>
        <w:p w:rsidR="0035247E" w:rsidRDefault="0035247E" w:rsidP="00102926">
          <w:pPr>
            <w:keepNext/>
            <w:keepLines/>
            <w:tabs>
              <w:tab w:val="left" w:pos="-1440"/>
              <w:tab w:val="left" w:pos="-720"/>
            </w:tabs>
            <w:jc w:val="center"/>
            <w:rPr>
              <w:sz w:val="20"/>
              <w:szCs w:val="20"/>
            </w:rPr>
          </w:pPr>
        </w:p>
        <w:p w:rsidR="0035247E" w:rsidRPr="00F40249" w:rsidRDefault="0035247E" w:rsidP="00102926">
          <w:pPr>
            <w:keepNext/>
            <w:keepLines/>
            <w:tabs>
              <w:tab w:val="left" w:pos="-1440"/>
              <w:tab w:val="left" w:pos="-720"/>
            </w:tabs>
            <w:jc w:val="center"/>
            <w:rPr>
              <w:sz w:val="20"/>
              <w:szCs w:val="20"/>
            </w:rPr>
          </w:pPr>
        </w:p>
      </w:tc>
      <w:tc>
        <w:tcPr>
          <w:tcW w:w="4230" w:type="dxa"/>
          <w:tcMar>
            <w:left w:w="0" w:type="dxa"/>
            <w:right w:w="0" w:type="dxa"/>
          </w:tcMar>
        </w:tcPr>
        <w:p w:rsidR="0035247E" w:rsidRPr="00F40249" w:rsidRDefault="0035247E"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35247E" w:rsidRPr="00B01A03" w:rsidRDefault="0035247E"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47E" w:rsidRDefault="0035247E">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35247E" w:rsidRPr="0025502E">
      <w:tc>
        <w:tcPr>
          <w:tcW w:w="4200" w:type="dxa"/>
          <w:tcMar>
            <w:left w:w="0" w:type="dxa"/>
            <w:right w:w="0" w:type="dxa"/>
          </w:tcMar>
        </w:tcPr>
        <w:p w:rsidR="0035247E" w:rsidRDefault="003524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35247E" w:rsidRDefault="003524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5247E" w:rsidRPr="00283C52" w:rsidRDefault="0035247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35247E" w:rsidRPr="00283C52" w:rsidRDefault="003524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35247E" w:rsidRPr="00283C52" w:rsidRDefault="003524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35247E" w:rsidRPr="0025502E" w:rsidTr="00245129">
      <w:tc>
        <w:tcPr>
          <w:tcW w:w="4200" w:type="dxa"/>
          <w:tcMar>
            <w:left w:w="0" w:type="dxa"/>
            <w:right w:w="0" w:type="dxa"/>
          </w:tcMar>
        </w:tcPr>
        <w:p w:rsidR="0035247E" w:rsidRPr="00732DB7" w:rsidRDefault="0035247E"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35247E" w:rsidRPr="00732DB7" w:rsidRDefault="0035247E" w:rsidP="00732DB7">
          <w:pPr>
            <w:keepNext/>
            <w:keepLines/>
            <w:tabs>
              <w:tab w:val="left" w:pos="-1440"/>
              <w:tab w:val="left" w:pos="-720"/>
            </w:tabs>
            <w:jc w:val="center"/>
            <w:rPr>
              <w:sz w:val="20"/>
              <w:szCs w:val="20"/>
            </w:rPr>
          </w:pPr>
        </w:p>
        <w:p w:rsidR="0035247E" w:rsidRPr="00732DB7" w:rsidRDefault="0035247E" w:rsidP="00732DB7">
          <w:pPr>
            <w:keepNext/>
            <w:keepLines/>
            <w:tabs>
              <w:tab w:val="left" w:pos="-1440"/>
              <w:tab w:val="left" w:pos="-720"/>
            </w:tabs>
            <w:jc w:val="center"/>
            <w:rPr>
              <w:sz w:val="20"/>
              <w:szCs w:val="20"/>
            </w:rPr>
          </w:pPr>
        </w:p>
        <w:p w:rsidR="0035247E" w:rsidRPr="00732DB7" w:rsidRDefault="0035247E" w:rsidP="00732DB7">
          <w:pPr>
            <w:keepNext/>
            <w:keepLines/>
            <w:tabs>
              <w:tab w:val="left" w:pos="-1440"/>
              <w:tab w:val="left" w:pos="-720"/>
            </w:tabs>
            <w:jc w:val="center"/>
            <w:rPr>
              <w:sz w:val="20"/>
              <w:szCs w:val="20"/>
            </w:rPr>
          </w:pPr>
        </w:p>
      </w:tc>
      <w:tc>
        <w:tcPr>
          <w:tcW w:w="4080" w:type="dxa"/>
          <w:tcMar>
            <w:left w:w="0" w:type="dxa"/>
            <w:right w:w="0" w:type="dxa"/>
          </w:tcMar>
        </w:tcPr>
        <w:p w:rsidR="0035247E" w:rsidRPr="00732DB7" w:rsidRDefault="0035247E"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35247E" w:rsidRPr="00283C52" w:rsidRDefault="0035247E"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47E" w:rsidRDefault="003524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B7E" w:rsidRDefault="00FF5B7E">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35247E" w:rsidRPr="0025502E">
      <w:tc>
        <w:tcPr>
          <w:tcW w:w="4200" w:type="dxa"/>
          <w:tcMar>
            <w:left w:w="0" w:type="dxa"/>
            <w:right w:w="0" w:type="dxa"/>
          </w:tcMar>
        </w:tcPr>
        <w:p w:rsidR="0035247E" w:rsidRDefault="003524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35247E" w:rsidRDefault="003524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35247E" w:rsidRDefault="003524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35247E" w:rsidRPr="003C2C0F" w:rsidRDefault="0035247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35247E" w:rsidRPr="003C2C0F" w:rsidRDefault="003524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35247E" w:rsidRPr="003C2C0F" w:rsidRDefault="003524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35247E" w:rsidRPr="0025502E" w:rsidTr="00245129">
      <w:tc>
        <w:tcPr>
          <w:tcW w:w="4200" w:type="dxa"/>
          <w:tcMar>
            <w:left w:w="0" w:type="dxa"/>
            <w:right w:w="0" w:type="dxa"/>
          </w:tcMar>
        </w:tcPr>
        <w:p w:rsidR="0035247E" w:rsidRPr="00FF6EEC" w:rsidRDefault="0035247E" w:rsidP="00FF6EEC">
          <w:pPr>
            <w:rPr>
              <w:sz w:val="20"/>
              <w:szCs w:val="20"/>
            </w:rPr>
          </w:pPr>
          <w:r w:rsidRPr="00FF6EEC">
            <w:rPr>
              <w:sz w:val="20"/>
              <w:szCs w:val="20"/>
            </w:rPr>
            <w:t>PRONOUNCEMENTS OF APPEALS RESERVED</w:t>
          </w:r>
        </w:p>
      </w:tc>
      <w:tc>
        <w:tcPr>
          <w:tcW w:w="1200" w:type="dxa"/>
          <w:tcMar>
            <w:left w:w="0" w:type="dxa"/>
            <w:right w:w="0" w:type="dxa"/>
          </w:tcMar>
        </w:tcPr>
        <w:p w:rsidR="0035247E" w:rsidRPr="00FF6EEC" w:rsidRDefault="0035247E" w:rsidP="00FF6EEC">
          <w:pPr>
            <w:jc w:val="center"/>
            <w:rPr>
              <w:sz w:val="20"/>
              <w:szCs w:val="20"/>
            </w:rPr>
          </w:pPr>
        </w:p>
        <w:p w:rsidR="0035247E" w:rsidRPr="00FF6EEC" w:rsidRDefault="0035247E" w:rsidP="00FF6EEC">
          <w:pPr>
            <w:jc w:val="center"/>
            <w:rPr>
              <w:sz w:val="20"/>
              <w:szCs w:val="20"/>
            </w:rPr>
          </w:pPr>
        </w:p>
        <w:p w:rsidR="0035247E" w:rsidRPr="00FF6EEC" w:rsidRDefault="0035247E" w:rsidP="00FF6EEC">
          <w:pPr>
            <w:jc w:val="center"/>
            <w:rPr>
              <w:sz w:val="20"/>
              <w:szCs w:val="20"/>
            </w:rPr>
          </w:pPr>
        </w:p>
      </w:tc>
      <w:tc>
        <w:tcPr>
          <w:tcW w:w="4080" w:type="dxa"/>
          <w:tcMar>
            <w:left w:w="0" w:type="dxa"/>
            <w:right w:w="0" w:type="dxa"/>
          </w:tcMar>
        </w:tcPr>
        <w:p w:rsidR="0035247E" w:rsidRPr="00FF6EEC" w:rsidRDefault="0035247E" w:rsidP="00FF6EEC">
          <w:pPr>
            <w:rPr>
              <w:sz w:val="20"/>
              <w:szCs w:val="20"/>
              <w:lang w:val="fr-CA"/>
            </w:rPr>
          </w:pPr>
          <w:r w:rsidRPr="00FF6EEC">
            <w:rPr>
              <w:sz w:val="20"/>
              <w:szCs w:val="20"/>
              <w:lang w:val="fr-CA"/>
            </w:rPr>
            <w:t>JUGEMENTS RENDUS SUR LES APPELS EN DÉLIBÉRÉ</w:t>
          </w:r>
        </w:p>
      </w:tc>
    </w:tr>
  </w:tbl>
  <w:p w:rsidR="0035247E" w:rsidRPr="003C2C0F" w:rsidRDefault="0035247E"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47E" w:rsidRDefault="0035247E">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35247E">
      <w:tc>
        <w:tcPr>
          <w:tcW w:w="4230" w:type="dxa"/>
          <w:tcMar>
            <w:left w:w="0" w:type="dxa"/>
            <w:right w:w="0" w:type="dxa"/>
          </w:tcMar>
        </w:tcPr>
        <w:p w:rsidR="0035247E" w:rsidRDefault="003524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35247E" w:rsidRDefault="003524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35247E" w:rsidRDefault="003524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35247E" w:rsidRDefault="003524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5247E" w:rsidRDefault="003524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35247E" w:rsidRDefault="0035247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35247E" w:rsidRDefault="003524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35247E" w:rsidRDefault="003524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35247E" w:rsidRPr="00782AE4" w:rsidTr="00245129">
      <w:tc>
        <w:tcPr>
          <w:tcW w:w="4230" w:type="dxa"/>
          <w:tcMar>
            <w:left w:w="0" w:type="dxa"/>
            <w:right w:w="0" w:type="dxa"/>
          </w:tcMar>
        </w:tcPr>
        <w:p w:rsidR="0035247E" w:rsidRPr="00782AE4" w:rsidRDefault="0035247E" w:rsidP="00102926">
          <w:pPr>
            <w:keepNext/>
            <w:keepLines/>
            <w:tabs>
              <w:tab w:val="left" w:pos="-1440"/>
              <w:tab w:val="left" w:pos="-720"/>
            </w:tabs>
            <w:rPr>
              <w:sz w:val="20"/>
              <w:szCs w:val="20"/>
            </w:rPr>
          </w:pPr>
          <w:r w:rsidRPr="00782AE4">
            <w:rPr>
              <w:sz w:val="20"/>
              <w:szCs w:val="20"/>
            </w:rPr>
            <w:t xml:space="preserve">HEADNOTES OF RECENT </w:t>
          </w:r>
        </w:p>
        <w:p w:rsidR="0035247E" w:rsidRPr="00782AE4" w:rsidRDefault="003524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35247E" w:rsidRDefault="0035247E" w:rsidP="00102926">
          <w:pPr>
            <w:keepNext/>
            <w:keepLines/>
            <w:tabs>
              <w:tab w:val="left" w:pos="-1440"/>
              <w:tab w:val="left" w:pos="-720"/>
            </w:tabs>
            <w:jc w:val="center"/>
            <w:rPr>
              <w:sz w:val="20"/>
              <w:szCs w:val="20"/>
            </w:rPr>
          </w:pPr>
        </w:p>
        <w:p w:rsidR="0035247E" w:rsidRDefault="0035247E" w:rsidP="00102926">
          <w:pPr>
            <w:keepNext/>
            <w:keepLines/>
            <w:tabs>
              <w:tab w:val="left" w:pos="-1440"/>
              <w:tab w:val="left" w:pos="-720"/>
            </w:tabs>
            <w:jc w:val="center"/>
            <w:rPr>
              <w:sz w:val="20"/>
              <w:szCs w:val="20"/>
            </w:rPr>
          </w:pPr>
        </w:p>
        <w:p w:rsidR="0035247E" w:rsidRPr="00782AE4" w:rsidRDefault="0035247E" w:rsidP="00102926">
          <w:pPr>
            <w:keepNext/>
            <w:keepLines/>
            <w:tabs>
              <w:tab w:val="left" w:pos="-1440"/>
              <w:tab w:val="left" w:pos="-720"/>
            </w:tabs>
            <w:jc w:val="center"/>
            <w:rPr>
              <w:sz w:val="20"/>
              <w:szCs w:val="20"/>
            </w:rPr>
          </w:pPr>
        </w:p>
      </w:tc>
      <w:tc>
        <w:tcPr>
          <w:tcW w:w="4080" w:type="dxa"/>
          <w:tcMar>
            <w:left w:w="0" w:type="dxa"/>
            <w:right w:w="0" w:type="dxa"/>
          </w:tcMar>
        </w:tcPr>
        <w:p w:rsidR="0035247E" w:rsidRPr="00102926" w:rsidRDefault="003524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35247E" w:rsidRPr="00782AE4" w:rsidRDefault="0035247E" w:rsidP="00102926">
          <w:pPr>
            <w:keepLines/>
            <w:tabs>
              <w:tab w:val="left" w:pos="-1440"/>
              <w:tab w:val="left" w:pos="-720"/>
            </w:tabs>
            <w:rPr>
              <w:sz w:val="20"/>
              <w:szCs w:val="20"/>
            </w:rPr>
          </w:pPr>
          <w:r w:rsidRPr="00102926">
            <w:rPr>
              <w:sz w:val="20"/>
              <w:szCs w:val="20"/>
              <w:lang w:val="fr-CA"/>
            </w:rPr>
            <w:t>RÉCENTS</w:t>
          </w:r>
        </w:p>
      </w:tc>
    </w:tr>
  </w:tbl>
  <w:p w:rsidR="0035247E" w:rsidRDefault="0035247E"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47E" w:rsidRDefault="0035247E">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35247E">
      <w:tc>
        <w:tcPr>
          <w:tcW w:w="4200" w:type="dxa"/>
          <w:tcMar>
            <w:left w:w="0" w:type="dxa"/>
            <w:right w:w="0" w:type="dxa"/>
          </w:tcMar>
        </w:tcPr>
        <w:p w:rsidR="0035247E" w:rsidRDefault="0035247E">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35247E" w:rsidRDefault="0035247E">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35247E" w:rsidRDefault="0035247E">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35247E" w:rsidRDefault="0035247E">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35247E" w:rsidRDefault="0035247E">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35247E" w:rsidRDefault="0035247E">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35247E" w:rsidRPr="00C50A5C" w:rsidTr="00245129">
      <w:tc>
        <w:tcPr>
          <w:tcW w:w="4200" w:type="dxa"/>
          <w:tcMar>
            <w:left w:w="0" w:type="dxa"/>
            <w:right w:w="0" w:type="dxa"/>
          </w:tcMar>
        </w:tcPr>
        <w:p w:rsidR="0035247E" w:rsidRPr="00C50A5C" w:rsidRDefault="0035247E" w:rsidP="00F031B8">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rPr>
          </w:pPr>
          <w:r w:rsidRPr="00C50A5C">
            <w:rPr>
              <w:sz w:val="20"/>
              <w:szCs w:val="20"/>
            </w:rPr>
            <w:t xml:space="preserve">AGENDA FOR </w:t>
          </w:r>
          <w:r w:rsidR="00F031B8">
            <w:rPr>
              <w:sz w:val="20"/>
              <w:szCs w:val="20"/>
            </w:rPr>
            <w:t>FEBRU</w:t>
          </w:r>
          <w:r w:rsidRPr="00C50A5C">
            <w:rPr>
              <w:sz w:val="20"/>
              <w:szCs w:val="20"/>
            </w:rPr>
            <w:t>A</w:t>
          </w:r>
          <w:r w:rsidR="00F031B8">
            <w:rPr>
              <w:sz w:val="20"/>
              <w:szCs w:val="20"/>
            </w:rPr>
            <w:t>RY 2015</w:t>
          </w:r>
        </w:p>
      </w:tc>
      <w:tc>
        <w:tcPr>
          <w:tcW w:w="1200" w:type="dxa"/>
          <w:tcMar>
            <w:left w:w="0" w:type="dxa"/>
            <w:right w:w="0" w:type="dxa"/>
          </w:tcMar>
        </w:tcPr>
        <w:p w:rsidR="0035247E" w:rsidRPr="00C50A5C" w:rsidRDefault="0035247E"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p w:rsidR="0035247E" w:rsidRPr="00C50A5C" w:rsidRDefault="0035247E"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tc>
      <w:tc>
        <w:tcPr>
          <w:tcW w:w="4080" w:type="dxa"/>
          <w:tcMar>
            <w:left w:w="0" w:type="dxa"/>
            <w:right w:w="0" w:type="dxa"/>
          </w:tcMar>
        </w:tcPr>
        <w:p w:rsidR="0035247E" w:rsidRPr="00C50A5C" w:rsidRDefault="0035247E" w:rsidP="00F031B8">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lang w:val="fr-CA"/>
            </w:rPr>
          </w:pPr>
          <w:r w:rsidRPr="00C50A5C">
            <w:rPr>
              <w:sz w:val="20"/>
              <w:szCs w:val="20"/>
              <w:lang w:val="fr-CA"/>
            </w:rPr>
            <w:t xml:space="preserve">CALENDRIER DE </w:t>
          </w:r>
          <w:r w:rsidR="00F031B8">
            <w:rPr>
              <w:sz w:val="20"/>
              <w:szCs w:val="20"/>
              <w:lang w:val="fr-CA"/>
            </w:rPr>
            <w:t>FÉVRI</w:t>
          </w:r>
          <w:r w:rsidRPr="00C50A5C">
            <w:rPr>
              <w:sz w:val="20"/>
              <w:szCs w:val="20"/>
              <w:lang w:val="fr-CA"/>
            </w:rPr>
            <w:t>E</w:t>
          </w:r>
          <w:r w:rsidR="00F031B8">
            <w:rPr>
              <w:sz w:val="20"/>
              <w:szCs w:val="20"/>
              <w:lang w:val="fr-CA"/>
            </w:rPr>
            <w:t>R 2015</w:t>
          </w:r>
        </w:p>
      </w:tc>
    </w:tr>
  </w:tbl>
  <w:p w:rsidR="0035247E" w:rsidRDefault="0035247E"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47E" w:rsidRDefault="0035247E">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35247E" w:rsidRPr="005F263E" w:rsidTr="00245129">
      <w:tc>
        <w:tcPr>
          <w:tcW w:w="4200" w:type="dxa"/>
          <w:tcMar>
            <w:left w:w="0" w:type="dxa"/>
            <w:right w:w="0" w:type="dxa"/>
          </w:tcMar>
        </w:tcPr>
        <w:p w:rsidR="0035247E" w:rsidRPr="005F263E" w:rsidRDefault="0035247E" w:rsidP="00245129">
          <w:pPr>
            <w:keepNext/>
            <w:keepLines/>
            <w:tabs>
              <w:tab w:val="left" w:pos="-1440"/>
              <w:tab w:val="left" w:pos="-720"/>
            </w:tabs>
            <w:rPr>
              <w:sz w:val="20"/>
              <w:szCs w:val="20"/>
            </w:rPr>
          </w:pPr>
          <w:r w:rsidRPr="005F263E">
            <w:rPr>
              <w:sz w:val="20"/>
              <w:szCs w:val="20"/>
            </w:rPr>
            <w:t>SUMMARIES OF THE CASES</w:t>
          </w:r>
        </w:p>
      </w:tc>
      <w:tc>
        <w:tcPr>
          <w:tcW w:w="1200" w:type="dxa"/>
          <w:tcMar>
            <w:left w:w="0" w:type="dxa"/>
            <w:right w:w="0" w:type="dxa"/>
          </w:tcMar>
        </w:tcPr>
        <w:p w:rsidR="0035247E" w:rsidRPr="005F263E" w:rsidRDefault="0035247E" w:rsidP="00245129">
          <w:pPr>
            <w:keepNext/>
            <w:keepLines/>
            <w:tabs>
              <w:tab w:val="left" w:pos="-1440"/>
              <w:tab w:val="left" w:pos="-720"/>
            </w:tabs>
            <w:jc w:val="center"/>
            <w:rPr>
              <w:sz w:val="20"/>
              <w:szCs w:val="20"/>
            </w:rPr>
          </w:pPr>
        </w:p>
        <w:p w:rsidR="0035247E" w:rsidRPr="005F263E" w:rsidRDefault="0035247E" w:rsidP="00245129">
          <w:pPr>
            <w:keepNext/>
            <w:keepLines/>
            <w:tabs>
              <w:tab w:val="left" w:pos="-1440"/>
              <w:tab w:val="left" w:pos="-720"/>
            </w:tabs>
            <w:jc w:val="center"/>
            <w:rPr>
              <w:sz w:val="20"/>
              <w:szCs w:val="20"/>
            </w:rPr>
          </w:pPr>
        </w:p>
      </w:tc>
      <w:tc>
        <w:tcPr>
          <w:tcW w:w="4080" w:type="dxa"/>
          <w:tcMar>
            <w:left w:w="0" w:type="dxa"/>
            <w:right w:w="0" w:type="dxa"/>
          </w:tcMar>
        </w:tcPr>
        <w:p w:rsidR="0035247E" w:rsidRPr="005F263E" w:rsidRDefault="0035247E" w:rsidP="00245129">
          <w:pPr>
            <w:keepLines/>
            <w:tabs>
              <w:tab w:val="left" w:pos="-1440"/>
              <w:tab w:val="left" w:pos="-720"/>
            </w:tabs>
            <w:rPr>
              <w:sz w:val="20"/>
              <w:szCs w:val="20"/>
            </w:rPr>
          </w:pPr>
          <w:r w:rsidRPr="005F263E">
            <w:rPr>
              <w:sz w:val="20"/>
              <w:szCs w:val="20"/>
            </w:rPr>
            <w:t>RÉSUMÉS DES AFFAIRES</w:t>
          </w:r>
        </w:p>
      </w:tc>
    </w:tr>
  </w:tbl>
  <w:p w:rsidR="0035247E" w:rsidRDefault="0035247E" w:rsidP="005F263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B7E" w:rsidRDefault="00FF5B7E">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47E" w:rsidRDefault="0035247E">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47E" w:rsidRDefault="0035247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35247E" w:rsidRPr="0044776A" w:rsidTr="00245129">
      <w:tc>
        <w:tcPr>
          <w:tcW w:w="4290" w:type="dxa"/>
          <w:tcMar>
            <w:left w:w="0" w:type="dxa"/>
            <w:right w:w="0" w:type="dxa"/>
          </w:tcMar>
        </w:tcPr>
        <w:p w:rsidR="0035247E" w:rsidRPr="0044776A" w:rsidRDefault="0035247E"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35247E" w:rsidRPr="0044776A" w:rsidRDefault="0035247E" w:rsidP="002E2327">
          <w:pPr>
            <w:keepNext/>
            <w:keepLines/>
            <w:tabs>
              <w:tab w:val="left" w:pos="-1440"/>
              <w:tab w:val="left" w:pos="-720"/>
            </w:tabs>
            <w:jc w:val="center"/>
            <w:rPr>
              <w:sz w:val="20"/>
              <w:szCs w:val="20"/>
            </w:rPr>
          </w:pPr>
        </w:p>
        <w:p w:rsidR="0035247E" w:rsidRPr="0044776A" w:rsidRDefault="0035247E" w:rsidP="002E2327">
          <w:pPr>
            <w:keepNext/>
            <w:keepLines/>
            <w:tabs>
              <w:tab w:val="left" w:pos="-1440"/>
              <w:tab w:val="left" w:pos="-720"/>
            </w:tabs>
            <w:jc w:val="center"/>
            <w:rPr>
              <w:sz w:val="20"/>
              <w:szCs w:val="20"/>
            </w:rPr>
          </w:pPr>
        </w:p>
        <w:p w:rsidR="0035247E" w:rsidRPr="0044776A" w:rsidRDefault="0035247E" w:rsidP="002E2327">
          <w:pPr>
            <w:keepNext/>
            <w:keepLines/>
            <w:tabs>
              <w:tab w:val="left" w:pos="-1440"/>
              <w:tab w:val="left" w:pos="-720"/>
            </w:tabs>
            <w:jc w:val="center"/>
            <w:rPr>
              <w:sz w:val="20"/>
              <w:szCs w:val="20"/>
            </w:rPr>
          </w:pPr>
        </w:p>
      </w:tc>
      <w:tc>
        <w:tcPr>
          <w:tcW w:w="4320" w:type="dxa"/>
          <w:tcMar>
            <w:left w:w="0" w:type="dxa"/>
            <w:right w:w="0" w:type="dxa"/>
          </w:tcMar>
        </w:tcPr>
        <w:p w:rsidR="0035247E" w:rsidRPr="0044776A" w:rsidRDefault="0035247E" w:rsidP="002E2327">
          <w:pPr>
            <w:keepLines/>
            <w:rPr>
              <w:sz w:val="20"/>
              <w:szCs w:val="20"/>
              <w:lang w:val="fr-CA"/>
            </w:rPr>
          </w:pPr>
          <w:r w:rsidRPr="0044776A">
            <w:rPr>
              <w:sz w:val="20"/>
              <w:szCs w:val="20"/>
              <w:lang w:val="fr-CA"/>
            </w:rPr>
            <w:t>DEMANDES D'AUTORISATION D'APPEL DÉPOSÉES</w:t>
          </w:r>
        </w:p>
      </w:tc>
    </w:tr>
  </w:tbl>
  <w:p w:rsidR="0035247E" w:rsidRDefault="0035247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47E" w:rsidRDefault="0035247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35247E" w:rsidRPr="0025502E" w:rsidTr="00245129">
      <w:tc>
        <w:tcPr>
          <w:tcW w:w="4200" w:type="dxa"/>
          <w:tcMar>
            <w:left w:w="0" w:type="dxa"/>
            <w:right w:w="0" w:type="dxa"/>
          </w:tcMar>
        </w:tcPr>
        <w:p w:rsidR="0035247E" w:rsidRPr="0044776A" w:rsidRDefault="0035247E" w:rsidP="0044776A">
          <w:pPr>
            <w:keepNext/>
            <w:keepLines/>
            <w:widowControl w:val="0"/>
            <w:rPr>
              <w:sz w:val="20"/>
              <w:szCs w:val="20"/>
            </w:rPr>
          </w:pPr>
          <w:r>
            <w:rPr>
              <w:sz w:val="20"/>
              <w:szCs w:val="20"/>
            </w:rPr>
            <w:t>APPLICATIONS FOR LEAVE</w:t>
          </w:r>
        </w:p>
        <w:p w:rsidR="0035247E" w:rsidRPr="0044776A" w:rsidRDefault="0035247E"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35247E" w:rsidRPr="0044776A" w:rsidRDefault="0035247E" w:rsidP="0044776A">
          <w:pPr>
            <w:keepNext/>
            <w:keepLines/>
            <w:widowControl w:val="0"/>
            <w:jc w:val="center"/>
            <w:rPr>
              <w:sz w:val="20"/>
              <w:szCs w:val="20"/>
            </w:rPr>
          </w:pPr>
        </w:p>
        <w:p w:rsidR="0035247E" w:rsidRPr="0044776A" w:rsidRDefault="0035247E" w:rsidP="0044776A">
          <w:pPr>
            <w:keepNext/>
            <w:keepLines/>
            <w:widowControl w:val="0"/>
            <w:jc w:val="center"/>
            <w:rPr>
              <w:sz w:val="20"/>
              <w:szCs w:val="20"/>
            </w:rPr>
          </w:pPr>
        </w:p>
        <w:p w:rsidR="0035247E" w:rsidRPr="0044776A" w:rsidRDefault="0035247E" w:rsidP="0044776A">
          <w:pPr>
            <w:keepNext/>
            <w:keepLines/>
            <w:widowControl w:val="0"/>
            <w:jc w:val="center"/>
            <w:rPr>
              <w:sz w:val="20"/>
              <w:szCs w:val="20"/>
            </w:rPr>
          </w:pPr>
        </w:p>
      </w:tc>
      <w:tc>
        <w:tcPr>
          <w:tcW w:w="4080" w:type="dxa"/>
          <w:tcMar>
            <w:left w:w="0" w:type="dxa"/>
            <w:right w:w="0" w:type="dxa"/>
          </w:tcMar>
        </w:tcPr>
        <w:p w:rsidR="0035247E" w:rsidRPr="0044776A" w:rsidRDefault="0035247E" w:rsidP="0044776A">
          <w:pPr>
            <w:keepLines/>
            <w:widowControl w:val="0"/>
            <w:rPr>
              <w:sz w:val="20"/>
              <w:szCs w:val="20"/>
              <w:lang w:val="fr-CA"/>
            </w:rPr>
          </w:pPr>
          <w:r w:rsidRPr="0044776A">
            <w:rPr>
              <w:sz w:val="20"/>
              <w:szCs w:val="20"/>
              <w:lang w:val="fr-CA"/>
            </w:rPr>
            <w:t>DEMANDES SOUMISES À LA COUR DEPUIS LA DERNIÈRE PARUTION</w:t>
          </w:r>
        </w:p>
        <w:p w:rsidR="0035247E" w:rsidRPr="0044776A" w:rsidRDefault="0035247E" w:rsidP="0044776A">
          <w:pPr>
            <w:widowControl w:val="0"/>
            <w:rPr>
              <w:sz w:val="20"/>
              <w:szCs w:val="20"/>
              <w:lang w:val="fr-CA"/>
            </w:rPr>
          </w:pPr>
        </w:p>
      </w:tc>
    </w:tr>
  </w:tbl>
  <w:p w:rsidR="0035247E" w:rsidRPr="002E2327" w:rsidRDefault="0035247E">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47E" w:rsidRDefault="0035247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35247E" w:rsidRPr="0025502E">
      <w:tc>
        <w:tcPr>
          <w:tcW w:w="4200" w:type="dxa"/>
          <w:tcMar>
            <w:left w:w="0" w:type="dxa"/>
            <w:right w:w="0" w:type="dxa"/>
          </w:tcMar>
        </w:tcPr>
        <w:p w:rsidR="0035247E" w:rsidRDefault="003524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35247E" w:rsidRDefault="003524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35247E" w:rsidRDefault="0035247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5247E" w:rsidRPr="00FF6BA5" w:rsidRDefault="0035247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35247E" w:rsidRPr="00FF6BA5" w:rsidRDefault="003524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35247E" w:rsidRPr="00FF6BA5" w:rsidRDefault="003524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35247E" w:rsidRPr="00FF6BA5" w:rsidRDefault="003524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35247E" w:rsidRPr="0025502E" w:rsidTr="00245129">
      <w:tc>
        <w:tcPr>
          <w:tcW w:w="4200" w:type="dxa"/>
          <w:tcMar>
            <w:left w:w="0" w:type="dxa"/>
            <w:right w:w="0" w:type="dxa"/>
          </w:tcMar>
        </w:tcPr>
        <w:p w:rsidR="0035247E" w:rsidRPr="00755F22" w:rsidRDefault="003524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35247E" w:rsidRPr="00755F22" w:rsidRDefault="0035247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35247E" w:rsidRPr="00755F22" w:rsidRDefault="0035247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35247E" w:rsidRPr="00755F22" w:rsidRDefault="0035247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35247E" w:rsidRPr="00755F22" w:rsidRDefault="0035247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35247E" w:rsidRPr="00755F22" w:rsidRDefault="0035247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35247E" w:rsidRPr="00FF6BA5" w:rsidRDefault="0035247E"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A8F35E7"/>
    <w:multiLevelType w:val="hybridMultilevel"/>
    <w:tmpl w:val="7CCE80DE"/>
    <w:lvl w:ilvl="0" w:tplc="388CB714">
      <w:start w:val="1"/>
      <w:numFmt w:val="decimal"/>
      <w:lvlText w:val="%1."/>
      <w:lvlJc w:val="left"/>
      <w:pPr>
        <w:ind w:left="1065" w:hanging="360"/>
      </w:pPr>
      <w:rPr>
        <w:rFonts w:hint="default"/>
        <w:sz w:val="20"/>
        <w:szCs w:val="20"/>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15:restartNumberingAfterBreak="0">
    <w:nsid w:val="43D9166E"/>
    <w:multiLevelType w:val="hybridMultilevel"/>
    <w:tmpl w:val="D7F0B9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04B2154"/>
    <w:multiLevelType w:val="hybridMultilevel"/>
    <w:tmpl w:val="58F405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5916ED9"/>
    <w:multiLevelType w:val="hybridMultilevel"/>
    <w:tmpl w:val="025A7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E33C32"/>
    <w:multiLevelType w:val="hybridMultilevel"/>
    <w:tmpl w:val="58F405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CAA47DF"/>
    <w:multiLevelType w:val="hybridMultilevel"/>
    <w:tmpl w:val="D7F0B9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4"/>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3"/>
  </w:num>
  <w:num w:numId="10">
    <w:abstractNumId w:val="6"/>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drawingGridHorizontalSpacing w:val="120"/>
  <w:displayHorizontalDrawingGridEvery w:val="2"/>
  <w:characterSpacingControl w:val="doNotCompress"/>
  <w:hdrShapeDefaults>
    <o:shapedefaults v:ext="edit" spidmax="80917"/>
  </w:hdrShapeDefaults>
  <w:footnotePr>
    <w:footnote w:id="-1"/>
    <w:footnote w:id="0"/>
  </w:footnotePr>
  <w:endnotePr>
    <w:endnote w:id="-1"/>
    <w:endnote w:id="0"/>
  </w:endnotePr>
  <w:compat>
    <w:compatSetting w:name="compatibilityMode" w:uri="http://schemas.microsoft.com/office/word" w:val="12"/>
  </w:compat>
  <w:rsids>
    <w:rsidRoot w:val="00C102AE"/>
    <w:rsid w:val="000149F8"/>
    <w:rsid w:val="00020DC3"/>
    <w:rsid w:val="00026AD0"/>
    <w:rsid w:val="00030254"/>
    <w:rsid w:val="0003223B"/>
    <w:rsid w:val="000327B2"/>
    <w:rsid w:val="00037D0F"/>
    <w:rsid w:val="0004528B"/>
    <w:rsid w:val="000466A3"/>
    <w:rsid w:val="00064FBA"/>
    <w:rsid w:val="00065C0C"/>
    <w:rsid w:val="00091FA6"/>
    <w:rsid w:val="00096B8E"/>
    <w:rsid w:val="00096BD9"/>
    <w:rsid w:val="000A5B95"/>
    <w:rsid w:val="000B1204"/>
    <w:rsid w:val="000B3C9A"/>
    <w:rsid w:val="000B40A2"/>
    <w:rsid w:val="000B4624"/>
    <w:rsid w:val="000C0ACD"/>
    <w:rsid w:val="000C0D2A"/>
    <w:rsid w:val="000C5CE8"/>
    <w:rsid w:val="000D6D9D"/>
    <w:rsid w:val="000E2959"/>
    <w:rsid w:val="000F0B60"/>
    <w:rsid w:val="000F0BAB"/>
    <w:rsid w:val="000F53D3"/>
    <w:rsid w:val="00102926"/>
    <w:rsid w:val="0010587F"/>
    <w:rsid w:val="00111C6B"/>
    <w:rsid w:val="0012102B"/>
    <w:rsid w:val="00121F24"/>
    <w:rsid w:val="001249E2"/>
    <w:rsid w:val="00124C37"/>
    <w:rsid w:val="0013369E"/>
    <w:rsid w:val="001630B7"/>
    <w:rsid w:val="00164E6D"/>
    <w:rsid w:val="00181BD8"/>
    <w:rsid w:val="00183454"/>
    <w:rsid w:val="001A60F7"/>
    <w:rsid w:val="001B157C"/>
    <w:rsid w:val="001B4006"/>
    <w:rsid w:val="001B5C23"/>
    <w:rsid w:val="001D0D5F"/>
    <w:rsid w:val="001D6B8C"/>
    <w:rsid w:val="001F1F83"/>
    <w:rsid w:val="001F40DF"/>
    <w:rsid w:val="001F6B2D"/>
    <w:rsid w:val="002021A9"/>
    <w:rsid w:val="0020264D"/>
    <w:rsid w:val="002139A7"/>
    <w:rsid w:val="00215F7C"/>
    <w:rsid w:val="0022323B"/>
    <w:rsid w:val="0023755D"/>
    <w:rsid w:val="002410B8"/>
    <w:rsid w:val="00242AEE"/>
    <w:rsid w:val="00245129"/>
    <w:rsid w:val="00245879"/>
    <w:rsid w:val="0025502E"/>
    <w:rsid w:val="00267FD5"/>
    <w:rsid w:val="00274D34"/>
    <w:rsid w:val="00283ED8"/>
    <w:rsid w:val="002845D4"/>
    <w:rsid w:val="002868D0"/>
    <w:rsid w:val="002A008C"/>
    <w:rsid w:val="002A27D1"/>
    <w:rsid w:val="002A4AFA"/>
    <w:rsid w:val="002B516C"/>
    <w:rsid w:val="002C385E"/>
    <w:rsid w:val="002D72EB"/>
    <w:rsid w:val="002E2327"/>
    <w:rsid w:val="002E23A0"/>
    <w:rsid w:val="002E3583"/>
    <w:rsid w:val="002E5576"/>
    <w:rsid w:val="00306496"/>
    <w:rsid w:val="00331B52"/>
    <w:rsid w:val="00334546"/>
    <w:rsid w:val="003359D3"/>
    <w:rsid w:val="0035247E"/>
    <w:rsid w:val="00355967"/>
    <w:rsid w:val="003725BF"/>
    <w:rsid w:val="00382C47"/>
    <w:rsid w:val="00384384"/>
    <w:rsid w:val="003866AE"/>
    <w:rsid w:val="003B3977"/>
    <w:rsid w:val="003D0CC6"/>
    <w:rsid w:val="003D1C23"/>
    <w:rsid w:val="003D3CEA"/>
    <w:rsid w:val="003E1D4C"/>
    <w:rsid w:val="003E3BCD"/>
    <w:rsid w:val="004137A0"/>
    <w:rsid w:val="00413F86"/>
    <w:rsid w:val="00422D9A"/>
    <w:rsid w:val="00432989"/>
    <w:rsid w:val="00435CF4"/>
    <w:rsid w:val="00440E24"/>
    <w:rsid w:val="0044776A"/>
    <w:rsid w:val="00460AFC"/>
    <w:rsid w:val="00462D21"/>
    <w:rsid w:val="0047471F"/>
    <w:rsid w:val="004B195E"/>
    <w:rsid w:val="004B3921"/>
    <w:rsid w:val="004B64DA"/>
    <w:rsid w:val="004B66B4"/>
    <w:rsid w:val="004B7F60"/>
    <w:rsid w:val="004C1AAC"/>
    <w:rsid w:val="004D462D"/>
    <w:rsid w:val="004E1E0A"/>
    <w:rsid w:val="004E65D1"/>
    <w:rsid w:val="004E7877"/>
    <w:rsid w:val="004F090E"/>
    <w:rsid w:val="00501F3C"/>
    <w:rsid w:val="0052229C"/>
    <w:rsid w:val="00527111"/>
    <w:rsid w:val="00527CC7"/>
    <w:rsid w:val="00533ED2"/>
    <w:rsid w:val="00561B10"/>
    <w:rsid w:val="00571CA4"/>
    <w:rsid w:val="00582136"/>
    <w:rsid w:val="005B22AF"/>
    <w:rsid w:val="005C3B45"/>
    <w:rsid w:val="005C6840"/>
    <w:rsid w:val="005F1ED8"/>
    <w:rsid w:val="005F263E"/>
    <w:rsid w:val="00600252"/>
    <w:rsid w:val="00612A40"/>
    <w:rsid w:val="0062714A"/>
    <w:rsid w:val="00653B2E"/>
    <w:rsid w:val="00661E92"/>
    <w:rsid w:val="006745F6"/>
    <w:rsid w:val="00675479"/>
    <w:rsid w:val="00675D04"/>
    <w:rsid w:val="00680709"/>
    <w:rsid w:val="00681F61"/>
    <w:rsid w:val="0069185E"/>
    <w:rsid w:val="00696BF9"/>
    <w:rsid w:val="00697C62"/>
    <w:rsid w:val="006A15AC"/>
    <w:rsid w:val="006A329B"/>
    <w:rsid w:val="006A7EB8"/>
    <w:rsid w:val="006B6926"/>
    <w:rsid w:val="006C3F47"/>
    <w:rsid w:val="006C5F7A"/>
    <w:rsid w:val="006D3D8A"/>
    <w:rsid w:val="006E06AF"/>
    <w:rsid w:val="006E4583"/>
    <w:rsid w:val="006F350F"/>
    <w:rsid w:val="006F7944"/>
    <w:rsid w:val="00701338"/>
    <w:rsid w:val="00710912"/>
    <w:rsid w:val="00732DB7"/>
    <w:rsid w:val="00736210"/>
    <w:rsid w:val="0074238B"/>
    <w:rsid w:val="00745EF7"/>
    <w:rsid w:val="00747ED9"/>
    <w:rsid w:val="00755F22"/>
    <w:rsid w:val="00766E4A"/>
    <w:rsid w:val="00772D27"/>
    <w:rsid w:val="00773DD5"/>
    <w:rsid w:val="007776EC"/>
    <w:rsid w:val="007820CE"/>
    <w:rsid w:val="00782AE4"/>
    <w:rsid w:val="0079724F"/>
    <w:rsid w:val="007A3EAE"/>
    <w:rsid w:val="007C04FC"/>
    <w:rsid w:val="007C3DB0"/>
    <w:rsid w:val="007C47C2"/>
    <w:rsid w:val="007D3E0F"/>
    <w:rsid w:val="007E4282"/>
    <w:rsid w:val="007F387B"/>
    <w:rsid w:val="00801356"/>
    <w:rsid w:val="00802863"/>
    <w:rsid w:val="00803DFB"/>
    <w:rsid w:val="008048FA"/>
    <w:rsid w:val="008112A9"/>
    <w:rsid w:val="00812822"/>
    <w:rsid w:val="00815B3C"/>
    <w:rsid w:val="0081610A"/>
    <w:rsid w:val="0082783A"/>
    <w:rsid w:val="0082787C"/>
    <w:rsid w:val="00831CA9"/>
    <w:rsid w:val="0083529A"/>
    <w:rsid w:val="00850E1F"/>
    <w:rsid w:val="0085476B"/>
    <w:rsid w:val="00860AA5"/>
    <w:rsid w:val="0086340B"/>
    <w:rsid w:val="00890FEB"/>
    <w:rsid w:val="00894F55"/>
    <w:rsid w:val="00895E7E"/>
    <w:rsid w:val="008A30F9"/>
    <w:rsid w:val="008A5C1A"/>
    <w:rsid w:val="008C2252"/>
    <w:rsid w:val="008D292F"/>
    <w:rsid w:val="008E03DC"/>
    <w:rsid w:val="00902E51"/>
    <w:rsid w:val="00917ED2"/>
    <w:rsid w:val="00924065"/>
    <w:rsid w:val="00930D68"/>
    <w:rsid w:val="00931517"/>
    <w:rsid w:val="00932DB4"/>
    <w:rsid w:val="00941A4B"/>
    <w:rsid w:val="00946242"/>
    <w:rsid w:val="00946327"/>
    <w:rsid w:val="0095096B"/>
    <w:rsid w:val="00970CD3"/>
    <w:rsid w:val="009723FA"/>
    <w:rsid w:val="00976062"/>
    <w:rsid w:val="00984546"/>
    <w:rsid w:val="00996510"/>
    <w:rsid w:val="009D1F15"/>
    <w:rsid w:val="009D24B9"/>
    <w:rsid w:val="009D5483"/>
    <w:rsid w:val="009D555E"/>
    <w:rsid w:val="009F3024"/>
    <w:rsid w:val="009F39BA"/>
    <w:rsid w:val="00A0355E"/>
    <w:rsid w:val="00A22DFB"/>
    <w:rsid w:val="00A375D1"/>
    <w:rsid w:val="00A51D10"/>
    <w:rsid w:val="00A52A83"/>
    <w:rsid w:val="00A562F1"/>
    <w:rsid w:val="00A6552C"/>
    <w:rsid w:val="00A87207"/>
    <w:rsid w:val="00A935AA"/>
    <w:rsid w:val="00A956D3"/>
    <w:rsid w:val="00AB2201"/>
    <w:rsid w:val="00AB63D4"/>
    <w:rsid w:val="00AD1D34"/>
    <w:rsid w:val="00AD3259"/>
    <w:rsid w:val="00AD4380"/>
    <w:rsid w:val="00AF1715"/>
    <w:rsid w:val="00AF3904"/>
    <w:rsid w:val="00B010C0"/>
    <w:rsid w:val="00B4740D"/>
    <w:rsid w:val="00B61629"/>
    <w:rsid w:val="00B70C8C"/>
    <w:rsid w:val="00B7374B"/>
    <w:rsid w:val="00B824B1"/>
    <w:rsid w:val="00B90DC0"/>
    <w:rsid w:val="00B91DD6"/>
    <w:rsid w:val="00BA116A"/>
    <w:rsid w:val="00BA5582"/>
    <w:rsid w:val="00BA6468"/>
    <w:rsid w:val="00BB1AB5"/>
    <w:rsid w:val="00BB1D44"/>
    <w:rsid w:val="00BB5405"/>
    <w:rsid w:val="00BC198E"/>
    <w:rsid w:val="00BC5EAA"/>
    <w:rsid w:val="00BD06DA"/>
    <w:rsid w:val="00BD4217"/>
    <w:rsid w:val="00BF25F3"/>
    <w:rsid w:val="00C102AE"/>
    <w:rsid w:val="00C1697B"/>
    <w:rsid w:val="00C179AC"/>
    <w:rsid w:val="00C21644"/>
    <w:rsid w:val="00C21CB5"/>
    <w:rsid w:val="00C46376"/>
    <w:rsid w:val="00C50A5C"/>
    <w:rsid w:val="00C50FDF"/>
    <w:rsid w:val="00C63381"/>
    <w:rsid w:val="00C64462"/>
    <w:rsid w:val="00C73D06"/>
    <w:rsid w:val="00C73E1B"/>
    <w:rsid w:val="00C759B4"/>
    <w:rsid w:val="00C77713"/>
    <w:rsid w:val="00C815AC"/>
    <w:rsid w:val="00C85BB7"/>
    <w:rsid w:val="00CA2DEA"/>
    <w:rsid w:val="00CB3520"/>
    <w:rsid w:val="00CB43D5"/>
    <w:rsid w:val="00CB7D73"/>
    <w:rsid w:val="00CC2124"/>
    <w:rsid w:val="00CC4D84"/>
    <w:rsid w:val="00CE198A"/>
    <w:rsid w:val="00CE20C6"/>
    <w:rsid w:val="00CF08C8"/>
    <w:rsid w:val="00CF2A22"/>
    <w:rsid w:val="00CF7A89"/>
    <w:rsid w:val="00D004FC"/>
    <w:rsid w:val="00D2072D"/>
    <w:rsid w:val="00D4042B"/>
    <w:rsid w:val="00D529CB"/>
    <w:rsid w:val="00D56B38"/>
    <w:rsid w:val="00D611E2"/>
    <w:rsid w:val="00D64901"/>
    <w:rsid w:val="00D65D8C"/>
    <w:rsid w:val="00D76BDF"/>
    <w:rsid w:val="00D818B6"/>
    <w:rsid w:val="00D862C1"/>
    <w:rsid w:val="00D904F1"/>
    <w:rsid w:val="00D93B50"/>
    <w:rsid w:val="00D94028"/>
    <w:rsid w:val="00D94670"/>
    <w:rsid w:val="00D96A7D"/>
    <w:rsid w:val="00DA46F6"/>
    <w:rsid w:val="00DA5B93"/>
    <w:rsid w:val="00DB023F"/>
    <w:rsid w:val="00DC2609"/>
    <w:rsid w:val="00DC3FE6"/>
    <w:rsid w:val="00DC4FAB"/>
    <w:rsid w:val="00DC541A"/>
    <w:rsid w:val="00DD0B49"/>
    <w:rsid w:val="00DE0502"/>
    <w:rsid w:val="00DE349D"/>
    <w:rsid w:val="00DF33BF"/>
    <w:rsid w:val="00E03432"/>
    <w:rsid w:val="00E06DFA"/>
    <w:rsid w:val="00E20A0A"/>
    <w:rsid w:val="00E240C2"/>
    <w:rsid w:val="00E356C7"/>
    <w:rsid w:val="00E41A5A"/>
    <w:rsid w:val="00E42AAB"/>
    <w:rsid w:val="00E45FE4"/>
    <w:rsid w:val="00E64FA7"/>
    <w:rsid w:val="00E770CB"/>
    <w:rsid w:val="00E81F04"/>
    <w:rsid w:val="00E903A1"/>
    <w:rsid w:val="00E940EB"/>
    <w:rsid w:val="00E9703F"/>
    <w:rsid w:val="00EB2B90"/>
    <w:rsid w:val="00ED7E83"/>
    <w:rsid w:val="00EE091F"/>
    <w:rsid w:val="00EF4B63"/>
    <w:rsid w:val="00F0068D"/>
    <w:rsid w:val="00F031B8"/>
    <w:rsid w:val="00F0576D"/>
    <w:rsid w:val="00F14E6D"/>
    <w:rsid w:val="00F15EA8"/>
    <w:rsid w:val="00F16C8D"/>
    <w:rsid w:val="00F26C61"/>
    <w:rsid w:val="00F33CCE"/>
    <w:rsid w:val="00F40249"/>
    <w:rsid w:val="00F41ED5"/>
    <w:rsid w:val="00F526C8"/>
    <w:rsid w:val="00F6497E"/>
    <w:rsid w:val="00F67BC8"/>
    <w:rsid w:val="00F761A3"/>
    <w:rsid w:val="00F9272D"/>
    <w:rsid w:val="00F9518C"/>
    <w:rsid w:val="00FA316E"/>
    <w:rsid w:val="00FA3373"/>
    <w:rsid w:val="00FA59EF"/>
    <w:rsid w:val="00FB19A2"/>
    <w:rsid w:val="00FB31B8"/>
    <w:rsid w:val="00FE1072"/>
    <w:rsid w:val="00FF0024"/>
    <w:rsid w:val="00FF5B7E"/>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09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B91DD6"/>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lang w:eastAsia="en-CA"/>
    </w:rPr>
  </w:style>
  <w:style w:type="paragraph" w:styleId="Heading2">
    <w:name w:val="heading 2"/>
    <w:basedOn w:val="Normal"/>
    <w:next w:val="Normal"/>
    <w:link w:val="Heading2Char"/>
    <w:uiPriority w:val="9"/>
    <w:semiHidden/>
    <w:unhideWhenUsed/>
    <w:rsid w:val="00B91DD6"/>
    <w:pPr>
      <w:keepNext/>
      <w:keepLines/>
      <w:spacing w:before="200"/>
      <w:outlineLvl w:val="1"/>
    </w:pPr>
    <w:rPr>
      <w:rFonts w:asciiTheme="majorHAnsi" w:eastAsiaTheme="majorEastAsia" w:hAnsiTheme="majorHAnsi" w:cstheme="majorBidi"/>
      <w:b/>
      <w:bCs/>
      <w:color w:val="4F81BD" w:themeColor="accent1"/>
      <w:sz w:val="26"/>
      <w:szCs w:val="2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table" w:customStyle="1" w:styleId="TableGrid2">
    <w:name w:val="Table Grid2"/>
    <w:basedOn w:val="TableNormal"/>
    <w:next w:val="TableGrid"/>
    <w:uiPriority w:val="59"/>
    <w:rsid w:val="00AD4380"/>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CB7D73"/>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B91DD6"/>
    <w:rPr>
      <w:rFonts w:asciiTheme="majorHAnsi" w:eastAsiaTheme="majorEastAsia" w:hAnsiTheme="majorHAnsi" w:cstheme="majorBidi"/>
      <w:b/>
      <w:bCs/>
      <w:color w:val="365F91" w:themeColor="accent1" w:themeShade="BF"/>
      <w:sz w:val="28"/>
      <w:szCs w:val="28"/>
      <w:lang w:val="en-CA" w:eastAsia="en-CA"/>
    </w:rPr>
  </w:style>
  <w:style w:type="character" w:customStyle="1" w:styleId="Heading2Char">
    <w:name w:val="Heading 2 Char"/>
    <w:basedOn w:val="DefaultParagraphFont"/>
    <w:link w:val="Heading2"/>
    <w:uiPriority w:val="9"/>
    <w:semiHidden/>
    <w:rsid w:val="00B91DD6"/>
    <w:rPr>
      <w:rFonts w:asciiTheme="majorHAnsi" w:eastAsiaTheme="majorEastAsia" w:hAnsiTheme="majorHAnsi" w:cstheme="majorBidi"/>
      <w:b/>
      <w:bCs/>
      <w:color w:val="4F81BD" w:themeColor="accent1"/>
      <w:sz w:val="26"/>
      <w:szCs w:val="26"/>
      <w:lang w:val="en-CA" w:eastAsia="en-CA"/>
    </w:rPr>
  </w:style>
  <w:style w:type="paragraph" w:customStyle="1" w:styleId="1">
    <w:name w:val="1"/>
    <w:aliases w:val=" 2, 3, A"/>
    <w:basedOn w:val="Normal"/>
    <w:uiPriority w:val="1"/>
    <w:rsid w:val="00B91DD6"/>
    <w:pPr>
      <w:widowControl w:val="0"/>
    </w:pPr>
    <w:rPr>
      <w:rFonts w:eastAsia="Times New Roman" w:cs="Times New Roman"/>
      <w:szCs w:val="20"/>
      <w:lang w:eastAsia="en-CA"/>
    </w:rPr>
  </w:style>
  <w:style w:type="character" w:styleId="Strong">
    <w:name w:val="Strong"/>
    <w:basedOn w:val="DefaultParagraphFont"/>
    <w:uiPriority w:val="22"/>
    <w:qFormat/>
    <w:rsid w:val="00B91DD6"/>
    <w:rPr>
      <w:b/>
      <w:bCs/>
    </w:rPr>
  </w:style>
  <w:style w:type="character" w:styleId="PlaceholderText">
    <w:name w:val="Placeholder Text"/>
    <w:basedOn w:val="DefaultParagraphFont"/>
    <w:uiPriority w:val="99"/>
    <w:semiHidden/>
    <w:rsid w:val="00B91DD6"/>
    <w:rPr>
      <w:color w:val="808080"/>
    </w:rPr>
  </w:style>
  <w:style w:type="paragraph" w:styleId="BalloonText">
    <w:name w:val="Balloon Text"/>
    <w:basedOn w:val="Normal"/>
    <w:link w:val="BalloonTextChar"/>
    <w:uiPriority w:val="99"/>
    <w:semiHidden/>
    <w:unhideWhenUsed/>
    <w:rsid w:val="00B91DD6"/>
    <w:rPr>
      <w:rFonts w:ascii="Tahoma" w:eastAsia="Times New Roman" w:hAnsi="Tahoma" w:cs="Tahoma"/>
      <w:sz w:val="16"/>
      <w:szCs w:val="16"/>
      <w:lang w:eastAsia="en-CA"/>
    </w:rPr>
  </w:style>
  <w:style w:type="character" w:customStyle="1" w:styleId="BalloonTextChar">
    <w:name w:val="Balloon Text Char"/>
    <w:basedOn w:val="DefaultParagraphFont"/>
    <w:link w:val="BalloonText"/>
    <w:uiPriority w:val="99"/>
    <w:semiHidden/>
    <w:rsid w:val="00B91DD6"/>
    <w:rPr>
      <w:rFonts w:ascii="Tahoma" w:eastAsia="Times New Roman" w:hAnsi="Tahoma" w:cs="Tahoma"/>
      <w:sz w:val="16"/>
      <w:szCs w:val="16"/>
      <w:lang w:val="en-CA" w:eastAsia="en-CA"/>
    </w:rPr>
  </w:style>
  <w:style w:type="paragraph" w:customStyle="1" w:styleId="SCCLsocParty">
    <w:name w:val="SCC.Lsoc.Party"/>
    <w:basedOn w:val="Normal"/>
    <w:next w:val="Normal"/>
    <w:link w:val="SCCLsocPartyChar"/>
    <w:rsid w:val="00B91DD6"/>
    <w:pPr>
      <w:tabs>
        <w:tab w:val="right" w:pos="8222"/>
      </w:tabs>
      <w:jc w:val="both"/>
    </w:pPr>
    <w:rPr>
      <w:rFonts w:eastAsia="Times New Roman" w:cs="Times New Roman"/>
      <w:b/>
      <w:szCs w:val="20"/>
      <w:lang w:eastAsia="en-CA"/>
    </w:rPr>
  </w:style>
  <w:style w:type="character" w:customStyle="1" w:styleId="SCCLsocPartyChar">
    <w:name w:val="SCC.Lsoc.Party Char"/>
    <w:basedOn w:val="DefaultParagraphFont"/>
    <w:link w:val="SCCLsocParty"/>
    <w:rsid w:val="00B91DD6"/>
    <w:rPr>
      <w:rFonts w:eastAsia="Times New Roman" w:cs="Times New Roman"/>
      <w:b/>
      <w:szCs w:val="20"/>
      <w:lang w:val="en-CA" w:eastAsia="en-CA"/>
    </w:rPr>
  </w:style>
  <w:style w:type="paragraph" w:customStyle="1" w:styleId="SCCLsocVersus">
    <w:name w:val="SCC.Lsoc.Versus"/>
    <w:basedOn w:val="Normal"/>
    <w:next w:val="Normal"/>
    <w:link w:val="SCCLsocVersusChar"/>
    <w:rsid w:val="00B91DD6"/>
    <w:pPr>
      <w:spacing w:after="720"/>
    </w:pPr>
    <w:rPr>
      <w:rFonts w:eastAsia="Times New Roman" w:cs="Times New Roman"/>
      <w:i/>
      <w:szCs w:val="20"/>
      <w:lang w:eastAsia="en-CA"/>
    </w:rPr>
  </w:style>
  <w:style w:type="character" w:customStyle="1" w:styleId="SCCLsocVersusChar">
    <w:name w:val="SCC.Lsoc.Versus Char"/>
    <w:basedOn w:val="DefaultParagraphFont"/>
    <w:link w:val="SCCLsocVersus"/>
    <w:rsid w:val="00B91DD6"/>
    <w:rPr>
      <w:rFonts w:eastAsia="Times New Roman" w:cs="Times New Roman"/>
      <w:i/>
      <w:szCs w:val="20"/>
      <w:lang w:val="en-CA" w:eastAsia="en-CA"/>
    </w:rPr>
  </w:style>
  <w:style w:type="character" w:customStyle="1" w:styleId="SCCLsocPartyRole">
    <w:name w:val="SCC.Lsoc.PartyRole"/>
    <w:basedOn w:val="SCCLsocLastPartyInRoleChar"/>
    <w:uiPriority w:val="1"/>
    <w:rsid w:val="00B91DD6"/>
    <w:rPr>
      <w:rFonts w:eastAsia="Times New Roman" w:cs="Times New Roman"/>
      <w:b/>
      <w:i/>
      <w:szCs w:val="20"/>
      <w:lang w:val="en-CA" w:eastAsia="en-CA"/>
    </w:rPr>
  </w:style>
  <w:style w:type="paragraph" w:customStyle="1" w:styleId="SCCLsocSubfileSeparator">
    <w:name w:val="SCC.Lsoc.SubfileSeparator"/>
    <w:basedOn w:val="Normal"/>
    <w:next w:val="Normal"/>
    <w:link w:val="SCCLsocSubfileSeparatorChar"/>
    <w:rsid w:val="00B91DD6"/>
    <w:pPr>
      <w:spacing w:after="720"/>
    </w:pPr>
    <w:rPr>
      <w:rFonts w:eastAsia="Times New Roman" w:cs="Times New Roman"/>
      <w:szCs w:val="20"/>
      <w:lang w:eastAsia="en-CA"/>
    </w:rPr>
  </w:style>
  <w:style w:type="character" w:customStyle="1" w:styleId="SCCLsocSubfileSeparatorChar">
    <w:name w:val="SCC.Lsoc.SubfileSeparator Char"/>
    <w:basedOn w:val="DefaultParagraphFont"/>
    <w:link w:val="SCCLsocSubfileSeparator"/>
    <w:rsid w:val="00B91DD6"/>
    <w:rPr>
      <w:rFonts w:eastAsia="Times New Roman" w:cs="Times New Roman"/>
      <w:szCs w:val="20"/>
      <w:lang w:val="en-CA" w:eastAsia="en-CA"/>
    </w:rPr>
  </w:style>
  <w:style w:type="paragraph" w:customStyle="1" w:styleId="SCCLsocOtherPartySeparator">
    <w:name w:val="SCC.Lsoc.OtherPartySeparator"/>
    <w:basedOn w:val="Normal"/>
    <w:next w:val="Normal"/>
    <w:link w:val="SCCLsocOtherPartySeparatorChar"/>
    <w:rsid w:val="00B91DD6"/>
    <w:pPr>
      <w:spacing w:after="720"/>
    </w:pPr>
    <w:rPr>
      <w:rFonts w:eastAsia="Times New Roman" w:cs="Times New Roman"/>
      <w:szCs w:val="20"/>
      <w:lang w:eastAsia="en-CA"/>
    </w:rPr>
  </w:style>
  <w:style w:type="character" w:customStyle="1" w:styleId="SCCLsocOtherPartySeparatorChar">
    <w:name w:val="SCC.Lsoc.OtherPartySeparator Char"/>
    <w:basedOn w:val="DefaultParagraphFont"/>
    <w:link w:val="SCCLsocOtherPartySeparator"/>
    <w:rsid w:val="00B91DD6"/>
    <w:rPr>
      <w:rFonts w:eastAsia="Times New Roman" w:cs="Times New Roman"/>
      <w:szCs w:val="20"/>
      <w:lang w:val="en-CA" w:eastAsia="en-CA"/>
    </w:rPr>
  </w:style>
  <w:style w:type="paragraph" w:customStyle="1" w:styleId="SCCBanSummary">
    <w:name w:val="SCC.BanSummary"/>
    <w:basedOn w:val="Normal"/>
    <w:next w:val="Normal"/>
    <w:rsid w:val="00B91DD6"/>
    <w:pPr>
      <w:jc w:val="right"/>
    </w:pPr>
    <w:rPr>
      <w:rFonts w:eastAsia="Times New Roman" w:cs="Times New Roman"/>
      <w:b/>
      <w:szCs w:val="20"/>
      <w:lang w:eastAsia="en-CA"/>
    </w:rPr>
  </w:style>
  <w:style w:type="paragraph" w:customStyle="1" w:styleId="SCCItalic">
    <w:name w:val="SCC.Italic"/>
    <w:basedOn w:val="SCCNormalDoubleSpacing"/>
    <w:next w:val="SCCNormalDoubleSpacing"/>
    <w:rsid w:val="00B91DD6"/>
    <w:pPr>
      <w:tabs>
        <w:tab w:val="left" w:pos="1168"/>
      </w:tabs>
    </w:pPr>
    <w:rPr>
      <w:i/>
    </w:rPr>
  </w:style>
  <w:style w:type="paragraph" w:customStyle="1" w:styleId="SCCPartyRole">
    <w:name w:val="SCC.PartyRole"/>
    <w:basedOn w:val="SCCNormalDoubleSpacing"/>
    <w:next w:val="SCCNormalDoubleSpacing"/>
    <w:link w:val="SCCPartyRoleChar"/>
    <w:rsid w:val="00B91DD6"/>
    <w:pPr>
      <w:tabs>
        <w:tab w:val="left" w:pos="1168"/>
      </w:tabs>
    </w:pPr>
  </w:style>
  <w:style w:type="character" w:customStyle="1" w:styleId="SCCPartyRoleChar">
    <w:name w:val="SCC.PartyRole Char"/>
    <w:basedOn w:val="SCCNormalDoubleSpacingChar"/>
    <w:link w:val="SCCPartyRole"/>
    <w:rsid w:val="00B91DD6"/>
    <w:rPr>
      <w:rFonts w:eastAsia="Times New Roman" w:cs="Times New Roman"/>
      <w:szCs w:val="20"/>
      <w:lang w:val="en-CA" w:eastAsia="en-CA"/>
    </w:rPr>
  </w:style>
  <w:style w:type="paragraph" w:customStyle="1" w:styleId="SCCLsocLastPartyInRole">
    <w:name w:val="SCC.Lsoc.LastPartyInRole"/>
    <w:basedOn w:val="Normal"/>
    <w:next w:val="Normal"/>
    <w:link w:val="SCCLsocLastPartyInRoleChar"/>
    <w:qFormat/>
    <w:rsid w:val="00B91DD6"/>
    <w:pPr>
      <w:tabs>
        <w:tab w:val="right" w:pos="8222"/>
      </w:tabs>
      <w:spacing w:after="720"/>
    </w:pPr>
    <w:rPr>
      <w:rFonts w:eastAsia="Times New Roman" w:cs="Times New Roman"/>
      <w:b/>
      <w:szCs w:val="20"/>
      <w:lang w:eastAsia="en-CA"/>
    </w:rPr>
  </w:style>
  <w:style w:type="character" w:customStyle="1" w:styleId="SCCLsocLastPartyInRoleChar">
    <w:name w:val="SCC.Lsoc.LastPartyInRole Char"/>
    <w:basedOn w:val="SCCLsocPartyChar"/>
    <w:link w:val="SCCLsocLastPartyInRole"/>
    <w:rsid w:val="00B91DD6"/>
    <w:rPr>
      <w:rFonts w:eastAsia="Times New Roman" w:cs="Times New Roman"/>
      <w:b/>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anlii.org/en/bc/bcsc/doc/2011/2011bcsc1210/2011bcsc1210.html" TargetMode="External"/><Relationship Id="rId117" Type="http://schemas.openxmlformats.org/officeDocument/2006/relationships/footer" Target="footer10.xml"/><Relationship Id="rId21" Type="http://schemas.openxmlformats.org/officeDocument/2006/relationships/footer" Target="footer6.xml"/><Relationship Id="rId42" Type="http://schemas.openxmlformats.org/officeDocument/2006/relationships/hyperlink" Target="http://www.canlii.org/en/bc/bcsc/doc/2013/2013bcsc1859/2013bcsc1859.html" TargetMode="External"/><Relationship Id="rId47" Type="http://schemas.openxmlformats.org/officeDocument/2006/relationships/hyperlink" Target="http://www.canlii.org/en/on/onsc/doc/2013/2013onsc1428/2013onsc1428.html" TargetMode="External"/><Relationship Id="rId63" Type="http://schemas.openxmlformats.org/officeDocument/2006/relationships/hyperlink" Target="http://canlii.ca/t/fzlqg" TargetMode="External"/><Relationship Id="rId68" Type="http://schemas.openxmlformats.org/officeDocument/2006/relationships/hyperlink" Target="http://www.canlii.org/en/mb/mbca/doc/2014/2014mbca59/2014mbca59.html" TargetMode="External"/><Relationship Id="rId84" Type="http://schemas.openxmlformats.org/officeDocument/2006/relationships/hyperlink" Target="http://www.canlii.org/en/pe/pesctd/doc/2013/2013pesc7/2013pesc7.html" TargetMode="External"/><Relationship Id="rId89" Type="http://schemas.openxmlformats.org/officeDocument/2006/relationships/hyperlink" Target="http://www.canlii.org/en/pe/pescad/doc/2014/2014peca15/2014peca15.html" TargetMode="External"/><Relationship Id="rId112" Type="http://schemas.openxmlformats.org/officeDocument/2006/relationships/header" Target="header8.xml"/><Relationship Id="rId133" Type="http://schemas.openxmlformats.org/officeDocument/2006/relationships/footer" Target="footer17.xml"/><Relationship Id="rId138" Type="http://schemas.openxmlformats.org/officeDocument/2006/relationships/header" Target="header21.xml"/><Relationship Id="rId154" Type="http://schemas.openxmlformats.org/officeDocument/2006/relationships/header" Target="header28.xml"/><Relationship Id="rId159" Type="http://schemas.openxmlformats.org/officeDocument/2006/relationships/footer" Target="footer30.xml"/><Relationship Id="rId16" Type="http://schemas.openxmlformats.org/officeDocument/2006/relationships/header" Target="header4.xml"/><Relationship Id="rId107" Type="http://schemas.openxmlformats.org/officeDocument/2006/relationships/hyperlink" Target="http://canlii.ca/t/g8r04" TargetMode="External"/><Relationship Id="rId11" Type="http://schemas.openxmlformats.org/officeDocument/2006/relationships/header" Target="header2.xml"/><Relationship Id="rId32" Type="http://schemas.openxmlformats.org/officeDocument/2006/relationships/hyperlink" Target="http://canlii.ca/t/g34rf" TargetMode="External"/><Relationship Id="rId37" Type="http://schemas.openxmlformats.org/officeDocument/2006/relationships/hyperlink" Target="http://www.canlii.org/en/ca/fca/doc/2014/2014fca106/2014fca106.html" TargetMode="External"/><Relationship Id="rId53" Type="http://schemas.openxmlformats.org/officeDocument/2006/relationships/hyperlink" Target="http://canlii.ca/t/ftkdr" TargetMode="External"/><Relationship Id="rId58" Type="http://schemas.openxmlformats.org/officeDocument/2006/relationships/hyperlink" Target="http://www.canlii.org/fr/qc/qcca/doc/2014/2014qcca1068/2014qcca1068.html" TargetMode="External"/><Relationship Id="rId74" Type="http://schemas.openxmlformats.org/officeDocument/2006/relationships/hyperlink" Target="http://canlii.ca/t/g7g3p" TargetMode="External"/><Relationship Id="rId79" Type="http://schemas.openxmlformats.org/officeDocument/2006/relationships/hyperlink" Target="http://canlii.ca/t/g7g3p" TargetMode="External"/><Relationship Id="rId102" Type="http://schemas.openxmlformats.org/officeDocument/2006/relationships/hyperlink" Target="http://www.canlii.org/en/bc/bcsc/doc/2010/2010bcsc914/2010bcsc914.html" TargetMode="External"/><Relationship Id="rId123" Type="http://schemas.openxmlformats.org/officeDocument/2006/relationships/footer" Target="footer13.xml"/><Relationship Id="rId128" Type="http://schemas.openxmlformats.org/officeDocument/2006/relationships/header" Target="header16.xml"/><Relationship Id="rId144" Type="http://schemas.openxmlformats.org/officeDocument/2006/relationships/header" Target="header23.xml"/><Relationship Id="rId149" Type="http://schemas.openxmlformats.org/officeDocument/2006/relationships/footer" Target="footer25.xml"/><Relationship Id="rId5" Type="http://schemas.openxmlformats.org/officeDocument/2006/relationships/footnotes" Target="footnotes.xml"/><Relationship Id="rId90" Type="http://schemas.openxmlformats.org/officeDocument/2006/relationships/hyperlink" Target="http://www.canlii.org/en/ca/fct/doc/2013/2013fc644/2013fc644.html" TargetMode="External"/><Relationship Id="rId95" Type="http://schemas.openxmlformats.org/officeDocument/2006/relationships/hyperlink" Target="http://www.canlii.org/fr/qc/qcca/doc/2014/2014qcca1314/2014qcca1314.html" TargetMode="External"/><Relationship Id="rId160" Type="http://schemas.openxmlformats.org/officeDocument/2006/relationships/header" Target="header31.xml"/><Relationship Id="rId22" Type="http://schemas.openxmlformats.org/officeDocument/2006/relationships/header" Target="header7.xml"/><Relationship Id="rId27" Type="http://schemas.openxmlformats.org/officeDocument/2006/relationships/hyperlink" Target="http://www.canlii.org/en/bc/bcca/doc/2013/2013bcca371/2013bcca371.html" TargetMode="External"/><Relationship Id="rId43" Type="http://schemas.openxmlformats.org/officeDocument/2006/relationships/hyperlink" Target="http://www.canlii.org/en/bc/bcca/doc/2014/2014bcca190/2014bcca190.html" TargetMode="External"/><Relationship Id="rId48" Type="http://schemas.openxmlformats.org/officeDocument/2006/relationships/hyperlink" Target="http://www.canlii.org/en/on/onca/doc/2014/2014onca391/2014onca391.html" TargetMode="External"/><Relationship Id="rId64" Type="http://schemas.openxmlformats.org/officeDocument/2006/relationships/hyperlink" Target="http://canlii.ca/t/g73px" TargetMode="External"/><Relationship Id="rId69" Type="http://schemas.openxmlformats.org/officeDocument/2006/relationships/hyperlink" Target="http://www.canlii.org/en/ab/laws/stat/rsa-2000-c-p-43/latest/rsa-2000-c-p-43.html" TargetMode="External"/><Relationship Id="rId113" Type="http://schemas.openxmlformats.org/officeDocument/2006/relationships/header" Target="header9.xml"/><Relationship Id="rId118" Type="http://schemas.openxmlformats.org/officeDocument/2006/relationships/header" Target="header11.xml"/><Relationship Id="rId134" Type="http://schemas.openxmlformats.org/officeDocument/2006/relationships/footer" Target="footer18.xml"/><Relationship Id="rId139" Type="http://schemas.openxmlformats.org/officeDocument/2006/relationships/footer" Target="footer20.xml"/><Relationship Id="rId80" Type="http://schemas.openxmlformats.org/officeDocument/2006/relationships/hyperlink" Target="http://www.canlii.org/en/on/onca/doc/2014/2014onca492/2014onca492.html" TargetMode="External"/><Relationship Id="rId85" Type="http://schemas.openxmlformats.org/officeDocument/2006/relationships/hyperlink" Target="http://www.canlii.org/en/pe/pescad/doc/2014/2014peca13/2014peca13.html" TargetMode="External"/><Relationship Id="rId150" Type="http://schemas.openxmlformats.org/officeDocument/2006/relationships/header" Target="header26.xml"/><Relationship Id="rId155" Type="http://schemas.openxmlformats.org/officeDocument/2006/relationships/footer" Target="footer28.xml"/><Relationship Id="rId12" Type="http://schemas.openxmlformats.org/officeDocument/2006/relationships/footer" Target="footer1.xml"/><Relationship Id="rId17" Type="http://schemas.openxmlformats.org/officeDocument/2006/relationships/footer" Target="footer4.xml"/><Relationship Id="rId33" Type="http://schemas.openxmlformats.org/officeDocument/2006/relationships/hyperlink" Target="http://canlii.ca/t/g90tv" TargetMode="External"/><Relationship Id="rId38" Type="http://schemas.openxmlformats.org/officeDocument/2006/relationships/hyperlink" Target="http://www.canlii.org/en/ca/laws/stat/sc-1992-c-20/latest/sc-1992-c-20.html" TargetMode="External"/><Relationship Id="rId59" Type="http://schemas.openxmlformats.org/officeDocument/2006/relationships/hyperlink" Target="http://www.canlii.org/fr/qc/qccs/doc/2012/2012qccs5600/2012qccs5600.html" TargetMode="External"/><Relationship Id="rId103" Type="http://schemas.openxmlformats.org/officeDocument/2006/relationships/hyperlink" Target="http://www.canlii.org/en/bc/bcca/doc/2014/2014bcca307/2014bcca307.html" TargetMode="External"/><Relationship Id="rId108" Type="http://schemas.openxmlformats.org/officeDocument/2006/relationships/hyperlink" Target="http://canlii.ca/t/g2zjp" TargetMode="External"/><Relationship Id="rId124" Type="http://schemas.openxmlformats.org/officeDocument/2006/relationships/header" Target="header14.xml"/><Relationship Id="rId129" Type="http://schemas.openxmlformats.org/officeDocument/2006/relationships/footer" Target="footer16.xml"/><Relationship Id="rId54" Type="http://schemas.openxmlformats.org/officeDocument/2006/relationships/hyperlink" Target="http://canlii.ca/t/g6x3r" TargetMode="External"/><Relationship Id="rId70" Type="http://schemas.openxmlformats.org/officeDocument/2006/relationships/hyperlink" Target="http://www.canlii.org/en/ab/laws/stat/rsa-2000-c-p-43/latest/rsa-2000-c-p-43.html" TargetMode="External"/><Relationship Id="rId75" Type="http://schemas.openxmlformats.org/officeDocument/2006/relationships/hyperlink" Target="http://www.canlii.org/en/ab/laws/stat/rsa-2000-c-p-43/latest/rsa-2000-c-p-43.html" TargetMode="External"/><Relationship Id="rId91" Type="http://schemas.openxmlformats.org/officeDocument/2006/relationships/hyperlink" Target="http://www.canlii.org/en/ca/fca/doc/2014/2014fca179/2014fca179.html?searchUrlHash=AAAAAQAGY2hvcHJhAAAAAAE" TargetMode="External"/><Relationship Id="rId96" Type="http://schemas.openxmlformats.org/officeDocument/2006/relationships/hyperlink" Target="http://www.canlii.org/fr/qc/qccs/doc/2012/2012qccs5629/2012qccs5629.html" TargetMode="External"/><Relationship Id="rId140" Type="http://schemas.openxmlformats.org/officeDocument/2006/relationships/footer" Target="footer21.xml"/><Relationship Id="rId145" Type="http://schemas.openxmlformats.org/officeDocument/2006/relationships/header" Target="header24.xml"/><Relationship Id="rId161" Type="http://schemas.openxmlformats.org/officeDocument/2006/relationships/footer" Target="footer3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yperlink" Target="http://canlii.ca/t/ftsss" TargetMode="External"/><Relationship Id="rId36" Type="http://schemas.openxmlformats.org/officeDocument/2006/relationships/hyperlink" Target="http://www.canlii.org/en/ca/fct/doc/2013/2013fc93/2013fc93.html" TargetMode="External"/><Relationship Id="rId49" Type="http://schemas.openxmlformats.org/officeDocument/2006/relationships/hyperlink" Target="http://www.canlii.org/en/on/onsc/doc/2013/2013onsc1428/2013onsc1428.html" TargetMode="External"/><Relationship Id="rId57" Type="http://schemas.openxmlformats.org/officeDocument/2006/relationships/hyperlink" Target="http://www.canlii.org/fr/qc/qccs/doc/2012/2012qccs3223/2012qccs3223.html" TargetMode="External"/><Relationship Id="rId106" Type="http://schemas.openxmlformats.org/officeDocument/2006/relationships/hyperlink" Target="http://canlii.ca/t/g2zjp" TargetMode="External"/><Relationship Id="rId114" Type="http://schemas.openxmlformats.org/officeDocument/2006/relationships/footer" Target="footer8.xml"/><Relationship Id="rId119" Type="http://schemas.openxmlformats.org/officeDocument/2006/relationships/header" Target="header12.xml"/><Relationship Id="rId127" Type="http://schemas.openxmlformats.org/officeDocument/2006/relationships/footer" Target="footer15.xml"/><Relationship Id="rId10" Type="http://schemas.openxmlformats.org/officeDocument/2006/relationships/header" Target="header1.xml"/><Relationship Id="rId31" Type="http://schemas.openxmlformats.org/officeDocument/2006/relationships/hyperlink" Target="http://canlii.ca/t/ftsss" TargetMode="External"/><Relationship Id="rId44" Type="http://schemas.openxmlformats.org/officeDocument/2006/relationships/hyperlink" Target="http://www.canlii.org/fr/qc/qccs/doc/2012/2012qccs3223/2012qccs3223.html" TargetMode="External"/><Relationship Id="rId52" Type="http://schemas.openxmlformats.org/officeDocument/2006/relationships/hyperlink" Target="http://canlii.ca/t/g6x3r" TargetMode="External"/><Relationship Id="rId60" Type="http://schemas.openxmlformats.org/officeDocument/2006/relationships/hyperlink" Target="http://www.canlii.org/fr/qc/qcca/doc/2014/2014qcca1114/2014qcca1114.html" TargetMode="External"/><Relationship Id="rId65" Type="http://schemas.openxmlformats.org/officeDocument/2006/relationships/hyperlink" Target="http://canlii.ca/t/fzlqg" TargetMode="External"/><Relationship Id="rId73" Type="http://schemas.openxmlformats.org/officeDocument/2006/relationships/hyperlink" Target="http://www.canlii.org/en/ab/laws/stat/rsa-2000-c-l-1/latest/rsa-2000-c-l-1.html" TargetMode="External"/><Relationship Id="rId78" Type="http://schemas.openxmlformats.org/officeDocument/2006/relationships/hyperlink" Target="http://www.canlii.org/en/ab/laws/stat/rsa-2000-c-l-1/latest/rsa-2000-c-l-1.html" TargetMode="External"/><Relationship Id="rId81" Type="http://schemas.openxmlformats.org/officeDocument/2006/relationships/hyperlink" Target="http://www.canlii.org/en/on/onca/doc/2014/2014onca492/2014onca492.html" TargetMode="External"/><Relationship Id="rId86" Type="http://schemas.openxmlformats.org/officeDocument/2006/relationships/hyperlink" Target="http://www.canlii.org/en/pe/pesctd/doc/2013/2013pesc26/2013pesc26.html" TargetMode="External"/><Relationship Id="rId94" Type="http://schemas.openxmlformats.org/officeDocument/2006/relationships/hyperlink" Target="http://www.canlii.org/fr/qc/qccs/doc/2012/2012qccs5629/2012qccs5629.html" TargetMode="External"/><Relationship Id="rId99" Type="http://schemas.openxmlformats.org/officeDocument/2006/relationships/hyperlink" Target="http://www.canlii.org/en/on/onca/doc/2014/2014onca515/2014onca515.html" TargetMode="External"/><Relationship Id="rId101" Type="http://schemas.openxmlformats.org/officeDocument/2006/relationships/hyperlink" Target="http://www.canlii.org/en/on/onca/doc/2014/2014onca515/2014onca515.html" TargetMode="External"/><Relationship Id="rId122" Type="http://schemas.openxmlformats.org/officeDocument/2006/relationships/header" Target="header13.xml"/><Relationship Id="rId130" Type="http://schemas.openxmlformats.org/officeDocument/2006/relationships/hyperlink" Target="http://www.scc-csc.ca/case-dossier/info/sum-som-fra.aspx?cas=35625" TargetMode="External"/><Relationship Id="rId135" Type="http://schemas.openxmlformats.org/officeDocument/2006/relationships/header" Target="header19.xml"/><Relationship Id="rId143" Type="http://schemas.openxmlformats.org/officeDocument/2006/relationships/hyperlink" Target="http://www.scc-csc.ca/case-dossier/info/sum-som-eng.aspx?cas=35423" TargetMode="External"/><Relationship Id="rId148" Type="http://schemas.openxmlformats.org/officeDocument/2006/relationships/header" Target="header25.xml"/><Relationship Id="rId151" Type="http://schemas.openxmlformats.org/officeDocument/2006/relationships/header" Target="header27.xml"/><Relationship Id="rId156" Type="http://schemas.openxmlformats.org/officeDocument/2006/relationships/header" Target="header29.xml"/><Relationship Id="rId4" Type="http://schemas.openxmlformats.org/officeDocument/2006/relationships/webSettings" Target="webSettings.xml"/><Relationship Id="rId9" Type="http://schemas.openxmlformats.org/officeDocument/2006/relationships/hyperlink" Target="http://www.scc-csc.ca" TargetMode="External"/><Relationship Id="rId13" Type="http://schemas.openxmlformats.org/officeDocument/2006/relationships/footer" Target="footer2.xml"/><Relationship Id="rId18" Type="http://schemas.openxmlformats.org/officeDocument/2006/relationships/header" Target="header5.xml"/><Relationship Id="rId39" Type="http://schemas.openxmlformats.org/officeDocument/2006/relationships/hyperlink" Target="http://www.canlii.org/en/bc/bcsc/doc/2013/2013bcsc1859/2013bcsc1859.html" TargetMode="External"/><Relationship Id="rId109" Type="http://schemas.openxmlformats.org/officeDocument/2006/relationships/hyperlink" Target="http://canlii.ca/t/g8r04" TargetMode="External"/><Relationship Id="rId34" Type="http://schemas.openxmlformats.org/officeDocument/2006/relationships/hyperlink" Target="http://www.canlii.org/en/ca/fct/doc/2013/2013fc93/2013fc93.html" TargetMode="External"/><Relationship Id="rId50" Type="http://schemas.openxmlformats.org/officeDocument/2006/relationships/hyperlink" Target="http://www.canlii.org/en/on/onca/doc/2014/2014onca391/2014onca391.html" TargetMode="External"/><Relationship Id="rId55" Type="http://schemas.openxmlformats.org/officeDocument/2006/relationships/hyperlink" Target="http://www.canlii.org/fr/qc/qccs/doc/2012/2012qccs3223/2012qccs3223.html" TargetMode="External"/><Relationship Id="rId76" Type="http://schemas.openxmlformats.org/officeDocument/2006/relationships/hyperlink" Target="http://www.canlii.org/en/ab/laws/stat/rsa-2000-c-p-43/latest/rsa-2000-c-p-43.html" TargetMode="External"/><Relationship Id="rId97" Type="http://schemas.openxmlformats.org/officeDocument/2006/relationships/hyperlink" Target="http://www.canlii.org/fr/qc/qcca/doc/2014/2014qcca1314/2014qcca1314.html" TargetMode="External"/><Relationship Id="rId104" Type="http://schemas.openxmlformats.org/officeDocument/2006/relationships/hyperlink" Target="http://www.canlii.org/en/bc/bcsc/doc/2010/2010bcsc914/2010bcsc914.html" TargetMode="External"/><Relationship Id="rId120" Type="http://schemas.openxmlformats.org/officeDocument/2006/relationships/footer" Target="footer11.xml"/><Relationship Id="rId125" Type="http://schemas.openxmlformats.org/officeDocument/2006/relationships/header" Target="header15.xml"/><Relationship Id="rId141" Type="http://schemas.openxmlformats.org/officeDocument/2006/relationships/header" Target="header22.xml"/><Relationship Id="rId146" Type="http://schemas.openxmlformats.org/officeDocument/2006/relationships/footer" Target="footer23.xml"/><Relationship Id="rId7" Type="http://schemas.openxmlformats.org/officeDocument/2006/relationships/image" Target="media/image1.wmf"/><Relationship Id="rId71" Type="http://schemas.openxmlformats.org/officeDocument/2006/relationships/hyperlink" Target="http://www.canlii.org/en/ab/laws/stat/rsa-2000-c-p-43/latest/rsa-2000-c-p-43.html" TargetMode="External"/><Relationship Id="rId92" Type="http://schemas.openxmlformats.org/officeDocument/2006/relationships/hyperlink" Target="http://www.canlii.org/en/ca/fct/doc/2013/2013fc644/2013fc644.html" TargetMode="External"/><Relationship Id="rId16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canlii.ca/t/g34rf" TargetMode="External"/><Relationship Id="rId24" Type="http://schemas.openxmlformats.org/officeDocument/2006/relationships/hyperlink" Target="http://www.canlii.org/en/bc/bcsc/doc/2011/2011bcsc1210/2011bcsc1210.html" TargetMode="External"/><Relationship Id="rId40" Type="http://schemas.openxmlformats.org/officeDocument/2006/relationships/hyperlink" Target="http://www.canlii.org/en/bc/bcca/doc/2014/2014bcca190/2014bcca190.html" TargetMode="External"/><Relationship Id="rId45" Type="http://schemas.openxmlformats.org/officeDocument/2006/relationships/hyperlink" Target="http://www.canlii.org/fr/qc/qccs/doc/2012/2012qccs3223/2012qccs3223.html" TargetMode="External"/><Relationship Id="rId66" Type="http://schemas.openxmlformats.org/officeDocument/2006/relationships/hyperlink" Target="http://canlii.ca/t/g73px" TargetMode="External"/><Relationship Id="rId87" Type="http://schemas.openxmlformats.org/officeDocument/2006/relationships/hyperlink" Target="http://www.canlii.org/en/pe/pescad/doc/2014/2014peca15/2014peca15.html" TargetMode="External"/><Relationship Id="rId110" Type="http://schemas.openxmlformats.org/officeDocument/2006/relationships/hyperlink" Target="http://www.canlii.org/fr/qc/qcca/doc/2014/2014qcca1744/2014qcca1744.html?searchUrlHash=AAAAAQAXRnLDqWNoZXR0ZSBjb25zdHJ1Y3Rpb24AAAAAAQ" TargetMode="External"/><Relationship Id="rId115" Type="http://schemas.openxmlformats.org/officeDocument/2006/relationships/footer" Target="footer9.xml"/><Relationship Id="rId131" Type="http://schemas.openxmlformats.org/officeDocument/2006/relationships/header" Target="header17.xml"/><Relationship Id="rId136" Type="http://schemas.openxmlformats.org/officeDocument/2006/relationships/footer" Target="footer19.xml"/><Relationship Id="rId157" Type="http://schemas.openxmlformats.org/officeDocument/2006/relationships/footer" Target="footer29.xml"/><Relationship Id="rId61" Type="http://schemas.openxmlformats.org/officeDocument/2006/relationships/hyperlink" Target="http://www.canlii.org/fr/qc/qccs/doc/2012/2012qccs5600/2012qccs5600.html" TargetMode="External"/><Relationship Id="rId82" Type="http://schemas.openxmlformats.org/officeDocument/2006/relationships/hyperlink" Target="http://www.canlii.org/en/pe/pesctd/doc/2013/2013pesc7/2013pesc7.html" TargetMode="External"/><Relationship Id="rId152" Type="http://schemas.openxmlformats.org/officeDocument/2006/relationships/footer" Target="footer26.xml"/><Relationship Id="rId19" Type="http://schemas.openxmlformats.org/officeDocument/2006/relationships/footer" Target="footer5.xml"/><Relationship Id="rId14" Type="http://schemas.openxmlformats.org/officeDocument/2006/relationships/header" Target="header3.xml"/><Relationship Id="rId30" Type="http://schemas.openxmlformats.org/officeDocument/2006/relationships/hyperlink" Target="http://canlii.ca/t/g90tv" TargetMode="External"/><Relationship Id="rId35" Type="http://schemas.openxmlformats.org/officeDocument/2006/relationships/hyperlink" Target="http://www.canlii.org/en/ca/fca/doc/2014/2014fca106/2014fca106.html" TargetMode="External"/><Relationship Id="rId56" Type="http://schemas.openxmlformats.org/officeDocument/2006/relationships/hyperlink" Target="http://www.canlii.org/fr/qc/qcca/doc/2014/2014qcca1068/2014qcca1068.html" TargetMode="External"/><Relationship Id="rId77" Type="http://schemas.openxmlformats.org/officeDocument/2006/relationships/hyperlink" Target="http://www.canlii.org/en/ab/laws/stat/rsa-2000-c-l-1/latest/rsa-2000-c-l-1.html" TargetMode="External"/><Relationship Id="rId100" Type="http://schemas.openxmlformats.org/officeDocument/2006/relationships/hyperlink" Target="http://www.canlii.org/en/on/onsc/doc/2014/2014onsc370/2014onsc370.html" TargetMode="External"/><Relationship Id="rId105" Type="http://schemas.openxmlformats.org/officeDocument/2006/relationships/hyperlink" Target="http://www.canlii.org/en/bc/bcca/doc/2014/2014bcca307/2014bcca307.html" TargetMode="External"/><Relationship Id="rId126" Type="http://schemas.openxmlformats.org/officeDocument/2006/relationships/footer" Target="footer14.xml"/><Relationship Id="rId147" Type="http://schemas.openxmlformats.org/officeDocument/2006/relationships/footer" Target="footer24.xml"/><Relationship Id="rId8" Type="http://schemas.openxmlformats.org/officeDocument/2006/relationships/hyperlink" Target="http://www.scc-csc.ca" TargetMode="External"/><Relationship Id="rId51" Type="http://schemas.openxmlformats.org/officeDocument/2006/relationships/hyperlink" Target="http://canlii.ca/t/ftkdr" TargetMode="External"/><Relationship Id="rId72" Type="http://schemas.openxmlformats.org/officeDocument/2006/relationships/hyperlink" Target="http://www.canlii.org/en/ab/laws/stat/rsa-2000-c-l-1/latest/rsa-2000-c-l-1.html" TargetMode="External"/><Relationship Id="rId93" Type="http://schemas.openxmlformats.org/officeDocument/2006/relationships/hyperlink" Target="http://www.canlii.org/en/ca/fca/doc/2014/2014fca179/2014fca179.html?searchUrlHash=AAAAAQAGY2hvcHJhAAAAAAE" TargetMode="External"/><Relationship Id="rId98" Type="http://schemas.openxmlformats.org/officeDocument/2006/relationships/hyperlink" Target="http://www.canlii.org/en/on/onsc/doc/2014/2014onsc370/2014onsc370.html" TargetMode="External"/><Relationship Id="rId121" Type="http://schemas.openxmlformats.org/officeDocument/2006/relationships/footer" Target="footer12.xml"/><Relationship Id="rId142" Type="http://schemas.openxmlformats.org/officeDocument/2006/relationships/footer" Target="footer22.xml"/><Relationship Id="rId163"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www.canlii.org/en/bc/bcca/doc/2013/2013bcca371/2013bcca371.html" TargetMode="External"/><Relationship Id="rId46" Type="http://schemas.openxmlformats.org/officeDocument/2006/relationships/hyperlink" Target="http://www.canlii.org/fr/qc/qcca/doc/2014/2014qcca1068/2014qcca1068.html" TargetMode="External"/><Relationship Id="rId67" Type="http://schemas.openxmlformats.org/officeDocument/2006/relationships/hyperlink" Target="http://www.canlii.org/en/mb/mbca/doc/2014/2014mbca59/2014mbca59.html" TargetMode="External"/><Relationship Id="rId116" Type="http://schemas.openxmlformats.org/officeDocument/2006/relationships/header" Target="header10.xml"/><Relationship Id="rId137" Type="http://schemas.openxmlformats.org/officeDocument/2006/relationships/header" Target="header20.xml"/><Relationship Id="rId158" Type="http://schemas.openxmlformats.org/officeDocument/2006/relationships/header" Target="header30.xml"/><Relationship Id="rId20" Type="http://schemas.openxmlformats.org/officeDocument/2006/relationships/header" Target="header6.xml"/><Relationship Id="rId41" Type="http://schemas.openxmlformats.org/officeDocument/2006/relationships/hyperlink" Target="http://www.canlii.org/en/ca/laws/stat/sc-1992-c-20/latest/sc-1992-c-20.html" TargetMode="External"/><Relationship Id="rId62" Type="http://schemas.openxmlformats.org/officeDocument/2006/relationships/hyperlink" Target="http://www.canlii.org/fr/qc/qcca/doc/2014/2014qcca1114/2014qcca1114.html" TargetMode="External"/><Relationship Id="rId83" Type="http://schemas.openxmlformats.org/officeDocument/2006/relationships/hyperlink" Target="http://www.canlii.org/en/pe/pescad/doc/2014/2014peca13/2014peca13.html" TargetMode="External"/><Relationship Id="rId88" Type="http://schemas.openxmlformats.org/officeDocument/2006/relationships/hyperlink" Target="http://www.canlii.org/en/pe/pesctd/doc/2013/2013pesc26/2013pesc26.html" TargetMode="External"/><Relationship Id="rId111" Type="http://schemas.openxmlformats.org/officeDocument/2006/relationships/hyperlink" Target="http://www.canlii.org/fr/qc/qcca/doc/2014/2014qcca1744/2014qcca1744.html?searchUrlHash=AAAAAQAXRnLDqWNoZXR0ZSBjb25zdHJ1Y3Rpb24AAAAAAQ" TargetMode="External"/><Relationship Id="rId132" Type="http://schemas.openxmlformats.org/officeDocument/2006/relationships/header" Target="header18.xml"/><Relationship Id="rId153" Type="http://schemas.openxmlformats.org/officeDocument/2006/relationships/footer" Target="footer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112</Pages>
  <Words>44906</Words>
  <Characters>255968</Characters>
  <Application>Microsoft Office Word</Application>
  <DocSecurity>0</DocSecurity>
  <Lines>2133</Lines>
  <Paragraphs>600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300274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2015-01-26T17:29:00Z</dcterms:created>
  <dcterms:modified xsi:type="dcterms:W3CDTF">2015-11-26T21:27:00Z</dcterms:modified>
</cp:coreProperties>
</file>