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07FF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07F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07FF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07F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07FF8" w:rsidTr="002E5576">
        <w:tc>
          <w:tcPr>
            <w:tcW w:w="4518" w:type="dxa"/>
          </w:tcPr>
          <w:p w:rsidR="00BF25F3" w:rsidRPr="002E2327" w:rsidRDefault="00E94B3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94B3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07FF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07FF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007FF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007FF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5025E"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13</w:t>
      </w:r>
      <w:r w:rsidR="00440E24" w:rsidRPr="00675479">
        <w:rPr>
          <w:lang w:val="fr-CA"/>
        </w:rPr>
        <w:t>, 201</w:t>
      </w:r>
      <w:r w:rsidR="00020DC3">
        <w:rPr>
          <w:lang w:val="fr-CA"/>
        </w:rPr>
        <w:t>5</w:t>
      </w:r>
      <w:r w:rsidR="00F0068D" w:rsidRPr="00675479">
        <w:rPr>
          <w:lang w:val="fr-CA"/>
        </w:rPr>
        <w:tab/>
      </w:r>
      <w:r w:rsidR="003332E2">
        <w:rPr>
          <w:lang w:val="fr-CA"/>
        </w:rPr>
        <w:t>283</w:t>
      </w:r>
      <w:r w:rsidR="00F0068D" w:rsidRPr="00675479">
        <w:rPr>
          <w:lang w:val="fr-CA"/>
        </w:rPr>
        <w:t xml:space="preserve"> - </w:t>
      </w:r>
      <w:r w:rsidR="002C7E9B">
        <w:rPr>
          <w:lang w:val="fr-CA"/>
        </w:rPr>
        <w:t>315</w:t>
      </w:r>
      <w:r w:rsidR="00440E24" w:rsidRPr="00675479">
        <w:rPr>
          <w:lang w:val="fr-CA"/>
        </w:rPr>
        <w:tab/>
      </w:r>
      <w:r w:rsidR="00440E24" w:rsidRPr="002E2327">
        <w:rPr>
          <w:lang w:val="fr-CA"/>
        </w:rPr>
        <w:t>Le</w:t>
      </w:r>
      <w:r w:rsidR="00C73D06">
        <w:rPr>
          <w:lang w:val="fr-CA"/>
        </w:rPr>
        <w:t xml:space="preserve"> </w:t>
      </w:r>
      <w:r>
        <w:rPr>
          <w:lang w:val="fr-CA"/>
        </w:rPr>
        <w:t>13</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45025E" w:rsidRDefault="00440E24" w:rsidP="00440E24">
      <w:pPr>
        <w:pBdr>
          <w:bottom w:val="single" w:sz="6" w:space="1" w:color="auto"/>
        </w:pBdr>
        <w:tabs>
          <w:tab w:val="right" w:pos="9360"/>
        </w:tabs>
        <w:rPr>
          <w:sz w:val="18"/>
          <w:szCs w:val="18"/>
          <w:lang w:val="fr-CA"/>
        </w:rPr>
      </w:pPr>
      <w:r w:rsidRPr="0045025E">
        <w:rPr>
          <w:sz w:val="18"/>
          <w:szCs w:val="18"/>
          <w:lang w:val="fr-CA"/>
        </w:rPr>
        <w:t>© Supreme Court of Canada (201</w:t>
      </w:r>
      <w:r w:rsidR="00020DC3" w:rsidRPr="0045025E">
        <w:rPr>
          <w:sz w:val="18"/>
          <w:szCs w:val="18"/>
          <w:lang w:val="fr-CA"/>
        </w:rPr>
        <w:t>5</w:t>
      </w:r>
      <w:r w:rsidRPr="0045025E">
        <w:rPr>
          <w:sz w:val="18"/>
          <w:szCs w:val="18"/>
          <w:lang w:val="fr-CA"/>
        </w:rPr>
        <w:t>)</w:t>
      </w:r>
      <w:r w:rsidRPr="0045025E">
        <w:rPr>
          <w:sz w:val="18"/>
          <w:szCs w:val="18"/>
          <w:lang w:val="fr-CA"/>
        </w:rPr>
        <w:tab/>
        <w:t>© Cour suprême du Canada (201</w:t>
      </w:r>
      <w:r w:rsidR="00020DC3" w:rsidRPr="0045025E">
        <w:rPr>
          <w:sz w:val="18"/>
          <w:szCs w:val="18"/>
          <w:lang w:val="fr-CA"/>
        </w:rPr>
        <w:t>5</w:t>
      </w:r>
      <w:r w:rsidRPr="0045025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07FF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Taxation of costs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E17DB8">
            <w:pPr>
              <w:tabs>
                <w:tab w:val="right" w:pos="9360"/>
              </w:tabs>
              <w:rPr>
                <w:rFonts w:cs="Times New Roman"/>
                <w:sz w:val="20"/>
                <w:szCs w:val="20"/>
              </w:rPr>
            </w:pPr>
          </w:p>
        </w:tc>
        <w:tc>
          <w:tcPr>
            <w:tcW w:w="1980" w:type="dxa"/>
          </w:tcPr>
          <w:p w:rsidR="0095096B" w:rsidRPr="002E2327" w:rsidRDefault="003332E2" w:rsidP="0095096B">
            <w:pPr>
              <w:jc w:val="center"/>
              <w:rPr>
                <w:rFonts w:cs="Times New Roman"/>
                <w:sz w:val="20"/>
                <w:szCs w:val="20"/>
              </w:rPr>
            </w:pPr>
            <w:r>
              <w:rPr>
                <w:rFonts w:cs="Times New Roman"/>
                <w:sz w:val="20"/>
                <w:szCs w:val="20"/>
              </w:rPr>
              <w:t xml:space="preserve">283 </w:t>
            </w:r>
            <w:r w:rsidR="00E94B3C" w:rsidRPr="002E2327">
              <w:rPr>
                <w:rFonts w:cs="Times New Roman"/>
                <w:sz w:val="20"/>
                <w:szCs w:val="20"/>
              </w:rPr>
              <w:fldChar w:fldCharType="begin"/>
            </w:r>
            <w:r w:rsidR="0095096B" w:rsidRPr="002E2327">
              <w:rPr>
                <w:rFonts w:cs="Times New Roman"/>
                <w:sz w:val="20"/>
                <w:szCs w:val="20"/>
              </w:rPr>
              <w:instrText xml:space="preserve"> SEQ CHAPTER \h \r 1</w:instrText>
            </w:r>
            <w:r w:rsidR="00E94B3C" w:rsidRPr="002E2327">
              <w:rPr>
                <w:rFonts w:cs="Times New Roman"/>
                <w:sz w:val="20"/>
                <w:szCs w:val="20"/>
              </w:rPr>
              <w:fldChar w:fldCharType="end"/>
            </w:r>
            <w:r w:rsidR="0095096B" w:rsidRPr="002E2327">
              <w:rPr>
                <w:rFonts w:cs="Times New Roman"/>
                <w:sz w:val="20"/>
                <w:szCs w:val="20"/>
              </w:rPr>
              <w:t>-</w:t>
            </w:r>
            <w:r w:rsidR="00974698">
              <w:rPr>
                <w:rFonts w:cs="Times New Roman"/>
                <w:sz w:val="20"/>
                <w:szCs w:val="20"/>
              </w:rPr>
              <w:t xml:space="preserve"> 284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74698" w:rsidP="0095096B">
            <w:pPr>
              <w:jc w:val="center"/>
              <w:rPr>
                <w:rFonts w:cs="Times New Roman"/>
                <w:sz w:val="20"/>
                <w:szCs w:val="20"/>
              </w:rPr>
            </w:pPr>
            <w:r>
              <w:rPr>
                <w:rFonts w:cs="Times New Roman"/>
                <w:sz w:val="20"/>
                <w:szCs w:val="20"/>
              </w:rPr>
              <w:t>285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A476C" w:rsidP="0095096B">
            <w:pPr>
              <w:jc w:val="center"/>
              <w:rPr>
                <w:rFonts w:cs="Times New Roman"/>
                <w:sz w:val="20"/>
                <w:szCs w:val="20"/>
              </w:rPr>
            </w:pPr>
            <w:r>
              <w:rPr>
                <w:rFonts w:cs="Times New Roman"/>
                <w:sz w:val="20"/>
                <w:szCs w:val="20"/>
              </w:rPr>
              <w:t xml:space="preserve">286 </w:t>
            </w:r>
            <w:r w:rsidR="0095096B" w:rsidRPr="002E2327">
              <w:rPr>
                <w:rFonts w:cs="Times New Roman"/>
                <w:sz w:val="20"/>
                <w:szCs w:val="20"/>
              </w:rPr>
              <w:t>-</w:t>
            </w:r>
            <w:r w:rsidR="00C603FA">
              <w:rPr>
                <w:rFonts w:cs="Times New Roman"/>
                <w:sz w:val="20"/>
                <w:szCs w:val="20"/>
              </w:rPr>
              <w:t xml:space="preserve"> 291</w:t>
            </w:r>
          </w:p>
          <w:p w:rsidR="0095096B" w:rsidRPr="002E2327" w:rsidRDefault="0095096B" w:rsidP="0095096B">
            <w:pPr>
              <w:jc w:val="center"/>
              <w:rPr>
                <w:rFonts w:cs="Times New Roman"/>
                <w:sz w:val="20"/>
                <w:szCs w:val="20"/>
              </w:rPr>
            </w:pPr>
          </w:p>
          <w:p w:rsidR="0095096B" w:rsidRPr="002E2327" w:rsidRDefault="00C603FA" w:rsidP="0095096B">
            <w:pPr>
              <w:jc w:val="center"/>
              <w:rPr>
                <w:rFonts w:cs="Times New Roman"/>
                <w:sz w:val="20"/>
                <w:szCs w:val="20"/>
              </w:rPr>
            </w:pPr>
            <w:r>
              <w:rPr>
                <w:rFonts w:cs="Times New Roman"/>
                <w:sz w:val="20"/>
                <w:szCs w:val="20"/>
              </w:rPr>
              <w:t xml:space="preserve">292 </w:t>
            </w:r>
            <w:r w:rsidR="0095096B" w:rsidRPr="002E2327">
              <w:rPr>
                <w:rFonts w:cs="Times New Roman"/>
                <w:sz w:val="20"/>
                <w:szCs w:val="20"/>
              </w:rPr>
              <w:t>-</w:t>
            </w:r>
            <w:r>
              <w:rPr>
                <w:rFonts w:cs="Times New Roman"/>
                <w:sz w:val="20"/>
                <w:szCs w:val="20"/>
              </w:rPr>
              <w:t xml:space="preserve"> 298</w:t>
            </w:r>
          </w:p>
          <w:p w:rsidR="0095096B" w:rsidRPr="002E2327" w:rsidRDefault="0095096B" w:rsidP="0095096B">
            <w:pPr>
              <w:jc w:val="center"/>
              <w:rPr>
                <w:rFonts w:cs="Times New Roman"/>
                <w:sz w:val="20"/>
                <w:szCs w:val="20"/>
              </w:rPr>
            </w:pPr>
          </w:p>
          <w:p w:rsidR="0095096B" w:rsidRPr="002E2327" w:rsidRDefault="00C603FA" w:rsidP="0095096B">
            <w:pPr>
              <w:jc w:val="center"/>
              <w:rPr>
                <w:rFonts w:cs="Times New Roman"/>
                <w:sz w:val="20"/>
                <w:szCs w:val="20"/>
              </w:rPr>
            </w:pPr>
            <w:r>
              <w:rPr>
                <w:rFonts w:cs="Times New Roman"/>
                <w:sz w:val="20"/>
                <w:szCs w:val="20"/>
              </w:rPr>
              <w:t>299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03FA" w:rsidP="0095096B">
            <w:pPr>
              <w:jc w:val="center"/>
              <w:rPr>
                <w:rFonts w:cs="Times New Roman"/>
                <w:sz w:val="20"/>
                <w:szCs w:val="20"/>
              </w:rPr>
            </w:pPr>
            <w:r>
              <w:rPr>
                <w:rFonts w:cs="Times New Roman"/>
                <w:sz w:val="20"/>
                <w:szCs w:val="20"/>
              </w:rPr>
              <w:t xml:space="preserve">300 </w:t>
            </w:r>
            <w:r w:rsidR="0095096B" w:rsidRPr="002E2327">
              <w:rPr>
                <w:rFonts w:cs="Times New Roman"/>
                <w:sz w:val="20"/>
                <w:szCs w:val="20"/>
              </w:rPr>
              <w:t>-</w:t>
            </w:r>
            <w:r>
              <w:rPr>
                <w:rFonts w:cs="Times New Roman"/>
                <w:sz w:val="20"/>
                <w:szCs w:val="20"/>
              </w:rPr>
              <w:t xml:space="preserve"> </w:t>
            </w:r>
            <w:r w:rsidR="00681634">
              <w:rPr>
                <w:rFonts w:cs="Times New Roman"/>
                <w:sz w:val="20"/>
                <w:szCs w:val="20"/>
              </w:rPr>
              <w:t>303</w:t>
            </w:r>
          </w:p>
          <w:p w:rsidR="0095096B" w:rsidRDefault="0095096B" w:rsidP="0095096B">
            <w:pPr>
              <w:jc w:val="center"/>
              <w:rPr>
                <w:rFonts w:cs="Times New Roman"/>
                <w:sz w:val="20"/>
                <w:szCs w:val="20"/>
              </w:rPr>
            </w:pPr>
          </w:p>
          <w:p w:rsidR="0099249E" w:rsidRPr="002E2327" w:rsidRDefault="0099249E" w:rsidP="0095096B">
            <w:pPr>
              <w:jc w:val="center"/>
              <w:rPr>
                <w:rFonts w:cs="Times New Roman"/>
                <w:sz w:val="20"/>
                <w:szCs w:val="20"/>
              </w:rPr>
            </w:pPr>
          </w:p>
          <w:p w:rsidR="0095096B" w:rsidRPr="002E2327" w:rsidRDefault="00681634" w:rsidP="0095096B">
            <w:pPr>
              <w:jc w:val="center"/>
              <w:rPr>
                <w:rFonts w:cs="Times New Roman"/>
                <w:sz w:val="20"/>
                <w:szCs w:val="20"/>
              </w:rPr>
            </w:pPr>
            <w:r>
              <w:rPr>
                <w:rFonts w:cs="Times New Roman"/>
                <w:sz w:val="20"/>
                <w:szCs w:val="20"/>
              </w:rPr>
              <w:t xml:space="preserve">304 </w:t>
            </w:r>
            <w:r w:rsidR="0095096B" w:rsidRPr="002E2327">
              <w:rPr>
                <w:rFonts w:cs="Times New Roman"/>
                <w:sz w:val="20"/>
                <w:szCs w:val="20"/>
              </w:rPr>
              <w:t>-</w:t>
            </w:r>
            <w:r>
              <w:rPr>
                <w:rFonts w:cs="Times New Roman"/>
                <w:sz w:val="20"/>
                <w:szCs w:val="20"/>
              </w:rPr>
              <w:t xml:space="preserve"> </w:t>
            </w:r>
            <w:r w:rsidR="002C7E9B">
              <w:rPr>
                <w:rFonts w:cs="Times New Roman"/>
                <w:sz w:val="20"/>
                <w:szCs w:val="20"/>
              </w:rPr>
              <w:t>306</w:t>
            </w:r>
          </w:p>
          <w:p w:rsidR="0095096B" w:rsidRDefault="0095096B" w:rsidP="0095096B">
            <w:pPr>
              <w:jc w:val="center"/>
              <w:rPr>
                <w:rFonts w:cs="Times New Roman"/>
                <w:sz w:val="20"/>
                <w:szCs w:val="20"/>
              </w:rPr>
            </w:pPr>
          </w:p>
          <w:p w:rsidR="0099249E" w:rsidRPr="002E2327" w:rsidRDefault="0099249E" w:rsidP="0095096B">
            <w:pPr>
              <w:jc w:val="center"/>
              <w:rPr>
                <w:rFonts w:cs="Times New Roman"/>
                <w:sz w:val="20"/>
                <w:szCs w:val="20"/>
              </w:rPr>
            </w:pPr>
          </w:p>
          <w:p w:rsidR="0095096B" w:rsidRPr="002E2327" w:rsidRDefault="002C7E9B" w:rsidP="0095096B">
            <w:pPr>
              <w:jc w:val="center"/>
              <w:rPr>
                <w:rFonts w:cs="Times New Roman"/>
                <w:sz w:val="20"/>
                <w:szCs w:val="20"/>
              </w:rPr>
            </w:pPr>
            <w:r>
              <w:rPr>
                <w:rFonts w:cs="Times New Roman"/>
                <w:sz w:val="20"/>
                <w:szCs w:val="20"/>
              </w:rPr>
              <w:t xml:space="preserve">307 </w:t>
            </w:r>
            <w:r w:rsidR="0095096B" w:rsidRPr="002E2327">
              <w:rPr>
                <w:rFonts w:cs="Times New Roman"/>
                <w:sz w:val="20"/>
                <w:szCs w:val="20"/>
              </w:rPr>
              <w:t>-</w:t>
            </w:r>
            <w:r>
              <w:rPr>
                <w:rFonts w:cs="Times New Roman"/>
                <w:sz w:val="20"/>
                <w:szCs w:val="20"/>
              </w:rPr>
              <w:t xml:space="preserve"> 313</w:t>
            </w:r>
          </w:p>
          <w:p w:rsidR="0095096B" w:rsidRPr="002E2327" w:rsidRDefault="0095096B" w:rsidP="0095096B">
            <w:pPr>
              <w:jc w:val="center"/>
              <w:rPr>
                <w:rFonts w:cs="Times New Roman"/>
                <w:sz w:val="20"/>
                <w:szCs w:val="20"/>
              </w:rPr>
            </w:pPr>
          </w:p>
          <w:p w:rsidR="0095096B" w:rsidRPr="002E2327" w:rsidRDefault="002C7E9B" w:rsidP="0095096B">
            <w:pPr>
              <w:jc w:val="center"/>
              <w:rPr>
                <w:rFonts w:cs="Times New Roman"/>
                <w:sz w:val="20"/>
                <w:szCs w:val="20"/>
              </w:rPr>
            </w:pPr>
            <w:r>
              <w:rPr>
                <w:rFonts w:cs="Times New Roman"/>
                <w:sz w:val="20"/>
                <w:szCs w:val="20"/>
              </w:rPr>
              <w:t xml:space="preserve">314 </w:t>
            </w:r>
            <w:r w:rsidR="0095096B" w:rsidRPr="002E2327">
              <w:rPr>
                <w:rFonts w:cs="Times New Roman"/>
                <w:sz w:val="20"/>
                <w:szCs w:val="20"/>
              </w:rPr>
              <w:t>-</w:t>
            </w:r>
            <w:r>
              <w:rPr>
                <w:rFonts w:cs="Times New Roman"/>
                <w:sz w:val="20"/>
                <w:szCs w:val="20"/>
              </w:rPr>
              <w:t xml:space="preserve"> 315</w:t>
            </w:r>
          </w:p>
          <w:p w:rsidR="00A87207" w:rsidRPr="002E2327" w:rsidRDefault="00A87207" w:rsidP="005A476C">
            <w:pPr>
              <w:jc w:val="center"/>
              <w:rPr>
                <w:rFonts w:cs="Times New Roman"/>
                <w:sz w:val="20"/>
                <w:szCs w:val="20"/>
              </w:rPr>
            </w:pPr>
          </w:p>
        </w:tc>
        <w:tc>
          <w:tcPr>
            <w:tcW w:w="3888" w:type="dxa"/>
          </w:tcPr>
          <w:p w:rsidR="0095096B" w:rsidRPr="002E2327" w:rsidRDefault="00E94B3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Taxation des dépens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E17DB8">
            <w:pPr>
              <w:tabs>
                <w:tab w:val="right" w:pos="9360"/>
              </w:tabs>
              <w:rPr>
                <w:rFonts w:cs="Times New Roman"/>
                <w:sz w:val="20"/>
                <w:szCs w:val="20"/>
                <w:lang w:val="fr-CA"/>
              </w:rPr>
            </w:pPr>
          </w:p>
        </w:tc>
      </w:tr>
    </w:tbl>
    <w:p w:rsidR="0095096B" w:rsidRPr="005A476C" w:rsidRDefault="0095096B" w:rsidP="0095096B">
      <w:pPr>
        <w:tabs>
          <w:tab w:val="right" w:pos="9360"/>
        </w:tabs>
        <w:rPr>
          <w:sz w:val="20"/>
          <w:szCs w:val="20"/>
          <w:lang w:val="fr-CA"/>
        </w:rPr>
      </w:pPr>
    </w:p>
    <w:p w:rsidR="005A476C" w:rsidRPr="005A476C" w:rsidRDefault="005A476C" w:rsidP="0095096B">
      <w:pPr>
        <w:tabs>
          <w:tab w:val="right" w:pos="9360"/>
        </w:tabs>
        <w:rPr>
          <w:sz w:val="20"/>
          <w:szCs w:val="20"/>
          <w:lang w:val="fr-CA"/>
        </w:rPr>
      </w:pPr>
    </w:p>
    <w:p w:rsidR="005A476C" w:rsidRPr="005A476C" w:rsidRDefault="005A476C" w:rsidP="0095096B">
      <w:pPr>
        <w:tabs>
          <w:tab w:val="right" w:pos="9360"/>
        </w:tabs>
        <w:rPr>
          <w:sz w:val="20"/>
          <w:szCs w:val="20"/>
          <w:lang w:val="fr-CA"/>
        </w:rPr>
      </w:pPr>
    </w:p>
    <w:p w:rsidR="005A476C" w:rsidRPr="005A476C" w:rsidRDefault="005A476C" w:rsidP="0095096B">
      <w:pPr>
        <w:tabs>
          <w:tab w:val="right" w:pos="9360"/>
        </w:tabs>
        <w:rPr>
          <w:sz w:val="20"/>
          <w:szCs w:val="20"/>
          <w:lang w:val="fr-CA"/>
        </w:rPr>
      </w:pPr>
    </w:p>
    <w:p w:rsidR="005A476C" w:rsidRPr="005A476C" w:rsidRDefault="005A476C"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007FF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82F24" w:rsidRPr="00007FF8" w:rsidTr="003B3977">
        <w:tc>
          <w:tcPr>
            <w:tcW w:w="4320" w:type="dxa"/>
            <w:shd w:val="clear" w:color="auto" w:fill="auto"/>
          </w:tcPr>
          <w:p w:rsidR="00C82F24" w:rsidRPr="00A935AA" w:rsidRDefault="00663AF2" w:rsidP="005F1ED8">
            <w:pPr>
              <w:rPr>
                <w:b/>
                <w:sz w:val="20"/>
                <w:szCs w:val="20"/>
              </w:rPr>
            </w:pPr>
            <w:r>
              <w:rPr>
                <w:b/>
                <w:sz w:val="20"/>
                <w:szCs w:val="20"/>
              </w:rPr>
              <w:t>Roch L</w:t>
            </w:r>
            <w:r w:rsidR="00C82F24">
              <w:rPr>
                <w:b/>
                <w:sz w:val="20"/>
                <w:szCs w:val="20"/>
              </w:rPr>
              <w:t>a</w:t>
            </w:r>
            <w:r>
              <w:rPr>
                <w:b/>
                <w:sz w:val="20"/>
                <w:szCs w:val="20"/>
              </w:rPr>
              <w:t>flamm</w:t>
            </w:r>
            <w:r w:rsidR="00C82F24">
              <w:rPr>
                <w:b/>
                <w:sz w:val="20"/>
                <w:szCs w:val="20"/>
              </w:rPr>
              <w:t>e</w:t>
            </w:r>
            <w:r>
              <w:rPr>
                <w:b/>
                <w:sz w:val="20"/>
                <w:szCs w:val="20"/>
              </w:rPr>
              <w:t xml:space="preserve"> </w:t>
            </w:r>
          </w:p>
          <w:p w:rsidR="00C82F24" w:rsidRPr="00A935AA" w:rsidRDefault="00C82F24" w:rsidP="005F1ED8">
            <w:pPr>
              <w:tabs>
                <w:tab w:val="left" w:pos="-1440"/>
                <w:tab w:val="left" w:pos="-720"/>
              </w:tabs>
              <w:rPr>
                <w:sz w:val="20"/>
                <w:szCs w:val="20"/>
              </w:rPr>
            </w:pPr>
            <w:r w:rsidRPr="00A935AA">
              <w:rPr>
                <w:sz w:val="20"/>
                <w:szCs w:val="20"/>
              </w:rPr>
              <w:tab/>
            </w:r>
            <w:r w:rsidR="00663AF2">
              <w:rPr>
                <w:sz w:val="20"/>
                <w:szCs w:val="20"/>
              </w:rPr>
              <w:t>Roch Laf</w:t>
            </w:r>
            <w:r>
              <w:rPr>
                <w:sz w:val="20"/>
                <w:szCs w:val="20"/>
              </w:rPr>
              <w:t>l</w:t>
            </w:r>
            <w:r w:rsidR="00663AF2">
              <w:rPr>
                <w:sz w:val="20"/>
                <w:szCs w:val="20"/>
              </w:rPr>
              <w:t>amm</w:t>
            </w:r>
            <w:r>
              <w:rPr>
                <w:sz w:val="20"/>
                <w:szCs w:val="20"/>
              </w:rPr>
              <w:t xml:space="preserve">e </w:t>
            </w:r>
          </w:p>
          <w:p w:rsidR="00C82F24" w:rsidRPr="00365330" w:rsidRDefault="00C82F24" w:rsidP="005F1ED8">
            <w:pPr>
              <w:tabs>
                <w:tab w:val="left" w:pos="-1440"/>
                <w:tab w:val="left" w:pos="-720"/>
              </w:tabs>
              <w:rPr>
                <w:sz w:val="20"/>
                <w:szCs w:val="20"/>
              </w:rPr>
            </w:pPr>
          </w:p>
          <w:p w:rsidR="00C82F24" w:rsidRPr="00663AF2" w:rsidRDefault="00C82F24" w:rsidP="005F1ED8">
            <w:pPr>
              <w:tabs>
                <w:tab w:val="left" w:pos="-1440"/>
                <w:tab w:val="left" w:pos="-720"/>
              </w:tabs>
              <w:rPr>
                <w:sz w:val="20"/>
                <w:szCs w:val="20"/>
              </w:rPr>
            </w:pPr>
            <w:r w:rsidRPr="00365330">
              <w:rPr>
                <w:sz w:val="20"/>
                <w:szCs w:val="20"/>
              </w:rPr>
              <w:tab/>
            </w:r>
            <w:r w:rsidR="00663AF2" w:rsidRPr="00663AF2">
              <w:rPr>
                <w:sz w:val="20"/>
                <w:szCs w:val="20"/>
              </w:rPr>
              <w:t>c</w:t>
            </w:r>
            <w:r w:rsidRPr="00663AF2">
              <w:rPr>
                <w:sz w:val="20"/>
                <w:szCs w:val="20"/>
              </w:rPr>
              <w:t>. (36</w:t>
            </w:r>
            <w:r w:rsidR="00663AF2" w:rsidRPr="00663AF2">
              <w:rPr>
                <w:sz w:val="20"/>
                <w:szCs w:val="20"/>
              </w:rPr>
              <w:t>2</w:t>
            </w:r>
            <w:r w:rsidRPr="00663AF2">
              <w:rPr>
                <w:sz w:val="20"/>
                <w:szCs w:val="20"/>
              </w:rPr>
              <w:t>4</w:t>
            </w:r>
            <w:r w:rsidR="00663AF2" w:rsidRPr="00663AF2">
              <w:rPr>
                <w:sz w:val="20"/>
                <w:szCs w:val="20"/>
              </w:rPr>
              <w:t>5</w:t>
            </w:r>
            <w:r w:rsidRPr="00663AF2">
              <w:rPr>
                <w:sz w:val="20"/>
                <w:szCs w:val="20"/>
              </w:rPr>
              <w:t>)</w:t>
            </w:r>
          </w:p>
          <w:p w:rsidR="00C82F24" w:rsidRPr="00663AF2" w:rsidRDefault="00C82F24" w:rsidP="005F1ED8">
            <w:pPr>
              <w:tabs>
                <w:tab w:val="left" w:pos="-1440"/>
                <w:tab w:val="left" w:pos="-720"/>
              </w:tabs>
              <w:rPr>
                <w:sz w:val="20"/>
                <w:szCs w:val="20"/>
              </w:rPr>
            </w:pPr>
          </w:p>
          <w:p w:rsidR="00C82F24" w:rsidRPr="00A935AA" w:rsidRDefault="00663AF2" w:rsidP="005F1ED8">
            <w:pPr>
              <w:tabs>
                <w:tab w:val="left" w:pos="-1440"/>
                <w:tab w:val="left" w:pos="-720"/>
              </w:tabs>
              <w:rPr>
                <w:b/>
                <w:sz w:val="20"/>
                <w:szCs w:val="20"/>
              </w:rPr>
            </w:pPr>
            <w:r w:rsidRPr="00663AF2">
              <w:rPr>
                <w:b/>
                <w:sz w:val="20"/>
                <w:szCs w:val="20"/>
              </w:rPr>
              <w:t>Brigitte Nico</w:t>
            </w:r>
            <w:r w:rsidR="00C82F24" w:rsidRPr="00663AF2">
              <w:rPr>
                <w:b/>
                <w:sz w:val="20"/>
                <w:szCs w:val="20"/>
              </w:rPr>
              <w:t>l</w:t>
            </w:r>
            <w:r w:rsidR="00C82F24" w:rsidRPr="00663AF2">
              <w:rPr>
                <w:sz w:val="20"/>
                <w:szCs w:val="20"/>
              </w:rPr>
              <w:t xml:space="preserve"> </w:t>
            </w:r>
            <w:r w:rsidR="00C82F24" w:rsidRPr="00A935AA">
              <w:rPr>
                <w:b/>
                <w:sz w:val="20"/>
                <w:szCs w:val="20"/>
              </w:rPr>
              <w:t>(</w:t>
            </w:r>
            <w:r>
              <w:rPr>
                <w:b/>
                <w:sz w:val="20"/>
                <w:szCs w:val="20"/>
              </w:rPr>
              <w:t>Qc</w:t>
            </w:r>
            <w:r w:rsidR="00C82F24" w:rsidRPr="00A935AA">
              <w:rPr>
                <w:b/>
                <w:sz w:val="20"/>
                <w:szCs w:val="20"/>
              </w:rPr>
              <w:t>)</w:t>
            </w:r>
          </w:p>
          <w:p w:rsidR="00663AF2" w:rsidRDefault="00C82F24" w:rsidP="005F1ED8">
            <w:pPr>
              <w:tabs>
                <w:tab w:val="left" w:pos="-1440"/>
                <w:tab w:val="left" w:pos="-720"/>
              </w:tabs>
              <w:rPr>
                <w:sz w:val="20"/>
                <w:szCs w:val="20"/>
              </w:rPr>
            </w:pPr>
            <w:r w:rsidRPr="00A935AA">
              <w:rPr>
                <w:sz w:val="20"/>
                <w:szCs w:val="20"/>
              </w:rPr>
              <w:tab/>
            </w:r>
            <w:r w:rsidR="00663AF2">
              <w:rPr>
                <w:sz w:val="20"/>
                <w:szCs w:val="20"/>
              </w:rPr>
              <w:t>Christopher-Willi</w:t>
            </w:r>
            <w:r>
              <w:rPr>
                <w:sz w:val="20"/>
                <w:szCs w:val="20"/>
              </w:rPr>
              <w:t>a</w:t>
            </w:r>
            <w:r w:rsidR="00663AF2">
              <w:rPr>
                <w:sz w:val="20"/>
                <w:szCs w:val="20"/>
              </w:rPr>
              <w:t>m Dufour-Gag</w:t>
            </w:r>
            <w:r>
              <w:rPr>
                <w:sz w:val="20"/>
                <w:szCs w:val="20"/>
              </w:rPr>
              <w:t>n</w:t>
            </w:r>
            <w:r w:rsidR="00663AF2">
              <w:rPr>
                <w:sz w:val="20"/>
                <w:szCs w:val="20"/>
              </w:rPr>
              <w:t>é</w:t>
            </w:r>
          </w:p>
          <w:p w:rsidR="00C82F24" w:rsidRPr="00365330" w:rsidRDefault="00663AF2" w:rsidP="005F1ED8">
            <w:pPr>
              <w:tabs>
                <w:tab w:val="left" w:pos="-1440"/>
                <w:tab w:val="left" w:pos="-720"/>
              </w:tabs>
              <w:rPr>
                <w:sz w:val="20"/>
                <w:szCs w:val="20"/>
              </w:rPr>
            </w:pPr>
            <w:r>
              <w:rPr>
                <w:sz w:val="20"/>
                <w:szCs w:val="20"/>
              </w:rPr>
              <w:tab/>
            </w:r>
            <w:r w:rsidRPr="00365330">
              <w:rPr>
                <w:sz w:val="20"/>
                <w:szCs w:val="20"/>
              </w:rPr>
              <w:t>Morency Société d’Avocat</w:t>
            </w:r>
            <w:r w:rsidR="00C82F24" w:rsidRPr="00365330">
              <w:rPr>
                <w:sz w:val="20"/>
                <w:szCs w:val="20"/>
              </w:rPr>
              <w:t>s</w:t>
            </w:r>
            <w:r w:rsidRPr="00365330">
              <w:rPr>
                <w:sz w:val="20"/>
                <w:szCs w:val="20"/>
              </w:rPr>
              <w:t>, s.e.n.c.</w:t>
            </w:r>
          </w:p>
          <w:p w:rsidR="00C82F24" w:rsidRPr="00365330" w:rsidRDefault="00C82F24" w:rsidP="005F1ED8">
            <w:pPr>
              <w:tabs>
                <w:tab w:val="left" w:pos="-1440"/>
                <w:tab w:val="left" w:pos="-720"/>
              </w:tabs>
              <w:rPr>
                <w:sz w:val="20"/>
                <w:szCs w:val="20"/>
              </w:rPr>
            </w:pPr>
          </w:p>
          <w:p w:rsidR="00C82F24" w:rsidRPr="00A935AA" w:rsidRDefault="00663AF2" w:rsidP="00663AF2">
            <w:pPr>
              <w:rPr>
                <w:sz w:val="20"/>
                <w:szCs w:val="20"/>
              </w:rPr>
            </w:pPr>
            <w:r w:rsidRPr="00365330">
              <w:rPr>
                <w:sz w:val="20"/>
                <w:szCs w:val="20"/>
              </w:rPr>
              <w:t>DATE DE PRODUCTION: 29.09.2014</w:t>
            </w:r>
            <w:r w:rsidR="00007FF8">
              <w:rPr>
                <w:sz w:val="20"/>
                <w:szCs w:val="20"/>
                <w:lang w:val="fr-CA"/>
              </w:rPr>
              <w:pict>
                <v:rect id="_x0000_i1026" style="width:108pt;height:1pt" o:hrpct="0" o:hralign="center" o:hrstd="t" o:hrnoshade="t" o:hr="t" fillcolor="black [3213]" stroked="f"/>
              </w:pict>
            </w:r>
          </w:p>
        </w:tc>
        <w:tc>
          <w:tcPr>
            <w:tcW w:w="1181" w:type="dxa"/>
            <w:shd w:val="clear" w:color="auto" w:fill="auto"/>
          </w:tcPr>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p w:rsidR="00C82F24" w:rsidRPr="00A935AA" w:rsidRDefault="00C82F24" w:rsidP="00242AEE">
            <w:pPr>
              <w:jc w:val="center"/>
              <w:rPr>
                <w:sz w:val="20"/>
                <w:szCs w:val="20"/>
              </w:rPr>
            </w:pPr>
          </w:p>
        </w:tc>
        <w:tc>
          <w:tcPr>
            <w:tcW w:w="4320" w:type="dxa"/>
            <w:shd w:val="clear" w:color="auto" w:fill="auto"/>
          </w:tcPr>
          <w:p w:rsidR="00663AF2" w:rsidRPr="00365330" w:rsidRDefault="00663AF2" w:rsidP="00663AF2">
            <w:pPr>
              <w:rPr>
                <w:b/>
                <w:sz w:val="20"/>
                <w:szCs w:val="20"/>
                <w:lang w:val="fr-CA"/>
              </w:rPr>
            </w:pPr>
            <w:r w:rsidRPr="00365330">
              <w:rPr>
                <w:b/>
                <w:sz w:val="20"/>
                <w:szCs w:val="20"/>
                <w:lang w:val="fr-CA"/>
              </w:rPr>
              <w:t xml:space="preserve">Roch Laflamme </w:t>
            </w:r>
          </w:p>
          <w:p w:rsidR="00663AF2" w:rsidRPr="00365330" w:rsidRDefault="00663AF2" w:rsidP="00663AF2">
            <w:pPr>
              <w:tabs>
                <w:tab w:val="left" w:pos="-1440"/>
                <w:tab w:val="left" w:pos="-720"/>
              </w:tabs>
              <w:rPr>
                <w:sz w:val="20"/>
                <w:szCs w:val="20"/>
                <w:lang w:val="fr-CA"/>
              </w:rPr>
            </w:pPr>
            <w:r w:rsidRPr="00365330">
              <w:rPr>
                <w:sz w:val="20"/>
                <w:szCs w:val="20"/>
                <w:lang w:val="fr-CA"/>
              </w:rPr>
              <w:tab/>
              <w:t xml:space="preserve">Roch Laflamme </w:t>
            </w:r>
          </w:p>
          <w:p w:rsidR="00663AF2" w:rsidRPr="00E95CE4" w:rsidRDefault="00663AF2" w:rsidP="00663AF2">
            <w:pPr>
              <w:tabs>
                <w:tab w:val="left" w:pos="-1440"/>
                <w:tab w:val="left" w:pos="-720"/>
              </w:tabs>
              <w:rPr>
                <w:sz w:val="20"/>
                <w:szCs w:val="20"/>
                <w:lang w:val="fr-CA"/>
              </w:rPr>
            </w:pPr>
          </w:p>
          <w:p w:rsidR="00663AF2" w:rsidRPr="00365330" w:rsidRDefault="00663AF2" w:rsidP="00663AF2">
            <w:pPr>
              <w:tabs>
                <w:tab w:val="left" w:pos="-1440"/>
                <w:tab w:val="left" w:pos="-720"/>
              </w:tabs>
              <w:rPr>
                <w:sz w:val="20"/>
                <w:szCs w:val="20"/>
                <w:lang w:val="fr-CA"/>
              </w:rPr>
            </w:pPr>
            <w:r w:rsidRPr="00E95CE4">
              <w:rPr>
                <w:sz w:val="20"/>
                <w:szCs w:val="20"/>
                <w:lang w:val="fr-CA"/>
              </w:rPr>
              <w:tab/>
            </w:r>
            <w:r w:rsidRPr="00365330">
              <w:rPr>
                <w:sz w:val="20"/>
                <w:szCs w:val="20"/>
                <w:lang w:val="fr-CA"/>
              </w:rPr>
              <w:t>c. (36246)</w:t>
            </w:r>
          </w:p>
          <w:p w:rsidR="00C82F24" w:rsidRPr="00365330" w:rsidRDefault="00C82F24" w:rsidP="00E724B4">
            <w:pPr>
              <w:keepNext/>
              <w:keepLines/>
              <w:tabs>
                <w:tab w:val="left" w:pos="-1440"/>
                <w:tab w:val="left" w:pos="-720"/>
              </w:tabs>
              <w:rPr>
                <w:sz w:val="20"/>
                <w:szCs w:val="20"/>
                <w:lang w:val="fr-CA"/>
              </w:rPr>
            </w:pPr>
          </w:p>
          <w:p w:rsidR="00C82F24" w:rsidRPr="00663AF2" w:rsidRDefault="00663AF2" w:rsidP="00E724B4">
            <w:pPr>
              <w:keepNext/>
              <w:keepLines/>
              <w:tabs>
                <w:tab w:val="left" w:pos="-1440"/>
                <w:tab w:val="left" w:pos="-720"/>
              </w:tabs>
              <w:rPr>
                <w:b/>
                <w:sz w:val="20"/>
                <w:szCs w:val="20"/>
                <w:lang w:val="fr-CA"/>
              </w:rPr>
            </w:pPr>
            <w:r w:rsidRPr="00663AF2">
              <w:rPr>
                <w:b/>
                <w:sz w:val="20"/>
                <w:szCs w:val="20"/>
                <w:lang w:val="fr-CA"/>
              </w:rPr>
              <w:t xml:space="preserve">Municipalité de St-Magloire </w:t>
            </w:r>
            <w:r w:rsidR="00C82F24" w:rsidRPr="00663AF2">
              <w:rPr>
                <w:b/>
                <w:sz w:val="20"/>
                <w:szCs w:val="20"/>
                <w:lang w:val="fr-CA"/>
              </w:rPr>
              <w:t>(</w:t>
            </w:r>
            <w:r w:rsidRPr="00663AF2">
              <w:rPr>
                <w:b/>
                <w:sz w:val="20"/>
                <w:szCs w:val="20"/>
                <w:lang w:val="fr-CA"/>
              </w:rPr>
              <w:t>Qc</w:t>
            </w:r>
            <w:r w:rsidR="00C82F24" w:rsidRPr="00663AF2">
              <w:rPr>
                <w:b/>
                <w:sz w:val="20"/>
                <w:szCs w:val="20"/>
                <w:lang w:val="fr-CA"/>
              </w:rPr>
              <w:t>)</w:t>
            </w:r>
          </w:p>
          <w:p w:rsidR="00663AF2" w:rsidRPr="00365330" w:rsidRDefault="00C82F24" w:rsidP="00663AF2">
            <w:pPr>
              <w:tabs>
                <w:tab w:val="left" w:pos="-1440"/>
                <w:tab w:val="left" w:pos="-720"/>
              </w:tabs>
              <w:rPr>
                <w:sz w:val="20"/>
                <w:szCs w:val="20"/>
                <w:lang w:val="fr-CA"/>
              </w:rPr>
            </w:pPr>
            <w:r w:rsidRPr="00663AF2">
              <w:rPr>
                <w:sz w:val="20"/>
                <w:szCs w:val="20"/>
                <w:lang w:val="fr-CA"/>
              </w:rPr>
              <w:tab/>
            </w:r>
            <w:r w:rsidR="00663AF2" w:rsidRPr="00365330">
              <w:rPr>
                <w:sz w:val="20"/>
                <w:szCs w:val="20"/>
                <w:lang w:val="fr-CA"/>
              </w:rPr>
              <w:t>Christopher-William Dufour-Gagné</w:t>
            </w:r>
          </w:p>
          <w:p w:rsidR="00663AF2" w:rsidRPr="00663AF2" w:rsidRDefault="00663AF2" w:rsidP="00663AF2">
            <w:pPr>
              <w:tabs>
                <w:tab w:val="left" w:pos="-1440"/>
                <w:tab w:val="left" w:pos="-720"/>
              </w:tabs>
              <w:rPr>
                <w:sz w:val="20"/>
                <w:szCs w:val="20"/>
                <w:lang w:val="fr-CA"/>
              </w:rPr>
            </w:pPr>
            <w:r w:rsidRPr="00365330">
              <w:rPr>
                <w:sz w:val="20"/>
                <w:szCs w:val="20"/>
                <w:lang w:val="fr-CA"/>
              </w:rPr>
              <w:tab/>
            </w:r>
            <w:r w:rsidRPr="00663AF2">
              <w:rPr>
                <w:sz w:val="20"/>
                <w:szCs w:val="20"/>
                <w:lang w:val="fr-CA"/>
              </w:rPr>
              <w:t>Morency Société d’Avocats, s.e.n.c.</w:t>
            </w:r>
          </w:p>
          <w:p w:rsidR="00C82F24" w:rsidRPr="00365330" w:rsidRDefault="00C82F24" w:rsidP="00E724B4">
            <w:pPr>
              <w:keepNext/>
              <w:keepLines/>
              <w:tabs>
                <w:tab w:val="left" w:pos="-1440"/>
                <w:tab w:val="left" w:pos="-720"/>
              </w:tabs>
              <w:rPr>
                <w:sz w:val="20"/>
                <w:szCs w:val="20"/>
                <w:lang w:val="fr-CA"/>
              </w:rPr>
            </w:pPr>
          </w:p>
          <w:p w:rsidR="00C82F24" w:rsidRPr="00365330" w:rsidRDefault="00663AF2" w:rsidP="00E724B4">
            <w:pPr>
              <w:rPr>
                <w:sz w:val="20"/>
                <w:szCs w:val="20"/>
                <w:lang w:val="fr-CA"/>
              </w:rPr>
            </w:pPr>
            <w:r w:rsidRPr="00806A5B">
              <w:rPr>
                <w:sz w:val="20"/>
                <w:szCs w:val="20"/>
                <w:lang w:val="fr-CA"/>
              </w:rPr>
              <w:t xml:space="preserve">DATE DE PRODUCTION: </w:t>
            </w:r>
            <w:r>
              <w:rPr>
                <w:sz w:val="20"/>
                <w:szCs w:val="20"/>
                <w:lang w:val="fr-CA"/>
              </w:rPr>
              <w:t>29</w:t>
            </w:r>
            <w:r w:rsidRPr="00806A5B">
              <w:rPr>
                <w:sz w:val="20"/>
                <w:szCs w:val="20"/>
                <w:lang w:val="fr-CA"/>
              </w:rPr>
              <w:t>.0</w:t>
            </w:r>
            <w:r>
              <w:rPr>
                <w:sz w:val="20"/>
                <w:szCs w:val="20"/>
                <w:lang w:val="fr-CA"/>
              </w:rPr>
              <w:t>9</w:t>
            </w:r>
            <w:r w:rsidRPr="00806A5B">
              <w:rPr>
                <w:sz w:val="20"/>
                <w:szCs w:val="20"/>
                <w:lang w:val="fr-CA"/>
              </w:rPr>
              <w:t>.2014</w:t>
            </w:r>
            <w:r w:rsidR="00007FF8">
              <w:rPr>
                <w:sz w:val="20"/>
                <w:szCs w:val="20"/>
                <w:lang w:val="fr-CA"/>
              </w:rPr>
              <w:pict>
                <v:rect id="_x0000_i1027" style="width:108pt;height:1pt" o:hrpct="0" o:hralign="center" o:hrstd="t" o:hrnoshade="t" o:hr="t" fillcolor="black [3213]" stroked="f"/>
              </w:pict>
            </w:r>
          </w:p>
        </w:tc>
      </w:tr>
      <w:tr w:rsidR="00C21644" w:rsidRPr="00A935AA" w:rsidTr="003B3977">
        <w:tc>
          <w:tcPr>
            <w:tcW w:w="4320" w:type="dxa"/>
            <w:shd w:val="clear" w:color="auto" w:fill="auto"/>
          </w:tcPr>
          <w:p w:rsidR="00663AF2" w:rsidRPr="001C767B" w:rsidRDefault="00663AF2" w:rsidP="00663AF2">
            <w:pPr>
              <w:rPr>
                <w:b/>
                <w:sz w:val="20"/>
                <w:szCs w:val="20"/>
                <w:lang w:val="fr-CA"/>
              </w:rPr>
            </w:pPr>
            <w:r w:rsidRPr="001C767B">
              <w:rPr>
                <w:b/>
                <w:sz w:val="20"/>
                <w:szCs w:val="20"/>
                <w:lang w:val="fr-CA"/>
              </w:rPr>
              <w:t xml:space="preserve">Roch Laflamme </w:t>
            </w:r>
          </w:p>
          <w:p w:rsidR="00663AF2" w:rsidRPr="001C767B" w:rsidRDefault="00663AF2" w:rsidP="00663AF2">
            <w:pPr>
              <w:tabs>
                <w:tab w:val="left" w:pos="-1440"/>
                <w:tab w:val="left" w:pos="-720"/>
              </w:tabs>
              <w:rPr>
                <w:sz w:val="20"/>
                <w:szCs w:val="20"/>
                <w:lang w:val="fr-CA"/>
              </w:rPr>
            </w:pPr>
            <w:r w:rsidRPr="001C767B">
              <w:rPr>
                <w:sz w:val="20"/>
                <w:szCs w:val="20"/>
                <w:lang w:val="fr-CA"/>
              </w:rPr>
              <w:tab/>
              <w:t xml:space="preserve">Roch Laflamme </w:t>
            </w:r>
          </w:p>
          <w:p w:rsidR="00663AF2" w:rsidRPr="00E95CE4" w:rsidRDefault="00663AF2" w:rsidP="00663AF2">
            <w:pPr>
              <w:tabs>
                <w:tab w:val="left" w:pos="-1440"/>
                <w:tab w:val="left" w:pos="-720"/>
              </w:tabs>
              <w:rPr>
                <w:sz w:val="20"/>
                <w:szCs w:val="20"/>
                <w:lang w:val="fr-CA"/>
              </w:rPr>
            </w:pPr>
          </w:p>
          <w:p w:rsidR="00663AF2" w:rsidRPr="001C767B" w:rsidRDefault="00663AF2" w:rsidP="00663AF2">
            <w:pPr>
              <w:tabs>
                <w:tab w:val="left" w:pos="-1440"/>
                <w:tab w:val="left" w:pos="-720"/>
              </w:tabs>
              <w:rPr>
                <w:sz w:val="20"/>
                <w:szCs w:val="20"/>
                <w:lang w:val="fr-CA"/>
              </w:rPr>
            </w:pPr>
            <w:r w:rsidRPr="00E95CE4">
              <w:rPr>
                <w:sz w:val="20"/>
                <w:szCs w:val="20"/>
                <w:lang w:val="fr-CA"/>
              </w:rPr>
              <w:tab/>
            </w:r>
            <w:r w:rsidRPr="001C767B">
              <w:rPr>
                <w:sz w:val="20"/>
                <w:szCs w:val="20"/>
                <w:lang w:val="fr-CA"/>
              </w:rPr>
              <w:t>c. (36247)</w:t>
            </w:r>
          </w:p>
          <w:p w:rsidR="00C21644" w:rsidRPr="001C767B" w:rsidRDefault="00C21644" w:rsidP="003B3977">
            <w:pPr>
              <w:tabs>
                <w:tab w:val="left" w:pos="-1440"/>
                <w:tab w:val="left" w:pos="-720"/>
              </w:tabs>
              <w:rPr>
                <w:sz w:val="20"/>
                <w:szCs w:val="20"/>
                <w:lang w:val="fr-CA"/>
              </w:rPr>
            </w:pPr>
          </w:p>
          <w:p w:rsidR="00974698" w:rsidRPr="00974698" w:rsidRDefault="00974698" w:rsidP="00974698">
            <w:pPr>
              <w:keepNext/>
              <w:keepLines/>
              <w:tabs>
                <w:tab w:val="left" w:pos="-1440"/>
                <w:tab w:val="left" w:pos="-720"/>
              </w:tabs>
              <w:rPr>
                <w:sz w:val="20"/>
                <w:szCs w:val="20"/>
                <w:lang w:val="fr-CA"/>
              </w:rPr>
            </w:pPr>
            <w:r w:rsidRPr="00663AF2">
              <w:rPr>
                <w:b/>
                <w:sz w:val="20"/>
                <w:szCs w:val="20"/>
                <w:lang w:val="fr-CA"/>
              </w:rPr>
              <w:t>Municipalité de St-Magloire (Qc)</w:t>
            </w:r>
          </w:p>
          <w:p w:rsidR="00726A85" w:rsidRDefault="00974698" w:rsidP="00726A85">
            <w:pPr>
              <w:tabs>
                <w:tab w:val="left" w:pos="-1440"/>
                <w:tab w:val="left" w:pos="-720"/>
              </w:tabs>
              <w:rPr>
                <w:sz w:val="20"/>
                <w:szCs w:val="20"/>
              </w:rPr>
            </w:pPr>
            <w:r w:rsidRPr="00974698">
              <w:rPr>
                <w:sz w:val="20"/>
                <w:szCs w:val="20"/>
                <w:lang w:val="fr-CA"/>
              </w:rPr>
              <w:tab/>
            </w:r>
            <w:r w:rsidR="00726A85">
              <w:rPr>
                <w:sz w:val="20"/>
                <w:szCs w:val="20"/>
              </w:rPr>
              <w:t>Christopher-William Dufour-Gagné</w:t>
            </w:r>
          </w:p>
          <w:p w:rsidR="00726A85" w:rsidRPr="00663AF2" w:rsidRDefault="00726A85" w:rsidP="00726A85">
            <w:pPr>
              <w:tabs>
                <w:tab w:val="left" w:pos="-1440"/>
                <w:tab w:val="left" w:pos="-720"/>
              </w:tabs>
              <w:rPr>
                <w:sz w:val="20"/>
                <w:szCs w:val="20"/>
                <w:lang w:val="fr-CA"/>
              </w:rPr>
            </w:pPr>
            <w:r>
              <w:rPr>
                <w:sz w:val="20"/>
                <w:szCs w:val="20"/>
              </w:rPr>
              <w:tab/>
            </w:r>
            <w:r w:rsidRPr="00663AF2">
              <w:rPr>
                <w:sz w:val="20"/>
                <w:szCs w:val="20"/>
                <w:lang w:val="fr-CA"/>
              </w:rPr>
              <w:t>Morency Société d’Avocats, s.e.n.c.</w:t>
            </w:r>
          </w:p>
          <w:p w:rsidR="00C21644" w:rsidRPr="00726A85" w:rsidRDefault="00C21644" w:rsidP="003B3977">
            <w:pPr>
              <w:tabs>
                <w:tab w:val="left" w:pos="-1440"/>
                <w:tab w:val="left" w:pos="-720"/>
              </w:tabs>
              <w:rPr>
                <w:sz w:val="20"/>
                <w:szCs w:val="20"/>
                <w:lang w:val="fr-CA"/>
              </w:rPr>
            </w:pPr>
          </w:p>
          <w:p w:rsidR="00C21644" w:rsidRPr="00A935AA" w:rsidRDefault="00C21644" w:rsidP="00726A85">
            <w:pPr>
              <w:rPr>
                <w:sz w:val="20"/>
                <w:szCs w:val="20"/>
              </w:rPr>
            </w:pPr>
            <w:r w:rsidRPr="00A935AA">
              <w:rPr>
                <w:sz w:val="20"/>
                <w:szCs w:val="20"/>
              </w:rPr>
              <w:t>FILING DATE: 2</w:t>
            </w:r>
            <w:r w:rsidR="00726A85">
              <w:rPr>
                <w:sz w:val="20"/>
                <w:szCs w:val="20"/>
              </w:rPr>
              <w:t>9</w:t>
            </w:r>
            <w:r w:rsidRPr="00A935AA">
              <w:rPr>
                <w:sz w:val="20"/>
                <w:szCs w:val="20"/>
              </w:rPr>
              <w:t>.0</w:t>
            </w:r>
            <w:r w:rsidR="00726A85">
              <w:rPr>
                <w:sz w:val="20"/>
                <w:szCs w:val="20"/>
              </w:rPr>
              <w:t>9</w:t>
            </w:r>
            <w:r w:rsidRPr="00A935AA">
              <w:rPr>
                <w:sz w:val="20"/>
                <w:szCs w:val="20"/>
              </w:rPr>
              <w:t>.201</w:t>
            </w:r>
            <w:r>
              <w:rPr>
                <w:sz w:val="20"/>
                <w:szCs w:val="20"/>
              </w:rPr>
              <w:t>4</w:t>
            </w:r>
            <w:r w:rsidR="00007FF8">
              <w:rPr>
                <w:sz w:val="20"/>
                <w:szCs w:val="20"/>
                <w:lang w:val="fr-CA"/>
              </w:rPr>
              <w:pict>
                <v:rect id="_x0000_i1028"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974698" w:rsidRPr="00A935AA" w:rsidRDefault="00974698"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34FEA" w:rsidRDefault="00726A85" w:rsidP="003B3977">
            <w:pPr>
              <w:keepNext/>
              <w:keepLines/>
              <w:tabs>
                <w:tab w:val="left" w:pos="-1440"/>
                <w:tab w:val="left" w:pos="-720"/>
              </w:tabs>
              <w:rPr>
                <w:b/>
                <w:sz w:val="20"/>
                <w:szCs w:val="20"/>
              </w:rPr>
            </w:pPr>
            <w:r>
              <w:rPr>
                <w:b/>
                <w:sz w:val="20"/>
                <w:szCs w:val="20"/>
              </w:rPr>
              <w:t>Anthony Coote</w:t>
            </w:r>
          </w:p>
          <w:p w:rsidR="00C21644" w:rsidRPr="00A935AA" w:rsidRDefault="00C21644" w:rsidP="003B3977">
            <w:pPr>
              <w:keepNext/>
              <w:keepLines/>
              <w:tabs>
                <w:tab w:val="left" w:pos="-1440"/>
                <w:tab w:val="left" w:pos="-720"/>
              </w:tabs>
              <w:rPr>
                <w:sz w:val="20"/>
                <w:szCs w:val="20"/>
              </w:rPr>
            </w:pPr>
            <w:r w:rsidRPr="00C34FEA">
              <w:rPr>
                <w:sz w:val="20"/>
                <w:szCs w:val="20"/>
              </w:rPr>
              <w:tab/>
            </w:r>
            <w:r w:rsidR="00726A85">
              <w:rPr>
                <w:sz w:val="20"/>
                <w:szCs w:val="20"/>
              </w:rPr>
              <w:t>Anthony Coote</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726A85">
              <w:rPr>
                <w:sz w:val="20"/>
                <w:szCs w:val="20"/>
              </w:rPr>
              <w:t>6249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726A85" w:rsidRDefault="00726A85" w:rsidP="003B3977">
            <w:pPr>
              <w:keepNext/>
              <w:keepLines/>
              <w:tabs>
                <w:tab w:val="left" w:pos="-1440"/>
                <w:tab w:val="left" w:pos="-720"/>
              </w:tabs>
              <w:rPr>
                <w:b/>
                <w:sz w:val="20"/>
                <w:szCs w:val="20"/>
                <w:lang w:val="fr-CA"/>
              </w:rPr>
            </w:pPr>
            <w:r w:rsidRPr="00726A85">
              <w:rPr>
                <w:b/>
                <w:sz w:val="20"/>
                <w:szCs w:val="20"/>
                <w:lang w:val="fr-CA"/>
              </w:rPr>
              <w:t>Sandra Theroulde et al.</w:t>
            </w:r>
            <w:r>
              <w:rPr>
                <w:b/>
                <w:sz w:val="20"/>
                <w:szCs w:val="20"/>
                <w:lang w:val="fr-CA"/>
              </w:rPr>
              <w:t xml:space="preserve"> </w:t>
            </w:r>
            <w:r w:rsidR="00C21644" w:rsidRPr="00726A85">
              <w:rPr>
                <w:b/>
                <w:sz w:val="20"/>
                <w:szCs w:val="20"/>
                <w:lang w:val="fr-CA"/>
              </w:rPr>
              <w:t>(</w:t>
            </w:r>
            <w:r w:rsidRPr="00726A85">
              <w:rPr>
                <w:b/>
                <w:sz w:val="20"/>
                <w:szCs w:val="20"/>
                <w:lang w:val="fr-CA"/>
              </w:rPr>
              <w:t>F</w:t>
            </w:r>
            <w:r w:rsidR="00C21644" w:rsidRPr="00726A85">
              <w:rPr>
                <w:b/>
                <w:sz w:val="20"/>
                <w:szCs w:val="20"/>
                <w:lang w:val="fr-CA"/>
              </w:rPr>
              <w:t>.C.)</w:t>
            </w:r>
          </w:p>
          <w:p w:rsidR="00C21644" w:rsidRPr="00A935AA" w:rsidRDefault="00C21644" w:rsidP="003B3977">
            <w:pPr>
              <w:keepNext/>
              <w:keepLines/>
              <w:tabs>
                <w:tab w:val="left" w:pos="-1440"/>
                <w:tab w:val="left" w:pos="-720"/>
              </w:tabs>
              <w:rPr>
                <w:sz w:val="20"/>
                <w:szCs w:val="20"/>
              </w:rPr>
            </w:pPr>
            <w:r w:rsidRPr="00726A85">
              <w:rPr>
                <w:sz w:val="20"/>
                <w:szCs w:val="20"/>
                <w:lang w:val="fr-CA"/>
              </w:rPr>
              <w:tab/>
            </w:r>
            <w:r w:rsidR="00726A85">
              <w:rPr>
                <w:sz w:val="20"/>
                <w:szCs w:val="20"/>
              </w:rPr>
              <w:t>Stefania Fericean</w:t>
            </w:r>
          </w:p>
          <w:p w:rsidR="00C21644" w:rsidRPr="00A935AA" w:rsidRDefault="00C21644" w:rsidP="003B3977">
            <w:pPr>
              <w:keepNext/>
              <w:keepLines/>
              <w:tabs>
                <w:tab w:val="left" w:pos="-1440"/>
                <w:tab w:val="left" w:pos="-720"/>
              </w:tabs>
              <w:rPr>
                <w:sz w:val="20"/>
                <w:szCs w:val="20"/>
              </w:rPr>
            </w:pPr>
            <w:r w:rsidRPr="00A935AA">
              <w:rPr>
                <w:sz w:val="20"/>
                <w:szCs w:val="20"/>
              </w:rPr>
              <w:tab/>
            </w:r>
            <w:r w:rsidR="00726A85">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A935AA" w:rsidRDefault="00C21644" w:rsidP="005D5C53">
            <w:pPr>
              <w:rPr>
                <w:sz w:val="20"/>
                <w:szCs w:val="20"/>
              </w:rPr>
            </w:pPr>
            <w:r w:rsidRPr="00A935AA">
              <w:rPr>
                <w:sz w:val="20"/>
                <w:szCs w:val="20"/>
              </w:rPr>
              <w:t>FILING DATE: 2</w:t>
            </w:r>
            <w:r w:rsidR="005D5C53">
              <w:rPr>
                <w:sz w:val="20"/>
                <w:szCs w:val="20"/>
              </w:rPr>
              <w:t>9</w:t>
            </w:r>
            <w:r w:rsidRPr="00A935AA">
              <w:rPr>
                <w:sz w:val="20"/>
                <w:szCs w:val="20"/>
              </w:rPr>
              <w:t>.</w:t>
            </w:r>
            <w:r w:rsidR="00726A85">
              <w:rPr>
                <w:sz w:val="20"/>
                <w:szCs w:val="20"/>
              </w:rPr>
              <w:t>1</w:t>
            </w:r>
            <w:r>
              <w:rPr>
                <w:sz w:val="20"/>
                <w:szCs w:val="20"/>
              </w:rPr>
              <w:t>2</w:t>
            </w:r>
            <w:r w:rsidRPr="00A935AA">
              <w:rPr>
                <w:sz w:val="20"/>
                <w:szCs w:val="20"/>
              </w:rPr>
              <w:t>.201</w:t>
            </w:r>
            <w:r>
              <w:rPr>
                <w:sz w:val="20"/>
                <w:szCs w:val="20"/>
              </w:rPr>
              <w:t>4</w:t>
            </w:r>
            <w:r w:rsidR="00007FF8">
              <w:rPr>
                <w:sz w:val="20"/>
                <w:szCs w:val="20"/>
                <w:lang w:val="fr-CA"/>
              </w:rPr>
              <w:pict>
                <v:rect id="_x0000_i1029" style="width:108pt;height:1pt" o:hrpct="0" o:hralign="center" o:hrstd="t" o:hrnoshade="t" o:hr="t" fillcolor="black [3213]" stroked="f"/>
              </w:pict>
            </w:r>
          </w:p>
        </w:tc>
      </w:tr>
      <w:tr w:rsidR="00F026EE" w:rsidRPr="00A935AA" w:rsidTr="003B3977">
        <w:tc>
          <w:tcPr>
            <w:tcW w:w="4320" w:type="dxa"/>
            <w:shd w:val="clear" w:color="auto" w:fill="auto"/>
          </w:tcPr>
          <w:p w:rsidR="00F026EE" w:rsidRPr="00A935AA" w:rsidRDefault="00F026EE" w:rsidP="00F026EE">
            <w:pPr>
              <w:rPr>
                <w:b/>
                <w:sz w:val="20"/>
                <w:szCs w:val="20"/>
              </w:rPr>
            </w:pPr>
            <w:r>
              <w:rPr>
                <w:b/>
                <w:sz w:val="20"/>
                <w:szCs w:val="20"/>
              </w:rPr>
              <w:t>Jason Daoust-Crochetiere</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Andrew R. Kerr</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Kerr Lawyers</w:t>
            </w:r>
          </w:p>
          <w:p w:rsidR="00F026EE" w:rsidRPr="00A935AA"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sz w:val="20"/>
                <w:szCs w:val="20"/>
              </w:rPr>
            </w:pPr>
            <w:r w:rsidRPr="00A935AA">
              <w:rPr>
                <w:sz w:val="20"/>
                <w:szCs w:val="20"/>
              </w:rPr>
              <w:tab/>
              <w:t>v. (3</w:t>
            </w:r>
            <w:r>
              <w:rPr>
                <w:sz w:val="20"/>
                <w:szCs w:val="20"/>
              </w:rPr>
              <w:t>6240</w:t>
            </w:r>
            <w:r w:rsidRPr="00A935AA">
              <w:rPr>
                <w:sz w:val="20"/>
                <w:szCs w:val="20"/>
              </w:rPr>
              <w:t>)</w:t>
            </w:r>
          </w:p>
          <w:p w:rsidR="00F026EE" w:rsidRPr="00A935AA"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b/>
                <w:sz w:val="20"/>
                <w:szCs w:val="20"/>
              </w:rPr>
            </w:pPr>
            <w:r>
              <w:rPr>
                <w:b/>
                <w:sz w:val="20"/>
                <w:szCs w:val="20"/>
              </w:rPr>
              <w:t>Her Majesty the Queen in Right of</w:t>
            </w:r>
            <w:r w:rsidRPr="00A935AA">
              <w:rPr>
                <w:b/>
                <w:sz w:val="20"/>
                <w:szCs w:val="20"/>
              </w:rPr>
              <w:t xml:space="preserve"> </w:t>
            </w:r>
            <w:r>
              <w:rPr>
                <w:b/>
                <w:sz w:val="20"/>
                <w:szCs w:val="20"/>
              </w:rPr>
              <w:t xml:space="preserve">the Province of Ontario as represented by the Minister of Natural Resources for the Province of Ontario </w:t>
            </w:r>
            <w:r w:rsidRPr="00A935AA">
              <w:rPr>
                <w:b/>
                <w:sz w:val="20"/>
                <w:szCs w:val="20"/>
              </w:rPr>
              <w:t>(</w:t>
            </w:r>
            <w:r>
              <w:rPr>
                <w:b/>
                <w:sz w:val="20"/>
                <w:szCs w:val="20"/>
              </w:rPr>
              <w:t>Ont</w:t>
            </w:r>
            <w:r w:rsidRPr="00A935AA">
              <w:rPr>
                <w:b/>
                <w:sz w:val="20"/>
                <w:szCs w:val="20"/>
              </w:rPr>
              <w:t>.)</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Thomasina Dumonceau</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Blaney McMurtry LLP</w:t>
            </w:r>
          </w:p>
          <w:p w:rsidR="00F026EE" w:rsidRPr="00A935AA" w:rsidRDefault="00F026EE" w:rsidP="00F026EE">
            <w:pPr>
              <w:rPr>
                <w:sz w:val="20"/>
                <w:szCs w:val="20"/>
              </w:rPr>
            </w:pPr>
          </w:p>
        </w:tc>
        <w:tc>
          <w:tcPr>
            <w:tcW w:w="1181" w:type="dxa"/>
            <w:shd w:val="clear" w:color="auto" w:fill="auto"/>
          </w:tcPr>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Pr="00A935AA" w:rsidRDefault="00F026EE" w:rsidP="00242AEE">
            <w:pPr>
              <w:jc w:val="center"/>
              <w:rPr>
                <w:sz w:val="20"/>
                <w:szCs w:val="20"/>
              </w:rPr>
            </w:pPr>
          </w:p>
        </w:tc>
        <w:tc>
          <w:tcPr>
            <w:tcW w:w="4320" w:type="dxa"/>
            <w:shd w:val="clear" w:color="auto" w:fill="auto"/>
          </w:tcPr>
          <w:p w:rsidR="00F026EE" w:rsidRDefault="00F026EE" w:rsidP="00F026EE">
            <w:pPr>
              <w:rPr>
                <w:b/>
                <w:sz w:val="20"/>
                <w:szCs w:val="20"/>
                <w:lang w:val="fr-CA"/>
              </w:rPr>
            </w:pPr>
            <w:r w:rsidRPr="00DD240F">
              <w:rPr>
                <w:b/>
                <w:sz w:val="20"/>
                <w:szCs w:val="20"/>
                <w:lang w:val="fr-CA"/>
              </w:rPr>
              <w:t>Ayanle Omar</w:t>
            </w:r>
          </w:p>
          <w:p w:rsidR="00F026EE" w:rsidRDefault="00F026EE" w:rsidP="00F026EE">
            <w:pPr>
              <w:tabs>
                <w:tab w:val="left" w:pos="-1440"/>
                <w:tab w:val="left" w:pos="-720"/>
              </w:tabs>
              <w:rPr>
                <w:sz w:val="20"/>
                <w:szCs w:val="20"/>
                <w:lang w:val="fr-CA"/>
              </w:rPr>
            </w:pPr>
            <w:r>
              <w:rPr>
                <w:b/>
                <w:sz w:val="20"/>
                <w:szCs w:val="20"/>
                <w:lang w:val="fr-CA"/>
              </w:rPr>
              <w:tab/>
            </w:r>
            <w:r w:rsidRPr="00DD240F">
              <w:rPr>
                <w:sz w:val="20"/>
                <w:szCs w:val="20"/>
                <w:lang w:val="fr-CA"/>
              </w:rPr>
              <w:t>Adam S. Boni</w:t>
            </w:r>
          </w:p>
          <w:p w:rsidR="00F026EE" w:rsidRPr="00DD240F" w:rsidRDefault="00F026EE" w:rsidP="00F026EE">
            <w:pPr>
              <w:tabs>
                <w:tab w:val="left" w:pos="-1440"/>
                <w:tab w:val="left" w:pos="-720"/>
              </w:tabs>
              <w:rPr>
                <w:sz w:val="20"/>
                <w:szCs w:val="20"/>
                <w:lang w:val="fr-CA"/>
              </w:rPr>
            </w:pPr>
            <w:r w:rsidRPr="00DD240F">
              <w:rPr>
                <w:sz w:val="20"/>
                <w:szCs w:val="20"/>
                <w:lang w:val="fr-CA"/>
              </w:rPr>
              <w:tab/>
              <w:t>Doucette Boni Santoro Furgiuele</w:t>
            </w:r>
          </w:p>
          <w:p w:rsidR="00F026EE" w:rsidRPr="00DD240F" w:rsidRDefault="00F026EE" w:rsidP="00F026EE">
            <w:pPr>
              <w:tabs>
                <w:tab w:val="left" w:pos="-1440"/>
                <w:tab w:val="left" w:pos="-720"/>
              </w:tabs>
              <w:rPr>
                <w:sz w:val="20"/>
                <w:szCs w:val="20"/>
                <w:lang w:val="fr-CA"/>
              </w:rPr>
            </w:pPr>
          </w:p>
          <w:p w:rsidR="00F026EE" w:rsidRPr="00A935AA" w:rsidRDefault="00F026EE" w:rsidP="00F026EE">
            <w:pPr>
              <w:tabs>
                <w:tab w:val="left" w:pos="-1440"/>
                <w:tab w:val="left" w:pos="-720"/>
              </w:tabs>
              <w:rPr>
                <w:sz w:val="20"/>
                <w:szCs w:val="20"/>
              </w:rPr>
            </w:pPr>
            <w:r w:rsidRPr="00DD240F">
              <w:rPr>
                <w:sz w:val="20"/>
                <w:szCs w:val="20"/>
                <w:lang w:val="fr-CA"/>
              </w:rPr>
              <w:tab/>
            </w:r>
            <w:r w:rsidRPr="00A935AA">
              <w:rPr>
                <w:sz w:val="20"/>
                <w:szCs w:val="20"/>
              </w:rPr>
              <w:t>v. (3</w:t>
            </w:r>
            <w:r>
              <w:rPr>
                <w:sz w:val="20"/>
                <w:szCs w:val="20"/>
              </w:rPr>
              <w:t>6250</w:t>
            </w:r>
            <w:r w:rsidRPr="00A935AA">
              <w:rPr>
                <w:sz w:val="20"/>
                <w:szCs w:val="20"/>
              </w:rPr>
              <w:t>)</w:t>
            </w:r>
          </w:p>
          <w:p w:rsidR="00F026EE" w:rsidRPr="00A935AA"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b/>
                <w:sz w:val="20"/>
                <w:szCs w:val="20"/>
              </w:rPr>
            </w:pPr>
            <w:r>
              <w:rPr>
                <w:b/>
                <w:sz w:val="20"/>
                <w:szCs w:val="20"/>
              </w:rPr>
              <w:t xml:space="preserve">Her Majesty the Queen et al. </w:t>
            </w:r>
            <w:r w:rsidRPr="00A935AA">
              <w:rPr>
                <w:b/>
                <w:sz w:val="20"/>
                <w:szCs w:val="20"/>
              </w:rPr>
              <w:t>(</w:t>
            </w:r>
            <w:r>
              <w:rPr>
                <w:b/>
                <w:sz w:val="20"/>
                <w:szCs w:val="20"/>
              </w:rPr>
              <w:t>Ont</w:t>
            </w:r>
            <w:r w:rsidRPr="00A935AA">
              <w:rPr>
                <w:b/>
                <w:sz w:val="20"/>
                <w:szCs w:val="20"/>
              </w:rPr>
              <w:t>.)</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Nicholas E. Devlin</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Public Prosecution Service of Canada</w:t>
            </w:r>
          </w:p>
          <w:p w:rsidR="00F026EE" w:rsidRPr="00A935AA" w:rsidRDefault="00F026EE" w:rsidP="00F026EE">
            <w:pPr>
              <w:tabs>
                <w:tab w:val="left" w:pos="-1440"/>
                <w:tab w:val="left" w:pos="-720"/>
              </w:tabs>
              <w:rPr>
                <w:sz w:val="20"/>
                <w:szCs w:val="20"/>
              </w:rPr>
            </w:pPr>
          </w:p>
          <w:p w:rsidR="00F026EE" w:rsidRDefault="00F026EE" w:rsidP="00F026EE">
            <w:pPr>
              <w:rPr>
                <w:b/>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30" style="width:108pt;height:1pt" o:hrpct="0" o:hralign="center" o:hrstd="t" o:hrnoshade="t" o:hr="t" fillcolor="black [3213]" stroked="f"/>
              </w:pict>
            </w:r>
          </w:p>
        </w:tc>
      </w:tr>
      <w:tr w:rsidR="00F026EE" w:rsidRPr="00007FF8" w:rsidTr="003B3977">
        <w:tc>
          <w:tcPr>
            <w:tcW w:w="4320" w:type="dxa"/>
            <w:shd w:val="clear" w:color="auto" w:fill="auto"/>
          </w:tcPr>
          <w:p w:rsidR="00F026EE" w:rsidRPr="001C767B" w:rsidRDefault="00F026EE" w:rsidP="00F026EE">
            <w:pPr>
              <w:rPr>
                <w:b/>
                <w:sz w:val="20"/>
                <w:szCs w:val="20"/>
              </w:rPr>
            </w:pPr>
            <w:r w:rsidRPr="00A935AA">
              <w:rPr>
                <w:sz w:val="20"/>
                <w:szCs w:val="20"/>
              </w:rPr>
              <w:t xml:space="preserve">FILING DATE: </w:t>
            </w:r>
            <w:r>
              <w:rPr>
                <w:sz w:val="20"/>
                <w:szCs w:val="20"/>
              </w:rPr>
              <w:t>05</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31" style="width:108pt;height:1pt" o:hrpct="0" o:hralign="center" o:hrstd="t" o:hrnoshade="t" o:hr="t" fillcolor="black [3213]" stroked="f"/>
              </w:pict>
            </w:r>
          </w:p>
          <w:p w:rsidR="00F026EE" w:rsidRPr="001C767B" w:rsidRDefault="00F026EE" w:rsidP="00F026EE">
            <w:pPr>
              <w:rPr>
                <w:sz w:val="20"/>
                <w:szCs w:val="20"/>
              </w:rPr>
            </w:pPr>
          </w:p>
          <w:p w:rsidR="00F026EE" w:rsidRPr="001C767B" w:rsidRDefault="00F026EE" w:rsidP="00F026EE">
            <w:pPr>
              <w:rPr>
                <w:b/>
                <w:sz w:val="20"/>
                <w:szCs w:val="20"/>
              </w:rPr>
            </w:pPr>
            <w:r w:rsidRPr="001C767B">
              <w:rPr>
                <w:b/>
                <w:sz w:val="20"/>
                <w:szCs w:val="20"/>
              </w:rPr>
              <w:t>Rachel Exeter</w:t>
            </w:r>
          </w:p>
          <w:p w:rsidR="00F026EE" w:rsidRPr="001C767B" w:rsidRDefault="00F026EE" w:rsidP="00F026EE">
            <w:pPr>
              <w:tabs>
                <w:tab w:val="left" w:pos="-1440"/>
                <w:tab w:val="left" w:pos="-720"/>
              </w:tabs>
              <w:rPr>
                <w:sz w:val="20"/>
                <w:szCs w:val="20"/>
              </w:rPr>
            </w:pPr>
            <w:r w:rsidRPr="001C767B">
              <w:rPr>
                <w:sz w:val="20"/>
                <w:szCs w:val="20"/>
              </w:rPr>
              <w:tab/>
              <w:t>Rachel Exeter</w:t>
            </w:r>
          </w:p>
          <w:p w:rsidR="00F026EE" w:rsidRPr="001C767B" w:rsidRDefault="00F026EE" w:rsidP="00F026EE">
            <w:pPr>
              <w:tabs>
                <w:tab w:val="left" w:pos="-1440"/>
                <w:tab w:val="left" w:pos="-720"/>
              </w:tabs>
              <w:rPr>
                <w:sz w:val="20"/>
                <w:szCs w:val="20"/>
              </w:rPr>
            </w:pPr>
          </w:p>
          <w:p w:rsidR="00F026EE" w:rsidRPr="001C767B" w:rsidRDefault="00F026EE" w:rsidP="00F026EE">
            <w:pPr>
              <w:tabs>
                <w:tab w:val="left" w:pos="-1440"/>
                <w:tab w:val="left" w:pos="-720"/>
              </w:tabs>
              <w:rPr>
                <w:sz w:val="20"/>
                <w:szCs w:val="20"/>
              </w:rPr>
            </w:pPr>
            <w:r w:rsidRPr="001C767B">
              <w:rPr>
                <w:sz w:val="20"/>
                <w:szCs w:val="20"/>
              </w:rPr>
              <w:tab/>
              <w:t>v. (36264)</w:t>
            </w:r>
          </w:p>
          <w:p w:rsidR="00F026EE" w:rsidRPr="001C767B"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F.C</w:t>
            </w:r>
            <w:r w:rsidRPr="00A935AA">
              <w:rPr>
                <w:b/>
                <w:sz w:val="20"/>
                <w:szCs w:val="20"/>
              </w:rPr>
              <w:t>.)</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Lea Bou Karam</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Treasury Board of Canada</w:t>
            </w:r>
          </w:p>
          <w:p w:rsidR="00F026EE" w:rsidRPr="00A935AA" w:rsidRDefault="00F026EE" w:rsidP="00F026EE">
            <w:pPr>
              <w:tabs>
                <w:tab w:val="left" w:pos="-1440"/>
                <w:tab w:val="left" w:pos="-720"/>
              </w:tabs>
              <w:rPr>
                <w:sz w:val="20"/>
                <w:szCs w:val="20"/>
              </w:rPr>
            </w:pPr>
          </w:p>
          <w:p w:rsidR="00F026EE" w:rsidRDefault="00F026EE" w:rsidP="00F026EE">
            <w:pPr>
              <w:keepNext/>
              <w:keepLines/>
              <w:tabs>
                <w:tab w:val="left" w:pos="-1440"/>
                <w:tab w:val="left" w:pos="-720"/>
              </w:tabs>
              <w:rPr>
                <w:b/>
                <w:sz w:val="20"/>
                <w:szCs w:val="20"/>
              </w:rPr>
            </w:pPr>
            <w:r w:rsidRPr="00A935AA">
              <w:rPr>
                <w:sz w:val="20"/>
                <w:szCs w:val="20"/>
              </w:rPr>
              <w:t xml:space="preserve">FILING DATE: </w:t>
            </w:r>
            <w:r>
              <w:rPr>
                <w:sz w:val="20"/>
                <w:szCs w:val="20"/>
              </w:rPr>
              <w:t>1</w:t>
            </w:r>
            <w:r w:rsidRPr="00A935AA">
              <w:rPr>
                <w:sz w:val="20"/>
                <w:szCs w:val="20"/>
              </w:rPr>
              <w:t>2.0</w:t>
            </w:r>
            <w:r>
              <w:rPr>
                <w:sz w:val="20"/>
                <w:szCs w:val="20"/>
              </w:rPr>
              <w:t>1</w:t>
            </w:r>
            <w:r w:rsidRPr="00A935AA">
              <w:rPr>
                <w:sz w:val="20"/>
                <w:szCs w:val="20"/>
              </w:rPr>
              <w:t>.201</w:t>
            </w:r>
            <w:r>
              <w:rPr>
                <w:sz w:val="20"/>
                <w:szCs w:val="20"/>
              </w:rPr>
              <w:t>5</w:t>
            </w:r>
            <w:r w:rsidR="00007FF8">
              <w:rPr>
                <w:sz w:val="20"/>
                <w:szCs w:val="20"/>
                <w:lang w:val="fr-CA"/>
              </w:rPr>
              <w:pict>
                <v:rect id="_x0000_i1032" style="width:108pt;height:1pt" o:hrpct="0" o:hralign="center" o:hrstd="t" o:hrnoshade="t" o:hr="t" fillcolor="black [3213]" stroked="f"/>
              </w:pict>
            </w:r>
          </w:p>
        </w:tc>
        <w:tc>
          <w:tcPr>
            <w:tcW w:w="1181" w:type="dxa"/>
            <w:shd w:val="clear" w:color="auto" w:fill="auto"/>
          </w:tcPr>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Pr="00A935AA" w:rsidRDefault="00F026EE" w:rsidP="00242AEE">
            <w:pPr>
              <w:jc w:val="center"/>
              <w:rPr>
                <w:sz w:val="20"/>
                <w:szCs w:val="20"/>
              </w:rPr>
            </w:pPr>
          </w:p>
        </w:tc>
        <w:tc>
          <w:tcPr>
            <w:tcW w:w="4320" w:type="dxa"/>
            <w:shd w:val="clear" w:color="auto" w:fill="auto"/>
          </w:tcPr>
          <w:p w:rsidR="00F026EE" w:rsidRDefault="00F026EE" w:rsidP="00F026EE">
            <w:pPr>
              <w:tabs>
                <w:tab w:val="left" w:pos="-1440"/>
                <w:tab w:val="left" w:pos="-720"/>
              </w:tabs>
              <w:rPr>
                <w:sz w:val="20"/>
                <w:szCs w:val="20"/>
                <w:lang w:val="fr-CA"/>
              </w:rPr>
            </w:pPr>
            <w:r>
              <w:rPr>
                <w:b/>
                <w:sz w:val="20"/>
                <w:szCs w:val="20"/>
                <w:lang w:val="fr-CA"/>
              </w:rPr>
              <w:t>Syndicat des travailleurs de l’éducation de l’Est du Québec (CSQ)</w:t>
            </w:r>
          </w:p>
          <w:p w:rsidR="00F026EE" w:rsidRPr="00DD240F" w:rsidRDefault="00F026EE" w:rsidP="00F026EE">
            <w:pPr>
              <w:tabs>
                <w:tab w:val="left" w:pos="-1440"/>
                <w:tab w:val="left" w:pos="-720"/>
              </w:tabs>
              <w:rPr>
                <w:sz w:val="20"/>
                <w:szCs w:val="20"/>
                <w:lang w:val="fr-CA"/>
              </w:rPr>
            </w:pPr>
            <w:r w:rsidRPr="00DD240F">
              <w:rPr>
                <w:sz w:val="20"/>
                <w:szCs w:val="20"/>
                <w:lang w:val="fr-CA"/>
              </w:rPr>
              <w:tab/>
            </w:r>
            <w:r>
              <w:rPr>
                <w:sz w:val="20"/>
                <w:szCs w:val="20"/>
                <w:lang w:val="fr-CA"/>
              </w:rPr>
              <w:t>Linda Lavoie</w:t>
            </w:r>
          </w:p>
          <w:p w:rsidR="00F026EE" w:rsidRPr="00DD240F" w:rsidRDefault="00F026EE" w:rsidP="00F026EE">
            <w:pPr>
              <w:tabs>
                <w:tab w:val="left" w:pos="-1440"/>
                <w:tab w:val="left" w:pos="-720"/>
              </w:tabs>
              <w:rPr>
                <w:sz w:val="20"/>
                <w:szCs w:val="20"/>
                <w:lang w:val="fr-CA"/>
              </w:rPr>
            </w:pPr>
            <w:r w:rsidRPr="00DD240F">
              <w:rPr>
                <w:sz w:val="20"/>
                <w:szCs w:val="20"/>
                <w:lang w:val="fr-CA"/>
              </w:rPr>
              <w:tab/>
            </w:r>
            <w:r>
              <w:rPr>
                <w:sz w:val="20"/>
                <w:szCs w:val="20"/>
                <w:lang w:val="fr-CA"/>
              </w:rPr>
              <w:t>Cain Lamarre Casgrain Wells</w:t>
            </w:r>
          </w:p>
          <w:p w:rsidR="00F026EE" w:rsidRPr="00DD240F" w:rsidRDefault="00F026EE" w:rsidP="00F026EE">
            <w:pPr>
              <w:tabs>
                <w:tab w:val="left" w:pos="-1440"/>
                <w:tab w:val="left" w:pos="-720"/>
              </w:tabs>
              <w:rPr>
                <w:sz w:val="20"/>
                <w:szCs w:val="20"/>
                <w:lang w:val="fr-CA"/>
              </w:rPr>
            </w:pPr>
          </w:p>
          <w:p w:rsidR="00F026EE" w:rsidRPr="000579C5" w:rsidRDefault="00F026EE" w:rsidP="00F026EE">
            <w:pPr>
              <w:tabs>
                <w:tab w:val="left" w:pos="-1440"/>
                <w:tab w:val="left" w:pos="-720"/>
              </w:tabs>
              <w:rPr>
                <w:sz w:val="20"/>
                <w:szCs w:val="20"/>
                <w:lang w:val="fr-CA"/>
              </w:rPr>
            </w:pPr>
            <w:r w:rsidRPr="00DD240F">
              <w:rPr>
                <w:sz w:val="20"/>
                <w:szCs w:val="20"/>
                <w:lang w:val="fr-CA"/>
              </w:rPr>
              <w:tab/>
            </w:r>
            <w:r>
              <w:rPr>
                <w:sz w:val="20"/>
                <w:szCs w:val="20"/>
                <w:lang w:val="fr-CA"/>
              </w:rPr>
              <w:t>c</w:t>
            </w:r>
            <w:r w:rsidRPr="000579C5">
              <w:rPr>
                <w:sz w:val="20"/>
                <w:szCs w:val="20"/>
                <w:lang w:val="fr-CA"/>
              </w:rPr>
              <w:t>. (36257)</w:t>
            </w:r>
          </w:p>
          <w:p w:rsidR="00F026EE" w:rsidRPr="000579C5" w:rsidRDefault="00F026EE" w:rsidP="00F026EE">
            <w:pPr>
              <w:tabs>
                <w:tab w:val="left" w:pos="-1440"/>
                <w:tab w:val="left" w:pos="-720"/>
              </w:tabs>
              <w:rPr>
                <w:sz w:val="20"/>
                <w:szCs w:val="20"/>
                <w:lang w:val="fr-CA"/>
              </w:rPr>
            </w:pPr>
          </w:p>
          <w:p w:rsidR="00F026EE" w:rsidRPr="000579C5" w:rsidRDefault="00F026EE" w:rsidP="00F026EE">
            <w:pPr>
              <w:tabs>
                <w:tab w:val="left" w:pos="-1440"/>
                <w:tab w:val="left" w:pos="-720"/>
              </w:tabs>
              <w:rPr>
                <w:b/>
                <w:sz w:val="20"/>
                <w:szCs w:val="20"/>
                <w:lang w:val="fr-CA"/>
              </w:rPr>
            </w:pPr>
            <w:r w:rsidRPr="000579C5">
              <w:rPr>
                <w:b/>
                <w:sz w:val="20"/>
                <w:szCs w:val="20"/>
                <w:lang w:val="fr-CA"/>
              </w:rPr>
              <w:t>Commission scolaire des Îles (</w:t>
            </w:r>
            <w:r>
              <w:rPr>
                <w:b/>
                <w:sz w:val="20"/>
                <w:szCs w:val="20"/>
                <w:lang w:val="fr-CA"/>
              </w:rPr>
              <w:t>Qc</w:t>
            </w:r>
            <w:r w:rsidRPr="000579C5">
              <w:rPr>
                <w:b/>
                <w:sz w:val="20"/>
                <w:szCs w:val="20"/>
                <w:lang w:val="fr-CA"/>
              </w:rPr>
              <w:t>)</w:t>
            </w:r>
          </w:p>
          <w:p w:rsidR="00F026EE" w:rsidRPr="000579C5" w:rsidRDefault="00F026EE" w:rsidP="00F026EE">
            <w:pPr>
              <w:tabs>
                <w:tab w:val="left" w:pos="-1440"/>
                <w:tab w:val="left" w:pos="-720"/>
              </w:tabs>
              <w:rPr>
                <w:sz w:val="20"/>
                <w:szCs w:val="20"/>
                <w:lang w:val="fr-CA"/>
              </w:rPr>
            </w:pPr>
            <w:r w:rsidRPr="000579C5">
              <w:rPr>
                <w:sz w:val="20"/>
                <w:szCs w:val="20"/>
                <w:lang w:val="fr-CA"/>
              </w:rPr>
              <w:tab/>
            </w:r>
            <w:r>
              <w:rPr>
                <w:sz w:val="20"/>
                <w:szCs w:val="20"/>
                <w:lang w:val="fr-CA"/>
              </w:rPr>
              <w:t>Jean-Hughes Fortier</w:t>
            </w:r>
          </w:p>
          <w:p w:rsidR="00F026EE" w:rsidRPr="000579C5" w:rsidRDefault="00F026EE" w:rsidP="00F026EE">
            <w:pPr>
              <w:tabs>
                <w:tab w:val="left" w:pos="-1440"/>
                <w:tab w:val="left" w:pos="-720"/>
              </w:tabs>
              <w:rPr>
                <w:sz w:val="20"/>
                <w:szCs w:val="20"/>
                <w:lang w:val="fr-CA"/>
              </w:rPr>
            </w:pPr>
            <w:r w:rsidRPr="000579C5">
              <w:rPr>
                <w:sz w:val="20"/>
                <w:szCs w:val="20"/>
                <w:lang w:val="fr-CA"/>
              </w:rPr>
              <w:tab/>
            </w:r>
            <w:r>
              <w:rPr>
                <w:sz w:val="20"/>
                <w:szCs w:val="20"/>
                <w:lang w:val="fr-CA"/>
              </w:rPr>
              <w:t>Morency Société d’Avocats, s.e.n.c.</w:t>
            </w:r>
          </w:p>
          <w:p w:rsidR="00F026EE" w:rsidRPr="000579C5" w:rsidRDefault="00F026EE" w:rsidP="00F026EE">
            <w:pPr>
              <w:tabs>
                <w:tab w:val="left" w:pos="-1440"/>
                <w:tab w:val="left" w:pos="-720"/>
              </w:tabs>
              <w:rPr>
                <w:sz w:val="20"/>
                <w:szCs w:val="20"/>
                <w:lang w:val="fr-CA"/>
              </w:rPr>
            </w:pPr>
          </w:p>
          <w:p w:rsidR="00F026EE" w:rsidRPr="000579C5" w:rsidRDefault="00F026EE" w:rsidP="00F026EE">
            <w:pPr>
              <w:rPr>
                <w:sz w:val="20"/>
                <w:szCs w:val="20"/>
                <w:lang w:val="fr-CA"/>
              </w:rPr>
            </w:pPr>
            <w:r w:rsidRPr="00806A5B">
              <w:rPr>
                <w:sz w:val="20"/>
                <w:szCs w:val="20"/>
                <w:lang w:val="fr-CA"/>
              </w:rPr>
              <w:t>DATE DE PRODUCTION: 1</w:t>
            </w:r>
            <w:r>
              <w:rPr>
                <w:sz w:val="20"/>
                <w:szCs w:val="20"/>
                <w:lang w:val="fr-CA"/>
              </w:rPr>
              <w:t>4</w:t>
            </w:r>
            <w:r w:rsidRPr="00806A5B">
              <w:rPr>
                <w:sz w:val="20"/>
                <w:szCs w:val="20"/>
                <w:lang w:val="fr-CA"/>
              </w:rPr>
              <w:t>.01.201</w:t>
            </w:r>
            <w:r>
              <w:rPr>
                <w:sz w:val="20"/>
                <w:szCs w:val="20"/>
                <w:lang w:val="fr-CA"/>
              </w:rPr>
              <w:t>5</w:t>
            </w:r>
            <w:r w:rsidR="00007FF8">
              <w:rPr>
                <w:sz w:val="20"/>
                <w:szCs w:val="20"/>
                <w:lang w:val="fr-CA"/>
              </w:rPr>
              <w:pict>
                <v:rect id="_x0000_i1033" style="width:108pt;height:1pt" o:hrpct="0" o:hralign="center" o:hrstd="t" o:hrnoshade="t" o:hr="t" fillcolor="black [3213]" stroked="f"/>
              </w:pict>
            </w:r>
          </w:p>
        </w:tc>
      </w:tr>
      <w:tr w:rsidR="00F026EE" w:rsidRPr="00A935AA" w:rsidTr="003F1877">
        <w:trPr>
          <w:cantSplit/>
        </w:trPr>
        <w:tc>
          <w:tcPr>
            <w:tcW w:w="4320" w:type="dxa"/>
            <w:shd w:val="clear" w:color="auto" w:fill="auto"/>
          </w:tcPr>
          <w:p w:rsidR="00F026EE" w:rsidRPr="00A935AA" w:rsidRDefault="00F026EE" w:rsidP="00E115AA">
            <w:pPr>
              <w:rPr>
                <w:b/>
                <w:sz w:val="20"/>
                <w:szCs w:val="20"/>
              </w:rPr>
            </w:pPr>
            <w:r>
              <w:rPr>
                <w:b/>
                <w:sz w:val="20"/>
                <w:szCs w:val="20"/>
              </w:rPr>
              <w:lastRenderedPageBreak/>
              <w:t>Jean Maynard</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Christopher Mostovac</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Starnino Mostovac</w:t>
            </w:r>
          </w:p>
          <w:p w:rsidR="00F026EE" w:rsidRPr="00A935AA" w:rsidRDefault="00F026EE" w:rsidP="00E115AA">
            <w:pPr>
              <w:tabs>
                <w:tab w:val="left" w:pos="-1440"/>
                <w:tab w:val="left" w:pos="-720"/>
              </w:tabs>
              <w:rPr>
                <w:sz w:val="20"/>
                <w:szCs w:val="20"/>
              </w:rPr>
            </w:pPr>
          </w:p>
          <w:p w:rsidR="00F026EE" w:rsidRPr="00DD240F" w:rsidRDefault="00F026EE" w:rsidP="00E115AA">
            <w:pPr>
              <w:tabs>
                <w:tab w:val="left" w:pos="-1440"/>
                <w:tab w:val="left" w:pos="-720"/>
              </w:tabs>
              <w:rPr>
                <w:sz w:val="20"/>
                <w:szCs w:val="20"/>
                <w:lang w:val="fr-CA"/>
              </w:rPr>
            </w:pPr>
            <w:r w:rsidRPr="00A935AA">
              <w:rPr>
                <w:sz w:val="20"/>
                <w:szCs w:val="20"/>
              </w:rPr>
              <w:tab/>
            </w:r>
            <w:r w:rsidRPr="00DD240F">
              <w:rPr>
                <w:sz w:val="20"/>
                <w:szCs w:val="20"/>
                <w:lang w:val="fr-CA"/>
              </w:rPr>
              <w:t>c. (3</w:t>
            </w:r>
            <w:r>
              <w:rPr>
                <w:sz w:val="20"/>
                <w:szCs w:val="20"/>
                <w:lang w:val="fr-CA"/>
              </w:rPr>
              <w:t>625</w:t>
            </w:r>
            <w:r w:rsidRPr="00DD240F">
              <w:rPr>
                <w:sz w:val="20"/>
                <w:szCs w:val="20"/>
                <w:lang w:val="fr-CA"/>
              </w:rPr>
              <w:t>5)</w:t>
            </w:r>
          </w:p>
          <w:p w:rsidR="00F026EE" w:rsidRPr="00DD240F" w:rsidRDefault="00F026EE" w:rsidP="00E115AA">
            <w:pPr>
              <w:tabs>
                <w:tab w:val="left" w:pos="-1440"/>
                <w:tab w:val="left" w:pos="-720"/>
              </w:tabs>
              <w:rPr>
                <w:sz w:val="20"/>
                <w:szCs w:val="20"/>
                <w:lang w:val="fr-CA"/>
              </w:rPr>
            </w:pPr>
          </w:p>
          <w:p w:rsidR="00F026EE" w:rsidRPr="00DD240F" w:rsidRDefault="00F026EE" w:rsidP="00E115AA">
            <w:pPr>
              <w:tabs>
                <w:tab w:val="left" w:pos="-1440"/>
                <w:tab w:val="left" w:pos="-720"/>
              </w:tabs>
              <w:rPr>
                <w:b/>
                <w:sz w:val="20"/>
                <w:szCs w:val="20"/>
                <w:lang w:val="fr-CA"/>
              </w:rPr>
            </w:pPr>
            <w:r>
              <w:rPr>
                <w:b/>
                <w:sz w:val="20"/>
                <w:szCs w:val="20"/>
                <w:lang w:val="fr-CA"/>
              </w:rPr>
              <w:t xml:space="preserve">Procureur général du Canada </w:t>
            </w:r>
            <w:r w:rsidRPr="00DD240F">
              <w:rPr>
                <w:b/>
                <w:sz w:val="20"/>
                <w:szCs w:val="20"/>
                <w:lang w:val="fr-CA"/>
              </w:rPr>
              <w:t>(</w:t>
            </w:r>
            <w:r>
              <w:rPr>
                <w:b/>
                <w:sz w:val="20"/>
                <w:szCs w:val="20"/>
                <w:lang w:val="fr-CA"/>
              </w:rPr>
              <w:t>Qc</w:t>
            </w:r>
            <w:r w:rsidRPr="00DD240F">
              <w:rPr>
                <w:b/>
                <w:sz w:val="20"/>
                <w:szCs w:val="20"/>
                <w:lang w:val="fr-CA"/>
              </w:rPr>
              <w:t>)</w:t>
            </w:r>
          </w:p>
          <w:p w:rsidR="00F026EE" w:rsidRPr="00DD240F" w:rsidRDefault="00F026EE" w:rsidP="00E115AA">
            <w:pPr>
              <w:tabs>
                <w:tab w:val="left" w:pos="-1440"/>
                <w:tab w:val="left" w:pos="-720"/>
              </w:tabs>
              <w:rPr>
                <w:sz w:val="20"/>
                <w:szCs w:val="20"/>
                <w:lang w:val="fr-CA"/>
              </w:rPr>
            </w:pPr>
            <w:r w:rsidRPr="00DD240F">
              <w:rPr>
                <w:sz w:val="20"/>
                <w:szCs w:val="20"/>
                <w:lang w:val="fr-CA"/>
              </w:rPr>
              <w:tab/>
            </w:r>
            <w:r>
              <w:rPr>
                <w:sz w:val="20"/>
                <w:szCs w:val="20"/>
                <w:lang w:val="fr-CA"/>
              </w:rPr>
              <w:t>Joanne Granger</w:t>
            </w:r>
          </w:p>
          <w:p w:rsidR="00F026EE" w:rsidRPr="00DD240F" w:rsidRDefault="00F026EE" w:rsidP="00E115AA">
            <w:pPr>
              <w:tabs>
                <w:tab w:val="left" w:pos="-1440"/>
                <w:tab w:val="left" w:pos="-720"/>
              </w:tabs>
              <w:rPr>
                <w:sz w:val="20"/>
                <w:szCs w:val="20"/>
                <w:lang w:val="fr-CA"/>
              </w:rPr>
            </w:pPr>
            <w:r w:rsidRPr="00DD240F">
              <w:rPr>
                <w:sz w:val="20"/>
                <w:szCs w:val="20"/>
                <w:lang w:val="fr-CA"/>
              </w:rPr>
              <w:tab/>
            </w:r>
            <w:r>
              <w:rPr>
                <w:sz w:val="20"/>
                <w:szCs w:val="20"/>
                <w:lang w:val="fr-CA"/>
              </w:rPr>
              <w:t>P.G. du Canada</w:t>
            </w:r>
          </w:p>
          <w:p w:rsidR="00F026EE" w:rsidRPr="00DD240F" w:rsidRDefault="00F026EE" w:rsidP="00E115AA">
            <w:pPr>
              <w:tabs>
                <w:tab w:val="left" w:pos="-1440"/>
                <w:tab w:val="left" w:pos="-720"/>
              </w:tabs>
              <w:rPr>
                <w:sz w:val="20"/>
                <w:szCs w:val="20"/>
                <w:lang w:val="fr-CA"/>
              </w:rPr>
            </w:pPr>
          </w:p>
          <w:p w:rsidR="00F026EE" w:rsidRPr="00DD240F" w:rsidRDefault="00F026EE" w:rsidP="00E115AA">
            <w:pPr>
              <w:rPr>
                <w:sz w:val="20"/>
                <w:szCs w:val="20"/>
                <w:lang w:val="fr-CA"/>
              </w:rPr>
            </w:pPr>
            <w:r w:rsidRPr="00806A5B">
              <w:rPr>
                <w:sz w:val="20"/>
                <w:szCs w:val="20"/>
                <w:lang w:val="fr-CA"/>
              </w:rPr>
              <w:t>DATE DE PRODUCTION: 1</w:t>
            </w:r>
            <w:r>
              <w:rPr>
                <w:sz w:val="20"/>
                <w:szCs w:val="20"/>
                <w:lang w:val="fr-CA"/>
              </w:rPr>
              <w:t>4</w:t>
            </w:r>
            <w:r w:rsidRPr="00806A5B">
              <w:rPr>
                <w:sz w:val="20"/>
                <w:szCs w:val="20"/>
                <w:lang w:val="fr-CA"/>
              </w:rPr>
              <w:t>.01.201</w:t>
            </w:r>
            <w:r>
              <w:rPr>
                <w:sz w:val="20"/>
                <w:szCs w:val="20"/>
                <w:lang w:val="fr-CA"/>
              </w:rPr>
              <w:t>5</w:t>
            </w:r>
            <w:r w:rsidR="00007FF8">
              <w:rPr>
                <w:sz w:val="20"/>
                <w:szCs w:val="20"/>
                <w:lang w:val="fr-CA"/>
              </w:rPr>
              <w:pict>
                <v:rect id="_x0000_i1034" style="width:108pt;height:1pt" o:hrpct="0" o:hralign="center" o:hrstd="t" o:hrnoshade="t" o:hr="t" fillcolor="black [3213]" stroked="f"/>
              </w:pict>
            </w:r>
          </w:p>
        </w:tc>
        <w:tc>
          <w:tcPr>
            <w:tcW w:w="1181" w:type="dxa"/>
            <w:shd w:val="clear" w:color="auto" w:fill="auto"/>
          </w:tcPr>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Pr="00A935AA"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Pr="00A935AA" w:rsidRDefault="00F026EE" w:rsidP="00242AEE">
            <w:pPr>
              <w:jc w:val="center"/>
              <w:rPr>
                <w:sz w:val="20"/>
                <w:szCs w:val="20"/>
              </w:rPr>
            </w:pPr>
          </w:p>
        </w:tc>
        <w:tc>
          <w:tcPr>
            <w:tcW w:w="4320" w:type="dxa"/>
            <w:shd w:val="clear" w:color="auto" w:fill="auto"/>
          </w:tcPr>
          <w:p w:rsidR="00F026EE" w:rsidRPr="00A935AA" w:rsidRDefault="00F026EE" w:rsidP="00E115AA">
            <w:pPr>
              <w:rPr>
                <w:b/>
                <w:sz w:val="20"/>
                <w:szCs w:val="20"/>
              </w:rPr>
            </w:pPr>
            <w:r>
              <w:rPr>
                <w:b/>
                <w:sz w:val="20"/>
                <w:szCs w:val="20"/>
              </w:rPr>
              <w:t xml:space="preserve">Roberto Orellana Gonzalez </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Roberto Orellana Gonzalez</w:t>
            </w:r>
          </w:p>
          <w:p w:rsidR="00F026EE" w:rsidRPr="00A935AA" w:rsidRDefault="00F026EE" w:rsidP="00E115AA">
            <w:pPr>
              <w:tabs>
                <w:tab w:val="left" w:pos="-1440"/>
                <w:tab w:val="left" w:pos="-720"/>
              </w:tabs>
              <w:rPr>
                <w:sz w:val="20"/>
                <w:szCs w:val="20"/>
              </w:rPr>
            </w:pPr>
          </w:p>
          <w:p w:rsidR="00F026EE" w:rsidRPr="00A935AA" w:rsidRDefault="00F026EE" w:rsidP="00E115AA">
            <w:pPr>
              <w:tabs>
                <w:tab w:val="left" w:pos="-1440"/>
                <w:tab w:val="left" w:pos="-720"/>
              </w:tabs>
              <w:rPr>
                <w:sz w:val="20"/>
                <w:szCs w:val="20"/>
              </w:rPr>
            </w:pPr>
            <w:r w:rsidRPr="00A935AA">
              <w:rPr>
                <w:sz w:val="20"/>
                <w:szCs w:val="20"/>
              </w:rPr>
              <w:tab/>
              <w:t>v. (3</w:t>
            </w:r>
            <w:r>
              <w:rPr>
                <w:sz w:val="20"/>
                <w:szCs w:val="20"/>
              </w:rPr>
              <w:t>6263</w:t>
            </w:r>
            <w:r w:rsidRPr="00A935AA">
              <w:rPr>
                <w:sz w:val="20"/>
                <w:szCs w:val="20"/>
              </w:rPr>
              <w:t>)</w:t>
            </w:r>
          </w:p>
          <w:p w:rsidR="00F026EE" w:rsidRPr="00A935AA" w:rsidRDefault="00F026EE" w:rsidP="00E115AA">
            <w:pPr>
              <w:tabs>
                <w:tab w:val="left" w:pos="-1440"/>
                <w:tab w:val="left" w:pos="-720"/>
              </w:tabs>
              <w:rPr>
                <w:sz w:val="20"/>
                <w:szCs w:val="20"/>
              </w:rPr>
            </w:pPr>
          </w:p>
          <w:p w:rsidR="00F026EE" w:rsidRPr="00A935AA" w:rsidRDefault="00F026EE" w:rsidP="00E115AA">
            <w:pPr>
              <w:tabs>
                <w:tab w:val="left" w:pos="-1440"/>
                <w:tab w:val="left" w:pos="-720"/>
              </w:tabs>
              <w:rPr>
                <w:b/>
                <w:sz w:val="20"/>
                <w:szCs w:val="20"/>
              </w:rPr>
            </w:pPr>
            <w:r>
              <w:rPr>
                <w:b/>
                <w:sz w:val="20"/>
                <w:szCs w:val="20"/>
              </w:rPr>
              <w:t xml:space="preserve">Her Majesty the Queen in Right of the Province of British Columbia et al. </w:t>
            </w:r>
            <w:r w:rsidRPr="00A935AA">
              <w:rPr>
                <w:b/>
                <w:sz w:val="20"/>
                <w:szCs w:val="20"/>
              </w:rPr>
              <w:t>(</w:t>
            </w:r>
            <w:r>
              <w:rPr>
                <w:b/>
                <w:sz w:val="20"/>
                <w:szCs w:val="20"/>
              </w:rPr>
              <w:t>B.C</w:t>
            </w:r>
            <w:r w:rsidRPr="00A935AA">
              <w:rPr>
                <w:b/>
                <w:sz w:val="20"/>
                <w:szCs w:val="20"/>
              </w:rPr>
              <w:t>.)</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Jonathan Eades</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A.G. of British Columbia</w:t>
            </w:r>
          </w:p>
          <w:p w:rsidR="00F026EE" w:rsidRPr="00A935AA" w:rsidRDefault="00F026EE" w:rsidP="00E115AA">
            <w:pPr>
              <w:tabs>
                <w:tab w:val="left" w:pos="-1440"/>
                <w:tab w:val="left" w:pos="-720"/>
              </w:tabs>
              <w:rPr>
                <w:sz w:val="20"/>
                <w:szCs w:val="20"/>
              </w:rPr>
            </w:pPr>
          </w:p>
          <w:p w:rsidR="00F026EE" w:rsidRDefault="00F026EE" w:rsidP="00E115AA">
            <w:pPr>
              <w:rPr>
                <w:b/>
                <w:sz w:val="20"/>
                <w:szCs w:val="20"/>
              </w:rPr>
            </w:pPr>
            <w:r w:rsidRPr="00A935AA">
              <w:rPr>
                <w:sz w:val="20"/>
                <w:szCs w:val="20"/>
              </w:rPr>
              <w:t xml:space="preserve">FILING DATE: </w:t>
            </w:r>
            <w:r>
              <w:rPr>
                <w:sz w:val="20"/>
                <w:szCs w:val="20"/>
              </w:rPr>
              <w:t>15</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35" style="width:108pt;height:1pt" o:hrpct="0" o:hralign="center" o:hrstd="t" o:hrnoshade="t" o:hr="t" fillcolor="black [3213]" stroked="f"/>
              </w:pict>
            </w:r>
          </w:p>
        </w:tc>
      </w:tr>
      <w:tr w:rsidR="00F026EE" w:rsidRPr="00F026EE" w:rsidTr="003F1877">
        <w:trPr>
          <w:cantSplit/>
        </w:trPr>
        <w:tc>
          <w:tcPr>
            <w:tcW w:w="4320" w:type="dxa"/>
            <w:shd w:val="clear" w:color="auto" w:fill="auto"/>
          </w:tcPr>
          <w:p w:rsidR="00F026EE" w:rsidRPr="00365330" w:rsidRDefault="00F026EE" w:rsidP="00E115AA">
            <w:pPr>
              <w:rPr>
                <w:b/>
                <w:sz w:val="20"/>
                <w:szCs w:val="20"/>
                <w:lang w:val="fr-CA"/>
              </w:rPr>
            </w:pPr>
            <w:r w:rsidRPr="00365330">
              <w:rPr>
                <w:b/>
                <w:sz w:val="20"/>
                <w:szCs w:val="20"/>
                <w:lang w:val="fr-CA"/>
              </w:rPr>
              <w:t>Ellis</w:t>
            </w:r>
            <w:r w:rsidR="00784049">
              <w:rPr>
                <w:b/>
                <w:sz w:val="20"/>
                <w:szCs w:val="20"/>
                <w:lang w:val="fr-CA"/>
              </w:rPr>
              <w:t>D</w:t>
            </w:r>
            <w:r w:rsidRPr="00365330">
              <w:rPr>
                <w:b/>
                <w:sz w:val="20"/>
                <w:szCs w:val="20"/>
                <w:lang w:val="fr-CA"/>
              </w:rPr>
              <w:t>on Corporation</w:t>
            </w:r>
          </w:p>
          <w:p w:rsidR="00F026EE" w:rsidRPr="00365330" w:rsidRDefault="00F026EE" w:rsidP="00E115AA">
            <w:pPr>
              <w:tabs>
                <w:tab w:val="left" w:pos="-1440"/>
                <w:tab w:val="left" w:pos="-720"/>
              </w:tabs>
              <w:rPr>
                <w:sz w:val="20"/>
                <w:szCs w:val="20"/>
                <w:lang w:val="fr-CA"/>
              </w:rPr>
            </w:pPr>
            <w:r w:rsidRPr="00365330">
              <w:rPr>
                <w:sz w:val="20"/>
                <w:szCs w:val="20"/>
                <w:lang w:val="fr-CA"/>
              </w:rPr>
              <w:tab/>
              <w:t>Alan J. Lenczner, Q.C.</w:t>
            </w:r>
          </w:p>
          <w:p w:rsidR="00F026EE" w:rsidRPr="000579C5" w:rsidRDefault="00F026EE" w:rsidP="00E115AA">
            <w:pPr>
              <w:tabs>
                <w:tab w:val="left" w:pos="-1440"/>
                <w:tab w:val="left" w:pos="-720"/>
              </w:tabs>
              <w:rPr>
                <w:sz w:val="20"/>
                <w:szCs w:val="20"/>
              </w:rPr>
            </w:pPr>
            <w:r w:rsidRPr="00365330">
              <w:rPr>
                <w:sz w:val="20"/>
                <w:szCs w:val="20"/>
                <w:lang w:val="fr-CA"/>
              </w:rPr>
              <w:tab/>
            </w:r>
            <w:r w:rsidRPr="000579C5">
              <w:rPr>
                <w:sz w:val="20"/>
                <w:szCs w:val="20"/>
              </w:rPr>
              <w:t xml:space="preserve">Lenczner Slaght Royce Smith Griffin </w:t>
            </w:r>
            <w:r w:rsidRPr="000579C5">
              <w:rPr>
                <w:sz w:val="20"/>
                <w:szCs w:val="20"/>
              </w:rPr>
              <w:tab/>
              <w:t>LLP</w:t>
            </w:r>
          </w:p>
          <w:p w:rsidR="00F026EE" w:rsidRPr="000579C5" w:rsidRDefault="00F026EE" w:rsidP="00E115AA">
            <w:pPr>
              <w:tabs>
                <w:tab w:val="left" w:pos="-1440"/>
                <w:tab w:val="left" w:pos="-720"/>
              </w:tabs>
              <w:rPr>
                <w:sz w:val="20"/>
                <w:szCs w:val="20"/>
              </w:rPr>
            </w:pPr>
          </w:p>
          <w:p w:rsidR="00F026EE" w:rsidRPr="00A935AA" w:rsidRDefault="00F026EE" w:rsidP="00E115AA">
            <w:pPr>
              <w:tabs>
                <w:tab w:val="left" w:pos="-1440"/>
                <w:tab w:val="left" w:pos="-720"/>
              </w:tabs>
              <w:rPr>
                <w:sz w:val="20"/>
                <w:szCs w:val="20"/>
              </w:rPr>
            </w:pPr>
            <w:r w:rsidRPr="000579C5">
              <w:rPr>
                <w:sz w:val="20"/>
                <w:szCs w:val="20"/>
              </w:rPr>
              <w:tab/>
            </w:r>
            <w:r w:rsidRPr="00A935AA">
              <w:rPr>
                <w:sz w:val="20"/>
                <w:szCs w:val="20"/>
              </w:rPr>
              <w:t>v. (3</w:t>
            </w:r>
            <w:r>
              <w:rPr>
                <w:sz w:val="20"/>
                <w:szCs w:val="20"/>
              </w:rPr>
              <w:t>6256</w:t>
            </w:r>
            <w:r w:rsidRPr="00A935AA">
              <w:rPr>
                <w:sz w:val="20"/>
                <w:szCs w:val="20"/>
              </w:rPr>
              <w:t>)</w:t>
            </w:r>
          </w:p>
          <w:p w:rsidR="00F026EE" w:rsidRPr="00A935AA" w:rsidRDefault="00F026EE" w:rsidP="00E115AA">
            <w:pPr>
              <w:tabs>
                <w:tab w:val="left" w:pos="-1440"/>
                <w:tab w:val="left" w:pos="-720"/>
              </w:tabs>
              <w:rPr>
                <w:sz w:val="20"/>
                <w:szCs w:val="20"/>
              </w:rPr>
            </w:pPr>
          </w:p>
          <w:p w:rsidR="00F026EE" w:rsidRPr="00A935AA" w:rsidRDefault="00F026EE" w:rsidP="00E115AA">
            <w:pPr>
              <w:tabs>
                <w:tab w:val="left" w:pos="-1440"/>
                <w:tab w:val="left" w:pos="-720"/>
              </w:tabs>
              <w:rPr>
                <w:b/>
                <w:sz w:val="20"/>
                <w:szCs w:val="20"/>
              </w:rPr>
            </w:pPr>
            <w:r>
              <w:rPr>
                <w:b/>
                <w:sz w:val="20"/>
                <w:szCs w:val="20"/>
              </w:rPr>
              <w:t xml:space="preserve">Ontario Sheet Metal Workers’ and Roofers’ Conference and International Brotherhood of Electrical Workers, Local 586 </w:t>
            </w:r>
            <w:r w:rsidRPr="00A935AA">
              <w:rPr>
                <w:b/>
                <w:sz w:val="20"/>
                <w:szCs w:val="20"/>
              </w:rPr>
              <w:t>(</w:t>
            </w:r>
            <w:r>
              <w:rPr>
                <w:b/>
                <w:sz w:val="20"/>
                <w:szCs w:val="20"/>
              </w:rPr>
              <w:t>Ont</w:t>
            </w:r>
            <w:r w:rsidRPr="00A935AA">
              <w:rPr>
                <w:b/>
                <w:sz w:val="20"/>
                <w:szCs w:val="20"/>
              </w:rPr>
              <w:t>.)</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Marc D. Contini</w:t>
            </w:r>
          </w:p>
          <w:p w:rsidR="00F026EE" w:rsidRPr="00A935AA" w:rsidRDefault="00F026EE" w:rsidP="00E115AA">
            <w:pPr>
              <w:tabs>
                <w:tab w:val="left" w:pos="-1440"/>
                <w:tab w:val="left" w:pos="-720"/>
              </w:tabs>
              <w:rPr>
                <w:sz w:val="20"/>
                <w:szCs w:val="20"/>
              </w:rPr>
            </w:pPr>
            <w:r w:rsidRPr="00A935AA">
              <w:rPr>
                <w:sz w:val="20"/>
                <w:szCs w:val="20"/>
              </w:rPr>
              <w:tab/>
            </w:r>
            <w:r>
              <w:rPr>
                <w:sz w:val="20"/>
                <w:szCs w:val="20"/>
              </w:rPr>
              <w:t>Matthews, Dinsdale &amp; Clark LLP</w:t>
            </w:r>
          </w:p>
          <w:p w:rsidR="00F026EE" w:rsidRPr="006A028C" w:rsidRDefault="00F026EE" w:rsidP="00E115AA">
            <w:pPr>
              <w:rPr>
                <w:b/>
                <w:sz w:val="20"/>
                <w:szCs w:val="20"/>
              </w:rPr>
            </w:pPr>
          </w:p>
          <w:p w:rsidR="00F026EE" w:rsidRPr="006A028C" w:rsidRDefault="00F026EE" w:rsidP="00E115AA">
            <w:pPr>
              <w:rPr>
                <w:b/>
                <w:sz w:val="20"/>
                <w:szCs w:val="20"/>
              </w:rPr>
            </w:pPr>
            <w:r w:rsidRPr="00A935AA">
              <w:rPr>
                <w:sz w:val="20"/>
                <w:szCs w:val="20"/>
              </w:rPr>
              <w:t xml:space="preserve">FILING DATE: </w:t>
            </w:r>
            <w:r>
              <w:rPr>
                <w:sz w:val="20"/>
                <w:szCs w:val="20"/>
              </w:rPr>
              <w:t>15</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36" style="width:108pt;height:1pt" o:hrpct="0" o:hralign="center" o:hrstd="t" o:hrnoshade="t" o:hr="t" fillcolor="black [3213]" stroked="f"/>
              </w:pict>
            </w:r>
          </w:p>
        </w:tc>
        <w:tc>
          <w:tcPr>
            <w:tcW w:w="1181" w:type="dxa"/>
            <w:shd w:val="clear" w:color="auto" w:fill="auto"/>
          </w:tcPr>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Pr="00365330" w:rsidRDefault="00F026EE" w:rsidP="00242AEE">
            <w:pPr>
              <w:jc w:val="center"/>
              <w:rPr>
                <w:sz w:val="20"/>
                <w:szCs w:val="20"/>
              </w:rPr>
            </w:pPr>
          </w:p>
          <w:p w:rsidR="00F026EE" w:rsidRPr="00365330" w:rsidRDefault="00F026EE" w:rsidP="00242AEE">
            <w:pPr>
              <w:jc w:val="center"/>
              <w:rPr>
                <w:sz w:val="20"/>
                <w:szCs w:val="20"/>
              </w:rPr>
            </w:pPr>
          </w:p>
        </w:tc>
        <w:tc>
          <w:tcPr>
            <w:tcW w:w="4320" w:type="dxa"/>
            <w:shd w:val="clear" w:color="auto" w:fill="auto"/>
          </w:tcPr>
          <w:p w:rsidR="00F026EE" w:rsidRPr="009D00FF" w:rsidRDefault="00F026EE" w:rsidP="00F026EE">
            <w:pPr>
              <w:rPr>
                <w:b/>
                <w:sz w:val="20"/>
                <w:szCs w:val="20"/>
                <w:lang w:val="fr-CA"/>
              </w:rPr>
            </w:pPr>
            <w:r w:rsidRPr="009D00FF">
              <w:rPr>
                <w:b/>
                <w:sz w:val="20"/>
                <w:szCs w:val="20"/>
                <w:lang w:val="fr-CA"/>
              </w:rPr>
              <w:t xml:space="preserve">Louis Peter Tekavec et al. </w:t>
            </w:r>
          </w:p>
          <w:p w:rsidR="00F026EE" w:rsidRPr="00365330" w:rsidRDefault="00F026EE" w:rsidP="00F026EE">
            <w:pPr>
              <w:tabs>
                <w:tab w:val="left" w:pos="-1440"/>
                <w:tab w:val="left" w:pos="-720"/>
              </w:tabs>
              <w:rPr>
                <w:sz w:val="20"/>
                <w:szCs w:val="20"/>
              </w:rPr>
            </w:pPr>
            <w:r w:rsidRPr="009D00FF">
              <w:rPr>
                <w:sz w:val="20"/>
                <w:szCs w:val="20"/>
                <w:lang w:val="fr-CA"/>
              </w:rPr>
              <w:tab/>
            </w:r>
            <w:r w:rsidRPr="00365330">
              <w:rPr>
                <w:sz w:val="20"/>
                <w:szCs w:val="20"/>
              </w:rPr>
              <w:t>Louis Peter Tekavec</w:t>
            </w:r>
          </w:p>
          <w:p w:rsidR="00F026EE" w:rsidRPr="00365330"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sz w:val="20"/>
                <w:szCs w:val="20"/>
              </w:rPr>
            </w:pPr>
            <w:r w:rsidRPr="00365330">
              <w:rPr>
                <w:sz w:val="20"/>
                <w:szCs w:val="20"/>
              </w:rPr>
              <w:tab/>
            </w:r>
            <w:r w:rsidRPr="00A935AA">
              <w:rPr>
                <w:sz w:val="20"/>
                <w:szCs w:val="20"/>
              </w:rPr>
              <w:t>v. (3</w:t>
            </w:r>
            <w:r>
              <w:rPr>
                <w:sz w:val="20"/>
                <w:szCs w:val="20"/>
              </w:rPr>
              <w:t>6269</w:t>
            </w:r>
            <w:r w:rsidRPr="00A935AA">
              <w:rPr>
                <w:sz w:val="20"/>
                <w:szCs w:val="20"/>
              </w:rPr>
              <w:t>)</w:t>
            </w:r>
          </w:p>
          <w:p w:rsidR="00F026EE" w:rsidRPr="00A935AA" w:rsidRDefault="00F026EE" w:rsidP="00F026EE">
            <w:pPr>
              <w:tabs>
                <w:tab w:val="left" w:pos="-1440"/>
                <w:tab w:val="left" w:pos="-720"/>
              </w:tabs>
              <w:rPr>
                <w:sz w:val="20"/>
                <w:szCs w:val="20"/>
              </w:rPr>
            </w:pPr>
          </w:p>
          <w:p w:rsidR="00F026EE" w:rsidRPr="00A935AA" w:rsidRDefault="00F026EE" w:rsidP="00F026EE">
            <w:pPr>
              <w:tabs>
                <w:tab w:val="left" w:pos="-1440"/>
                <w:tab w:val="left" w:pos="-720"/>
              </w:tabs>
              <w:rPr>
                <w:b/>
                <w:sz w:val="20"/>
                <w:szCs w:val="20"/>
              </w:rPr>
            </w:pPr>
            <w:r>
              <w:rPr>
                <w:b/>
                <w:sz w:val="20"/>
                <w:szCs w:val="20"/>
              </w:rPr>
              <w:t xml:space="preserve">Her Majesty the Queen in Right of the Province of British Columbia et al. </w:t>
            </w:r>
            <w:r w:rsidRPr="00A935AA">
              <w:rPr>
                <w:b/>
                <w:sz w:val="20"/>
                <w:szCs w:val="20"/>
              </w:rPr>
              <w:t>(</w:t>
            </w:r>
            <w:r>
              <w:rPr>
                <w:b/>
                <w:sz w:val="20"/>
                <w:szCs w:val="20"/>
              </w:rPr>
              <w:t>B.C</w:t>
            </w:r>
            <w:r w:rsidRPr="00A935AA">
              <w:rPr>
                <w:b/>
                <w:sz w:val="20"/>
                <w:szCs w:val="20"/>
              </w:rPr>
              <w:t>.)</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Peter Lawless</w:t>
            </w:r>
          </w:p>
          <w:p w:rsidR="00F026EE" w:rsidRPr="00A935AA" w:rsidRDefault="00F026EE" w:rsidP="00F026EE">
            <w:pPr>
              <w:tabs>
                <w:tab w:val="left" w:pos="-1440"/>
                <w:tab w:val="left" w:pos="-720"/>
              </w:tabs>
              <w:rPr>
                <w:sz w:val="20"/>
                <w:szCs w:val="20"/>
              </w:rPr>
            </w:pPr>
            <w:r w:rsidRPr="00A935AA">
              <w:rPr>
                <w:sz w:val="20"/>
                <w:szCs w:val="20"/>
              </w:rPr>
              <w:tab/>
            </w:r>
            <w:r>
              <w:rPr>
                <w:sz w:val="20"/>
                <w:szCs w:val="20"/>
              </w:rPr>
              <w:t>A.G. of British Columbia</w:t>
            </w:r>
          </w:p>
          <w:p w:rsidR="00F026EE" w:rsidRPr="00A935AA" w:rsidRDefault="00F026EE" w:rsidP="00F026EE">
            <w:pPr>
              <w:tabs>
                <w:tab w:val="left" w:pos="-1440"/>
                <w:tab w:val="left" w:pos="-720"/>
              </w:tabs>
              <w:rPr>
                <w:sz w:val="20"/>
                <w:szCs w:val="20"/>
              </w:rPr>
            </w:pPr>
          </w:p>
          <w:p w:rsidR="00F026EE" w:rsidRPr="001C767B" w:rsidRDefault="00F026EE" w:rsidP="00F026EE">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37" style="width:108pt;height:1pt" o:hrpct="0" o:hralign="center" o:hrstd="t" o:hrnoshade="t" o:hr="t" fillcolor="black [3213]" stroked="f"/>
              </w:pict>
            </w:r>
          </w:p>
          <w:p w:rsidR="00F026EE" w:rsidRPr="001C767B" w:rsidRDefault="00F026EE" w:rsidP="00F026EE">
            <w:pPr>
              <w:rPr>
                <w:sz w:val="20"/>
                <w:szCs w:val="20"/>
              </w:rPr>
            </w:pPr>
          </w:p>
          <w:p w:rsidR="00F026EE" w:rsidRDefault="00F026EE" w:rsidP="00F026EE">
            <w:pPr>
              <w:rPr>
                <w:b/>
                <w:sz w:val="20"/>
                <w:szCs w:val="20"/>
                <w:lang w:val="fr-CA"/>
              </w:rPr>
            </w:pPr>
            <w:r w:rsidRPr="006A028C">
              <w:rPr>
                <w:b/>
                <w:sz w:val="20"/>
                <w:szCs w:val="20"/>
                <w:lang w:val="fr-CA"/>
              </w:rPr>
              <w:t>9080-9211 Québec Inc. (Les Propriétés Victoria)</w:t>
            </w:r>
          </w:p>
          <w:p w:rsidR="00F026EE" w:rsidRPr="00F026EE" w:rsidRDefault="00F026EE" w:rsidP="00F026EE">
            <w:pPr>
              <w:rPr>
                <w:sz w:val="20"/>
                <w:szCs w:val="20"/>
                <w:lang w:val="fr-CA"/>
              </w:rPr>
            </w:pPr>
            <w:r>
              <w:rPr>
                <w:sz w:val="20"/>
                <w:szCs w:val="20"/>
                <w:lang w:val="fr-CA"/>
              </w:rPr>
              <w:tab/>
              <w:t>Lazar Sarna</w:t>
            </w:r>
          </w:p>
        </w:tc>
      </w:tr>
      <w:tr w:rsidR="00F026EE" w:rsidRPr="009D00FF" w:rsidTr="003F1877">
        <w:trPr>
          <w:cantSplit/>
        </w:trPr>
        <w:tc>
          <w:tcPr>
            <w:tcW w:w="4320" w:type="dxa"/>
            <w:shd w:val="clear" w:color="auto" w:fill="auto"/>
          </w:tcPr>
          <w:p w:rsidR="00F026EE" w:rsidRPr="009D00FF" w:rsidRDefault="00F026EE" w:rsidP="00F026EE">
            <w:pPr>
              <w:rPr>
                <w:b/>
                <w:sz w:val="20"/>
                <w:szCs w:val="20"/>
                <w:lang w:val="fr-CA"/>
              </w:rPr>
            </w:pPr>
            <w:r w:rsidRPr="009D00FF">
              <w:rPr>
                <w:b/>
                <w:sz w:val="20"/>
                <w:szCs w:val="20"/>
                <w:lang w:val="fr-CA"/>
              </w:rPr>
              <w:t>Robert E. MacKenzie et al.</w:t>
            </w:r>
          </w:p>
          <w:p w:rsidR="00F026EE" w:rsidRPr="009D00FF" w:rsidRDefault="00F026EE" w:rsidP="00F026EE">
            <w:pPr>
              <w:tabs>
                <w:tab w:val="left" w:pos="-1440"/>
                <w:tab w:val="left" w:pos="-720"/>
              </w:tabs>
              <w:rPr>
                <w:sz w:val="20"/>
                <w:szCs w:val="20"/>
                <w:lang w:val="fr-CA"/>
              </w:rPr>
            </w:pPr>
            <w:r w:rsidRPr="009D00FF">
              <w:rPr>
                <w:sz w:val="20"/>
                <w:szCs w:val="20"/>
                <w:lang w:val="fr-CA"/>
              </w:rPr>
              <w:tab/>
            </w:r>
            <w:r>
              <w:rPr>
                <w:sz w:val="20"/>
                <w:szCs w:val="20"/>
                <w:lang w:val="fr-CA"/>
              </w:rPr>
              <w:t>D. Geoffrey G. Cowper, Q.C.</w:t>
            </w:r>
          </w:p>
          <w:p w:rsidR="00F026EE" w:rsidRPr="009D00FF" w:rsidRDefault="00F026EE" w:rsidP="00F026EE">
            <w:pPr>
              <w:tabs>
                <w:tab w:val="left" w:pos="-1440"/>
                <w:tab w:val="left" w:pos="-720"/>
              </w:tabs>
              <w:rPr>
                <w:sz w:val="20"/>
                <w:szCs w:val="20"/>
                <w:lang w:val="fr-CA"/>
              </w:rPr>
            </w:pPr>
            <w:r w:rsidRPr="009D00FF">
              <w:rPr>
                <w:sz w:val="20"/>
                <w:szCs w:val="20"/>
                <w:lang w:val="fr-CA"/>
              </w:rPr>
              <w:tab/>
            </w:r>
            <w:r>
              <w:rPr>
                <w:sz w:val="20"/>
                <w:szCs w:val="20"/>
                <w:lang w:val="fr-CA"/>
              </w:rPr>
              <w:t>Fasken Martineau DuMoulin LLP</w:t>
            </w:r>
          </w:p>
          <w:p w:rsidR="00F026EE" w:rsidRPr="009D00FF" w:rsidRDefault="00F026EE" w:rsidP="00F026EE">
            <w:pPr>
              <w:tabs>
                <w:tab w:val="left" w:pos="-1440"/>
                <w:tab w:val="left" w:pos="-720"/>
              </w:tabs>
              <w:rPr>
                <w:sz w:val="20"/>
                <w:szCs w:val="20"/>
                <w:lang w:val="fr-CA"/>
              </w:rPr>
            </w:pPr>
          </w:p>
          <w:p w:rsidR="00F026EE" w:rsidRPr="009D00FF" w:rsidRDefault="00F026EE" w:rsidP="00F026EE">
            <w:pPr>
              <w:tabs>
                <w:tab w:val="left" w:pos="-1440"/>
                <w:tab w:val="left" w:pos="-720"/>
              </w:tabs>
              <w:rPr>
                <w:sz w:val="20"/>
                <w:szCs w:val="20"/>
                <w:lang w:val="fr-CA"/>
              </w:rPr>
            </w:pPr>
            <w:r w:rsidRPr="009D00FF">
              <w:rPr>
                <w:sz w:val="20"/>
                <w:szCs w:val="20"/>
                <w:lang w:val="fr-CA"/>
              </w:rPr>
              <w:tab/>
              <w:t>v. (36266)</w:t>
            </w:r>
          </w:p>
          <w:p w:rsidR="00F026EE" w:rsidRPr="009D00FF" w:rsidRDefault="00F026EE" w:rsidP="00F026EE">
            <w:pPr>
              <w:tabs>
                <w:tab w:val="left" w:pos="-1440"/>
                <w:tab w:val="left" w:pos="-720"/>
              </w:tabs>
              <w:rPr>
                <w:sz w:val="20"/>
                <w:szCs w:val="20"/>
                <w:lang w:val="fr-CA"/>
              </w:rPr>
            </w:pPr>
          </w:p>
          <w:p w:rsidR="00F026EE" w:rsidRPr="009D00FF" w:rsidRDefault="00F026EE" w:rsidP="00F026EE">
            <w:pPr>
              <w:tabs>
                <w:tab w:val="left" w:pos="-1440"/>
                <w:tab w:val="left" w:pos="-720"/>
              </w:tabs>
              <w:rPr>
                <w:b/>
                <w:sz w:val="20"/>
                <w:szCs w:val="20"/>
                <w:lang w:val="fr-CA"/>
              </w:rPr>
            </w:pPr>
            <w:r w:rsidRPr="009D00FF">
              <w:rPr>
                <w:b/>
                <w:sz w:val="20"/>
                <w:szCs w:val="20"/>
                <w:lang w:val="fr-CA"/>
              </w:rPr>
              <w:t>John J.</w:t>
            </w:r>
            <w:r>
              <w:rPr>
                <w:b/>
                <w:sz w:val="20"/>
                <w:szCs w:val="20"/>
                <w:lang w:val="fr-CA"/>
              </w:rPr>
              <w:t xml:space="preserve"> Rogalasky et al. </w:t>
            </w:r>
            <w:r w:rsidRPr="009D00FF">
              <w:rPr>
                <w:b/>
                <w:sz w:val="20"/>
                <w:szCs w:val="20"/>
                <w:lang w:val="fr-CA"/>
              </w:rPr>
              <w:t>(B.C.)</w:t>
            </w:r>
          </w:p>
          <w:p w:rsidR="00F026EE" w:rsidRPr="00365330" w:rsidRDefault="00F026EE" w:rsidP="00F026EE">
            <w:pPr>
              <w:tabs>
                <w:tab w:val="left" w:pos="-1440"/>
                <w:tab w:val="left" w:pos="-720"/>
              </w:tabs>
              <w:rPr>
                <w:sz w:val="20"/>
                <w:szCs w:val="20"/>
              </w:rPr>
            </w:pPr>
            <w:r w:rsidRPr="009D00FF">
              <w:rPr>
                <w:sz w:val="20"/>
                <w:szCs w:val="20"/>
                <w:lang w:val="fr-CA"/>
              </w:rPr>
              <w:tab/>
            </w:r>
            <w:r w:rsidRPr="00365330">
              <w:rPr>
                <w:sz w:val="20"/>
                <w:szCs w:val="20"/>
              </w:rPr>
              <w:t>Joseph J. Arvay, Q.C.</w:t>
            </w:r>
          </w:p>
          <w:p w:rsidR="00F026EE" w:rsidRPr="00365330" w:rsidRDefault="00F026EE" w:rsidP="00F026EE">
            <w:pPr>
              <w:tabs>
                <w:tab w:val="left" w:pos="-1440"/>
                <w:tab w:val="left" w:pos="-720"/>
              </w:tabs>
              <w:rPr>
                <w:sz w:val="20"/>
                <w:szCs w:val="20"/>
              </w:rPr>
            </w:pPr>
            <w:r w:rsidRPr="00365330">
              <w:rPr>
                <w:sz w:val="20"/>
                <w:szCs w:val="20"/>
              </w:rPr>
              <w:tab/>
              <w:t>Farris, Vaughan, Wills &amp; Murphy LLP</w:t>
            </w:r>
          </w:p>
          <w:p w:rsidR="00F026EE" w:rsidRPr="00365330" w:rsidRDefault="00F026EE" w:rsidP="00F026EE">
            <w:pPr>
              <w:tabs>
                <w:tab w:val="left" w:pos="-1440"/>
                <w:tab w:val="left" w:pos="-720"/>
              </w:tabs>
              <w:rPr>
                <w:sz w:val="20"/>
                <w:szCs w:val="20"/>
              </w:rPr>
            </w:pPr>
          </w:p>
          <w:p w:rsidR="00F026EE" w:rsidRPr="00F026EE" w:rsidRDefault="00F026EE" w:rsidP="00F026EE">
            <w:pPr>
              <w:rPr>
                <w:b/>
                <w:sz w:val="20"/>
                <w:szCs w:val="20"/>
              </w:rPr>
            </w:pPr>
            <w:r w:rsidRPr="00365330">
              <w:rPr>
                <w:sz w:val="20"/>
                <w:szCs w:val="20"/>
              </w:rPr>
              <w:t>FILING DATE: 16.01.2015</w:t>
            </w:r>
            <w:r w:rsidR="00007FF8">
              <w:rPr>
                <w:sz w:val="20"/>
                <w:szCs w:val="20"/>
                <w:lang w:val="fr-CA"/>
              </w:rPr>
              <w:pict>
                <v:rect id="_x0000_i1038" style="width:108pt;height:1pt" o:hrpct="0" o:hralign="center" o:hrstd="t" o:hrnoshade="t" o:hr="t" fillcolor="black [3213]" stroked="f"/>
              </w:pict>
            </w:r>
          </w:p>
        </w:tc>
        <w:tc>
          <w:tcPr>
            <w:tcW w:w="1181" w:type="dxa"/>
            <w:shd w:val="clear" w:color="auto" w:fill="auto"/>
          </w:tcPr>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F026EE" w:rsidRDefault="00F026EE" w:rsidP="00242AEE">
            <w:pPr>
              <w:jc w:val="center"/>
              <w:rPr>
                <w:sz w:val="20"/>
                <w:szCs w:val="20"/>
              </w:rPr>
            </w:pPr>
          </w:p>
          <w:p w:rsidR="00DB1352" w:rsidRDefault="00DB1352" w:rsidP="00242AEE">
            <w:pPr>
              <w:jc w:val="center"/>
              <w:rPr>
                <w:sz w:val="20"/>
                <w:szCs w:val="20"/>
              </w:rPr>
            </w:pPr>
          </w:p>
          <w:p w:rsidR="00F026EE" w:rsidRPr="00365330" w:rsidRDefault="00F026EE" w:rsidP="00242AEE">
            <w:pPr>
              <w:jc w:val="center"/>
              <w:rPr>
                <w:sz w:val="20"/>
                <w:szCs w:val="20"/>
              </w:rPr>
            </w:pPr>
          </w:p>
        </w:tc>
        <w:tc>
          <w:tcPr>
            <w:tcW w:w="4320" w:type="dxa"/>
            <w:shd w:val="clear" w:color="auto" w:fill="auto"/>
          </w:tcPr>
          <w:p w:rsidR="00F026EE" w:rsidRPr="001C767B" w:rsidRDefault="00F026EE" w:rsidP="00F026EE">
            <w:pPr>
              <w:rPr>
                <w:sz w:val="20"/>
                <w:szCs w:val="20"/>
              </w:rPr>
            </w:pPr>
            <w:r w:rsidRPr="001C767B">
              <w:rPr>
                <w:sz w:val="20"/>
                <w:szCs w:val="20"/>
              </w:rPr>
              <w:tab/>
              <w:t>Sarna Neudorfer</w:t>
            </w:r>
          </w:p>
          <w:p w:rsidR="00F026EE" w:rsidRPr="001C767B" w:rsidRDefault="00F026EE" w:rsidP="00F026EE">
            <w:pPr>
              <w:rPr>
                <w:sz w:val="20"/>
                <w:szCs w:val="20"/>
              </w:rPr>
            </w:pPr>
          </w:p>
          <w:p w:rsidR="00F026EE" w:rsidRPr="001C767B" w:rsidRDefault="00F026EE" w:rsidP="00F026EE">
            <w:pPr>
              <w:rPr>
                <w:sz w:val="20"/>
                <w:szCs w:val="20"/>
              </w:rPr>
            </w:pPr>
            <w:r w:rsidRPr="001C767B">
              <w:rPr>
                <w:sz w:val="20"/>
                <w:szCs w:val="20"/>
              </w:rPr>
              <w:tab/>
              <w:t>v. (36279)</w:t>
            </w:r>
          </w:p>
          <w:p w:rsidR="00F026EE" w:rsidRPr="001C767B" w:rsidRDefault="00F026EE" w:rsidP="00F026EE">
            <w:pPr>
              <w:rPr>
                <w:sz w:val="20"/>
                <w:szCs w:val="20"/>
              </w:rPr>
            </w:pPr>
          </w:p>
          <w:p w:rsidR="00F026EE" w:rsidRDefault="00F026EE" w:rsidP="00F026EE">
            <w:pPr>
              <w:rPr>
                <w:sz w:val="20"/>
                <w:szCs w:val="20"/>
              </w:rPr>
            </w:pPr>
            <w:r w:rsidRPr="006A028C">
              <w:rPr>
                <w:b/>
                <w:sz w:val="20"/>
                <w:szCs w:val="20"/>
              </w:rPr>
              <w:t xml:space="preserve">Athena Energy Marketing Inc. (doing business under the trade name Services de Gaz Naturel RBC Inc.) </w:t>
            </w:r>
            <w:r>
              <w:rPr>
                <w:b/>
                <w:sz w:val="20"/>
                <w:szCs w:val="20"/>
              </w:rPr>
              <w:t>et al.</w:t>
            </w:r>
          </w:p>
          <w:p w:rsidR="00F026EE" w:rsidRPr="00F026EE" w:rsidRDefault="00F026EE" w:rsidP="00F026EE">
            <w:pPr>
              <w:rPr>
                <w:sz w:val="20"/>
                <w:szCs w:val="20"/>
                <w:lang w:val="fr-CA"/>
              </w:rPr>
            </w:pPr>
            <w:r>
              <w:rPr>
                <w:sz w:val="20"/>
                <w:szCs w:val="20"/>
              </w:rPr>
              <w:tab/>
            </w:r>
            <w:r w:rsidRPr="00F026EE">
              <w:rPr>
                <w:sz w:val="20"/>
                <w:szCs w:val="20"/>
                <w:lang w:val="fr-CA"/>
              </w:rPr>
              <w:t>Stefan Chripounoff</w:t>
            </w:r>
          </w:p>
          <w:p w:rsidR="00F026EE" w:rsidRPr="00F026EE" w:rsidRDefault="00F026EE" w:rsidP="00F026EE">
            <w:pPr>
              <w:rPr>
                <w:sz w:val="20"/>
                <w:szCs w:val="20"/>
                <w:lang w:val="fr-CA"/>
              </w:rPr>
            </w:pPr>
            <w:r w:rsidRPr="00F026EE">
              <w:rPr>
                <w:sz w:val="20"/>
                <w:szCs w:val="20"/>
                <w:lang w:val="fr-CA"/>
              </w:rPr>
              <w:tab/>
              <w:t>Langlois Kronström Desjardins, LLP</w:t>
            </w:r>
          </w:p>
          <w:p w:rsidR="00F026EE" w:rsidRPr="00F026EE" w:rsidRDefault="00F026EE" w:rsidP="00F026EE">
            <w:pPr>
              <w:rPr>
                <w:sz w:val="20"/>
                <w:szCs w:val="20"/>
                <w:lang w:val="fr-CA"/>
              </w:rPr>
            </w:pPr>
          </w:p>
          <w:p w:rsidR="00F026EE" w:rsidRPr="006A028C" w:rsidRDefault="00F026EE" w:rsidP="00F026EE">
            <w:pPr>
              <w:rPr>
                <w:sz w:val="20"/>
                <w:szCs w:val="20"/>
              </w:rPr>
            </w:pPr>
            <w:r w:rsidRPr="00365330">
              <w:rPr>
                <w:sz w:val="20"/>
                <w:szCs w:val="20"/>
              </w:rPr>
              <w:t xml:space="preserve">FILING DATE: </w:t>
            </w:r>
            <w:r>
              <w:rPr>
                <w:sz w:val="20"/>
                <w:szCs w:val="20"/>
              </w:rPr>
              <w:t>26</w:t>
            </w:r>
            <w:r w:rsidRPr="00365330">
              <w:rPr>
                <w:sz w:val="20"/>
                <w:szCs w:val="20"/>
              </w:rPr>
              <w:t>.0</w:t>
            </w:r>
            <w:r>
              <w:rPr>
                <w:sz w:val="20"/>
                <w:szCs w:val="20"/>
              </w:rPr>
              <w:t>1</w:t>
            </w:r>
            <w:r w:rsidRPr="00365330">
              <w:rPr>
                <w:sz w:val="20"/>
                <w:szCs w:val="20"/>
              </w:rPr>
              <w:t>.201</w:t>
            </w:r>
            <w:r>
              <w:rPr>
                <w:sz w:val="20"/>
                <w:szCs w:val="20"/>
              </w:rPr>
              <w:t>5</w:t>
            </w:r>
            <w:r w:rsidR="00007FF8">
              <w:rPr>
                <w:sz w:val="20"/>
                <w:szCs w:val="20"/>
                <w:lang w:val="fr-CA"/>
              </w:rPr>
              <w:pict>
                <v:rect id="_x0000_i1039" style="width:108pt;height:1pt" o:hrpct="0" o:hralign="center" o:hrstd="t" o:hrnoshade="t" o:hr="t" fillcolor="black [3213]" stroked="f"/>
              </w:pict>
            </w:r>
          </w:p>
        </w:tc>
      </w:tr>
      <w:tr w:rsidR="00DB1352" w:rsidRPr="009D00FF" w:rsidTr="003F1877">
        <w:trPr>
          <w:cantSplit/>
        </w:trPr>
        <w:tc>
          <w:tcPr>
            <w:tcW w:w="4320" w:type="dxa"/>
            <w:shd w:val="clear" w:color="auto" w:fill="auto"/>
          </w:tcPr>
          <w:p w:rsidR="00DB1352" w:rsidRPr="00365330" w:rsidRDefault="00DB1352" w:rsidP="005D5C53">
            <w:pPr>
              <w:rPr>
                <w:b/>
                <w:sz w:val="20"/>
                <w:szCs w:val="20"/>
              </w:rPr>
            </w:pPr>
            <w:r>
              <w:rPr>
                <w:b/>
                <w:sz w:val="20"/>
                <w:szCs w:val="20"/>
              </w:rPr>
              <w:t>Health Professions Review Board</w:t>
            </w:r>
          </w:p>
          <w:p w:rsidR="00DB1352" w:rsidRPr="00365330" w:rsidRDefault="00DB1352" w:rsidP="005D5C53">
            <w:pPr>
              <w:tabs>
                <w:tab w:val="left" w:pos="-1440"/>
                <w:tab w:val="left" w:pos="-720"/>
              </w:tabs>
              <w:rPr>
                <w:sz w:val="20"/>
                <w:szCs w:val="20"/>
              </w:rPr>
            </w:pPr>
            <w:r w:rsidRPr="00365330">
              <w:rPr>
                <w:sz w:val="20"/>
                <w:szCs w:val="20"/>
              </w:rPr>
              <w:tab/>
            </w:r>
            <w:r>
              <w:rPr>
                <w:sz w:val="20"/>
                <w:szCs w:val="20"/>
              </w:rPr>
              <w:t>Frank A.V. Falzon</w:t>
            </w:r>
          </w:p>
          <w:p w:rsidR="00DB1352" w:rsidRPr="00365330" w:rsidRDefault="00DB1352" w:rsidP="005D5C53">
            <w:pPr>
              <w:tabs>
                <w:tab w:val="left" w:pos="-1440"/>
                <w:tab w:val="left" w:pos="-720"/>
              </w:tabs>
              <w:rPr>
                <w:sz w:val="20"/>
                <w:szCs w:val="20"/>
              </w:rPr>
            </w:pPr>
          </w:p>
          <w:p w:rsidR="00DB1352" w:rsidRPr="00F026EE" w:rsidRDefault="00DB1352" w:rsidP="005D5C53">
            <w:pPr>
              <w:tabs>
                <w:tab w:val="left" w:pos="-1440"/>
                <w:tab w:val="left" w:pos="-720"/>
              </w:tabs>
              <w:rPr>
                <w:sz w:val="20"/>
                <w:szCs w:val="20"/>
                <w:lang w:val="fr-CA"/>
              </w:rPr>
            </w:pPr>
            <w:r w:rsidRPr="00365330">
              <w:rPr>
                <w:sz w:val="20"/>
                <w:szCs w:val="20"/>
              </w:rPr>
              <w:tab/>
            </w:r>
            <w:r w:rsidRPr="00F026EE">
              <w:rPr>
                <w:sz w:val="20"/>
                <w:szCs w:val="20"/>
                <w:lang w:val="fr-CA"/>
              </w:rPr>
              <w:t>v. (36272)</w:t>
            </w:r>
          </w:p>
          <w:p w:rsidR="00DB1352" w:rsidRPr="00F026EE" w:rsidRDefault="00DB1352" w:rsidP="005D5C53">
            <w:pPr>
              <w:tabs>
                <w:tab w:val="left" w:pos="-1440"/>
                <w:tab w:val="left" w:pos="-720"/>
              </w:tabs>
              <w:rPr>
                <w:sz w:val="20"/>
                <w:szCs w:val="20"/>
                <w:lang w:val="fr-CA"/>
              </w:rPr>
            </w:pPr>
          </w:p>
          <w:p w:rsidR="00DB1352" w:rsidRPr="00F026EE" w:rsidRDefault="00DB1352" w:rsidP="005D5C53">
            <w:pPr>
              <w:tabs>
                <w:tab w:val="left" w:pos="-1440"/>
                <w:tab w:val="left" w:pos="-720"/>
              </w:tabs>
              <w:rPr>
                <w:b/>
                <w:sz w:val="20"/>
                <w:szCs w:val="20"/>
              </w:rPr>
            </w:pPr>
            <w:r w:rsidRPr="00365330">
              <w:rPr>
                <w:b/>
                <w:sz w:val="20"/>
                <w:szCs w:val="20"/>
                <w:lang w:val="fr-CA"/>
              </w:rPr>
              <w:t xml:space="preserve">Alan Moore et al. </w:t>
            </w:r>
            <w:r w:rsidRPr="00F026EE">
              <w:rPr>
                <w:b/>
                <w:sz w:val="20"/>
                <w:szCs w:val="20"/>
              </w:rPr>
              <w:t>(B.C.)</w:t>
            </w:r>
          </w:p>
          <w:p w:rsidR="00DB1352" w:rsidRPr="00365330" w:rsidRDefault="00DB1352" w:rsidP="005D5C53">
            <w:pPr>
              <w:tabs>
                <w:tab w:val="left" w:pos="-1440"/>
                <w:tab w:val="left" w:pos="-720"/>
              </w:tabs>
              <w:rPr>
                <w:sz w:val="20"/>
                <w:szCs w:val="20"/>
              </w:rPr>
            </w:pPr>
            <w:r w:rsidRPr="00F026EE">
              <w:rPr>
                <w:sz w:val="20"/>
                <w:szCs w:val="20"/>
              </w:rPr>
              <w:tab/>
            </w:r>
            <w:r w:rsidRPr="00365330">
              <w:rPr>
                <w:sz w:val="20"/>
                <w:szCs w:val="20"/>
              </w:rPr>
              <w:t>William S. Clark</w:t>
            </w:r>
          </w:p>
          <w:p w:rsidR="00DB1352" w:rsidRPr="00365330" w:rsidRDefault="00DB1352" w:rsidP="005D5C53">
            <w:pPr>
              <w:tabs>
                <w:tab w:val="left" w:pos="-1440"/>
                <w:tab w:val="left" w:pos="-720"/>
              </w:tabs>
              <w:rPr>
                <w:sz w:val="20"/>
                <w:szCs w:val="20"/>
              </w:rPr>
            </w:pPr>
            <w:r w:rsidRPr="00365330">
              <w:rPr>
                <w:sz w:val="20"/>
                <w:szCs w:val="20"/>
              </w:rPr>
              <w:tab/>
              <w:t>Harper Grey LLP</w:t>
            </w:r>
          </w:p>
          <w:p w:rsidR="00DB1352" w:rsidRPr="00365330" w:rsidRDefault="00DB1352" w:rsidP="005D5C53">
            <w:pPr>
              <w:tabs>
                <w:tab w:val="left" w:pos="-1440"/>
                <w:tab w:val="left" w:pos="-720"/>
              </w:tabs>
              <w:rPr>
                <w:sz w:val="20"/>
                <w:szCs w:val="20"/>
              </w:rPr>
            </w:pPr>
          </w:p>
          <w:p w:rsidR="00DB1352" w:rsidRPr="00365330" w:rsidRDefault="00DB1352" w:rsidP="005D5C53">
            <w:pPr>
              <w:rPr>
                <w:sz w:val="20"/>
                <w:szCs w:val="20"/>
              </w:rPr>
            </w:pPr>
            <w:r w:rsidRPr="00365330">
              <w:rPr>
                <w:sz w:val="20"/>
                <w:szCs w:val="20"/>
              </w:rPr>
              <w:t xml:space="preserve">FILING DATE: </w:t>
            </w:r>
            <w:r>
              <w:rPr>
                <w:sz w:val="20"/>
                <w:szCs w:val="20"/>
              </w:rPr>
              <w:t>19</w:t>
            </w:r>
            <w:r w:rsidRPr="00365330">
              <w:rPr>
                <w:sz w:val="20"/>
                <w:szCs w:val="20"/>
              </w:rPr>
              <w:t>.0</w:t>
            </w:r>
            <w:r>
              <w:rPr>
                <w:sz w:val="20"/>
                <w:szCs w:val="20"/>
              </w:rPr>
              <w:t>1</w:t>
            </w:r>
            <w:r w:rsidRPr="00365330">
              <w:rPr>
                <w:sz w:val="20"/>
                <w:szCs w:val="20"/>
              </w:rPr>
              <w:t>.201</w:t>
            </w:r>
            <w:r>
              <w:rPr>
                <w:sz w:val="20"/>
                <w:szCs w:val="20"/>
              </w:rPr>
              <w:t>5</w:t>
            </w:r>
            <w:r w:rsidR="00007FF8">
              <w:rPr>
                <w:sz w:val="20"/>
                <w:szCs w:val="20"/>
                <w:lang w:val="fr-CA"/>
              </w:rPr>
              <w:pict>
                <v:rect id="_x0000_i1040" style="width:108pt;height:1pt" o:hrpct="0" o:hralign="center" o:hrstd="t" o:hrnoshade="t" o:hr="t" fillcolor="black [3213]" stroked="f"/>
              </w:pict>
            </w:r>
          </w:p>
        </w:tc>
        <w:tc>
          <w:tcPr>
            <w:tcW w:w="1181" w:type="dxa"/>
            <w:shd w:val="clear" w:color="auto" w:fill="auto"/>
          </w:tcPr>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tc>
        <w:tc>
          <w:tcPr>
            <w:tcW w:w="4320" w:type="dxa"/>
            <w:shd w:val="clear" w:color="auto" w:fill="auto"/>
          </w:tcPr>
          <w:p w:rsidR="00DB1352" w:rsidRPr="00A935AA" w:rsidRDefault="00DB1352" w:rsidP="005D5C53">
            <w:pPr>
              <w:rPr>
                <w:b/>
                <w:sz w:val="20"/>
                <w:szCs w:val="20"/>
              </w:rPr>
            </w:pPr>
            <w:r>
              <w:rPr>
                <w:b/>
                <w:sz w:val="20"/>
                <w:szCs w:val="20"/>
              </w:rPr>
              <w:t>Wayne Douglas Moshenko</w:t>
            </w:r>
          </w:p>
          <w:p w:rsidR="00DB1352" w:rsidRPr="00A935AA" w:rsidRDefault="00DB1352" w:rsidP="005D5C53">
            <w:pPr>
              <w:tabs>
                <w:tab w:val="left" w:pos="-1440"/>
                <w:tab w:val="left" w:pos="-720"/>
              </w:tabs>
              <w:rPr>
                <w:sz w:val="20"/>
                <w:szCs w:val="20"/>
              </w:rPr>
            </w:pPr>
            <w:r w:rsidRPr="00A935AA">
              <w:rPr>
                <w:sz w:val="20"/>
                <w:szCs w:val="20"/>
              </w:rPr>
              <w:tab/>
            </w:r>
            <w:r>
              <w:rPr>
                <w:sz w:val="20"/>
                <w:szCs w:val="20"/>
              </w:rPr>
              <w:t>W. Dean Sinclair</w:t>
            </w:r>
          </w:p>
          <w:p w:rsidR="00DB1352" w:rsidRPr="00A935AA" w:rsidRDefault="00DB1352" w:rsidP="005D5C53">
            <w:pPr>
              <w:tabs>
                <w:tab w:val="left" w:pos="-1440"/>
                <w:tab w:val="left" w:pos="-720"/>
              </w:tabs>
              <w:rPr>
                <w:sz w:val="20"/>
                <w:szCs w:val="20"/>
              </w:rPr>
            </w:pPr>
            <w:r w:rsidRPr="00A935AA">
              <w:rPr>
                <w:sz w:val="20"/>
                <w:szCs w:val="20"/>
              </w:rPr>
              <w:tab/>
            </w:r>
            <w:r>
              <w:rPr>
                <w:sz w:val="20"/>
                <w:szCs w:val="20"/>
              </w:rPr>
              <w:t>A.G. of Saskatchewan</w:t>
            </w:r>
          </w:p>
          <w:p w:rsidR="00DB1352" w:rsidRPr="00A935AA" w:rsidRDefault="00DB1352" w:rsidP="005D5C53">
            <w:pPr>
              <w:tabs>
                <w:tab w:val="left" w:pos="-1440"/>
                <w:tab w:val="left" w:pos="-720"/>
              </w:tabs>
              <w:rPr>
                <w:sz w:val="20"/>
                <w:szCs w:val="20"/>
              </w:rPr>
            </w:pPr>
          </w:p>
          <w:p w:rsidR="00DB1352" w:rsidRPr="00A935AA" w:rsidRDefault="00DB1352" w:rsidP="005D5C53">
            <w:pPr>
              <w:tabs>
                <w:tab w:val="left" w:pos="-1440"/>
                <w:tab w:val="left" w:pos="-720"/>
              </w:tabs>
              <w:rPr>
                <w:sz w:val="20"/>
                <w:szCs w:val="20"/>
              </w:rPr>
            </w:pPr>
            <w:r w:rsidRPr="00A935AA">
              <w:rPr>
                <w:sz w:val="20"/>
                <w:szCs w:val="20"/>
              </w:rPr>
              <w:tab/>
              <w:t>v. (3</w:t>
            </w:r>
            <w:r>
              <w:rPr>
                <w:sz w:val="20"/>
                <w:szCs w:val="20"/>
              </w:rPr>
              <w:t>6277</w:t>
            </w:r>
            <w:r w:rsidRPr="00A935AA">
              <w:rPr>
                <w:sz w:val="20"/>
                <w:szCs w:val="20"/>
              </w:rPr>
              <w:t>)</w:t>
            </w:r>
          </w:p>
          <w:p w:rsidR="00DB1352" w:rsidRPr="00A935AA" w:rsidRDefault="00DB1352" w:rsidP="005D5C53">
            <w:pPr>
              <w:tabs>
                <w:tab w:val="left" w:pos="-1440"/>
                <w:tab w:val="left" w:pos="-720"/>
              </w:tabs>
              <w:rPr>
                <w:sz w:val="20"/>
                <w:szCs w:val="20"/>
              </w:rPr>
            </w:pPr>
          </w:p>
          <w:p w:rsidR="00DB1352" w:rsidRPr="00A935AA" w:rsidRDefault="00DB1352" w:rsidP="005D5C5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DB1352" w:rsidRPr="00A935AA" w:rsidRDefault="00DB1352" w:rsidP="005D5C53">
            <w:pPr>
              <w:tabs>
                <w:tab w:val="left" w:pos="-1440"/>
                <w:tab w:val="left" w:pos="-720"/>
              </w:tabs>
              <w:rPr>
                <w:sz w:val="20"/>
                <w:szCs w:val="20"/>
              </w:rPr>
            </w:pPr>
            <w:r w:rsidRPr="00A935AA">
              <w:rPr>
                <w:sz w:val="20"/>
                <w:szCs w:val="20"/>
              </w:rPr>
              <w:tab/>
            </w:r>
            <w:r>
              <w:rPr>
                <w:sz w:val="20"/>
                <w:szCs w:val="20"/>
              </w:rPr>
              <w:t>Brent D. Little</w:t>
            </w:r>
          </w:p>
          <w:p w:rsidR="00DB1352" w:rsidRPr="00A935AA" w:rsidRDefault="00DB1352" w:rsidP="005D5C53">
            <w:pPr>
              <w:tabs>
                <w:tab w:val="left" w:pos="-1440"/>
                <w:tab w:val="left" w:pos="-720"/>
              </w:tabs>
              <w:rPr>
                <w:sz w:val="20"/>
                <w:szCs w:val="20"/>
              </w:rPr>
            </w:pPr>
            <w:r w:rsidRPr="00A935AA">
              <w:rPr>
                <w:sz w:val="20"/>
                <w:szCs w:val="20"/>
              </w:rPr>
              <w:tab/>
            </w:r>
            <w:r>
              <w:rPr>
                <w:sz w:val="20"/>
                <w:szCs w:val="20"/>
              </w:rPr>
              <w:t>Little &amp; Company LLP</w:t>
            </w:r>
          </w:p>
          <w:p w:rsidR="00DB1352" w:rsidRPr="00A935AA" w:rsidRDefault="00DB1352" w:rsidP="005D5C53">
            <w:pPr>
              <w:tabs>
                <w:tab w:val="left" w:pos="-1440"/>
                <w:tab w:val="left" w:pos="-720"/>
              </w:tabs>
              <w:rPr>
                <w:sz w:val="20"/>
                <w:szCs w:val="20"/>
              </w:rPr>
            </w:pPr>
          </w:p>
          <w:p w:rsidR="00DB1352" w:rsidRPr="00A935AA" w:rsidRDefault="00DB1352" w:rsidP="005D5C53">
            <w:pPr>
              <w:rPr>
                <w:sz w:val="20"/>
                <w:szCs w:val="20"/>
              </w:rPr>
            </w:pPr>
            <w:r w:rsidRPr="00A935AA">
              <w:rPr>
                <w:sz w:val="20"/>
                <w:szCs w:val="20"/>
              </w:rPr>
              <w:t>FILING DATE: 2</w:t>
            </w:r>
            <w:r>
              <w:rPr>
                <w:sz w:val="20"/>
                <w:szCs w:val="20"/>
              </w:rPr>
              <w:t>6</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41" style="width:108pt;height:1pt" o:hrpct="0" o:hralign="center" o:hrstd="t" o:hrnoshade="t" o:hr="t" fillcolor="black [3213]" stroked="f"/>
              </w:pict>
            </w:r>
          </w:p>
        </w:tc>
      </w:tr>
      <w:tr w:rsidR="00DB1352" w:rsidRPr="006A028C" w:rsidTr="003F1877">
        <w:trPr>
          <w:cantSplit/>
        </w:trPr>
        <w:tc>
          <w:tcPr>
            <w:tcW w:w="4320" w:type="dxa"/>
            <w:shd w:val="clear" w:color="auto" w:fill="auto"/>
          </w:tcPr>
          <w:p w:rsidR="00DB1352" w:rsidRDefault="00DB1352" w:rsidP="00F026EE">
            <w:pPr>
              <w:rPr>
                <w:sz w:val="20"/>
                <w:szCs w:val="20"/>
              </w:rPr>
            </w:pPr>
            <w:r>
              <w:rPr>
                <w:b/>
                <w:sz w:val="20"/>
                <w:szCs w:val="20"/>
              </w:rPr>
              <w:lastRenderedPageBreak/>
              <w:t>Labourers’ International Union, Local 1208</w:t>
            </w:r>
          </w:p>
          <w:p w:rsidR="00DB1352" w:rsidRDefault="00DB1352" w:rsidP="00F026EE">
            <w:pPr>
              <w:rPr>
                <w:sz w:val="20"/>
                <w:szCs w:val="20"/>
              </w:rPr>
            </w:pPr>
            <w:r>
              <w:rPr>
                <w:sz w:val="20"/>
                <w:szCs w:val="20"/>
              </w:rPr>
              <w:tab/>
              <w:t>Kevin F. Stamp</w:t>
            </w:r>
          </w:p>
          <w:p w:rsidR="00DB1352" w:rsidRDefault="00DB1352" w:rsidP="00F026EE">
            <w:pPr>
              <w:rPr>
                <w:sz w:val="20"/>
                <w:szCs w:val="20"/>
              </w:rPr>
            </w:pPr>
            <w:r>
              <w:rPr>
                <w:sz w:val="20"/>
                <w:szCs w:val="20"/>
              </w:rPr>
              <w:tab/>
              <w:t>Martin, Whalen, Hennebury &amp; Stamp</w:t>
            </w:r>
          </w:p>
          <w:p w:rsidR="00DB1352" w:rsidRDefault="00DB1352" w:rsidP="00F026EE">
            <w:pPr>
              <w:rPr>
                <w:sz w:val="20"/>
                <w:szCs w:val="20"/>
              </w:rPr>
            </w:pPr>
          </w:p>
          <w:p w:rsidR="00DB1352" w:rsidRDefault="00DB1352" w:rsidP="00F026EE">
            <w:pPr>
              <w:rPr>
                <w:sz w:val="20"/>
                <w:szCs w:val="20"/>
              </w:rPr>
            </w:pPr>
            <w:r>
              <w:rPr>
                <w:sz w:val="20"/>
                <w:szCs w:val="20"/>
              </w:rPr>
              <w:tab/>
              <w:t>v. (36280)</w:t>
            </w:r>
          </w:p>
          <w:p w:rsidR="00DB1352" w:rsidRDefault="00DB1352" w:rsidP="00F026EE">
            <w:pPr>
              <w:rPr>
                <w:sz w:val="20"/>
                <w:szCs w:val="20"/>
              </w:rPr>
            </w:pPr>
          </w:p>
          <w:p w:rsidR="00DB1352" w:rsidRDefault="00DB1352" w:rsidP="00F026EE">
            <w:pPr>
              <w:rPr>
                <w:sz w:val="20"/>
                <w:szCs w:val="20"/>
              </w:rPr>
            </w:pPr>
            <w:r>
              <w:rPr>
                <w:b/>
                <w:sz w:val="20"/>
                <w:szCs w:val="20"/>
              </w:rPr>
              <w:t>Transport and Allied Workers, International Brotherhood of Teamsters, Local 855</w:t>
            </w:r>
            <w:r w:rsidR="004619C2">
              <w:rPr>
                <w:b/>
                <w:sz w:val="20"/>
                <w:szCs w:val="20"/>
              </w:rPr>
              <w:t xml:space="preserve"> (N.L.)</w:t>
            </w:r>
          </w:p>
          <w:p w:rsidR="00DB1352" w:rsidRDefault="00DB1352" w:rsidP="00F026EE">
            <w:pPr>
              <w:rPr>
                <w:sz w:val="20"/>
                <w:szCs w:val="20"/>
              </w:rPr>
            </w:pPr>
            <w:r>
              <w:rPr>
                <w:sz w:val="20"/>
                <w:szCs w:val="20"/>
              </w:rPr>
              <w:tab/>
              <w:t>Stuart A. Morris</w:t>
            </w:r>
          </w:p>
          <w:p w:rsidR="00DB1352" w:rsidRDefault="00DB1352" w:rsidP="00F026EE">
            <w:pPr>
              <w:rPr>
                <w:sz w:val="20"/>
                <w:szCs w:val="20"/>
              </w:rPr>
            </w:pPr>
            <w:r>
              <w:rPr>
                <w:sz w:val="20"/>
                <w:szCs w:val="20"/>
              </w:rPr>
              <w:tab/>
              <w:t>Morris Martin Moore</w:t>
            </w:r>
          </w:p>
          <w:p w:rsidR="00DB1352" w:rsidRDefault="00DB1352" w:rsidP="00F026EE">
            <w:pPr>
              <w:rPr>
                <w:sz w:val="20"/>
                <w:szCs w:val="20"/>
              </w:rPr>
            </w:pPr>
          </w:p>
          <w:p w:rsidR="00DB1352" w:rsidRPr="006A211F" w:rsidRDefault="00DB1352" w:rsidP="00F026EE">
            <w:pPr>
              <w:rPr>
                <w:sz w:val="20"/>
                <w:szCs w:val="20"/>
              </w:rPr>
            </w:pPr>
            <w:r w:rsidRPr="00A935AA">
              <w:rPr>
                <w:sz w:val="20"/>
                <w:szCs w:val="20"/>
              </w:rPr>
              <w:t>FILING DATE: 2</w:t>
            </w:r>
            <w:r>
              <w:rPr>
                <w:sz w:val="20"/>
                <w:szCs w:val="20"/>
              </w:rPr>
              <w:t>7</w:t>
            </w:r>
            <w:r w:rsidRPr="00A935AA">
              <w:rPr>
                <w:sz w:val="20"/>
                <w:szCs w:val="20"/>
              </w:rPr>
              <w:t>.0</w:t>
            </w:r>
            <w:r>
              <w:rPr>
                <w:sz w:val="20"/>
                <w:szCs w:val="20"/>
              </w:rPr>
              <w:t>1</w:t>
            </w:r>
            <w:r w:rsidRPr="00A935AA">
              <w:rPr>
                <w:sz w:val="20"/>
                <w:szCs w:val="20"/>
              </w:rPr>
              <w:t>.201</w:t>
            </w:r>
            <w:r>
              <w:rPr>
                <w:sz w:val="20"/>
                <w:szCs w:val="20"/>
              </w:rPr>
              <w:t>5</w:t>
            </w:r>
            <w:r w:rsidR="00007FF8">
              <w:rPr>
                <w:sz w:val="20"/>
                <w:szCs w:val="20"/>
                <w:lang w:val="fr-CA"/>
              </w:rPr>
              <w:pict>
                <v:rect id="_x0000_i1042" style="width:108pt;height:1pt" o:hrpct="0" o:hralign="center" o:hrstd="t" o:hrnoshade="t" o:hr="t" fillcolor="black [3213]" stroked="f"/>
              </w:pict>
            </w:r>
          </w:p>
        </w:tc>
        <w:tc>
          <w:tcPr>
            <w:tcW w:w="1181" w:type="dxa"/>
            <w:shd w:val="clear" w:color="auto" w:fill="auto"/>
          </w:tcPr>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p w:rsidR="00DB1352" w:rsidRDefault="00DB1352" w:rsidP="00242AEE">
            <w:pPr>
              <w:jc w:val="center"/>
              <w:rPr>
                <w:sz w:val="20"/>
                <w:szCs w:val="20"/>
              </w:rPr>
            </w:pPr>
          </w:p>
        </w:tc>
        <w:tc>
          <w:tcPr>
            <w:tcW w:w="4320" w:type="dxa"/>
            <w:shd w:val="clear" w:color="auto" w:fill="auto"/>
          </w:tcPr>
          <w:p w:rsidR="00DB1352" w:rsidRPr="00A935AA" w:rsidRDefault="00DB1352" w:rsidP="00F026EE">
            <w:pPr>
              <w:rPr>
                <w:b/>
                <w:sz w:val="20"/>
                <w:szCs w:val="20"/>
              </w:rPr>
            </w:pPr>
            <w:r>
              <w:rPr>
                <w:b/>
                <w:sz w:val="20"/>
                <w:szCs w:val="20"/>
              </w:rPr>
              <w:t xml:space="preserve">Enoch Cree Nation as represented by Chief Ron Vincent Morin et al. </w:t>
            </w:r>
          </w:p>
          <w:p w:rsidR="00DB1352" w:rsidRPr="00A935AA" w:rsidRDefault="00DB1352" w:rsidP="00F026EE">
            <w:pPr>
              <w:tabs>
                <w:tab w:val="left" w:pos="-1440"/>
                <w:tab w:val="left" w:pos="-720"/>
              </w:tabs>
              <w:rPr>
                <w:sz w:val="20"/>
                <w:szCs w:val="20"/>
              </w:rPr>
            </w:pPr>
            <w:r w:rsidRPr="00A935AA">
              <w:rPr>
                <w:sz w:val="20"/>
                <w:szCs w:val="20"/>
              </w:rPr>
              <w:tab/>
            </w:r>
            <w:r>
              <w:rPr>
                <w:sz w:val="20"/>
                <w:szCs w:val="20"/>
              </w:rPr>
              <w:t>Will Willier</w:t>
            </w:r>
          </w:p>
          <w:p w:rsidR="00DB1352" w:rsidRPr="00A935AA" w:rsidRDefault="00DB1352" w:rsidP="00F026EE">
            <w:pPr>
              <w:tabs>
                <w:tab w:val="left" w:pos="-1440"/>
                <w:tab w:val="left" w:pos="-720"/>
              </w:tabs>
              <w:rPr>
                <w:sz w:val="20"/>
                <w:szCs w:val="20"/>
              </w:rPr>
            </w:pPr>
            <w:r w:rsidRPr="00A935AA">
              <w:rPr>
                <w:sz w:val="20"/>
                <w:szCs w:val="20"/>
              </w:rPr>
              <w:tab/>
            </w:r>
            <w:r>
              <w:rPr>
                <w:sz w:val="20"/>
                <w:szCs w:val="20"/>
              </w:rPr>
              <w:t>Willier and Company</w:t>
            </w:r>
          </w:p>
          <w:p w:rsidR="00DB1352" w:rsidRPr="00A935AA" w:rsidRDefault="00DB1352" w:rsidP="00F026EE">
            <w:pPr>
              <w:tabs>
                <w:tab w:val="left" w:pos="-1440"/>
                <w:tab w:val="left" w:pos="-720"/>
              </w:tabs>
              <w:rPr>
                <w:sz w:val="20"/>
                <w:szCs w:val="20"/>
              </w:rPr>
            </w:pPr>
          </w:p>
          <w:p w:rsidR="00DB1352" w:rsidRPr="00A935AA" w:rsidRDefault="00DB1352" w:rsidP="00F026EE">
            <w:pPr>
              <w:tabs>
                <w:tab w:val="left" w:pos="-1440"/>
                <w:tab w:val="left" w:pos="-720"/>
              </w:tabs>
              <w:rPr>
                <w:sz w:val="20"/>
                <w:szCs w:val="20"/>
              </w:rPr>
            </w:pPr>
            <w:r w:rsidRPr="00A935AA">
              <w:rPr>
                <w:sz w:val="20"/>
                <w:szCs w:val="20"/>
              </w:rPr>
              <w:tab/>
              <w:t>v. (3</w:t>
            </w:r>
            <w:r>
              <w:rPr>
                <w:sz w:val="20"/>
                <w:szCs w:val="20"/>
              </w:rPr>
              <w:t>6239</w:t>
            </w:r>
            <w:r w:rsidRPr="00A935AA">
              <w:rPr>
                <w:sz w:val="20"/>
                <w:szCs w:val="20"/>
              </w:rPr>
              <w:t>)</w:t>
            </w:r>
          </w:p>
          <w:p w:rsidR="00DB1352" w:rsidRPr="00A935AA" w:rsidRDefault="00DB1352" w:rsidP="00F026EE">
            <w:pPr>
              <w:tabs>
                <w:tab w:val="left" w:pos="-1440"/>
                <w:tab w:val="left" w:pos="-720"/>
              </w:tabs>
              <w:rPr>
                <w:sz w:val="20"/>
                <w:szCs w:val="20"/>
              </w:rPr>
            </w:pPr>
          </w:p>
          <w:p w:rsidR="00DB1352" w:rsidRPr="00A935AA" w:rsidRDefault="00DB1352" w:rsidP="00F026EE">
            <w:pPr>
              <w:tabs>
                <w:tab w:val="left" w:pos="-1440"/>
                <w:tab w:val="left" w:pos="-720"/>
              </w:tabs>
              <w:rPr>
                <w:b/>
                <w:sz w:val="20"/>
                <w:szCs w:val="20"/>
              </w:rPr>
            </w:pPr>
            <w:r>
              <w:rPr>
                <w:b/>
                <w:sz w:val="20"/>
                <w:szCs w:val="20"/>
              </w:rPr>
              <w:t xml:space="preserve">Her Majesty the Queen in Right of Canada as represented by the Attorney General of Canada, the Minister of Aboriginal Affairs and Northern Development, the Minister of Transport, the Minister of Environment et al. </w:t>
            </w:r>
            <w:r w:rsidRPr="00A935AA">
              <w:rPr>
                <w:b/>
                <w:sz w:val="20"/>
                <w:szCs w:val="20"/>
              </w:rPr>
              <w:t>(</w:t>
            </w:r>
            <w:r>
              <w:rPr>
                <w:b/>
                <w:sz w:val="20"/>
                <w:szCs w:val="20"/>
              </w:rPr>
              <w:t>F.C</w:t>
            </w:r>
            <w:r w:rsidRPr="00A935AA">
              <w:rPr>
                <w:b/>
                <w:sz w:val="20"/>
                <w:szCs w:val="20"/>
              </w:rPr>
              <w:t>.)</w:t>
            </w:r>
          </w:p>
          <w:p w:rsidR="00DB1352" w:rsidRPr="00A935AA" w:rsidRDefault="00DB1352" w:rsidP="00F026EE">
            <w:pPr>
              <w:tabs>
                <w:tab w:val="left" w:pos="-1440"/>
                <w:tab w:val="left" w:pos="-720"/>
              </w:tabs>
              <w:rPr>
                <w:sz w:val="20"/>
                <w:szCs w:val="20"/>
              </w:rPr>
            </w:pPr>
            <w:r w:rsidRPr="00A935AA">
              <w:rPr>
                <w:sz w:val="20"/>
                <w:szCs w:val="20"/>
              </w:rPr>
              <w:tab/>
            </w:r>
            <w:r>
              <w:rPr>
                <w:sz w:val="20"/>
                <w:szCs w:val="20"/>
              </w:rPr>
              <w:t>Christine Ashcroft</w:t>
            </w:r>
          </w:p>
          <w:p w:rsidR="00DB1352" w:rsidRPr="00A935AA" w:rsidRDefault="00DB1352" w:rsidP="00F026EE">
            <w:pPr>
              <w:tabs>
                <w:tab w:val="left" w:pos="-1440"/>
                <w:tab w:val="left" w:pos="-720"/>
              </w:tabs>
              <w:rPr>
                <w:sz w:val="20"/>
                <w:szCs w:val="20"/>
              </w:rPr>
            </w:pPr>
            <w:r w:rsidRPr="00A935AA">
              <w:rPr>
                <w:sz w:val="20"/>
                <w:szCs w:val="20"/>
              </w:rPr>
              <w:tab/>
            </w:r>
            <w:r>
              <w:rPr>
                <w:sz w:val="20"/>
                <w:szCs w:val="20"/>
              </w:rPr>
              <w:t>A.G. of Canada</w:t>
            </w:r>
          </w:p>
          <w:p w:rsidR="00DB1352" w:rsidRDefault="00DB1352" w:rsidP="00F026EE">
            <w:pPr>
              <w:rPr>
                <w:sz w:val="20"/>
                <w:szCs w:val="20"/>
              </w:rPr>
            </w:pPr>
          </w:p>
          <w:p w:rsidR="00DB1352" w:rsidRPr="00A935AA" w:rsidRDefault="00DB1352" w:rsidP="00F026EE">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1</w:t>
            </w:r>
            <w:r w:rsidRPr="00A935AA">
              <w:rPr>
                <w:sz w:val="20"/>
                <w:szCs w:val="20"/>
              </w:rPr>
              <w:t>.201</w:t>
            </w:r>
            <w:r>
              <w:rPr>
                <w:sz w:val="20"/>
                <w:szCs w:val="20"/>
              </w:rPr>
              <w:t>5</w:t>
            </w:r>
            <w:r w:rsidR="00007FF8">
              <w:rPr>
                <w:sz w:val="20"/>
                <w:szCs w:val="20"/>
                <w:lang w:val="fr-CA"/>
              </w:rPr>
              <w:pict>
                <v:rect id="_x0000_i1043" style="width:108pt;height:1pt" o:hrpct="0" o:hralign="center" o:hrstd="t" o:hrnoshade="t" o:hr="t" fillcolor="black [3213]" stroked="f"/>
              </w:pict>
            </w:r>
          </w:p>
        </w:tc>
      </w:tr>
    </w:tbl>
    <w:p w:rsidR="00D94028" w:rsidRPr="006A028C" w:rsidRDefault="00D94028" w:rsidP="0095096B">
      <w:pPr>
        <w:tabs>
          <w:tab w:val="right" w:pos="9360"/>
        </w:tabs>
        <w:rPr>
          <w:sz w:val="20"/>
          <w:szCs w:val="20"/>
        </w:rPr>
      </w:pPr>
    </w:p>
    <w:p w:rsidR="00242AEE" w:rsidRPr="006A028C" w:rsidRDefault="00242AEE" w:rsidP="0095096B">
      <w:pPr>
        <w:tabs>
          <w:tab w:val="right" w:pos="9360"/>
        </w:tabs>
        <w:rPr>
          <w:sz w:val="20"/>
          <w:szCs w:val="20"/>
        </w:rPr>
      </w:pPr>
    </w:p>
    <w:p w:rsidR="00242AEE" w:rsidRPr="006A028C" w:rsidRDefault="00242AEE" w:rsidP="0095096B">
      <w:pPr>
        <w:tabs>
          <w:tab w:val="right" w:pos="9360"/>
        </w:tabs>
        <w:rPr>
          <w:sz w:val="20"/>
          <w:szCs w:val="20"/>
        </w:rPr>
        <w:sectPr w:rsidR="00242AEE" w:rsidRPr="006A028C" w:rsidSect="003332E2">
          <w:headerReference w:type="default" r:id="rId16"/>
          <w:footerReference w:type="default" r:id="rId17"/>
          <w:headerReference w:type="first" r:id="rId18"/>
          <w:footerReference w:type="first" r:id="rId19"/>
          <w:pgSz w:w="12240" w:h="15840"/>
          <w:pgMar w:top="720" w:right="965" w:bottom="1080" w:left="1656" w:header="706" w:footer="706" w:gutter="0"/>
          <w:pgNumType w:start="28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07FF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6F5AB3" w:rsidP="00CB3520">
      <w:pPr>
        <w:widowControl w:val="0"/>
        <w:rPr>
          <w:b/>
          <w:sz w:val="20"/>
          <w:szCs w:val="20"/>
        </w:rPr>
      </w:pPr>
      <w:r>
        <w:rPr>
          <w:b/>
          <w:sz w:val="20"/>
          <w:szCs w:val="20"/>
        </w:rPr>
        <w:t>FEBRU</w:t>
      </w:r>
      <w:r w:rsidR="00CB3520">
        <w:rPr>
          <w:b/>
          <w:sz w:val="20"/>
          <w:szCs w:val="20"/>
        </w:rPr>
        <w:t xml:space="preserve">ARY </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9 FÉ</w:t>
      </w:r>
      <w:r w:rsidR="00CB3520">
        <w:rPr>
          <w:b/>
          <w:sz w:val="20"/>
          <w:szCs w:val="20"/>
        </w:rPr>
        <w:t>V</w:t>
      </w:r>
      <w:r>
        <w:rPr>
          <w:b/>
          <w:sz w:val="20"/>
          <w:szCs w:val="20"/>
        </w:rPr>
        <w:t>R</w:t>
      </w:r>
      <w:r w:rsidR="00CB3520">
        <w:rPr>
          <w:b/>
          <w:sz w:val="20"/>
          <w:szCs w:val="20"/>
        </w:rPr>
        <w:t>IER</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50506B" w:rsidP="00CB3520">
      <w:pPr>
        <w:pStyle w:val="ListParagraph"/>
        <w:widowControl w:val="0"/>
        <w:numPr>
          <w:ilvl w:val="0"/>
          <w:numId w:val="1"/>
        </w:numPr>
        <w:ind w:hanging="720"/>
        <w:jc w:val="both"/>
        <w:rPr>
          <w:sz w:val="20"/>
          <w:szCs w:val="20"/>
        </w:rPr>
      </w:pPr>
      <w:r w:rsidRPr="0050506B">
        <w:rPr>
          <w:i/>
          <w:sz w:val="20"/>
          <w:szCs w:val="20"/>
        </w:rPr>
        <w:t>Ryan Glenn Ziegler v. Her Majesty the Queen</w:t>
      </w:r>
      <w:r w:rsidRPr="0050506B">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153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50506B" w:rsidP="00CB3520">
      <w:pPr>
        <w:pStyle w:val="ListParagraph"/>
        <w:widowControl w:val="0"/>
        <w:numPr>
          <w:ilvl w:val="0"/>
          <w:numId w:val="1"/>
        </w:numPr>
        <w:ind w:hanging="720"/>
        <w:jc w:val="both"/>
        <w:rPr>
          <w:sz w:val="20"/>
          <w:szCs w:val="20"/>
        </w:rPr>
      </w:pPr>
      <w:r w:rsidRPr="0050506B">
        <w:rPr>
          <w:i/>
          <w:sz w:val="20"/>
          <w:szCs w:val="20"/>
        </w:rPr>
        <w:t>Applied Consumer &amp; Clinical Evaluations Inc. v. Vicky Karen Strudwick</w:t>
      </w:r>
      <w:r w:rsidRPr="0050506B">
        <w:rPr>
          <w:sz w:val="20"/>
          <w:szCs w:val="20"/>
        </w:rPr>
        <w:t xml:space="preserve"> (Ont.) (Civil) (By Leave)</w:t>
      </w:r>
      <w:r w:rsidRPr="00C612D0">
        <w:rPr>
          <w:sz w:val="20"/>
          <w:szCs w:val="20"/>
        </w:rPr>
        <w:t xml:space="preserve"> </w:t>
      </w:r>
      <w:r w:rsidR="00CB3520" w:rsidRPr="00C612D0">
        <w:rPr>
          <w:sz w:val="20"/>
          <w:szCs w:val="20"/>
        </w:rPr>
        <w:t>(3</w:t>
      </w:r>
      <w:r w:rsidR="00CB3520">
        <w:rPr>
          <w:sz w:val="20"/>
          <w:szCs w:val="20"/>
        </w:rPr>
        <w:t>6</w:t>
      </w:r>
      <w:r>
        <w:rPr>
          <w:sz w:val="20"/>
          <w:szCs w:val="20"/>
        </w:rPr>
        <w:t>122</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50506B" w:rsidP="00CB3520">
      <w:pPr>
        <w:pStyle w:val="ListParagraph"/>
        <w:widowControl w:val="0"/>
        <w:numPr>
          <w:ilvl w:val="0"/>
          <w:numId w:val="1"/>
        </w:numPr>
        <w:ind w:hanging="720"/>
        <w:jc w:val="both"/>
        <w:rPr>
          <w:sz w:val="20"/>
          <w:szCs w:val="20"/>
        </w:rPr>
      </w:pPr>
      <w:r w:rsidRPr="0050506B">
        <w:rPr>
          <w:i/>
          <w:sz w:val="20"/>
          <w:szCs w:val="20"/>
        </w:rPr>
        <w:t>Total Oilfield Rentals Limited Partnership v. Attorney General of Canada</w:t>
      </w:r>
      <w:r w:rsidRPr="0050506B">
        <w:rPr>
          <w:sz w:val="20"/>
          <w:szCs w:val="20"/>
        </w:rPr>
        <w:t xml:space="preserve"> (Alta.) (Civil) (By Leave)</w:t>
      </w:r>
      <w:r w:rsidRPr="00940CAD">
        <w:rPr>
          <w:sz w:val="20"/>
          <w:szCs w:val="20"/>
        </w:rPr>
        <w:t xml:space="preserve"> </w:t>
      </w:r>
      <w:r w:rsidR="00CB3520" w:rsidRPr="00940CAD">
        <w:rPr>
          <w:sz w:val="20"/>
          <w:szCs w:val="20"/>
        </w:rPr>
        <w:t>(3</w:t>
      </w:r>
      <w:r>
        <w:rPr>
          <w:sz w:val="20"/>
          <w:szCs w:val="20"/>
        </w:rPr>
        <w:t>6128</w:t>
      </w:r>
      <w:r w:rsidR="00CB3520" w:rsidRPr="00940CAD">
        <w:rPr>
          <w:sz w:val="20"/>
          <w:szCs w:val="20"/>
        </w:rPr>
        <w:t>)</w:t>
      </w:r>
    </w:p>
    <w:p w:rsidR="00CB3520" w:rsidRPr="00C50A5C" w:rsidRDefault="00CB3520" w:rsidP="00CB3520">
      <w:pPr>
        <w:widowControl w:val="0"/>
        <w:rPr>
          <w:sz w:val="20"/>
          <w:szCs w:val="20"/>
        </w:rPr>
      </w:pPr>
    </w:p>
    <w:p w:rsidR="00CB3520" w:rsidRPr="00C50A5C" w:rsidRDefault="0050506B" w:rsidP="00CB3520">
      <w:pPr>
        <w:pStyle w:val="ListParagraph"/>
        <w:widowControl w:val="0"/>
        <w:numPr>
          <w:ilvl w:val="0"/>
          <w:numId w:val="1"/>
        </w:numPr>
        <w:ind w:hanging="720"/>
        <w:jc w:val="both"/>
        <w:rPr>
          <w:sz w:val="20"/>
          <w:szCs w:val="20"/>
        </w:rPr>
      </w:pPr>
      <w:r w:rsidRPr="0050506B">
        <w:rPr>
          <w:i/>
          <w:sz w:val="20"/>
          <w:szCs w:val="20"/>
        </w:rPr>
        <w:t>Kris Rana v. Unifund Assurance Company</w:t>
      </w:r>
      <w:r w:rsidRPr="0050506B">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6</w:t>
      </w:r>
      <w:r>
        <w:rPr>
          <w:sz w:val="20"/>
          <w:szCs w:val="20"/>
        </w:rPr>
        <w:t>2</w:t>
      </w:r>
      <w:r w:rsidR="00CB3520">
        <w:rPr>
          <w:sz w:val="20"/>
          <w:szCs w:val="20"/>
        </w:rPr>
        <w:t>1</w:t>
      </w:r>
      <w:r>
        <w:rPr>
          <w:sz w:val="20"/>
          <w:szCs w:val="20"/>
        </w:rPr>
        <w:t>2</w:t>
      </w:r>
      <w:r w:rsidR="00CB3520" w:rsidRPr="00C50A5C">
        <w:rPr>
          <w:sz w:val="20"/>
          <w:szCs w:val="20"/>
        </w:rPr>
        <w:t>)</w:t>
      </w:r>
    </w:p>
    <w:p w:rsidR="00CB3520" w:rsidRDefault="00CB3520" w:rsidP="00CB3520">
      <w:pPr>
        <w:widowControl w:val="0"/>
        <w:jc w:val="both"/>
        <w:rPr>
          <w:sz w:val="20"/>
          <w:szCs w:val="20"/>
        </w:rPr>
      </w:pPr>
    </w:p>
    <w:p w:rsidR="0050506B" w:rsidRDefault="0050506B" w:rsidP="00CB3520">
      <w:pPr>
        <w:widowControl w:val="0"/>
        <w:jc w:val="both"/>
        <w:rPr>
          <w:sz w:val="20"/>
          <w:szCs w:val="20"/>
        </w:rPr>
      </w:pPr>
    </w:p>
    <w:p w:rsidR="0050506B" w:rsidRPr="0050506B" w:rsidRDefault="0050506B" w:rsidP="0050506B">
      <w:pPr>
        <w:widowControl w:val="0"/>
        <w:jc w:val="center"/>
        <w:rPr>
          <w:b/>
          <w:sz w:val="20"/>
          <w:szCs w:val="20"/>
          <w:lang w:val="fr-CA"/>
        </w:rPr>
      </w:pPr>
      <w:r w:rsidRPr="0050506B">
        <w:rPr>
          <w:b/>
          <w:sz w:val="20"/>
          <w:szCs w:val="20"/>
          <w:lang w:val="fr-CA"/>
        </w:rPr>
        <w:t>CORAM: Abella, Karakatsanis and Côté JJ.</w:t>
      </w:r>
    </w:p>
    <w:p w:rsidR="0050506B" w:rsidRPr="00C50A5C" w:rsidRDefault="0050506B" w:rsidP="0050506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50506B" w:rsidRPr="0050506B" w:rsidRDefault="0050506B" w:rsidP="00CB3520">
      <w:pPr>
        <w:widowControl w:val="0"/>
        <w:jc w:val="both"/>
        <w:rPr>
          <w:sz w:val="20"/>
          <w:szCs w:val="20"/>
          <w:lang w:val="fr-CA"/>
        </w:rPr>
      </w:pPr>
    </w:p>
    <w:p w:rsidR="00CB3520" w:rsidRPr="009C5D38" w:rsidRDefault="0050506B" w:rsidP="00CB3520">
      <w:pPr>
        <w:pStyle w:val="ListParagraph"/>
        <w:widowControl w:val="0"/>
        <w:numPr>
          <w:ilvl w:val="0"/>
          <w:numId w:val="1"/>
        </w:numPr>
        <w:ind w:hanging="720"/>
        <w:jc w:val="both"/>
        <w:rPr>
          <w:sz w:val="20"/>
          <w:szCs w:val="20"/>
        </w:rPr>
      </w:pPr>
      <w:r w:rsidRPr="0050506B">
        <w:rPr>
          <w:i/>
          <w:sz w:val="20"/>
          <w:szCs w:val="20"/>
        </w:rPr>
        <w:t>Daryle Jackson Blackduck v. Her Majesty the Queen</w:t>
      </w:r>
      <w:r w:rsidRPr="0050506B">
        <w:rPr>
          <w:sz w:val="20"/>
          <w:szCs w:val="20"/>
        </w:rPr>
        <w:t xml:space="preserve"> (N.W.T.) (Crim.) (By Leave)</w:t>
      </w:r>
      <w:r w:rsidRPr="009C5D38">
        <w:rPr>
          <w:sz w:val="20"/>
          <w:szCs w:val="20"/>
        </w:rPr>
        <w:t xml:space="preserve"> </w:t>
      </w:r>
      <w:r w:rsidR="00CB3520" w:rsidRPr="009C5D38">
        <w:rPr>
          <w:sz w:val="20"/>
          <w:szCs w:val="20"/>
        </w:rPr>
        <w:t>(361</w:t>
      </w:r>
      <w:r>
        <w:rPr>
          <w:sz w:val="20"/>
          <w:szCs w:val="20"/>
        </w:rPr>
        <w:t>85</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50506B" w:rsidRDefault="0050506B" w:rsidP="00CB3520">
      <w:pPr>
        <w:pStyle w:val="ListParagraph"/>
        <w:widowControl w:val="0"/>
        <w:numPr>
          <w:ilvl w:val="0"/>
          <w:numId w:val="1"/>
        </w:numPr>
        <w:ind w:hanging="720"/>
        <w:jc w:val="both"/>
        <w:rPr>
          <w:sz w:val="20"/>
          <w:szCs w:val="20"/>
        </w:rPr>
      </w:pPr>
      <w:r w:rsidRPr="0050506B">
        <w:rPr>
          <w:i/>
          <w:sz w:val="20"/>
          <w:szCs w:val="20"/>
        </w:rPr>
        <w:t>Jessica Ernst v. Alberta Energy Regulator</w:t>
      </w:r>
      <w:r w:rsidRPr="0050506B">
        <w:rPr>
          <w:sz w:val="20"/>
          <w:szCs w:val="20"/>
        </w:rPr>
        <w:t xml:space="preserve"> (Alta.) (Civil) (By Leave) </w:t>
      </w:r>
      <w:r w:rsidR="00CB3520" w:rsidRPr="0050506B">
        <w:rPr>
          <w:sz w:val="20"/>
          <w:szCs w:val="20"/>
        </w:rPr>
        <w:t>(36</w:t>
      </w:r>
      <w:r w:rsidRPr="0050506B">
        <w:rPr>
          <w:sz w:val="20"/>
          <w:szCs w:val="20"/>
        </w:rPr>
        <w:t>167</w:t>
      </w:r>
      <w:r w:rsidR="00CB3520" w:rsidRPr="0050506B">
        <w:rPr>
          <w:sz w:val="20"/>
          <w:szCs w:val="20"/>
        </w:rPr>
        <w:t>)</w:t>
      </w:r>
    </w:p>
    <w:p w:rsidR="00CB3520" w:rsidRPr="0050506B" w:rsidRDefault="00CB3520" w:rsidP="00CB3520">
      <w:pPr>
        <w:widowControl w:val="0"/>
        <w:jc w:val="both"/>
        <w:rPr>
          <w:sz w:val="20"/>
          <w:szCs w:val="20"/>
        </w:rPr>
      </w:pPr>
    </w:p>
    <w:p w:rsidR="00CB3520" w:rsidRPr="0050506B" w:rsidRDefault="0050506B" w:rsidP="00CB3520">
      <w:pPr>
        <w:pStyle w:val="ListParagraph"/>
        <w:widowControl w:val="0"/>
        <w:numPr>
          <w:ilvl w:val="0"/>
          <w:numId w:val="1"/>
        </w:numPr>
        <w:ind w:hanging="720"/>
        <w:jc w:val="both"/>
        <w:rPr>
          <w:sz w:val="20"/>
          <w:szCs w:val="20"/>
          <w:lang w:val="fr-CA"/>
        </w:rPr>
      </w:pPr>
      <w:r w:rsidRPr="0050506B">
        <w:rPr>
          <w:i/>
          <w:sz w:val="20"/>
          <w:szCs w:val="20"/>
          <w:lang w:val="fr-CA"/>
        </w:rPr>
        <w:t>Kerfalla Toure et autre c. Brault &amp; Martineau Inc. et autre</w:t>
      </w:r>
      <w:r w:rsidRPr="0050506B">
        <w:rPr>
          <w:sz w:val="20"/>
          <w:szCs w:val="20"/>
          <w:lang w:val="fr-CA"/>
        </w:rPr>
        <w:t xml:space="preserve"> (Qc) (Civile) (Autorisation) </w:t>
      </w:r>
      <w:r w:rsidR="00CB3520" w:rsidRPr="0050506B">
        <w:rPr>
          <w:sz w:val="20"/>
          <w:szCs w:val="20"/>
          <w:lang w:val="fr-CA"/>
        </w:rPr>
        <w:t>(36</w:t>
      </w:r>
      <w:r w:rsidRPr="0050506B">
        <w:rPr>
          <w:sz w:val="20"/>
          <w:szCs w:val="20"/>
          <w:lang w:val="fr-CA"/>
        </w:rPr>
        <w:t>142</w:t>
      </w:r>
      <w:r w:rsidR="00CB3520" w:rsidRPr="0050506B">
        <w:rPr>
          <w:sz w:val="20"/>
          <w:szCs w:val="20"/>
          <w:lang w:val="fr-CA"/>
        </w:rPr>
        <w:t>)</w:t>
      </w:r>
    </w:p>
    <w:p w:rsidR="00CB3520" w:rsidRPr="0050506B" w:rsidRDefault="00CB3520" w:rsidP="00CB3520">
      <w:pPr>
        <w:widowControl w:val="0"/>
        <w:jc w:val="both"/>
        <w:rPr>
          <w:sz w:val="20"/>
          <w:szCs w:val="20"/>
          <w:lang w:val="fr-CA"/>
        </w:rPr>
      </w:pPr>
    </w:p>
    <w:p w:rsidR="0050506B" w:rsidRPr="0050506B" w:rsidRDefault="0050506B" w:rsidP="00CB3520">
      <w:pPr>
        <w:widowControl w:val="0"/>
        <w:jc w:val="both"/>
        <w:rPr>
          <w:sz w:val="20"/>
          <w:szCs w:val="20"/>
          <w:lang w:val="fr-CA"/>
        </w:rPr>
      </w:pPr>
    </w:p>
    <w:p w:rsidR="0050506B" w:rsidRPr="00C50A5C" w:rsidRDefault="0050506B" w:rsidP="0050506B">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50506B" w:rsidRPr="00C50A5C" w:rsidRDefault="0050506B" w:rsidP="0050506B">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50506B" w:rsidRPr="0050506B" w:rsidRDefault="0050506B" w:rsidP="00CB3520">
      <w:pPr>
        <w:widowControl w:val="0"/>
        <w:jc w:val="both"/>
        <w:rPr>
          <w:sz w:val="20"/>
          <w:szCs w:val="20"/>
          <w:lang w:val="fr-CA"/>
        </w:rPr>
      </w:pPr>
    </w:p>
    <w:p w:rsidR="00CB3520" w:rsidRPr="00C50A5C" w:rsidRDefault="0050506B" w:rsidP="00CB3520">
      <w:pPr>
        <w:pStyle w:val="ListParagraph"/>
        <w:widowControl w:val="0"/>
        <w:numPr>
          <w:ilvl w:val="0"/>
          <w:numId w:val="1"/>
        </w:numPr>
        <w:ind w:hanging="720"/>
        <w:jc w:val="both"/>
        <w:rPr>
          <w:sz w:val="20"/>
          <w:szCs w:val="20"/>
          <w:lang w:val="fr-CA"/>
        </w:rPr>
      </w:pPr>
      <w:r w:rsidRPr="0050506B">
        <w:rPr>
          <w:i/>
          <w:sz w:val="20"/>
          <w:szCs w:val="20"/>
        </w:rPr>
        <w:t>Her Majesty the Queen v. Rodney J. Gillis</w:t>
      </w:r>
      <w:r w:rsidRPr="0050506B">
        <w:rPr>
          <w:sz w:val="20"/>
          <w:szCs w:val="20"/>
        </w:rPr>
        <w:t xml:space="preserve"> (N.B.) (Crim.)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Pr>
          <w:sz w:val="20"/>
          <w:szCs w:val="20"/>
          <w:lang w:val="fr-CA"/>
        </w:rPr>
        <w:t>164</w:t>
      </w:r>
      <w:r w:rsidR="00CB3520" w:rsidRPr="00C50A5C">
        <w:rPr>
          <w:sz w:val="20"/>
          <w:szCs w:val="20"/>
          <w:lang w:val="fr-CA"/>
        </w:rPr>
        <w:t>)</w:t>
      </w:r>
    </w:p>
    <w:p w:rsidR="0050506B" w:rsidRDefault="0050506B" w:rsidP="00CB3520">
      <w:pPr>
        <w:widowControl w:val="0"/>
        <w:rPr>
          <w:sz w:val="20"/>
          <w:szCs w:val="20"/>
          <w:lang w:val="fr-CA"/>
        </w:rPr>
      </w:pPr>
    </w:p>
    <w:p w:rsidR="00CB3520" w:rsidRPr="009C5D38" w:rsidRDefault="0050506B" w:rsidP="00CB3520">
      <w:pPr>
        <w:pStyle w:val="ListParagraph"/>
        <w:widowControl w:val="0"/>
        <w:numPr>
          <w:ilvl w:val="0"/>
          <w:numId w:val="1"/>
        </w:numPr>
        <w:ind w:hanging="720"/>
        <w:jc w:val="both"/>
        <w:rPr>
          <w:sz w:val="20"/>
          <w:szCs w:val="20"/>
          <w:lang w:val="fr-CA"/>
        </w:rPr>
      </w:pPr>
      <w:r w:rsidRPr="0050506B">
        <w:rPr>
          <w:i/>
          <w:sz w:val="20"/>
          <w:szCs w:val="20"/>
        </w:rPr>
        <w:t>Ontario Federation of Anglers and Hunters v. AlLDERVILLE INDIAN BAND now known as Mississaugas of Alderville First Nation, Gimaa Jim Bob Marsden suing on his own behalf and on behalf of the members of the Mississaugas of Alderville First Nation et al.</w:t>
      </w:r>
      <w:r w:rsidRPr="0050506B">
        <w:rPr>
          <w:sz w:val="20"/>
          <w:szCs w:val="20"/>
        </w:rPr>
        <w:t xml:space="preserve"> (F.C.) (Civil) (By Leave)</w:t>
      </w:r>
      <w:r w:rsidRPr="009C5D38">
        <w:rPr>
          <w:sz w:val="20"/>
          <w:szCs w:val="20"/>
          <w:lang w:val="fr-CA"/>
        </w:rPr>
        <w:t xml:space="preserve"> </w:t>
      </w:r>
      <w:r w:rsidR="00CB3520" w:rsidRPr="009C5D38">
        <w:rPr>
          <w:sz w:val="20"/>
          <w:szCs w:val="20"/>
          <w:lang w:val="fr-CA"/>
        </w:rPr>
        <w:t>(360</w:t>
      </w:r>
      <w:r>
        <w:rPr>
          <w:sz w:val="20"/>
          <w:szCs w:val="20"/>
          <w:lang w:val="fr-CA"/>
        </w:rPr>
        <w:t>35</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50506B" w:rsidP="00CB3520">
      <w:pPr>
        <w:pStyle w:val="ListParagraph"/>
        <w:widowControl w:val="0"/>
        <w:numPr>
          <w:ilvl w:val="0"/>
          <w:numId w:val="1"/>
        </w:numPr>
        <w:ind w:hanging="720"/>
        <w:jc w:val="both"/>
        <w:rPr>
          <w:sz w:val="20"/>
          <w:szCs w:val="20"/>
        </w:rPr>
      </w:pPr>
      <w:r w:rsidRPr="0050506B">
        <w:rPr>
          <w:i/>
          <w:sz w:val="20"/>
          <w:szCs w:val="20"/>
        </w:rPr>
        <w:t>Helen Kim v. Andy Peredery</w:t>
      </w:r>
      <w:r w:rsidRPr="0050506B">
        <w:rPr>
          <w:sz w:val="20"/>
          <w:szCs w:val="20"/>
        </w:rPr>
        <w:t xml:space="preserve"> (Ont.) (Civil)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82</w:t>
      </w:r>
      <w:r w:rsidR="00CB3520" w:rsidRPr="00115C9E">
        <w:rPr>
          <w:sz w:val="20"/>
          <w:szCs w:val="20"/>
        </w:rPr>
        <w:t>)</w:t>
      </w:r>
    </w:p>
    <w:p w:rsidR="00CB3520" w:rsidRPr="0050506B" w:rsidRDefault="00CB3520" w:rsidP="00CB3520">
      <w:pPr>
        <w:widowControl w:val="0"/>
        <w:jc w:val="both"/>
        <w:rPr>
          <w:sz w:val="20"/>
          <w:szCs w:val="20"/>
        </w:rPr>
      </w:pPr>
    </w:p>
    <w:p w:rsidR="00CB3520" w:rsidRPr="00115C9E" w:rsidRDefault="0050506B" w:rsidP="00CB3520">
      <w:pPr>
        <w:pStyle w:val="ListParagraph"/>
        <w:widowControl w:val="0"/>
        <w:numPr>
          <w:ilvl w:val="0"/>
          <w:numId w:val="1"/>
        </w:numPr>
        <w:ind w:hanging="720"/>
        <w:jc w:val="both"/>
        <w:rPr>
          <w:sz w:val="20"/>
          <w:szCs w:val="20"/>
        </w:rPr>
      </w:pPr>
      <w:r w:rsidRPr="0050506B">
        <w:rPr>
          <w:i/>
          <w:sz w:val="20"/>
          <w:szCs w:val="20"/>
        </w:rPr>
        <w:t>Eian Gill v. Human Rights Tribunal of Ontario et al.</w:t>
      </w:r>
      <w:r w:rsidRPr="0050506B">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6</w:t>
      </w:r>
      <w:r>
        <w:rPr>
          <w:sz w:val="20"/>
          <w:szCs w:val="20"/>
        </w:rPr>
        <w:t>1</w:t>
      </w:r>
      <w:r w:rsidR="00CB3520">
        <w:rPr>
          <w:sz w:val="20"/>
          <w:szCs w:val="20"/>
        </w:rPr>
        <w:t>5</w:t>
      </w:r>
      <w:r>
        <w:rPr>
          <w:sz w:val="20"/>
          <w:szCs w:val="20"/>
        </w:rPr>
        <w:t>2</w:t>
      </w:r>
      <w:r w:rsidR="00CB3520" w:rsidRPr="00115C9E">
        <w:rPr>
          <w:sz w:val="20"/>
          <w:szCs w:val="20"/>
        </w:rPr>
        <w:t>)</w:t>
      </w:r>
    </w:p>
    <w:p w:rsidR="002E2327" w:rsidRPr="00CB3520" w:rsidRDefault="002E2327" w:rsidP="002E2327">
      <w:pPr>
        <w:widowControl w:val="0"/>
        <w:rPr>
          <w:sz w:val="20"/>
          <w:szCs w:val="20"/>
        </w:rPr>
      </w:pPr>
    </w:p>
    <w:p w:rsidR="002E2327" w:rsidRDefault="00007FF8" w:rsidP="002E2327">
      <w:pPr>
        <w:widowControl w:val="0"/>
        <w:rPr>
          <w:sz w:val="20"/>
          <w:szCs w:val="20"/>
        </w:rPr>
      </w:pPr>
      <w:r>
        <w:rPr>
          <w:sz w:val="20"/>
          <w:szCs w:val="20"/>
        </w:rPr>
        <w:pict>
          <v:rect id="_x0000_i1046" style="width:2in;height:1pt" o:hrpct="0" o:hralign="center" o:hrstd="t" o:hrnoshade="t" o:hr="t" fillcolor="black [3213]" stroked="f"/>
        </w:pict>
      </w:r>
    </w:p>
    <w:p w:rsidR="00D94028" w:rsidRDefault="00D94028" w:rsidP="002E2327">
      <w:pPr>
        <w:widowControl w:val="0"/>
        <w:rPr>
          <w:sz w:val="20"/>
          <w:szCs w:val="20"/>
        </w:rPr>
      </w:pPr>
    </w:p>
    <w:p w:rsidR="0050506B" w:rsidRDefault="0050506B"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29.01.2015</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Before / Devant :   GASCON J. / LE JUGE GASCON</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0216D" w:rsidRPr="002F7FF6" w:rsidTr="00681634">
        <w:tc>
          <w:tcPr>
            <w:tcW w:w="4338" w:type="dxa"/>
          </w:tcPr>
          <w:p w:rsidR="0000216D" w:rsidRPr="0000216D" w:rsidRDefault="0000216D" w:rsidP="0000216D">
            <w:pPr>
              <w:tabs>
                <w:tab w:val="left" w:pos="-1440"/>
                <w:tab w:val="left" w:pos="-720"/>
              </w:tabs>
              <w:jc w:val="both"/>
              <w:rPr>
                <w:lang w:val="en-US"/>
              </w:rPr>
            </w:pPr>
            <w:r w:rsidRPr="0000216D">
              <w:rPr>
                <w:b/>
                <w:bCs/>
                <w:lang w:val="en-GB"/>
              </w:rPr>
              <w:t>Motion to file a lengthy factum</w:t>
            </w:r>
            <w:r w:rsidRPr="0000216D">
              <w:rPr>
                <w:b/>
                <w:bCs/>
                <w:lang w:val="en-US"/>
              </w:rPr>
              <w:t xml:space="preserve"> </w:t>
            </w:r>
          </w:p>
        </w:tc>
        <w:tc>
          <w:tcPr>
            <w:tcW w:w="1170" w:type="dxa"/>
          </w:tcPr>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p>
        </w:tc>
        <w:tc>
          <w:tcPr>
            <w:tcW w:w="4327" w:type="dxa"/>
          </w:tcPr>
          <w:p w:rsidR="0000216D" w:rsidRPr="0000216D" w:rsidRDefault="0000216D" w:rsidP="0000216D">
            <w:pPr>
              <w:tabs>
                <w:tab w:val="left" w:pos="-1440"/>
                <w:tab w:val="left" w:pos="-720"/>
              </w:tabs>
              <w:jc w:val="both"/>
              <w:rPr>
                <w:lang w:val="fr-CA"/>
              </w:rPr>
            </w:pPr>
            <w:r w:rsidRPr="0000216D">
              <w:rPr>
                <w:b/>
                <w:bCs/>
                <w:lang w:val="fr-CA"/>
              </w:rPr>
              <w:t>Requête en vue de déposer un mémoire volumineux</w:t>
            </w:r>
          </w:p>
        </w:tc>
      </w:tr>
      <w:tr w:rsidR="0000216D" w:rsidRPr="0000216D" w:rsidTr="00681634">
        <w:tc>
          <w:tcPr>
            <w:tcW w:w="4338" w:type="dxa"/>
          </w:tcPr>
          <w:p w:rsidR="0000216D" w:rsidRPr="0000216D" w:rsidRDefault="0000216D" w:rsidP="0000216D">
            <w:pPr>
              <w:tabs>
                <w:tab w:val="left" w:pos="-1440"/>
                <w:tab w:val="left" w:pos="-720"/>
              </w:tabs>
              <w:jc w:val="both"/>
            </w:pPr>
            <w:r w:rsidRPr="0000216D">
              <w:t>B010</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ab/>
              <w:t>v. (35388)</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Minister of Citizenship and Immigration (F.C.)</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 and between -</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Jesus Rodriguez Hernandez</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ab/>
              <w:t>v. (35677)</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Minister of Public Safety and Emergency Preparedness (F.C.)</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 and between -</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B306</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ab/>
              <w:t>v. (35685)</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Minister of Public Safety and Emergency Preparedness (F.C.)</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 and between -</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 xml:space="preserve">J.P. et al. </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ab/>
              <w:t>v. (35688)</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Minister of Public Safety and Emergency Preparedness (F.C.)</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 and between -</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Francis Anthonimuthu Appulonappa et al.</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r w:rsidRPr="0000216D">
              <w:tab/>
              <w:t>v. (35958)</w:t>
            </w: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rPr>
                <w:lang w:val="fr-CA"/>
              </w:rPr>
            </w:pPr>
            <w:r w:rsidRPr="0000216D">
              <w:t xml:space="preserve">Her Majesty the Queen et al. </w:t>
            </w:r>
            <w:r w:rsidRPr="0000216D">
              <w:rPr>
                <w:lang w:val="fr-CA"/>
              </w:rPr>
              <w:t>(Crim.) (B.C.)</w:t>
            </w:r>
          </w:p>
        </w:tc>
        <w:tc>
          <w:tcPr>
            <w:tcW w:w="1170" w:type="dxa"/>
          </w:tcPr>
          <w:p w:rsidR="0000216D" w:rsidRPr="0000216D" w:rsidRDefault="0000216D" w:rsidP="0000216D">
            <w:pPr>
              <w:tabs>
                <w:tab w:val="left" w:pos="-1440"/>
                <w:tab w:val="left" w:pos="-720"/>
              </w:tabs>
              <w:jc w:val="both"/>
              <w:rPr>
                <w:lang w:val="fr-CA"/>
              </w:rPr>
            </w:pPr>
          </w:p>
        </w:tc>
        <w:tc>
          <w:tcPr>
            <w:tcW w:w="4327" w:type="dxa"/>
          </w:tcPr>
          <w:p w:rsidR="0000216D" w:rsidRPr="0000216D" w:rsidRDefault="0000216D" w:rsidP="0000216D">
            <w:pPr>
              <w:tabs>
                <w:tab w:val="left" w:pos="-1440"/>
                <w:tab w:val="left" w:pos="-720"/>
              </w:tabs>
              <w:jc w:val="both"/>
              <w:rPr>
                <w:lang w:val="fr-CA"/>
              </w:rPr>
            </w:pPr>
          </w:p>
        </w:tc>
      </w:tr>
    </w:tbl>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eastAsia="en-CA"/>
        </w:rPr>
      </w:pPr>
      <w:r w:rsidRPr="0000216D">
        <w:rPr>
          <w:rFonts w:eastAsia="Times New Roman" w:cs="Times New Roman"/>
          <w:b/>
          <w:sz w:val="20"/>
          <w:szCs w:val="20"/>
          <w:lang w:eastAsia="en-CA"/>
        </w:rPr>
        <w:t>DISMISSED / REJETÉE</w:t>
      </w:r>
    </w:p>
    <w:p w:rsidR="0000216D" w:rsidRPr="0000216D" w:rsidRDefault="0000216D" w:rsidP="0000216D">
      <w:pPr>
        <w:tabs>
          <w:tab w:val="left" w:pos="-1440"/>
          <w:tab w:val="left" w:pos="-720"/>
        </w:tabs>
        <w:jc w:val="both"/>
        <w:rPr>
          <w:rFonts w:eastAsia="Times New Roman" w:cs="Times New Roman"/>
          <w:sz w:val="20"/>
          <w:szCs w:val="20"/>
          <w:lang w:eastAsia="en-CA"/>
        </w:rPr>
      </w:pPr>
    </w:p>
    <w:p w:rsidR="0000216D" w:rsidRPr="0000216D" w:rsidRDefault="0000216D" w:rsidP="0000216D">
      <w:pPr>
        <w:spacing w:line="233" w:lineRule="auto"/>
        <w:jc w:val="both"/>
        <w:rPr>
          <w:rFonts w:eastAsia="Times New Roman" w:cs="Times New Roman"/>
          <w:bCs/>
          <w:sz w:val="20"/>
          <w:szCs w:val="20"/>
          <w:lang w:val="en-US" w:eastAsia="en-CA"/>
        </w:rPr>
      </w:pPr>
      <w:r w:rsidRPr="0000216D">
        <w:rPr>
          <w:rFonts w:eastAsia="Times New Roman" w:cs="Times New Roman"/>
          <w:b/>
          <w:bCs/>
          <w:sz w:val="20"/>
          <w:szCs w:val="20"/>
          <w:lang w:val="en-US" w:eastAsia="en-CA"/>
        </w:rPr>
        <w:t xml:space="preserve">UPON APPLICATION </w:t>
      </w:r>
      <w:r w:rsidRPr="0000216D">
        <w:rPr>
          <w:rFonts w:eastAsia="Times New Roman" w:cs="Times New Roman"/>
          <w:bCs/>
          <w:sz w:val="20"/>
          <w:szCs w:val="20"/>
          <w:lang w:val="en-US" w:eastAsia="en-CA"/>
        </w:rPr>
        <w:t xml:space="preserve">by the intervener, Canadian Association of Refugee Lawyers, for leave to file five (5) additional pages in addition of the instructed ten (10) pages in its factum and, if granted leave, to make oral argument for an additional five (5) minutes </w:t>
      </w:r>
      <w:r w:rsidRPr="0000216D">
        <w:rPr>
          <w:rFonts w:eastAsia="Times New Roman" w:cs="Times New Roman"/>
          <w:sz w:val="20"/>
          <w:szCs w:val="20"/>
          <w:lang w:eastAsia="en-CA"/>
        </w:rPr>
        <w:t>in the above appeals;</w:t>
      </w:r>
    </w:p>
    <w:p w:rsidR="0000216D" w:rsidRPr="0000216D" w:rsidRDefault="0000216D" w:rsidP="0000216D">
      <w:pPr>
        <w:spacing w:line="233" w:lineRule="auto"/>
        <w:jc w:val="both"/>
        <w:rPr>
          <w:rFonts w:eastAsia="Times New Roman" w:cs="Times New Roman"/>
          <w:bCs/>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b/>
          <w:bCs/>
          <w:sz w:val="20"/>
          <w:szCs w:val="20"/>
          <w:lang w:val="en-US" w:eastAsia="en-CA"/>
        </w:rPr>
        <w:lastRenderedPageBreak/>
        <w:t>AND THE MATERIAL FILED</w:t>
      </w:r>
      <w:r w:rsidRPr="0000216D">
        <w:rPr>
          <w:rFonts w:eastAsia="Times New Roman" w:cs="Times New Roman"/>
          <w:sz w:val="20"/>
          <w:szCs w:val="20"/>
          <w:lang w:val="en-US" w:eastAsia="en-CA"/>
        </w:rPr>
        <w:t xml:space="preserve"> having been read;</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b/>
          <w:bCs/>
          <w:sz w:val="20"/>
          <w:szCs w:val="20"/>
          <w:lang w:val="en-US" w:eastAsia="en-CA"/>
        </w:rPr>
      </w:pPr>
      <w:r w:rsidRPr="0000216D">
        <w:rPr>
          <w:rFonts w:eastAsia="Times New Roman" w:cs="Times New Roman"/>
          <w:b/>
          <w:bCs/>
          <w:sz w:val="20"/>
          <w:szCs w:val="20"/>
          <w:lang w:val="en-US" w:eastAsia="en-CA"/>
        </w:rPr>
        <w:t>IT IS HEREBY ORDERED THAT:</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sz w:val="20"/>
          <w:szCs w:val="20"/>
          <w:lang w:val="en-US" w:eastAsia="en-CA"/>
        </w:rPr>
        <w:t xml:space="preserve">The request for leave to file additional pages in its factum is dismissed. </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sz w:val="20"/>
          <w:szCs w:val="20"/>
          <w:lang w:val="en-US" w:eastAsia="en-CA"/>
        </w:rPr>
        <w:t>The request for an additional five (5) minutes of oral argument is deferred to a date following receipt and consideration of the written arguments of the parties and the interveners.</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bCs/>
          <w:sz w:val="20"/>
          <w:szCs w:val="20"/>
          <w:lang w:val="fr-CA" w:eastAsia="en-CA"/>
        </w:rPr>
      </w:pPr>
      <w:r w:rsidRPr="0000216D">
        <w:rPr>
          <w:rFonts w:eastAsia="Times New Roman" w:cs="Times New Roman"/>
          <w:b/>
          <w:bCs/>
          <w:sz w:val="20"/>
          <w:szCs w:val="20"/>
          <w:lang w:val="fr-CA" w:eastAsia="en-CA"/>
        </w:rPr>
        <w:t>À LA SUITE DE LA REQUÊTE</w:t>
      </w:r>
      <w:r w:rsidRPr="0000216D">
        <w:rPr>
          <w:rFonts w:eastAsia="Times New Roman" w:cs="Times New Roman"/>
          <w:bCs/>
          <w:sz w:val="20"/>
          <w:szCs w:val="20"/>
          <w:lang w:val="fr-CA" w:eastAsia="en-CA"/>
        </w:rPr>
        <w:t xml:space="preserve"> de l’intervenante, l’Association canadienne des avocats et avocates en droit des réfugiés, en vue d’être autorisée à déposer dans son mémoire cinq (5) pages de plus que les dix (10) pages qu’elle avait été autorisée à déposer et, advenant qu’elle soit ainsi autorisée, en vue d’être autorisée à présenter une plaidoirie orale d’une durée additionnelle de cinq (5) minutes dans les présents appels;</w:t>
      </w:r>
    </w:p>
    <w:p w:rsidR="0000216D" w:rsidRPr="0000216D" w:rsidRDefault="0000216D" w:rsidP="0000216D">
      <w:pPr>
        <w:spacing w:line="233" w:lineRule="auto"/>
        <w:jc w:val="both"/>
        <w:rPr>
          <w:rFonts w:eastAsia="Times New Roman" w:cs="Times New Roman"/>
          <w:b/>
          <w:bCs/>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fr-CA" w:eastAsia="en-CA"/>
        </w:rPr>
      </w:pPr>
      <w:r w:rsidRPr="0000216D">
        <w:rPr>
          <w:rFonts w:eastAsia="Times New Roman" w:cs="Times New Roman"/>
          <w:b/>
          <w:bCs/>
          <w:sz w:val="20"/>
          <w:szCs w:val="20"/>
          <w:lang w:val="fr-CA" w:eastAsia="en-CA"/>
        </w:rPr>
        <w:t xml:space="preserve">ET APRÈS EXAMEN </w:t>
      </w:r>
      <w:r w:rsidRPr="0000216D">
        <w:rPr>
          <w:rFonts w:eastAsia="Times New Roman" w:cs="Times New Roman"/>
          <w:bCs/>
          <w:sz w:val="20"/>
          <w:szCs w:val="20"/>
          <w:lang w:val="fr-CA" w:eastAsia="en-CA"/>
        </w:rPr>
        <w:t>des documents déposés;</w:t>
      </w:r>
    </w:p>
    <w:p w:rsidR="0000216D" w:rsidRPr="0000216D" w:rsidRDefault="0000216D" w:rsidP="0000216D">
      <w:pPr>
        <w:spacing w:line="233" w:lineRule="auto"/>
        <w:jc w:val="both"/>
        <w:rPr>
          <w:rFonts w:eastAsia="Times New Roman" w:cs="Times New Roman"/>
          <w:sz w:val="20"/>
          <w:szCs w:val="20"/>
          <w:lang w:val="fr-CA" w:eastAsia="en-CA"/>
        </w:rPr>
      </w:pPr>
    </w:p>
    <w:p w:rsidR="0000216D" w:rsidRPr="0000216D" w:rsidRDefault="0000216D" w:rsidP="0000216D">
      <w:pPr>
        <w:spacing w:line="233" w:lineRule="auto"/>
        <w:jc w:val="both"/>
        <w:rPr>
          <w:rFonts w:eastAsia="Times New Roman" w:cs="Times New Roman"/>
          <w:b/>
          <w:bCs/>
          <w:sz w:val="20"/>
          <w:szCs w:val="20"/>
          <w:lang w:val="fr-CA" w:eastAsia="en-CA"/>
        </w:rPr>
      </w:pPr>
      <w:r w:rsidRPr="0000216D">
        <w:rPr>
          <w:rFonts w:eastAsia="Times New Roman" w:cs="Times New Roman"/>
          <w:b/>
          <w:bCs/>
          <w:sz w:val="20"/>
          <w:szCs w:val="20"/>
          <w:lang w:val="fr-CA" w:eastAsia="en-CA"/>
        </w:rPr>
        <w:t xml:space="preserve">IL EST EN OUTRE ORDONNÉ QUE : </w:t>
      </w:r>
    </w:p>
    <w:p w:rsidR="0000216D" w:rsidRPr="0000216D" w:rsidRDefault="0000216D" w:rsidP="0000216D">
      <w:pPr>
        <w:spacing w:line="233" w:lineRule="auto"/>
        <w:jc w:val="both"/>
        <w:rPr>
          <w:rFonts w:eastAsia="Times New Roman" w:cs="Times New Roman"/>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fr-CA" w:eastAsia="en-CA"/>
        </w:rPr>
      </w:pPr>
      <w:r w:rsidRPr="0000216D">
        <w:rPr>
          <w:rFonts w:eastAsia="Times New Roman" w:cs="Times New Roman"/>
          <w:sz w:val="20"/>
          <w:szCs w:val="20"/>
          <w:lang w:val="fr-CA" w:eastAsia="en-CA"/>
        </w:rPr>
        <w:t xml:space="preserve">La requête en vue d’être autorisée à déposer un mémoire contenant des pages additionnelles est rejetée.  </w:t>
      </w:r>
    </w:p>
    <w:p w:rsidR="0000216D" w:rsidRPr="0000216D" w:rsidRDefault="0000216D" w:rsidP="0000216D">
      <w:pPr>
        <w:spacing w:line="233" w:lineRule="auto"/>
        <w:jc w:val="both"/>
        <w:rPr>
          <w:rFonts w:eastAsia="Times New Roman" w:cs="Times New Roman"/>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fr-CA" w:eastAsia="en-CA"/>
        </w:rPr>
      </w:pPr>
      <w:r w:rsidRPr="0000216D">
        <w:rPr>
          <w:rFonts w:eastAsia="Times New Roman" w:cs="Times New Roman"/>
          <w:sz w:val="20"/>
          <w:szCs w:val="20"/>
          <w:lang w:val="fr-CA" w:eastAsia="en-CA"/>
        </w:rPr>
        <w:t>La requête en vue de présenter une plaidoirie orale d’une durée additionnelle de cinq (5) minutes est reportée à une date postérieure à la réception et à l’examen des arguments écrits des parties et des intervenants.</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7FF8" w:rsidP="0000216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eastAsia="en-CA"/>
        </w:rPr>
      </w:pPr>
      <w:r w:rsidRPr="0000216D">
        <w:rPr>
          <w:rFonts w:eastAsia="Times New Roman" w:cs="Times New Roman"/>
          <w:sz w:val="20"/>
          <w:szCs w:val="20"/>
          <w:lang w:eastAsia="en-CA"/>
        </w:rPr>
        <w:t>30.01.2015</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eastAsia="en-CA"/>
        </w:rPr>
      </w:pPr>
      <w:r w:rsidRPr="0000216D">
        <w:rPr>
          <w:rFonts w:eastAsia="Times New Roman" w:cs="Times New Roman"/>
          <w:sz w:val="20"/>
          <w:szCs w:val="20"/>
          <w:lang w:eastAsia="en-CA"/>
        </w:rPr>
        <w:t>Before / Devant:   THE DEPUTY REGISTRAR / LE REGISTRAIRE ADJOINT</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0216D" w:rsidRPr="002F7FF6" w:rsidTr="00681634">
        <w:tc>
          <w:tcPr>
            <w:tcW w:w="4338" w:type="dxa"/>
          </w:tcPr>
          <w:p w:rsidR="0000216D" w:rsidRPr="0000216D" w:rsidRDefault="0000216D" w:rsidP="0000216D">
            <w:pPr>
              <w:tabs>
                <w:tab w:val="left" w:pos="-1440"/>
                <w:tab w:val="left" w:pos="-720"/>
              </w:tabs>
              <w:jc w:val="both"/>
              <w:rPr>
                <w:b/>
              </w:rPr>
            </w:pPr>
            <w:r w:rsidRPr="0000216D">
              <w:rPr>
                <w:b/>
                <w:bCs/>
                <w:color w:val="000000"/>
                <w:lang w:val="en-GB"/>
              </w:rPr>
              <w:t>Motion to extend the time to serve and file the respondent’s response to January 27, 2015</w:t>
            </w:r>
          </w:p>
        </w:tc>
        <w:tc>
          <w:tcPr>
            <w:tcW w:w="1170" w:type="dxa"/>
          </w:tcPr>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p>
          <w:p w:rsidR="0000216D" w:rsidRPr="0000216D" w:rsidRDefault="0000216D" w:rsidP="0000216D">
            <w:pPr>
              <w:tabs>
                <w:tab w:val="left" w:pos="-1440"/>
                <w:tab w:val="left" w:pos="-720"/>
              </w:tabs>
              <w:jc w:val="both"/>
            </w:pPr>
          </w:p>
        </w:tc>
        <w:tc>
          <w:tcPr>
            <w:tcW w:w="4327" w:type="dxa"/>
          </w:tcPr>
          <w:p w:rsidR="0000216D" w:rsidRPr="0000216D" w:rsidRDefault="0000216D" w:rsidP="0000216D">
            <w:pPr>
              <w:tabs>
                <w:tab w:val="left" w:pos="-1440"/>
                <w:tab w:val="left" w:pos="-720"/>
              </w:tabs>
              <w:jc w:val="both"/>
              <w:rPr>
                <w:lang w:val="fr-CA"/>
              </w:rPr>
            </w:pPr>
            <w:r w:rsidRPr="0000216D">
              <w:rPr>
                <w:b/>
                <w:bCs/>
                <w:color w:val="000000"/>
                <w:lang w:val="fr-CA"/>
              </w:rPr>
              <w:t>Requête en prorogation du délai de signification et de dépôt de la réponse de l’intimé jusqu’au 27 janvier 2015</w:t>
            </w:r>
            <w:r w:rsidR="00E94B3C" w:rsidRPr="0000216D">
              <w:rPr>
                <w:szCs w:val="24"/>
                <w:lang w:val="en-US"/>
              </w:rPr>
              <w:fldChar w:fldCharType="begin"/>
            </w:r>
            <w:r w:rsidRPr="0000216D">
              <w:rPr>
                <w:szCs w:val="24"/>
                <w:lang w:val="fr-CA"/>
              </w:rPr>
              <w:instrText xml:space="preserve"> SEQ CHAPTER \h \r 1</w:instrText>
            </w:r>
            <w:r w:rsidR="00E94B3C" w:rsidRPr="0000216D">
              <w:rPr>
                <w:szCs w:val="24"/>
                <w:lang w:val="en-US"/>
              </w:rPr>
              <w:fldChar w:fldCharType="end"/>
            </w:r>
            <w:r w:rsidR="00E94B3C" w:rsidRPr="0000216D">
              <w:rPr>
                <w:szCs w:val="24"/>
                <w:lang w:val="en-US"/>
              </w:rPr>
              <w:fldChar w:fldCharType="begin"/>
            </w:r>
            <w:r w:rsidRPr="0000216D">
              <w:rPr>
                <w:szCs w:val="24"/>
                <w:lang w:val="fr-CA"/>
              </w:rPr>
              <w:instrText xml:space="preserve"> SEQ CHAPTER \h \r 1</w:instrText>
            </w:r>
            <w:r w:rsidR="00E94B3C" w:rsidRPr="0000216D">
              <w:rPr>
                <w:szCs w:val="24"/>
                <w:lang w:val="en-US"/>
              </w:rPr>
              <w:fldChar w:fldCharType="end"/>
            </w:r>
          </w:p>
        </w:tc>
      </w:tr>
      <w:tr w:rsidR="0000216D" w:rsidRPr="0000216D" w:rsidTr="00681634">
        <w:tc>
          <w:tcPr>
            <w:tcW w:w="4338" w:type="dxa"/>
          </w:tcPr>
          <w:p w:rsidR="0000216D" w:rsidRPr="0000216D" w:rsidRDefault="0000216D" w:rsidP="0000216D">
            <w:pPr>
              <w:tabs>
                <w:tab w:val="left" w:pos="-1440"/>
                <w:tab w:val="left" w:pos="-720"/>
              </w:tabs>
              <w:jc w:val="both"/>
              <w:rPr>
                <w:lang w:val="fr-CA"/>
              </w:rPr>
            </w:pPr>
            <w:r w:rsidRPr="0000216D">
              <w:rPr>
                <w:lang w:val="fr-CA"/>
              </w:rPr>
              <w:t>Richard Preston Centre for Excellence Society et al.</w:t>
            </w:r>
          </w:p>
          <w:p w:rsidR="0000216D" w:rsidRPr="0000216D" w:rsidRDefault="0000216D" w:rsidP="0000216D">
            <w:pPr>
              <w:tabs>
                <w:tab w:val="left" w:pos="-1440"/>
                <w:tab w:val="left" w:pos="-720"/>
              </w:tabs>
              <w:jc w:val="both"/>
              <w:rPr>
                <w:lang w:val="fr-CA"/>
              </w:rPr>
            </w:pPr>
          </w:p>
          <w:p w:rsidR="0000216D" w:rsidRPr="0000216D" w:rsidRDefault="0000216D" w:rsidP="0000216D">
            <w:pPr>
              <w:tabs>
                <w:tab w:val="left" w:pos="-1440"/>
                <w:tab w:val="left" w:pos="-720"/>
              </w:tabs>
              <w:jc w:val="both"/>
              <w:rPr>
                <w:lang w:val="fr-CA"/>
              </w:rPr>
            </w:pPr>
            <w:r w:rsidRPr="0000216D">
              <w:rPr>
                <w:lang w:val="fr-CA"/>
              </w:rPr>
              <w:tab/>
              <w:t>v. (36196)</w:t>
            </w:r>
          </w:p>
          <w:p w:rsidR="0000216D" w:rsidRPr="0000216D" w:rsidRDefault="0000216D" w:rsidP="0000216D">
            <w:pPr>
              <w:tabs>
                <w:tab w:val="left" w:pos="-1440"/>
                <w:tab w:val="left" w:pos="-720"/>
              </w:tabs>
              <w:jc w:val="both"/>
              <w:rPr>
                <w:lang w:val="fr-CA"/>
              </w:rPr>
            </w:pPr>
          </w:p>
          <w:p w:rsidR="0000216D" w:rsidRPr="0000216D" w:rsidRDefault="0000216D" w:rsidP="0000216D">
            <w:pPr>
              <w:tabs>
                <w:tab w:val="left" w:pos="-1440"/>
                <w:tab w:val="left" w:pos="-720"/>
              </w:tabs>
              <w:jc w:val="both"/>
            </w:pPr>
            <w:r w:rsidRPr="0000216D">
              <w:t>Jono Developments Ltd. et al. (N.S.)</w:t>
            </w:r>
          </w:p>
        </w:tc>
        <w:tc>
          <w:tcPr>
            <w:tcW w:w="1170" w:type="dxa"/>
          </w:tcPr>
          <w:p w:rsidR="0000216D" w:rsidRPr="0000216D" w:rsidRDefault="0000216D" w:rsidP="0000216D">
            <w:pPr>
              <w:tabs>
                <w:tab w:val="left" w:pos="-1440"/>
                <w:tab w:val="left" w:pos="-720"/>
              </w:tabs>
              <w:jc w:val="both"/>
            </w:pPr>
          </w:p>
        </w:tc>
        <w:tc>
          <w:tcPr>
            <w:tcW w:w="4327" w:type="dxa"/>
          </w:tcPr>
          <w:p w:rsidR="0000216D" w:rsidRPr="0000216D" w:rsidRDefault="0000216D" w:rsidP="0000216D">
            <w:pPr>
              <w:tabs>
                <w:tab w:val="left" w:pos="-1440"/>
                <w:tab w:val="left" w:pos="-720"/>
              </w:tabs>
              <w:jc w:val="both"/>
            </w:pPr>
          </w:p>
        </w:tc>
      </w:tr>
    </w:tbl>
    <w:p w:rsidR="0000216D" w:rsidRPr="0000216D" w:rsidRDefault="0000216D" w:rsidP="0000216D">
      <w:pPr>
        <w:tabs>
          <w:tab w:val="left" w:pos="-1440"/>
          <w:tab w:val="left" w:pos="-720"/>
        </w:tabs>
        <w:jc w:val="both"/>
        <w:rPr>
          <w:rFonts w:eastAsia="Times New Roman" w:cs="Times New Roman"/>
          <w:sz w:val="20"/>
          <w:szCs w:val="20"/>
          <w:lang w:eastAsia="en-CA"/>
        </w:rPr>
      </w:pPr>
    </w:p>
    <w:p w:rsidR="0000216D" w:rsidRPr="0000216D" w:rsidRDefault="0000216D" w:rsidP="0000216D">
      <w:pPr>
        <w:tabs>
          <w:tab w:val="left" w:pos="-1440"/>
          <w:tab w:val="left" w:pos="-720"/>
        </w:tabs>
        <w:jc w:val="both"/>
        <w:rPr>
          <w:rFonts w:eastAsia="Times New Roman" w:cs="Times New Roman"/>
          <w:b/>
          <w:sz w:val="20"/>
          <w:szCs w:val="20"/>
          <w:lang w:eastAsia="en-CA"/>
        </w:rPr>
      </w:pPr>
      <w:r w:rsidRPr="0000216D">
        <w:rPr>
          <w:rFonts w:eastAsia="Times New Roman" w:cs="Times New Roman"/>
          <w:b/>
          <w:sz w:val="20"/>
          <w:szCs w:val="20"/>
          <w:lang w:eastAsia="en-CA"/>
        </w:rPr>
        <w:t>GRANTED / ACCORDÉE</w:t>
      </w:r>
    </w:p>
    <w:p w:rsidR="0000216D" w:rsidRPr="0000216D" w:rsidRDefault="0000216D" w:rsidP="0000216D">
      <w:pPr>
        <w:tabs>
          <w:tab w:val="left" w:pos="-1440"/>
          <w:tab w:val="left" w:pos="-720"/>
        </w:tabs>
        <w:jc w:val="both"/>
        <w:rPr>
          <w:rFonts w:eastAsia="Times New Roman" w:cs="Times New Roman"/>
          <w:sz w:val="20"/>
          <w:szCs w:val="20"/>
          <w:lang w:eastAsia="en-CA"/>
        </w:rPr>
      </w:pPr>
    </w:p>
    <w:p w:rsidR="0000216D" w:rsidRPr="0000216D" w:rsidRDefault="00007FF8" w:rsidP="0000216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C603FA" w:rsidRDefault="00C603FA" w:rsidP="0000216D">
      <w:pPr>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03.02.2015</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Before / Devant :   GASCON J. / LE JUGE GASCON</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0216D" w:rsidRPr="002F7FF6" w:rsidTr="00681634">
        <w:tc>
          <w:tcPr>
            <w:tcW w:w="4338" w:type="dxa"/>
            <w:gridSpan w:val="2"/>
          </w:tcPr>
          <w:p w:rsidR="0000216D" w:rsidRPr="0000216D" w:rsidRDefault="0000216D" w:rsidP="0000216D">
            <w:pPr>
              <w:jc w:val="both"/>
              <w:rPr>
                <w:b/>
              </w:rPr>
            </w:pPr>
            <w:r w:rsidRPr="0000216D">
              <w:rPr>
                <w:b/>
              </w:rPr>
              <w:t xml:space="preserve">Order on interventions with respect </w:t>
            </w:r>
            <w:r w:rsidRPr="0000216D">
              <w:rPr>
                <w:b/>
                <w:lang w:val="en-US"/>
              </w:rPr>
              <w:t xml:space="preserve">to oral argument </w:t>
            </w:r>
            <w:r w:rsidR="00E94B3C" w:rsidRPr="0000216D">
              <w:rPr>
                <w:b/>
                <w:lang w:val="en-US"/>
              </w:rPr>
              <w:fldChar w:fldCharType="begin"/>
            </w:r>
            <w:r w:rsidRPr="0000216D">
              <w:rPr>
                <w:b/>
              </w:rPr>
              <w:instrText xml:space="preserve"> SEQ CHAPTER \h \r 1</w:instrText>
            </w:r>
            <w:r w:rsidR="00E94B3C" w:rsidRPr="0000216D">
              <w:rPr>
                <w:b/>
                <w:lang w:val="en-US"/>
              </w:rPr>
              <w:fldChar w:fldCharType="end"/>
            </w:r>
          </w:p>
        </w:tc>
        <w:tc>
          <w:tcPr>
            <w:tcW w:w="1170" w:type="dxa"/>
          </w:tcPr>
          <w:p w:rsidR="0000216D" w:rsidRPr="0000216D" w:rsidRDefault="0000216D" w:rsidP="0000216D"/>
          <w:p w:rsidR="0000216D" w:rsidRPr="0000216D" w:rsidRDefault="0000216D" w:rsidP="0000216D"/>
          <w:p w:rsidR="0000216D" w:rsidRPr="0000216D" w:rsidRDefault="0000216D" w:rsidP="0000216D"/>
        </w:tc>
        <w:tc>
          <w:tcPr>
            <w:tcW w:w="4327" w:type="dxa"/>
          </w:tcPr>
          <w:p w:rsidR="0000216D" w:rsidRPr="0000216D" w:rsidRDefault="0000216D" w:rsidP="0000216D">
            <w:pPr>
              <w:jc w:val="both"/>
              <w:rPr>
                <w:b/>
                <w:lang w:val="fr-CA"/>
              </w:rPr>
            </w:pPr>
            <w:r w:rsidRPr="0000216D">
              <w:rPr>
                <w:b/>
                <w:lang w:val="fr-CA"/>
              </w:rPr>
              <w:t>Ordonnance relative à la présentation d’une plaidoirie orale par les intervenants</w:t>
            </w:r>
            <w:r w:rsidR="00E94B3C" w:rsidRPr="0000216D">
              <w:rPr>
                <w:b/>
                <w:lang w:val="en-US"/>
              </w:rPr>
              <w:fldChar w:fldCharType="begin"/>
            </w:r>
            <w:r w:rsidRPr="0000216D">
              <w:rPr>
                <w:b/>
                <w:lang w:val="fr-CA"/>
              </w:rPr>
              <w:instrText xml:space="preserve"> SEQ CHAPTER \h \r 1</w:instrText>
            </w:r>
            <w:r w:rsidR="00E94B3C" w:rsidRPr="0000216D">
              <w:rPr>
                <w:b/>
                <w:lang w:val="en-US"/>
              </w:rPr>
              <w:fldChar w:fldCharType="end"/>
            </w:r>
          </w:p>
        </w:tc>
      </w:tr>
      <w:tr w:rsidR="0000216D" w:rsidRPr="0000216D" w:rsidTr="00681634">
        <w:trPr>
          <w:trHeight w:hRule="exact" w:val="360"/>
        </w:trPr>
        <w:tc>
          <w:tcPr>
            <w:tcW w:w="1368" w:type="dxa"/>
          </w:tcPr>
          <w:p w:rsidR="0000216D" w:rsidRPr="0000216D" w:rsidRDefault="0000216D" w:rsidP="0000216D">
            <w:r w:rsidRPr="0000216D">
              <w:t>RE:</w:t>
            </w:r>
          </w:p>
        </w:tc>
        <w:tc>
          <w:tcPr>
            <w:tcW w:w="2970" w:type="dxa"/>
          </w:tcPr>
          <w:p w:rsidR="0000216D" w:rsidRPr="0000216D" w:rsidRDefault="0000216D" w:rsidP="0000216D">
            <w:r w:rsidRPr="0000216D">
              <w:rPr>
                <w:lang w:val="en-US"/>
              </w:rPr>
              <w:t>Attorney General of Ontario;</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rPr>
          <w:trHeight w:hRule="exact" w:val="360"/>
        </w:trPr>
        <w:tc>
          <w:tcPr>
            <w:tcW w:w="1368" w:type="dxa"/>
          </w:tcPr>
          <w:p w:rsidR="0000216D" w:rsidRPr="0000216D" w:rsidRDefault="0000216D" w:rsidP="0000216D"/>
        </w:tc>
        <w:tc>
          <w:tcPr>
            <w:tcW w:w="2970" w:type="dxa"/>
          </w:tcPr>
          <w:p w:rsidR="0000216D" w:rsidRPr="0000216D" w:rsidRDefault="0000216D" w:rsidP="0000216D">
            <w:pPr>
              <w:rPr>
                <w:lang w:val="en-US"/>
              </w:rPr>
            </w:pPr>
            <w:r w:rsidRPr="0000216D">
              <w:rPr>
                <w:lang w:val="en-US"/>
              </w:rPr>
              <w:t>Attorney General of Alberta</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368" w:type="dxa"/>
          </w:tcPr>
          <w:p w:rsidR="0000216D" w:rsidRPr="0000216D" w:rsidRDefault="0000216D" w:rsidP="0000216D"/>
        </w:tc>
        <w:tc>
          <w:tcPr>
            <w:tcW w:w="2970" w:type="dxa"/>
          </w:tcPr>
          <w:p w:rsidR="0000216D" w:rsidRPr="0000216D" w:rsidRDefault="0000216D" w:rsidP="0000216D"/>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368" w:type="dxa"/>
          </w:tcPr>
          <w:p w:rsidR="0000216D" w:rsidRPr="0000216D" w:rsidRDefault="0000216D" w:rsidP="0000216D">
            <w:r w:rsidRPr="0000216D">
              <w:t>IN / DANS :</w:t>
            </w:r>
          </w:p>
        </w:tc>
        <w:tc>
          <w:tcPr>
            <w:tcW w:w="2970" w:type="dxa"/>
          </w:tcPr>
          <w:p w:rsidR="0000216D" w:rsidRPr="0000216D" w:rsidRDefault="0000216D" w:rsidP="0000216D">
            <w:r w:rsidRPr="0000216D">
              <w:t>Grant Anthony Goleski</w:t>
            </w:r>
          </w:p>
          <w:p w:rsidR="0000216D" w:rsidRPr="0000216D" w:rsidRDefault="0000216D" w:rsidP="0000216D"/>
          <w:p w:rsidR="0000216D" w:rsidRPr="0000216D" w:rsidRDefault="0000216D" w:rsidP="0000216D">
            <w:r w:rsidRPr="0000216D">
              <w:tab/>
              <w:t>c. (35862)</w:t>
            </w:r>
          </w:p>
          <w:p w:rsidR="0000216D" w:rsidRPr="0000216D" w:rsidRDefault="0000216D" w:rsidP="0000216D"/>
          <w:p w:rsidR="0000216D" w:rsidRPr="0000216D" w:rsidRDefault="0000216D" w:rsidP="0000216D">
            <w:r w:rsidRPr="0000216D">
              <w:t>Her Majesty the Queen (Crim.) (B.C.)</w:t>
            </w:r>
          </w:p>
        </w:tc>
        <w:tc>
          <w:tcPr>
            <w:tcW w:w="1170" w:type="dxa"/>
          </w:tcPr>
          <w:p w:rsidR="0000216D" w:rsidRPr="0000216D" w:rsidRDefault="0000216D" w:rsidP="0000216D"/>
        </w:tc>
        <w:tc>
          <w:tcPr>
            <w:tcW w:w="4327" w:type="dxa"/>
          </w:tcPr>
          <w:p w:rsidR="0000216D" w:rsidRPr="0000216D" w:rsidRDefault="0000216D" w:rsidP="0000216D"/>
        </w:tc>
      </w:tr>
    </w:tbl>
    <w:p w:rsidR="0000216D" w:rsidRPr="0000216D" w:rsidRDefault="0000216D" w:rsidP="0000216D">
      <w:pPr>
        <w:tabs>
          <w:tab w:val="left" w:pos="-1440"/>
          <w:tab w:val="left" w:pos="-720"/>
        </w:tabs>
        <w:jc w:val="both"/>
        <w:rPr>
          <w:rFonts w:eastAsia="Times New Roman" w:cs="Times New Roman"/>
          <w:sz w:val="20"/>
          <w:szCs w:val="20"/>
          <w:lang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b/>
          <w:sz w:val="20"/>
          <w:szCs w:val="20"/>
          <w:lang w:val="en-US" w:eastAsia="en-CA"/>
        </w:rPr>
        <w:t>FURTHER TO THE ORDER</w:t>
      </w:r>
      <w:r w:rsidRPr="0000216D">
        <w:rPr>
          <w:rFonts w:eastAsia="Times New Roman" w:cs="Times New Roman"/>
          <w:sz w:val="20"/>
          <w:szCs w:val="20"/>
          <w:lang w:val="en-US" w:eastAsia="en-CA"/>
        </w:rPr>
        <w:t xml:space="preserve"> dated December 18, 2014, granting leave to intervene to the Attorney General of Ontario and the Attorney General of Alberta;</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b/>
          <w:bCs/>
          <w:sz w:val="20"/>
          <w:szCs w:val="20"/>
          <w:lang w:val="en-US" w:eastAsia="en-CA"/>
        </w:rPr>
        <w:t xml:space="preserve">IT IS HEREBY FURTHER ORDERED THAT </w:t>
      </w:r>
      <w:r w:rsidRPr="0000216D">
        <w:rPr>
          <w:rFonts w:eastAsia="Times New Roman" w:cs="Times New Roman"/>
          <w:bCs/>
          <w:sz w:val="20"/>
          <w:szCs w:val="20"/>
          <w:lang w:val="en-US" w:eastAsia="en-CA"/>
        </w:rPr>
        <w:t>t</w:t>
      </w:r>
      <w:r w:rsidRPr="0000216D">
        <w:rPr>
          <w:rFonts w:eastAsia="Times New Roman" w:cs="Times New Roman"/>
          <w:sz w:val="20"/>
          <w:szCs w:val="20"/>
          <w:lang w:val="en-US" w:eastAsia="en-CA"/>
        </w:rPr>
        <w:t>he said interveners are each granted permission to present oral argument not exceeding five (5) minutes at the hearing of the appeal.</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fr-CA" w:eastAsia="en-CA"/>
        </w:rPr>
      </w:pPr>
      <w:r w:rsidRPr="0000216D">
        <w:rPr>
          <w:rFonts w:eastAsia="Times New Roman" w:cs="Times New Roman"/>
          <w:b/>
          <w:sz w:val="20"/>
          <w:szCs w:val="20"/>
          <w:lang w:val="fr-CA" w:eastAsia="en-CA"/>
        </w:rPr>
        <w:t>À LA SUITE DE L’ORDONNANCE</w:t>
      </w:r>
      <w:r w:rsidRPr="0000216D">
        <w:rPr>
          <w:rFonts w:eastAsia="Times New Roman" w:cs="Times New Roman"/>
          <w:sz w:val="20"/>
          <w:szCs w:val="20"/>
          <w:lang w:val="fr-CA" w:eastAsia="en-CA"/>
        </w:rPr>
        <w:t xml:space="preserve"> datée du 18 décembre 2014, accordant l’autorisation d’intervenir au procureur général de l’Ontario et au procureur général de l’Alberta;</w:t>
      </w:r>
    </w:p>
    <w:p w:rsidR="0000216D" w:rsidRPr="0000216D" w:rsidRDefault="0000216D" w:rsidP="0000216D">
      <w:pPr>
        <w:spacing w:line="233" w:lineRule="auto"/>
        <w:jc w:val="both"/>
        <w:rPr>
          <w:rFonts w:eastAsia="Times New Roman" w:cs="Times New Roman"/>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fr-CA" w:eastAsia="en-CA"/>
        </w:rPr>
      </w:pPr>
      <w:r w:rsidRPr="0000216D">
        <w:rPr>
          <w:rFonts w:eastAsia="Times New Roman" w:cs="Times New Roman"/>
          <w:b/>
          <w:sz w:val="20"/>
          <w:szCs w:val="20"/>
          <w:lang w:val="fr-CA" w:eastAsia="en-CA"/>
        </w:rPr>
        <w:t>IL EST EN OUTRE ORDONNÉ QUE</w:t>
      </w:r>
      <w:r w:rsidRPr="0000216D">
        <w:rPr>
          <w:rFonts w:eastAsia="Times New Roman" w:cs="Times New Roman"/>
          <w:sz w:val="20"/>
          <w:szCs w:val="20"/>
          <w:lang w:val="fr-CA" w:eastAsia="en-CA"/>
        </w:rPr>
        <w:t xml:space="preserve"> chacun de ces intervenants pourra présenter une plaidoirie orale d’au plus cinq (5) minutes lors de l’audition de l’appel.</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7FF8" w:rsidP="0000216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03.02.2015</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Before / Devant :   GASCON J. / LE JUGE GASCON</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00216D" w:rsidRPr="002F7FF6" w:rsidTr="00681634">
        <w:tc>
          <w:tcPr>
            <w:tcW w:w="4338" w:type="dxa"/>
            <w:gridSpan w:val="2"/>
          </w:tcPr>
          <w:p w:rsidR="0000216D" w:rsidRPr="0000216D" w:rsidRDefault="0000216D" w:rsidP="0000216D">
            <w:pPr>
              <w:jc w:val="both"/>
              <w:rPr>
                <w:b/>
              </w:rPr>
            </w:pPr>
            <w:r w:rsidRPr="0000216D">
              <w:rPr>
                <w:b/>
                <w:lang w:val="en-US"/>
              </w:rPr>
              <w:t xml:space="preserve">Order on interventions with respect to oral argument </w:t>
            </w:r>
            <w:r w:rsidR="00E94B3C" w:rsidRPr="0000216D">
              <w:rPr>
                <w:szCs w:val="24"/>
                <w:lang w:val="en-US"/>
              </w:rPr>
              <w:fldChar w:fldCharType="begin"/>
            </w:r>
            <w:r w:rsidRPr="0000216D">
              <w:rPr>
                <w:szCs w:val="24"/>
              </w:rPr>
              <w:instrText xml:space="preserve"> SEQ CHAPTER \h \r 1</w:instrText>
            </w:r>
            <w:r w:rsidR="00E94B3C" w:rsidRPr="0000216D">
              <w:rPr>
                <w:szCs w:val="24"/>
                <w:lang w:val="en-US"/>
              </w:rPr>
              <w:fldChar w:fldCharType="end"/>
            </w:r>
          </w:p>
        </w:tc>
        <w:tc>
          <w:tcPr>
            <w:tcW w:w="1170" w:type="dxa"/>
          </w:tcPr>
          <w:p w:rsidR="0000216D" w:rsidRPr="0000216D" w:rsidRDefault="0000216D" w:rsidP="0000216D"/>
          <w:p w:rsidR="0000216D" w:rsidRPr="0000216D" w:rsidRDefault="0000216D" w:rsidP="0000216D"/>
          <w:p w:rsidR="0000216D" w:rsidRPr="0000216D" w:rsidRDefault="0000216D" w:rsidP="0000216D"/>
        </w:tc>
        <w:tc>
          <w:tcPr>
            <w:tcW w:w="4327" w:type="dxa"/>
          </w:tcPr>
          <w:p w:rsidR="0000216D" w:rsidRPr="0000216D" w:rsidRDefault="0000216D" w:rsidP="0000216D">
            <w:pPr>
              <w:jc w:val="both"/>
              <w:rPr>
                <w:b/>
                <w:lang w:val="fr-CA"/>
              </w:rPr>
            </w:pPr>
            <w:r w:rsidRPr="0000216D">
              <w:rPr>
                <w:b/>
                <w:lang w:val="fr-CA"/>
              </w:rPr>
              <w:t>Ordonnance relative à la présentation d’une plaidoirie orale par les intervenants</w:t>
            </w:r>
            <w:r w:rsidRPr="0000216D">
              <w:rPr>
                <w:szCs w:val="24"/>
                <w:lang w:val="fr-CA"/>
              </w:rPr>
              <w:t xml:space="preserve"> </w:t>
            </w:r>
            <w:r w:rsidR="00E94B3C" w:rsidRPr="0000216D">
              <w:rPr>
                <w:szCs w:val="24"/>
                <w:lang w:val="en-US"/>
              </w:rPr>
              <w:fldChar w:fldCharType="begin"/>
            </w:r>
            <w:r w:rsidRPr="0000216D">
              <w:rPr>
                <w:szCs w:val="24"/>
                <w:lang w:val="fr-CA"/>
              </w:rPr>
              <w:instrText xml:space="preserve"> SEQ CHAPTER \h \r 1</w:instrText>
            </w:r>
            <w:r w:rsidR="00E94B3C" w:rsidRPr="0000216D">
              <w:rPr>
                <w:szCs w:val="24"/>
                <w:lang w:val="en-US"/>
              </w:rPr>
              <w:fldChar w:fldCharType="end"/>
            </w:r>
          </w:p>
        </w:tc>
      </w:tr>
      <w:tr w:rsidR="0000216D" w:rsidRPr="0000216D" w:rsidTr="00681634">
        <w:trPr>
          <w:trHeight w:hRule="exact" w:val="576"/>
        </w:trPr>
        <w:tc>
          <w:tcPr>
            <w:tcW w:w="1458" w:type="dxa"/>
          </w:tcPr>
          <w:p w:rsidR="0000216D" w:rsidRPr="0000216D" w:rsidRDefault="0000216D" w:rsidP="0000216D">
            <w:r w:rsidRPr="0000216D">
              <w:t>RE:</w:t>
            </w:r>
          </w:p>
        </w:tc>
        <w:tc>
          <w:tcPr>
            <w:tcW w:w="2880" w:type="dxa"/>
          </w:tcPr>
          <w:p w:rsidR="0000216D" w:rsidRPr="0000216D" w:rsidRDefault="0000216D" w:rsidP="0000216D">
            <w:r w:rsidRPr="0000216D">
              <w:t>Canadian Foundation for Advancement of Investor Rights;</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rPr>
          <w:trHeight w:hRule="exact" w:val="360"/>
        </w:trPr>
        <w:tc>
          <w:tcPr>
            <w:tcW w:w="1458" w:type="dxa"/>
          </w:tcPr>
          <w:p w:rsidR="0000216D" w:rsidRPr="0000216D" w:rsidRDefault="0000216D" w:rsidP="0000216D"/>
        </w:tc>
        <w:tc>
          <w:tcPr>
            <w:tcW w:w="2880" w:type="dxa"/>
          </w:tcPr>
          <w:p w:rsidR="0000216D" w:rsidRPr="0000216D" w:rsidRDefault="0000216D" w:rsidP="0000216D">
            <w:r w:rsidRPr="0000216D">
              <w:t>Ontario Securities Commission;</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rPr>
          <w:trHeight w:hRule="exact" w:val="576"/>
        </w:trPr>
        <w:tc>
          <w:tcPr>
            <w:tcW w:w="1458" w:type="dxa"/>
          </w:tcPr>
          <w:p w:rsidR="0000216D" w:rsidRPr="0000216D" w:rsidRDefault="0000216D" w:rsidP="0000216D"/>
        </w:tc>
        <w:tc>
          <w:tcPr>
            <w:tcW w:w="2880" w:type="dxa"/>
          </w:tcPr>
          <w:p w:rsidR="0000216D" w:rsidRPr="0000216D" w:rsidRDefault="0000216D" w:rsidP="0000216D">
            <w:r w:rsidRPr="0000216D">
              <w:t>Shareholder Association for Research and Education;</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tc>
        <w:tc>
          <w:tcPr>
            <w:tcW w:w="2880" w:type="dxa"/>
          </w:tcPr>
          <w:p w:rsidR="0000216D" w:rsidRPr="0000216D" w:rsidRDefault="0000216D" w:rsidP="0000216D">
            <w:r w:rsidRPr="0000216D">
              <w:t>Insurance Bureau of Canada</w:t>
            </w: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tc>
        <w:tc>
          <w:tcPr>
            <w:tcW w:w="2880" w:type="dxa"/>
          </w:tcPr>
          <w:p w:rsidR="0000216D" w:rsidRPr="0000216D" w:rsidRDefault="0000216D" w:rsidP="0000216D"/>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r w:rsidRPr="0000216D">
              <w:t>IN / DANS :</w:t>
            </w:r>
          </w:p>
        </w:tc>
        <w:tc>
          <w:tcPr>
            <w:tcW w:w="2880" w:type="dxa"/>
          </w:tcPr>
          <w:p w:rsidR="0000216D" w:rsidRPr="0000216D" w:rsidRDefault="0000216D" w:rsidP="0000216D">
            <w:r w:rsidRPr="0000216D">
              <w:t xml:space="preserve">Canadian Imperial Bank of Commerce et al. </w:t>
            </w:r>
          </w:p>
          <w:p w:rsidR="0000216D" w:rsidRPr="0000216D" w:rsidRDefault="0000216D" w:rsidP="0000216D"/>
          <w:p w:rsidR="0000216D" w:rsidRPr="0000216D" w:rsidRDefault="0000216D" w:rsidP="0000216D">
            <w:r w:rsidRPr="0000216D">
              <w:tab/>
              <w:t>v. (35807)</w:t>
            </w:r>
          </w:p>
          <w:p w:rsidR="0000216D" w:rsidRPr="0000216D" w:rsidRDefault="0000216D" w:rsidP="0000216D"/>
          <w:p w:rsidR="0000216D" w:rsidRPr="0000216D" w:rsidRDefault="0000216D" w:rsidP="0000216D">
            <w:r w:rsidRPr="0000216D">
              <w:t>Howard Green et al. (Ont.)</w:t>
            </w:r>
          </w:p>
          <w:p w:rsidR="0000216D" w:rsidRPr="0000216D" w:rsidRDefault="0000216D" w:rsidP="0000216D"/>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r w:rsidRPr="0000216D">
              <w:t>- and between -</w:t>
            </w:r>
          </w:p>
          <w:p w:rsidR="0000216D" w:rsidRPr="0000216D" w:rsidRDefault="0000216D" w:rsidP="0000216D"/>
        </w:tc>
        <w:tc>
          <w:tcPr>
            <w:tcW w:w="2880" w:type="dxa"/>
          </w:tcPr>
          <w:p w:rsidR="0000216D" w:rsidRPr="0000216D" w:rsidRDefault="0000216D" w:rsidP="0000216D">
            <w:pPr>
              <w:jc w:val="both"/>
            </w:pPr>
          </w:p>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tc>
        <w:tc>
          <w:tcPr>
            <w:tcW w:w="2880" w:type="dxa"/>
          </w:tcPr>
          <w:p w:rsidR="0000216D" w:rsidRPr="0000216D" w:rsidRDefault="0000216D" w:rsidP="0000216D">
            <w:pPr>
              <w:rPr>
                <w:lang w:val="fr-CA"/>
              </w:rPr>
            </w:pPr>
            <w:r w:rsidRPr="0000216D">
              <w:rPr>
                <w:lang w:val="fr-CA"/>
              </w:rPr>
              <w:t>IMAX Corporation et al.</w:t>
            </w:r>
          </w:p>
          <w:p w:rsidR="0000216D" w:rsidRPr="0000216D" w:rsidRDefault="0000216D" w:rsidP="0000216D">
            <w:pPr>
              <w:jc w:val="both"/>
              <w:rPr>
                <w:lang w:val="fr-CA"/>
              </w:rPr>
            </w:pPr>
          </w:p>
          <w:p w:rsidR="0000216D" w:rsidRPr="0000216D" w:rsidRDefault="0000216D" w:rsidP="0000216D">
            <w:pPr>
              <w:jc w:val="both"/>
              <w:rPr>
                <w:lang w:val="fr-CA"/>
              </w:rPr>
            </w:pPr>
            <w:r w:rsidRPr="0000216D">
              <w:rPr>
                <w:lang w:val="fr-CA"/>
              </w:rPr>
              <w:tab/>
              <w:t>v. (35811)</w:t>
            </w:r>
          </w:p>
          <w:p w:rsidR="0000216D" w:rsidRPr="0000216D" w:rsidRDefault="0000216D" w:rsidP="0000216D">
            <w:pPr>
              <w:jc w:val="both"/>
              <w:rPr>
                <w:lang w:val="fr-CA"/>
              </w:rPr>
            </w:pPr>
          </w:p>
          <w:p w:rsidR="0000216D" w:rsidRPr="0000216D" w:rsidRDefault="0000216D" w:rsidP="0000216D">
            <w:pPr>
              <w:jc w:val="both"/>
              <w:rPr>
                <w:lang w:val="fr-CA"/>
              </w:rPr>
            </w:pPr>
            <w:r w:rsidRPr="0000216D">
              <w:rPr>
                <w:lang w:val="fr-CA"/>
              </w:rPr>
              <w:t>Marvin Neil Silver et al. (Ont.)</w:t>
            </w:r>
          </w:p>
          <w:p w:rsidR="0000216D" w:rsidRPr="0000216D" w:rsidRDefault="0000216D" w:rsidP="0000216D">
            <w:pPr>
              <w:jc w:val="both"/>
              <w:rPr>
                <w:lang w:val="fr-CA"/>
              </w:rPr>
            </w:pP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00216D" w:rsidTr="00681634">
        <w:tc>
          <w:tcPr>
            <w:tcW w:w="1458" w:type="dxa"/>
          </w:tcPr>
          <w:p w:rsidR="0000216D" w:rsidRPr="0000216D" w:rsidRDefault="0000216D" w:rsidP="0000216D">
            <w:r w:rsidRPr="0000216D">
              <w:t>- and between -</w:t>
            </w:r>
          </w:p>
          <w:p w:rsidR="0000216D" w:rsidRPr="0000216D" w:rsidRDefault="0000216D" w:rsidP="0000216D"/>
        </w:tc>
        <w:tc>
          <w:tcPr>
            <w:tcW w:w="2880" w:type="dxa"/>
          </w:tcPr>
          <w:p w:rsidR="0000216D" w:rsidRPr="0000216D" w:rsidRDefault="0000216D" w:rsidP="0000216D"/>
        </w:tc>
        <w:tc>
          <w:tcPr>
            <w:tcW w:w="1170" w:type="dxa"/>
          </w:tcPr>
          <w:p w:rsidR="0000216D" w:rsidRPr="0000216D" w:rsidRDefault="0000216D" w:rsidP="0000216D"/>
        </w:tc>
        <w:tc>
          <w:tcPr>
            <w:tcW w:w="4327" w:type="dxa"/>
          </w:tcPr>
          <w:p w:rsidR="0000216D" w:rsidRPr="0000216D" w:rsidRDefault="0000216D" w:rsidP="0000216D"/>
        </w:tc>
      </w:tr>
      <w:tr w:rsidR="0000216D" w:rsidRPr="0000216D" w:rsidTr="00681634">
        <w:tc>
          <w:tcPr>
            <w:tcW w:w="1458" w:type="dxa"/>
          </w:tcPr>
          <w:p w:rsidR="0000216D" w:rsidRPr="0000216D" w:rsidRDefault="0000216D" w:rsidP="0000216D"/>
        </w:tc>
        <w:tc>
          <w:tcPr>
            <w:tcW w:w="2880" w:type="dxa"/>
          </w:tcPr>
          <w:p w:rsidR="0000216D" w:rsidRPr="0000216D" w:rsidRDefault="0000216D" w:rsidP="0000216D">
            <w:r w:rsidRPr="0000216D">
              <w:t>Celestica Inc. et al.</w:t>
            </w:r>
          </w:p>
          <w:p w:rsidR="0000216D" w:rsidRPr="0000216D" w:rsidRDefault="0000216D" w:rsidP="0000216D">
            <w:pPr>
              <w:jc w:val="both"/>
            </w:pPr>
          </w:p>
          <w:p w:rsidR="0000216D" w:rsidRPr="0000216D" w:rsidRDefault="0000216D" w:rsidP="0000216D">
            <w:pPr>
              <w:jc w:val="both"/>
            </w:pPr>
            <w:r w:rsidRPr="0000216D">
              <w:tab/>
              <w:t>v. (35813)</w:t>
            </w:r>
          </w:p>
          <w:p w:rsidR="0000216D" w:rsidRPr="0000216D" w:rsidRDefault="0000216D" w:rsidP="0000216D">
            <w:pPr>
              <w:jc w:val="both"/>
            </w:pPr>
          </w:p>
          <w:p w:rsidR="0000216D" w:rsidRPr="0000216D" w:rsidRDefault="0000216D" w:rsidP="0000216D">
            <w:pPr>
              <w:jc w:val="both"/>
            </w:pPr>
            <w:r w:rsidRPr="0000216D">
              <w:t>Trustees of the Millwright Regional Council of Ontario Pension Trust Fund et al. (Ont.)</w:t>
            </w:r>
          </w:p>
        </w:tc>
        <w:tc>
          <w:tcPr>
            <w:tcW w:w="1170" w:type="dxa"/>
          </w:tcPr>
          <w:p w:rsidR="0000216D" w:rsidRPr="0000216D" w:rsidRDefault="0000216D" w:rsidP="0000216D"/>
        </w:tc>
        <w:tc>
          <w:tcPr>
            <w:tcW w:w="4327" w:type="dxa"/>
          </w:tcPr>
          <w:p w:rsidR="0000216D" w:rsidRPr="0000216D" w:rsidRDefault="0000216D" w:rsidP="0000216D"/>
        </w:tc>
      </w:tr>
    </w:tbl>
    <w:p w:rsidR="0000216D" w:rsidRPr="0000216D" w:rsidRDefault="0000216D" w:rsidP="0000216D">
      <w:pPr>
        <w:tabs>
          <w:tab w:val="left" w:pos="-1440"/>
          <w:tab w:val="left" w:pos="-720"/>
        </w:tabs>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b/>
          <w:sz w:val="20"/>
          <w:szCs w:val="20"/>
          <w:lang w:val="en-US" w:eastAsia="en-CA"/>
        </w:rPr>
        <w:t xml:space="preserve">FURTHER TO THE ORDER </w:t>
      </w:r>
      <w:r w:rsidRPr="0000216D">
        <w:rPr>
          <w:rFonts w:eastAsia="Times New Roman" w:cs="Times New Roman"/>
          <w:sz w:val="20"/>
          <w:szCs w:val="20"/>
          <w:lang w:val="en-US" w:eastAsia="en-CA"/>
        </w:rPr>
        <w:t xml:space="preserve">dated December 17, 2014, granting leave to intervene to </w:t>
      </w:r>
      <w:r w:rsidRPr="0000216D">
        <w:rPr>
          <w:rFonts w:eastAsia="Times New Roman" w:cs="Times New Roman"/>
          <w:sz w:val="20"/>
          <w:szCs w:val="20"/>
          <w:lang w:eastAsia="en-CA"/>
        </w:rPr>
        <w:t>the Canadian Foundation for Advancement of Investor Rights, the Ontario Securities Commission, the Shareholder Association for Research and Education and the Insurance Bureau of Canada;</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b/>
          <w:bCs/>
          <w:sz w:val="20"/>
          <w:szCs w:val="20"/>
          <w:lang w:val="en-US" w:eastAsia="en-CA"/>
        </w:rPr>
      </w:pPr>
      <w:r w:rsidRPr="0000216D">
        <w:rPr>
          <w:rFonts w:eastAsia="Times New Roman" w:cs="Times New Roman"/>
          <w:b/>
          <w:bCs/>
          <w:sz w:val="20"/>
          <w:szCs w:val="20"/>
          <w:lang w:val="en-US" w:eastAsia="en-CA"/>
        </w:rPr>
        <w:t xml:space="preserve">IT IS HEREBY FURTHER ORDERED THAT: </w:t>
      </w:r>
    </w:p>
    <w:p w:rsidR="0000216D" w:rsidRPr="0000216D" w:rsidRDefault="0000216D" w:rsidP="0000216D">
      <w:pPr>
        <w:spacing w:line="233" w:lineRule="auto"/>
        <w:jc w:val="both"/>
        <w:rPr>
          <w:rFonts w:eastAsia="Times New Roman" w:cs="Times New Roman"/>
          <w:b/>
          <w:bCs/>
          <w:sz w:val="20"/>
          <w:szCs w:val="20"/>
          <w:lang w:val="en-US" w:eastAsia="en-CA"/>
        </w:rPr>
      </w:pPr>
    </w:p>
    <w:p w:rsidR="0000216D" w:rsidRPr="0000216D" w:rsidRDefault="0000216D" w:rsidP="0000216D">
      <w:pPr>
        <w:widowControl w:val="0"/>
        <w:numPr>
          <w:ilvl w:val="0"/>
          <w:numId w:val="14"/>
        </w:numPr>
        <w:autoSpaceDE w:val="0"/>
        <w:autoSpaceDN w:val="0"/>
        <w:adjustRightInd w:val="0"/>
        <w:spacing w:line="233" w:lineRule="auto"/>
        <w:contextualSpacing/>
        <w:jc w:val="both"/>
        <w:rPr>
          <w:rFonts w:cs="Times New Roman"/>
          <w:sz w:val="20"/>
          <w:szCs w:val="20"/>
        </w:rPr>
      </w:pPr>
      <w:r w:rsidRPr="0000216D">
        <w:rPr>
          <w:rFonts w:cs="Times New Roman"/>
          <w:bCs/>
          <w:sz w:val="20"/>
          <w:szCs w:val="20"/>
        </w:rPr>
        <w:t>The Insurance Bureau of Canada is</w:t>
      </w:r>
      <w:r w:rsidRPr="0000216D">
        <w:rPr>
          <w:rFonts w:cs="Times New Roman"/>
          <w:sz w:val="20"/>
          <w:szCs w:val="20"/>
        </w:rPr>
        <w:t xml:space="preserve"> granted permission to present oral argument not exceeding five (5) minutes at the hearing of these appeals.</w:t>
      </w:r>
    </w:p>
    <w:p w:rsidR="0000216D" w:rsidRPr="0000216D" w:rsidRDefault="0000216D" w:rsidP="0000216D">
      <w:pPr>
        <w:spacing w:line="233" w:lineRule="auto"/>
        <w:ind w:left="720"/>
        <w:contextualSpacing/>
        <w:jc w:val="both"/>
        <w:rPr>
          <w:rFonts w:cs="Times New Roman"/>
          <w:sz w:val="20"/>
          <w:szCs w:val="20"/>
        </w:rPr>
      </w:pPr>
    </w:p>
    <w:p w:rsidR="0000216D" w:rsidRPr="0000216D" w:rsidRDefault="0000216D" w:rsidP="0000216D">
      <w:pPr>
        <w:widowControl w:val="0"/>
        <w:numPr>
          <w:ilvl w:val="0"/>
          <w:numId w:val="14"/>
        </w:numPr>
        <w:autoSpaceDE w:val="0"/>
        <w:autoSpaceDN w:val="0"/>
        <w:adjustRightInd w:val="0"/>
        <w:spacing w:line="233" w:lineRule="auto"/>
        <w:contextualSpacing/>
        <w:jc w:val="both"/>
        <w:rPr>
          <w:rFonts w:cs="Times New Roman"/>
          <w:sz w:val="20"/>
          <w:szCs w:val="20"/>
        </w:rPr>
      </w:pPr>
      <w:r w:rsidRPr="0000216D">
        <w:rPr>
          <w:rFonts w:cs="Times New Roman"/>
          <w:sz w:val="20"/>
          <w:szCs w:val="20"/>
        </w:rPr>
        <w:t>The factums of the Canadian Foundation for Advancement of Investor Rights, the Ontario Securities Commission and the Shareholder Association for Research and Education will be considered without the need for oral argument.</w:t>
      </w:r>
    </w:p>
    <w:p w:rsidR="0000216D" w:rsidRPr="0000216D" w:rsidRDefault="0000216D" w:rsidP="0000216D">
      <w:pPr>
        <w:spacing w:line="233" w:lineRule="auto"/>
        <w:jc w:val="both"/>
        <w:rPr>
          <w:rFonts w:eastAsia="Times New Roman" w:cs="Times New Roman"/>
          <w:b/>
          <w:bCs/>
          <w:sz w:val="20"/>
          <w:szCs w:val="20"/>
          <w:lang w:val="en-US" w:eastAsia="en-CA"/>
        </w:rPr>
      </w:pPr>
    </w:p>
    <w:p w:rsidR="0000216D" w:rsidRPr="0000216D" w:rsidRDefault="0000216D" w:rsidP="0000216D">
      <w:pPr>
        <w:spacing w:line="233" w:lineRule="auto"/>
        <w:jc w:val="both"/>
        <w:rPr>
          <w:rFonts w:eastAsia="Times New Roman" w:cs="Times New Roman"/>
          <w:b/>
          <w:bCs/>
          <w:sz w:val="20"/>
          <w:szCs w:val="20"/>
          <w:lang w:val="en-US" w:eastAsia="en-CA"/>
        </w:rPr>
      </w:pPr>
    </w:p>
    <w:p w:rsidR="0000216D" w:rsidRPr="0000216D" w:rsidRDefault="0000216D" w:rsidP="0000216D">
      <w:pPr>
        <w:spacing w:line="233" w:lineRule="auto"/>
        <w:jc w:val="both"/>
        <w:rPr>
          <w:rFonts w:eastAsia="Times New Roman" w:cs="Times New Roman"/>
          <w:b/>
          <w:bCs/>
          <w:sz w:val="20"/>
          <w:szCs w:val="20"/>
          <w:lang w:val="en-US" w:eastAsia="en-CA"/>
        </w:rPr>
      </w:pPr>
    </w:p>
    <w:p w:rsidR="0000216D" w:rsidRPr="0000216D" w:rsidRDefault="0000216D" w:rsidP="0000216D">
      <w:pPr>
        <w:spacing w:line="233" w:lineRule="auto"/>
        <w:jc w:val="both"/>
        <w:rPr>
          <w:rFonts w:eastAsia="Times New Roman" w:cs="Times New Roman"/>
          <w:bCs/>
          <w:sz w:val="20"/>
          <w:szCs w:val="20"/>
          <w:lang w:val="fr-CA" w:eastAsia="en-CA"/>
        </w:rPr>
      </w:pPr>
      <w:r w:rsidRPr="0000216D">
        <w:rPr>
          <w:rFonts w:eastAsia="Times New Roman" w:cs="Times New Roman"/>
          <w:b/>
          <w:bCs/>
          <w:sz w:val="20"/>
          <w:szCs w:val="20"/>
          <w:lang w:val="fr-CA" w:eastAsia="en-CA"/>
        </w:rPr>
        <w:t xml:space="preserve">À LA SUITE DE L’ORDONNANCE </w:t>
      </w:r>
      <w:r w:rsidRPr="0000216D">
        <w:rPr>
          <w:rFonts w:eastAsia="Times New Roman" w:cs="Times New Roman"/>
          <w:bCs/>
          <w:sz w:val="20"/>
          <w:szCs w:val="20"/>
          <w:lang w:val="fr-CA" w:eastAsia="en-CA"/>
        </w:rPr>
        <w:t xml:space="preserve">datée du17 décembre 2014, accordant l’autorisation d’intervenir à la </w:t>
      </w:r>
      <w:r w:rsidRPr="0000216D">
        <w:rPr>
          <w:rFonts w:eastAsia="Times New Roman" w:cs="Times New Roman"/>
          <w:sz w:val="20"/>
          <w:szCs w:val="20"/>
          <w:lang w:val="fr-CA" w:eastAsia="en-CA"/>
        </w:rPr>
        <w:t xml:space="preserve">Fondation canadienne pour l’avancement des droits des investisseurs, à la Commission des valeurs mobilières de l’Ontario, à la Shareholder Association for Research and Education et au Bureau d’assurance du Canada; </w:t>
      </w:r>
      <w:r w:rsidRPr="0000216D">
        <w:rPr>
          <w:rFonts w:eastAsia="Times New Roman" w:cs="Times New Roman"/>
          <w:bCs/>
          <w:sz w:val="20"/>
          <w:szCs w:val="20"/>
          <w:lang w:val="fr-CA" w:eastAsia="en-CA"/>
        </w:rPr>
        <w:t xml:space="preserve"> </w:t>
      </w:r>
    </w:p>
    <w:p w:rsidR="0000216D" w:rsidRPr="0000216D" w:rsidRDefault="0000216D" w:rsidP="0000216D">
      <w:pPr>
        <w:spacing w:line="233" w:lineRule="auto"/>
        <w:jc w:val="both"/>
        <w:rPr>
          <w:rFonts w:eastAsia="Times New Roman" w:cs="Times New Roman"/>
          <w:b/>
          <w:bCs/>
          <w:sz w:val="20"/>
          <w:szCs w:val="20"/>
          <w:lang w:val="fr-CA" w:eastAsia="en-CA"/>
        </w:rPr>
      </w:pPr>
    </w:p>
    <w:p w:rsidR="0000216D" w:rsidRPr="0000216D" w:rsidRDefault="0000216D" w:rsidP="0000216D">
      <w:pPr>
        <w:spacing w:line="233" w:lineRule="auto"/>
        <w:jc w:val="both"/>
        <w:rPr>
          <w:rFonts w:eastAsia="Times New Roman" w:cs="Times New Roman"/>
          <w:bCs/>
          <w:sz w:val="20"/>
          <w:szCs w:val="20"/>
          <w:lang w:val="fr-CA" w:eastAsia="en-CA"/>
        </w:rPr>
      </w:pPr>
      <w:r w:rsidRPr="0000216D">
        <w:rPr>
          <w:rFonts w:eastAsia="Times New Roman" w:cs="Times New Roman"/>
          <w:b/>
          <w:bCs/>
          <w:sz w:val="20"/>
          <w:szCs w:val="20"/>
          <w:lang w:val="fr-CA" w:eastAsia="en-CA"/>
        </w:rPr>
        <w:t xml:space="preserve">IL EST EN OUTRE ORDONNÉ QUE </w:t>
      </w:r>
    </w:p>
    <w:p w:rsidR="0000216D" w:rsidRPr="0000216D" w:rsidRDefault="0000216D" w:rsidP="0000216D">
      <w:pPr>
        <w:spacing w:line="233" w:lineRule="auto"/>
        <w:jc w:val="both"/>
        <w:rPr>
          <w:rFonts w:eastAsia="Times New Roman" w:cs="Times New Roman"/>
          <w:bCs/>
          <w:sz w:val="20"/>
          <w:szCs w:val="20"/>
          <w:lang w:val="fr-CA" w:eastAsia="en-CA"/>
        </w:rPr>
      </w:pPr>
    </w:p>
    <w:p w:rsidR="0000216D" w:rsidRPr="0000216D" w:rsidRDefault="0000216D" w:rsidP="0000216D">
      <w:pPr>
        <w:widowControl w:val="0"/>
        <w:numPr>
          <w:ilvl w:val="0"/>
          <w:numId w:val="17"/>
        </w:numPr>
        <w:autoSpaceDE w:val="0"/>
        <w:autoSpaceDN w:val="0"/>
        <w:adjustRightInd w:val="0"/>
        <w:spacing w:line="233" w:lineRule="auto"/>
        <w:contextualSpacing/>
        <w:jc w:val="both"/>
        <w:rPr>
          <w:rFonts w:cs="Times New Roman"/>
          <w:sz w:val="20"/>
          <w:szCs w:val="20"/>
          <w:lang w:val="fr-CA"/>
        </w:rPr>
      </w:pPr>
      <w:r w:rsidRPr="0000216D">
        <w:rPr>
          <w:rFonts w:cs="Times New Roman"/>
          <w:bCs/>
          <w:sz w:val="20"/>
          <w:szCs w:val="20"/>
          <w:lang w:val="fr-CA"/>
        </w:rPr>
        <w:t xml:space="preserve">Le Bureau d’assurance du Canada est autorisé à présenter une plaidoirie orale d’au plus cinq (5) minutes lors de l’audition des appels en cause.  </w:t>
      </w:r>
    </w:p>
    <w:p w:rsidR="0000216D" w:rsidRPr="0000216D" w:rsidRDefault="0000216D" w:rsidP="0000216D">
      <w:pPr>
        <w:spacing w:line="233" w:lineRule="auto"/>
        <w:ind w:left="720"/>
        <w:contextualSpacing/>
        <w:jc w:val="both"/>
        <w:rPr>
          <w:rFonts w:cs="Times New Roman"/>
          <w:sz w:val="20"/>
          <w:szCs w:val="20"/>
          <w:lang w:val="fr-CA"/>
        </w:rPr>
      </w:pPr>
    </w:p>
    <w:p w:rsidR="0000216D" w:rsidRPr="0000216D" w:rsidRDefault="0000216D" w:rsidP="0000216D">
      <w:pPr>
        <w:widowControl w:val="0"/>
        <w:numPr>
          <w:ilvl w:val="0"/>
          <w:numId w:val="17"/>
        </w:numPr>
        <w:autoSpaceDE w:val="0"/>
        <w:autoSpaceDN w:val="0"/>
        <w:adjustRightInd w:val="0"/>
        <w:spacing w:line="233" w:lineRule="auto"/>
        <w:contextualSpacing/>
        <w:jc w:val="both"/>
        <w:rPr>
          <w:rFonts w:cs="Times New Roman"/>
          <w:sz w:val="20"/>
          <w:szCs w:val="20"/>
          <w:lang w:val="fr-CA"/>
        </w:rPr>
      </w:pPr>
      <w:r w:rsidRPr="0000216D">
        <w:rPr>
          <w:rFonts w:cs="Times New Roman"/>
          <w:sz w:val="20"/>
          <w:szCs w:val="20"/>
          <w:lang w:val="fr-CA"/>
        </w:rPr>
        <w:t>Les mémoires de la Fondation canadienne pour l’avancement des droits des investisseurs, de la Commission des valeurs mobilières de l’Ontario et de la Shareholder Association for Research and Education seront examinés sans qu’il soit nécessaire que ces intervenantes présentent des plaidoiries orales.</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7FF8" w:rsidP="0000216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05.02.2015</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tabs>
          <w:tab w:val="left" w:pos="-1440"/>
          <w:tab w:val="left" w:pos="-720"/>
        </w:tabs>
        <w:jc w:val="both"/>
        <w:rPr>
          <w:rFonts w:eastAsia="Times New Roman" w:cs="Times New Roman"/>
          <w:sz w:val="20"/>
          <w:szCs w:val="20"/>
          <w:lang w:val="fr-CA" w:eastAsia="en-CA"/>
        </w:rPr>
      </w:pPr>
      <w:r w:rsidRPr="0000216D">
        <w:rPr>
          <w:rFonts w:eastAsia="Times New Roman" w:cs="Times New Roman"/>
          <w:sz w:val="20"/>
          <w:szCs w:val="20"/>
          <w:lang w:val="fr-CA" w:eastAsia="en-CA"/>
        </w:rPr>
        <w:t>Before / Devant :   GASCON J. / LE JUGE GASCON</w:t>
      </w:r>
    </w:p>
    <w:p w:rsidR="0000216D" w:rsidRPr="0000216D" w:rsidRDefault="0000216D" w:rsidP="0000216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0216D" w:rsidRPr="002F7FF6" w:rsidTr="00681634">
        <w:tc>
          <w:tcPr>
            <w:tcW w:w="4338" w:type="dxa"/>
            <w:gridSpan w:val="2"/>
          </w:tcPr>
          <w:p w:rsidR="0000216D" w:rsidRPr="0000216D" w:rsidRDefault="0000216D" w:rsidP="0000216D">
            <w:pPr>
              <w:jc w:val="both"/>
              <w:rPr>
                <w:b/>
              </w:rPr>
            </w:pPr>
            <w:r w:rsidRPr="0000216D">
              <w:rPr>
                <w:b/>
                <w:lang w:val="en-US"/>
              </w:rPr>
              <w:t xml:space="preserve">Order on interventions with respect to oral argument </w:t>
            </w:r>
            <w:r w:rsidR="00E94B3C" w:rsidRPr="0000216D">
              <w:rPr>
                <w:b/>
                <w:lang w:val="en-US"/>
              </w:rPr>
              <w:fldChar w:fldCharType="begin"/>
            </w:r>
            <w:r w:rsidRPr="0000216D">
              <w:rPr>
                <w:b/>
              </w:rPr>
              <w:instrText xml:space="preserve"> SEQ CHAPTER \h \r 1</w:instrText>
            </w:r>
            <w:r w:rsidR="00E94B3C" w:rsidRPr="0000216D">
              <w:rPr>
                <w:b/>
                <w:lang w:val="en-US"/>
              </w:rPr>
              <w:fldChar w:fldCharType="end"/>
            </w:r>
          </w:p>
        </w:tc>
        <w:tc>
          <w:tcPr>
            <w:tcW w:w="1170" w:type="dxa"/>
          </w:tcPr>
          <w:p w:rsidR="0000216D" w:rsidRPr="0000216D" w:rsidRDefault="0000216D" w:rsidP="0000216D"/>
          <w:p w:rsidR="0000216D" w:rsidRPr="0000216D" w:rsidRDefault="0000216D" w:rsidP="0000216D"/>
          <w:p w:rsidR="0000216D" w:rsidRPr="0000216D" w:rsidRDefault="0000216D" w:rsidP="0000216D"/>
        </w:tc>
        <w:tc>
          <w:tcPr>
            <w:tcW w:w="4327" w:type="dxa"/>
          </w:tcPr>
          <w:p w:rsidR="0000216D" w:rsidRPr="0000216D" w:rsidRDefault="0000216D" w:rsidP="0000216D">
            <w:pPr>
              <w:jc w:val="both"/>
              <w:rPr>
                <w:b/>
                <w:lang w:val="fr-CA"/>
              </w:rPr>
            </w:pPr>
            <w:r w:rsidRPr="0000216D">
              <w:rPr>
                <w:b/>
                <w:lang w:val="fr-CA"/>
              </w:rPr>
              <w:t>Ordonnance relative à la présentation d’une plaidoirie orale par les intervenants</w:t>
            </w:r>
            <w:r w:rsidR="00E94B3C" w:rsidRPr="0000216D">
              <w:rPr>
                <w:b/>
                <w:lang w:val="en-US"/>
              </w:rPr>
              <w:fldChar w:fldCharType="begin"/>
            </w:r>
            <w:r w:rsidRPr="0000216D">
              <w:rPr>
                <w:b/>
                <w:lang w:val="fr-CA"/>
              </w:rPr>
              <w:instrText xml:space="preserve"> SEQ CHAPTER \h \r 1</w:instrText>
            </w:r>
            <w:r w:rsidR="00E94B3C" w:rsidRPr="0000216D">
              <w:rPr>
                <w:b/>
                <w:lang w:val="en-US"/>
              </w:rPr>
              <w:fldChar w:fldCharType="end"/>
            </w:r>
          </w:p>
        </w:tc>
      </w:tr>
      <w:tr w:rsidR="0000216D" w:rsidRPr="002F7FF6" w:rsidTr="00681634">
        <w:trPr>
          <w:trHeight w:hRule="exact" w:val="576"/>
        </w:trPr>
        <w:tc>
          <w:tcPr>
            <w:tcW w:w="1368" w:type="dxa"/>
          </w:tcPr>
          <w:p w:rsidR="0000216D" w:rsidRPr="0000216D" w:rsidRDefault="0000216D" w:rsidP="0000216D">
            <w:r w:rsidRPr="0000216D">
              <w:t>RE:</w:t>
            </w:r>
          </w:p>
        </w:tc>
        <w:tc>
          <w:tcPr>
            <w:tcW w:w="2970" w:type="dxa"/>
          </w:tcPr>
          <w:p w:rsidR="0000216D" w:rsidRPr="0000216D" w:rsidRDefault="0000216D" w:rsidP="0000216D">
            <w:pPr>
              <w:rPr>
                <w:lang w:val="fr-CA"/>
              </w:rPr>
            </w:pPr>
            <w:r w:rsidRPr="0000216D">
              <w:rPr>
                <w:lang w:val="fr-CA"/>
              </w:rPr>
              <w:t>Association canadienne-française de l’Alberta;</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2F7FF6" w:rsidTr="00681634">
        <w:trPr>
          <w:trHeight w:hRule="exact" w:val="576"/>
        </w:trPr>
        <w:tc>
          <w:tcPr>
            <w:tcW w:w="1368" w:type="dxa"/>
          </w:tcPr>
          <w:p w:rsidR="0000216D" w:rsidRPr="0000216D" w:rsidRDefault="0000216D" w:rsidP="0000216D">
            <w:pPr>
              <w:rPr>
                <w:lang w:val="fr-CA"/>
              </w:rPr>
            </w:pPr>
          </w:p>
        </w:tc>
        <w:tc>
          <w:tcPr>
            <w:tcW w:w="2970" w:type="dxa"/>
          </w:tcPr>
          <w:p w:rsidR="0000216D" w:rsidRPr="0000216D" w:rsidRDefault="0000216D" w:rsidP="0000216D">
            <w:pPr>
              <w:rPr>
                <w:lang w:val="fr-CA"/>
              </w:rPr>
            </w:pPr>
            <w:r w:rsidRPr="0000216D">
              <w:rPr>
                <w:lang w:val="fr-CA"/>
              </w:rPr>
              <w:t>Commissaire aux langues officielles du Canada;</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00216D" w:rsidTr="00681634">
        <w:trPr>
          <w:trHeight w:hRule="exact" w:val="576"/>
        </w:trPr>
        <w:tc>
          <w:tcPr>
            <w:tcW w:w="1368" w:type="dxa"/>
          </w:tcPr>
          <w:p w:rsidR="0000216D" w:rsidRPr="0000216D" w:rsidRDefault="0000216D" w:rsidP="0000216D">
            <w:pPr>
              <w:rPr>
                <w:lang w:val="fr-CA"/>
              </w:rPr>
            </w:pPr>
          </w:p>
        </w:tc>
        <w:tc>
          <w:tcPr>
            <w:tcW w:w="2970" w:type="dxa"/>
          </w:tcPr>
          <w:p w:rsidR="0000216D" w:rsidRPr="0000216D" w:rsidRDefault="0000216D" w:rsidP="0000216D">
            <w:pPr>
              <w:rPr>
                <w:lang w:val="fr-CA"/>
              </w:rPr>
            </w:pPr>
            <w:r w:rsidRPr="0000216D">
              <w:rPr>
                <w:lang w:val="fr-CA"/>
              </w:rPr>
              <w:t>Assemblée communautaire fransaskoise;</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F70079" w:rsidTr="00681634">
        <w:trPr>
          <w:trHeight w:hRule="exact" w:val="792"/>
        </w:trPr>
        <w:tc>
          <w:tcPr>
            <w:tcW w:w="1368" w:type="dxa"/>
          </w:tcPr>
          <w:p w:rsidR="0000216D" w:rsidRPr="0000216D" w:rsidRDefault="0000216D" w:rsidP="0000216D">
            <w:pPr>
              <w:rPr>
                <w:lang w:val="fr-CA"/>
              </w:rPr>
            </w:pPr>
          </w:p>
        </w:tc>
        <w:tc>
          <w:tcPr>
            <w:tcW w:w="2970" w:type="dxa"/>
          </w:tcPr>
          <w:p w:rsidR="0000216D" w:rsidRPr="0000216D" w:rsidRDefault="0000216D" w:rsidP="0000216D">
            <w:pPr>
              <w:rPr>
                <w:lang w:val="fr-CA"/>
              </w:rPr>
            </w:pPr>
            <w:r w:rsidRPr="0000216D">
              <w:rPr>
                <w:lang w:val="fr-CA"/>
              </w:rPr>
              <w:t>Fédération des associations de juristes d’expression française de common law inc.;</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00216D" w:rsidTr="00681634">
        <w:trPr>
          <w:trHeight w:hRule="exact" w:val="1008"/>
        </w:trPr>
        <w:tc>
          <w:tcPr>
            <w:tcW w:w="1368" w:type="dxa"/>
          </w:tcPr>
          <w:p w:rsidR="0000216D" w:rsidRPr="0000216D" w:rsidRDefault="0000216D" w:rsidP="0000216D">
            <w:pPr>
              <w:rPr>
                <w:lang w:val="fr-CA"/>
              </w:rPr>
            </w:pPr>
          </w:p>
        </w:tc>
        <w:tc>
          <w:tcPr>
            <w:tcW w:w="2970" w:type="dxa"/>
          </w:tcPr>
          <w:p w:rsidR="0000216D" w:rsidRPr="0000216D" w:rsidRDefault="0000216D" w:rsidP="0000216D">
            <w:pPr>
              <w:rPr>
                <w:lang w:val="fr-CA"/>
              </w:rPr>
            </w:pPr>
            <w:r w:rsidRPr="0000216D">
              <w:rPr>
                <w:lang w:val="fr-CA"/>
              </w:rPr>
              <w:t>l’Alberta Catholic School Trustees’ Association, le Conseil scolaire Centre-Nord No. 2 et Denis Lefebvre</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r w:rsidR="0000216D" w:rsidRPr="0000216D" w:rsidTr="00681634">
        <w:tc>
          <w:tcPr>
            <w:tcW w:w="1368" w:type="dxa"/>
          </w:tcPr>
          <w:p w:rsidR="0000216D" w:rsidRPr="0000216D" w:rsidRDefault="0000216D" w:rsidP="0000216D"/>
        </w:tc>
        <w:tc>
          <w:tcPr>
            <w:tcW w:w="2970" w:type="dxa"/>
          </w:tcPr>
          <w:p w:rsidR="0000216D" w:rsidRPr="0000216D" w:rsidRDefault="0000216D" w:rsidP="0000216D"/>
        </w:tc>
        <w:tc>
          <w:tcPr>
            <w:tcW w:w="1170" w:type="dxa"/>
          </w:tcPr>
          <w:p w:rsidR="0000216D" w:rsidRPr="0000216D" w:rsidRDefault="0000216D" w:rsidP="0000216D"/>
        </w:tc>
        <w:tc>
          <w:tcPr>
            <w:tcW w:w="4327" w:type="dxa"/>
          </w:tcPr>
          <w:p w:rsidR="0000216D" w:rsidRPr="0000216D" w:rsidRDefault="0000216D" w:rsidP="0000216D"/>
        </w:tc>
      </w:tr>
      <w:tr w:rsidR="0000216D" w:rsidRPr="002F7FF6" w:rsidTr="00681634">
        <w:tc>
          <w:tcPr>
            <w:tcW w:w="1368" w:type="dxa"/>
          </w:tcPr>
          <w:p w:rsidR="0000216D" w:rsidRPr="0000216D" w:rsidRDefault="0000216D" w:rsidP="0000216D">
            <w:r w:rsidRPr="0000216D">
              <w:t>IN / DANS :</w:t>
            </w:r>
          </w:p>
        </w:tc>
        <w:tc>
          <w:tcPr>
            <w:tcW w:w="2970" w:type="dxa"/>
          </w:tcPr>
          <w:p w:rsidR="0000216D" w:rsidRPr="0000216D" w:rsidRDefault="0000216D" w:rsidP="0000216D">
            <w:pPr>
              <w:rPr>
                <w:lang w:val="fr-CA"/>
              </w:rPr>
            </w:pPr>
            <w:r w:rsidRPr="0000216D">
              <w:rPr>
                <w:lang w:val="fr-CA"/>
              </w:rPr>
              <w:t>Gilles Caron et autre</w:t>
            </w:r>
          </w:p>
          <w:p w:rsidR="0000216D" w:rsidRPr="0000216D" w:rsidRDefault="0000216D" w:rsidP="0000216D">
            <w:pPr>
              <w:rPr>
                <w:lang w:val="fr-CA"/>
              </w:rPr>
            </w:pPr>
          </w:p>
          <w:p w:rsidR="0000216D" w:rsidRPr="0000216D" w:rsidRDefault="0000216D" w:rsidP="0000216D">
            <w:pPr>
              <w:rPr>
                <w:lang w:val="fr-CA"/>
              </w:rPr>
            </w:pPr>
            <w:r w:rsidRPr="0000216D">
              <w:rPr>
                <w:lang w:val="fr-CA"/>
              </w:rPr>
              <w:tab/>
              <w:t>c. (35842)</w:t>
            </w:r>
          </w:p>
          <w:p w:rsidR="0000216D" w:rsidRPr="0000216D" w:rsidRDefault="0000216D" w:rsidP="0000216D">
            <w:pPr>
              <w:rPr>
                <w:lang w:val="fr-CA"/>
              </w:rPr>
            </w:pPr>
          </w:p>
          <w:p w:rsidR="0000216D" w:rsidRPr="0000216D" w:rsidRDefault="0000216D" w:rsidP="0000216D">
            <w:pPr>
              <w:rPr>
                <w:lang w:val="fr-CA"/>
              </w:rPr>
            </w:pPr>
            <w:r w:rsidRPr="0000216D">
              <w:rPr>
                <w:lang w:val="fr-CA"/>
              </w:rPr>
              <w:t>Sa Majesté la Reine (Alb.)</w:t>
            </w:r>
          </w:p>
        </w:tc>
        <w:tc>
          <w:tcPr>
            <w:tcW w:w="1170" w:type="dxa"/>
          </w:tcPr>
          <w:p w:rsidR="0000216D" w:rsidRPr="0000216D" w:rsidRDefault="0000216D" w:rsidP="0000216D">
            <w:pPr>
              <w:rPr>
                <w:lang w:val="fr-CA"/>
              </w:rPr>
            </w:pPr>
          </w:p>
        </w:tc>
        <w:tc>
          <w:tcPr>
            <w:tcW w:w="4327" w:type="dxa"/>
          </w:tcPr>
          <w:p w:rsidR="0000216D" w:rsidRPr="0000216D" w:rsidRDefault="0000216D" w:rsidP="0000216D">
            <w:pPr>
              <w:rPr>
                <w:lang w:val="fr-CA"/>
              </w:rPr>
            </w:pPr>
          </w:p>
        </w:tc>
      </w:tr>
    </w:tbl>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fr-FR" w:eastAsia="en-CA"/>
        </w:rPr>
      </w:pPr>
      <w:r w:rsidRPr="0000216D">
        <w:rPr>
          <w:rFonts w:eastAsia="Times New Roman" w:cs="Times New Roman"/>
          <w:b/>
          <w:sz w:val="20"/>
          <w:szCs w:val="20"/>
          <w:lang w:val="fr-CA" w:eastAsia="en-CA"/>
        </w:rPr>
        <w:t>À LA SUITE DE L’ORDONNANCE</w:t>
      </w:r>
      <w:r w:rsidRPr="0000216D">
        <w:rPr>
          <w:rFonts w:eastAsia="Times New Roman" w:cs="Times New Roman"/>
          <w:sz w:val="20"/>
          <w:szCs w:val="20"/>
          <w:lang w:val="fr-CA" w:eastAsia="en-CA"/>
        </w:rPr>
        <w:t xml:space="preserve"> datée du 26 décembre</w:t>
      </w:r>
      <w:r w:rsidRPr="0000216D">
        <w:rPr>
          <w:rFonts w:eastAsia="Times New Roman" w:cs="Times New Roman"/>
          <w:sz w:val="20"/>
          <w:szCs w:val="20"/>
          <w:lang w:val="fr-FR" w:eastAsia="en-CA"/>
        </w:rPr>
        <w:t xml:space="preserve"> 2014, autorisant</w:t>
      </w:r>
      <w:r w:rsidRPr="0000216D">
        <w:rPr>
          <w:rFonts w:eastAsia="Times New Roman" w:cs="Times New Roman"/>
          <w:sz w:val="20"/>
          <w:szCs w:val="20"/>
          <w:lang w:val="fr-CA" w:eastAsia="en-CA"/>
        </w:rPr>
        <w:t xml:space="preserve"> l’Association canadienne-française de l’Alberta, le Commissaire aux langues officielles du Canada, l’Assemblée communautaire fransaskoise,</w:t>
      </w:r>
      <w:r w:rsidRPr="0000216D">
        <w:rPr>
          <w:rFonts w:eastAsia="Times New Roman" w:cs="Times New Roman"/>
          <w:sz w:val="20"/>
          <w:szCs w:val="20"/>
          <w:lang w:val="fr-FR" w:eastAsia="en-CA"/>
        </w:rPr>
        <w:t xml:space="preserve"> la </w:t>
      </w:r>
      <w:r w:rsidRPr="0000216D">
        <w:rPr>
          <w:rFonts w:eastAsia="Times New Roman" w:cs="Times New Roman"/>
          <w:sz w:val="20"/>
          <w:szCs w:val="20"/>
          <w:lang w:val="fr-CA" w:eastAsia="en-CA"/>
        </w:rPr>
        <w:t xml:space="preserve">Fédération des associations de juristes d’expression française de common law inc., </w:t>
      </w:r>
      <w:r w:rsidRPr="0000216D">
        <w:rPr>
          <w:rFonts w:eastAsia="Times New Roman" w:cs="Times New Roman"/>
          <w:sz w:val="20"/>
          <w:szCs w:val="20"/>
          <w:lang w:val="fr-FR" w:eastAsia="en-CA"/>
        </w:rPr>
        <w:t xml:space="preserve">ainsi que </w:t>
      </w:r>
      <w:r w:rsidRPr="0000216D">
        <w:rPr>
          <w:rFonts w:eastAsia="Times New Roman" w:cs="Times New Roman"/>
          <w:sz w:val="20"/>
          <w:szCs w:val="20"/>
          <w:lang w:val="fr-CA" w:eastAsia="en-CA"/>
        </w:rPr>
        <w:t>l’Alberta Catholic School Trustees’ Association, le Conseil scolaire Centre-Nord No. 2 et Denis Lefebvre</w:t>
      </w:r>
      <w:r w:rsidRPr="0000216D">
        <w:rPr>
          <w:rFonts w:eastAsia="Times New Roman" w:cs="Times New Roman"/>
          <w:sz w:val="20"/>
          <w:szCs w:val="20"/>
          <w:lang w:val="fr-FR" w:eastAsia="en-CA"/>
        </w:rPr>
        <w:t xml:space="preserve"> (conjointement) à intervenir;</w:t>
      </w:r>
    </w:p>
    <w:p w:rsidR="0000216D" w:rsidRPr="0000216D" w:rsidRDefault="0000216D" w:rsidP="0000216D">
      <w:pPr>
        <w:spacing w:line="233" w:lineRule="auto"/>
        <w:jc w:val="both"/>
        <w:rPr>
          <w:rFonts w:eastAsia="Times New Roman" w:cs="Times New Roman"/>
          <w:sz w:val="20"/>
          <w:szCs w:val="20"/>
          <w:lang w:val="fr-FR" w:eastAsia="en-CA"/>
        </w:rPr>
      </w:pPr>
    </w:p>
    <w:p w:rsidR="0000216D" w:rsidRPr="0000216D" w:rsidRDefault="0000216D" w:rsidP="0000216D">
      <w:pPr>
        <w:spacing w:line="233" w:lineRule="auto"/>
        <w:jc w:val="both"/>
        <w:rPr>
          <w:rFonts w:eastAsia="Times New Roman" w:cs="Times New Roman"/>
          <w:b/>
          <w:bCs/>
          <w:sz w:val="20"/>
          <w:szCs w:val="20"/>
          <w:lang w:val="fr-CA" w:eastAsia="en-CA"/>
        </w:rPr>
      </w:pPr>
      <w:r w:rsidRPr="0000216D">
        <w:rPr>
          <w:rFonts w:eastAsia="Times New Roman" w:cs="Times New Roman"/>
          <w:b/>
          <w:bCs/>
          <w:sz w:val="20"/>
          <w:szCs w:val="20"/>
          <w:lang w:val="fr-CA" w:eastAsia="en-CA"/>
        </w:rPr>
        <w:t xml:space="preserve">IL EST EN OUTRE ORDONNÉ QUE : </w:t>
      </w:r>
    </w:p>
    <w:p w:rsidR="0000216D" w:rsidRPr="0000216D" w:rsidRDefault="0000216D" w:rsidP="0000216D">
      <w:pPr>
        <w:spacing w:line="233" w:lineRule="auto"/>
        <w:jc w:val="both"/>
        <w:rPr>
          <w:rFonts w:eastAsia="Times New Roman" w:cs="Times New Roman"/>
          <w:b/>
          <w:bCs/>
          <w:sz w:val="20"/>
          <w:szCs w:val="20"/>
          <w:lang w:val="fr-CA" w:eastAsia="en-CA"/>
        </w:rPr>
      </w:pPr>
    </w:p>
    <w:p w:rsidR="0000216D" w:rsidRPr="0000216D" w:rsidRDefault="0000216D" w:rsidP="0000216D">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lang w:val="fr-CA"/>
        </w:rPr>
      </w:pPr>
      <w:r w:rsidRPr="0000216D">
        <w:rPr>
          <w:rFonts w:cs="Times New Roman"/>
          <w:sz w:val="20"/>
          <w:szCs w:val="20"/>
          <w:lang w:val="fr-CA"/>
        </w:rPr>
        <w:t>Le Commissaire aux langues officielles du Canada, la Fédération des associations de juristes d’expression française de common law inc., ainsi que l’Alberta Catholic School Trustees’ Association, le Conseil scolaire Centre-Nord No. 2 et Denis Lefebvre (conjointement) auront chacun le droit de présenter une plaidoirie orale d’au plus dix (10) minutes lors de l’audition de l’appel.</w:t>
      </w:r>
    </w:p>
    <w:p w:rsidR="0000216D" w:rsidRPr="0000216D" w:rsidRDefault="0000216D" w:rsidP="0000216D">
      <w:pPr>
        <w:spacing w:line="233" w:lineRule="auto"/>
        <w:ind w:left="720"/>
        <w:contextualSpacing/>
        <w:jc w:val="both"/>
        <w:rPr>
          <w:rFonts w:cs="Times New Roman"/>
          <w:sz w:val="20"/>
          <w:szCs w:val="20"/>
          <w:lang w:val="fr-CA"/>
        </w:rPr>
      </w:pPr>
    </w:p>
    <w:p w:rsidR="0000216D" w:rsidRPr="0000216D" w:rsidRDefault="0000216D" w:rsidP="0000216D">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lang w:val="fr-CA"/>
        </w:rPr>
      </w:pPr>
      <w:r w:rsidRPr="0000216D">
        <w:rPr>
          <w:rFonts w:cs="Times New Roman"/>
          <w:sz w:val="20"/>
          <w:szCs w:val="20"/>
          <w:lang w:val="fr-CA"/>
        </w:rPr>
        <w:t xml:space="preserve">Les mémoires de l’Association canadienne-française de l’Alberta et de l’Assemblée communautaire fransaskoise seront examinés sans qu’il soit nécessaire que ces intervenantes présentent des plaidoiries orales. </w:t>
      </w:r>
    </w:p>
    <w:p w:rsidR="0000216D" w:rsidRPr="0000216D" w:rsidRDefault="0000216D" w:rsidP="0000216D">
      <w:pPr>
        <w:spacing w:line="233" w:lineRule="auto"/>
        <w:jc w:val="both"/>
        <w:rPr>
          <w:rFonts w:eastAsia="Times New Roman" w:cs="Times New Roman"/>
          <w:b/>
          <w:sz w:val="20"/>
          <w:szCs w:val="20"/>
          <w:lang w:val="fr-CA" w:eastAsia="en-CA"/>
        </w:rPr>
      </w:pPr>
    </w:p>
    <w:p w:rsidR="0000216D" w:rsidRPr="0000216D" w:rsidRDefault="0000216D" w:rsidP="0000216D">
      <w:pPr>
        <w:spacing w:line="233" w:lineRule="auto"/>
        <w:jc w:val="both"/>
        <w:rPr>
          <w:rFonts w:eastAsia="Times New Roman" w:cs="Times New Roman"/>
          <w:b/>
          <w:sz w:val="20"/>
          <w:szCs w:val="20"/>
          <w:lang w:val="fr-CA" w:eastAsia="en-CA"/>
        </w:rPr>
      </w:pPr>
    </w:p>
    <w:p w:rsidR="0000216D" w:rsidRPr="0000216D" w:rsidRDefault="0000216D" w:rsidP="0000216D">
      <w:pPr>
        <w:spacing w:line="233" w:lineRule="auto"/>
        <w:jc w:val="both"/>
        <w:rPr>
          <w:rFonts w:eastAsia="Times New Roman" w:cs="Times New Roman"/>
          <w:b/>
          <w:sz w:val="20"/>
          <w:szCs w:val="20"/>
          <w:lang w:val="fr-CA" w:eastAsia="en-CA"/>
        </w:rPr>
      </w:pPr>
    </w:p>
    <w:p w:rsidR="0000216D" w:rsidRPr="0000216D" w:rsidRDefault="0000216D" w:rsidP="0000216D">
      <w:pPr>
        <w:spacing w:line="233" w:lineRule="auto"/>
        <w:jc w:val="both"/>
        <w:rPr>
          <w:rFonts w:eastAsia="Times New Roman" w:cs="Times New Roman"/>
          <w:sz w:val="20"/>
          <w:szCs w:val="20"/>
          <w:lang w:val="en-US" w:eastAsia="en-CA"/>
        </w:rPr>
      </w:pPr>
      <w:r w:rsidRPr="0000216D">
        <w:rPr>
          <w:rFonts w:eastAsia="Times New Roman" w:cs="Times New Roman"/>
          <w:b/>
          <w:sz w:val="20"/>
          <w:szCs w:val="20"/>
          <w:lang w:val="en-US" w:eastAsia="en-CA"/>
        </w:rPr>
        <w:t>FURTHER TO THE ORDER</w:t>
      </w:r>
      <w:r w:rsidRPr="0000216D">
        <w:rPr>
          <w:rFonts w:eastAsia="Times New Roman" w:cs="Times New Roman"/>
          <w:sz w:val="20"/>
          <w:szCs w:val="20"/>
          <w:lang w:val="en-US" w:eastAsia="en-CA"/>
        </w:rPr>
        <w:t xml:space="preserve"> dated December 26, 2014, granting leave to intervene to the Association canadienne-française de l’Alberta, the Office of the Commissioner of Official Languages of Canada, the Assemblée communautaire fransaskoise, the Fédération des associations de juristes d’expression française de common law inc., as well as the Alberta Catholic School Trustees’ Association, the Conseil scolaire Centre-Nord No. 2 and Denis Lefebvre (jointly);</w:t>
      </w:r>
    </w:p>
    <w:p w:rsidR="0000216D" w:rsidRPr="0000216D" w:rsidRDefault="0000216D" w:rsidP="0000216D">
      <w:pPr>
        <w:spacing w:line="233" w:lineRule="auto"/>
        <w:jc w:val="both"/>
        <w:rPr>
          <w:rFonts w:eastAsia="Times New Roman" w:cs="Times New Roman"/>
          <w:sz w:val="20"/>
          <w:szCs w:val="20"/>
          <w:lang w:val="en-US" w:eastAsia="en-CA"/>
        </w:rPr>
      </w:pPr>
    </w:p>
    <w:p w:rsidR="0000216D" w:rsidRPr="0000216D" w:rsidRDefault="0000216D" w:rsidP="0000216D">
      <w:pPr>
        <w:spacing w:line="233" w:lineRule="auto"/>
        <w:jc w:val="both"/>
        <w:rPr>
          <w:rFonts w:eastAsia="Times New Roman" w:cs="Times New Roman"/>
          <w:b/>
          <w:bCs/>
          <w:sz w:val="20"/>
          <w:szCs w:val="20"/>
          <w:lang w:val="en-US" w:eastAsia="en-CA"/>
        </w:rPr>
      </w:pPr>
      <w:r w:rsidRPr="0000216D">
        <w:rPr>
          <w:rFonts w:eastAsia="Times New Roman" w:cs="Times New Roman"/>
          <w:b/>
          <w:bCs/>
          <w:sz w:val="20"/>
          <w:szCs w:val="20"/>
          <w:lang w:val="en-US" w:eastAsia="en-CA"/>
        </w:rPr>
        <w:t xml:space="preserve">IT IS HEREBY FURTHER ORDERED THAT: </w:t>
      </w:r>
    </w:p>
    <w:p w:rsidR="0000216D" w:rsidRPr="0000216D" w:rsidRDefault="0000216D" w:rsidP="0000216D">
      <w:pPr>
        <w:spacing w:line="233" w:lineRule="auto"/>
        <w:jc w:val="both"/>
        <w:rPr>
          <w:rFonts w:eastAsia="Times New Roman" w:cs="Times New Roman"/>
          <w:b/>
          <w:bCs/>
          <w:sz w:val="20"/>
          <w:szCs w:val="20"/>
          <w:lang w:val="en-US" w:eastAsia="en-CA"/>
        </w:rPr>
      </w:pPr>
    </w:p>
    <w:p w:rsidR="0000216D" w:rsidRPr="0000216D" w:rsidRDefault="0000216D" w:rsidP="0000216D">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rPr>
      </w:pPr>
      <w:r w:rsidRPr="0000216D">
        <w:rPr>
          <w:rFonts w:cs="Times New Roman"/>
          <w:sz w:val="20"/>
          <w:szCs w:val="20"/>
        </w:rPr>
        <w:t>The Office of the Commissioner of Official Languages of Canada, the Fédération des associations de juristes d’expression française de common law inc., as well as the Alberta Catholic School Trustees’ Association, the Conseil scolaire Centre-Nord No. 2 and Denis Lefebvre (jointly) are each granted permission to present oral argument not exceeding ten (10) minutes at the hearing of the appeal.</w:t>
      </w:r>
    </w:p>
    <w:p w:rsidR="0000216D" w:rsidRPr="0000216D" w:rsidRDefault="0000216D" w:rsidP="0000216D">
      <w:pPr>
        <w:spacing w:line="233" w:lineRule="auto"/>
        <w:ind w:left="720"/>
        <w:contextualSpacing/>
        <w:jc w:val="both"/>
        <w:rPr>
          <w:rFonts w:cs="Times New Roman"/>
          <w:sz w:val="20"/>
          <w:szCs w:val="20"/>
        </w:rPr>
      </w:pPr>
    </w:p>
    <w:p w:rsidR="0000216D" w:rsidRPr="0000216D" w:rsidRDefault="0000216D" w:rsidP="0000216D">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00216D">
        <w:rPr>
          <w:rFonts w:cs="Times New Roman"/>
          <w:sz w:val="20"/>
          <w:szCs w:val="20"/>
        </w:rPr>
        <w:t xml:space="preserve">The factums of the Association canadienne-française de l’Alberta and the Assemblée communautaire fransaskoise will be considered without the need for oral argument. </w:t>
      </w:r>
    </w:p>
    <w:p w:rsidR="0000216D" w:rsidRPr="0000216D" w:rsidRDefault="0000216D" w:rsidP="0000216D">
      <w:pPr>
        <w:tabs>
          <w:tab w:val="left" w:pos="-1440"/>
          <w:tab w:val="left" w:pos="-720"/>
        </w:tabs>
        <w:jc w:val="both"/>
        <w:rPr>
          <w:rFonts w:eastAsia="Times New Roman" w:cs="Times New Roman"/>
          <w:sz w:val="20"/>
          <w:szCs w:val="20"/>
          <w:lang w:eastAsia="en-CA"/>
        </w:rPr>
      </w:pPr>
    </w:p>
    <w:p w:rsidR="0000216D" w:rsidRPr="0000216D" w:rsidRDefault="00007FF8" w:rsidP="0000216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00216D" w:rsidRPr="0000216D" w:rsidRDefault="0000216D" w:rsidP="0000216D">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EB2B90">
            <w:pPr>
              <w:keepNext/>
              <w:keepLines/>
              <w:jc w:val="both"/>
              <w:rPr>
                <w:szCs w:val="24"/>
              </w:rPr>
            </w:pPr>
            <w:r w:rsidRPr="002D72EB">
              <w:rPr>
                <w:b/>
                <w:szCs w:val="24"/>
              </w:rPr>
              <w:lastRenderedPageBreak/>
              <w:t>TAXATION OF COSTS</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831CA9" w:rsidP="00755F22">
            <w:pPr>
              <w:keepNext/>
              <w:keepLines/>
              <w:rPr>
                <w:szCs w:val="24"/>
                <w:lang w:val="fr-CA"/>
              </w:rPr>
            </w:pPr>
            <w:r w:rsidRPr="00BA6468">
              <w:rPr>
                <w:b/>
                <w:szCs w:val="24"/>
                <w:lang w:val="fr-CA"/>
              </w:rPr>
              <w:t>TAXATION DES DÉPENS</w:t>
            </w:r>
          </w:p>
        </w:tc>
      </w:tr>
    </w:tbl>
    <w:p w:rsidR="00831CA9" w:rsidRDefault="00831CA9" w:rsidP="00831CA9">
      <w:pPr>
        <w:tabs>
          <w:tab w:val="left" w:pos="-1440"/>
          <w:tab w:val="left" w:pos="-720"/>
        </w:tabs>
        <w:jc w:val="both"/>
        <w:rPr>
          <w:sz w:val="20"/>
          <w:szCs w:val="20"/>
        </w:rPr>
      </w:pPr>
    </w:p>
    <w:p w:rsidR="00BC15AE" w:rsidRPr="00C50A5C" w:rsidRDefault="00BC15AE" w:rsidP="00BC15AE">
      <w:pPr>
        <w:tabs>
          <w:tab w:val="left" w:pos="-1440"/>
          <w:tab w:val="left" w:pos="-720"/>
        </w:tabs>
        <w:jc w:val="both"/>
        <w:rPr>
          <w:sz w:val="20"/>
          <w:szCs w:val="20"/>
        </w:rPr>
      </w:pPr>
      <w:r>
        <w:rPr>
          <w:sz w:val="20"/>
          <w:szCs w:val="20"/>
        </w:rPr>
        <w:t>0</w:t>
      </w:r>
      <w:r w:rsidRPr="00C50A5C">
        <w:rPr>
          <w:sz w:val="20"/>
          <w:szCs w:val="20"/>
        </w:rPr>
        <w:t>2.0</w:t>
      </w:r>
      <w:r>
        <w:rPr>
          <w:sz w:val="20"/>
          <w:szCs w:val="20"/>
        </w:rPr>
        <w:t>2</w:t>
      </w:r>
      <w:r w:rsidRPr="00C50A5C">
        <w:rPr>
          <w:sz w:val="20"/>
          <w:szCs w:val="20"/>
        </w:rPr>
        <w:t>.20</w:t>
      </w:r>
      <w:r>
        <w:rPr>
          <w:sz w:val="20"/>
          <w:szCs w:val="20"/>
        </w:rPr>
        <w:t>15</w:t>
      </w:r>
    </w:p>
    <w:p w:rsidR="00BC15AE" w:rsidRPr="00C50A5C" w:rsidRDefault="00BC15AE" w:rsidP="00BC15AE">
      <w:pPr>
        <w:tabs>
          <w:tab w:val="left" w:pos="-1440"/>
          <w:tab w:val="left" w:pos="-720"/>
        </w:tabs>
        <w:jc w:val="both"/>
        <w:rPr>
          <w:sz w:val="20"/>
          <w:szCs w:val="20"/>
        </w:rPr>
      </w:pPr>
    </w:p>
    <w:p w:rsidR="00BC15AE" w:rsidRPr="00C50A5C" w:rsidRDefault="00BC15AE" w:rsidP="00BC15AE">
      <w:pPr>
        <w:tabs>
          <w:tab w:val="left" w:pos="-1440"/>
          <w:tab w:val="left" w:pos="-720"/>
        </w:tabs>
        <w:jc w:val="both"/>
        <w:rPr>
          <w:sz w:val="20"/>
          <w:szCs w:val="20"/>
        </w:rPr>
      </w:pPr>
      <w:r w:rsidRPr="00C50A5C">
        <w:rPr>
          <w:sz w:val="20"/>
          <w:szCs w:val="20"/>
        </w:rPr>
        <w:t xml:space="preserve">Before / Devant:   THE </w:t>
      </w:r>
      <w:r>
        <w:rPr>
          <w:sz w:val="20"/>
          <w:szCs w:val="20"/>
        </w:rPr>
        <w:t xml:space="preserve">DEPUTY </w:t>
      </w:r>
      <w:r w:rsidRPr="00C50A5C">
        <w:rPr>
          <w:sz w:val="20"/>
          <w:szCs w:val="20"/>
        </w:rPr>
        <w:t>REGISTRAR</w:t>
      </w:r>
      <w:r>
        <w:rPr>
          <w:sz w:val="20"/>
          <w:szCs w:val="20"/>
        </w:rPr>
        <w:t xml:space="preserve"> / LE REGISTRAIRE ADJOINT</w:t>
      </w:r>
    </w:p>
    <w:p w:rsidR="00BC15AE" w:rsidRPr="00C50A5C" w:rsidRDefault="00BC15AE" w:rsidP="00BC15AE">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188"/>
      </w:tblGrid>
      <w:tr w:rsidR="00BC15AE" w:rsidRPr="002F7FF6" w:rsidTr="00BC15AE">
        <w:tc>
          <w:tcPr>
            <w:tcW w:w="4338" w:type="dxa"/>
            <w:shd w:val="clear" w:color="auto" w:fill="auto"/>
          </w:tcPr>
          <w:p w:rsidR="00BC15AE" w:rsidRPr="00C50A5C" w:rsidRDefault="00BC15AE" w:rsidP="00BC15AE">
            <w:pPr>
              <w:tabs>
                <w:tab w:val="left" w:pos="-1440"/>
                <w:tab w:val="left" w:pos="-720"/>
              </w:tabs>
              <w:jc w:val="both"/>
              <w:rPr>
                <w:sz w:val="20"/>
                <w:szCs w:val="20"/>
              </w:rPr>
            </w:pPr>
            <w:r w:rsidRPr="00C50A5C">
              <w:rPr>
                <w:b/>
                <w:sz w:val="20"/>
                <w:szCs w:val="20"/>
              </w:rPr>
              <w:t>Solicitor-client costs</w:t>
            </w:r>
          </w:p>
          <w:p w:rsidR="00BC15AE" w:rsidRPr="00C50A5C" w:rsidRDefault="00BC15AE" w:rsidP="00BC15AE">
            <w:pPr>
              <w:tabs>
                <w:tab w:val="left" w:pos="-1440"/>
                <w:tab w:val="left" w:pos="-720"/>
              </w:tabs>
              <w:jc w:val="both"/>
              <w:rPr>
                <w:sz w:val="20"/>
                <w:szCs w:val="20"/>
                <w:lang w:val="fr-CA"/>
              </w:rPr>
            </w:pPr>
          </w:p>
        </w:tc>
        <w:tc>
          <w:tcPr>
            <w:tcW w:w="1170" w:type="dxa"/>
            <w:shd w:val="clear" w:color="auto" w:fill="auto"/>
          </w:tcPr>
          <w:p w:rsidR="00BC15AE" w:rsidRDefault="00BC15AE" w:rsidP="00BC15AE">
            <w:pPr>
              <w:tabs>
                <w:tab w:val="left" w:pos="-1440"/>
                <w:tab w:val="left" w:pos="-720"/>
              </w:tabs>
              <w:jc w:val="both"/>
              <w:rPr>
                <w:sz w:val="20"/>
                <w:szCs w:val="20"/>
              </w:rPr>
            </w:pPr>
          </w:p>
          <w:p w:rsidR="00BC15AE" w:rsidRPr="00C50A5C" w:rsidRDefault="00BC15AE" w:rsidP="00BC15AE">
            <w:pPr>
              <w:tabs>
                <w:tab w:val="left" w:pos="-1440"/>
                <w:tab w:val="left" w:pos="-720"/>
              </w:tabs>
              <w:jc w:val="both"/>
              <w:rPr>
                <w:sz w:val="20"/>
                <w:szCs w:val="20"/>
              </w:rPr>
            </w:pPr>
          </w:p>
        </w:tc>
        <w:tc>
          <w:tcPr>
            <w:tcW w:w="4188" w:type="dxa"/>
            <w:shd w:val="clear" w:color="auto" w:fill="auto"/>
          </w:tcPr>
          <w:p w:rsidR="00BC15AE" w:rsidRPr="00C50A5C" w:rsidRDefault="00BC15AE" w:rsidP="00BC15AE">
            <w:pPr>
              <w:tabs>
                <w:tab w:val="left" w:pos="-1440"/>
                <w:tab w:val="left" w:pos="-720"/>
              </w:tabs>
              <w:jc w:val="both"/>
              <w:rPr>
                <w:sz w:val="20"/>
                <w:szCs w:val="20"/>
                <w:lang w:val="fr-CA"/>
              </w:rPr>
            </w:pPr>
            <w:r w:rsidRPr="00C50A5C">
              <w:rPr>
                <w:b/>
                <w:sz w:val="20"/>
                <w:szCs w:val="20"/>
                <w:lang w:val="fr-CA"/>
              </w:rPr>
              <w:t>Dépens sur la base avocat-client</w:t>
            </w:r>
          </w:p>
        </w:tc>
      </w:tr>
      <w:tr w:rsidR="00BC15AE" w:rsidRPr="002F7FF6" w:rsidTr="00BC15AE">
        <w:tc>
          <w:tcPr>
            <w:tcW w:w="4338" w:type="dxa"/>
            <w:shd w:val="clear" w:color="auto" w:fill="auto"/>
          </w:tcPr>
          <w:p w:rsidR="00BC15AE" w:rsidRPr="002F3FE7" w:rsidRDefault="00BC15AE" w:rsidP="00BC15AE">
            <w:pPr>
              <w:tabs>
                <w:tab w:val="left" w:pos="-1440"/>
                <w:tab w:val="left" w:pos="-720"/>
              </w:tabs>
              <w:jc w:val="both"/>
              <w:rPr>
                <w:b/>
                <w:sz w:val="20"/>
                <w:szCs w:val="20"/>
                <w:lang w:val="fr-CA"/>
              </w:rPr>
            </w:pPr>
            <w:r w:rsidRPr="002F3FE7">
              <w:rPr>
                <w:b/>
                <w:sz w:val="20"/>
                <w:szCs w:val="20"/>
                <w:lang w:val="fr-CA"/>
              </w:rPr>
              <w:t>Ci</w:t>
            </w:r>
            <w:r w:rsidR="002F3FE7" w:rsidRPr="002F3FE7">
              <w:rPr>
                <w:b/>
                <w:sz w:val="20"/>
                <w:szCs w:val="20"/>
                <w:lang w:val="fr-CA"/>
              </w:rPr>
              <w:t>nar C</w:t>
            </w:r>
            <w:r w:rsidRPr="002F3FE7">
              <w:rPr>
                <w:b/>
                <w:sz w:val="20"/>
                <w:szCs w:val="20"/>
                <w:lang w:val="fr-CA"/>
              </w:rPr>
              <w:t>or</w:t>
            </w:r>
            <w:r w:rsidR="002F3FE7" w:rsidRPr="002F3FE7">
              <w:rPr>
                <w:b/>
                <w:sz w:val="20"/>
                <w:szCs w:val="20"/>
                <w:lang w:val="fr-CA"/>
              </w:rPr>
              <w:t>p</w:t>
            </w:r>
            <w:r w:rsidRPr="002F3FE7">
              <w:rPr>
                <w:b/>
                <w:sz w:val="20"/>
                <w:szCs w:val="20"/>
                <w:lang w:val="fr-CA"/>
              </w:rPr>
              <w:t>o</w:t>
            </w:r>
            <w:r w:rsidR="002F3FE7" w:rsidRPr="002F3FE7">
              <w:rPr>
                <w:b/>
                <w:sz w:val="20"/>
                <w:szCs w:val="20"/>
                <w:lang w:val="fr-CA"/>
              </w:rPr>
              <w:t>r</w:t>
            </w:r>
            <w:r w:rsidRPr="002F3FE7">
              <w:rPr>
                <w:b/>
                <w:sz w:val="20"/>
                <w:szCs w:val="20"/>
                <w:lang w:val="fr-CA"/>
              </w:rPr>
              <w:t>a</w:t>
            </w:r>
            <w:r w:rsidR="002F3FE7" w:rsidRPr="002F3FE7">
              <w:rPr>
                <w:b/>
                <w:sz w:val="20"/>
                <w:szCs w:val="20"/>
                <w:lang w:val="fr-CA"/>
              </w:rPr>
              <w:t>tio</w:t>
            </w:r>
            <w:r w:rsidRPr="002F3FE7">
              <w:rPr>
                <w:b/>
                <w:sz w:val="20"/>
                <w:szCs w:val="20"/>
                <w:lang w:val="fr-CA"/>
              </w:rPr>
              <w:t>n e</w:t>
            </w:r>
            <w:r w:rsidR="002F3FE7" w:rsidRPr="002F3FE7">
              <w:rPr>
                <w:b/>
                <w:sz w:val="20"/>
                <w:szCs w:val="20"/>
                <w:lang w:val="fr-CA"/>
              </w:rPr>
              <w:t>t al.</w:t>
            </w:r>
          </w:p>
          <w:p w:rsidR="00BC15AE" w:rsidRPr="002F3FE7" w:rsidRDefault="00BC15AE" w:rsidP="00BC15AE">
            <w:pPr>
              <w:tabs>
                <w:tab w:val="left" w:pos="-1440"/>
                <w:tab w:val="left" w:pos="-720"/>
              </w:tabs>
              <w:jc w:val="both"/>
              <w:rPr>
                <w:b/>
                <w:sz w:val="20"/>
                <w:szCs w:val="20"/>
                <w:lang w:val="fr-CA"/>
              </w:rPr>
            </w:pPr>
          </w:p>
          <w:p w:rsidR="00BC15AE" w:rsidRPr="002D72EB" w:rsidRDefault="00BC15AE" w:rsidP="00BC15AE">
            <w:pPr>
              <w:tabs>
                <w:tab w:val="left" w:pos="-1440"/>
                <w:tab w:val="left" w:pos="-720"/>
              </w:tabs>
              <w:jc w:val="both"/>
              <w:rPr>
                <w:b/>
                <w:sz w:val="20"/>
                <w:szCs w:val="20"/>
                <w:lang w:val="fr-CA"/>
              </w:rPr>
            </w:pPr>
            <w:r w:rsidRPr="002F3FE7">
              <w:rPr>
                <w:b/>
                <w:sz w:val="20"/>
                <w:szCs w:val="20"/>
                <w:lang w:val="fr-CA"/>
              </w:rPr>
              <w:tab/>
            </w:r>
            <w:r w:rsidRPr="002D72EB">
              <w:rPr>
                <w:b/>
                <w:sz w:val="20"/>
                <w:szCs w:val="20"/>
                <w:lang w:val="fr-CA"/>
              </w:rPr>
              <w:t>v. (3</w:t>
            </w:r>
            <w:r>
              <w:rPr>
                <w:b/>
                <w:sz w:val="20"/>
                <w:szCs w:val="20"/>
                <w:lang w:val="fr-CA"/>
              </w:rPr>
              <w:t>4466</w:t>
            </w:r>
            <w:r w:rsidRPr="002D72EB">
              <w:rPr>
                <w:b/>
                <w:sz w:val="20"/>
                <w:szCs w:val="20"/>
                <w:lang w:val="fr-CA"/>
              </w:rPr>
              <w:t>)</w:t>
            </w:r>
          </w:p>
          <w:p w:rsidR="00BC15AE" w:rsidRPr="002D72EB" w:rsidRDefault="00BC15AE" w:rsidP="00BC15AE">
            <w:pPr>
              <w:tabs>
                <w:tab w:val="left" w:pos="-1440"/>
                <w:tab w:val="left" w:pos="-720"/>
              </w:tabs>
              <w:jc w:val="both"/>
              <w:rPr>
                <w:b/>
                <w:sz w:val="20"/>
                <w:szCs w:val="20"/>
                <w:lang w:val="fr-CA"/>
              </w:rPr>
            </w:pPr>
          </w:p>
          <w:p w:rsidR="00BC15AE" w:rsidRDefault="002F3FE7" w:rsidP="00BC15AE">
            <w:pPr>
              <w:tabs>
                <w:tab w:val="left" w:pos="-1440"/>
                <w:tab w:val="left" w:pos="-720"/>
              </w:tabs>
              <w:jc w:val="both"/>
              <w:rPr>
                <w:b/>
                <w:sz w:val="20"/>
                <w:szCs w:val="20"/>
                <w:lang w:val="fr-CA"/>
              </w:rPr>
            </w:pPr>
            <w:r>
              <w:rPr>
                <w:b/>
                <w:sz w:val="20"/>
                <w:szCs w:val="20"/>
                <w:lang w:val="fr-CA"/>
              </w:rPr>
              <w:t>Cl</w:t>
            </w:r>
            <w:r w:rsidR="00BC15AE" w:rsidRPr="002D72EB">
              <w:rPr>
                <w:b/>
                <w:sz w:val="20"/>
                <w:szCs w:val="20"/>
                <w:lang w:val="fr-CA"/>
              </w:rPr>
              <w:t>a</w:t>
            </w:r>
            <w:r>
              <w:rPr>
                <w:b/>
                <w:sz w:val="20"/>
                <w:szCs w:val="20"/>
                <w:lang w:val="fr-CA"/>
              </w:rPr>
              <w:t>ud</w:t>
            </w:r>
            <w:r w:rsidR="00BC15AE" w:rsidRPr="002D72EB">
              <w:rPr>
                <w:b/>
                <w:sz w:val="20"/>
                <w:szCs w:val="20"/>
                <w:lang w:val="fr-CA"/>
              </w:rPr>
              <w:t xml:space="preserve">e </w:t>
            </w:r>
            <w:r>
              <w:rPr>
                <w:b/>
                <w:sz w:val="20"/>
                <w:szCs w:val="20"/>
                <w:lang w:val="fr-CA"/>
              </w:rPr>
              <w:t>Robinson et al.</w:t>
            </w:r>
            <w:r w:rsidR="00BC15AE" w:rsidRPr="002D72EB">
              <w:rPr>
                <w:b/>
                <w:sz w:val="20"/>
                <w:szCs w:val="20"/>
                <w:lang w:val="fr-CA"/>
              </w:rPr>
              <w:t xml:space="preserve"> (</w:t>
            </w:r>
            <w:r>
              <w:rPr>
                <w:b/>
                <w:sz w:val="20"/>
                <w:szCs w:val="20"/>
                <w:lang w:val="fr-CA"/>
              </w:rPr>
              <w:t>Que</w:t>
            </w:r>
            <w:r w:rsidR="00BC15AE" w:rsidRPr="002D72EB">
              <w:rPr>
                <w:b/>
                <w:sz w:val="20"/>
                <w:szCs w:val="20"/>
                <w:lang w:val="fr-CA"/>
              </w:rPr>
              <w:t>.)</w:t>
            </w:r>
          </w:p>
          <w:p w:rsidR="00BC15AE" w:rsidRDefault="00BC15AE" w:rsidP="00BC15AE">
            <w:pPr>
              <w:tabs>
                <w:tab w:val="left" w:pos="-1440"/>
                <w:tab w:val="left" w:pos="-720"/>
              </w:tabs>
              <w:jc w:val="both"/>
              <w:rPr>
                <w:b/>
                <w:sz w:val="20"/>
                <w:szCs w:val="20"/>
                <w:lang w:val="fr-CA"/>
              </w:rPr>
            </w:pPr>
          </w:p>
          <w:p w:rsidR="00BC15AE" w:rsidRPr="001C767B" w:rsidRDefault="00BC15AE" w:rsidP="00BC15AE">
            <w:pPr>
              <w:tabs>
                <w:tab w:val="left" w:pos="-1440"/>
                <w:tab w:val="left" w:pos="-720"/>
              </w:tabs>
              <w:jc w:val="both"/>
              <w:rPr>
                <w:b/>
                <w:sz w:val="20"/>
                <w:szCs w:val="20"/>
              </w:rPr>
            </w:pPr>
            <w:r w:rsidRPr="001C767B">
              <w:rPr>
                <w:b/>
                <w:sz w:val="20"/>
                <w:szCs w:val="20"/>
              </w:rPr>
              <w:t>- and between -</w:t>
            </w:r>
          </w:p>
          <w:p w:rsidR="00BC15AE" w:rsidRDefault="00BC15AE" w:rsidP="00BC15AE">
            <w:pPr>
              <w:tabs>
                <w:tab w:val="left" w:pos="-1440"/>
                <w:tab w:val="left" w:pos="-720"/>
              </w:tabs>
              <w:jc w:val="both"/>
              <w:rPr>
                <w:b/>
                <w:sz w:val="20"/>
                <w:szCs w:val="20"/>
              </w:rPr>
            </w:pPr>
          </w:p>
          <w:p w:rsidR="002F3FE7" w:rsidRDefault="002F3FE7" w:rsidP="00BC15AE">
            <w:pPr>
              <w:tabs>
                <w:tab w:val="left" w:pos="-1440"/>
                <w:tab w:val="left" w:pos="-720"/>
              </w:tabs>
              <w:jc w:val="both"/>
              <w:rPr>
                <w:b/>
                <w:sz w:val="20"/>
                <w:szCs w:val="20"/>
              </w:rPr>
            </w:pPr>
            <w:r>
              <w:rPr>
                <w:b/>
                <w:sz w:val="20"/>
                <w:szCs w:val="20"/>
              </w:rPr>
              <w:t>Ronald A. Weinberg et autre</w:t>
            </w:r>
          </w:p>
          <w:p w:rsidR="002F3FE7" w:rsidRDefault="002F3FE7" w:rsidP="00BC15AE">
            <w:pPr>
              <w:tabs>
                <w:tab w:val="left" w:pos="-1440"/>
                <w:tab w:val="left" w:pos="-720"/>
              </w:tabs>
              <w:jc w:val="both"/>
              <w:rPr>
                <w:b/>
                <w:sz w:val="20"/>
                <w:szCs w:val="20"/>
              </w:rPr>
            </w:pPr>
          </w:p>
          <w:p w:rsidR="002F3FE7" w:rsidRPr="001C767B" w:rsidRDefault="002F3FE7" w:rsidP="00BC15AE">
            <w:pPr>
              <w:tabs>
                <w:tab w:val="left" w:pos="-1440"/>
                <w:tab w:val="left" w:pos="-720"/>
              </w:tabs>
              <w:jc w:val="both"/>
              <w:rPr>
                <w:b/>
                <w:sz w:val="20"/>
                <w:szCs w:val="20"/>
                <w:lang w:val="fr-CA"/>
              </w:rPr>
            </w:pPr>
            <w:r>
              <w:rPr>
                <w:b/>
                <w:sz w:val="20"/>
                <w:szCs w:val="20"/>
              </w:rPr>
              <w:tab/>
            </w:r>
            <w:r w:rsidRPr="001C767B">
              <w:rPr>
                <w:b/>
                <w:sz w:val="20"/>
                <w:szCs w:val="20"/>
                <w:lang w:val="fr-CA"/>
              </w:rPr>
              <w:t>c. (34467)</w:t>
            </w:r>
          </w:p>
          <w:p w:rsidR="002F3FE7" w:rsidRPr="001C767B" w:rsidRDefault="002F3FE7" w:rsidP="00BC15AE">
            <w:pPr>
              <w:tabs>
                <w:tab w:val="left" w:pos="-1440"/>
                <w:tab w:val="left" w:pos="-720"/>
              </w:tabs>
              <w:jc w:val="both"/>
              <w:rPr>
                <w:b/>
                <w:sz w:val="20"/>
                <w:szCs w:val="20"/>
                <w:lang w:val="fr-CA"/>
              </w:rPr>
            </w:pPr>
          </w:p>
          <w:p w:rsidR="002F3FE7" w:rsidRDefault="002F3FE7" w:rsidP="002F3FE7">
            <w:pPr>
              <w:tabs>
                <w:tab w:val="left" w:pos="-1440"/>
                <w:tab w:val="left" w:pos="-720"/>
              </w:tabs>
              <w:jc w:val="both"/>
              <w:rPr>
                <w:b/>
                <w:sz w:val="20"/>
                <w:szCs w:val="20"/>
                <w:lang w:val="fr-CA"/>
              </w:rPr>
            </w:pPr>
            <w:r>
              <w:rPr>
                <w:b/>
                <w:sz w:val="20"/>
                <w:szCs w:val="20"/>
                <w:lang w:val="fr-CA"/>
              </w:rPr>
              <w:t>Cl</w:t>
            </w:r>
            <w:r w:rsidRPr="002D72EB">
              <w:rPr>
                <w:b/>
                <w:sz w:val="20"/>
                <w:szCs w:val="20"/>
                <w:lang w:val="fr-CA"/>
              </w:rPr>
              <w:t>a</w:t>
            </w:r>
            <w:r>
              <w:rPr>
                <w:b/>
                <w:sz w:val="20"/>
                <w:szCs w:val="20"/>
                <w:lang w:val="fr-CA"/>
              </w:rPr>
              <w:t>ud</w:t>
            </w:r>
            <w:r w:rsidRPr="002D72EB">
              <w:rPr>
                <w:b/>
                <w:sz w:val="20"/>
                <w:szCs w:val="20"/>
                <w:lang w:val="fr-CA"/>
              </w:rPr>
              <w:t xml:space="preserve">e </w:t>
            </w:r>
            <w:r>
              <w:rPr>
                <w:b/>
                <w:sz w:val="20"/>
                <w:szCs w:val="20"/>
                <w:lang w:val="fr-CA"/>
              </w:rPr>
              <w:t>Robinson et autre</w:t>
            </w:r>
            <w:r w:rsidRPr="002D72EB">
              <w:rPr>
                <w:b/>
                <w:sz w:val="20"/>
                <w:szCs w:val="20"/>
                <w:lang w:val="fr-CA"/>
              </w:rPr>
              <w:t xml:space="preserve"> (</w:t>
            </w:r>
            <w:r>
              <w:rPr>
                <w:b/>
                <w:sz w:val="20"/>
                <w:szCs w:val="20"/>
                <w:lang w:val="fr-CA"/>
              </w:rPr>
              <w:t>Qc</w:t>
            </w:r>
            <w:r w:rsidRPr="002D72EB">
              <w:rPr>
                <w:b/>
                <w:sz w:val="20"/>
                <w:szCs w:val="20"/>
                <w:lang w:val="fr-CA"/>
              </w:rPr>
              <w:t>)</w:t>
            </w:r>
          </w:p>
          <w:p w:rsidR="002F3FE7" w:rsidRDefault="002F3FE7" w:rsidP="002F3FE7">
            <w:pPr>
              <w:tabs>
                <w:tab w:val="left" w:pos="-1440"/>
                <w:tab w:val="left" w:pos="-720"/>
              </w:tabs>
              <w:jc w:val="both"/>
              <w:rPr>
                <w:b/>
                <w:sz w:val="20"/>
                <w:szCs w:val="20"/>
                <w:lang w:val="fr-CA"/>
              </w:rPr>
            </w:pPr>
          </w:p>
          <w:p w:rsidR="002F3FE7" w:rsidRDefault="002F3FE7" w:rsidP="002F3FE7">
            <w:pPr>
              <w:tabs>
                <w:tab w:val="left" w:pos="-1440"/>
                <w:tab w:val="left" w:pos="-720"/>
              </w:tabs>
              <w:jc w:val="both"/>
              <w:rPr>
                <w:b/>
                <w:sz w:val="20"/>
                <w:szCs w:val="20"/>
                <w:lang w:val="fr-CA"/>
              </w:rPr>
            </w:pPr>
            <w:r>
              <w:rPr>
                <w:b/>
                <w:sz w:val="20"/>
                <w:szCs w:val="20"/>
                <w:lang w:val="fr-CA"/>
              </w:rPr>
              <w:t>- et entre -</w:t>
            </w:r>
          </w:p>
          <w:p w:rsidR="002F3FE7" w:rsidRDefault="002F3FE7" w:rsidP="00BC15AE">
            <w:pPr>
              <w:tabs>
                <w:tab w:val="left" w:pos="-1440"/>
                <w:tab w:val="left" w:pos="-720"/>
              </w:tabs>
              <w:jc w:val="both"/>
              <w:rPr>
                <w:b/>
                <w:sz w:val="20"/>
                <w:szCs w:val="20"/>
                <w:lang w:val="fr-CA"/>
              </w:rPr>
            </w:pPr>
          </w:p>
          <w:p w:rsidR="002F3FE7" w:rsidRDefault="002F3FE7" w:rsidP="00BC15AE">
            <w:pPr>
              <w:tabs>
                <w:tab w:val="left" w:pos="-1440"/>
                <w:tab w:val="left" w:pos="-720"/>
              </w:tabs>
              <w:jc w:val="both"/>
              <w:rPr>
                <w:b/>
                <w:sz w:val="20"/>
                <w:szCs w:val="20"/>
                <w:lang w:val="fr-CA"/>
              </w:rPr>
            </w:pPr>
            <w:r>
              <w:rPr>
                <w:b/>
                <w:sz w:val="20"/>
                <w:szCs w:val="20"/>
                <w:lang w:val="fr-CA"/>
              </w:rPr>
              <w:t>Christophe Izard et autres</w:t>
            </w:r>
          </w:p>
          <w:p w:rsidR="002F3FE7" w:rsidRDefault="002F3FE7" w:rsidP="00BC15AE">
            <w:pPr>
              <w:tabs>
                <w:tab w:val="left" w:pos="-1440"/>
                <w:tab w:val="left" w:pos="-720"/>
              </w:tabs>
              <w:jc w:val="both"/>
              <w:rPr>
                <w:b/>
                <w:sz w:val="20"/>
                <w:szCs w:val="20"/>
                <w:lang w:val="fr-CA"/>
              </w:rPr>
            </w:pPr>
          </w:p>
          <w:p w:rsidR="002F3FE7" w:rsidRPr="002F3FE7" w:rsidRDefault="002F3FE7" w:rsidP="002F3FE7">
            <w:pPr>
              <w:tabs>
                <w:tab w:val="left" w:pos="-1440"/>
                <w:tab w:val="left" w:pos="-720"/>
              </w:tabs>
              <w:jc w:val="both"/>
              <w:rPr>
                <w:b/>
                <w:sz w:val="20"/>
                <w:szCs w:val="20"/>
                <w:lang w:val="fr-CA"/>
              </w:rPr>
            </w:pPr>
            <w:r w:rsidRPr="001C767B">
              <w:rPr>
                <w:b/>
                <w:sz w:val="20"/>
                <w:szCs w:val="20"/>
                <w:lang w:val="fr-CA"/>
              </w:rPr>
              <w:tab/>
            </w:r>
            <w:r w:rsidRPr="002F3FE7">
              <w:rPr>
                <w:b/>
                <w:sz w:val="20"/>
                <w:szCs w:val="20"/>
                <w:lang w:val="fr-CA"/>
              </w:rPr>
              <w:t>c. (3446</w:t>
            </w:r>
            <w:r>
              <w:rPr>
                <w:b/>
                <w:sz w:val="20"/>
                <w:szCs w:val="20"/>
                <w:lang w:val="fr-CA"/>
              </w:rPr>
              <w:t>8</w:t>
            </w:r>
            <w:r w:rsidRPr="002F3FE7">
              <w:rPr>
                <w:b/>
                <w:sz w:val="20"/>
                <w:szCs w:val="20"/>
                <w:lang w:val="fr-CA"/>
              </w:rPr>
              <w:t>)</w:t>
            </w:r>
          </w:p>
          <w:p w:rsidR="002F3FE7" w:rsidRPr="002F3FE7" w:rsidRDefault="002F3FE7" w:rsidP="002F3FE7">
            <w:pPr>
              <w:tabs>
                <w:tab w:val="left" w:pos="-1440"/>
                <w:tab w:val="left" w:pos="-720"/>
              </w:tabs>
              <w:jc w:val="both"/>
              <w:rPr>
                <w:b/>
                <w:sz w:val="20"/>
                <w:szCs w:val="20"/>
                <w:lang w:val="fr-CA"/>
              </w:rPr>
            </w:pPr>
          </w:p>
          <w:p w:rsidR="002F3FE7" w:rsidRDefault="002F3FE7" w:rsidP="002F3FE7">
            <w:pPr>
              <w:tabs>
                <w:tab w:val="left" w:pos="-1440"/>
                <w:tab w:val="left" w:pos="-720"/>
              </w:tabs>
              <w:jc w:val="both"/>
              <w:rPr>
                <w:b/>
                <w:sz w:val="20"/>
                <w:szCs w:val="20"/>
                <w:lang w:val="fr-CA"/>
              </w:rPr>
            </w:pPr>
            <w:r>
              <w:rPr>
                <w:b/>
                <w:sz w:val="20"/>
                <w:szCs w:val="20"/>
                <w:lang w:val="fr-CA"/>
              </w:rPr>
              <w:t>Cl</w:t>
            </w:r>
            <w:r w:rsidRPr="002D72EB">
              <w:rPr>
                <w:b/>
                <w:sz w:val="20"/>
                <w:szCs w:val="20"/>
                <w:lang w:val="fr-CA"/>
              </w:rPr>
              <w:t>a</w:t>
            </w:r>
            <w:r>
              <w:rPr>
                <w:b/>
                <w:sz w:val="20"/>
                <w:szCs w:val="20"/>
                <w:lang w:val="fr-CA"/>
              </w:rPr>
              <w:t>ud</w:t>
            </w:r>
            <w:r w:rsidRPr="002D72EB">
              <w:rPr>
                <w:b/>
                <w:sz w:val="20"/>
                <w:szCs w:val="20"/>
                <w:lang w:val="fr-CA"/>
              </w:rPr>
              <w:t xml:space="preserve">e </w:t>
            </w:r>
            <w:r>
              <w:rPr>
                <w:b/>
                <w:sz w:val="20"/>
                <w:szCs w:val="20"/>
                <w:lang w:val="fr-CA"/>
              </w:rPr>
              <w:t>Robinson et autre</w:t>
            </w:r>
            <w:r w:rsidRPr="002D72EB">
              <w:rPr>
                <w:b/>
                <w:sz w:val="20"/>
                <w:szCs w:val="20"/>
                <w:lang w:val="fr-CA"/>
              </w:rPr>
              <w:t xml:space="preserve"> (</w:t>
            </w:r>
            <w:r>
              <w:rPr>
                <w:b/>
                <w:sz w:val="20"/>
                <w:szCs w:val="20"/>
                <w:lang w:val="fr-CA"/>
              </w:rPr>
              <w:t>Qc</w:t>
            </w:r>
            <w:r w:rsidRPr="002D72EB">
              <w:rPr>
                <w:b/>
                <w:sz w:val="20"/>
                <w:szCs w:val="20"/>
                <w:lang w:val="fr-CA"/>
              </w:rPr>
              <w:t>)</w:t>
            </w:r>
          </w:p>
          <w:p w:rsidR="002F3FE7" w:rsidRDefault="002F3FE7" w:rsidP="002F3FE7">
            <w:pPr>
              <w:tabs>
                <w:tab w:val="left" w:pos="-1440"/>
                <w:tab w:val="left" w:pos="-720"/>
              </w:tabs>
              <w:jc w:val="both"/>
              <w:rPr>
                <w:b/>
                <w:sz w:val="20"/>
                <w:szCs w:val="20"/>
                <w:lang w:val="fr-CA"/>
              </w:rPr>
            </w:pPr>
          </w:p>
          <w:p w:rsidR="002F3FE7" w:rsidRDefault="002F3FE7" w:rsidP="002F3FE7">
            <w:pPr>
              <w:tabs>
                <w:tab w:val="left" w:pos="-1440"/>
                <w:tab w:val="left" w:pos="-720"/>
              </w:tabs>
              <w:jc w:val="both"/>
              <w:rPr>
                <w:b/>
                <w:sz w:val="20"/>
                <w:szCs w:val="20"/>
                <w:lang w:val="fr-CA"/>
              </w:rPr>
            </w:pPr>
            <w:r>
              <w:rPr>
                <w:b/>
                <w:sz w:val="20"/>
                <w:szCs w:val="20"/>
                <w:lang w:val="fr-CA"/>
              </w:rPr>
              <w:t>- et entre -</w:t>
            </w:r>
          </w:p>
          <w:p w:rsidR="002F3FE7" w:rsidRDefault="002F3FE7" w:rsidP="00BC15AE">
            <w:pPr>
              <w:tabs>
                <w:tab w:val="left" w:pos="-1440"/>
                <w:tab w:val="left" w:pos="-720"/>
              </w:tabs>
              <w:jc w:val="both"/>
              <w:rPr>
                <w:b/>
                <w:sz w:val="20"/>
                <w:szCs w:val="20"/>
                <w:lang w:val="fr-CA"/>
              </w:rPr>
            </w:pPr>
          </w:p>
          <w:p w:rsidR="002F3FE7" w:rsidRDefault="002F3FE7" w:rsidP="00BC15AE">
            <w:pPr>
              <w:tabs>
                <w:tab w:val="left" w:pos="-1440"/>
                <w:tab w:val="left" w:pos="-720"/>
              </w:tabs>
              <w:jc w:val="both"/>
              <w:rPr>
                <w:b/>
                <w:sz w:val="20"/>
                <w:szCs w:val="20"/>
                <w:lang w:val="fr-CA"/>
              </w:rPr>
            </w:pPr>
            <w:r>
              <w:rPr>
                <w:b/>
                <w:sz w:val="20"/>
                <w:szCs w:val="20"/>
                <w:lang w:val="fr-CA"/>
              </w:rPr>
              <w:t>Cl</w:t>
            </w:r>
            <w:r w:rsidRPr="002D72EB">
              <w:rPr>
                <w:b/>
                <w:sz w:val="20"/>
                <w:szCs w:val="20"/>
                <w:lang w:val="fr-CA"/>
              </w:rPr>
              <w:t>a</w:t>
            </w:r>
            <w:r>
              <w:rPr>
                <w:b/>
                <w:sz w:val="20"/>
                <w:szCs w:val="20"/>
                <w:lang w:val="fr-CA"/>
              </w:rPr>
              <w:t>ud</w:t>
            </w:r>
            <w:r w:rsidRPr="002D72EB">
              <w:rPr>
                <w:b/>
                <w:sz w:val="20"/>
                <w:szCs w:val="20"/>
                <w:lang w:val="fr-CA"/>
              </w:rPr>
              <w:t xml:space="preserve">e </w:t>
            </w:r>
            <w:r>
              <w:rPr>
                <w:b/>
                <w:sz w:val="20"/>
                <w:szCs w:val="20"/>
                <w:lang w:val="fr-CA"/>
              </w:rPr>
              <w:t>Robinson et autre</w:t>
            </w:r>
          </w:p>
          <w:p w:rsidR="002F3FE7" w:rsidRDefault="002F3FE7" w:rsidP="00BC15AE">
            <w:pPr>
              <w:tabs>
                <w:tab w:val="left" w:pos="-1440"/>
                <w:tab w:val="left" w:pos="-720"/>
              </w:tabs>
              <w:jc w:val="both"/>
              <w:rPr>
                <w:b/>
                <w:sz w:val="20"/>
                <w:szCs w:val="20"/>
                <w:lang w:val="fr-CA"/>
              </w:rPr>
            </w:pPr>
          </w:p>
          <w:p w:rsidR="002F3FE7" w:rsidRPr="002F3FE7" w:rsidRDefault="002F3FE7" w:rsidP="002F3FE7">
            <w:pPr>
              <w:tabs>
                <w:tab w:val="left" w:pos="-1440"/>
                <w:tab w:val="left" w:pos="-720"/>
              </w:tabs>
              <w:jc w:val="both"/>
              <w:rPr>
                <w:b/>
                <w:sz w:val="20"/>
                <w:szCs w:val="20"/>
                <w:lang w:val="fr-CA"/>
              </w:rPr>
            </w:pPr>
            <w:r>
              <w:rPr>
                <w:b/>
                <w:sz w:val="20"/>
                <w:szCs w:val="20"/>
                <w:lang w:val="fr-CA"/>
              </w:rPr>
              <w:tab/>
            </w:r>
            <w:r w:rsidRPr="002F3FE7">
              <w:rPr>
                <w:b/>
                <w:sz w:val="20"/>
                <w:szCs w:val="20"/>
                <w:lang w:val="fr-CA"/>
              </w:rPr>
              <w:t>c. (3446</w:t>
            </w:r>
            <w:r>
              <w:rPr>
                <w:b/>
                <w:sz w:val="20"/>
                <w:szCs w:val="20"/>
                <w:lang w:val="fr-CA"/>
              </w:rPr>
              <w:t>9</w:t>
            </w:r>
            <w:r w:rsidRPr="002F3FE7">
              <w:rPr>
                <w:b/>
                <w:sz w:val="20"/>
                <w:szCs w:val="20"/>
                <w:lang w:val="fr-CA"/>
              </w:rPr>
              <w:t>)</w:t>
            </w:r>
          </w:p>
          <w:p w:rsidR="002F3FE7" w:rsidRPr="002F3FE7" w:rsidRDefault="002F3FE7" w:rsidP="002F3FE7">
            <w:pPr>
              <w:tabs>
                <w:tab w:val="left" w:pos="-1440"/>
                <w:tab w:val="left" w:pos="-720"/>
              </w:tabs>
              <w:jc w:val="both"/>
              <w:rPr>
                <w:b/>
                <w:sz w:val="20"/>
                <w:szCs w:val="20"/>
                <w:lang w:val="fr-CA"/>
              </w:rPr>
            </w:pPr>
          </w:p>
          <w:p w:rsidR="002F3FE7" w:rsidRPr="002F3FE7" w:rsidRDefault="002F3FE7" w:rsidP="002F3FE7">
            <w:pPr>
              <w:tabs>
                <w:tab w:val="left" w:pos="-1440"/>
                <w:tab w:val="left" w:pos="-720"/>
              </w:tabs>
              <w:jc w:val="both"/>
              <w:rPr>
                <w:b/>
                <w:sz w:val="20"/>
                <w:szCs w:val="20"/>
                <w:lang w:val="fr-CA"/>
              </w:rPr>
            </w:pPr>
            <w:r>
              <w:rPr>
                <w:b/>
                <w:sz w:val="20"/>
                <w:szCs w:val="20"/>
                <w:lang w:val="fr-CA"/>
              </w:rPr>
              <w:t>France Animation S.A. et autres (Qc)</w:t>
            </w:r>
          </w:p>
        </w:tc>
        <w:tc>
          <w:tcPr>
            <w:tcW w:w="1170" w:type="dxa"/>
            <w:shd w:val="clear" w:color="auto" w:fill="auto"/>
          </w:tcPr>
          <w:p w:rsidR="00BC15AE" w:rsidRPr="002F3FE7" w:rsidRDefault="00BC15AE" w:rsidP="00BC15AE">
            <w:pPr>
              <w:tabs>
                <w:tab w:val="left" w:pos="-1440"/>
                <w:tab w:val="left" w:pos="-720"/>
              </w:tabs>
              <w:jc w:val="both"/>
              <w:rPr>
                <w:sz w:val="20"/>
                <w:szCs w:val="20"/>
                <w:lang w:val="fr-CA"/>
              </w:rPr>
            </w:pPr>
          </w:p>
        </w:tc>
        <w:tc>
          <w:tcPr>
            <w:tcW w:w="4188" w:type="dxa"/>
            <w:shd w:val="clear" w:color="auto" w:fill="auto"/>
          </w:tcPr>
          <w:p w:rsidR="00BC15AE" w:rsidRPr="00C50A5C" w:rsidRDefault="00BC15AE" w:rsidP="00BC15AE">
            <w:pPr>
              <w:tabs>
                <w:tab w:val="left" w:pos="-1440"/>
                <w:tab w:val="left" w:pos="-720"/>
              </w:tabs>
              <w:jc w:val="both"/>
              <w:rPr>
                <w:b/>
                <w:sz w:val="20"/>
                <w:szCs w:val="20"/>
                <w:lang w:val="fr-CA"/>
              </w:rPr>
            </w:pPr>
          </w:p>
        </w:tc>
      </w:tr>
    </w:tbl>
    <w:p w:rsidR="00BC15AE" w:rsidRPr="00C50A5C" w:rsidRDefault="00BC15AE" w:rsidP="00BC15AE">
      <w:pPr>
        <w:tabs>
          <w:tab w:val="left" w:pos="-1440"/>
          <w:tab w:val="left" w:pos="-720"/>
        </w:tabs>
        <w:jc w:val="both"/>
        <w:rPr>
          <w:sz w:val="20"/>
          <w:szCs w:val="20"/>
          <w:lang w:val="fr-CA"/>
        </w:rPr>
      </w:pPr>
    </w:p>
    <w:p w:rsidR="0077693C" w:rsidRPr="0077693C" w:rsidRDefault="0077693C" w:rsidP="0077693C">
      <w:pPr>
        <w:contextualSpacing/>
        <w:rPr>
          <w:rFonts w:cs="Times New Roman"/>
          <w:sz w:val="20"/>
          <w:szCs w:val="20"/>
        </w:rPr>
      </w:pPr>
      <w:r w:rsidRPr="0077693C">
        <w:rPr>
          <w:rFonts w:cs="Times New Roman"/>
          <w:b/>
          <w:sz w:val="20"/>
          <w:szCs w:val="20"/>
        </w:rPr>
        <w:t>Background :</w:t>
      </w:r>
    </w:p>
    <w:p w:rsidR="0077693C" w:rsidRPr="0077693C" w:rsidRDefault="0077693C" w:rsidP="0077693C">
      <w:pPr>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This Court dismissed the appeals of Cinar Corporation and numerous other appellants (collectively “Cinar appellants”) in files 34466, 34467 and 34468, and allowed, in part, the appeal of Claude Robinson and Les Productions Nilem (collectively “Robinson”) in file 34469.  The Court held that Mr. Robinson’s original work was protected by copyright which had been infringed and ordered compensatory damages, disgorgement of profits and punitive damages be paid by the Cinar appellants.  Costs throughout were awarded on a party and party basis to Robinson in all four files, in addition to the trial judge’s award of $1,500,000 in solicitor and client costs for the proceedings at the trial level.</w:t>
      </w:r>
    </w:p>
    <w:p w:rsidR="0077693C" w:rsidRPr="0077693C" w:rsidRDefault="0077693C" w:rsidP="0077693C">
      <w:pPr>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In the bills of costs filed with the Registrar by Robinson in the within taxations, the costs claimed for the proceedings in this Court are as follows:</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34466: counsel fees $8134.65; disbursements $7155.71 (total $15,290.36);</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34467: counsel fees $5067.45; disbursements $524.52 (total $5591.97);</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34468: counsel fees $5051.25; disbursements $460.03 (total $5511.88);</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34469: counsel fees $66,610.10; disbursements $165,373.41 (total $231,983.51).</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lastRenderedPageBreak/>
        <w:t>Objections to the bills of costs have been filed by Cinar Corporation.  The other Cinar appellants have not filed responses.  Cinar raises two principle objections: (1) that the costs for reproducing the books of authorities (electronic and print versions) used for the appeals in files 34466, 34467 and 34468, but claimed in the full amount by Robinson in the bill of costs for file 34466 (in which Cinar was the appellant), should be apportioned equally among all three sets of appellants in files 34466, 34467 and 34468, given that those authorities were filed and used by Robinson in respect of all three appeals, and; (2) that the 81 volumes of the appellants’ record filed in 34469, for which reproduction costs are claimed as disbursements in the amount of $154,620.03, were excessive, substantially unnecessary for the presentation of the appeal before this Court, and therefore constitute an unreasonable claim that should be significantly reduced.</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7"/>
        </w:numPr>
        <w:spacing w:after="200" w:line="276" w:lineRule="auto"/>
        <w:ind w:hanging="720"/>
        <w:contextualSpacing/>
        <w:jc w:val="both"/>
        <w:rPr>
          <w:rFonts w:cs="Times New Roman"/>
          <w:b/>
          <w:i/>
          <w:sz w:val="20"/>
          <w:szCs w:val="20"/>
        </w:rPr>
      </w:pPr>
      <w:r w:rsidRPr="0077693C">
        <w:rPr>
          <w:rFonts w:cs="Times New Roman"/>
          <w:b/>
          <w:i/>
          <w:sz w:val="20"/>
          <w:szCs w:val="20"/>
        </w:rPr>
        <w:t>Costs claimed in file 34466 for preparation and reproduction of the authorities:</w:t>
      </w:r>
    </w:p>
    <w:p w:rsidR="0077693C" w:rsidRPr="0077693C" w:rsidRDefault="0077693C" w:rsidP="0077693C">
      <w:pPr>
        <w:spacing w:after="200" w:line="276" w:lineRule="auto"/>
        <w:ind w:left="720"/>
        <w:contextualSpacing/>
        <w:rPr>
          <w:rFonts w:cs="Times New Roman"/>
          <w:b/>
          <w:i/>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In reply to Cinar’s objection, counsel for Robinson defends having made the claim for  reproduction of the authorities on the bill of costs in file 34466 alone, submitting that because Cinar adopted the arguments of the appellants in 34467 and 34468, Robinson can therefore claim those costs solely against Cinar.  I disagree.  The Court’s Order does not support that position.  The authorities at issue were clearly filed by Robinson in respect of all three files as indicated on the cover of each volume.  And there were three distinct sets of appellants in those appeals who are liable to pay costs to Robinson pursuant to the Court’s Order, of which Cinar is but one (in file 34466).  Robinson does not submit otherwise.  It would therefore be unreasonable for Cinar to be made to bear sole liability for all the costs associated with reproducing the authorities used for the three files.  </w:t>
      </w:r>
    </w:p>
    <w:p w:rsidR="0077693C" w:rsidRPr="0077693C" w:rsidRDefault="0077693C" w:rsidP="0077693C">
      <w:pPr>
        <w:ind w:left="432"/>
        <w:contextualSpacing/>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Accordingly, the reproduction costs claimed in the amount of $6697.23 shall be deducted from the bill of costs in file 34466 and apportioned equally to the bills of costs in files 34466, 34467 and 34468.  For the same reasons, a similar re-apportionment shall be made among the three files with respect to the counsel fees claimed for the preparation of the first copy of the authorities pursuant to the Tariff (s. 3(c) of Part 1, Schedule B of the </w:t>
      </w:r>
      <w:r w:rsidRPr="0077693C">
        <w:rPr>
          <w:rFonts w:cs="Times New Roman"/>
          <w:i/>
          <w:sz w:val="20"/>
          <w:szCs w:val="20"/>
        </w:rPr>
        <w:t>Rules of the Supreme Court of Canada</w:t>
      </w:r>
      <w:r w:rsidRPr="0077693C">
        <w:rPr>
          <w:rFonts w:cs="Times New Roman"/>
          <w:sz w:val="20"/>
          <w:szCs w:val="20"/>
        </w:rPr>
        <w:t>, SOR/2002-156, as am.).</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7"/>
        </w:numPr>
        <w:spacing w:after="200" w:line="276" w:lineRule="auto"/>
        <w:ind w:hanging="720"/>
        <w:contextualSpacing/>
        <w:jc w:val="both"/>
        <w:rPr>
          <w:rFonts w:cs="Times New Roman"/>
          <w:b/>
          <w:i/>
          <w:sz w:val="20"/>
          <w:szCs w:val="20"/>
        </w:rPr>
      </w:pPr>
      <w:r w:rsidRPr="0077693C">
        <w:rPr>
          <w:rFonts w:cs="Times New Roman"/>
          <w:b/>
          <w:i/>
          <w:sz w:val="20"/>
          <w:szCs w:val="20"/>
        </w:rPr>
        <w:t>Costs claimed for the appellants’ record in file 34469:</w:t>
      </w:r>
    </w:p>
    <w:p w:rsidR="0077693C" w:rsidRPr="0077693C" w:rsidRDefault="0077693C" w:rsidP="0077693C">
      <w:pPr>
        <w:spacing w:after="200" w:line="276" w:lineRule="auto"/>
        <w:ind w:left="720"/>
        <w:contextualSpacing/>
        <w:rPr>
          <w:rFonts w:cs="Times New Roman"/>
          <w:b/>
          <w:i/>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A voluminous number of documents were filed by both sides in these four files which were heard by this Court as essentially two appeals (34466/ 34467/ 34468; and 34469).  The Cinar appellants’ record in files 34466, 34467 and 34468 consisted of 50 volumes.  The appellants’ record filed by Robinson in file 34469 consisted of 81 volumes, some 34,315 pages of which thousands of exhibits were reproduced in colour at added expense; the index to that record alone was 161 pages.  From a review of the indexes of both these records, it is apparent that all of the material found in the 50 volumes of the Cinar appellants’ record (in files 34466, 34467 and 34468) was also reproduced in the Robinson record (in file 34469).  In addition, the authorities filed by the Cinar appellants in 34466, 34467 and 34468 were 6 volumes (2424 pages), and they filed a further 5 volumes of authorities (1970 pages) in 34469.  The authorities filed by Robinson in 34466, 34467 and 34468 were 5 volumes (2296 pages), and 7 volumes (2635 pages) were filed in 34469.      </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u w:val="single"/>
        </w:rPr>
      </w:pPr>
      <w:r w:rsidRPr="0077693C">
        <w:rPr>
          <w:rFonts w:cs="Times New Roman"/>
          <w:sz w:val="20"/>
          <w:szCs w:val="20"/>
        </w:rPr>
        <w:t xml:space="preserve">In filing their records, the parties were all obliged to comply with the Rules of the Court.  Rule 38 (2) states that the appellant’s record “shall contain only the documents that are necessary to raise the question for the Court”, while Rule 39 (2) states that the respondent’s record “shall contain only the documents that are not already included in the appellant’s record and are necessary to raise the question for the Court”.  Parties must also comply with the well-established duty to "do their utmost to minimize costs" of the litigation: </w:t>
      </w:r>
      <w:r w:rsidRPr="0077693C">
        <w:rPr>
          <w:rFonts w:cs="Times New Roman"/>
          <w:i/>
          <w:sz w:val="20"/>
          <w:szCs w:val="20"/>
        </w:rPr>
        <w:t>Pétroles Therrien Inc. v. 156036 Canada Inc.</w:t>
      </w:r>
      <w:r w:rsidRPr="0077693C">
        <w:rPr>
          <w:rFonts w:cs="Times New Roman"/>
          <w:sz w:val="20"/>
          <w:szCs w:val="20"/>
        </w:rPr>
        <w:t xml:space="preserve"> (taxation decision dated March 16, 2000; Court file no. 27158); see also, </w:t>
      </w:r>
      <w:r w:rsidRPr="0077693C">
        <w:rPr>
          <w:rFonts w:cs="Times New Roman"/>
          <w:i/>
          <w:sz w:val="20"/>
          <w:szCs w:val="20"/>
        </w:rPr>
        <w:t>Richard v. Time Inc.</w:t>
      </w:r>
      <w:r w:rsidRPr="0077693C">
        <w:rPr>
          <w:rFonts w:cs="Times New Roman"/>
          <w:sz w:val="20"/>
          <w:szCs w:val="20"/>
        </w:rPr>
        <w:t xml:space="preserve"> (taxation decision dated June 6, 2013; Court file no. 33554).  </w:t>
      </w:r>
    </w:p>
    <w:p w:rsidR="0077693C" w:rsidRPr="0077693C" w:rsidRDefault="0077693C" w:rsidP="0077693C">
      <w:pPr>
        <w:ind w:left="357"/>
        <w:jc w:val="both"/>
        <w:rPr>
          <w:rFonts w:cs="Times New Roman"/>
          <w:sz w:val="20"/>
          <w:szCs w:val="20"/>
          <w:u w:val="single"/>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In these particular appeals the appellants were all required to file their records at the same time and therefore neither side had prior knowledge of what the other was including.  Nevertheless, in such circumstances, to satisfy the duty to minimize costs of the litigation, in my view counsel should have consulted with one another to at least ensure that there was no </w:t>
      </w:r>
      <w:r w:rsidRPr="0077693C">
        <w:rPr>
          <w:rFonts w:cs="Times New Roman"/>
          <w:sz w:val="20"/>
          <w:szCs w:val="20"/>
          <w:u w:val="single"/>
        </w:rPr>
        <w:t>substantial duplication</w:t>
      </w:r>
      <w:r w:rsidRPr="0077693C">
        <w:rPr>
          <w:rFonts w:cs="Times New Roman"/>
          <w:sz w:val="20"/>
          <w:szCs w:val="20"/>
        </w:rPr>
        <w:t xml:space="preserve"> in the materials filed; particularly where, as here, an inordinately large number of documents were produced in the courts below that could potentially be filed in this Court.  This they clearly did not do.  In result, of the 131 volumes of the two records filed in these appeals, 50 volumes of duplicative materials were reproduced at great unnecessary expense. </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Moreover, a review of the contents of the Robinson record reveals that many of the documents were not necessary for the Court to determine the issues raised in the appeals.  For example, copies of </w:t>
      </w:r>
      <w:r w:rsidRPr="0077693C">
        <w:rPr>
          <w:rFonts w:cs="Times New Roman"/>
          <w:sz w:val="20"/>
          <w:szCs w:val="20"/>
          <w:u w:val="single"/>
        </w:rPr>
        <w:t>all</w:t>
      </w:r>
      <w:r w:rsidRPr="0077693C">
        <w:rPr>
          <w:rFonts w:cs="Times New Roman"/>
          <w:sz w:val="20"/>
          <w:szCs w:val="20"/>
        </w:rPr>
        <w:t xml:space="preserve"> of the evidence filed at trial, the transcript of testimony for more than 50 days, as well as numerous motion records involving issues that were of no relevance before this Court, were completely unnecessary and should not have been included.  The thousands of documents that were reproduced in colour at an added cost of over $7000 were similarly not required to properly present the case.  These appeals, while involving some complex </w:t>
      </w:r>
      <w:r w:rsidRPr="0077693C">
        <w:rPr>
          <w:rFonts w:cs="Times New Roman"/>
          <w:sz w:val="20"/>
          <w:szCs w:val="20"/>
          <w:u w:val="single"/>
        </w:rPr>
        <w:t>legal</w:t>
      </w:r>
      <w:r w:rsidRPr="0077693C">
        <w:rPr>
          <w:rFonts w:cs="Times New Roman"/>
          <w:sz w:val="20"/>
          <w:szCs w:val="20"/>
        </w:rPr>
        <w:t xml:space="preserve"> issues, were not so </w:t>
      </w:r>
      <w:r w:rsidRPr="0077693C">
        <w:rPr>
          <w:rFonts w:cs="Times New Roman"/>
          <w:sz w:val="20"/>
          <w:szCs w:val="20"/>
          <w:u w:val="single"/>
        </w:rPr>
        <w:t>factually complicated in this Court</w:t>
      </w:r>
      <w:r w:rsidRPr="0077693C">
        <w:rPr>
          <w:rFonts w:cs="Times New Roman"/>
          <w:sz w:val="20"/>
          <w:szCs w:val="20"/>
        </w:rPr>
        <w:t xml:space="preserve"> that the filing of materials of this nature and volume </w:t>
      </w:r>
      <w:r w:rsidRPr="0077693C">
        <w:rPr>
          <w:rFonts w:cs="Times New Roman"/>
          <w:sz w:val="20"/>
          <w:szCs w:val="20"/>
          <w:u w:val="single"/>
        </w:rPr>
        <w:t>by all parties</w:t>
      </w:r>
      <w:r w:rsidRPr="0077693C">
        <w:rPr>
          <w:rFonts w:cs="Times New Roman"/>
          <w:sz w:val="20"/>
          <w:szCs w:val="20"/>
        </w:rPr>
        <w:t xml:space="preserve"> was warranted.  </w:t>
      </w:r>
    </w:p>
    <w:p w:rsidR="0077693C" w:rsidRPr="0077693C" w:rsidRDefault="0077693C" w:rsidP="0077693C">
      <w:pPr>
        <w:ind w:left="720"/>
        <w:contextualSpacing/>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The following excerpt from the reasons of Gonthier J. on a review of the taxation decision of the Registrar in </w:t>
      </w:r>
      <w:r w:rsidRPr="0077693C">
        <w:rPr>
          <w:rFonts w:cs="Times New Roman"/>
          <w:i/>
          <w:sz w:val="20"/>
          <w:szCs w:val="20"/>
        </w:rPr>
        <w:t>Apotex Inc. v. Bayer Aktiengesellschaft</w:t>
      </w:r>
      <w:r w:rsidRPr="0077693C">
        <w:rPr>
          <w:rFonts w:cs="Times New Roman"/>
          <w:sz w:val="20"/>
          <w:szCs w:val="20"/>
        </w:rPr>
        <w:t>, [1999] 3 S.C.R. 857, at para. 10, is apt:</w:t>
      </w:r>
    </w:p>
    <w:p w:rsidR="0077693C" w:rsidRPr="0077693C" w:rsidRDefault="0077693C" w:rsidP="0077693C">
      <w:pPr>
        <w:ind w:left="720"/>
        <w:contextualSpacing/>
        <w:jc w:val="both"/>
        <w:rPr>
          <w:rFonts w:cs="Times New Roman"/>
          <w:sz w:val="20"/>
          <w:szCs w:val="20"/>
        </w:rPr>
      </w:pPr>
    </w:p>
    <w:p w:rsidR="0077693C" w:rsidRPr="0077693C" w:rsidRDefault="0077693C" w:rsidP="0077693C">
      <w:pPr>
        <w:ind w:left="720"/>
        <w:contextualSpacing/>
        <w:jc w:val="both"/>
        <w:rPr>
          <w:rFonts w:cs="Times New Roman"/>
          <w:sz w:val="20"/>
          <w:szCs w:val="20"/>
        </w:rPr>
      </w:pPr>
      <w:r w:rsidRPr="0077693C">
        <w:rPr>
          <w:rFonts w:cs="Times New Roman"/>
          <w:sz w:val="20"/>
          <w:szCs w:val="20"/>
        </w:rPr>
        <w:t xml:space="preserve">The Registrar has, in the past, been vigilant to allow only those expenses absolutely necessary to conduct the proceeding in this Court. For example, when parties file excessive material [...] which [is] not subsequently referred to, they cannot claim those excess photocopying costs: </w:t>
      </w:r>
      <w:r w:rsidRPr="0077693C">
        <w:rPr>
          <w:rFonts w:cs="Times New Roman"/>
          <w:i/>
          <w:sz w:val="20"/>
          <w:szCs w:val="20"/>
        </w:rPr>
        <w:t>Coopérative de commerce "Des Mille-Îles" v. Société des alcools du Québec</w:t>
      </w:r>
      <w:r w:rsidRPr="0077693C">
        <w:rPr>
          <w:rFonts w:cs="Times New Roman"/>
          <w:sz w:val="20"/>
          <w:szCs w:val="20"/>
        </w:rPr>
        <w:t xml:space="preserve">, S.C.C., No. 25703, October 27, 1997. See also </w:t>
      </w:r>
      <w:r w:rsidRPr="0077693C">
        <w:rPr>
          <w:rFonts w:cs="Times New Roman"/>
          <w:i/>
          <w:sz w:val="20"/>
          <w:szCs w:val="20"/>
        </w:rPr>
        <w:t>Jaremko v. Metropolitan Toronto Condominium Corp. No. 875</w:t>
      </w:r>
      <w:r w:rsidRPr="0077693C">
        <w:rPr>
          <w:rFonts w:cs="Times New Roman"/>
          <w:sz w:val="20"/>
          <w:szCs w:val="20"/>
        </w:rPr>
        <w:t xml:space="preserve">, S.C.C., No. 26714, June 8, 1999 (published in the Bulletin of Proceedings of the Supreme Court of Canada, 1999, at p. 995). </w:t>
      </w:r>
      <w:r w:rsidRPr="0077693C">
        <w:rPr>
          <w:rFonts w:cs="Times New Roman"/>
          <w:sz w:val="20"/>
          <w:szCs w:val="20"/>
          <w:u w:val="single"/>
        </w:rPr>
        <w:t xml:space="preserve">Where the actual expenditure cannot be demonstrated to the Registrar that it is necessary for the presentation of the case, it cannot be claimed in a bill of costs. </w:t>
      </w:r>
      <w:r w:rsidRPr="0077693C">
        <w:rPr>
          <w:rFonts w:cs="Times New Roman"/>
          <w:sz w:val="20"/>
          <w:szCs w:val="20"/>
        </w:rPr>
        <w:t xml:space="preserve">[Emphasis added.]   </w:t>
      </w:r>
    </w:p>
    <w:p w:rsidR="0077693C" w:rsidRPr="0077693C" w:rsidRDefault="0077693C" w:rsidP="0077693C">
      <w:pPr>
        <w:jc w:val="both"/>
        <w:rPr>
          <w:rFonts w:cs="Times New Roman"/>
          <w:sz w:val="20"/>
          <w:szCs w:val="20"/>
        </w:rPr>
      </w:pPr>
    </w:p>
    <w:p w:rsidR="0077693C" w:rsidRPr="0077693C" w:rsidRDefault="0077693C" w:rsidP="0077693C">
      <w:pPr>
        <w:numPr>
          <w:ilvl w:val="0"/>
          <w:numId w:val="7"/>
        </w:numPr>
        <w:spacing w:after="200" w:line="276" w:lineRule="auto"/>
        <w:ind w:hanging="720"/>
        <w:contextualSpacing/>
        <w:jc w:val="both"/>
        <w:rPr>
          <w:rFonts w:cs="Times New Roman"/>
          <w:b/>
          <w:i/>
          <w:sz w:val="20"/>
          <w:szCs w:val="20"/>
        </w:rPr>
      </w:pPr>
      <w:r w:rsidRPr="0077693C">
        <w:rPr>
          <w:rFonts w:cs="Times New Roman"/>
          <w:b/>
          <w:i/>
          <w:sz w:val="20"/>
          <w:szCs w:val="20"/>
        </w:rPr>
        <w:t>Costs claimed in file 34469 for books of authorities, as well as intervener’s materials:</w:t>
      </w:r>
    </w:p>
    <w:p w:rsidR="0077693C" w:rsidRPr="0077693C" w:rsidRDefault="0077693C" w:rsidP="0077693C">
      <w:pPr>
        <w:spacing w:after="200" w:line="276" w:lineRule="auto"/>
        <w:ind w:left="720"/>
        <w:contextualSpacing/>
        <w:rPr>
          <w:rFonts w:cs="Times New Roman"/>
          <w:b/>
          <w:i/>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With respect to the books of authorities filed in 34469, in many instances more than just the relevant excerpts of cases relied upon were copied, resulting in the unnecessary reproduction of hundreds of pages.  The expenses claimed for them must be disallowed.  Excessive reproduction is inconsistent with the duty to minimize costs of litigation: </w:t>
      </w:r>
      <w:r w:rsidRPr="0077693C">
        <w:rPr>
          <w:rFonts w:cs="Times New Roman"/>
          <w:i/>
          <w:sz w:val="20"/>
          <w:szCs w:val="20"/>
        </w:rPr>
        <w:t>James-Assiniboia Teachers’ Association of the Manitoba Teachers’ Society v. St. James-Assiniboia School Division</w:t>
      </w:r>
      <w:r w:rsidRPr="0077693C">
        <w:rPr>
          <w:rFonts w:cs="Times New Roman"/>
          <w:sz w:val="20"/>
          <w:szCs w:val="20"/>
        </w:rPr>
        <w:t xml:space="preserve"> (taxation decision dated July 24, 2003; Court file 29581).  It also a violation of Rules 44 (3-4), which state:</w:t>
      </w:r>
    </w:p>
    <w:p w:rsidR="0077693C" w:rsidRPr="0077693C" w:rsidRDefault="0077693C" w:rsidP="0077693C">
      <w:pPr>
        <w:jc w:val="both"/>
        <w:rPr>
          <w:rFonts w:cs="Times New Roman"/>
          <w:sz w:val="20"/>
          <w:szCs w:val="20"/>
        </w:rPr>
      </w:pPr>
    </w:p>
    <w:p w:rsidR="0077693C" w:rsidRPr="0077693C" w:rsidRDefault="0077693C" w:rsidP="0077693C">
      <w:pPr>
        <w:ind w:left="720"/>
        <w:jc w:val="both"/>
        <w:rPr>
          <w:rFonts w:cs="Times New Roman"/>
          <w:sz w:val="20"/>
          <w:szCs w:val="20"/>
          <w:lang w:val="en-US"/>
        </w:rPr>
      </w:pPr>
      <w:r w:rsidRPr="0077693C">
        <w:rPr>
          <w:rFonts w:cs="Times New Roman"/>
          <w:sz w:val="20"/>
          <w:szCs w:val="20"/>
        </w:rPr>
        <w:t xml:space="preserve">44. (3)  </w:t>
      </w:r>
      <w:r w:rsidRPr="0077693C">
        <w:rPr>
          <w:rFonts w:cs="Times New Roman"/>
          <w:sz w:val="20"/>
          <w:szCs w:val="20"/>
          <w:lang w:val="en-US"/>
        </w:rPr>
        <w:t xml:space="preserve">In the case of reasons for judgment of the Court, the book of authorities shall contain only the relevant excerpts from the </w:t>
      </w:r>
      <w:r w:rsidRPr="00A93CA5">
        <w:rPr>
          <w:rFonts w:cs="Times New Roman"/>
          <w:i/>
          <w:iCs/>
          <w:sz w:val="20"/>
          <w:szCs w:val="20"/>
          <w:lang w:val="en-US"/>
        </w:rPr>
        <w:t>Canada Supreme Court Reports</w:t>
      </w:r>
      <w:r w:rsidRPr="0077693C">
        <w:rPr>
          <w:rFonts w:cs="Times New Roman"/>
          <w:sz w:val="20"/>
          <w:szCs w:val="20"/>
          <w:lang w:val="en-US"/>
        </w:rPr>
        <w:t xml:space="preserve"> or from an electronic database if the reasons were delivered after 1994 and the paragraph numbering in the reasons is consistent with the numbering in the </w:t>
      </w:r>
      <w:r w:rsidRPr="00A93CA5">
        <w:rPr>
          <w:rFonts w:cs="Times New Roman"/>
          <w:i/>
          <w:iCs/>
          <w:sz w:val="20"/>
          <w:szCs w:val="20"/>
          <w:lang w:val="en-US"/>
        </w:rPr>
        <w:t>Canada Supreme Court Reports</w:t>
      </w:r>
      <w:r w:rsidRPr="00A93CA5">
        <w:rPr>
          <w:rFonts w:cs="Times New Roman"/>
          <w:sz w:val="20"/>
          <w:szCs w:val="20"/>
          <w:lang w:val="en-US"/>
        </w:rPr>
        <w:t>.</w:t>
      </w:r>
    </w:p>
    <w:p w:rsidR="0077693C" w:rsidRPr="0077693C" w:rsidRDefault="0077693C" w:rsidP="0077693C">
      <w:pPr>
        <w:ind w:left="357"/>
        <w:jc w:val="both"/>
        <w:rPr>
          <w:rFonts w:cs="Times New Roman"/>
          <w:sz w:val="20"/>
          <w:szCs w:val="20"/>
          <w:lang w:val="en-US"/>
        </w:rPr>
      </w:pPr>
    </w:p>
    <w:p w:rsidR="0077693C" w:rsidRPr="0077693C" w:rsidRDefault="0077693C" w:rsidP="00A93CA5">
      <w:pPr>
        <w:widowControl w:val="0"/>
        <w:autoSpaceDE w:val="0"/>
        <w:autoSpaceDN w:val="0"/>
        <w:adjustRightInd w:val="0"/>
        <w:ind w:left="720"/>
        <w:rPr>
          <w:rFonts w:cs="Times New Roman"/>
          <w:sz w:val="20"/>
          <w:szCs w:val="20"/>
          <w:lang w:val="en-US"/>
        </w:rPr>
      </w:pPr>
      <w:r w:rsidRPr="0077693C">
        <w:rPr>
          <w:rFonts w:cs="Times New Roman"/>
          <w:sz w:val="20"/>
          <w:szCs w:val="20"/>
        </w:rPr>
        <w:t xml:space="preserve">44. (4)  </w:t>
      </w:r>
      <w:r w:rsidRPr="0077693C">
        <w:rPr>
          <w:rFonts w:cs="Times New Roman"/>
          <w:sz w:val="20"/>
          <w:szCs w:val="20"/>
          <w:lang w:val="en-US"/>
        </w:rPr>
        <w:t>In the case of all other reasons for judgment, the book of authorities shall contain</w:t>
      </w:r>
    </w:p>
    <w:p w:rsidR="0077693C" w:rsidRPr="0077693C" w:rsidRDefault="0077693C" w:rsidP="0077693C">
      <w:pPr>
        <w:widowControl w:val="0"/>
        <w:autoSpaceDE w:val="0"/>
        <w:autoSpaceDN w:val="0"/>
        <w:adjustRightInd w:val="0"/>
        <w:ind w:left="220" w:firstLine="357"/>
        <w:rPr>
          <w:rFonts w:cs="Times New Roman"/>
          <w:sz w:val="20"/>
          <w:szCs w:val="20"/>
          <w:lang w:val="en-US"/>
        </w:rPr>
      </w:pPr>
    </w:p>
    <w:p w:rsidR="0077693C" w:rsidRDefault="0077693C" w:rsidP="00A93CA5">
      <w:pPr>
        <w:widowControl w:val="0"/>
        <w:autoSpaceDE w:val="0"/>
        <w:autoSpaceDN w:val="0"/>
        <w:adjustRightInd w:val="0"/>
        <w:ind w:left="1080"/>
        <w:jc w:val="both"/>
        <w:rPr>
          <w:rFonts w:cs="Times New Roman"/>
          <w:sz w:val="20"/>
          <w:szCs w:val="20"/>
          <w:lang w:val="en-US"/>
        </w:rPr>
      </w:pPr>
      <w:r w:rsidRPr="0077693C">
        <w:rPr>
          <w:rFonts w:cs="Times New Roman"/>
          <w:sz w:val="20"/>
          <w:szCs w:val="20"/>
          <w:lang w:val="en-US"/>
        </w:rPr>
        <w:t>(</w:t>
      </w:r>
      <w:r w:rsidRPr="0077693C">
        <w:rPr>
          <w:rFonts w:cs="Times New Roman"/>
          <w:i/>
          <w:iCs/>
          <w:sz w:val="20"/>
          <w:szCs w:val="20"/>
          <w:lang w:val="en-US"/>
        </w:rPr>
        <w:t>a</w:t>
      </w:r>
      <w:r w:rsidRPr="0077693C">
        <w:rPr>
          <w:rFonts w:cs="Times New Roman"/>
          <w:sz w:val="20"/>
          <w:szCs w:val="20"/>
          <w:lang w:val="en-US"/>
        </w:rPr>
        <w:t>) if the reasons for judgment are available electronically, only the relevant excerpts including the paragraphs immediately preceding and following the relevant excerpts, the head note, if any, and the reference to the electronic database clearly marked on the page containing the excerpt; or</w:t>
      </w:r>
    </w:p>
    <w:p w:rsidR="00F47605" w:rsidRPr="0077693C" w:rsidRDefault="00F47605" w:rsidP="00F47605">
      <w:pPr>
        <w:widowControl w:val="0"/>
        <w:autoSpaceDE w:val="0"/>
        <w:autoSpaceDN w:val="0"/>
        <w:adjustRightInd w:val="0"/>
        <w:ind w:left="540"/>
        <w:jc w:val="both"/>
        <w:rPr>
          <w:rFonts w:cs="Times New Roman"/>
          <w:sz w:val="20"/>
          <w:szCs w:val="20"/>
          <w:lang w:val="en-US"/>
        </w:rPr>
      </w:pPr>
    </w:p>
    <w:p w:rsidR="0077693C" w:rsidRPr="0077693C" w:rsidRDefault="0077693C" w:rsidP="00A93CA5">
      <w:pPr>
        <w:ind w:left="1080"/>
        <w:jc w:val="both"/>
        <w:rPr>
          <w:rFonts w:cs="Times New Roman"/>
          <w:sz w:val="20"/>
          <w:szCs w:val="20"/>
        </w:rPr>
      </w:pPr>
      <w:r w:rsidRPr="0077693C">
        <w:rPr>
          <w:rFonts w:cs="Times New Roman"/>
          <w:sz w:val="20"/>
          <w:szCs w:val="20"/>
          <w:lang w:val="en-US"/>
        </w:rPr>
        <w:t>(</w:t>
      </w:r>
      <w:r w:rsidRPr="0077693C">
        <w:rPr>
          <w:rFonts w:cs="Times New Roman"/>
          <w:i/>
          <w:iCs/>
          <w:sz w:val="20"/>
          <w:szCs w:val="20"/>
          <w:lang w:val="en-US"/>
        </w:rPr>
        <w:t>b</w:t>
      </w:r>
      <w:r w:rsidRPr="0077693C">
        <w:rPr>
          <w:rFonts w:cs="Times New Roman"/>
          <w:sz w:val="20"/>
          <w:szCs w:val="20"/>
          <w:lang w:val="en-US"/>
        </w:rPr>
        <w:t>) if the reasons for judgment are not available electronically, the reasons for judgment in full.</w:t>
      </w:r>
    </w:p>
    <w:p w:rsidR="0077693C" w:rsidRPr="0077693C" w:rsidRDefault="0077693C" w:rsidP="0077693C">
      <w:pPr>
        <w:ind w:left="357"/>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Finally, it is noted that Robinson has not made any reduction in the bills of costs for the materials that were served on the intervener, Music Canada.  The Order granting the intervention specified that those costs were to be paid by Music Canada and Robinson must therefore recover them from the intervener. They should not be claimed in the bill of costs.</w:t>
      </w:r>
    </w:p>
    <w:p w:rsidR="0077693C" w:rsidRPr="0077693C" w:rsidRDefault="0077693C" w:rsidP="0077693C">
      <w:pPr>
        <w:ind w:left="432"/>
        <w:contextualSpacing/>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In result, Robinson’s bill of costs in file 34469 must be reduced in accordance with the above reasons to account for the excessive and unnecessary documents that were included in the record, the excessive reproduction of authorities, as well as for materials served on the intervener.  In my view, a reduction of two-thirds of the $165,373.41 claimed as disbursements in that file is reasonable in the circumstances.  A corresponding reduction in counsel fees claimed for the preparation of the first copy of the record and authorities (electronic and print) shall also be made.</w:t>
      </w:r>
    </w:p>
    <w:p w:rsidR="0077693C" w:rsidRPr="0077693C" w:rsidRDefault="0077693C" w:rsidP="0077693C">
      <w:pPr>
        <w:ind w:left="357"/>
        <w:jc w:val="both"/>
        <w:rPr>
          <w:rFonts w:cs="Times New Roman"/>
          <w:sz w:val="20"/>
          <w:szCs w:val="20"/>
        </w:rPr>
      </w:pPr>
    </w:p>
    <w:p w:rsidR="0077693C" w:rsidRPr="0077693C" w:rsidRDefault="0077693C" w:rsidP="0077693C">
      <w:pPr>
        <w:jc w:val="both"/>
        <w:rPr>
          <w:rFonts w:cs="Times New Roman"/>
          <w:b/>
          <w:sz w:val="20"/>
          <w:szCs w:val="20"/>
        </w:rPr>
      </w:pPr>
      <w:r w:rsidRPr="0077693C">
        <w:rPr>
          <w:rFonts w:cs="Times New Roman"/>
          <w:b/>
          <w:sz w:val="20"/>
          <w:szCs w:val="20"/>
        </w:rPr>
        <w:lastRenderedPageBreak/>
        <w:t>Conclusion:</w:t>
      </w:r>
    </w:p>
    <w:p w:rsidR="0077693C" w:rsidRPr="0077693C" w:rsidRDefault="0077693C" w:rsidP="0077693C">
      <w:pPr>
        <w:ind w:left="432"/>
        <w:contextualSpacing/>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Applying the reductions set out above, Robinson’s bills of costs shall be taxed as follows:</w:t>
      </w:r>
    </w:p>
    <w:p w:rsidR="0077693C" w:rsidRPr="0077693C" w:rsidRDefault="0077693C" w:rsidP="0077693C">
      <w:pPr>
        <w:jc w:val="both"/>
        <w:rPr>
          <w:rFonts w:cs="Times New Roman"/>
          <w:sz w:val="20"/>
          <w:szCs w:val="20"/>
        </w:rPr>
      </w:pP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34466: counsel fees $6067.80; disbursements $2690.89 (total $8758.69);</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34467: counsel fees $6100.20; disbursements $2756.93 (total $8857.13);</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34468: counsel fees $6084.00; disbursements $2693.04 (total $8777.04);</w:t>
      </w:r>
    </w:p>
    <w:p w:rsidR="0077693C" w:rsidRPr="0077693C" w:rsidRDefault="0077693C" w:rsidP="0077693C">
      <w:pPr>
        <w:numPr>
          <w:ilvl w:val="0"/>
          <w:numId w:val="8"/>
        </w:numPr>
        <w:contextualSpacing/>
        <w:jc w:val="both"/>
        <w:rPr>
          <w:rFonts w:cs="Times New Roman"/>
          <w:sz w:val="20"/>
          <w:szCs w:val="20"/>
        </w:rPr>
      </w:pPr>
      <w:r w:rsidRPr="0077693C">
        <w:rPr>
          <w:rFonts w:cs="Times New Roman"/>
          <w:sz w:val="20"/>
          <w:szCs w:val="20"/>
        </w:rPr>
        <w:t>File 34469: counsel fees $25,964.00; disbursements $55,124.47 (total $81,088.47).</w:t>
      </w:r>
    </w:p>
    <w:p w:rsidR="0077693C" w:rsidRPr="0077693C" w:rsidRDefault="0077693C" w:rsidP="0077693C">
      <w:pPr>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 xml:space="preserve">I note that while I have made substantial reductions in respect of the costs claimed in file 33669, the amounts taxed are still on the </w:t>
      </w:r>
      <w:r w:rsidRPr="0077693C">
        <w:rPr>
          <w:rFonts w:cs="Times New Roman"/>
          <w:sz w:val="20"/>
          <w:szCs w:val="20"/>
          <w:u w:val="single"/>
        </w:rPr>
        <w:t>very high end</w:t>
      </w:r>
      <w:r w:rsidRPr="0077693C">
        <w:rPr>
          <w:rFonts w:cs="Times New Roman"/>
          <w:sz w:val="20"/>
          <w:szCs w:val="20"/>
        </w:rPr>
        <w:t xml:space="preserve"> of what has been allowed in previous very complex cases where party and party costs have been awarded.</w:t>
      </w:r>
    </w:p>
    <w:p w:rsidR="0077693C" w:rsidRPr="0077693C" w:rsidRDefault="0077693C" w:rsidP="0077693C">
      <w:pPr>
        <w:ind w:left="432"/>
        <w:contextualSpacing/>
        <w:jc w:val="both"/>
        <w:rPr>
          <w:rFonts w:cs="Times New Roman"/>
          <w:sz w:val="20"/>
          <w:szCs w:val="20"/>
        </w:rPr>
      </w:pPr>
    </w:p>
    <w:p w:rsidR="0077693C" w:rsidRPr="0077693C" w:rsidRDefault="0077693C" w:rsidP="0077693C">
      <w:pPr>
        <w:numPr>
          <w:ilvl w:val="0"/>
          <w:numId w:val="10"/>
        </w:numPr>
        <w:contextualSpacing/>
        <w:jc w:val="both"/>
        <w:rPr>
          <w:rFonts w:cs="Times New Roman"/>
          <w:sz w:val="20"/>
          <w:szCs w:val="20"/>
        </w:rPr>
      </w:pPr>
      <w:r w:rsidRPr="0077693C">
        <w:rPr>
          <w:rFonts w:cs="Times New Roman"/>
          <w:sz w:val="20"/>
          <w:szCs w:val="20"/>
        </w:rPr>
        <w:t>In conclusion, I wish to thank counsel for their helpful submissions.</w:t>
      </w:r>
    </w:p>
    <w:p w:rsidR="00172F69" w:rsidRPr="0077693C" w:rsidRDefault="00172F69" w:rsidP="00831CA9">
      <w:pPr>
        <w:tabs>
          <w:tab w:val="left" w:pos="-1440"/>
          <w:tab w:val="left" w:pos="-720"/>
        </w:tabs>
        <w:jc w:val="both"/>
        <w:rPr>
          <w:sz w:val="20"/>
          <w:szCs w:val="20"/>
        </w:rPr>
      </w:pPr>
    </w:p>
    <w:p w:rsidR="002F3FE7" w:rsidRPr="0077693C" w:rsidRDefault="002F3FE7" w:rsidP="00831CA9">
      <w:pPr>
        <w:tabs>
          <w:tab w:val="left" w:pos="-1440"/>
          <w:tab w:val="left" w:pos="-720"/>
        </w:tabs>
        <w:jc w:val="both"/>
        <w:rPr>
          <w:sz w:val="20"/>
          <w:szCs w:val="20"/>
        </w:rPr>
      </w:pPr>
    </w:p>
    <w:p w:rsidR="002F3FE7" w:rsidRDefault="002F3FE7" w:rsidP="00831CA9">
      <w:pPr>
        <w:tabs>
          <w:tab w:val="left" w:pos="-1440"/>
          <w:tab w:val="left" w:pos="-720"/>
        </w:tabs>
        <w:jc w:val="both"/>
        <w:rPr>
          <w:sz w:val="20"/>
          <w:szCs w:val="20"/>
        </w:rPr>
      </w:pPr>
    </w:p>
    <w:p w:rsidR="0077693C" w:rsidRPr="00106AC6" w:rsidRDefault="0077693C" w:rsidP="0077693C">
      <w:pPr>
        <w:contextualSpacing/>
        <w:rPr>
          <w:sz w:val="20"/>
          <w:szCs w:val="20"/>
        </w:rPr>
      </w:pPr>
      <w:r w:rsidRPr="00106AC6">
        <w:rPr>
          <w:b/>
          <w:sz w:val="20"/>
          <w:szCs w:val="20"/>
        </w:rPr>
        <w:t>Les faits :</w:t>
      </w:r>
    </w:p>
    <w:p w:rsidR="0077693C" w:rsidRPr="00106AC6" w:rsidRDefault="0077693C" w:rsidP="0077693C">
      <w:pPr>
        <w:rPr>
          <w:sz w:val="20"/>
          <w:szCs w:val="20"/>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La Cour a rejeté les pourvois de Cinar Corporation et de nombreux autres appelants (collectivement appelés les « appelants Cinar ») dans les dossiers 34466, 34467 et 34468.  Elle a, en outre, accueilli en partie le pourvoi interjeté par Claude Robinson et Les Productions Nilem (collectivement appelés « Robinson ») dans le dossier 34469. La Cour a conclu que l’œuvre originale de M. Robinson était protégée par le droit d’auteur, un droit qui avait été violé, et elle a condamné les appelants Cinar au paiement de dommages-intérêts compensatoires et punitifs ainsi qu’à la restitution des profits. Les dépens entre parties devant toutes les cours ont été accordés à Robinson dans les quatre dossiers en plus du montant de 1 500 000 $ octroyé par le juge du procès à titre d’honoraires extrajudiciaires pour les procédures de première instance. </w:t>
      </w:r>
    </w:p>
    <w:p w:rsidR="0077693C" w:rsidRPr="00106AC6" w:rsidRDefault="0077693C" w:rsidP="0077693C">
      <w:pPr>
        <w:pStyle w:val="ListParagraph"/>
        <w:ind w:left="432"/>
        <w:rPr>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Dans les mémoires de frais taxés par Robinson auprès du registraire dans le cadre des procédures de taxation dont il est question dans les présentes, les dépens réclamés pour les procédures devant la Cour sont les suivants : </w:t>
      </w:r>
    </w:p>
    <w:p w:rsidR="0077693C" w:rsidRPr="00106AC6" w:rsidRDefault="0077693C" w:rsidP="0077693C">
      <w:pPr>
        <w:rPr>
          <w:sz w:val="20"/>
          <w:szCs w:val="20"/>
          <w:lang w:val="fr-CA"/>
        </w:rPr>
      </w:pPr>
    </w:p>
    <w:p w:rsidR="0077693C" w:rsidRPr="00106AC6" w:rsidRDefault="0077693C" w:rsidP="0077693C">
      <w:pPr>
        <w:pStyle w:val="ListParagraph"/>
        <w:numPr>
          <w:ilvl w:val="0"/>
          <w:numId w:val="8"/>
        </w:numPr>
        <w:jc w:val="both"/>
        <w:rPr>
          <w:sz w:val="20"/>
          <w:szCs w:val="20"/>
        </w:rPr>
      </w:pPr>
      <w:r w:rsidRPr="00106AC6">
        <w:rPr>
          <w:sz w:val="20"/>
          <w:szCs w:val="20"/>
        </w:rPr>
        <w:t>Dossier 34466 : honoraires 8134,65 $; débours 7155,71 $ (total 15 290,36 $);</w:t>
      </w:r>
    </w:p>
    <w:p w:rsidR="0077693C" w:rsidRPr="00106AC6" w:rsidRDefault="0077693C" w:rsidP="0077693C">
      <w:pPr>
        <w:pStyle w:val="ListParagraph"/>
        <w:numPr>
          <w:ilvl w:val="0"/>
          <w:numId w:val="8"/>
        </w:numPr>
        <w:jc w:val="both"/>
        <w:rPr>
          <w:sz w:val="20"/>
          <w:szCs w:val="20"/>
        </w:rPr>
      </w:pPr>
      <w:r w:rsidRPr="00106AC6">
        <w:rPr>
          <w:sz w:val="20"/>
          <w:szCs w:val="20"/>
        </w:rPr>
        <w:t>Dossier 34467 : honoraires 5067,45 $; débours 524,52 $ (total 5591,97 $);</w:t>
      </w:r>
    </w:p>
    <w:p w:rsidR="0077693C" w:rsidRPr="00106AC6" w:rsidRDefault="0077693C" w:rsidP="0077693C">
      <w:pPr>
        <w:pStyle w:val="ListParagraph"/>
        <w:numPr>
          <w:ilvl w:val="0"/>
          <w:numId w:val="8"/>
        </w:numPr>
        <w:jc w:val="both"/>
        <w:rPr>
          <w:sz w:val="20"/>
          <w:szCs w:val="20"/>
        </w:rPr>
      </w:pPr>
      <w:r w:rsidRPr="00106AC6">
        <w:rPr>
          <w:sz w:val="20"/>
          <w:szCs w:val="20"/>
        </w:rPr>
        <w:t>Dossier 34468 : honoraires 5051,25 $; débours 460,03 $ (total 5511,88 $);</w:t>
      </w:r>
    </w:p>
    <w:p w:rsidR="0077693C" w:rsidRPr="00106AC6" w:rsidRDefault="0077693C" w:rsidP="0077693C">
      <w:pPr>
        <w:pStyle w:val="ListParagraph"/>
        <w:numPr>
          <w:ilvl w:val="0"/>
          <w:numId w:val="8"/>
        </w:numPr>
        <w:rPr>
          <w:sz w:val="20"/>
          <w:szCs w:val="20"/>
        </w:rPr>
      </w:pPr>
      <w:r w:rsidRPr="00106AC6">
        <w:rPr>
          <w:sz w:val="20"/>
          <w:szCs w:val="20"/>
        </w:rPr>
        <w:t>Dossier 34469 : honoraires 66 610,10 $; débours 165 373,41 $ (total 231 983,51 $).</w:t>
      </w:r>
    </w:p>
    <w:p w:rsidR="0077693C" w:rsidRPr="00106AC6" w:rsidRDefault="0077693C" w:rsidP="0077693C">
      <w:pPr>
        <w:rPr>
          <w:sz w:val="20"/>
          <w:szCs w:val="20"/>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Cinar Corporation, contrairement aux autres appelants Cinar qui n’ont pas déposé de réponse, a contesté les mémoires de frais. Elle soulève deux objections de principe : 1) les dépens pour la reproduction des recueils de sources (dans leurs versions tant électronique que papier) utilisés pour les pourvois 34466, 34467 et 34468, mais réclamés au total par Robinson dans le mémoire de frais du dossier 34466 (dans lequel Cinar était appelante) devraient être répartis également entre les trois séries d’appelants des dossiers 34466, 34467 et 34468, puisque ces sources ont été déposées et utilisées par Robinson dans les trois pourvois; et 2) les 81 volumes du dossier des appelants déposés dans le dossier 34469 étaient excessifs et inutiles en grande partie pour la présentation du pourvoi devant la Cour. La somme de 154 620,03 $ de dépens réclamée titre de débours pour la préparation de ces volumes est donc déraisonnable et devrait être considérablement réduite.</w:t>
      </w:r>
    </w:p>
    <w:p w:rsidR="0077693C" w:rsidRPr="00106AC6" w:rsidRDefault="0077693C" w:rsidP="0077693C">
      <w:pPr>
        <w:rPr>
          <w:sz w:val="20"/>
          <w:szCs w:val="20"/>
          <w:lang w:val="fr-CA"/>
        </w:rPr>
      </w:pPr>
    </w:p>
    <w:p w:rsidR="0077693C" w:rsidRPr="00106AC6" w:rsidRDefault="0077693C" w:rsidP="0077693C">
      <w:pPr>
        <w:pStyle w:val="ListParagraph"/>
        <w:numPr>
          <w:ilvl w:val="0"/>
          <w:numId w:val="13"/>
        </w:numPr>
        <w:spacing w:after="200" w:line="276" w:lineRule="auto"/>
        <w:ind w:hanging="720"/>
        <w:rPr>
          <w:b/>
          <w:i/>
          <w:sz w:val="20"/>
          <w:szCs w:val="20"/>
          <w:lang w:val="fr-CA"/>
        </w:rPr>
      </w:pPr>
      <w:r w:rsidRPr="00106AC6">
        <w:rPr>
          <w:b/>
          <w:i/>
          <w:sz w:val="20"/>
          <w:szCs w:val="20"/>
          <w:lang w:val="fr-CA"/>
        </w:rPr>
        <w:t>Dépens réclamés dans le dossier 34466 pour la préparation et la reproduction du recueil de sources :</w:t>
      </w:r>
    </w:p>
    <w:p w:rsidR="0077693C" w:rsidRPr="00106AC6" w:rsidRDefault="0077693C" w:rsidP="0077693C">
      <w:pPr>
        <w:pStyle w:val="ListParagraph"/>
        <w:spacing w:after="200" w:line="276" w:lineRule="auto"/>
        <w:rPr>
          <w:b/>
          <w:i/>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Pour répondre à la contestation de Cinar, les avocats de Robinson justifient la décision d’avoir réclamé les frais de reproduction du recueil de sources uniquement dans le mémoire de frais du dossier 34466 en affirmant que, Cinar ayant adopté les arguments des appelants dans les dossiers 34467 et 34468, Robinson est justifié de lui réclamer ces dépens à elle seule. Je ne suis pas d’accord. L’ordonnance de la Cour n’étaie pas ce point de vue. Les sources dont il est question ont clairement été déposées par Robinson relativement aux trois dossiers, comme il est indiqué sur la couverture de chaque volume. En outre, selon l’ordonnance de la Cour, trois groupes distincts d’appelants </w:t>
      </w:r>
      <w:r w:rsidRPr="00106AC6">
        <w:rPr>
          <w:sz w:val="20"/>
          <w:szCs w:val="20"/>
          <w:lang w:val="fr-CA"/>
        </w:rPr>
        <w:lastRenderedPageBreak/>
        <w:t xml:space="preserve">dans ces pourvois sont responsables de payer les dépens à Robinson et Cinar n’est qu’un d’entre eux (dans le dossier 34466). Robinson ne plaide d’ailleurs pas autre chose. Il serait donc déraisonnable que Cinar soit tenue seule responsable de l’ensemble des dépens relatifs à la reproduction du recueil de sources utilisées dans les trois dossiers.  </w:t>
      </w:r>
    </w:p>
    <w:p w:rsidR="0077693C" w:rsidRPr="00106AC6" w:rsidRDefault="0077693C" w:rsidP="0077693C">
      <w:pPr>
        <w:pStyle w:val="ListParagraph"/>
        <w:ind w:left="432"/>
        <w:rPr>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En conséquence, les dépens de 6 697,23 $ réclamés au titre de la reproduction seront retranchés du mémoire de frais du dossier 34466 et répartis également entre les mémoires de frais des dossiers 34466, 34467 et 34468. Pour les mêmes raisons, il en ira de même des dépens au titre d’honoraires pour la préparation de la première copie du recueil de sources réclamés en vertu de l’al. 3</w:t>
      </w:r>
      <w:r w:rsidRPr="00106AC6">
        <w:rPr>
          <w:i/>
          <w:sz w:val="20"/>
          <w:szCs w:val="20"/>
          <w:lang w:val="fr-CA"/>
        </w:rPr>
        <w:t>c</w:t>
      </w:r>
      <w:r w:rsidRPr="00106AC6">
        <w:rPr>
          <w:sz w:val="20"/>
          <w:szCs w:val="20"/>
          <w:lang w:val="fr-CA"/>
        </w:rPr>
        <w:t xml:space="preserve">) part. 1, ann. B des </w:t>
      </w:r>
      <w:r w:rsidRPr="00106AC6">
        <w:rPr>
          <w:i/>
          <w:sz w:val="20"/>
          <w:szCs w:val="20"/>
          <w:lang w:val="fr-CA"/>
        </w:rPr>
        <w:t>Règles de la Cour suprême du Canada</w:t>
      </w:r>
      <w:r w:rsidRPr="00106AC6">
        <w:rPr>
          <w:sz w:val="20"/>
          <w:szCs w:val="20"/>
          <w:lang w:val="fr-CA"/>
        </w:rPr>
        <w:t>, DORS/2002-156, tel que modifié.</w:t>
      </w:r>
    </w:p>
    <w:p w:rsidR="0077693C" w:rsidRPr="00106AC6" w:rsidRDefault="0077693C" w:rsidP="0077693C">
      <w:pPr>
        <w:rPr>
          <w:sz w:val="20"/>
          <w:szCs w:val="20"/>
          <w:lang w:val="fr-CA"/>
        </w:rPr>
      </w:pPr>
    </w:p>
    <w:p w:rsidR="0077693C" w:rsidRPr="00106AC6" w:rsidRDefault="0077693C" w:rsidP="0077693C">
      <w:pPr>
        <w:pStyle w:val="ListParagraph"/>
        <w:numPr>
          <w:ilvl w:val="0"/>
          <w:numId w:val="13"/>
        </w:numPr>
        <w:spacing w:after="200" w:line="276" w:lineRule="auto"/>
        <w:ind w:hanging="720"/>
        <w:rPr>
          <w:b/>
          <w:i/>
          <w:sz w:val="20"/>
          <w:szCs w:val="20"/>
          <w:lang w:val="fr-CA"/>
        </w:rPr>
      </w:pPr>
      <w:r w:rsidRPr="00106AC6">
        <w:rPr>
          <w:b/>
          <w:i/>
          <w:sz w:val="20"/>
          <w:szCs w:val="20"/>
          <w:lang w:val="fr-CA"/>
        </w:rPr>
        <w:t>Dépens réclamés pour le dossier des appelants dans le dossier 34469 :</w:t>
      </w:r>
    </w:p>
    <w:p w:rsidR="0077693C" w:rsidRPr="00106AC6" w:rsidRDefault="0077693C" w:rsidP="0077693C">
      <w:pPr>
        <w:pStyle w:val="ListParagraph"/>
        <w:spacing w:after="200" w:line="276" w:lineRule="auto"/>
        <w:rPr>
          <w:b/>
          <w:i/>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Un grand nombre de documents ont été déposés tant par les appelants que par les intimés dans ces quatre dossiers qui ont été entendus par la Cour comme essentiellement deux dossiers (34466/34467/34468; et 34469). Dans les trois premières de ces affaires, le dossier des appelants Cinar comprenait 50 volumes. Dans la quatrième de ces affaires, le dossier de l’appelant déposé par Robinson comprenait 81 volumes, soit quelque 34 315 pages dont des milliers reproduisaient des pièces en couleur à un coût plus élevé; l’index de ce dossier à lui seul faisait 161 pages. L’examen des index de ces deux dossiers révèle que tous les documents figurant dans les 50 volumes du dossier des appelants Cinar (dans les dossiers 34466, 34467 et 34468) ont également été reproduits dans le dossier de Robinson (dans le dossier 34469). De plus, dans les dossiers 34466, 34467 et 34468, les appelants Cinar ont déposé 6 volumes (soit 2 424 pages) de sources, en plus de cinq autres volumes de sources (soit 1970 pages) dans le dossier 34469. Pour sa part, Robinson a déposé 5 volumes de sources (soit 2 296 pages) dans les dossiers 34466, 34467 et 34468 et 7 volumes (soit 2 635 pages) dans le dossier 34469. </w:t>
      </w:r>
    </w:p>
    <w:p w:rsidR="0077693C" w:rsidRPr="00106AC6" w:rsidRDefault="0077693C" w:rsidP="0077693C">
      <w:pPr>
        <w:pStyle w:val="ListParagraph"/>
        <w:ind w:left="432"/>
        <w:rPr>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Lorsqu’elles ont déposé leurs dossiers, les parties étaient toutes tenues de se conformer aux </w:t>
      </w:r>
      <w:r w:rsidRPr="00106AC6">
        <w:rPr>
          <w:i/>
          <w:sz w:val="20"/>
          <w:szCs w:val="20"/>
          <w:lang w:val="fr-CA"/>
        </w:rPr>
        <w:t>Règles de la Cour</w:t>
      </w:r>
      <w:r w:rsidRPr="00106AC6">
        <w:rPr>
          <w:sz w:val="20"/>
          <w:szCs w:val="20"/>
          <w:lang w:val="fr-CA"/>
        </w:rPr>
        <w:t xml:space="preserve">. Or, le par. 38(2) de ces </w:t>
      </w:r>
      <w:r w:rsidRPr="00106AC6">
        <w:rPr>
          <w:i/>
          <w:sz w:val="20"/>
          <w:szCs w:val="20"/>
          <w:lang w:val="fr-CA"/>
        </w:rPr>
        <w:t>Règles</w:t>
      </w:r>
      <w:r w:rsidRPr="00106AC6">
        <w:rPr>
          <w:sz w:val="20"/>
          <w:szCs w:val="20"/>
          <w:lang w:val="fr-CA"/>
        </w:rPr>
        <w:t xml:space="preserve"> prévoit que le dossier de l’appelant « ne comport[e] que les documents nécessaires à l’examen des questions soumises à la Cour », tandis que leur par. 39(2) prévoit que le dossier de l’intimé « ne comporte que les documents qui ne sont pas déjà inclus dans celui de l’appelant et qui sont nécessaires à l’examen des questions soumises à la Cour ». Les parties doivent également se conformer à l’obligation reconnue de « </w:t>
      </w:r>
      <w:r w:rsidRPr="00106AC6">
        <w:rPr>
          <w:sz w:val="20"/>
          <w:szCs w:val="20"/>
          <w:lang w:val="fr-FR"/>
        </w:rPr>
        <w:t>minimiser les frais dans toute la mesure du possible </w:t>
      </w:r>
      <w:r w:rsidRPr="00106AC6">
        <w:rPr>
          <w:sz w:val="20"/>
          <w:szCs w:val="20"/>
          <w:lang w:val="fr-CA"/>
        </w:rPr>
        <w:t xml:space="preserve">» : </w:t>
      </w:r>
      <w:r w:rsidRPr="00106AC6">
        <w:rPr>
          <w:i/>
          <w:sz w:val="20"/>
          <w:szCs w:val="20"/>
          <w:lang w:val="fr-CA"/>
        </w:rPr>
        <w:t>Pétroles Therrien Inc. c. 156036 Canada Inc.</w:t>
      </w:r>
      <w:r w:rsidRPr="00106AC6">
        <w:rPr>
          <w:sz w:val="20"/>
          <w:szCs w:val="20"/>
          <w:lang w:val="fr-CA"/>
        </w:rPr>
        <w:t xml:space="preserve"> (décision sur la taxation des dépens datée du 16 mars 2000; dossier n</w:t>
      </w:r>
      <w:r w:rsidRPr="00106AC6">
        <w:rPr>
          <w:sz w:val="20"/>
          <w:szCs w:val="20"/>
          <w:vertAlign w:val="superscript"/>
          <w:lang w:val="fr-CA"/>
        </w:rPr>
        <w:t>o</w:t>
      </w:r>
      <w:r w:rsidRPr="00106AC6">
        <w:rPr>
          <w:sz w:val="20"/>
          <w:szCs w:val="20"/>
          <w:lang w:val="fr-CA"/>
        </w:rPr>
        <w:t xml:space="preserve"> 27158); voir aussi, </w:t>
      </w:r>
      <w:r w:rsidRPr="00106AC6">
        <w:rPr>
          <w:i/>
          <w:sz w:val="20"/>
          <w:szCs w:val="20"/>
          <w:lang w:val="fr-CA"/>
        </w:rPr>
        <w:t>Richard c. Time Inc.</w:t>
      </w:r>
      <w:r w:rsidRPr="00106AC6">
        <w:rPr>
          <w:sz w:val="20"/>
          <w:szCs w:val="20"/>
          <w:lang w:val="fr-CA"/>
        </w:rPr>
        <w:t xml:space="preserve"> (décision sur la taxation des dépens datée du 6 juin 2013; dossier n</w:t>
      </w:r>
      <w:r w:rsidRPr="00106AC6">
        <w:rPr>
          <w:sz w:val="20"/>
          <w:szCs w:val="20"/>
          <w:vertAlign w:val="superscript"/>
          <w:lang w:val="fr-CA"/>
        </w:rPr>
        <w:t>o</w:t>
      </w:r>
      <w:r w:rsidRPr="00106AC6">
        <w:rPr>
          <w:sz w:val="20"/>
          <w:szCs w:val="20"/>
          <w:lang w:val="fr-CA"/>
        </w:rPr>
        <w:t xml:space="preserve"> 33554).     </w:t>
      </w:r>
    </w:p>
    <w:p w:rsidR="0077693C" w:rsidRPr="00106AC6" w:rsidRDefault="0077693C" w:rsidP="0077693C">
      <w:pPr>
        <w:rPr>
          <w:sz w:val="20"/>
          <w:szCs w:val="20"/>
          <w:lang w:val="fr-CA"/>
        </w:rPr>
      </w:pPr>
    </w:p>
    <w:p w:rsidR="0077693C" w:rsidRPr="00106AC6" w:rsidRDefault="0077693C" w:rsidP="0077693C">
      <w:pPr>
        <w:pStyle w:val="ListParagraph"/>
        <w:numPr>
          <w:ilvl w:val="0"/>
          <w:numId w:val="12"/>
        </w:numPr>
        <w:jc w:val="both"/>
        <w:rPr>
          <w:sz w:val="20"/>
          <w:szCs w:val="20"/>
          <w:u w:val="single"/>
          <w:lang w:val="fr-CA"/>
        </w:rPr>
      </w:pPr>
      <w:r w:rsidRPr="00106AC6">
        <w:rPr>
          <w:sz w:val="20"/>
          <w:szCs w:val="20"/>
          <w:lang w:val="fr-CA"/>
        </w:rPr>
        <w:t xml:space="preserve">Dans les pourvois particuliers dont il est question dans les présentes, les appelants avaient tous dû déposer leur dossier simultanément de sorte qu’aucune partie n’a pu avoir connaissance au préalable de ce que les autres allaient inclure dans leurs dossiers. Quoi qu’il en soit, dans ces circonstances, pour satisfaire à l’obligation de minimiser les dépens du litige, j’estime que les avocats auraient dû se consulter pour assurer, à tout le moins, qu’il n’y aurait pas de </w:t>
      </w:r>
      <w:r w:rsidRPr="00106AC6">
        <w:rPr>
          <w:sz w:val="20"/>
          <w:szCs w:val="20"/>
          <w:u w:val="single"/>
          <w:lang w:val="fr-CA"/>
        </w:rPr>
        <w:t>duplication importante</w:t>
      </w:r>
      <w:r w:rsidRPr="00106AC6">
        <w:rPr>
          <w:sz w:val="20"/>
          <w:szCs w:val="20"/>
          <w:lang w:val="fr-CA"/>
        </w:rPr>
        <w:t xml:space="preserve"> dans les documents déposés; surtout dans un cas, comme celui qui nous occupe, où un nombre de documents particulièrement élevé avait été déposé auprès des tribunaux d’instances inférieures et était susceptible d’être déposé auprès de la Cour. Ils ne se sont manifestement pas consultés. Ainsi, des 131 volumes des deux dossiers déposés dans les présents pourvois, 50 contenaient des duplicata de documents dont la reproduction a constitué une dépense élevée et inutile.</w:t>
      </w:r>
    </w:p>
    <w:p w:rsidR="0077693C" w:rsidRPr="00106AC6" w:rsidRDefault="0077693C" w:rsidP="0077693C">
      <w:pPr>
        <w:rPr>
          <w:sz w:val="20"/>
          <w:szCs w:val="20"/>
          <w:u w:val="single"/>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En outre, l’examen du contenu du dossier de Robinson révèle que de nombreux documents n’étaient pas nécessaires pour que la Cour tranche les questions soulevées dans les pourvois. Par exemple, les copies de </w:t>
      </w:r>
      <w:r w:rsidRPr="00106AC6">
        <w:rPr>
          <w:sz w:val="20"/>
          <w:szCs w:val="20"/>
          <w:u w:val="single"/>
          <w:lang w:val="fr-CA"/>
        </w:rPr>
        <w:t>tous</w:t>
      </w:r>
      <w:r w:rsidRPr="00106AC6">
        <w:rPr>
          <w:sz w:val="20"/>
          <w:szCs w:val="20"/>
          <w:lang w:val="fr-CA"/>
        </w:rPr>
        <w:t xml:space="preserve"> les éléments de preuve déposés au procès, la transcription de plus de 50 jours de témoignages, ou encore les dossiers relatifs à un grand nombre de requêtes portant sur des questions sans pertinence devant la Cour étaient totalement inutiles et n’auraient pas dû être inclus. Les milliers de documents reproduits en couleur pour un coût additionnel de 7 000 $ n’étaient pas nécessaires non plus pour présenter la cause adéquatement. Les présents pourvois, même s’ils posaient certaines questions </w:t>
      </w:r>
      <w:r w:rsidRPr="00106AC6">
        <w:rPr>
          <w:sz w:val="20"/>
          <w:szCs w:val="20"/>
          <w:u w:val="single"/>
          <w:lang w:val="fr-CA"/>
        </w:rPr>
        <w:t>juridiques</w:t>
      </w:r>
      <w:r w:rsidRPr="00106AC6">
        <w:rPr>
          <w:sz w:val="20"/>
          <w:szCs w:val="20"/>
          <w:lang w:val="fr-CA"/>
        </w:rPr>
        <w:t xml:space="preserve"> complexes, n’étaient pas, </w:t>
      </w:r>
      <w:r w:rsidRPr="00106AC6">
        <w:rPr>
          <w:sz w:val="20"/>
          <w:szCs w:val="20"/>
          <w:u w:val="single"/>
          <w:lang w:val="fr-CA"/>
        </w:rPr>
        <w:t>devant la Cour,</w:t>
      </w:r>
      <w:r w:rsidRPr="00106AC6">
        <w:rPr>
          <w:sz w:val="20"/>
          <w:szCs w:val="20"/>
          <w:lang w:val="fr-CA"/>
        </w:rPr>
        <w:t xml:space="preserve"> </w:t>
      </w:r>
      <w:r w:rsidRPr="00106AC6">
        <w:rPr>
          <w:sz w:val="20"/>
          <w:szCs w:val="20"/>
          <w:u w:val="single"/>
          <w:lang w:val="fr-CA"/>
        </w:rPr>
        <w:t xml:space="preserve">compliqués sur le plan des faits </w:t>
      </w:r>
      <w:r w:rsidRPr="00106AC6">
        <w:rPr>
          <w:sz w:val="20"/>
          <w:szCs w:val="20"/>
          <w:lang w:val="fr-CA"/>
        </w:rPr>
        <w:t xml:space="preserve">au point où il était justifié que </w:t>
      </w:r>
      <w:r w:rsidRPr="00106AC6">
        <w:rPr>
          <w:sz w:val="20"/>
          <w:szCs w:val="20"/>
          <w:u w:val="single"/>
          <w:lang w:val="fr-CA"/>
        </w:rPr>
        <w:t>toutes les parties</w:t>
      </w:r>
      <w:r w:rsidRPr="00106AC6">
        <w:rPr>
          <w:sz w:val="20"/>
          <w:szCs w:val="20"/>
          <w:lang w:val="fr-CA"/>
        </w:rPr>
        <w:t xml:space="preserve"> déposent un tel volume de documents de cette nature. </w:t>
      </w:r>
    </w:p>
    <w:p w:rsidR="0077693C" w:rsidRPr="00106AC6" w:rsidRDefault="0077693C" w:rsidP="0077693C">
      <w:pPr>
        <w:rPr>
          <w:sz w:val="20"/>
          <w:szCs w:val="20"/>
          <w:lang w:val="fr-CA"/>
        </w:rPr>
      </w:pPr>
    </w:p>
    <w:p w:rsidR="0077693C" w:rsidRPr="00106AC6" w:rsidRDefault="0077693C" w:rsidP="0077693C">
      <w:pPr>
        <w:pStyle w:val="ListParagraph"/>
        <w:numPr>
          <w:ilvl w:val="0"/>
          <w:numId w:val="12"/>
        </w:numPr>
        <w:jc w:val="both"/>
        <w:rPr>
          <w:sz w:val="20"/>
          <w:szCs w:val="20"/>
          <w:lang w:val="fr-CA"/>
        </w:rPr>
      </w:pPr>
      <w:r w:rsidRPr="00106AC6">
        <w:rPr>
          <w:sz w:val="20"/>
          <w:szCs w:val="20"/>
          <w:lang w:val="fr-CA"/>
        </w:rPr>
        <w:t xml:space="preserve">Il est pertinent de citer ici l’extrait suivant des motifs du juge Gonthier quant à l’examen de la décision sur la taxation par le registraire dans </w:t>
      </w:r>
      <w:r w:rsidRPr="00106AC6">
        <w:rPr>
          <w:i/>
          <w:sz w:val="20"/>
          <w:szCs w:val="20"/>
          <w:lang w:val="fr-CA"/>
        </w:rPr>
        <w:t>Apotex Inc. c. Bayer Aktiengesellschaft</w:t>
      </w:r>
      <w:r w:rsidRPr="00106AC6">
        <w:rPr>
          <w:sz w:val="20"/>
          <w:szCs w:val="20"/>
          <w:lang w:val="fr-CA"/>
        </w:rPr>
        <w:t xml:space="preserve">, [1999] 3 R.C.S. 857, par. 10 :  </w:t>
      </w:r>
    </w:p>
    <w:p w:rsidR="0077693C" w:rsidRPr="00106AC6" w:rsidRDefault="0077693C" w:rsidP="0077693C">
      <w:pPr>
        <w:pStyle w:val="ListParagraph"/>
        <w:jc w:val="both"/>
        <w:rPr>
          <w:sz w:val="20"/>
          <w:szCs w:val="20"/>
          <w:lang w:val="fr-CA"/>
        </w:rPr>
      </w:pPr>
    </w:p>
    <w:p w:rsidR="0077693C" w:rsidRPr="00106AC6" w:rsidRDefault="0077693C" w:rsidP="0077693C">
      <w:pPr>
        <w:pStyle w:val="ListParagraph"/>
        <w:jc w:val="both"/>
        <w:rPr>
          <w:sz w:val="20"/>
          <w:szCs w:val="20"/>
        </w:rPr>
      </w:pPr>
      <w:r w:rsidRPr="00106AC6">
        <w:rPr>
          <w:sz w:val="20"/>
          <w:szCs w:val="20"/>
          <w:lang w:val="fr-CA"/>
        </w:rPr>
        <w:t xml:space="preserve">Le registraire a, dans le passé, pris soin de n’admettre que les dépenses absolument nécessaires au déroulement de l’instance devant notre Cour.  Par exemple, lorsque des parties déposent trop de documents dans un dossier relatif à une demande, sans s’y référer par la suite, elles ne peuvent pas réclamer ces frais de photocopie excédentaires :  </w:t>
      </w:r>
      <w:r w:rsidRPr="00106AC6">
        <w:rPr>
          <w:i/>
          <w:sz w:val="20"/>
          <w:szCs w:val="20"/>
          <w:lang w:val="fr-CA"/>
        </w:rPr>
        <w:t>Coopérative de commerce « Des Mille-Îles » c. Société des alcools du Québec</w:t>
      </w:r>
      <w:r w:rsidRPr="00106AC6">
        <w:rPr>
          <w:sz w:val="20"/>
          <w:szCs w:val="20"/>
          <w:lang w:val="fr-CA"/>
        </w:rPr>
        <w:t xml:space="preserve">, C.S.C., no 25703, 27 octobre 1997.  Voir également </w:t>
      </w:r>
      <w:r w:rsidRPr="00106AC6">
        <w:rPr>
          <w:i/>
          <w:sz w:val="20"/>
          <w:szCs w:val="20"/>
          <w:lang w:val="fr-CA"/>
        </w:rPr>
        <w:t>Jaremko c. Metropolitan Toronto Condominium Corp. No. 875</w:t>
      </w:r>
      <w:r w:rsidRPr="00106AC6">
        <w:rPr>
          <w:sz w:val="20"/>
          <w:szCs w:val="20"/>
          <w:lang w:val="fr-CA"/>
        </w:rPr>
        <w:t xml:space="preserve">, C.S.C., no  26714, 8 juin 1999 (publié dans le Bulletin des procédures de la Cour suprême du Canada,1999, à la p. 995).  </w:t>
      </w:r>
      <w:r w:rsidRPr="00106AC6">
        <w:rPr>
          <w:sz w:val="20"/>
          <w:szCs w:val="20"/>
          <w:u w:val="single"/>
          <w:lang w:val="fr-CA"/>
        </w:rPr>
        <w:t>Lorsqu’on ne peut pas démontrer au registraire que la dépense engagée était nécessaire à la présentation de la cause, cette dépense ne peut pas être réclamée dans un mémoire de frais</w:t>
      </w:r>
      <w:r w:rsidRPr="00106AC6">
        <w:rPr>
          <w:sz w:val="20"/>
          <w:szCs w:val="20"/>
          <w:lang w:val="fr-CA"/>
        </w:rPr>
        <w:t xml:space="preserve">. </w:t>
      </w:r>
      <w:r w:rsidRPr="00106AC6">
        <w:rPr>
          <w:sz w:val="20"/>
          <w:szCs w:val="20"/>
        </w:rPr>
        <w:t xml:space="preserve">[Je souligne.]   </w:t>
      </w:r>
    </w:p>
    <w:p w:rsidR="0077693C" w:rsidRPr="00106AC6" w:rsidRDefault="0077693C" w:rsidP="0077693C">
      <w:pPr>
        <w:rPr>
          <w:sz w:val="20"/>
          <w:szCs w:val="20"/>
        </w:rPr>
      </w:pPr>
    </w:p>
    <w:p w:rsidR="0077693C" w:rsidRPr="00106AC6" w:rsidRDefault="0077693C" w:rsidP="00936CA4">
      <w:pPr>
        <w:pStyle w:val="ListParagraph"/>
        <w:numPr>
          <w:ilvl w:val="0"/>
          <w:numId w:val="13"/>
        </w:numPr>
        <w:spacing w:after="200" w:line="276" w:lineRule="auto"/>
        <w:ind w:hanging="720"/>
        <w:jc w:val="both"/>
        <w:rPr>
          <w:b/>
          <w:i/>
          <w:sz w:val="20"/>
          <w:szCs w:val="20"/>
          <w:lang w:val="fr-CA"/>
        </w:rPr>
      </w:pPr>
      <w:r w:rsidRPr="00106AC6">
        <w:rPr>
          <w:b/>
          <w:i/>
          <w:sz w:val="20"/>
          <w:szCs w:val="20"/>
          <w:lang w:val="fr-CA"/>
        </w:rPr>
        <w:t>Dépens réclamés dans le dossier 34469 pour les recueils de sources de même que pour les documents signifiés à une intervenante :</w:t>
      </w:r>
    </w:p>
    <w:p w:rsidR="0077693C" w:rsidRPr="00106AC6" w:rsidRDefault="0077693C" w:rsidP="00936CA4">
      <w:pPr>
        <w:pStyle w:val="ListParagraph"/>
        <w:spacing w:after="200" w:line="276" w:lineRule="auto"/>
        <w:jc w:val="both"/>
        <w:rPr>
          <w:b/>
          <w:i/>
          <w:sz w:val="20"/>
          <w:szCs w:val="20"/>
          <w:lang w:val="fr-CA"/>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t xml:space="preserve">Les recueils de sources déposés dans le dossier 34469 comportaient pour leur part, très souvent, beaucoup plus que les extraits des causes sur lesquelles se sont fondées les parties, ce qui a entraîné la reproduction inutile de centaines de pages. Il faut donc refuser les dépens réclamés à cet égard. La reproduction excessive est incompatible avec l’obligation de minimiser les dépens du litige : </w:t>
      </w:r>
      <w:r w:rsidRPr="00106AC6">
        <w:rPr>
          <w:i/>
          <w:sz w:val="20"/>
          <w:szCs w:val="20"/>
          <w:lang w:val="fr-CA"/>
        </w:rPr>
        <w:t>James-Assiniboia Teachers’ Association of the Manitoba Teachers’ Society c. St. James-Assiniboia School Division</w:t>
      </w:r>
      <w:r w:rsidRPr="00106AC6">
        <w:rPr>
          <w:sz w:val="20"/>
          <w:szCs w:val="20"/>
          <w:lang w:val="fr-CA"/>
        </w:rPr>
        <w:t xml:space="preserve"> (décision sur la taxation datée du 24 juillet 2003; dossier n</w:t>
      </w:r>
      <w:r w:rsidRPr="00106AC6">
        <w:rPr>
          <w:sz w:val="20"/>
          <w:szCs w:val="20"/>
          <w:vertAlign w:val="superscript"/>
          <w:lang w:val="fr-CA"/>
        </w:rPr>
        <w:t>o</w:t>
      </w:r>
      <w:r w:rsidRPr="00106AC6">
        <w:rPr>
          <w:sz w:val="20"/>
          <w:szCs w:val="20"/>
          <w:lang w:val="fr-CA"/>
        </w:rPr>
        <w:t xml:space="preserve"> 29581). Elle contrevient aussi aux par. 44(3) et (4) des </w:t>
      </w:r>
      <w:r w:rsidRPr="00106AC6">
        <w:rPr>
          <w:i/>
          <w:sz w:val="20"/>
          <w:szCs w:val="20"/>
          <w:lang w:val="fr-CA"/>
        </w:rPr>
        <w:t>Règles</w:t>
      </w:r>
      <w:r w:rsidRPr="00106AC6">
        <w:rPr>
          <w:sz w:val="20"/>
          <w:szCs w:val="20"/>
          <w:lang w:val="fr-CA"/>
        </w:rPr>
        <w:t xml:space="preserve"> qui prévoient que :</w:t>
      </w:r>
    </w:p>
    <w:p w:rsidR="0077693C" w:rsidRPr="00106AC6" w:rsidRDefault="0077693C" w:rsidP="00936CA4">
      <w:pPr>
        <w:pStyle w:val="ListParagraph"/>
        <w:ind w:left="432"/>
        <w:jc w:val="both"/>
        <w:rPr>
          <w:sz w:val="20"/>
          <w:szCs w:val="20"/>
          <w:lang w:val="fr-CA"/>
        </w:rPr>
      </w:pPr>
    </w:p>
    <w:p w:rsidR="0077693C" w:rsidRPr="00106AC6" w:rsidRDefault="0077693C" w:rsidP="00A93CA5">
      <w:pPr>
        <w:pStyle w:val="subsection"/>
        <w:spacing w:before="0"/>
        <w:ind w:left="720" w:firstLine="0"/>
        <w:jc w:val="both"/>
        <w:rPr>
          <w:sz w:val="20"/>
          <w:szCs w:val="20"/>
          <w:lang w:val="fr-FR"/>
        </w:rPr>
      </w:pPr>
      <w:r w:rsidRPr="00106AC6">
        <w:rPr>
          <w:sz w:val="20"/>
          <w:szCs w:val="20"/>
          <w:lang w:val="fr-CA"/>
        </w:rPr>
        <w:t>44</w:t>
      </w:r>
      <w:r w:rsidRPr="00106AC6">
        <w:rPr>
          <w:sz w:val="20"/>
          <w:szCs w:val="20"/>
          <w:lang w:val="fr-FR"/>
        </w:rPr>
        <w:t xml:space="preserve"> (3) Dans le cas des motifs de jugements de la Cour, le recueil de sources ne comporte que les extraits pertinents du </w:t>
      </w:r>
      <w:r w:rsidRPr="00106AC6">
        <w:rPr>
          <w:rStyle w:val="Emphasis"/>
          <w:sz w:val="20"/>
          <w:szCs w:val="20"/>
          <w:lang w:val="fr-FR"/>
        </w:rPr>
        <w:t>Recueil des arrêts de la Cour suprême du Canada</w:t>
      </w:r>
      <w:r w:rsidRPr="00106AC6">
        <w:rPr>
          <w:sz w:val="20"/>
          <w:szCs w:val="20"/>
          <w:lang w:val="fr-FR"/>
        </w:rPr>
        <w:t xml:space="preserve"> ou d’une base de données électroniques s’il s’agit de motifs rendus après 1994 dont la numérotation des paragraphes est conforme à celle du </w:t>
      </w:r>
      <w:r w:rsidRPr="00106AC6">
        <w:rPr>
          <w:rStyle w:val="Emphasis"/>
          <w:sz w:val="20"/>
          <w:szCs w:val="20"/>
          <w:lang w:val="fr-FR"/>
        </w:rPr>
        <w:t>Recueil des arrêts de la Cour suprême du Canada</w:t>
      </w:r>
      <w:r w:rsidRPr="00106AC6">
        <w:rPr>
          <w:sz w:val="20"/>
          <w:szCs w:val="20"/>
          <w:lang w:val="fr-FR"/>
        </w:rPr>
        <w:t>.</w:t>
      </w:r>
    </w:p>
    <w:p w:rsidR="0077693C" w:rsidRPr="00106AC6" w:rsidRDefault="0077693C" w:rsidP="00A93CA5">
      <w:pPr>
        <w:pStyle w:val="subsection"/>
        <w:ind w:left="720" w:firstLine="0"/>
        <w:jc w:val="both"/>
        <w:rPr>
          <w:sz w:val="20"/>
          <w:szCs w:val="20"/>
          <w:lang w:val="fr-FR"/>
        </w:rPr>
      </w:pPr>
      <w:r w:rsidRPr="00106AC6">
        <w:rPr>
          <w:sz w:val="20"/>
          <w:szCs w:val="20"/>
          <w:lang w:val="fr-FR"/>
        </w:rPr>
        <w:t>44 (4) Dans le cas des autres motifs de jugements, le recueil de sources comporte les éléments suivants :</w:t>
      </w:r>
    </w:p>
    <w:p w:rsidR="0077693C" w:rsidRPr="00106AC6" w:rsidRDefault="0077693C" w:rsidP="00A93CA5">
      <w:pPr>
        <w:pStyle w:val="paragraph"/>
        <w:ind w:left="1080"/>
        <w:jc w:val="both"/>
        <w:rPr>
          <w:sz w:val="20"/>
          <w:szCs w:val="20"/>
          <w:lang w:val="fr-FR"/>
        </w:rPr>
      </w:pPr>
      <w:r w:rsidRPr="00106AC6">
        <w:rPr>
          <w:rStyle w:val="Emphasis"/>
          <w:sz w:val="20"/>
          <w:szCs w:val="20"/>
          <w:lang w:val="fr-FR"/>
        </w:rPr>
        <w:t>a</w:t>
      </w:r>
      <w:r w:rsidRPr="00106AC6">
        <w:rPr>
          <w:sz w:val="20"/>
          <w:szCs w:val="20"/>
          <w:lang w:val="fr-FR"/>
        </w:rPr>
        <w:t>) les extraits pertinents des motifs disponibles sous forme électronique, y compris les paragraphes précédant et suivant immédiatement l’extrait, le sommaire, le cas échéant, et une référence claire à la base de données sur chacune des pages des extraits;</w:t>
      </w:r>
    </w:p>
    <w:p w:rsidR="0077693C" w:rsidRPr="00106AC6" w:rsidRDefault="0077693C" w:rsidP="00A93CA5">
      <w:pPr>
        <w:pStyle w:val="paragraph"/>
        <w:ind w:left="1080"/>
        <w:jc w:val="both"/>
        <w:rPr>
          <w:sz w:val="20"/>
          <w:szCs w:val="20"/>
          <w:lang w:val="fr-FR"/>
        </w:rPr>
      </w:pPr>
      <w:r w:rsidRPr="00106AC6">
        <w:rPr>
          <w:rStyle w:val="Emphasis"/>
          <w:sz w:val="20"/>
          <w:szCs w:val="20"/>
          <w:lang w:val="fr-FR"/>
        </w:rPr>
        <w:t>b</w:t>
      </w:r>
      <w:r w:rsidRPr="00106AC6">
        <w:rPr>
          <w:sz w:val="20"/>
          <w:szCs w:val="20"/>
          <w:lang w:val="fr-FR"/>
        </w:rPr>
        <w:t>) le texte intégral des motifs qui ne sont pas disponibles sous forme électronique.</w:t>
      </w:r>
    </w:p>
    <w:p w:rsidR="0077693C" w:rsidRPr="00106AC6" w:rsidRDefault="0077693C" w:rsidP="00936CA4">
      <w:pPr>
        <w:jc w:val="both"/>
        <w:rPr>
          <w:sz w:val="20"/>
          <w:szCs w:val="20"/>
          <w:lang w:val="fr-CA"/>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t xml:space="preserve">Finalement, je note que Robinson n’a pas réduit les dépens dans les mémoires de frais pour les documents signifiés à l’intervenante, Music Canada. Or, l’ordonnance qui a accordé l’autorisation d’intervenir précisait que ces dépens seraient payés par Music Canada. C’est donc auprès de cette dernière que Robinson doit récupérer ces dépens qui ne devraient pas être réclamés dans le mémoire de frais. </w:t>
      </w:r>
    </w:p>
    <w:p w:rsidR="0077693C" w:rsidRPr="00106AC6" w:rsidRDefault="0077693C" w:rsidP="00936CA4">
      <w:pPr>
        <w:pStyle w:val="ListParagraph"/>
        <w:ind w:left="432"/>
        <w:jc w:val="both"/>
        <w:rPr>
          <w:sz w:val="20"/>
          <w:szCs w:val="20"/>
          <w:lang w:val="fr-CA"/>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t>Ainsi, le mémoire de frais de Robinson dans le dossier 34469 doit être réduit conformément aux présents motifs pour tenir compte des documents excessifs et inutiles qui ont été inclus dans le dossier, de la reproduction excessive de sources, de même que pour les documents signifiés à l’intervenante. À mon avis, une réduction des deux tiers de la somme de 165 373,41 $ réclamés à titre de débours dans ce dossier est raisonnable dans les circonstances. Une réduction correspondante des honoraires réclamés pour la préparation de la première copie des versions électronique et papier du dossier et du recueil de sources sera aussi appliquée.</w:t>
      </w:r>
    </w:p>
    <w:p w:rsidR="0077693C" w:rsidRPr="00106AC6" w:rsidRDefault="0077693C" w:rsidP="00936CA4">
      <w:pPr>
        <w:jc w:val="both"/>
        <w:rPr>
          <w:sz w:val="20"/>
          <w:szCs w:val="20"/>
          <w:lang w:val="fr-CA"/>
        </w:rPr>
      </w:pPr>
    </w:p>
    <w:p w:rsidR="0077693C" w:rsidRPr="00106AC6" w:rsidRDefault="0077693C" w:rsidP="00936CA4">
      <w:pPr>
        <w:jc w:val="both"/>
        <w:rPr>
          <w:b/>
          <w:sz w:val="20"/>
          <w:szCs w:val="20"/>
        </w:rPr>
      </w:pPr>
      <w:r w:rsidRPr="00106AC6">
        <w:rPr>
          <w:b/>
          <w:sz w:val="20"/>
          <w:szCs w:val="20"/>
        </w:rPr>
        <w:t>Conclusion :</w:t>
      </w:r>
    </w:p>
    <w:p w:rsidR="0077693C" w:rsidRPr="00106AC6" w:rsidRDefault="0077693C" w:rsidP="00936CA4">
      <w:pPr>
        <w:pStyle w:val="ListParagraph"/>
        <w:ind w:left="432"/>
        <w:jc w:val="both"/>
        <w:rPr>
          <w:sz w:val="20"/>
          <w:szCs w:val="20"/>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t>En appliquant les réductions de dépens comme l’énoncent les présents motifs, les mémoires de frais de Robinson sont taxés de la façon suivante :</w:t>
      </w:r>
    </w:p>
    <w:p w:rsidR="0077693C" w:rsidRPr="00106AC6" w:rsidRDefault="0077693C" w:rsidP="00936CA4">
      <w:pPr>
        <w:jc w:val="both"/>
        <w:rPr>
          <w:sz w:val="20"/>
          <w:szCs w:val="20"/>
          <w:lang w:val="fr-CA"/>
        </w:rPr>
      </w:pPr>
    </w:p>
    <w:p w:rsidR="0077693C" w:rsidRPr="00106AC6" w:rsidRDefault="0077693C" w:rsidP="00936CA4">
      <w:pPr>
        <w:pStyle w:val="ListParagraph"/>
        <w:numPr>
          <w:ilvl w:val="0"/>
          <w:numId w:val="8"/>
        </w:numPr>
        <w:jc w:val="both"/>
        <w:rPr>
          <w:sz w:val="20"/>
          <w:szCs w:val="20"/>
        </w:rPr>
      </w:pPr>
      <w:r w:rsidRPr="00106AC6">
        <w:rPr>
          <w:sz w:val="20"/>
          <w:szCs w:val="20"/>
        </w:rPr>
        <w:t>Dossier 34466 : honoraires 6 067,80 $; débours 2 690,89 $ (total 8 758,69 $);</w:t>
      </w:r>
    </w:p>
    <w:p w:rsidR="0077693C" w:rsidRPr="00106AC6" w:rsidRDefault="0077693C" w:rsidP="00936CA4">
      <w:pPr>
        <w:pStyle w:val="ListParagraph"/>
        <w:numPr>
          <w:ilvl w:val="0"/>
          <w:numId w:val="8"/>
        </w:numPr>
        <w:jc w:val="both"/>
        <w:rPr>
          <w:sz w:val="20"/>
          <w:szCs w:val="20"/>
        </w:rPr>
      </w:pPr>
      <w:r w:rsidRPr="00106AC6">
        <w:rPr>
          <w:sz w:val="20"/>
          <w:szCs w:val="20"/>
        </w:rPr>
        <w:t>Dossier 34467 : honoraires 6 100,20 $; débours 2 756,93 $ (total 8 857,13 $);</w:t>
      </w:r>
    </w:p>
    <w:p w:rsidR="0077693C" w:rsidRPr="00106AC6" w:rsidRDefault="0077693C" w:rsidP="00936CA4">
      <w:pPr>
        <w:pStyle w:val="ListParagraph"/>
        <w:numPr>
          <w:ilvl w:val="0"/>
          <w:numId w:val="8"/>
        </w:numPr>
        <w:jc w:val="both"/>
        <w:rPr>
          <w:sz w:val="20"/>
          <w:szCs w:val="20"/>
        </w:rPr>
      </w:pPr>
      <w:r w:rsidRPr="00106AC6">
        <w:rPr>
          <w:sz w:val="20"/>
          <w:szCs w:val="20"/>
        </w:rPr>
        <w:t>Dossier 34468 : honoraires 6 084,00 $; débours 2 693,04 $ (total 8 777,04 $);</w:t>
      </w:r>
    </w:p>
    <w:p w:rsidR="0077693C" w:rsidRPr="00106AC6" w:rsidRDefault="0077693C" w:rsidP="00936CA4">
      <w:pPr>
        <w:pStyle w:val="ListParagraph"/>
        <w:numPr>
          <w:ilvl w:val="0"/>
          <w:numId w:val="8"/>
        </w:numPr>
        <w:jc w:val="both"/>
        <w:rPr>
          <w:sz w:val="20"/>
          <w:szCs w:val="20"/>
        </w:rPr>
      </w:pPr>
      <w:r w:rsidRPr="00106AC6">
        <w:rPr>
          <w:sz w:val="20"/>
          <w:szCs w:val="20"/>
        </w:rPr>
        <w:t>Dossier 34469 : honoraires 25 964,00 $; débours 55 124,47 $ (total 81 088,47 $).</w:t>
      </w:r>
    </w:p>
    <w:p w:rsidR="0077693C" w:rsidRPr="00106AC6" w:rsidRDefault="0077693C" w:rsidP="00936CA4">
      <w:pPr>
        <w:jc w:val="both"/>
        <w:rPr>
          <w:sz w:val="20"/>
          <w:szCs w:val="20"/>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lastRenderedPageBreak/>
        <w:t xml:space="preserve">Je souligne que même si j’ai considérablement réduit les dépens réclamés dans le dossier 33669, les montants taxés restent à un niveau </w:t>
      </w:r>
      <w:r w:rsidRPr="00106AC6">
        <w:rPr>
          <w:sz w:val="20"/>
          <w:szCs w:val="20"/>
          <w:u w:val="single"/>
          <w:lang w:val="fr-CA"/>
        </w:rPr>
        <w:t>des plus élevés</w:t>
      </w:r>
      <w:r w:rsidRPr="00106AC6">
        <w:rPr>
          <w:sz w:val="20"/>
          <w:szCs w:val="20"/>
          <w:lang w:val="fr-CA"/>
        </w:rPr>
        <w:t xml:space="preserve"> par rapport à ce qui a déjà été accordé dans des dossiers très complexes où les dépens entre parties ont été octroyés.</w:t>
      </w:r>
    </w:p>
    <w:p w:rsidR="0077693C" w:rsidRPr="00106AC6" w:rsidRDefault="0077693C" w:rsidP="00936CA4">
      <w:pPr>
        <w:pStyle w:val="ListParagraph"/>
        <w:ind w:left="432"/>
        <w:jc w:val="both"/>
        <w:rPr>
          <w:sz w:val="20"/>
          <w:szCs w:val="20"/>
          <w:lang w:val="fr-CA"/>
        </w:rPr>
      </w:pPr>
    </w:p>
    <w:p w:rsidR="0077693C" w:rsidRPr="00106AC6" w:rsidRDefault="0077693C" w:rsidP="00936CA4">
      <w:pPr>
        <w:pStyle w:val="ListParagraph"/>
        <w:numPr>
          <w:ilvl w:val="0"/>
          <w:numId w:val="12"/>
        </w:numPr>
        <w:jc w:val="both"/>
        <w:rPr>
          <w:sz w:val="20"/>
          <w:szCs w:val="20"/>
          <w:lang w:val="fr-CA"/>
        </w:rPr>
      </w:pPr>
      <w:r w:rsidRPr="00106AC6">
        <w:rPr>
          <w:sz w:val="20"/>
          <w:szCs w:val="20"/>
          <w:lang w:val="fr-CA"/>
        </w:rPr>
        <w:t>En conclusion, je souhaite remercier les avocats pour leurs observations fort utiles.</w:t>
      </w:r>
    </w:p>
    <w:p w:rsidR="0077693C" w:rsidRPr="0077693C" w:rsidRDefault="0077693C" w:rsidP="00831CA9">
      <w:pPr>
        <w:tabs>
          <w:tab w:val="left" w:pos="-1440"/>
          <w:tab w:val="left" w:pos="-720"/>
        </w:tabs>
        <w:jc w:val="both"/>
        <w:rPr>
          <w:sz w:val="20"/>
          <w:szCs w:val="20"/>
          <w:lang w:val="fr-CA"/>
        </w:rPr>
      </w:pPr>
    </w:p>
    <w:p w:rsidR="00831CA9" w:rsidRDefault="00007FF8" w:rsidP="00831CA9">
      <w:pPr>
        <w:jc w:val="both"/>
        <w:rPr>
          <w:sz w:val="20"/>
          <w:szCs w:val="20"/>
          <w:lang w:val="fr-CA"/>
        </w:rPr>
      </w:pPr>
      <w:r>
        <w:rPr>
          <w:sz w:val="20"/>
          <w:szCs w:val="20"/>
          <w:lang w:val="fr-CA"/>
        </w:rPr>
        <w:pict>
          <v:rect id="_x0000_i1056" style="width:2in;height:1pt" o:hrpct="0" o:hralign="center" o:hrstd="t" o:hrnoshade="t" o:hr="t" fillcolor="black [3213]" stroked="f"/>
        </w:pict>
      </w:r>
    </w:p>
    <w:p w:rsidR="00D004FC" w:rsidRPr="00C50A5C" w:rsidRDefault="00D004FC" w:rsidP="00831CA9">
      <w:pPr>
        <w:jc w:val="both"/>
        <w:rPr>
          <w:sz w:val="20"/>
          <w:szCs w:val="20"/>
          <w:lang w:val="fr-CA"/>
        </w:rPr>
      </w:pPr>
    </w:p>
    <w:p w:rsidR="00831CA9" w:rsidRPr="00C50A5C" w:rsidRDefault="00831CA9"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2F7FF6"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974698" w:rsidTr="00C1697B">
        <w:trPr>
          <w:cantSplit/>
        </w:trPr>
        <w:tc>
          <w:tcPr>
            <w:tcW w:w="4338" w:type="dxa"/>
            <w:shd w:val="clear" w:color="auto" w:fill="auto"/>
          </w:tcPr>
          <w:p w:rsidR="00C1697B" w:rsidRPr="00974698" w:rsidRDefault="00974698" w:rsidP="00C1697B">
            <w:pPr>
              <w:rPr>
                <w:sz w:val="20"/>
                <w:szCs w:val="20"/>
                <w:lang w:val="fr-CA"/>
              </w:rPr>
            </w:pPr>
            <w:r w:rsidRPr="00974698">
              <w:rPr>
                <w:sz w:val="20"/>
                <w:szCs w:val="20"/>
                <w:lang w:val="fr-CA"/>
              </w:rPr>
              <w:t>20</w:t>
            </w:r>
            <w:r w:rsidR="00C1697B" w:rsidRPr="00974698">
              <w:rPr>
                <w:sz w:val="20"/>
                <w:szCs w:val="20"/>
                <w:lang w:val="fr-CA"/>
              </w:rPr>
              <w:t>.0</w:t>
            </w:r>
            <w:r w:rsidRPr="00974698">
              <w:rPr>
                <w:sz w:val="20"/>
                <w:szCs w:val="20"/>
                <w:lang w:val="fr-CA"/>
              </w:rPr>
              <w:t>1</w:t>
            </w:r>
            <w:r w:rsidR="00C1697B" w:rsidRPr="00974698">
              <w:rPr>
                <w:sz w:val="20"/>
                <w:szCs w:val="20"/>
                <w:lang w:val="fr-CA"/>
              </w:rPr>
              <w:t>.201</w:t>
            </w:r>
            <w:r w:rsidRPr="00974698">
              <w:rPr>
                <w:sz w:val="20"/>
                <w:szCs w:val="20"/>
                <w:lang w:val="fr-CA"/>
              </w:rPr>
              <w:t>5</w:t>
            </w:r>
          </w:p>
          <w:p w:rsidR="00C1697B" w:rsidRPr="00974698" w:rsidRDefault="00C1697B" w:rsidP="00C1697B">
            <w:pPr>
              <w:rPr>
                <w:sz w:val="20"/>
                <w:szCs w:val="20"/>
                <w:lang w:val="fr-CA"/>
              </w:rPr>
            </w:pPr>
          </w:p>
          <w:p w:rsidR="00C1697B" w:rsidRPr="00974698" w:rsidRDefault="00974698" w:rsidP="00C1697B">
            <w:pPr>
              <w:rPr>
                <w:b/>
                <w:sz w:val="20"/>
                <w:szCs w:val="20"/>
                <w:lang w:val="fr-CA"/>
              </w:rPr>
            </w:pPr>
            <w:r w:rsidRPr="00974698">
              <w:rPr>
                <w:b/>
                <w:sz w:val="20"/>
                <w:szCs w:val="20"/>
                <w:lang w:val="fr-CA"/>
              </w:rPr>
              <w:t>Abbvi</w:t>
            </w:r>
            <w:r w:rsidR="00C1697B" w:rsidRPr="00974698">
              <w:rPr>
                <w:b/>
                <w:sz w:val="20"/>
                <w:szCs w:val="20"/>
                <w:lang w:val="fr-CA"/>
              </w:rPr>
              <w:t>e</w:t>
            </w:r>
            <w:r w:rsidRPr="00974698">
              <w:rPr>
                <w:b/>
                <w:sz w:val="20"/>
                <w:szCs w:val="20"/>
                <w:lang w:val="fr-CA"/>
              </w:rPr>
              <w:t xml:space="preserve"> Corpora</w:t>
            </w:r>
            <w:r w:rsidR="00C1697B" w:rsidRPr="00974698">
              <w:rPr>
                <w:b/>
                <w:sz w:val="20"/>
                <w:szCs w:val="20"/>
                <w:lang w:val="fr-CA"/>
              </w:rPr>
              <w:t>t</w:t>
            </w:r>
            <w:r w:rsidRPr="00974698">
              <w:rPr>
                <w:b/>
                <w:sz w:val="20"/>
                <w:szCs w:val="20"/>
                <w:lang w:val="fr-CA"/>
              </w:rPr>
              <w:t>io</w:t>
            </w:r>
            <w:r w:rsidR="00C1697B" w:rsidRPr="00974698">
              <w:rPr>
                <w:b/>
                <w:sz w:val="20"/>
                <w:szCs w:val="20"/>
                <w:lang w:val="fr-CA"/>
              </w:rPr>
              <w:t>n</w:t>
            </w:r>
            <w:r w:rsidRPr="00974698">
              <w:rPr>
                <w:b/>
                <w:sz w:val="20"/>
                <w:szCs w:val="20"/>
                <w:lang w:val="fr-CA"/>
              </w:rPr>
              <w:t xml:space="preserve"> et al.</w:t>
            </w:r>
          </w:p>
          <w:p w:rsidR="00C1697B" w:rsidRPr="00974698" w:rsidRDefault="00C1697B" w:rsidP="00C1697B">
            <w:pPr>
              <w:rPr>
                <w:b/>
                <w:sz w:val="20"/>
                <w:szCs w:val="20"/>
                <w:lang w:val="fr-CA"/>
              </w:rPr>
            </w:pPr>
          </w:p>
          <w:p w:rsidR="00C1697B" w:rsidRPr="00974698" w:rsidRDefault="00C1697B" w:rsidP="00C1697B">
            <w:pPr>
              <w:rPr>
                <w:b/>
                <w:sz w:val="20"/>
                <w:szCs w:val="20"/>
                <w:lang w:val="fr-CA"/>
              </w:rPr>
            </w:pPr>
            <w:r w:rsidRPr="00974698">
              <w:rPr>
                <w:b/>
                <w:sz w:val="20"/>
                <w:szCs w:val="20"/>
                <w:lang w:val="fr-CA"/>
              </w:rPr>
              <w:tab/>
              <w:t>v. (36</w:t>
            </w:r>
            <w:r w:rsidR="00974698" w:rsidRPr="00974698">
              <w:rPr>
                <w:b/>
                <w:sz w:val="20"/>
                <w:szCs w:val="20"/>
                <w:lang w:val="fr-CA"/>
              </w:rPr>
              <w:t>232</w:t>
            </w:r>
            <w:r w:rsidRPr="00974698">
              <w:rPr>
                <w:b/>
                <w:sz w:val="20"/>
                <w:szCs w:val="20"/>
                <w:lang w:val="fr-CA"/>
              </w:rPr>
              <w:t>)</w:t>
            </w:r>
          </w:p>
          <w:p w:rsidR="00C1697B" w:rsidRPr="00974698" w:rsidRDefault="00C1697B" w:rsidP="00C1697B">
            <w:pPr>
              <w:rPr>
                <w:b/>
                <w:sz w:val="20"/>
                <w:szCs w:val="20"/>
                <w:lang w:val="fr-CA"/>
              </w:rPr>
            </w:pPr>
          </w:p>
          <w:p w:rsidR="00C1697B" w:rsidRPr="001C767B" w:rsidRDefault="00974698" w:rsidP="00C1697B">
            <w:pPr>
              <w:rPr>
                <w:b/>
                <w:sz w:val="20"/>
                <w:szCs w:val="20"/>
              </w:rPr>
            </w:pPr>
            <w:r w:rsidRPr="001C767B">
              <w:rPr>
                <w:b/>
                <w:sz w:val="20"/>
                <w:szCs w:val="20"/>
              </w:rPr>
              <w:t>J</w:t>
            </w:r>
            <w:r w:rsidR="00C1697B" w:rsidRPr="001C767B">
              <w:rPr>
                <w:b/>
                <w:sz w:val="20"/>
                <w:szCs w:val="20"/>
              </w:rPr>
              <w:t>a</w:t>
            </w:r>
            <w:r w:rsidRPr="001C767B">
              <w:rPr>
                <w:b/>
                <w:sz w:val="20"/>
                <w:szCs w:val="20"/>
              </w:rPr>
              <w:t>nssen I</w:t>
            </w:r>
            <w:r w:rsidR="00C1697B" w:rsidRPr="001C767B">
              <w:rPr>
                <w:b/>
                <w:sz w:val="20"/>
                <w:szCs w:val="20"/>
              </w:rPr>
              <w:t>n</w:t>
            </w:r>
            <w:r w:rsidRPr="001C767B">
              <w:rPr>
                <w:b/>
                <w:sz w:val="20"/>
                <w:szCs w:val="20"/>
              </w:rPr>
              <w:t>c.</w:t>
            </w:r>
            <w:r w:rsidR="00C1697B" w:rsidRPr="001C767B">
              <w:rPr>
                <w:b/>
                <w:sz w:val="20"/>
                <w:szCs w:val="20"/>
              </w:rPr>
              <w:t xml:space="preserve"> (</w:t>
            </w:r>
            <w:r w:rsidRPr="001C767B">
              <w:rPr>
                <w:b/>
                <w:sz w:val="20"/>
                <w:szCs w:val="20"/>
              </w:rPr>
              <w:t>F.C</w:t>
            </w:r>
            <w:r w:rsidR="00C1697B" w:rsidRPr="001C767B">
              <w:rPr>
                <w:b/>
                <w:sz w:val="20"/>
                <w:szCs w:val="20"/>
              </w:rPr>
              <w:t xml:space="preserve">.) </w:t>
            </w:r>
          </w:p>
          <w:p w:rsidR="00C1697B" w:rsidRPr="001C767B" w:rsidRDefault="00C1697B" w:rsidP="00C1697B">
            <w:pPr>
              <w:rPr>
                <w:sz w:val="20"/>
                <w:szCs w:val="20"/>
              </w:rPr>
            </w:pPr>
          </w:p>
          <w:p w:rsidR="00C1697B" w:rsidRPr="001C767B" w:rsidRDefault="00C1697B" w:rsidP="00C1697B">
            <w:pPr>
              <w:rPr>
                <w:sz w:val="20"/>
                <w:szCs w:val="20"/>
              </w:rPr>
            </w:pPr>
            <w:r w:rsidRPr="001C767B">
              <w:rPr>
                <w:sz w:val="20"/>
                <w:szCs w:val="20"/>
              </w:rPr>
              <w:t>(By Leave)</w:t>
            </w:r>
          </w:p>
          <w:p w:rsidR="00802863" w:rsidRPr="001C767B" w:rsidRDefault="00802863" w:rsidP="00697C62">
            <w:pPr>
              <w:rPr>
                <w:sz w:val="20"/>
                <w:szCs w:val="20"/>
              </w:rPr>
            </w:pPr>
          </w:p>
          <w:p w:rsidR="00802863" w:rsidRPr="00C50A5C" w:rsidRDefault="00007FF8" w:rsidP="00697C62">
            <w:pPr>
              <w:rPr>
                <w:sz w:val="20"/>
                <w:szCs w:val="20"/>
                <w:lang w:val="fr-CA"/>
              </w:rPr>
            </w:pPr>
            <w:r>
              <w:rPr>
                <w:sz w:val="20"/>
                <w:szCs w:val="20"/>
                <w:lang w:val="fr-CA"/>
              </w:rPr>
              <w:pict>
                <v:rect id="_x0000_i1059"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974698" w:rsidRDefault="00802863" w:rsidP="00802863">
      <w:pPr>
        <w:rPr>
          <w:sz w:val="20"/>
          <w:szCs w:val="20"/>
          <w:lang w:val="fr-CA"/>
        </w:rPr>
      </w:pPr>
    </w:p>
    <w:p w:rsidR="00802863" w:rsidRPr="00974698" w:rsidRDefault="00802863" w:rsidP="00831CA9">
      <w:pPr>
        <w:jc w:val="both"/>
        <w:rPr>
          <w:sz w:val="20"/>
          <w:szCs w:val="20"/>
          <w:lang w:val="fr-CA"/>
        </w:rPr>
        <w:sectPr w:rsidR="00802863" w:rsidRPr="00974698" w:rsidSect="00802863">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F7FF6" w:rsidTr="0085476B">
        <w:trPr>
          <w:cantSplit/>
        </w:trPr>
        <w:tc>
          <w:tcPr>
            <w:tcW w:w="4410" w:type="dxa"/>
            <w:tcMar>
              <w:left w:w="0" w:type="dxa"/>
              <w:right w:w="0" w:type="dxa"/>
            </w:tcMar>
          </w:tcPr>
          <w:p w:rsidR="00C1697B" w:rsidRPr="001C767B" w:rsidRDefault="00732DB7" w:rsidP="00697C62">
            <w:pPr>
              <w:keepNext/>
              <w:keepLines/>
              <w:widowControl w:val="0"/>
              <w:jc w:val="both"/>
              <w:rPr>
                <w:b/>
                <w:szCs w:val="24"/>
              </w:rPr>
            </w:pPr>
            <w:r w:rsidRPr="001C767B">
              <w:rPr>
                <w:b/>
                <w:szCs w:val="24"/>
              </w:rPr>
              <w:lastRenderedPageBreak/>
              <w:t>APPEALS HEARD SINCE LAST ISSUE AND DISPOSITION</w:t>
            </w:r>
          </w:p>
          <w:p w:rsidR="00732DB7" w:rsidRPr="001C767B" w:rsidRDefault="00732DB7" w:rsidP="00C1697B">
            <w:pPr>
              <w:tabs>
                <w:tab w:val="left" w:pos="1116"/>
              </w:tabs>
              <w:rPr>
                <w:szCs w:val="24"/>
              </w:rPr>
            </w:pPr>
          </w:p>
        </w:tc>
        <w:tc>
          <w:tcPr>
            <w:tcW w:w="720" w:type="dxa"/>
            <w:tcMar>
              <w:left w:w="0" w:type="dxa"/>
              <w:right w:w="0" w:type="dxa"/>
            </w:tcMar>
          </w:tcPr>
          <w:p w:rsidR="00732DB7" w:rsidRPr="001C767B" w:rsidRDefault="00732DB7" w:rsidP="00732DB7">
            <w:pPr>
              <w:keepNext/>
              <w:keepLines/>
              <w:widowControl w:val="0"/>
              <w:jc w:val="center"/>
              <w:rPr>
                <w:b/>
                <w:szCs w:val="24"/>
              </w:rPr>
            </w:pPr>
          </w:p>
          <w:p w:rsidR="00732DB7" w:rsidRPr="001C767B" w:rsidRDefault="00732DB7" w:rsidP="00732DB7">
            <w:pPr>
              <w:keepNext/>
              <w:keepLines/>
              <w:widowControl w:val="0"/>
              <w:jc w:val="center"/>
              <w:rPr>
                <w:b/>
                <w:szCs w:val="24"/>
              </w:rPr>
            </w:pPr>
          </w:p>
          <w:p w:rsidR="00732DB7" w:rsidRPr="001C76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E724B4" w:rsidRPr="00E04ACC" w:rsidRDefault="00E724B4" w:rsidP="00732DB7">
      <w:pPr>
        <w:widowControl w:val="0"/>
        <w:rPr>
          <w:sz w:val="20"/>
          <w:szCs w:val="20"/>
        </w:rPr>
      </w:pPr>
      <w:r w:rsidRPr="00E04ACC">
        <w:rPr>
          <w:sz w:val="20"/>
          <w:szCs w:val="20"/>
        </w:rPr>
        <w:t>09.02.2015</w:t>
      </w:r>
    </w:p>
    <w:p w:rsidR="00E724B4" w:rsidRPr="00E04ACC" w:rsidRDefault="00E724B4" w:rsidP="00732DB7">
      <w:pPr>
        <w:widowControl w:val="0"/>
        <w:rPr>
          <w:sz w:val="20"/>
          <w:szCs w:val="20"/>
        </w:rPr>
      </w:pPr>
    </w:p>
    <w:p w:rsidR="00E04ACC" w:rsidRPr="00F406CD" w:rsidRDefault="00E04ACC" w:rsidP="00E04ACC">
      <w:pPr>
        <w:widowControl w:val="0"/>
        <w:ind w:left="720" w:hanging="720"/>
        <w:rPr>
          <w:rFonts w:eastAsia="Calibri" w:cs="Times New Roman"/>
          <w:sz w:val="20"/>
          <w:szCs w:val="20"/>
          <w:u w:val="single"/>
        </w:rPr>
      </w:pPr>
      <w:r w:rsidRPr="00F406CD">
        <w:rPr>
          <w:rFonts w:eastAsia="Calibri" w:cs="Times New Roman"/>
          <w:sz w:val="20"/>
          <w:szCs w:val="20"/>
        </w:rPr>
        <w:t xml:space="preserve">Coram: </w:t>
      </w:r>
      <w:r w:rsidRPr="00F406CD">
        <w:rPr>
          <w:rFonts w:eastAsia="Calibri" w:cs="Times New Roman"/>
          <w:sz w:val="20"/>
          <w:szCs w:val="20"/>
        </w:rPr>
        <w:tab/>
      </w:r>
      <w:r w:rsidRPr="00F406CD">
        <w:rPr>
          <w:rFonts w:eastAsia="Calibri" w:cs="Times New Roman"/>
          <w:sz w:val="20"/>
          <w:szCs w:val="20"/>
          <w:u w:val="single"/>
        </w:rPr>
        <w:t>McLachlin C.J. and Rothstein, Cromwell, Moldaver, Karakatsanis, Gascon and Côté JJ.</w:t>
      </w:r>
    </w:p>
    <w:p w:rsidR="00E724B4" w:rsidRPr="00E04ACC" w:rsidRDefault="00E724B4" w:rsidP="00E724B4">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724B4" w:rsidRPr="00E97032" w:rsidTr="00E724B4">
        <w:tc>
          <w:tcPr>
            <w:tcW w:w="4380" w:type="dxa"/>
            <w:tcMar>
              <w:left w:w="0" w:type="dxa"/>
              <w:right w:w="0" w:type="dxa"/>
            </w:tcMar>
          </w:tcPr>
          <w:p w:rsidR="00E724B4" w:rsidRPr="00E04ACC" w:rsidRDefault="00E04ACC" w:rsidP="00E724B4">
            <w:pPr>
              <w:widowControl w:val="0"/>
              <w:rPr>
                <w:b/>
                <w:sz w:val="20"/>
                <w:szCs w:val="20"/>
              </w:rPr>
            </w:pPr>
            <w:r w:rsidRPr="00E04ACC">
              <w:rPr>
                <w:b/>
                <w:sz w:val="20"/>
                <w:szCs w:val="20"/>
              </w:rPr>
              <w:t>Canadian Imperial Bank of Commerce</w:t>
            </w:r>
            <w:r w:rsidR="00E724B4" w:rsidRPr="00E04ACC">
              <w:rPr>
                <w:b/>
                <w:sz w:val="20"/>
                <w:szCs w:val="20"/>
              </w:rPr>
              <w:t xml:space="preserve"> </w:t>
            </w:r>
            <w:r w:rsidR="009523B6">
              <w:rPr>
                <w:b/>
                <w:sz w:val="20"/>
                <w:szCs w:val="20"/>
              </w:rPr>
              <w:t>et al.</w:t>
            </w:r>
          </w:p>
          <w:p w:rsidR="00E724B4" w:rsidRPr="00E04ACC" w:rsidRDefault="00E724B4" w:rsidP="00E724B4">
            <w:pPr>
              <w:widowControl w:val="0"/>
              <w:rPr>
                <w:b/>
                <w:sz w:val="20"/>
                <w:szCs w:val="20"/>
              </w:rPr>
            </w:pPr>
          </w:p>
          <w:p w:rsidR="00E724B4" w:rsidRPr="00E04ACC" w:rsidRDefault="00E724B4" w:rsidP="00E724B4">
            <w:pPr>
              <w:widowControl w:val="0"/>
              <w:rPr>
                <w:b/>
                <w:sz w:val="20"/>
                <w:szCs w:val="20"/>
              </w:rPr>
            </w:pPr>
            <w:r w:rsidRPr="00E04ACC">
              <w:rPr>
                <w:b/>
                <w:sz w:val="20"/>
                <w:szCs w:val="20"/>
              </w:rPr>
              <w:tab/>
            </w:r>
            <w:r w:rsidR="00E04ACC" w:rsidRPr="00E04ACC">
              <w:rPr>
                <w:b/>
                <w:sz w:val="20"/>
                <w:szCs w:val="20"/>
              </w:rPr>
              <w:t>v</w:t>
            </w:r>
            <w:r w:rsidRPr="00E04ACC">
              <w:rPr>
                <w:b/>
                <w:sz w:val="20"/>
                <w:szCs w:val="20"/>
              </w:rPr>
              <w:t>.</w:t>
            </w:r>
            <w:r w:rsidR="00E04ACC">
              <w:rPr>
                <w:b/>
                <w:sz w:val="20"/>
                <w:szCs w:val="20"/>
              </w:rPr>
              <w:t xml:space="preserve"> </w:t>
            </w:r>
            <w:r w:rsidR="009523B6" w:rsidRPr="00895AAD">
              <w:rPr>
                <w:sz w:val="20"/>
                <w:szCs w:val="20"/>
              </w:rPr>
              <w:t>(</w:t>
            </w:r>
            <w:hyperlink r:id="rId42" w:history="1">
              <w:r w:rsidR="009523B6" w:rsidRPr="00895AAD">
                <w:rPr>
                  <w:rStyle w:val="Hyperlink"/>
                  <w:sz w:val="20"/>
                  <w:szCs w:val="20"/>
                </w:rPr>
                <w:t>35807</w:t>
              </w:r>
            </w:hyperlink>
            <w:r w:rsidR="009523B6" w:rsidRPr="00895AAD">
              <w:rPr>
                <w:sz w:val="20"/>
                <w:szCs w:val="20"/>
              </w:rPr>
              <w:t>)</w:t>
            </w:r>
          </w:p>
          <w:p w:rsidR="00E724B4" w:rsidRPr="00E04ACC" w:rsidRDefault="00E724B4" w:rsidP="00E724B4">
            <w:pPr>
              <w:widowControl w:val="0"/>
              <w:rPr>
                <w:b/>
                <w:sz w:val="20"/>
                <w:szCs w:val="20"/>
              </w:rPr>
            </w:pPr>
          </w:p>
          <w:p w:rsidR="00E724B4" w:rsidRPr="00C34FEA" w:rsidRDefault="00E04ACC" w:rsidP="00E04ACC">
            <w:pPr>
              <w:widowControl w:val="0"/>
              <w:rPr>
                <w:sz w:val="20"/>
                <w:szCs w:val="20"/>
              </w:rPr>
            </w:pPr>
            <w:r w:rsidRPr="00C34FEA">
              <w:rPr>
                <w:b/>
                <w:sz w:val="20"/>
                <w:szCs w:val="20"/>
              </w:rPr>
              <w:t xml:space="preserve">Howard Green et al. </w:t>
            </w:r>
            <w:r w:rsidR="00E724B4" w:rsidRPr="00C34FEA">
              <w:rPr>
                <w:b/>
                <w:sz w:val="20"/>
                <w:szCs w:val="20"/>
              </w:rPr>
              <w:t>(</w:t>
            </w:r>
            <w:r w:rsidRPr="00C34FEA">
              <w:rPr>
                <w:b/>
                <w:sz w:val="20"/>
                <w:szCs w:val="20"/>
              </w:rPr>
              <w:t>Ont.</w:t>
            </w:r>
            <w:r w:rsidR="00E724B4" w:rsidRPr="00C34FEA">
              <w:rPr>
                <w:b/>
                <w:sz w:val="20"/>
                <w:szCs w:val="20"/>
              </w:rPr>
              <w:t>) (Civil) (</w:t>
            </w:r>
            <w:r w:rsidRPr="00C34FEA">
              <w:rPr>
                <w:b/>
                <w:sz w:val="20"/>
                <w:szCs w:val="20"/>
              </w:rPr>
              <w:t>By Le</w:t>
            </w:r>
            <w:r w:rsidR="00E724B4" w:rsidRPr="00C34FEA">
              <w:rPr>
                <w:b/>
                <w:sz w:val="20"/>
                <w:szCs w:val="20"/>
              </w:rPr>
              <w:t>a</w:t>
            </w:r>
            <w:r w:rsidRPr="00C34FEA">
              <w:rPr>
                <w:b/>
                <w:sz w:val="20"/>
                <w:szCs w:val="20"/>
              </w:rPr>
              <w:t>ve</w:t>
            </w:r>
            <w:r w:rsidR="00E724B4" w:rsidRPr="00C34FEA">
              <w:rPr>
                <w:b/>
                <w:sz w:val="20"/>
                <w:szCs w:val="20"/>
              </w:rPr>
              <w:t>)</w:t>
            </w:r>
            <w:r w:rsidR="00E724B4" w:rsidRPr="00C34FEA">
              <w:rPr>
                <w:sz w:val="20"/>
                <w:szCs w:val="20"/>
              </w:rPr>
              <w:t xml:space="preserve"> </w:t>
            </w:r>
          </w:p>
          <w:p w:rsidR="00E04ACC" w:rsidRPr="00C34FEA" w:rsidRDefault="00E04ACC" w:rsidP="00E04ACC">
            <w:pPr>
              <w:widowControl w:val="0"/>
              <w:rPr>
                <w:b/>
                <w:sz w:val="20"/>
                <w:szCs w:val="20"/>
              </w:rPr>
            </w:pPr>
          </w:p>
          <w:p w:rsidR="00E04ACC" w:rsidRPr="00C34FEA" w:rsidRDefault="00E04ACC" w:rsidP="00E04ACC">
            <w:pPr>
              <w:widowControl w:val="0"/>
              <w:rPr>
                <w:b/>
                <w:sz w:val="20"/>
                <w:szCs w:val="20"/>
              </w:rPr>
            </w:pPr>
            <w:r w:rsidRPr="00C34FEA">
              <w:rPr>
                <w:b/>
                <w:sz w:val="20"/>
                <w:szCs w:val="20"/>
              </w:rPr>
              <w:t>- and between -</w:t>
            </w:r>
          </w:p>
          <w:p w:rsidR="00E04ACC" w:rsidRPr="00C34FEA" w:rsidRDefault="00E04ACC" w:rsidP="00E04ACC">
            <w:pPr>
              <w:widowControl w:val="0"/>
              <w:rPr>
                <w:b/>
                <w:sz w:val="20"/>
                <w:szCs w:val="20"/>
              </w:rPr>
            </w:pPr>
          </w:p>
          <w:p w:rsidR="00E04ACC" w:rsidRPr="001C767B" w:rsidRDefault="00E04ACC" w:rsidP="00E04ACC">
            <w:pPr>
              <w:widowControl w:val="0"/>
              <w:rPr>
                <w:b/>
                <w:sz w:val="20"/>
                <w:szCs w:val="20"/>
                <w:lang w:val="fr-CA"/>
              </w:rPr>
            </w:pPr>
            <w:r w:rsidRPr="001C767B">
              <w:rPr>
                <w:b/>
                <w:sz w:val="20"/>
                <w:szCs w:val="20"/>
                <w:lang w:val="fr-CA"/>
              </w:rPr>
              <w:t xml:space="preserve">IMAX Corporation et al. </w:t>
            </w:r>
          </w:p>
          <w:p w:rsidR="00E97032" w:rsidRPr="001C767B" w:rsidRDefault="00E97032" w:rsidP="00E04ACC">
            <w:pPr>
              <w:widowControl w:val="0"/>
              <w:rPr>
                <w:b/>
                <w:sz w:val="20"/>
                <w:szCs w:val="20"/>
                <w:lang w:val="fr-CA"/>
              </w:rPr>
            </w:pPr>
          </w:p>
          <w:p w:rsidR="00E97032" w:rsidRDefault="00E97032" w:rsidP="00E04ACC">
            <w:pPr>
              <w:widowControl w:val="0"/>
              <w:rPr>
                <w:b/>
                <w:sz w:val="20"/>
                <w:szCs w:val="20"/>
                <w:lang w:val="fr-CA"/>
              </w:rPr>
            </w:pPr>
            <w:r w:rsidRPr="001C767B">
              <w:rPr>
                <w:b/>
                <w:sz w:val="20"/>
                <w:szCs w:val="20"/>
                <w:lang w:val="fr-CA"/>
              </w:rPr>
              <w:tab/>
            </w:r>
            <w:r>
              <w:rPr>
                <w:b/>
                <w:sz w:val="20"/>
                <w:szCs w:val="20"/>
                <w:lang w:val="fr-CA"/>
              </w:rPr>
              <w:t xml:space="preserve">v. </w:t>
            </w:r>
            <w:r w:rsidR="009523B6" w:rsidRPr="001C767B">
              <w:rPr>
                <w:sz w:val="20"/>
                <w:szCs w:val="20"/>
                <w:lang w:val="fr-CA"/>
              </w:rPr>
              <w:t>(</w:t>
            </w:r>
            <w:hyperlink r:id="rId43" w:history="1">
              <w:r w:rsidR="009523B6" w:rsidRPr="001C767B">
                <w:rPr>
                  <w:rStyle w:val="Hyperlink"/>
                  <w:sz w:val="20"/>
                  <w:szCs w:val="20"/>
                  <w:lang w:val="fr-CA"/>
                </w:rPr>
                <w:t>35811</w:t>
              </w:r>
            </w:hyperlink>
            <w:r w:rsidR="009523B6" w:rsidRPr="001C767B">
              <w:rPr>
                <w:sz w:val="20"/>
                <w:szCs w:val="20"/>
                <w:lang w:val="fr-CA"/>
              </w:rPr>
              <w:t>)</w:t>
            </w:r>
          </w:p>
          <w:p w:rsidR="00E97032" w:rsidRDefault="00E97032" w:rsidP="00E04ACC">
            <w:pPr>
              <w:widowControl w:val="0"/>
              <w:rPr>
                <w:b/>
                <w:sz w:val="20"/>
                <w:szCs w:val="20"/>
                <w:lang w:val="fr-CA"/>
              </w:rPr>
            </w:pPr>
          </w:p>
          <w:p w:rsidR="00E97032" w:rsidRPr="00C34FEA" w:rsidRDefault="00E97032" w:rsidP="00E04ACC">
            <w:pPr>
              <w:widowControl w:val="0"/>
              <w:rPr>
                <w:b/>
                <w:sz w:val="20"/>
                <w:szCs w:val="20"/>
              </w:rPr>
            </w:pPr>
            <w:r>
              <w:rPr>
                <w:b/>
                <w:sz w:val="20"/>
                <w:szCs w:val="20"/>
                <w:lang w:val="fr-CA"/>
              </w:rPr>
              <w:t xml:space="preserve">Marvin Neil Silver et al. </w:t>
            </w:r>
            <w:r w:rsidRPr="00C34FEA">
              <w:rPr>
                <w:b/>
                <w:sz w:val="20"/>
                <w:szCs w:val="20"/>
              </w:rPr>
              <w:t>(Ont.) (Civil) (By Leave)</w:t>
            </w:r>
          </w:p>
          <w:p w:rsidR="00E97032" w:rsidRPr="00C34FEA" w:rsidRDefault="00E97032" w:rsidP="00E04ACC">
            <w:pPr>
              <w:widowControl w:val="0"/>
              <w:rPr>
                <w:b/>
                <w:sz w:val="20"/>
                <w:szCs w:val="20"/>
              </w:rPr>
            </w:pPr>
          </w:p>
          <w:p w:rsidR="00E97032" w:rsidRPr="00C34FEA" w:rsidRDefault="00E97032" w:rsidP="00E97032">
            <w:pPr>
              <w:widowControl w:val="0"/>
              <w:rPr>
                <w:b/>
                <w:sz w:val="20"/>
                <w:szCs w:val="20"/>
              </w:rPr>
            </w:pPr>
            <w:r w:rsidRPr="00C34FEA">
              <w:rPr>
                <w:b/>
                <w:sz w:val="20"/>
                <w:szCs w:val="20"/>
              </w:rPr>
              <w:t>- and between -</w:t>
            </w:r>
          </w:p>
          <w:p w:rsidR="00E97032" w:rsidRPr="00C34FEA" w:rsidRDefault="00E97032" w:rsidP="00E04ACC">
            <w:pPr>
              <w:widowControl w:val="0"/>
              <w:rPr>
                <w:b/>
                <w:sz w:val="20"/>
                <w:szCs w:val="20"/>
              </w:rPr>
            </w:pPr>
          </w:p>
          <w:p w:rsidR="00E97032" w:rsidRPr="00C34FEA" w:rsidRDefault="00E97032" w:rsidP="00E04ACC">
            <w:pPr>
              <w:widowControl w:val="0"/>
              <w:rPr>
                <w:b/>
                <w:sz w:val="20"/>
                <w:szCs w:val="20"/>
              </w:rPr>
            </w:pPr>
            <w:r w:rsidRPr="00C34FEA">
              <w:rPr>
                <w:b/>
                <w:sz w:val="20"/>
                <w:szCs w:val="20"/>
              </w:rPr>
              <w:t>Celestica Inc. et al.</w:t>
            </w:r>
          </w:p>
          <w:p w:rsidR="00E97032" w:rsidRPr="00C34FEA" w:rsidRDefault="00E97032" w:rsidP="00E04ACC">
            <w:pPr>
              <w:widowControl w:val="0"/>
              <w:rPr>
                <w:b/>
                <w:sz w:val="20"/>
                <w:szCs w:val="20"/>
              </w:rPr>
            </w:pPr>
          </w:p>
          <w:p w:rsidR="00E97032" w:rsidRPr="00C34FEA" w:rsidRDefault="00E97032" w:rsidP="00E04ACC">
            <w:pPr>
              <w:widowControl w:val="0"/>
              <w:rPr>
                <w:b/>
                <w:sz w:val="20"/>
                <w:szCs w:val="20"/>
              </w:rPr>
            </w:pPr>
            <w:r w:rsidRPr="00C34FEA">
              <w:rPr>
                <w:b/>
                <w:sz w:val="20"/>
                <w:szCs w:val="20"/>
              </w:rPr>
              <w:tab/>
              <w:t xml:space="preserve">v. </w:t>
            </w:r>
            <w:r w:rsidR="009523B6" w:rsidRPr="00895AAD">
              <w:rPr>
                <w:sz w:val="20"/>
                <w:szCs w:val="20"/>
              </w:rPr>
              <w:t>(</w:t>
            </w:r>
            <w:hyperlink r:id="rId44" w:history="1">
              <w:r w:rsidR="009523B6" w:rsidRPr="00895AAD">
                <w:rPr>
                  <w:rStyle w:val="Hyperlink"/>
                  <w:sz w:val="20"/>
                  <w:szCs w:val="20"/>
                </w:rPr>
                <w:t>35813</w:t>
              </w:r>
            </w:hyperlink>
            <w:r w:rsidR="009523B6" w:rsidRPr="00895AAD">
              <w:rPr>
                <w:sz w:val="20"/>
                <w:szCs w:val="20"/>
              </w:rPr>
              <w:t>)</w:t>
            </w:r>
          </w:p>
          <w:p w:rsidR="00E97032" w:rsidRPr="00C34FEA" w:rsidRDefault="00E97032" w:rsidP="00E04ACC">
            <w:pPr>
              <w:widowControl w:val="0"/>
              <w:rPr>
                <w:b/>
                <w:sz w:val="20"/>
                <w:szCs w:val="20"/>
              </w:rPr>
            </w:pPr>
          </w:p>
          <w:p w:rsidR="009523B6" w:rsidRPr="00E97032" w:rsidRDefault="00E97032" w:rsidP="009523B6">
            <w:pPr>
              <w:widowControl w:val="0"/>
              <w:rPr>
                <w:sz w:val="20"/>
                <w:szCs w:val="20"/>
              </w:rPr>
            </w:pPr>
            <w:r w:rsidRPr="00E97032">
              <w:rPr>
                <w:b/>
                <w:sz w:val="20"/>
                <w:szCs w:val="20"/>
              </w:rPr>
              <w:t>Trusteees of the Millwright Regional Council of Ontario</w:t>
            </w:r>
            <w:r>
              <w:rPr>
                <w:b/>
                <w:sz w:val="20"/>
                <w:szCs w:val="20"/>
              </w:rPr>
              <w:t xml:space="preserve"> </w:t>
            </w:r>
            <w:r w:rsidRPr="00E97032">
              <w:rPr>
                <w:b/>
                <w:sz w:val="20"/>
                <w:szCs w:val="20"/>
              </w:rPr>
              <w:t>(Ont.) (Civil) (By Leave)</w:t>
            </w:r>
          </w:p>
        </w:tc>
        <w:tc>
          <w:tcPr>
            <w:tcW w:w="720" w:type="dxa"/>
            <w:tcMar>
              <w:left w:w="0" w:type="dxa"/>
              <w:right w:w="0" w:type="dxa"/>
            </w:tcMar>
          </w:tcPr>
          <w:p w:rsidR="00E724B4" w:rsidRPr="00E97032" w:rsidRDefault="00E724B4" w:rsidP="00E724B4">
            <w:pPr>
              <w:widowControl w:val="0"/>
              <w:jc w:val="center"/>
              <w:rPr>
                <w:sz w:val="20"/>
                <w:szCs w:val="20"/>
              </w:rPr>
            </w:pPr>
          </w:p>
        </w:tc>
        <w:tc>
          <w:tcPr>
            <w:tcW w:w="4380" w:type="dxa"/>
            <w:tcMar>
              <w:left w:w="0" w:type="dxa"/>
              <w:right w:w="0" w:type="dxa"/>
            </w:tcMar>
          </w:tcPr>
          <w:p w:rsidR="004562FA" w:rsidRDefault="004562FA" w:rsidP="004562FA">
            <w:pPr>
              <w:jc w:val="both"/>
              <w:rPr>
                <w:sz w:val="20"/>
                <w:szCs w:val="20"/>
                <w:lang w:val="en-US"/>
              </w:rPr>
            </w:pPr>
            <w:r w:rsidRPr="00DF3284">
              <w:rPr>
                <w:sz w:val="20"/>
                <w:szCs w:val="20"/>
                <w:lang w:val="en-US"/>
              </w:rPr>
              <w:t>Sheila R. Block</w:t>
            </w:r>
            <w:r>
              <w:rPr>
                <w:sz w:val="20"/>
                <w:szCs w:val="20"/>
                <w:lang w:val="en-US"/>
              </w:rPr>
              <w:t xml:space="preserve"> and </w:t>
            </w:r>
            <w:r w:rsidRPr="00DF3284">
              <w:rPr>
                <w:sz w:val="20"/>
                <w:szCs w:val="20"/>
                <w:lang w:val="en-US"/>
              </w:rPr>
              <w:t>James C. Tory</w:t>
            </w:r>
            <w:r>
              <w:rPr>
                <w:sz w:val="20"/>
                <w:szCs w:val="20"/>
                <w:lang w:val="en-US"/>
              </w:rPr>
              <w:t xml:space="preserve"> f</w:t>
            </w:r>
            <w:r w:rsidRPr="00DF3284">
              <w:rPr>
                <w:sz w:val="20"/>
                <w:szCs w:val="20"/>
                <w:lang w:val="en-US"/>
              </w:rPr>
              <w:t xml:space="preserve">or the </w:t>
            </w:r>
            <w:r>
              <w:rPr>
                <w:sz w:val="20"/>
                <w:szCs w:val="20"/>
                <w:lang w:val="en-US"/>
              </w:rPr>
              <w:t>a</w:t>
            </w:r>
            <w:r w:rsidRPr="00DF3284">
              <w:rPr>
                <w:sz w:val="20"/>
                <w:szCs w:val="20"/>
                <w:lang w:val="en-US"/>
              </w:rPr>
              <w:t xml:space="preserve">ppellant </w:t>
            </w:r>
            <w:r w:rsidRPr="00DF3284">
              <w:rPr>
                <w:sz w:val="20"/>
                <w:szCs w:val="20"/>
              </w:rPr>
              <w:t>Canadian Imperial Bank of Commerce</w:t>
            </w:r>
            <w:r w:rsidRPr="00DF3284">
              <w:rPr>
                <w:sz w:val="20"/>
                <w:szCs w:val="20"/>
                <w:lang w:val="en-US"/>
              </w:rPr>
              <w:t xml:space="preserve"> (35807)</w:t>
            </w:r>
            <w:r>
              <w:rPr>
                <w:sz w:val="20"/>
                <w:szCs w:val="20"/>
                <w:lang w:val="en-US"/>
              </w:rPr>
              <w:t>.</w:t>
            </w:r>
          </w:p>
          <w:p w:rsidR="004562FA" w:rsidRPr="00DF3284" w:rsidRDefault="004562FA" w:rsidP="004562FA">
            <w:pPr>
              <w:jc w:val="both"/>
              <w:rPr>
                <w:sz w:val="20"/>
                <w:szCs w:val="20"/>
                <w:lang w:val="en-US"/>
              </w:rPr>
            </w:pPr>
          </w:p>
          <w:p w:rsidR="004562FA" w:rsidRDefault="004562FA" w:rsidP="004562FA">
            <w:pPr>
              <w:jc w:val="both"/>
              <w:rPr>
                <w:sz w:val="20"/>
                <w:szCs w:val="20"/>
                <w:lang w:val="en-US"/>
              </w:rPr>
            </w:pPr>
            <w:r w:rsidRPr="00DF3284">
              <w:rPr>
                <w:sz w:val="20"/>
                <w:szCs w:val="20"/>
                <w:lang w:val="en-US"/>
              </w:rPr>
              <w:t>Benjamin Zarnett</w:t>
            </w:r>
            <w:r>
              <w:rPr>
                <w:sz w:val="20"/>
                <w:szCs w:val="20"/>
                <w:lang w:val="en-US"/>
              </w:rPr>
              <w:t xml:space="preserve">, </w:t>
            </w:r>
            <w:r w:rsidRPr="00DF3284">
              <w:rPr>
                <w:sz w:val="20"/>
                <w:szCs w:val="20"/>
                <w:lang w:val="en-US"/>
              </w:rPr>
              <w:t>David D. Conklin</w:t>
            </w:r>
            <w:r>
              <w:rPr>
                <w:sz w:val="20"/>
                <w:szCs w:val="20"/>
                <w:lang w:val="en-US"/>
              </w:rPr>
              <w:t xml:space="preserve"> and </w:t>
            </w:r>
            <w:r w:rsidRPr="00DF3284">
              <w:rPr>
                <w:sz w:val="20"/>
                <w:szCs w:val="20"/>
              </w:rPr>
              <w:t>Jonathan Edge</w:t>
            </w:r>
            <w:r>
              <w:rPr>
                <w:sz w:val="20"/>
                <w:szCs w:val="20"/>
              </w:rPr>
              <w:t xml:space="preserve"> f</w:t>
            </w:r>
            <w:r w:rsidRPr="00DF3284">
              <w:rPr>
                <w:sz w:val="20"/>
                <w:szCs w:val="20"/>
                <w:lang w:val="en-US"/>
              </w:rPr>
              <w:t xml:space="preserve">or the </w:t>
            </w:r>
            <w:r>
              <w:rPr>
                <w:sz w:val="20"/>
                <w:szCs w:val="20"/>
                <w:lang w:val="en-US"/>
              </w:rPr>
              <w:t>a</w:t>
            </w:r>
            <w:r w:rsidRPr="00DF3284">
              <w:rPr>
                <w:sz w:val="20"/>
                <w:szCs w:val="20"/>
                <w:lang w:val="en-US"/>
              </w:rPr>
              <w:t xml:space="preserve">ppellants </w:t>
            </w:r>
            <w:r w:rsidRPr="00DF3284">
              <w:rPr>
                <w:sz w:val="20"/>
                <w:szCs w:val="20"/>
              </w:rPr>
              <w:t>Gerald McCaughey et al.</w:t>
            </w:r>
            <w:r w:rsidRPr="00DF3284">
              <w:rPr>
                <w:sz w:val="20"/>
                <w:szCs w:val="20"/>
                <w:lang w:val="en-US"/>
              </w:rPr>
              <w:t xml:space="preserve"> (35807)</w:t>
            </w:r>
            <w:r>
              <w:rPr>
                <w:sz w:val="20"/>
                <w:szCs w:val="20"/>
                <w:lang w:val="en-US"/>
              </w:rPr>
              <w:t>.</w:t>
            </w:r>
          </w:p>
          <w:p w:rsidR="004562FA" w:rsidRPr="00DF3284" w:rsidRDefault="004562FA" w:rsidP="004562FA">
            <w:pPr>
              <w:jc w:val="both"/>
              <w:rPr>
                <w:sz w:val="20"/>
                <w:szCs w:val="20"/>
              </w:rPr>
            </w:pPr>
          </w:p>
          <w:p w:rsidR="004562FA" w:rsidRDefault="004562FA" w:rsidP="004562FA">
            <w:pPr>
              <w:jc w:val="both"/>
              <w:rPr>
                <w:sz w:val="20"/>
                <w:szCs w:val="20"/>
                <w:lang w:val="en-US"/>
              </w:rPr>
            </w:pPr>
            <w:r w:rsidRPr="00DF3284">
              <w:rPr>
                <w:sz w:val="20"/>
                <w:szCs w:val="20"/>
              </w:rPr>
              <w:t>R. Paul Steep</w:t>
            </w:r>
            <w:r>
              <w:rPr>
                <w:sz w:val="20"/>
                <w:szCs w:val="20"/>
              </w:rPr>
              <w:t xml:space="preserve">, </w:t>
            </w:r>
            <w:r w:rsidRPr="00DF3284">
              <w:rPr>
                <w:sz w:val="20"/>
                <w:szCs w:val="20"/>
              </w:rPr>
              <w:t xml:space="preserve">Dana M. Peebles and </w:t>
            </w:r>
            <w:r w:rsidRPr="00DF3284">
              <w:rPr>
                <w:sz w:val="20"/>
                <w:szCs w:val="20"/>
                <w:lang w:val="en-US"/>
              </w:rPr>
              <w:t>Brandon Kai</w:t>
            </w:r>
            <w:r>
              <w:rPr>
                <w:sz w:val="20"/>
                <w:szCs w:val="20"/>
                <w:lang w:val="en-US"/>
              </w:rPr>
              <w:t>n f</w:t>
            </w:r>
            <w:r w:rsidRPr="00DF3284">
              <w:rPr>
                <w:sz w:val="20"/>
                <w:szCs w:val="20"/>
                <w:lang w:val="en-US"/>
              </w:rPr>
              <w:t xml:space="preserve">or the </w:t>
            </w:r>
            <w:r>
              <w:rPr>
                <w:sz w:val="20"/>
                <w:szCs w:val="20"/>
                <w:lang w:val="en-US"/>
              </w:rPr>
              <w:t>a</w:t>
            </w:r>
            <w:r w:rsidRPr="00DF3284">
              <w:rPr>
                <w:sz w:val="20"/>
                <w:szCs w:val="20"/>
                <w:lang w:val="en-US"/>
              </w:rPr>
              <w:t xml:space="preserve">ppellants </w:t>
            </w:r>
            <w:r w:rsidRPr="00DF3284">
              <w:rPr>
                <w:sz w:val="20"/>
                <w:szCs w:val="20"/>
              </w:rPr>
              <w:t>IMAX Corporation et al.</w:t>
            </w:r>
            <w:r w:rsidRPr="00DF3284">
              <w:rPr>
                <w:sz w:val="20"/>
                <w:szCs w:val="20"/>
                <w:lang w:val="en-US"/>
              </w:rPr>
              <w:t xml:space="preserve"> (35811)</w:t>
            </w:r>
            <w:r>
              <w:rPr>
                <w:sz w:val="20"/>
                <w:szCs w:val="20"/>
                <w:lang w:val="en-US"/>
              </w:rPr>
              <w:t>.</w:t>
            </w:r>
          </w:p>
          <w:p w:rsidR="004562FA" w:rsidRPr="00DF3284" w:rsidRDefault="004562FA" w:rsidP="004562FA">
            <w:pPr>
              <w:jc w:val="both"/>
              <w:rPr>
                <w:sz w:val="20"/>
                <w:szCs w:val="20"/>
              </w:rPr>
            </w:pPr>
          </w:p>
          <w:p w:rsidR="004562FA" w:rsidRDefault="004562FA" w:rsidP="004562FA">
            <w:pPr>
              <w:jc w:val="both"/>
              <w:rPr>
                <w:sz w:val="20"/>
                <w:szCs w:val="20"/>
                <w:lang w:val="en-US"/>
              </w:rPr>
            </w:pPr>
            <w:r w:rsidRPr="00DF3284">
              <w:rPr>
                <w:sz w:val="20"/>
                <w:szCs w:val="20"/>
              </w:rPr>
              <w:t>Nigel Campbell</w:t>
            </w:r>
            <w:r>
              <w:rPr>
                <w:sz w:val="20"/>
                <w:szCs w:val="20"/>
              </w:rPr>
              <w:t xml:space="preserve">, </w:t>
            </w:r>
            <w:r w:rsidRPr="00DF3284">
              <w:rPr>
                <w:sz w:val="20"/>
                <w:szCs w:val="20"/>
                <w:lang w:val="en-US"/>
              </w:rPr>
              <w:t>Andrea Laing</w:t>
            </w:r>
            <w:r>
              <w:rPr>
                <w:sz w:val="20"/>
                <w:szCs w:val="20"/>
                <w:lang w:val="en-US"/>
              </w:rPr>
              <w:t xml:space="preserve"> and </w:t>
            </w:r>
            <w:r w:rsidRPr="00DF3284">
              <w:rPr>
                <w:sz w:val="20"/>
                <w:szCs w:val="20"/>
              </w:rPr>
              <w:t>Ryan A. Morris</w:t>
            </w:r>
            <w:r>
              <w:rPr>
                <w:sz w:val="20"/>
                <w:szCs w:val="20"/>
              </w:rPr>
              <w:t xml:space="preserve"> f</w:t>
            </w:r>
            <w:r w:rsidRPr="00DF3284">
              <w:rPr>
                <w:sz w:val="20"/>
                <w:szCs w:val="20"/>
                <w:lang w:val="en-US"/>
              </w:rPr>
              <w:t xml:space="preserve">or the </w:t>
            </w:r>
            <w:r>
              <w:rPr>
                <w:sz w:val="20"/>
                <w:szCs w:val="20"/>
                <w:lang w:val="en-US"/>
              </w:rPr>
              <w:t>a</w:t>
            </w:r>
            <w:r w:rsidRPr="00DF3284">
              <w:rPr>
                <w:sz w:val="20"/>
                <w:szCs w:val="20"/>
                <w:lang w:val="en-US"/>
              </w:rPr>
              <w:t xml:space="preserve">ppellants </w:t>
            </w:r>
            <w:r w:rsidRPr="00DF3284">
              <w:rPr>
                <w:sz w:val="20"/>
                <w:szCs w:val="20"/>
              </w:rPr>
              <w:t>Celestica Inc. et al.</w:t>
            </w:r>
            <w:r w:rsidRPr="00DF3284">
              <w:rPr>
                <w:sz w:val="20"/>
                <w:szCs w:val="20"/>
                <w:lang w:val="en-US"/>
              </w:rPr>
              <w:t xml:space="preserve"> (35813)</w:t>
            </w:r>
            <w:r>
              <w:rPr>
                <w:sz w:val="20"/>
                <w:szCs w:val="20"/>
                <w:lang w:val="en-US"/>
              </w:rPr>
              <w:t>.</w:t>
            </w:r>
          </w:p>
          <w:p w:rsidR="004562FA" w:rsidRDefault="004562FA" w:rsidP="004562FA">
            <w:pPr>
              <w:jc w:val="both"/>
              <w:rPr>
                <w:sz w:val="20"/>
                <w:szCs w:val="20"/>
                <w:lang w:val="en-US"/>
              </w:rPr>
            </w:pPr>
          </w:p>
          <w:p w:rsidR="004562FA" w:rsidRDefault="004562FA" w:rsidP="004562FA">
            <w:pPr>
              <w:tabs>
                <w:tab w:val="left" w:pos="720"/>
                <w:tab w:val="left" w:pos="1440"/>
                <w:tab w:val="left" w:pos="2160"/>
                <w:tab w:val="left" w:pos="2880"/>
                <w:tab w:val="left" w:pos="3600"/>
                <w:tab w:val="left" w:pos="4320"/>
                <w:tab w:val="left" w:pos="5040"/>
                <w:tab w:val="left" w:pos="5760"/>
                <w:tab w:val="right" w:pos="9360"/>
              </w:tabs>
              <w:jc w:val="both"/>
              <w:rPr>
                <w:sz w:val="20"/>
                <w:szCs w:val="20"/>
                <w:lang w:val="en-US"/>
              </w:rPr>
            </w:pPr>
            <w:r w:rsidRPr="00DF3284">
              <w:rPr>
                <w:sz w:val="20"/>
                <w:szCs w:val="20"/>
                <w:lang w:val="en-US"/>
              </w:rPr>
              <w:t>Alan L.W. D’Silva</w:t>
            </w:r>
            <w:r>
              <w:rPr>
                <w:sz w:val="20"/>
                <w:szCs w:val="20"/>
                <w:lang w:val="en-US"/>
              </w:rPr>
              <w:t xml:space="preserve">, </w:t>
            </w:r>
            <w:r w:rsidRPr="00DF3284">
              <w:rPr>
                <w:sz w:val="20"/>
                <w:szCs w:val="20"/>
                <w:lang w:val="en-US"/>
              </w:rPr>
              <w:t>Daniel S. Murdoch</w:t>
            </w:r>
            <w:r>
              <w:rPr>
                <w:sz w:val="20"/>
                <w:szCs w:val="20"/>
                <w:lang w:val="en-US"/>
              </w:rPr>
              <w:t xml:space="preserve"> and </w:t>
            </w:r>
            <w:r w:rsidRPr="00DF3284">
              <w:rPr>
                <w:sz w:val="20"/>
                <w:szCs w:val="20"/>
              </w:rPr>
              <w:t>Sinziana R. Hennig</w:t>
            </w:r>
            <w:r>
              <w:rPr>
                <w:sz w:val="20"/>
                <w:szCs w:val="20"/>
              </w:rPr>
              <w:t xml:space="preserve"> f</w:t>
            </w:r>
            <w:r w:rsidRPr="00DF3284">
              <w:rPr>
                <w:sz w:val="20"/>
                <w:szCs w:val="20"/>
                <w:lang w:val="en-US"/>
              </w:rPr>
              <w:t xml:space="preserve">or the </w:t>
            </w:r>
            <w:r>
              <w:rPr>
                <w:sz w:val="20"/>
                <w:szCs w:val="20"/>
                <w:lang w:val="en-US"/>
              </w:rPr>
              <w:t>i</w:t>
            </w:r>
            <w:r w:rsidRPr="00DF3284">
              <w:rPr>
                <w:sz w:val="20"/>
                <w:szCs w:val="20"/>
                <w:lang w:val="en-US"/>
              </w:rPr>
              <w:t xml:space="preserve">ntervener </w:t>
            </w:r>
            <w:r w:rsidRPr="00DF3284">
              <w:rPr>
                <w:sz w:val="20"/>
                <w:szCs w:val="20"/>
              </w:rPr>
              <w:t>Insurance Bureau of Canada</w:t>
            </w:r>
            <w:r w:rsidRPr="00DF3284">
              <w:rPr>
                <w:sz w:val="20"/>
                <w:szCs w:val="20"/>
                <w:lang w:val="en-US"/>
              </w:rPr>
              <w:t xml:space="preserve"> (35807)</w:t>
            </w:r>
            <w:r>
              <w:rPr>
                <w:sz w:val="20"/>
                <w:szCs w:val="20"/>
                <w:lang w:val="en-US"/>
              </w:rPr>
              <w:t>.</w:t>
            </w:r>
          </w:p>
          <w:p w:rsidR="004562FA" w:rsidRPr="00DF3284" w:rsidRDefault="004562FA" w:rsidP="004562FA">
            <w:pPr>
              <w:jc w:val="both"/>
              <w:rPr>
                <w:sz w:val="20"/>
                <w:szCs w:val="20"/>
                <w:lang w:val="en-US"/>
              </w:rPr>
            </w:pPr>
          </w:p>
          <w:p w:rsidR="004562FA" w:rsidRDefault="004562FA" w:rsidP="004562FA">
            <w:pPr>
              <w:jc w:val="both"/>
              <w:rPr>
                <w:sz w:val="20"/>
                <w:szCs w:val="20"/>
                <w:lang w:val="en-US"/>
              </w:rPr>
            </w:pPr>
            <w:r w:rsidRPr="00DF3284">
              <w:rPr>
                <w:sz w:val="20"/>
                <w:szCs w:val="20"/>
                <w:lang w:val="en-US"/>
              </w:rPr>
              <w:t>Peter R. Jervis</w:t>
            </w:r>
            <w:r>
              <w:rPr>
                <w:sz w:val="20"/>
                <w:szCs w:val="20"/>
                <w:lang w:val="en-US"/>
              </w:rPr>
              <w:t xml:space="preserve">, </w:t>
            </w:r>
            <w:r w:rsidRPr="00DF3284">
              <w:rPr>
                <w:sz w:val="20"/>
                <w:szCs w:val="20"/>
                <w:lang w:val="en-US"/>
              </w:rPr>
              <w:t>Joel P. Rochon</w:t>
            </w:r>
            <w:r>
              <w:rPr>
                <w:sz w:val="20"/>
                <w:szCs w:val="20"/>
                <w:lang w:val="en-US"/>
              </w:rPr>
              <w:t xml:space="preserve">, </w:t>
            </w:r>
            <w:r w:rsidRPr="00DF3284">
              <w:rPr>
                <w:sz w:val="20"/>
                <w:szCs w:val="20"/>
              </w:rPr>
              <w:t>Sakie Tambakos</w:t>
            </w:r>
            <w:r>
              <w:rPr>
                <w:sz w:val="20"/>
                <w:szCs w:val="20"/>
              </w:rPr>
              <w:t xml:space="preserve"> and </w:t>
            </w:r>
            <w:r w:rsidRPr="00DF3284">
              <w:rPr>
                <w:sz w:val="20"/>
                <w:szCs w:val="20"/>
              </w:rPr>
              <w:t>Remissa Hirji</w:t>
            </w:r>
            <w:r>
              <w:rPr>
                <w:sz w:val="20"/>
                <w:szCs w:val="20"/>
              </w:rPr>
              <w:t xml:space="preserve"> f</w:t>
            </w:r>
            <w:r w:rsidRPr="00DF3284">
              <w:rPr>
                <w:sz w:val="20"/>
                <w:szCs w:val="20"/>
                <w:lang w:val="en-US"/>
              </w:rPr>
              <w:t xml:space="preserve">or the </w:t>
            </w:r>
            <w:r>
              <w:rPr>
                <w:sz w:val="20"/>
                <w:szCs w:val="20"/>
                <w:lang w:val="en-US"/>
              </w:rPr>
              <w:t>r</w:t>
            </w:r>
            <w:r w:rsidRPr="00DF3284">
              <w:rPr>
                <w:sz w:val="20"/>
                <w:szCs w:val="20"/>
                <w:lang w:val="en-US"/>
              </w:rPr>
              <w:t xml:space="preserve">espondents </w:t>
            </w:r>
            <w:r w:rsidRPr="00DF3284">
              <w:rPr>
                <w:sz w:val="20"/>
                <w:szCs w:val="20"/>
              </w:rPr>
              <w:t>Howard Green et al.</w:t>
            </w:r>
            <w:r w:rsidRPr="00DF3284">
              <w:rPr>
                <w:sz w:val="20"/>
                <w:szCs w:val="20"/>
                <w:lang w:val="en-US"/>
              </w:rPr>
              <w:t xml:space="preserve"> (35807)</w:t>
            </w:r>
            <w:r>
              <w:rPr>
                <w:sz w:val="20"/>
                <w:szCs w:val="20"/>
                <w:lang w:val="en-US"/>
              </w:rPr>
              <w:t>.</w:t>
            </w:r>
          </w:p>
          <w:p w:rsidR="004562FA" w:rsidRDefault="004562FA" w:rsidP="004562FA">
            <w:pPr>
              <w:jc w:val="both"/>
              <w:rPr>
                <w:sz w:val="20"/>
                <w:szCs w:val="20"/>
                <w:lang w:val="en-US"/>
              </w:rPr>
            </w:pPr>
          </w:p>
          <w:p w:rsidR="004562FA" w:rsidRDefault="004562FA" w:rsidP="004562FA">
            <w:pPr>
              <w:jc w:val="both"/>
              <w:rPr>
                <w:sz w:val="20"/>
                <w:szCs w:val="20"/>
                <w:lang w:val="en-US"/>
              </w:rPr>
            </w:pPr>
            <w:r w:rsidRPr="00DF3284">
              <w:rPr>
                <w:sz w:val="20"/>
                <w:szCs w:val="20"/>
                <w:lang w:val="en-US"/>
              </w:rPr>
              <w:t>A. Dimitri Lascaris</w:t>
            </w:r>
            <w:r>
              <w:rPr>
                <w:sz w:val="20"/>
                <w:szCs w:val="20"/>
                <w:lang w:val="en-US"/>
              </w:rPr>
              <w:t xml:space="preserve">, </w:t>
            </w:r>
            <w:r w:rsidRPr="00DF3284">
              <w:rPr>
                <w:sz w:val="20"/>
                <w:szCs w:val="20"/>
                <w:lang w:val="en-US"/>
              </w:rPr>
              <w:t>William V. Sasso</w:t>
            </w:r>
            <w:r>
              <w:rPr>
                <w:sz w:val="20"/>
                <w:szCs w:val="20"/>
                <w:lang w:val="en-US"/>
              </w:rPr>
              <w:t xml:space="preserve">, </w:t>
            </w:r>
            <w:r w:rsidRPr="00DF3284">
              <w:rPr>
                <w:sz w:val="20"/>
                <w:szCs w:val="20"/>
                <w:lang w:val="en-US"/>
              </w:rPr>
              <w:t>Michael Robb</w:t>
            </w:r>
            <w:r>
              <w:rPr>
                <w:sz w:val="20"/>
                <w:szCs w:val="20"/>
                <w:lang w:val="en-US"/>
              </w:rPr>
              <w:t xml:space="preserve">, </w:t>
            </w:r>
            <w:r w:rsidRPr="00DF3284">
              <w:rPr>
                <w:sz w:val="20"/>
                <w:szCs w:val="20"/>
                <w:lang w:val="en-US"/>
              </w:rPr>
              <w:t>Daniel E.H. Bach</w:t>
            </w:r>
            <w:r>
              <w:rPr>
                <w:sz w:val="20"/>
                <w:szCs w:val="20"/>
                <w:lang w:val="en-US"/>
              </w:rPr>
              <w:t xml:space="preserve"> and </w:t>
            </w:r>
            <w:r w:rsidRPr="00DF3284">
              <w:rPr>
                <w:sz w:val="20"/>
                <w:szCs w:val="20"/>
                <w:lang w:val="en-US"/>
              </w:rPr>
              <w:t>Serge Kalloghlian</w:t>
            </w:r>
            <w:r>
              <w:rPr>
                <w:sz w:val="20"/>
                <w:szCs w:val="20"/>
                <w:lang w:val="en-US"/>
              </w:rPr>
              <w:t xml:space="preserve"> f</w:t>
            </w:r>
            <w:r w:rsidRPr="00DF3284">
              <w:rPr>
                <w:sz w:val="20"/>
                <w:szCs w:val="20"/>
                <w:lang w:val="en-US"/>
              </w:rPr>
              <w:t xml:space="preserve">or the </w:t>
            </w:r>
            <w:r>
              <w:rPr>
                <w:sz w:val="20"/>
                <w:szCs w:val="20"/>
                <w:lang w:val="en-US"/>
              </w:rPr>
              <w:t>r</w:t>
            </w:r>
            <w:r w:rsidRPr="00DF3284">
              <w:rPr>
                <w:sz w:val="20"/>
                <w:szCs w:val="20"/>
                <w:lang w:val="en-US"/>
              </w:rPr>
              <w:t>espondents Marvin Neil Silver et al. (35811)</w:t>
            </w:r>
            <w:r>
              <w:rPr>
                <w:sz w:val="20"/>
                <w:szCs w:val="20"/>
                <w:lang w:val="en-US"/>
              </w:rPr>
              <w:t>.</w:t>
            </w:r>
          </w:p>
          <w:p w:rsidR="004562FA" w:rsidRPr="00DF3284" w:rsidRDefault="004562FA" w:rsidP="004562FA">
            <w:pPr>
              <w:jc w:val="both"/>
              <w:rPr>
                <w:sz w:val="20"/>
                <w:szCs w:val="20"/>
                <w:lang w:val="en-US"/>
              </w:rPr>
            </w:pPr>
          </w:p>
          <w:p w:rsidR="004562FA" w:rsidRDefault="004562FA" w:rsidP="004562FA">
            <w:pPr>
              <w:jc w:val="both"/>
              <w:rPr>
                <w:sz w:val="20"/>
                <w:szCs w:val="20"/>
                <w:lang w:val="en-US"/>
              </w:rPr>
            </w:pPr>
            <w:r w:rsidRPr="00DF3284">
              <w:rPr>
                <w:sz w:val="20"/>
                <w:szCs w:val="20"/>
                <w:lang w:val="en-US"/>
              </w:rPr>
              <w:t>Kirk M. Baert</w:t>
            </w:r>
            <w:r>
              <w:rPr>
                <w:sz w:val="20"/>
                <w:szCs w:val="20"/>
                <w:lang w:val="en-US"/>
              </w:rPr>
              <w:t xml:space="preserve"> and </w:t>
            </w:r>
            <w:r w:rsidRPr="00DF3284">
              <w:rPr>
                <w:sz w:val="20"/>
                <w:szCs w:val="20"/>
                <w:lang w:val="en-US"/>
              </w:rPr>
              <w:t>Celeste B. Poltak</w:t>
            </w:r>
            <w:r>
              <w:rPr>
                <w:sz w:val="20"/>
                <w:szCs w:val="20"/>
                <w:lang w:val="en-US"/>
              </w:rPr>
              <w:t xml:space="preserve"> f</w:t>
            </w:r>
            <w:r w:rsidRPr="00DF3284">
              <w:rPr>
                <w:sz w:val="20"/>
                <w:szCs w:val="20"/>
                <w:lang w:val="en-US"/>
              </w:rPr>
              <w:t xml:space="preserve">or the </w:t>
            </w:r>
            <w:r>
              <w:rPr>
                <w:sz w:val="20"/>
                <w:szCs w:val="20"/>
                <w:lang w:val="en-US"/>
              </w:rPr>
              <w:t>r</w:t>
            </w:r>
            <w:r w:rsidRPr="00DF3284">
              <w:rPr>
                <w:sz w:val="20"/>
                <w:szCs w:val="20"/>
                <w:lang w:val="en-US"/>
              </w:rPr>
              <w:t xml:space="preserve">espondents </w:t>
            </w:r>
            <w:r w:rsidRPr="00DF3284">
              <w:rPr>
                <w:sz w:val="20"/>
                <w:szCs w:val="20"/>
              </w:rPr>
              <w:t>Trustees of the Millwright Regional Council of Ontario Pension Trust Fund et al.</w:t>
            </w:r>
            <w:r w:rsidRPr="00DF3284">
              <w:rPr>
                <w:sz w:val="20"/>
                <w:szCs w:val="20"/>
                <w:lang w:val="en-US"/>
              </w:rPr>
              <w:t xml:space="preserve"> (35813)</w:t>
            </w:r>
            <w:r>
              <w:rPr>
                <w:sz w:val="20"/>
                <w:szCs w:val="20"/>
                <w:lang w:val="en-US"/>
              </w:rPr>
              <w:t>.</w:t>
            </w:r>
          </w:p>
          <w:p w:rsidR="004562FA" w:rsidRDefault="004562FA" w:rsidP="004562FA">
            <w:pPr>
              <w:jc w:val="both"/>
              <w:rPr>
                <w:sz w:val="20"/>
                <w:szCs w:val="20"/>
                <w:lang w:val="en-US"/>
              </w:rPr>
            </w:pPr>
          </w:p>
          <w:p w:rsidR="004562FA" w:rsidRDefault="004562FA" w:rsidP="004562FA">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sz w:val="20"/>
                <w:szCs w:val="20"/>
                <w:lang w:val="en-US"/>
              </w:rPr>
            </w:pPr>
            <w:r w:rsidRPr="00DF3284">
              <w:rPr>
                <w:sz w:val="20"/>
                <w:szCs w:val="20"/>
                <w:lang w:val="en-US"/>
              </w:rPr>
              <w:t>Written submission only</w:t>
            </w:r>
            <w:r>
              <w:rPr>
                <w:sz w:val="20"/>
                <w:szCs w:val="20"/>
                <w:lang w:val="en-US"/>
              </w:rPr>
              <w:t xml:space="preserve"> f</w:t>
            </w:r>
            <w:r w:rsidRPr="00DF3284">
              <w:rPr>
                <w:sz w:val="20"/>
                <w:szCs w:val="20"/>
                <w:lang w:val="en-US"/>
              </w:rPr>
              <w:t xml:space="preserve">or the </w:t>
            </w:r>
            <w:r>
              <w:rPr>
                <w:sz w:val="20"/>
                <w:szCs w:val="20"/>
                <w:lang w:val="en-US"/>
              </w:rPr>
              <w:t>i</w:t>
            </w:r>
            <w:r w:rsidRPr="00DF3284">
              <w:rPr>
                <w:sz w:val="20"/>
                <w:szCs w:val="20"/>
                <w:lang w:val="en-US"/>
              </w:rPr>
              <w:t xml:space="preserve">ntervener </w:t>
            </w:r>
            <w:r w:rsidRPr="00DF3284">
              <w:rPr>
                <w:sz w:val="20"/>
                <w:szCs w:val="20"/>
              </w:rPr>
              <w:t>Canadian Foundation for</w:t>
            </w:r>
            <w:r>
              <w:rPr>
                <w:sz w:val="20"/>
                <w:szCs w:val="20"/>
              </w:rPr>
              <w:t xml:space="preserve"> </w:t>
            </w:r>
            <w:r w:rsidRPr="00DF3284">
              <w:rPr>
                <w:sz w:val="20"/>
                <w:szCs w:val="20"/>
              </w:rPr>
              <w:t>Advancement of Investor Rights</w:t>
            </w:r>
            <w:r>
              <w:rPr>
                <w:sz w:val="20"/>
                <w:szCs w:val="20"/>
              </w:rPr>
              <w:t xml:space="preserve"> (</w:t>
            </w:r>
            <w:r w:rsidRPr="00DF3284">
              <w:rPr>
                <w:sz w:val="20"/>
                <w:szCs w:val="20"/>
                <w:lang w:val="en-US"/>
              </w:rPr>
              <w:t>35807-35811-35813)</w:t>
            </w:r>
            <w:r>
              <w:rPr>
                <w:sz w:val="20"/>
                <w:szCs w:val="20"/>
                <w:lang w:val="en-US"/>
              </w:rPr>
              <w:t>.</w:t>
            </w:r>
          </w:p>
          <w:p w:rsidR="004562FA" w:rsidRPr="00DF3284" w:rsidRDefault="004562FA" w:rsidP="004562FA">
            <w:pPr>
              <w:jc w:val="both"/>
              <w:rPr>
                <w:sz w:val="20"/>
                <w:szCs w:val="20"/>
              </w:rPr>
            </w:pPr>
          </w:p>
          <w:p w:rsidR="004562FA" w:rsidRDefault="004562FA" w:rsidP="004562FA">
            <w:pPr>
              <w:tabs>
                <w:tab w:val="left" w:pos="720"/>
                <w:tab w:val="left" w:pos="1440"/>
                <w:tab w:val="left" w:pos="2160"/>
                <w:tab w:val="left" w:pos="2880"/>
                <w:tab w:val="left" w:pos="3600"/>
                <w:tab w:val="left" w:pos="4320"/>
                <w:tab w:val="left" w:pos="5040"/>
                <w:tab w:val="left" w:pos="7920"/>
              </w:tabs>
              <w:jc w:val="both"/>
              <w:rPr>
                <w:sz w:val="20"/>
                <w:szCs w:val="20"/>
                <w:lang w:val="en-US"/>
              </w:rPr>
            </w:pPr>
            <w:r w:rsidRPr="00DF3284">
              <w:rPr>
                <w:sz w:val="20"/>
                <w:szCs w:val="20"/>
                <w:lang w:val="en-US"/>
              </w:rPr>
              <w:t xml:space="preserve">Written submission only </w:t>
            </w:r>
            <w:r>
              <w:rPr>
                <w:sz w:val="20"/>
                <w:szCs w:val="20"/>
                <w:lang w:val="en-US"/>
              </w:rPr>
              <w:t xml:space="preserve">by </w:t>
            </w:r>
            <w:r w:rsidRPr="00DF3284">
              <w:rPr>
                <w:sz w:val="20"/>
                <w:szCs w:val="20"/>
                <w:lang w:val="en-US"/>
              </w:rPr>
              <w:t>Anna Perschy</w:t>
            </w:r>
            <w:r>
              <w:rPr>
                <w:sz w:val="20"/>
                <w:szCs w:val="20"/>
                <w:lang w:val="en-US"/>
              </w:rPr>
              <w:t xml:space="preserve"> and </w:t>
            </w:r>
            <w:r w:rsidRPr="00DF3284">
              <w:rPr>
                <w:sz w:val="20"/>
                <w:szCs w:val="20"/>
                <w:lang w:val="en-US"/>
              </w:rPr>
              <w:t>Amanda Heydon</w:t>
            </w:r>
            <w:r>
              <w:rPr>
                <w:sz w:val="20"/>
                <w:szCs w:val="20"/>
                <w:lang w:val="en-US"/>
              </w:rPr>
              <w:t xml:space="preserve"> for t</w:t>
            </w:r>
            <w:r w:rsidRPr="00DF3284">
              <w:rPr>
                <w:sz w:val="20"/>
                <w:szCs w:val="20"/>
                <w:lang w:val="en-US"/>
              </w:rPr>
              <w:t xml:space="preserve">he </w:t>
            </w:r>
            <w:r>
              <w:rPr>
                <w:sz w:val="20"/>
                <w:szCs w:val="20"/>
                <w:lang w:val="en-US"/>
              </w:rPr>
              <w:t>i</w:t>
            </w:r>
            <w:r w:rsidRPr="00DF3284">
              <w:rPr>
                <w:sz w:val="20"/>
                <w:szCs w:val="20"/>
                <w:lang w:val="en-US"/>
              </w:rPr>
              <w:t xml:space="preserve">ntervener </w:t>
            </w:r>
            <w:r w:rsidRPr="00DF3284">
              <w:rPr>
                <w:sz w:val="20"/>
                <w:szCs w:val="20"/>
              </w:rPr>
              <w:t>Ontario Securities Commission</w:t>
            </w:r>
            <w:r>
              <w:rPr>
                <w:sz w:val="20"/>
                <w:szCs w:val="20"/>
              </w:rPr>
              <w:t xml:space="preserve"> </w:t>
            </w:r>
            <w:r w:rsidRPr="00DF3284">
              <w:rPr>
                <w:sz w:val="20"/>
                <w:szCs w:val="20"/>
                <w:lang w:val="en-US"/>
              </w:rPr>
              <w:t>(35807-35811-35813)</w:t>
            </w:r>
            <w:r>
              <w:rPr>
                <w:sz w:val="20"/>
                <w:szCs w:val="20"/>
                <w:lang w:val="en-US"/>
              </w:rPr>
              <w:t>.</w:t>
            </w:r>
          </w:p>
          <w:p w:rsidR="004562FA" w:rsidRPr="00DF3284" w:rsidRDefault="004562FA" w:rsidP="004562FA">
            <w:pPr>
              <w:tabs>
                <w:tab w:val="left" w:pos="720"/>
                <w:tab w:val="left" w:pos="1440"/>
                <w:tab w:val="left" w:pos="2160"/>
                <w:tab w:val="left" w:pos="2880"/>
                <w:tab w:val="left" w:pos="3600"/>
                <w:tab w:val="left" w:pos="4320"/>
                <w:tab w:val="left" w:pos="5040"/>
                <w:tab w:val="left" w:pos="5760"/>
                <w:tab w:val="right" w:pos="9360"/>
              </w:tabs>
              <w:jc w:val="both"/>
              <w:rPr>
                <w:sz w:val="20"/>
                <w:szCs w:val="20"/>
                <w:lang w:val="en-US"/>
              </w:rPr>
            </w:pPr>
          </w:p>
          <w:p w:rsidR="00E724B4" w:rsidRPr="00E97032" w:rsidRDefault="004562FA" w:rsidP="004562FA">
            <w:pPr>
              <w:widowControl w:val="0"/>
              <w:jc w:val="both"/>
              <w:rPr>
                <w:sz w:val="20"/>
                <w:szCs w:val="20"/>
              </w:rPr>
            </w:pPr>
            <w:r w:rsidRPr="00DF3284">
              <w:rPr>
                <w:sz w:val="20"/>
                <w:szCs w:val="20"/>
                <w:lang w:val="en-US"/>
              </w:rPr>
              <w:t xml:space="preserve">Written submission only </w:t>
            </w:r>
            <w:r>
              <w:rPr>
                <w:sz w:val="20"/>
                <w:szCs w:val="20"/>
                <w:lang w:val="en-US"/>
              </w:rPr>
              <w:t xml:space="preserve">by </w:t>
            </w:r>
            <w:r w:rsidRPr="00DF3284">
              <w:rPr>
                <w:sz w:val="20"/>
                <w:szCs w:val="20"/>
                <w:lang w:val="en-US"/>
              </w:rPr>
              <w:t>Bonnie Roberts Jones</w:t>
            </w:r>
            <w:r>
              <w:rPr>
                <w:sz w:val="20"/>
                <w:szCs w:val="20"/>
                <w:lang w:val="en-US"/>
              </w:rPr>
              <w:t xml:space="preserve"> f</w:t>
            </w:r>
            <w:r w:rsidRPr="00DF3284">
              <w:rPr>
                <w:sz w:val="20"/>
                <w:szCs w:val="20"/>
                <w:lang w:val="en-US"/>
              </w:rPr>
              <w:t xml:space="preserve">or the </w:t>
            </w:r>
            <w:r>
              <w:rPr>
                <w:sz w:val="20"/>
                <w:szCs w:val="20"/>
                <w:lang w:val="en-US"/>
              </w:rPr>
              <w:t>i</w:t>
            </w:r>
            <w:r w:rsidRPr="00DF3284">
              <w:rPr>
                <w:sz w:val="20"/>
                <w:szCs w:val="20"/>
                <w:lang w:val="en-US"/>
              </w:rPr>
              <w:t xml:space="preserve">ntervener </w:t>
            </w:r>
            <w:r w:rsidRPr="00DF3284">
              <w:rPr>
                <w:sz w:val="20"/>
                <w:szCs w:val="20"/>
              </w:rPr>
              <w:t>Shareholder Association for Research and Education</w:t>
            </w:r>
            <w:r w:rsidRPr="00DF3284">
              <w:rPr>
                <w:sz w:val="20"/>
                <w:szCs w:val="20"/>
                <w:lang w:val="en-US"/>
              </w:rPr>
              <w:t xml:space="preserve"> (35807)</w:t>
            </w:r>
            <w:r>
              <w:rPr>
                <w:sz w:val="20"/>
                <w:szCs w:val="20"/>
                <w:lang w:val="en-US"/>
              </w:rPr>
              <w:t>.</w:t>
            </w:r>
          </w:p>
        </w:tc>
      </w:tr>
    </w:tbl>
    <w:p w:rsidR="00E724B4" w:rsidRPr="00E97032" w:rsidRDefault="00E724B4" w:rsidP="00E724B4">
      <w:pPr>
        <w:widowControl w:val="0"/>
        <w:rPr>
          <w:sz w:val="20"/>
          <w:szCs w:val="20"/>
        </w:rPr>
      </w:pPr>
    </w:p>
    <w:p w:rsidR="00E724B4" w:rsidRPr="00E04ACC" w:rsidRDefault="00E724B4" w:rsidP="00E724B4">
      <w:pPr>
        <w:widowControl w:val="0"/>
        <w:rPr>
          <w:sz w:val="20"/>
          <w:szCs w:val="20"/>
          <w:lang w:val="fr-CA"/>
        </w:rPr>
      </w:pPr>
      <w:r w:rsidRPr="00E04ACC">
        <w:rPr>
          <w:b/>
          <w:sz w:val="20"/>
          <w:szCs w:val="20"/>
          <w:lang w:val="fr-CA"/>
        </w:rPr>
        <w:t xml:space="preserve">RESERVED / </w:t>
      </w:r>
      <w:r w:rsidRPr="0085476B">
        <w:rPr>
          <w:b/>
          <w:sz w:val="20"/>
          <w:szCs w:val="20"/>
          <w:lang w:val="fr-CA"/>
        </w:rPr>
        <w:t>E</w:t>
      </w:r>
      <w:r>
        <w:rPr>
          <w:b/>
          <w:sz w:val="20"/>
          <w:szCs w:val="20"/>
          <w:lang w:val="fr-CA"/>
        </w:rPr>
        <w:t>N DÉLIBÉRÉ</w:t>
      </w:r>
    </w:p>
    <w:p w:rsidR="00E724B4" w:rsidRPr="00E04ACC" w:rsidRDefault="00E724B4" w:rsidP="00E724B4">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724B4" w:rsidRPr="00F70079" w:rsidTr="00E724B4">
        <w:tc>
          <w:tcPr>
            <w:tcW w:w="4380" w:type="dxa"/>
            <w:tcMar>
              <w:left w:w="0" w:type="dxa"/>
              <w:right w:w="0" w:type="dxa"/>
            </w:tcMar>
          </w:tcPr>
          <w:p w:rsidR="00E724B4" w:rsidRPr="001C767B" w:rsidRDefault="00E724B4" w:rsidP="00E724B4">
            <w:pPr>
              <w:widowControl w:val="0"/>
              <w:jc w:val="both"/>
              <w:rPr>
                <w:b/>
                <w:sz w:val="20"/>
                <w:szCs w:val="20"/>
                <w:u w:val="single"/>
              </w:rPr>
            </w:pPr>
            <w:r w:rsidRPr="001C767B">
              <w:rPr>
                <w:b/>
                <w:sz w:val="20"/>
                <w:szCs w:val="20"/>
                <w:u w:val="single"/>
              </w:rPr>
              <w:t>Nature of the case</w:t>
            </w:r>
            <w:r w:rsidR="00E97032" w:rsidRPr="001C767B">
              <w:rPr>
                <w:b/>
                <w:sz w:val="20"/>
                <w:szCs w:val="20"/>
                <w:u w:val="single"/>
              </w:rPr>
              <w:t xml:space="preserve"> - 35807</w:t>
            </w:r>
            <w:r w:rsidRPr="001C767B">
              <w:rPr>
                <w:b/>
                <w:sz w:val="20"/>
                <w:szCs w:val="20"/>
                <w:u w:val="single"/>
              </w:rPr>
              <w:t>:</w:t>
            </w:r>
          </w:p>
          <w:p w:rsidR="00E724B4" w:rsidRPr="001C767B" w:rsidRDefault="00E724B4" w:rsidP="00E724B4">
            <w:pPr>
              <w:widowControl w:val="0"/>
              <w:jc w:val="both"/>
              <w:rPr>
                <w:b/>
                <w:sz w:val="20"/>
                <w:szCs w:val="20"/>
              </w:rPr>
            </w:pPr>
          </w:p>
          <w:p w:rsidR="00E724B4" w:rsidRPr="001C767B" w:rsidRDefault="001C767B" w:rsidP="00E724B4">
            <w:pPr>
              <w:widowControl w:val="0"/>
              <w:jc w:val="both"/>
              <w:rPr>
                <w:b/>
                <w:sz w:val="20"/>
                <w:szCs w:val="20"/>
              </w:rPr>
            </w:pPr>
            <w:r w:rsidRPr="00DE4307">
              <w:rPr>
                <w:sz w:val="20"/>
                <w:szCs w:val="20"/>
              </w:rPr>
              <w:t xml:space="preserve">Limitation of actions - Legislation - Interpretation - Civil procedure - Class actions - Securities - Statutory claim - Statement of claim in proposed class action indicating that plaintiffs will seek order granting leave </w:t>
            </w:r>
            <w:r w:rsidRPr="00DE4307">
              <w:rPr>
                <w:sz w:val="20"/>
                <w:szCs w:val="20"/>
              </w:rPr>
              <w:lastRenderedPageBreak/>
              <w:t xml:space="preserve">to assert statutory cause of action for misrepresentation provided by s. 138.3 of Part XXIII.1 of Ontario </w:t>
            </w:r>
            <w:r w:rsidRPr="00DE4307">
              <w:rPr>
                <w:i/>
                <w:sz w:val="20"/>
                <w:szCs w:val="20"/>
              </w:rPr>
              <w:t>Securities Act</w:t>
            </w:r>
            <w:r w:rsidRPr="00DE4307">
              <w:rPr>
                <w:sz w:val="20"/>
                <w:szCs w:val="20"/>
              </w:rPr>
              <w:t xml:space="preserve"> - Leave not obtained prior to expiry of three-year limitation period set out in s. 138.14 of </w:t>
            </w:r>
            <w:r w:rsidRPr="00DE4307">
              <w:rPr>
                <w:i/>
                <w:sz w:val="20"/>
                <w:szCs w:val="20"/>
              </w:rPr>
              <w:t>Securities Act</w:t>
            </w:r>
            <w:r w:rsidRPr="00DE4307">
              <w:rPr>
                <w:sz w:val="20"/>
                <w:szCs w:val="20"/>
              </w:rPr>
              <w:t xml:space="preserve"> - Whether the s. 138.14 limitation period was suspended by s. 28 of the </w:t>
            </w:r>
            <w:r w:rsidRPr="00DE4307">
              <w:rPr>
                <w:i/>
                <w:sz w:val="20"/>
                <w:szCs w:val="20"/>
              </w:rPr>
              <w:t>Class Proceedings Act</w:t>
            </w:r>
            <w:r w:rsidRPr="00DE4307">
              <w:rPr>
                <w:sz w:val="20"/>
                <w:szCs w:val="20"/>
              </w:rPr>
              <w:t xml:space="preserve"> prior to the grant of leave - Whether a class proceeding based on the common law cause of action can be the preferable procedure for resolving a secondary market misrepresentation claim - Whether the test for granting leave under s. 138.8 was properly interpreted and applied - </w:t>
            </w:r>
            <w:r w:rsidRPr="00DE4307">
              <w:rPr>
                <w:i/>
                <w:sz w:val="20"/>
                <w:szCs w:val="20"/>
              </w:rPr>
              <w:t>Securities Act</w:t>
            </w:r>
            <w:r w:rsidRPr="00DE4307">
              <w:rPr>
                <w:sz w:val="20"/>
                <w:szCs w:val="20"/>
              </w:rPr>
              <w:t xml:space="preserve">, R.S.O. 1990, c. S.5, ss. 138.3, 138.8, 138.14 - </w:t>
            </w:r>
            <w:r w:rsidRPr="00DE4307">
              <w:rPr>
                <w:i/>
                <w:sz w:val="20"/>
                <w:szCs w:val="20"/>
              </w:rPr>
              <w:t>Class Proceedings Act, 1992</w:t>
            </w:r>
            <w:r w:rsidRPr="00DE4307">
              <w:rPr>
                <w:sz w:val="20"/>
                <w:szCs w:val="20"/>
              </w:rPr>
              <w:t>, S.O. 1992, c. 6, s. 28.</w:t>
            </w:r>
          </w:p>
        </w:tc>
        <w:tc>
          <w:tcPr>
            <w:tcW w:w="720" w:type="dxa"/>
            <w:tcMar>
              <w:left w:w="0" w:type="dxa"/>
              <w:right w:w="0" w:type="dxa"/>
            </w:tcMar>
          </w:tcPr>
          <w:p w:rsidR="00E724B4" w:rsidRPr="001C767B" w:rsidRDefault="00E724B4" w:rsidP="00E724B4">
            <w:pPr>
              <w:widowControl w:val="0"/>
              <w:jc w:val="center"/>
              <w:rPr>
                <w:sz w:val="20"/>
                <w:szCs w:val="20"/>
              </w:rPr>
            </w:pPr>
          </w:p>
        </w:tc>
        <w:tc>
          <w:tcPr>
            <w:tcW w:w="4380" w:type="dxa"/>
            <w:tcMar>
              <w:left w:w="0" w:type="dxa"/>
              <w:right w:w="0" w:type="dxa"/>
            </w:tcMar>
          </w:tcPr>
          <w:p w:rsidR="00E724B4" w:rsidRPr="00CC4D84" w:rsidRDefault="00E724B4" w:rsidP="00E724B4">
            <w:pPr>
              <w:widowControl w:val="0"/>
              <w:jc w:val="both"/>
              <w:rPr>
                <w:b/>
                <w:sz w:val="20"/>
                <w:szCs w:val="20"/>
                <w:u w:val="single"/>
                <w:lang w:val="fr-CA"/>
              </w:rPr>
            </w:pPr>
            <w:r w:rsidRPr="00CC4D84">
              <w:rPr>
                <w:b/>
                <w:sz w:val="20"/>
                <w:szCs w:val="20"/>
                <w:u w:val="single"/>
                <w:lang w:val="fr-CA"/>
              </w:rPr>
              <w:t xml:space="preserve">Nature de la cause </w:t>
            </w:r>
            <w:r w:rsidR="00E97032">
              <w:rPr>
                <w:b/>
                <w:sz w:val="20"/>
                <w:szCs w:val="20"/>
                <w:u w:val="single"/>
                <w:lang w:val="fr-CA"/>
              </w:rPr>
              <w:t xml:space="preserve">- 35807 </w:t>
            </w:r>
            <w:r w:rsidRPr="00CC4D84">
              <w:rPr>
                <w:b/>
                <w:sz w:val="20"/>
                <w:szCs w:val="20"/>
                <w:u w:val="single"/>
                <w:lang w:val="fr-CA"/>
              </w:rPr>
              <w:t>:</w:t>
            </w:r>
          </w:p>
          <w:p w:rsidR="00E724B4" w:rsidRPr="00C1697B" w:rsidRDefault="00E724B4" w:rsidP="00E724B4">
            <w:pPr>
              <w:widowControl w:val="0"/>
              <w:jc w:val="both"/>
              <w:rPr>
                <w:sz w:val="20"/>
                <w:szCs w:val="20"/>
                <w:lang w:val="fr-CA"/>
              </w:rPr>
            </w:pPr>
          </w:p>
          <w:p w:rsidR="00E724B4" w:rsidRPr="00C1697B" w:rsidRDefault="001C767B" w:rsidP="00E724B4">
            <w:pPr>
              <w:widowControl w:val="0"/>
              <w:jc w:val="both"/>
              <w:rPr>
                <w:sz w:val="20"/>
                <w:szCs w:val="20"/>
                <w:lang w:val="fr-CA"/>
              </w:rPr>
            </w:pPr>
            <w:r w:rsidRPr="00E57E87">
              <w:rPr>
                <w:sz w:val="20"/>
                <w:szCs w:val="20"/>
                <w:lang w:val="fr-CA"/>
              </w:rPr>
              <w:t xml:space="preserve">Prescription - Législation - Interprétation - Procédure civile - Recours collectifs - Valeurs mobilières - Action fondée sur une disposition législative - Déclaration par les demandeurs dans le cadre d’un </w:t>
            </w:r>
            <w:r w:rsidRPr="00E57E87">
              <w:rPr>
                <w:sz w:val="20"/>
                <w:szCs w:val="20"/>
                <w:lang w:val="fr-CA"/>
              </w:rPr>
              <w:lastRenderedPageBreak/>
              <w:t xml:space="preserve">recours collectif proposé indiquant leur intention de solliciter l’autorisation de plaider comme cause d’action la présentation inexacte des faits, prévue à l’art. 138.3 de la partie XXIII.1 de la </w:t>
            </w:r>
            <w:r w:rsidRPr="00E57E87">
              <w:rPr>
                <w:i/>
                <w:sz w:val="20"/>
                <w:szCs w:val="20"/>
                <w:lang w:val="fr-CA"/>
              </w:rPr>
              <w:t>Loi sur les valeurs mobilières</w:t>
            </w:r>
            <w:r w:rsidRPr="00E57E87">
              <w:rPr>
                <w:sz w:val="20"/>
                <w:szCs w:val="20"/>
                <w:lang w:val="fr-CA"/>
              </w:rPr>
              <w:t xml:space="preserve"> de l’Ontario - Autorisation non obtenue avant l’expiration du délai de prescription de trois ans prévu à l’art. 138.14 de cette loi - Le délai de prescription prévu à l’art. 138.14 avait-il été suspendu par l’effet de l’art. 28 de la </w:t>
            </w:r>
            <w:r w:rsidRPr="00E57E87">
              <w:rPr>
                <w:i/>
                <w:sz w:val="20"/>
                <w:szCs w:val="20"/>
                <w:lang w:val="fr-CA"/>
              </w:rPr>
              <w:t>Loi sur les recours collectifs</w:t>
            </w:r>
            <w:r w:rsidRPr="00E57E87">
              <w:rPr>
                <w:sz w:val="20"/>
                <w:szCs w:val="20"/>
                <w:lang w:val="fr-CA"/>
              </w:rPr>
              <w:t xml:space="preserve"> préalablement à l’autorisation? - Le recours collectif fondé sur la cause d’action en common law est-il le meilleur moyen de mener à terme l’action pour présentation inexacte des faits relativement au marché secondaire? - Le critère relatif à l’autorisation en vertu de l’art. 138.8 a-t-il été correctement interprété et appliqué? - </w:t>
            </w:r>
            <w:r w:rsidRPr="00E57E87">
              <w:rPr>
                <w:i/>
                <w:sz w:val="20"/>
                <w:szCs w:val="20"/>
                <w:lang w:val="fr-CA"/>
              </w:rPr>
              <w:t>Loi sur les valeurs mobilières</w:t>
            </w:r>
            <w:r w:rsidRPr="00E57E87">
              <w:rPr>
                <w:sz w:val="20"/>
                <w:szCs w:val="20"/>
                <w:lang w:val="fr-CA"/>
              </w:rPr>
              <w:t xml:space="preserve">, L.R.O. 1990, ch. S.5, art. 138.3, 138.8, 138.14 - </w:t>
            </w:r>
            <w:r w:rsidRPr="00E57E87">
              <w:rPr>
                <w:i/>
                <w:sz w:val="20"/>
                <w:szCs w:val="20"/>
                <w:lang w:val="fr-CA"/>
              </w:rPr>
              <w:t xml:space="preserve">Loi de 1992 sur les recours collectifs, </w:t>
            </w:r>
            <w:r w:rsidRPr="00E57E87">
              <w:rPr>
                <w:sz w:val="20"/>
                <w:szCs w:val="20"/>
                <w:lang w:val="fr-CA"/>
              </w:rPr>
              <w:t>L.O. 1992, ch. 6, art. 28.</w:t>
            </w:r>
          </w:p>
        </w:tc>
      </w:tr>
    </w:tbl>
    <w:p w:rsidR="00E724B4" w:rsidRDefault="00E724B4" w:rsidP="00732D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97032" w:rsidRPr="00F70079" w:rsidTr="00E97032">
        <w:tc>
          <w:tcPr>
            <w:tcW w:w="4380" w:type="dxa"/>
            <w:tcMar>
              <w:left w:w="0" w:type="dxa"/>
              <w:right w:w="0" w:type="dxa"/>
            </w:tcMar>
          </w:tcPr>
          <w:p w:rsidR="00E97032" w:rsidRPr="001C767B" w:rsidRDefault="00E97032" w:rsidP="00E97032">
            <w:pPr>
              <w:widowControl w:val="0"/>
              <w:jc w:val="both"/>
              <w:rPr>
                <w:b/>
                <w:sz w:val="20"/>
                <w:szCs w:val="20"/>
                <w:u w:val="single"/>
              </w:rPr>
            </w:pPr>
            <w:r w:rsidRPr="001C767B">
              <w:rPr>
                <w:b/>
                <w:sz w:val="20"/>
                <w:szCs w:val="20"/>
                <w:u w:val="single"/>
              </w:rPr>
              <w:t>Nature of the case - 3</w:t>
            </w:r>
            <w:r w:rsidR="00F70079">
              <w:rPr>
                <w:b/>
                <w:sz w:val="20"/>
                <w:szCs w:val="20"/>
                <w:u w:val="single"/>
              </w:rPr>
              <w:t>5</w:t>
            </w:r>
            <w:r w:rsidRPr="001C767B">
              <w:rPr>
                <w:b/>
                <w:sz w:val="20"/>
                <w:szCs w:val="20"/>
                <w:u w:val="single"/>
              </w:rPr>
              <w:t>811:</w:t>
            </w:r>
          </w:p>
          <w:p w:rsidR="00E97032" w:rsidRPr="001C767B" w:rsidRDefault="00E97032" w:rsidP="00E97032">
            <w:pPr>
              <w:widowControl w:val="0"/>
              <w:jc w:val="both"/>
              <w:rPr>
                <w:b/>
                <w:sz w:val="20"/>
                <w:szCs w:val="20"/>
              </w:rPr>
            </w:pPr>
          </w:p>
          <w:p w:rsidR="00E97032" w:rsidRPr="001C767B" w:rsidRDefault="001C767B" w:rsidP="00E97032">
            <w:pPr>
              <w:widowControl w:val="0"/>
              <w:jc w:val="both"/>
              <w:rPr>
                <w:b/>
                <w:sz w:val="20"/>
                <w:szCs w:val="20"/>
              </w:rPr>
            </w:pPr>
            <w:r w:rsidRPr="00413E7C">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413E7C">
              <w:rPr>
                <w:i/>
                <w:sz w:val="20"/>
                <w:szCs w:val="20"/>
              </w:rPr>
              <w:t>Securities Act</w:t>
            </w:r>
            <w:r w:rsidRPr="00413E7C">
              <w:rPr>
                <w:sz w:val="20"/>
                <w:szCs w:val="20"/>
              </w:rPr>
              <w:t xml:space="preserve"> - Leave not obtained prior to expiry of three-year limitation period set out in s. 138.14 of </w:t>
            </w:r>
            <w:r w:rsidRPr="00413E7C">
              <w:rPr>
                <w:i/>
                <w:sz w:val="20"/>
                <w:szCs w:val="20"/>
              </w:rPr>
              <w:t>Securities Act</w:t>
            </w:r>
            <w:r w:rsidRPr="00413E7C">
              <w:rPr>
                <w:sz w:val="20"/>
                <w:szCs w:val="20"/>
              </w:rPr>
              <w:t xml:space="preserve"> - Whether the limitation period was suspended by the filing of a statement of claim pleading only common law claims while giving notice that the plaintiffs intended to assert a s. 138.3 cause of action - If not, whether the expiry of the limitation period can be cured by an order </w:t>
            </w:r>
            <w:r w:rsidRPr="00413E7C">
              <w:rPr>
                <w:i/>
                <w:sz w:val="20"/>
                <w:szCs w:val="20"/>
              </w:rPr>
              <w:t xml:space="preserve">nunc pro tunc </w:t>
            </w:r>
            <w:r w:rsidRPr="00413E7C">
              <w:rPr>
                <w:sz w:val="20"/>
                <w:szCs w:val="20"/>
              </w:rPr>
              <w:t xml:space="preserve">-  </w:t>
            </w:r>
            <w:r w:rsidRPr="00413E7C">
              <w:rPr>
                <w:i/>
                <w:sz w:val="20"/>
                <w:szCs w:val="20"/>
              </w:rPr>
              <w:t>Securities Act</w:t>
            </w:r>
            <w:r w:rsidRPr="00413E7C">
              <w:rPr>
                <w:sz w:val="20"/>
                <w:szCs w:val="20"/>
              </w:rPr>
              <w:t xml:space="preserve">, R.S.O. 1990, c. S.5, ss. 138.3, 138.8, 138.14 - </w:t>
            </w:r>
            <w:r w:rsidRPr="00413E7C">
              <w:rPr>
                <w:i/>
                <w:sz w:val="20"/>
                <w:szCs w:val="20"/>
              </w:rPr>
              <w:t>Class Proceedings Act, 1992</w:t>
            </w:r>
            <w:r w:rsidRPr="00413E7C">
              <w:rPr>
                <w:sz w:val="20"/>
                <w:szCs w:val="20"/>
              </w:rPr>
              <w:t>, S.O. 1992, c. 6, s. 28.</w:t>
            </w:r>
          </w:p>
        </w:tc>
        <w:tc>
          <w:tcPr>
            <w:tcW w:w="720" w:type="dxa"/>
            <w:tcMar>
              <w:left w:w="0" w:type="dxa"/>
              <w:right w:w="0" w:type="dxa"/>
            </w:tcMar>
          </w:tcPr>
          <w:p w:rsidR="00E97032" w:rsidRPr="001C767B" w:rsidRDefault="00E97032" w:rsidP="00E97032">
            <w:pPr>
              <w:widowControl w:val="0"/>
              <w:jc w:val="center"/>
              <w:rPr>
                <w:sz w:val="20"/>
                <w:szCs w:val="20"/>
              </w:rPr>
            </w:pPr>
          </w:p>
        </w:tc>
        <w:tc>
          <w:tcPr>
            <w:tcW w:w="4380" w:type="dxa"/>
            <w:tcMar>
              <w:left w:w="0" w:type="dxa"/>
              <w:right w:w="0" w:type="dxa"/>
            </w:tcMar>
          </w:tcPr>
          <w:p w:rsidR="00E97032" w:rsidRPr="00CC4D84" w:rsidRDefault="00E97032" w:rsidP="00E97032">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w:t>
            </w:r>
            <w:r w:rsidR="004C78D5">
              <w:rPr>
                <w:b/>
                <w:sz w:val="20"/>
                <w:szCs w:val="20"/>
                <w:u w:val="single"/>
                <w:lang w:val="fr-CA"/>
              </w:rPr>
              <w:t>35811</w:t>
            </w:r>
            <w:r>
              <w:rPr>
                <w:b/>
                <w:sz w:val="20"/>
                <w:szCs w:val="20"/>
                <w:u w:val="single"/>
                <w:lang w:val="fr-CA"/>
              </w:rPr>
              <w:t xml:space="preserve"> </w:t>
            </w:r>
            <w:r w:rsidRPr="00CC4D84">
              <w:rPr>
                <w:b/>
                <w:sz w:val="20"/>
                <w:szCs w:val="20"/>
                <w:u w:val="single"/>
                <w:lang w:val="fr-CA"/>
              </w:rPr>
              <w:t>:</w:t>
            </w:r>
          </w:p>
          <w:p w:rsidR="00E97032" w:rsidRPr="00C1697B" w:rsidRDefault="00E97032" w:rsidP="00E97032">
            <w:pPr>
              <w:widowControl w:val="0"/>
              <w:jc w:val="both"/>
              <w:rPr>
                <w:sz w:val="20"/>
                <w:szCs w:val="20"/>
                <w:lang w:val="fr-CA"/>
              </w:rPr>
            </w:pPr>
          </w:p>
          <w:p w:rsidR="00E97032" w:rsidRPr="00C1697B" w:rsidRDefault="001C767B" w:rsidP="00E97032">
            <w:pPr>
              <w:widowControl w:val="0"/>
              <w:jc w:val="both"/>
              <w:rPr>
                <w:sz w:val="20"/>
                <w:szCs w:val="20"/>
                <w:lang w:val="fr-CA"/>
              </w:rPr>
            </w:pPr>
            <w:r w:rsidRPr="00FC1192">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FC1192">
              <w:rPr>
                <w:i/>
                <w:sz w:val="20"/>
                <w:szCs w:val="20"/>
                <w:lang w:val="fr-CA"/>
              </w:rPr>
              <w:t>Loi sur les valeurs mobilières</w:t>
            </w:r>
            <w:r w:rsidRPr="00FC1192">
              <w:rPr>
                <w:sz w:val="20"/>
                <w:szCs w:val="20"/>
                <w:lang w:val="fr-CA"/>
              </w:rPr>
              <w:t xml:space="preserve"> de l’Ontario - Autorisation non obtenue avant l’expiration du délai de prescription de trois ans prévu à l’art. 138.14 de cette loi - Le délai de prescription avait-il été suspendu par le dépôt d’une déclaration qui ne plaidait que des revendications en common law tout en donnant un avis que les demandeurs entendaient faire valoir une cause d’action fondée sur l’art. 138.3? - Dans la négative, l’expiration du délai de prescription peut-elle être corrigée par une ordonnance avec effet rétroactif (</w:t>
            </w:r>
            <w:r w:rsidRPr="00FC1192">
              <w:rPr>
                <w:i/>
                <w:sz w:val="20"/>
                <w:szCs w:val="20"/>
                <w:lang w:val="fr-CA"/>
              </w:rPr>
              <w:t>nunc pro tunc</w:t>
            </w:r>
            <w:r w:rsidRPr="00FC1192">
              <w:rPr>
                <w:sz w:val="20"/>
                <w:szCs w:val="20"/>
                <w:lang w:val="fr-CA"/>
              </w:rPr>
              <w:t xml:space="preserve">)? - </w:t>
            </w:r>
            <w:r w:rsidRPr="00FC1192">
              <w:rPr>
                <w:i/>
                <w:sz w:val="20"/>
                <w:szCs w:val="20"/>
                <w:lang w:val="fr-CA"/>
              </w:rPr>
              <w:t>Loi sur les valeurs mobilières</w:t>
            </w:r>
            <w:r w:rsidRPr="00FC1192">
              <w:rPr>
                <w:sz w:val="20"/>
                <w:szCs w:val="20"/>
                <w:lang w:val="fr-CA"/>
              </w:rPr>
              <w:t xml:space="preserve">, L.R.O. 1990, ch. S.5, art. 138.3, 138.8, 138.14 - </w:t>
            </w:r>
            <w:r w:rsidRPr="00FC1192">
              <w:rPr>
                <w:i/>
                <w:sz w:val="20"/>
                <w:szCs w:val="20"/>
                <w:lang w:val="fr-CA"/>
              </w:rPr>
              <w:t>Loi de 1992 sur les recours collectifs</w:t>
            </w:r>
            <w:r w:rsidRPr="00FC1192">
              <w:rPr>
                <w:sz w:val="20"/>
                <w:szCs w:val="20"/>
                <w:lang w:val="fr-CA"/>
              </w:rPr>
              <w:t>,</w:t>
            </w:r>
            <w:r w:rsidRPr="00FC1192">
              <w:rPr>
                <w:i/>
                <w:sz w:val="20"/>
                <w:szCs w:val="20"/>
                <w:lang w:val="fr-CA"/>
              </w:rPr>
              <w:t xml:space="preserve"> </w:t>
            </w:r>
            <w:r w:rsidRPr="00FC1192">
              <w:rPr>
                <w:sz w:val="20"/>
                <w:szCs w:val="20"/>
                <w:lang w:val="fr-CA"/>
              </w:rPr>
              <w:t>L.O. 1992, ch. 6, art. 28.</w:t>
            </w:r>
          </w:p>
        </w:tc>
      </w:tr>
    </w:tbl>
    <w:p w:rsidR="00E97032" w:rsidRDefault="00E97032" w:rsidP="00732D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97032" w:rsidRPr="00F70079" w:rsidTr="00E97032">
        <w:tc>
          <w:tcPr>
            <w:tcW w:w="4380" w:type="dxa"/>
            <w:tcMar>
              <w:left w:w="0" w:type="dxa"/>
              <w:right w:w="0" w:type="dxa"/>
            </w:tcMar>
          </w:tcPr>
          <w:p w:rsidR="00E97032" w:rsidRPr="001C767B" w:rsidRDefault="00E97032" w:rsidP="00E97032">
            <w:pPr>
              <w:widowControl w:val="0"/>
              <w:jc w:val="both"/>
              <w:rPr>
                <w:b/>
                <w:sz w:val="20"/>
                <w:szCs w:val="20"/>
                <w:u w:val="single"/>
              </w:rPr>
            </w:pPr>
            <w:r w:rsidRPr="001C767B">
              <w:rPr>
                <w:b/>
                <w:sz w:val="20"/>
                <w:szCs w:val="20"/>
                <w:u w:val="single"/>
              </w:rPr>
              <w:t>Nature of the case - 35813:</w:t>
            </w:r>
          </w:p>
          <w:p w:rsidR="00E97032" w:rsidRPr="001C767B" w:rsidRDefault="00E97032" w:rsidP="00E97032">
            <w:pPr>
              <w:widowControl w:val="0"/>
              <w:jc w:val="both"/>
              <w:rPr>
                <w:b/>
                <w:sz w:val="20"/>
                <w:szCs w:val="20"/>
              </w:rPr>
            </w:pPr>
          </w:p>
          <w:p w:rsidR="00E97032" w:rsidRPr="001C767B" w:rsidRDefault="001C767B" w:rsidP="00E97032">
            <w:pPr>
              <w:widowControl w:val="0"/>
              <w:jc w:val="both"/>
              <w:rPr>
                <w:b/>
                <w:sz w:val="20"/>
                <w:szCs w:val="20"/>
              </w:rPr>
            </w:pPr>
            <w:r w:rsidRPr="009718C5">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9718C5">
              <w:rPr>
                <w:i/>
                <w:sz w:val="20"/>
                <w:szCs w:val="20"/>
              </w:rPr>
              <w:t>Securities Act</w:t>
            </w:r>
            <w:r w:rsidRPr="009718C5">
              <w:rPr>
                <w:sz w:val="20"/>
                <w:szCs w:val="20"/>
              </w:rPr>
              <w:t xml:space="preserve"> - Leave motion </w:t>
            </w:r>
            <w:r w:rsidRPr="009718C5">
              <w:rPr>
                <w:sz w:val="20"/>
                <w:szCs w:val="20"/>
              </w:rPr>
              <w:lastRenderedPageBreak/>
              <w:t xml:space="preserve">brought after expiry of three-year limitation period set out in s. 138.14 of </w:t>
            </w:r>
            <w:r w:rsidRPr="009718C5">
              <w:rPr>
                <w:i/>
                <w:sz w:val="20"/>
                <w:szCs w:val="20"/>
              </w:rPr>
              <w:t>Securities Act</w:t>
            </w:r>
            <w:r w:rsidRPr="009718C5">
              <w:rPr>
                <w:sz w:val="20"/>
                <w:szCs w:val="20"/>
              </w:rPr>
              <w:t xml:space="preserve"> - Whether Court of Appeal erred in concluding that the test for overturning </w:t>
            </w:r>
            <w:r w:rsidRPr="009718C5">
              <w:rPr>
                <w:i/>
                <w:sz w:val="20"/>
                <w:szCs w:val="20"/>
              </w:rPr>
              <w:t>Sharma v. Timminco</w:t>
            </w:r>
            <w:r w:rsidRPr="009718C5">
              <w:rPr>
                <w:sz w:val="20"/>
                <w:szCs w:val="20"/>
              </w:rPr>
              <w:t xml:space="preserve">, 2012 ONCA 107, had been satisfied - Whether Court of Appeal erred in its determination as to when the statutory limitation period under Part XXIII.1 stopped running - Whether the special circumstances doctrine is available to relieve the plaintiffs from compliance with the Part XXIII.1 limitation period - </w:t>
            </w:r>
            <w:r w:rsidRPr="009718C5">
              <w:rPr>
                <w:i/>
                <w:sz w:val="20"/>
                <w:szCs w:val="20"/>
              </w:rPr>
              <w:t>Securities Act</w:t>
            </w:r>
            <w:r w:rsidRPr="009718C5">
              <w:rPr>
                <w:sz w:val="20"/>
                <w:szCs w:val="20"/>
              </w:rPr>
              <w:t xml:space="preserve">, R.S.O. 1990, c. S.5, ss. 138.3, 138.8, 138.14 - </w:t>
            </w:r>
            <w:r w:rsidRPr="009718C5">
              <w:rPr>
                <w:i/>
                <w:sz w:val="20"/>
                <w:szCs w:val="20"/>
              </w:rPr>
              <w:t>Class Proceedings Act, 1992</w:t>
            </w:r>
            <w:r w:rsidRPr="009718C5">
              <w:rPr>
                <w:sz w:val="20"/>
                <w:szCs w:val="20"/>
              </w:rPr>
              <w:t>, S.O. 1992, c. 6, s. 28.</w:t>
            </w:r>
          </w:p>
        </w:tc>
        <w:tc>
          <w:tcPr>
            <w:tcW w:w="720" w:type="dxa"/>
            <w:tcMar>
              <w:left w:w="0" w:type="dxa"/>
              <w:right w:w="0" w:type="dxa"/>
            </w:tcMar>
          </w:tcPr>
          <w:p w:rsidR="00E97032" w:rsidRPr="001C767B" w:rsidRDefault="00E97032" w:rsidP="00E97032">
            <w:pPr>
              <w:widowControl w:val="0"/>
              <w:jc w:val="center"/>
              <w:rPr>
                <w:sz w:val="20"/>
                <w:szCs w:val="20"/>
              </w:rPr>
            </w:pPr>
          </w:p>
        </w:tc>
        <w:tc>
          <w:tcPr>
            <w:tcW w:w="4380" w:type="dxa"/>
            <w:tcMar>
              <w:left w:w="0" w:type="dxa"/>
              <w:right w:w="0" w:type="dxa"/>
            </w:tcMar>
          </w:tcPr>
          <w:p w:rsidR="00E97032" w:rsidRPr="00CC4D84" w:rsidRDefault="00E97032" w:rsidP="00E97032">
            <w:pPr>
              <w:widowControl w:val="0"/>
              <w:jc w:val="both"/>
              <w:rPr>
                <w:b/>
                <w:sz w:val="20"/>
                <w:szCs w:val="20"/>
                <w:u w:val="single"/>
                <w:lang w:val="fr-CA"/>
              </w:rPr>
            </w:pPr>
            <w:r w:rsidRPr="00CC4D84">
              <w:rPr>
                <w:b/>
                <w:sz w:val="20"/>
                <w:szCs w:val="20"/>
                <w:u w:val="single"/>
                <w:lang w:val="fr-CA"/>
              </w:rPr>
              <w:t xml:space="preserve">Nature de la cause </w:t>
            </w:r>
            <w:r w:rsidR="004C78D5">
              <w:rPr>
                <w:b/>
                <w:sz w:val="20"/>
                <w:szCs w:val="20"/>
                <w:u w:val="single"/>
                <w:lang w:val="fr-CA"/>
              </w:rPr>
              <w:t xml:space="preserve">- 35813 </w:t>
            </w:r>
            <w:r w:rsidRPr="00CC4D84">
              <w:rPr>
                <w:b/>
                <w:sz w:val="20"/>
                <w:szCs w:val="20"/>
                <w:u w:val="single"/>
                <w:lang w:val="fr-CA"/>
              </w:rPr>
              <w:t>:</w:t>
            </w:r>
          </w:p>
          <w:p w:rsidR="00E97032" w:rsidRPr="00C1697B" w:rsidRDefault="00E97032" w:rsidP="00E97032">
            <w:pPr>
              <w:widowControl w:val="0"/>
              <w:jc w:val="both"/>
              <w:rPr>
                <w:sz w:val="20"/>
                <w:szCs w:val="20"/>
                <w:lang w:val="fr-CA"/>
              </w:rPr>
            </w:pPr>
          </w:p>
          <w:p w:rsidR="00E97032" w:rsidRPr="00C1697B" w:rsidRDefault="001C767B" w:rsidP="00E97032">
            <w:pPr>
              <w:widowControl w:val="0"/>
              <w:jc w:val="both"/>
              <w:rPr>
                <w:sz w:val="20"/>
                <w:szCs w:val="20"/>
                <w:lang w:val="fr-CA"/>
              </w:rPr>
            </w:pPr>
            <w:r w:rsidRPr="00E60739">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w:t>
            </w:r>
            <w:r w:rsidRPr="00E60739">
              <w:rPr>
                <w:sz w:val="20"/>
                <w:szCs w:val="20"/>
                <w:lang w:val="fr-CA"/>
              </w:rPr>
              <w:lastRenderedPageBreak/>
              <w:t xml:space="preserve">l’art. 138.3 de la partie XXIII.1 de la </w:t>
            </w:r>
            <w:r w:rsidRPr="00E60739">
              <w:rPr>
                <w:i/>
                <w:sz w:val="20"/>
                <w:szCs w:val="20"/>
                <w:lang w:val="fr-CA"/>
              </w:rPr>
              <w:t>Loi sur les valeurs mobilières</w:t>
            </w:r>
            <w:r w:rsidRPr="00E60739">
              <w:rPr>
                <w:sz w:val="20"/>
                <w:szCs w:val="20"/>
                <w:lang w:val="fr-CA"/>
              </w:rPr>
              <w:t xml:space="preserve"> de l’Ontario - Motion en autorisation présentée après l’expiration du délai de prescription de trois ans prévu à l’art. 138.14 de cette loi - La Cour d’appel a-t-elle eu tort de conclure que le critère qui permet d’infirmer </w:t>
            </w:r>
            <w:r w:rsidRPr="00E60739">
              <w:rPr>
                <w:i/>
                <w:sz w:val="20"/>
                <w:szCs w:val="20"/>
                <w:lang w:val="fr-CA"/>
              </w:rPr>
              <w:t>Sharma c. Timminco</w:t>
            </w:r>
            <w:r w:rsidRPr="00E60739">
              <w:rPr>
                <w:sz w:val="20"/>
                <w:szCs w:val="20"/>
                <w:lang w:val="fr-CA"/>
              </w:rPr>
              <w:t xml:space="preserve">, 2012 ONCA 107 avait été rempli? - La Cour d’appel a-t-elle commis une erreur dans sa détermination du moment où le délai de prescription en application de la partie XXIII.1 cessait de courir? - La doctrine des circonstances spéciales peut-elle être invoquée pour soustraire les demandeurs de l’obligation de se conformer au délai la prescription de la partie XXIII.1? - </w:t>
            </w:r>
            <w:r w:rsidRPr="00E60739">
              <w:rPr>
                <w:i/>
                <w:sz w:val="20"/>
                <w:szCs w:val="20"/>
                <w:lang w:val="fr-CA"/>
              </w:rPr>
              <w:t>Loi sur les valeurs mobilières</w:t>
            </w:r>
            <w:r w:rsidRPr="00E60739">
              <w:rPr>
                <w:sz w:val="20"/>
                <w:szCs w:val="20"/>
                <w:lang w:val="fr-CA"/>
              </w:rPr>
              <w:t xml:space="preserve">, L.R.O. 1990, ch. S.5, art. 138.3, 138.8, 138.14 - </w:t>
            </w:r>
            <w:r w:rsidRPr="00E60739">
              <w:rPr>
                <w:i/>
                <w:sz w:val="20"/>
                <w:szCs w:val="20"/>
                <w:lang w:val="fr-CA"/>
              </w:rPr>
              <w:t>Loi de 1992 sur les recours collectifs</w:t>
            </w:r>
            <w:r w:rsidRPr="00E60739">
              <w:rPr>
                <w:sz w:val="20"/>
                <w:szCs w:val="20"/>
                <w:lang w:val="fr-CA"/>
              </w:rPr>
              <w:t>,</w:t>
            </w:r>
            <w:r w:rsidRPr="00E60739">
              <w:rPr>
                <w:i/>
                <w:sz w:val="20"/>
                <w:szCs w:val="20"/>
                <w:lang w:val="fr-CA"/>
              </w:rPr>
              <w:t xml:space="preserve"> </w:t>
            </w:r>
            <w:r w:rsidRPr="00E60739">
              <w:rPr>
                <w:sz w:val="20"/>
                <w:szCs w:val="20"/>
                <w:lang w:val="fr-CA"/>
              </w:rPr>
              <w:t>L.O. 1992, ch. 6, art. 28.</w:t>
            </w:r>
          </w:p>
        </w:tc>
      </w:tr>
    </w:tbl>
    <w:p w:rsidR="00E97032" w:rsidRDefault="00E97032" w:rsidP="00732DB7">
      <w:pPr>
        <w:widowControl w:val="0"/>
        <w:rPr>
          <w:sz w:val="20"/>
          <w:szCs w:val="20"/>
          <w:lang w:val="fr-CA"/>
        </w:rPr>
      </w:pPr>
    </w:p>
    <w:p w:rsidR="00E724B4" w:rsidRDefault="00007FF8" w:rsidP="00732DB7">
      <w:pPr>
        <w:widowControl w:val="0"/>
        <w:rPr>
          <w:sz w:val="20"/>
          <w:szCs w:val="20"/>
          <w:lang w:val="fr-CA"/>
        </w:rPr>
      </w:pPr>
      <w:r>
        <w:rPr>
          <w:sz w:val="20"/>
          <w:szCs w:val="20"/>
          <w:lang w:val="fr-CA"/>
        </w:rPr>
        <w:pict>
          <v:rect id="_x0000_i1062" style="width:2in;height:1pt" o:hrpct="0" o:hralign="center" o:hrstd="t" o:hrnoshade="t" o:hr="t" fillcolor="black [3213]" stroked="f"/>
        </w:pict>
      </w:r>
    </w:p>
    <w:p w:rsidR="00E724B4" w:rsidRDefault="00E724B4" w:rsidP="00732DB7">
      <w:pPr>
        <w:widowControl w:val="0"/>
        <w:rPr>
          <w:sz w:val="20"/>
          <w:szCs w:val="20"/>
          <w:lang w:val="fr-CA"/>
        </w:rPr>
      </w:pPr>
    </w:p>
    <w:p w:rsidR="004C78D5" w:rsidRPr="00E04ACC" w:rsidRDefault="004C78D5" w:rsidP="004C78D5">
      <w:pPr>
        <w:widowControl w:val="0"/>
        <w:rPr>
          <w:sz w:val="20"/>
          <w:szCs w:val="20"/>
        </w:rPr>
      </w:pPr>
      <w:r>
        <w:rPr>
          <w:sz w:val="20"/>
          <w:szCs w:val="20"/>
        </w:rPr>
        <w:t>11</w:t>
      </w:r>
      <w:r w:rsidRPr="00E04ACC">
        <w:rPr>
          <w:sz w:val="20"/>
          <w:szCs w:val="20"/>
        </w:rPr>
        <w:t>.02.2015</w:t>
      </w:r>
    </w:p>
    <w:p w:rsidR="004C78D5" w:rsidRDefault="004C78D5" w:rsidP="004C78D5">
      <w:pPr>
        <w:widowControl w:val="0"/>
        <w:rPr>
          <w:sz w:val="20"/>
          <w:szCs w:val="20"/>
        </w:rPr>
      </w:pPr>
    </w:p>
    <w:p w:rsidR="00B87BED" w:rsidRPr="00F406CD" w:rsidRDefault="00B87BED" w:rsidP="00B87BED">
      <w:pPr>
        <w:widowControl w:val="0"/>
        <w:ind w:left="720" w:hanging="720"/>
        <w:rPr>
          <w:rFonts w:eastAsia="Calibri" w:cs="Times New Roman"/>
          <w:sz w:val="20"/>
          <w:szCs w:val="20"/>
          <w:u w:val="single"/>
        </w:rPr>
      </w:pPr>
      <w:r w:rsidRPr="00F406CD">
        <w:rPr>
          <w:rFonts w:eastAsia="Calibri" w:cs="Times New Roman"/>
          <w:sz w:val="20"/>
          <w:szCs w:val="20"/>
        </w:rPr>
        <w:t xml:space="preserve">Coram: </w:t>
      </w:r>
      <w:r w:rsidRPr="00F406CD">
        <w:rPr>
          <w:rFonts w:eastAsia="Calibri" w:cs="Times New Roman"/>
          <w:sz w:val="20"/>
          <w:szCs w:val="20"/>
        </w:rPr>
        <w:tab/>
      </w:r>
      <w:r>
        <w:rPr>
          <w:rFonts w:eastAsia="Calibri" w:cs="Times New Roman"/>
          <w:sz w:val="20"/>
          <w:szCs w:val="20"/>
          <w:u w:val="single"/>
        </w:rPr>
        <w:t>Abella</w:t>
      </w:r>
      <w:r w:rsidRPr="00F406CD">
        <w:rPr>
          <w:rFonts w:eastAsia="Calibri" w:cs="Times New Roman"/>
          <w:sz w:val="20"/>
          <w:szCs w:val="20"/>
          <w:u w:val="single"/>
        </w:rPr>
        <w:t xml:space="preserve">. Rothstein, Cromwell, Moldaver, Karakatsanis, </w:t>
      </w:r>
      <w:r>
        <w:rPr>
          <w:rFonts w:eastAsia="Calibri" w:cs="Times New Roman"/>
          <w:sz w:val="20"/>
          <w:szCs w:val="20"/>
          <w:u w:val="single"/>
        </w:rPr>
        <w:t xml:space="preserve">Wagner and </w:t>
      </w:r>
      <w:r w:rsidRPr="00F406CD">
        <w:rPr>
          <w:rFonts w:eastAsia="Calibri" w:cs="Times New Roman"/>
          <w:sz w:val="20"/>
          <w:szCs w:val="20"/>
          <w:u w:val="single"/>
        </w:rPr>
        <w:t>Gascon JJ.</w:t>
      </w:r>
    </w:p>
    <w:p w:rsidR="00B87BED" w:rsidRPr="00E04ACC" w:rsidRDefault="00B87BED" w:rsidP="004C78D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C78D5" w:rsidRPr="00E97032" w:rsidTr="004C78D5">
        <w:tc>
          <w:tcPr>
            <w:tcW w:w="4380" w:type="dxa"/>
            <w:tcMar>
              <w:left w:w="0" w:type="dxa"/>
              <w:right w:w="0" w:type="dxa"/>
            </w:tcMar>
          </w:tcPr>
          <w:p w:rsidR="004C78D5" w:rsidRPr="004C78D5" w:rsidRDefault="004C78D5" w:rsidP="004C78D5">
            <w:pPr>
              <w:widowControl w:val="0"/>
              <w:rPr>
                <w:b/>
                <w:sz w:val="20"/>
                <w:szCs w:val="20"/>
              </w:rPr>
            </w:pPr>
            <w:r>
              <w:rPr>
                <w:b/>
                <w:sz w:val="20"/>
                <w:szCs w:val="20"/>
              </w:rPr>
              <w:t>Grant An</w:t>
            </w:r>
            <w:r w:rsidRPr="004C78D5">
              <w:rPr>
                <w:b/>
                <w:sz w:val="20"/>
                <w:szCs w:val="20"/>
              </w:rPr>
              <w:t>t</w:t>
            </w:r>
            <w:r>
              <w:rPr>
                <w:b/>
                <w:sz w:val="20"/>
                <w:szCs w:val="20"/>
              </w:rPr>
              <w:t>hony Golesk</w:t>
            </w:r>
            <w:r w:rsidRPr="004C78D5">
              <w:rPr>
                <w:b/>
                <w:sz w:val="20"/>
                <w:szCs w:val="20"/>
              </w:rPr>
              <w:t>i</w:t>
            </w:r>
          </w:p>
          <w:p w:rsidR="004C78D5" w:rsidRPr="004C78D5" w:rsidRDefault="004C78D5" w:rsidP="004C78D5">
            <w:pPr>
              <w:widowControl w:val="0"/>
              <w:rPr>
                <w:b/>
                <w:sz w:val="20"/>
                <w:szCs w:val="20"/>
              </w:rPr>
            </w:pPr>
          </w:p>
          <w:p w:rsidR="004C78D5" w:rsidRPr="004C78D5" w:rsidRDefault="004C78D5" w:rsidP="004C78D5">
            <w:pPr>
              <w:widowControl w:val="0"/>
              <w:rPr>
                <w:b/>
                <w:sz w:val="20"/>
                <w:szCs w:val="20"/>
              </w:rPr>
            </w:pPr>
            <w:r w:rsidRPr="004C78D5">
              <w:rPr>
                <w:b/>
                <w:sz w:val="20"/>
                <w:szCs w:val="20"/>
              </w:rPr>
              <w:tab/>
              <w:t xml:space="preserve">v. </w:t>
            </w:r>
            <w:r w:rsidR="009523B6" w:rsidRPr="00BA4A67">
              <w:rPr>
                <w:sz w:val="20"/>
                <w:szCs w:val="20"/>
              </w:rPr>
              <w:t>(</w:t>
            </w:r>
            <w:hyperlink r:id="rId45" w:history="1">
              <w:r w:rsidR="009523B6" w:rsidRPr="00BA4A67">
                <w:rPr>
                  <w:rStyle w:val="Hyperlink"/>
                  <w:sz w:val="20"/>
                  <w:szCs w:val="20"/>
                </w:rPr>
                <w:t>35862</w:t>
              </w:r>
            </w:hyperlink>
            <w:r w:rsidR="009523B6" w:rsidRPr="00BA4A67">
              <w:rPr>
                <w:sz w:val="20"/>
                <w:szCs w:val="20"/>
              </w:rPr>
              <w:t>)</w:t>
            </w:r>
          </w:p>
          <w:p w:rsidR="004C78D5" w:rsidRPr="004C78D5" w:rsidRDefault="004C78D5" w:rsidP="004C78D5">
            <w:pPr>
              <w:widowControl w:val="0"/>
              <w:rPr>
                <w:b/>
                <w:sz w:val="20"/>
                <w:szCs w:val="20"/>
              </w:rPr>
            </w:pPr>
          </w:p>
          <w:p w:rsidR="009523B6" w:rsidRPr="00E97032" w:rsidRDefault="004C78D5" w:rsidP="009523B6">
            <w:pPr>
              <w:widowControl w:val="0"/>
              <w:rPr>
                <w:sz w:val="20"/>
                <w:szCs w:val="20"/>
              </w:rPr>
            </w:pPr>
            <w:r>
              <w:rPr>
                <w:b/>
                <w:sz w:val="20"/>
                <w:szCs w:val="20"/>
              </w:rPr>
              <w:t>H</w:t>
            </w:r>
            <w:r w:rsidRPr="00E97032">
              <w:rPr>
                <w:b/>
                <w:sz w:val="20"/>
                <w:szCs w:val="20"/>
              </w:rPr>
              <w:t>e</w:t>
            </w:r>
            <w:r>
              <w:rPr>
                <w:b/>
                <w:sz w:val="20"/>
                <w:szCs w:val="20"/>
              </w:rPr>
              <w:t>r Maj</w:t>
            </w:r>
            <w:r w:rsidRPr="00E97032">
              <w:rPr>
                <w:b/>
                <w:sz w:val="20"/>
                <w:szCs w:val="20"/>
              </w:rPr>
              <w:t>est</w:t>
            </w:r>
            <w:r>
              <w:rPr>
                <w:b/>
                <w:sz w:val="20"/>
                <w:szCs w:val="20"/>
              </w:rPr>
              <w:t>y th</w:t>
            </w:r>
            <w:r w:rsidRPr="00E97032">
              <w:rPr>
                <w:b/>
                <w:sz w:val="20"/>
                <w:szCs w:val="20"/>
              </w:rPr>
              <w:t>e</w:t>
            </w:r>
            <w:r>
              <w:rPr>
                <w:b/>
                <w:sz w:val="20"/>
                <w:szCs w:val="20"/>
              </w:rPr>
              <w:t xml:space="preserve"> Quee</w:t>
            </w:r>
            <w:r w:rsidRPr="00E97032">
              <w:rPr>
                <w:b/>
                <w:sz w:val="20"/>
                <w:szCs w:val="20"/>
              </w:rPr>
              <w:t>n</w:t>
            </w:r>
            <w:r>
              <w:rPr>
                <w:b/>
                <w:sz w:val="20"/>
                <w:szCs w:val="20"/>
              </w:rPr>
              <w:t xml:space="preserve"> </w:t>
            </w:r>
            <w:r w:rsidRPr="00E97032">
              <w:rPr>
                <w:b/>
                <w:sz w:val="20"/>
                <w:szCs w:val="20"/>
              </w:rPr>
              <w:t>(</w:t>
            </w:r>
            <w:r>
              <w:rPr>
                <w:b/>
                <w:sz w:val="20"/>
                <w:szCs w:val="20"/>
              </w:rPr>
              <w:t>B.C.</w:t>
            </w:r>
            <w:r w:rsidRPr="00E97032">
              <w:rPr>
                <w:b/>
                <w:sz w:val="20"/>
                <w:szCs w:val="20"/>
              </w:rPr>
              <w:t>) (C</w:t>
            </w:r>
            <w:r>
              <w:rPr>
                <w:b/>
                <w:sz w:val="20"/>
                <w:szCs w:val="20"/>
              </w:rPr>
              <w:t>r</w:t>
            </w:r>
            <w:r w:rsidRPr="00E97032">
              <w:rPr>
                <w:b/>
                <w:sz w:val="20"/>
                <w:szCs w:val="20"/>
              </w:rPr>
              <w:t>i</w:t>
            </w:r>
            <w:r>
              <w:rPr>
                <w:b/>
                <w:sz w:val="20"/>
                <w:szCs w:val="20"/>
              </w:rPr>
              <w:t>m</w:t>
            </w:r>
            <w:r w:rsidRPr="00E97032">
              <w:rPr>
                <w:b/>
                <w:sz w:val="20"/>
                <w:szCs w:val="20"/>
              </w:rPr>
              <w:t>i</w:t>
            </w:r>
            <w:r>
              <w:rPr>
                <w:b/>
                <w:sz w:val="20"/>
                <w:szCs w:val="20"/>
              </w:rPr>
              <w:t>na</w:t>
            </w:r>
            <w:r w:rsidRPr="00E97032">
              <w:rPr>
                <w:b/>
                <w:sz w:val="20"/>
                <w:szCs w:val="20"/>
              </w:rPr>
              <w:t>l) (By</w:t>
            </w:r>
            <w:r>
              <w:rPr>
                <w:b/>
                <w:sz w:val="20"/>
                <w:szCs w:val="20"/>
              </w:rPr>
              <w:t> </w:t>
            </w:r>
            <w:r w:rsidRPr="00E97032">
              <w:rPr>
                <w:b/>
                <w:sz w:val="20"/>
                <w:szCs w:val="20"/>
              </w:rPr>
              <w:t>Leave)</w:t>
            </w:r>
            <w:r w:rsidR="009523B6" w:rsidRPr="00E97032">
              <w:rPr>
                <w:sz w:val="20"/>
                <w:szCs w:val="20"/>
              </w:rPr>
              <w:t xml:space="preserve"> </w:t>
            </w:r>
          </w:p>
        </w:tc>
        <w:tc>
          <w:tcPr>
            <w:tcW w:w="720" w:type="dxa"/>
            <w:tcMar>
              <w:left w:w="0" w:type="dxa"/>
              <w:right w:w="0" w:type="dxa"/>
            </w:tcMar>
          </w:tcPr>
          <w:p w:rsidR="004C78D5" w:rsidRPr="00E97032" w:rsidRDefault="004C78D5" w:rsidP="004C78D5">
            <w:pPr>
              <w:widowControl w:val="0"/>
              <w:jc w:val="center"/>
              <w:rPr>
                <w:sz w:val="20"/>
                <w:szCs w:val="20"/>
              </w:rPr>
            </w:pPr>
          </w:p>
        </w:tc>
        <w:tc>
          <w:tcPr>
            <w:tcW w:w="4380" w:type="dxa"/>
            <w:tcMar>
              <w:left w:w="0" w:type="dxa"/>
              <w:right w:w="0" w:type="dxa"/>
            </w:tcMar>
          </w:tcPr>
          <w:p w:rsidR="004562FA" w:rsidRDefault="004562FA" w:rsidP="004562FA">
            <w:pPr>
              <w:tabs>
                <w:tab w:val="left" w:pos="-2970"/>
              </w:tabs>
              <w:jc w:val="both"/>
              <w:rPr>
                <w:sz w:val="20"/>
                <w:szCs w:val="20"/>
                <w:lang w:val="en-US"/>
              </w:rPr>
            </w:pPr>
            <w:r w:rsidRPr="00524BC6">
              <w:rPr>
                <w:sz w:val="20"/>
                <w:szCs w:val="20"/>
                <w:lang w:val="en-US"/>
              </w:rPr>
              <w:t>Amandeep Jaswal</w:t>
            </w:r>
            <w:r>
              <w:rPr>
                <w:sz w:val="20"/>
                <w:szCs w:val="20"/>
                <w:lang w:val="en-US"/>
              </w:rPr>
              <w:t xml:space="preserve"> f</w:t>
            </w:r>
            <w:r w:rsidRPr="00524BC6">
              <w:rPr>
                <w:sz w:val="20"/>
                <w:szCs w:val="20"/>
                <w:lang w:val="en-US"/>
              </w:rPr>
              <w:t xml:space="preserve">or the </w:t>
            </w:r>
            <w:r>
              <w:rPr>
                <w:sz w:val="20"/>
                <w:szCs w:val="20"/>
                <w:lang w:val="en-US"/>
              </w:rPr>
              <w:t>a</w:t>
            </w:r>
            <w:r w:rsidRPr="00524BC6">
              <w:rPr>
                <w:sz w:val="20"/>
                <w:szCs w:val="20"/>
                <w:lang w:val="en-US"/>
              </w:rPr>
              <w:t>ppellant</w:t>
            </w:r>
            <w:r>
              <w:rPr>
                <w:sz w:val="20"/>
                <w:szCs w:val="20"/>
                <w:lang w:val="en-US"/>
              </w:rPr>
              <w:t>.</w:t>
            </w:r>
          </w:p>
          <w:p w:rsidR="004562FA" w:rsidRPr="00524BC6" w:rsidRDefault="004562FA" w:rsidP="004562FA">
            <w:pPr>
              <w:tabs>
                <w:tab w:val="left" w:pos="-2970"/>
              </w:tabs>
              <w:jc w:val="both"/>
              <w:rPr>
                <w:sz w:val="20"/>
                <w:szCs w:val="20"/>
                <w:lang w:val="en-US"/>
              </w:rPr>
            </w:pPr>
          </w:p>
          <w:p w:rsidR="004562FA" w:rsidRDefault="004562FA" w:rsidP="004562FA">
            <w:pPr>
              <w:tabs>
                <w:tab w:val="left" w:pos="-2970"/>
              </w:tabs>
              <w:jc w:val="both"/>
              <w:rPr>
                <w:sz w:val="20"/>
                <w:szCs w:val="20"/>
                <w:lang w:val="en-US"/>
              </w:rPr>
            </w:pPr>
            <w:r w:rsidRPr="00524BC6">
              <w:rPr>
                <w:sz w:val="20"/>
                <w:szCs w:val="20"/>
                <w:lang w:val="en-US"/>
              </w:rPr>
              <w:t>Mary T. Ainslie, Q.C.</w:t>
            </w:r>
            <w:r>
              <w:rPr>
                <w:sz w:val="20"/>
                <w:szCs w:val="20"/>
                <w:lang w:val="en-US"/>
              </w:rPr>
              <w:t xml:space="preserve"> and </w:t>
            </w:r>
            <w:r w:rsidRPr="00524BC6">
              <w:rPr>
                <w:sz w:val="20"/>
                <w:szCs w:val="20"/>
                <w:lang w:val="en-US"/>
              </w:rPr>
              <w:t>John Caldwell</w:t>
            </w:r>
            <w:r>
              <w:rPr>
                <w:sz w:val="20"/>
                <w:szCs w:val="20"/>
                <w:lang w:val="en-US"/>
              </w:rPr>
              <w:t xml:space="preserve"> f</w:t>
            </w:r>
            <w:r w:rsidRPr="00524BC6">
              <w:rPr>
                <w:sz w:val="20"/>
                <w:szCs w:val="20"/>
                <w:lang w:val="en-US"/>
              </w:rPr>
              <w:t xml:space="preserve">or the </w:t>
            </w:r>
            <w:r>
              <w:rPr>
                <w:sz w:val="20"/>
                <w:szCs w:val="20"/>
                <w:lang w:val="en-US"/>
              </w:rPr>
              <w:t>r</w:t>
            </w:r>
            <w:r w:rsidRPr="00524BC6">
              <w:rPr>
                <w:sz w:val="20"/>
                <w:szCs w:val="20"/>
                <w:lang w:val="en-US"/>
              </w:rPr>
              <w:t>espondent</w:t>
            </w:r>
            <w:r>
              <w:rPr>
                <w:sz w:val="20"/>
                <w:szCs w:val="20"/>
                <w:lang w:val="en-US"/>
              </w:rPr>
              <w:t>.</w:t>
            </w:r>
          </w:p>
          <w:p w:rsidR="004562FA" w:rsidRPr="00524BC6" w:rsidRDefault="004562FA" w:rsidP="004562FA">
            <w:pPr>
              <w:tabs>
                <w:tab w:val="left" w:pos="-2970"/>
              </w:tabs>
              <w:jc w:val="both"/>
              <w:rPr>
                <w:sz w:val="20"/>
                <w:szCs w:val="20"/>
                <w:lang w:val="en-US"/>
              </w:rPr>
            </w:pPr>
          </w:p>
          <w:p w:rsidR="004562FA" w:rsidRPr="00524BC6" w:rsidRDefault="004562FA" w:rsidP="004562FA">
            <w:pPr>
              <w:jc w:val="both"/>
              <w:rPr>
                <w:sz w:val="20"/>
                <w:szCs w:val="20"/>
              </w:rPr>
            </w:pPr>
            <w:r w:rsidRPr="00524BC6">
              <w:rPr>
                <w:sz w:val="20"/>
                <w:szCs w:val="20"/>
                <w:lang w:val="en-US"/>
              </w:rPr>
              <w:t>Philip Perlmutter</w:t>
            </w:r>
            <w:r>
              <w:rPr>
                <w:sz w:val="20"/>
                <w:szCs w:val="20"/>
                <w:lang w:val="en-US"/>
              </w:rPr>
              <w:t xml:space="preserve"> and </w:t>
            </w:r>
            <w:r w:rsidRPr="00524BC6">
              <w:rPr>
                <w:sz w:val="20"/>
                <w:szCs w:val="20"/>
                <w:lang w:val="en-US"/>
              </w:rPr>
              <w:t>Karen Papadopoulos</w:t>
            </w:r>
            <w:r>
              <w:rPr>
                <w:sz w:val="20"/>
                <w:szCs w:val="20"/>
                <w:lang w:val="en-US"/>
              </w:rPr>
              <w:t xml:space="preserve"> f</w:t>
            </w:r>
            <w:r w:rsidRPr="00524BC6">
              <w:rPr>
                <w:sz w:val="20"/>
                <w:szCs w:val="20"/>
                <w:lang w:val="en-US"/>
              </w:rPr>
              <w:t xml:space="preserve">or the </w:t>
            </w:r>
            <w:r>
              <w:rPr>
                <w:sz w:val="20"/>
                <w:szCs w:val="20"/>
                <w:lang w:val="en-US"/>
              </w:rPr>
              <w:t>i</w:t>
            </w:r>
            <w:r w:rsidRPr="00524BC6">
              <w:rPr>
                <w:sz w:val="20"/>
                <w:szCs w:val="20"/>
                <w:lang w:val="en-US"/>
              </w:rPr>
              <w:t>ntervener</w:t>
            </w:r>
            <w:r>
              <w:rPr>
                <w:sz w:val="20"/>
                <w:szCs w:val="20"/>
                <w:lang w:val="en-US"/>
              </w:rPr>
              <w:t xml:space="preserve"> </w:t>
            </w:r>
            <w:r w:rsidRPr="00524BC6">
              <w:rPr>
                <w:sz w:val="20"/>
                <w:szCs w:val="20"/>
              </w:rPr>
              <w:t>Attorney General of Ontario</w:t>
            </w:r>
            <w:r>
              <w:rPr>
                <w:sz w:val="20"/>
                <w:szCs w:val="20"/>
              </w:rPr>
              <w:t>.</w:t>
            </w:r>
          </w:p>
          <w:p w:rsidR="004562FA" w:rsidRPr="00524BC6" w:rsidRDefault="004562FA" w:rsidP="004562FA">
            <w:pPr>
              <w:jc w:val="both"/>
              <w:rPr>
                <w:sz w:val="20"/>
                <w:szCs w:val="20"/>
              </w:rPr>
            </w:pPr>
          </w:p>
          <w:p w:rsidR="004C78D5" w:rsidRPr="00E97032" w:rsidRDefault="004562FA" w:rsidP="004562FA">
            <w:pPr>
              <w:widowControl w:val="0"/>
              <w:jc w:val="both"/>
              <w:rPr>
                <w:sz w:val="20"/>
                <w:szCs w:val="20"/>
              </w:rPr>
            </w:pPr>
            <w:r w:rsidRPr="00524BC6">
              <w:rPr>
                <w:sz w:val="20"/>
                <w:szCs w:val="20"/>
                <w:lang w:val="en-US"/>
              </w:rPr>
              <w:t>Matthew David Dalidowicz</w:t>
            </w:r>
            <w:r>
              <w:rPr>
                <w:sz w:val="20"/>
                <w:szCs w:val="20"/>
                <w:lang w:val="en-US"/>
              </w:rPr>
              <w:t xml:space="preserve"> f</w:t>
            </w:r>
            <w:r w:rsidRPr="00524BC6">
              <w:rPr>
                <w:sz w:val="20"/>
                <w:szCs w:val="20"/>
                <w:lang w:val="en-US"/>
              </w:rPr>
              <w:t xml:space="preserve">or the </w:t>
            </w:r>
            <w:r>
              <w:rPr>
                <w:sz w:val="20"/>
                <w:szCs w:val="20"/>
                <w:lang w:val="en-US"/>
              </w:rPr>
              <w:t>i</w:t>
            </w:r>
            <w:r w:rsidRPr="00524BC6">
              <w:rPr>
                <w:sz w:val="20"/>
                <w:szCs w:val="20"/>
                <w:lang w:val="en-US"/>
              </w:rPr>
              <w:t>ntervener</w:t>
            </w:r>
            <w:r>
              <w:rPr>
                <w:sz w:val="20"/>
                <w:szCs w:val="20"/>
                <w:lang w:val="en-US"/>
              </w:rPr>
              <w:t xml:space="preserve"> </w:t>
            </w:r>
            <w:r w:rsidRPr="00524BC6">
              <w:rPr>
                <w:sz w:val="20"/>
                <w:szCs w:val="20"/>
              </w:rPr>
              <w:t>Attorney General of Alberta</w:t>
            </w:r>
            <w:r>
              <w:rPr>
                <w:sz w:val="20"/>
                <w:szCs w:val="20"/>
              </w:rPr>
              <w:t>.</w:t>
            </w:r>
          </w:p>
        </w:tc>
      </w:tr>
    </w:tbl>
    <w:p w:rsidR="004C78D5" w:rsidRPr="00E97032" w:rsidRDefault="004C78D5" w:rsidP="004C78D5">
      <w:pPr>
        <w:widowControl w:val="0"/>
        <w:rPr>
          <w:sz w:val="20"/>
          <w:szCs w:val="20"/>
        </w:rPr>
      </w:pPr>
    </w:p>
    <w:p w:rsidR="009523B6" w:rsidRPr="00E829A1" w:rsidRDefault="009523B6" w:rsidP="009523B6">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6</w:t>
      </w:r>
      <w:r w:rsidRPr="00E829A1">
        <w:rPr>
          <w:rFonts w:eastAsia="Calibri" w:cs="Times New Roman"/>
          <w:b/>
          <w:bCs/>
          <w:sz w:val="20"/>
          <w:szCs w:val="20"/>
          <w:lang w:val="fr-CA"/>
        </w:rPr>
        <w:t xml:space="preserve"> / 201</w:t>
      </w:r>
      <w:r>
        <w:rPr>
          <w:rFonts w:eastAsia="Calibri" w:cs="Times New Roman"/>
          <w:b/>
          <w:bCs/>
          <w:sz w:val="20"/>
          <w:szCs w:val="20"/>
          <w:lang w:val="fr-CA"/>
        </w:rPr>
        <w:t>5</w:t>
      </w:r>
      <w:r w:rsidRPr="00E829A1">
        <w:rPr>
          <w:rFonts w:eastAsia="Calibri" w:cs="Times New Roman"/>
          <w:b/>
          <w:bCs/>
          <w:sz w:val="20"/>
          <w:szCs w:val="20"/>
          <w:lang w:val="fr-CA"/>
        </w:rPr>
        <w:t xml:space="preserve"> CSC </w:t>
      </w:r>
      <w:r>
        <w:rPr>
          <w:rFonts w:eastAsia="Calibri" w:cs="Times New Roman"/>
          <w:b/>
          <w:bCs/>
          <w:sz w:val="20"/>
          <w:szCs w:val="20"/>
          <w:lang w:val="fr-CA"/>
        </w:rPr>
        <w:t>6</w:t>
      </w:r>
    </w:p>
    <w:p w:rsidR="009523B6" w:rsidRPr="005E31A3" w:rsidRDefault="009523B6" w:rsidP="009523B6">
      <w:pPr>
        <w:widowControl w:val="0"/>
        <w:rPr>
          <w:sz w:val="20"/>
          <w:szCs w:val="20"/>
        </w:rPr>
      </w:pPr>
    </w:p>
    <w:p w:rsidR="009523B6" w:rsidRPr="0085476B" w:rsidRDefault="009523B6" w:rsidP="009523B6">
      <w:pPr>
        <w:widowControl w:val="0"/>
        <w:rPr>
          <w:sz w:val="20"/>
          <w:szCs w:val="20"/>
        </w:rPr>
      </w:pPr>
      <w:r>
        <w:rPr>
          <w:b/>
          <w:sz w:val="20"/>
          <w:szCs w:val="20"/>
        </w:rPr>
        <w:t>DISMISS</w:t>
      </w:r>
      <w:r w:rsidRPr="0085476B">
        <w:rPr>
          <w:b/>
          <w:sz w:val="20"/>
          <w:szCs w:val="20"/>
        </w:rPr>
        <w:t xml:space="preserve">ED / </w:t>
      </w:r>
      <w:r>
        <w:rPr>
          <w:b/>
          <w:sz w:val="20"/>
          <w:szCs w:val="20"/>
        </w:rPr>
        <w:t>REJETÉ</w:t>
      </w:r>
    </w:p>
    <w:p w:rsidR="009523B6" w:rsidRPr="005E31A3" w:rsidRDefault="009523B6" w:rsidP="009523B6">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523B6" w:rsidRPr="00365330" w:rsidTr="002F3FE7">
        <w:tc>
          <w:tcPr>
            <w:tcW w:w="4380" w:type="dxa"/>
            <w:tcMar>
              <w:left w:w="0" w:type="dxa"/>
              <w:right w:w="0" w:type="dxa"/>
            </w:tcMar>
          </w:tcPr>
          <w:p w:rsidR="009523B6" w:rsidRPr="00CC4D84" w:rsidRDefault="009523B6" w:rsidP="002F3FE7">
            <w:pPr>
              <w:widowControl w:val="0"/>
              <w:jc w:val="both"/>
              <w:rPr>
                <w:b/>
                <w:sz w:val="20"/>
                <w:szCs w:val="20"/>
                <w:u w:val="single"/>
              </w:rPr>
            </w:pPr>
            <w:r>
              <w:rPr>
                <w:b/>
                <w:sz w:val="20"/>
                <w:szCs w:val="20"/>
                <w:u w:val="single"/>
              </w:rPr>
              <w:t>JUDGMENT</w:t>
            </w:r>
            <w:r w:rsidRPr="00CC4D84">
              <w:rPr>
                <w:b/>
                <w:sz w:val="20"/>
                <w:szCs w:val="20"/>
                <w:u w:val="single"/>
              </w:rPr>
              <w:t>:</w:t>
            </w:r>
          </w:p>
          <w:p w:rsidR="009523B6" w:rsidRPr="001A663B" w:rsidRDefault="009523B6" w:rsidP="002F3FE7">
            <w:pPr>
              <w:widowControl w:val="0"/>
              <w:jc w:val="both"/>
              <w:rPr>
                <w:b/>
                <w:sz w:val="20"/>
                <w:szCs w:val="20"/>
              </w:rPr>
            </w:pPr>
          </w:p>
          <w:p w:rsidR="00681634" w:rsidRPr="000765FA" w:rsidRDefault="00681634" w:rsidP="00681634">
            <w:pPr>
              <w:jc w:val="both"/>
              <w:rPr>
                <w:sz w:val="20"/>
                <w:szCs w:val="20"/>
              </w:rPr>
            </w:pPr>
            <w:r w:rsidRPr="000765FA">
              <w:rPr>
                <w:sz w:val="20"/>
                <w:szCs w:val="20"/>
              </w:rPr>
              <w:t xml:space="preserve">The appeal from the judgment of the Court of Appeal for British Columbia (Vancouver), Number  CA039155, 2014 BCCA 80, dated March 3, 2014, was heard on February 11, 2015, and the Court on that day delivered the following judgment orally: </w:t>
            </w:r>
          </w:p>
          <w:p w:rsidR="00681634" w:rsidRPr="000765FA" w:rsidRDefault="00681634" w:rsidP="00681634">
            <w:pPr>
              <w:jc w:val="both"/>
              <w:rPr>
                <w:sz w:val="20"/>
                <w:szCs w:val="20"/>
              </w:rPr>
            </w:pPr>
          </w:p>
          <w:p w:rsidR="00681634" w:rsidRPr="000765FA" w:rsidRDefault="00681634" w:rsidP="00681634">
            <w:pPr>
              <w:jc w:val="both"/>
              <w:rPr>
                <w:sz w:val="20"/>
                <w:szCs w:val="20"/>
              </w:rPr>
            </w:pPr>
            <w:r w:rsidRPr="000765FA">
              <w:rPr>
                <w:smallCaps/>
                <w:sz w:val="20"/>
                <w:szCs w:val="20"/>
              </w:rPr>
              <w:t>The Court</w:t>
            </w:r>
            <w:r w:rsidRPr="000765FA">
              <w:rPr>
                <w:sz w:val="20"/>
                <w:szCs w:val="20"/>
              </w:rPr>
              <w:t xml:space="preserve"> </w:t>
            </w:r>
            <w:r w:rsidRPr="000765FA">
              <w:rPr>
                <w:rFonts w:cs="Times New Roman"/>
                <w:sz w:val="20"/>
                <w:szCs w:val="20"/>
              </w:rPr>
              <w:t>—</w:t>
            </w:r>
            <w:r w:rsidRPr="000765FA">
              <w:rPr>
                <w:sz w:val="20"/>
                <w:szCs w:val="20"/>
              </w:rPr>
              <w:t xml:space="preserve"> In our view, the British Columbia Court of Appeal correctly concluded that s. 794(2) of the </w:t>
            </w:r>
            <w:r w:rsidRPr="000765FA">
              <w:rPr>
                <w:i/>
                <w:sz w:val="20"/>
                <w:szCs w:val="20"/>
              </w:rPr>
              <w:t>Criminal Code</w:t>
            </w:r>
            <w:r w:rsidRPr="000765FA">
              <w:rPr>
                <w:sz w:val="20"/>
                <w:szCs w:val="20"/>
              </w:rPr>
              <w:t>, R.S.C. 1985, c. C-46, properly interpreted, imposes a persuasive burden on the accused to prove an “exception, exemption, proviso, excuse or qualification prescribed by law”. We do not think it appropriate to deal with the new issues raised by the interveners.</w:t>
            </w:r>
          </w:p>
          <w:p w:rsidR="00681634" w:rsidRDefault="00681634" w:rsidP="00681634">
            <w:pPr>
              <w:jc w:val="both"/>
              <w:rPr>
                <w:sz w:val="20"/>
                <w:szCs w:val="20"/>
              </w:rPr>
            </w:pPr>
          </w:p>
          <w:p w:rsidR="00681634" w:rsidRPr="000765FA" w:rsidRDefault="00681634" w:rsidP="00681634">
            <w:pPr>
              <w:jc w:val="both"/>
              <w:rPr>
                <w:sz w:val="20"/>
                <w:szCs w:val="20"/>
              </w:rPr>
            </w:pPr>
          </w:p>
          <w:p w:rsidR="009523B6" w:rsidRPr="00C1697B" w:rsidRDefault="00681634" w:rsidP="00681634">
            <w:pPr>
              <w:jc w:val="both"/>
              <w:rPr>
                <w:b/>
                <w:sz w:val="20"/>
                <w:szCs w:val="20"/>
              </w:rPr>
            </w:pPr>
            <w:r w:rsidRPr="000765FA">
              <w:rPr>
                <w:sz w:val="20"/>
                <w:szCs w:val="20"/>
              </w:rPr>
              <w:t>The appeal is dismissed.</w:t>
            </w:r>
          </w:p>
        </w:tc>
        <w:tc>
          <w:tcPr>
            <w:tcW w:w="720" w:type="dxa"/>
            <w:tcMar>
              <w:left w:w="0" w:type="dxa"/>
              <w:right w:w="0" w:type="dxa"/>
            </w:tcMar>
          </w:tcPr>
          <w:p w:rsidR="009523B6" w:rsidRPr="00C1697B" w:rsidRDefault="009523B6" w:rsidP="002F3FE7">
            <w:pPr>
              <w:widowControl w:val="0"/>
              <w:jc w:val="center"/>
              <w:rPr>
                <w:sz w:val="20"/>
                <w:szCs w:val="20"/>
              </w:rPr>
            </w:pPr>
          </w:p>
        </w:tc>
        <w:tc>
          <w:tcPr>
            <w:tcW w:w="4380" w:type="dxa"/>
            <w:tcMar>
              <w:left w:w="0" w:type="dxa"/>
              <w:right w:w="0" w:type="dxa"/>
            </w:tcMar>
          </w:tcPr>
          <w:p w:rsidR="009523B6" w:rsidRPr="00CC4D84" w:rsidRDefault="009523B6" w:rsidP="002F3FE7">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9523B6" w:rsidRPr="00C1697B" w:rsidRDefault="009523B6" w:rsidP="002F3FE7">
            <w:pPr>
              <w:widowControl w:val="0"/>
              <w:jc w:val="both"/>
              <w:rPr>
                <w:sz w:val="20"/>
                <w:szCs w:val="20"/>
                <w:lang w:val="fr-CA"/>
              </w:rPr>
            </w:pPr>
          </w:p>
          <w:p w:rsidR="00681634" w:rsidRPr="000765FA" w:rsidRDefault="00681634" w:rsidP="00681634">
            <w:pPr>
              <w:jc w:val="both"/>
              <w:rPr>
                <w:sz w:val="20"/>
                <w:szCs w:val="20"/>
                <w:lang w:val="fr-CA"/>
              </w:rPr>
            </w:pPr>
            <w:r w:rsidRPr="000765FA">
              <w:rPr>
                <w:sz w:val="20"/>
                <w:szCs w:val="20"/>
                <w:lang w:val="fr-CA"/>
              </w:rPr>
              <w:t>L’appel interjeté contre l’arrêt de la Cour d’appel de la Colombie-Britannique (Vancouver), numéro  CA039155, 2014 BCCA 80, daté du 3 mars 2014, a été entendu le 11 février 2015 et la Cour a prononcé oralement le même jour le jugement suivant :</w:t>
            </w:r>
          </w:p>
          <w:p w:rsidR="00681634" w:rsidRPr="000765FA" w:rsidRDefault="00681634" w:rsidP="00681634">
            <w:pPr>
              <w:jc w:val="both"/>
              <w:rPr>
                <w:sz w:val="20"/>
                <w:szCs w:val="20"/>
                <w:lang w:val="fr-CA"/>
              </w:rPr>
            </w:pPr>
          </w:p>
          <w:p w:rsidR="00681634" w:rsidRPr="000765FA" w:rsidRDefault="00681634" w:rsidP="00681634">
            <w:pPr>
              <w:jc w:val="both"/>
              <w:rPr>
                <w:rFonts w:cs="Times New Roman"/>
                <w:sz w:val="20"/>
                <w:szCs w:val="20"/>
                <w:lang w:val="fr-CA"/>
              </w:rPr>
            </w:pPr>
            <w:r w:rsidRPr="000765FA">
              <w:rPr>
                <w:smallCaps/>
                <w:sz w:val="20"/>
                <w:szCs w:val="20"/>
                <w:lang w:val="fr-CA"/>
              </w:rPr>
              <w:t>La Cour</w:t>
            </w:r>
            <w:r w:rsidRPr="000765FA">
              <w:rPr>
                <w:sz w:val="20"/>
                <w:szCs w:val="20"/>
                <w:lang w:val="fr-CA"/>
              </w:rPr>
              <w:t xml:space="preserve"> </w:t>
            </w:r>
            <w:r w:rsidRPr="000765FA">
              <w:rPr>
                <w:rFonts w:cs="Times New Roman"/>
                <w:sz w:val="20"/>
                <w:szCs w:val="20"/>
                <w:lang w:val="fr-CA"/>
              </w:rPr>
              <w:t>—</w:t>
            </w:r>
            <w:r w:rsidRPr="000765FA">
              <w:rPr>
                <w:sz w:val="20"/>
                <w:szCs w:val="20"/>
                <w:lang w:val="fr-CA"/>
              </w:rPr>
              <w:t xml:space="preserve"> </w:t>
            </w:r>
            <w:r w:rsidRPr="000765FA">
              <w:rPr>
                <w:rFonts w:cs="Times New Roman"/>
                <w:sz w:val="20"/>
                <w:szCs w:val="20"/>
                <w:lang w:val="fr-CA"/>
              </w:rPr>
              <w:t xml:space="preserve">À notre avis, la Cour d’appel de la Colombie-Britannique a eu raison de conclure que, suivant l’interprétation qu’il convient de lui donner, le par. 794(2) du </w:t>
            </w:r>
            <w:r w:rsidRPr="000765FA">
              <w:rPr>
                <w:rFonts w:cs="Times New Roman"/>
                <w:i/>
                <w:iCs/>
                <w:sz w:val="20"/>
                <w:szCs w:val="20"/>
                <w:lang w:val="fr-CA"/>
              </w:rPr>
              <w:t>Code criminel</w:t>
            </w:r>
            <w:r w:rsidRPr="000765FA">
              <w:rPr>
                <w:rFonts w:cs="Times New Roman"/>
                <w:sz w:val="20"/>
                <w:szCs w:val="20"/>
                <w:lang w:val="fr-CA"/>
              </w:rPr>
              <w:t>, L.R.C. 1985, c. C-46, impose à l’accusé le fardeau de persuader le tribunal de l’existence d’une «</w:t>
            </w:r>
            <w:r w:rsidR="002F7FF6">
              <w:rPr>
                <w:rFonts w:cs="Times New Roman"/>
                <w:sz w:val="20"/>
                <w:szCs w:val="20"/>
                <w:lang w:val="fr-CA"/>
              </w:rPr>
              <w:t> </w:t>
            </w:r>
            <w:r w:rsidRPr="000765FA">
              <w:rPr>
                <w:rFonts w:cs="Times New Roman"/>
                <w:sz w:val="20"/>
                <w:szCs w:val="20"/>
                <w:lang w:val="fr-CA"/>
              </w:rPr>
              <w:t>exception, exemption, limitation, excuse ou réserve, prévue par le droit ».</w:t>
            </w:r>
            <w:r w:rsidR="002F7FF6">
              <w:rPr>
                <w:rFonts w:cs="Times New Roman"/>
                <w:sz w:val="20"/>
                <w:szCs w:val="20"/>
                <w:lang w:val="fr-CA"/>
              </w:rPr>
              <w:t> </w:t>
            </w:r>
            <w:r w:rsidRPr="000765FA">
              <w:rPr>
                <w:rFonts w:cs="Times New Roman"/>
                <w:sz w:val="20"/>
                <w:szCs w:val="20"/>
                <w:lang w:val="fr-CA"/>
              </w:rPr>
              <w:t xml:space="preserve"> Nous n’estimons pas opportun d’examiner les </w:t>
            </w:r>
            <w:r w:rsidRPr="000765FA">
              <w:rPr>
                <w:rFonts w:cs="Times New Roman"/>
                <w:sz w:val="20"/>
                <w:szCs w:val="20"/>
                <w:lang w:val="fr-CA"/>
              </w:rPr>
              <w:lastRenderedPageBreak/>
              <w:t>nouveaux points soulevés par les intervenants.</w:t>
            </w:r>
          </w:p>
          <w:p w:rsidR="00681634" w:rsidRPr="000765FA" w:rsidRDefault="00681634" w:rsidP="00681634">
            <w:pPr>
              <w:jc w:val="both"/>
              <w:rPr>
                <w:rFonts w:cs="Times New Roman"/>
                <w:sz w:val="20"/>
                <w:szCs w:val="20"/>
                <w:lang w:val="fr-CA"/>
              </w:rPr>
            </w:pPr>
          </w:p>
          <w:p w:rsidR="009523B6" w:rsidRPr="00C1697B" w:rsidRDefault="00681634" w:rsidP="00681634">
            <w:pPr>
              <w:jc w:val="both"/>
              <w:rPr>
                <w:sz w:val="20"/>
                <w:szCs w:val="20"/>
                <w:lang w:val="fr-CA"/>
              </w:rPr>
            </w:pPr>
            <w:r w:rsidRPr="000765FA">
              <w:rPr>
                <w:rFonts w:cs="Times New Roman"/>
                <w:sz w:val="20"/>
                <w:szCs w:val="20"/>
                <w:lang w:val="fr-CA"/>
              </w:rPr>
              <w:t>L’appel est rejeté.</w:t>
            </w:r>
          </w:p>
        </w:tc>
      </w:tr>
    </w:tbl>
    <w:p w:rsidR="009523B6" w:rsidRPr="005E31A3" w:rsidRDefault="009523B6" w:rsidP="009523B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C78D5" w:rsidRPr="00F70079" w:rsidTr="004C78D5">
        <w:tc>
          <w:tcPr>
            <w:tcW w:w="4380" w:type="dxa"/>
            <w:tcMar>
              <w:left w:w="0" w:type="dxa"/>
              <w:right w:w="0" w:type="dxa"/>
            </w:tcMar>
          </w:tcPr>
          <w:p w:rsidR="004C78D5" w:rsidRPr="001C767B" w:rsidRDefault="004C78D5" w:rsidP="004C78D5">
            <w:pPr>
              <w:widowControl w:val="0"/>
              <w:jc w:val="both"/>
              <w:rPr>
                <w:b/>
                <w:sz w:val="20"/>
                <w:szCs w:val="20"/>
                <w:u w:val="single"/>
              </w:rPr>
            </w:pPr>
            <w:r w:rsidRPr="001C767B">
              <w:rPr>
                <w:b/>
                <w:sz w:val="20"/>
                <w:szCs w:val="20"/>
                <w:u w:val="single"/>
              </w:rPr>
              <w:t>Nature of the case :</w:t>
            </w:r>
          </w:p>
          <w:p w:rsidR="004C78D5" w:rsidRPr="001C767B" w:rsidRDefault="004C78D5" w:rsidP="004C78D5">
            <w:pPr>
              <w:widowControl w:val="0"/>
              <w:jc w:val="both"/>
              <w:rPr>
                <w:b/>
                <w:sz w:val="20"/>
                <w:szCs w:val="20"/>
              </w:rPr>
            </w:pPr>
          </w:p>
          <w:p w:rsidR="004C78D5" w:rsidRPr="001C767B" w:rsidRDefault="001C767B" w:rsidP="004C78D5">
            <w:pPr>
              <w:widowControl w:val="0"/>
              <w:jc w:val="both"/>
              <w:rPr>
                <w:b/>
                <w:sz w:val="20"/>
                <w:szCs w:val="20"/>
              </w:rPr>
            </w:pPr>
            <w:r w:rsidRPr="00E3310E">
              <w:rPr>
                <w:sz w:val="20"/>
                <w:szCs w:val="20"/>
              </w:rPr>
              <w:t xml:space="preserve">Criminal law - Offences - Motor vehicles - Failing or refusing to provide breath sample - Burden of proof - Interpretation of s. 794(2) of the </w:t>
            </w:r>
            <w:r w:rsidRPr="00E3310E">
              <w:rPr>
                <w:i/>
                <w:sz w:val="20"/>
                <w:szCs w:val="20"/>
              </w:rPr>
              <w:t>Criminal Code</w:t>
            </w:r>
            <w:r w:rsidRPr="00E3310E">
              <w:rPr>
                <w:sz w:val="20"/>
                <w:szCs w:val="20"/>
              </w:rPr>
              <w:t xml:space="preserve"> - Whether s. 794(2) imposes a persuasive burden on accused to prove “reasonable excuse” to refuse to provide breath sample or whether it requires Crown to disprove that reasonable excuse once accused has established evidentiary basis for such an excuse? - </w:t>
            </w:r>
            <w:r w:rsidRPr="00E3310E">
              <w:rPr>
                <w:i/>
                <w:sz w:val="20"/>
                <w:szCs w:val="20"/>
              </w:rPr>
              <w:t>Criminal Code</w:t>
            </w:r>
            <w:r w:rsidRPr="00E3310E">
              <w:rPr>
                <w:sz w:val="20"/>
                <w:szCs w:val="20"/>
              </w:rPr>
              <w:t>, R.C.S. 1985, c. C-26, ss. 254(4) and 794(2).</w:t>
            </w:r>
          </w:p>
        </w:tc>
        <w:tc>
          <w:tcPr>
            <w:tcW w:w="720" w:type="dxa"/>
            <w:tcMar>
              <w:left w:w="0" w:type="dxa"/>
              <w:right w:w="0" w:type="dxa"/>
            </w:tcMar>
          </w:tcPr>
          <w:p w:rsidR="004C78D5" w:rsidRPr="001C767B" w:rsidRDefault="004C78D5" w:rsidP="004C78D5">
            <w:pPr>
              <w:widowControl w:val="0"/>
              <w:jc w:val="center"/>
              <w:rPr>
                <w:sz w:val="20"/>
                <w:szCs w:val="20"/>
              </w:rPr>
            </w:pPr>
          </w:p>
        </w:tc>
        <w:tc>
          <w:tcPr>
            <w:tcW w:w="4380" w:type="dxa"/>
            <w:tcMar>
              <w:left w:w="0" w:type="dxa"/>
              <w:right w:w="0" w:type="dxa"/>
            </w:tcMar>
          </w:tcPr>
          <w:p w:rsidR="004C78D5" w:rsidRPr="00CC4D84" w:rsidRDefault="004C78D5" w:rsidP="004C78D5">
            <w:pPr>
              <w:widowControl w:val="0"/>
              <w:jc w:val="both"/>
              <w:rPr>
                <w:b/>
                <w:sz w:val="20"/>
                <w:szCs w:val="20"/>
                <w:u w:val="single"/>
                <w:lang w:val="fr-CA"/>
              </w:rPr>
            </w:pPr>
            <w:r w:rsidRPr="00CC4D84">
              <w:rPr>
                <w:b/>
                <w:sz w:val="20"/>
                <w:szCs w:val="20"/>
                <w:u w:val="single"/>
                <w:lang w:val="fr-CA"/>
              </w:rPr>
              <w:t>Nature de la cause :</w:t>
            </w:r>
          </w:p>
          <w:p w:rsidR="004C78D5" w:rsidRPr="00C1697B" w:rsidRDefault="004C78D5" w:rsidP="004C78D5">
            <w:pPr>
              <w:widowControl w:val="0"/>
              <w:jc w:val="both"/>
              <w:rPr>
                <w:sz w:val="20"/>
                <w:szCs w:val="20"/>
                <w:lang w:val="fr-CA"/>
              </w:rPr>
            </w:pPr>
          </w:p>
          <w:p w:rsidR="004C78D5" w:rsidRPr="00C1697B" w:rsidRDefault="001C767B" w:rsidP="001C767B">
            <w:pPr>
              <w:jc w:val="both"/>
              <w:rPr>
                <w:sz w:val="20"/>
                <w:szCs w:val="20"/>
                <w:lang w:val="fr-CA"/>
              </w:rPr>
            </w:pPr>
            <w:r w:rsidRPr="009D0933">
              <w:rPr>
                <w:sz w:val="20"/>
                <w:szCs w:val="20"/>
                <w:lang w:val="fr-CA"/>
              </w:rPr>
              <w:t xml:space="preserve">Droit criminel - Infractions - Véhicules à moteur - Omission ou refus de fournir un échantillon d’haleine - Fardeau de la preuve - Interprétation du par. 794(2) du </w:t>
            </w:r>
            <w:r w:rsidRPr="009D0933">
              <w:rPr>
                <w:i/>
                <w:sz w:val="20"/>
                <w:szCs w:val="20"/>
                <w:lang w:val="fr-CA"/>
              </w:rPr>
              <w:t>Code criminel</w:t>
            </w:r>
            <w:r w:rsidRPr="009D0933">
              <w:rPr>
                <w:sz w:val="20"/>
                <w:szCs w:val="20"/>
                <w:lang w:val="fr-CA"/>
              </w:rPr>
              <w:t xml:space="preserve"> - Le par. 794(2) impose-t-il à l’accusé une charge de persuasion en vertu de laquelle il serait tenu de prouver une « excuse raisonnable » pour refuser de fournir un échantillon d’haleine ou oblige-t-il plutôt le ministère public à réfuter cette excuse raisonnable dès que l’accusé a établi le fondement probatoire d’une telle excuse? - </w:t>
            </w:r>
            <w:r w:rsidRPr="009D0933">
              <w:rPr>
                <w:i/>
                <w:sz w:val="20"/>
                <w:szCs w:val="20"/>
                <w:lang w:val="fr-CA"/>
              </w:rPr>
              <w:t>Code criminel</w:t>
            </w:r>
            <w:r w:rsidRPr="009D0933">
              <w:rPr>
                <w:sz w:val="20"/>
                <w:szCs w:val="20"/>
                <w:lang w:val="fr-CA"/>
              </w:rPr>
              <w:t>, L.R.C. 1985, c. C-46, art. 254(4) et 794(2).</w:t>
            </w:r>
          </w:p>
        </w:tc>
      </w:tr>
    </w:tbl>
    <w:p w:rsidR="004C78D5" w:rsidRDefault="004C78D5" w:rsidP="004C78D5">
      <w:pPr>
        <w:widowControl w:val="0"/>
        <w:rPr>
          <w:sz w:val="20"/>
          <w:szCs w:val="20"/>
          <w:lang w:val="fr-CA"/>
        </w:rPr>
      </w:pPr>
    </w:p>
    <w:p w:rsidR="00E97032" w:rsidRDefault="00007FF8" w:rsidP="00732DB7">
      <w:pPr>
        <w:widowControl w:val="0"/>
        <w:rPr>
          <w:sz w:val="20"/>
          <w:szCs w:val="20"/>
        </w:rPr>
      </w:pPr>
      <w:r>
        <w:rPr>
          <w:sz w:val="20"/>
          <w:szCs w:val="20"/>
          <w:lang w:val="fr-CA"/>
        </w:rPr>
        <w:pict>
          <v:rect id="_x0000_i1063" style="width:2in;height:1pt" o:hrpct="0" o:hralign="center" o:hrstd="t" o:hrnoshade="t" o:hr="t" fillcolor="black [3213]" stroked="f"/>
        </w:pict>
      </w:r>
    </w:p>
    <w:p w:rsidR="004C78D5" w:rsidRDefault="004C78D5" w:rsidP="00732DB7">
      <w:pPr>
        <w:widowControl w:val="0"/>
        <w:rPr>
          <w:sz w:val="20"/>
          <w:szCs w:val="20"/>
        </w:rPr>
      </w:pPr>
    </w:p>
    <w:p w:rsidR="004C78D5" w:rsidRPr="00E04ACC" w:rsidRDefault="004C78D5" w:rsidP="004C78D5">
      <w:pPr>
        <w:widowControl w:val="0"/>
        <w:rPr>
          <w:sz w:val="20"/>
          <w:szCs w:val="20"/>
        </w:rPr>
      </w:pPr>
      <w:r>
        <w:rPr>
          <w:sz w:val="20"/>
          <w:szCs w:val="20"/>
        </w:rPr>
        <w:t>12</w:t>
      </w:r>
      <w:r w:rsidRPr="00E04ACC">
        <w:rPr>
          <w:sz w:val="20"/>
          <w:szCs w:val="20"/>
        </w:rPr>
        <w:t>.02.2015</w:t>
      </w:r>
    </w:p>
    <w:p w:rsidR="004C78D5" w:rsidRDefault="004C78D5" w:rsidP="004C78D5">
      <w:pPr>
        <w:widowControl w:val="0"/>
        <w:rPr>
          <w:sz w:val="20"/>
          <w:szCs w:val="20"/>
        </w:rPr>
      </w:pPr>
    </w:p>
    <w:p w:rsidR="00AE3683" w:rsidRPr="00C8686C" w:rsidRDefault="00AE3683" w:rsidP="00AE3683">
      <w:pPr>
        <w:widowControl w:val="0"/>
        <w:ind w:left="720" w:hanging="720"/>
        <w:rPr>
          <w:sz w:val="20"/>
          <w:szCs w:val="20"/>
          <w:u w:val="single"/>
        </w:rPr>
      </w:pPr>
      <w:r w:rsidRPr="00C8686C">
        <w:rPr>
          <w:sz w:val="20"/>
          <w:szCs w:val="20"/>
        </w:rPr>
        <w:t xml:space="preserve">Coram: </w:t>
      </w:r>
      <w:r w:rsidRPr="00C8686C">
        <w:rPr>
          <w:sz w:val="20"/>
          <w:szCs w:val="20"/>
        </w:rPr>
        <w:tab/>
      </w:r>
      <w:r w:rsidRPr="00C8686C">
        <w:rPr>
          <w:sz w:val="20"/>
          <w:szCs w:val="20"/>
          <w:u w:val="single"/>
        </w:rPr>
        <w:t>Rothstein, Cromwell, Moldaver, Karakatsanis, Wagner, Gascon and Côté JJ.</w:t>
      </w:r>
    </w:p>
    <w:p w:rsidR="004C78D5" w:rsidRPr="004C78D5" w:rsidRDefault="004C78D5" w:rsidP="004C78D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C78D5" w:rsidRPr="00E97032" w:rsidTr="004C78D5">
        <w:tc>
          <w:tcPr>
            <w:tcW w:w="4380" w:type="dxa"/>
            <w:tcMar>
              <w:left w:w="0" w:type="dxa"/>
              <w:right w:w="0" w:type="dxa"/>
            </w:tcMar>
          </w:tcPr>
          <w:p w:rsidR="004C78D5" w:rsidRPr="004C78D5" w:rsidRDefault="004C78D5" w:rsidP="004C78D5">
            <w:pPr>
              <w:widowControl w:val="0"/>
              <w:rPr>
                <w:b/>
                <w:sz w:val="20"/>
                <w:szCs w:val="20"/>
              </w:rPr>
            </w:pPr>
            <w:r>
              <w:rPr>
                <w:b/>
                <w:sz w:val="20"/>
                <w:szCs w:val="20"/>
              </w:rPr>
              <w:t>H</w:t>
            </w:r>
            <w:r w:rsidRPr="00E97032">
              <w:rPr>
                <w:b/>
                <w:sz w:val="20"/>
                <w:szCs w:val="20"/>
              </w:rPr>
              <w:t>e</w:t>
            </w:r>
            <w:r>
              <w:rPr>
                <w:b/>
                <w:sz w:val="20"/>
                <w:szCs w:val="20"/>
              </w:rPr>
              <w:t>r Maj</w:t>
            </w:r>
            <w:r w:rsidRPr="00E97032">
              <w:rPr>
                <w:b/>
                <w:sz w:val="20"/>
                <w:szCs w:val="20"/>
              </w:rPr>
              <w:t>est</w:t>
            </w:r>
            <w:r>
              <w:rPr>
                <w:b/>
                <w:sz w:val="20"/>
                <w:szCs w:val="20"/>
              </w:rPr>
              <w:t>y th</w:t>
            </w:r>
            <w:r w:rsidRPr="00E97032">
              <w:rPr>
                <w:b/>
                <w:sz w:val="20"/>
                <w:szCs w:val="20"/>
              </w:rPr>
              <w:t>e</w:t>
            </w:r>
            <w:r>
              <w:rPr>
                <w:b/>
                <w:sz w:val="20"/>
                <w:szCs w:val="20"/>
              </w:rPr>
              <w:t xml:space="preserve"> Quee</w:t>
            </w:r>
            <w:r w:rsidRPr="00E97032">
              <w:rPr>
                <w:b/>
                <w:sz w:val="20"/>
                <w:szCs w:val="20"/>
              </w:rPr>
              <w:t>n</w:t>
            </w:r>
          </w:p>
          <w:p w:rsidR="004C78D5" w:rsidRPr="004C78D5" w:rsidRDefault="004C78D5" w:rsidP="004C78D5">
            <w:pPr>
              <w:widowControl w:val="0"/>
              <w:rPr>
                <w:b/>
                <w:sz w:val="20"/>
                <w:szCs w:val="20"/>
              </w:rPr>
            </w:pPr>
          </w:p>
          <w:p w:rsidR="004C78D5" w:rsidRPr="004C78D5" w:rsidRDefault="004C78D5" w:rsidP="004C78D5">
            <w:pPr>
              <w:widowControl w:val="0"/>
              <w:rPr>
                <w:b/>
                <w:sz w:val="20"/>
                <w:szCs w:val="20"/>
              </w:rPr>
            </w:pPr>
            <w:r w:rsidRPr="004C78D5">
              <w:rPr>
                <w:b/>
                <w:sz w:val="20"/>
                <w:szCs w:val="20"/>
              </w:rPr>
              <w:tab/>
              <w:t xml:space="preserve">v. </w:t>
            </w:r>
            <w:r w:rsidR="00AE3683" w:rsidRPr="00C8686C">
              <w:rPr>
                <w:sz w:val="20"/>
                <w:szCs w:val="20"/>
              </w:rPr>
              <w:t>(</w:t>
            </w:r>
            <w:hyperlink r:id="rId46" w:history="1">
              <w:r w:rsidR="00AE3683" w:rsidRPr="00C8686C">
                <w:rPr>
                  <w:rStyle w:val="Hyperlink"/>
                  <w:sz w:val="20"/>
                  <w:szCs w:val="20"/>
                </w:rPr>
                <w:t>35971</w:t>
              </w:r>
            </w:hyperlink>
            <w:r w:rsidR="00AE3683" w:rsidRPr="00C8686C">
              <w:rPr>
                <w:sz w:val="20"/>
                <w:szCs w:val="20"/>
              </w:rPr>
              <w:t>)</w:t>
            </w:r>
          </w:p>
          <w:p w:rsidR="004C78D5" w:rsidRPr="004C78D5" w:rsidRDefault="004C78D5" w:rsidP="004C78D5">
            <w:pPr>
              <w:widowControl w:val="0"/>
              <w:rPr>
                <w:b/>
                <w:sz w:val="20"/>
                <w:szCs w:val="20"/>
              </w:rPr>
            </w:pPr>
          </w:p>
          <w:p w:rsidR="00AE3683" w:rsidRPr="00E97032" w:rsidRDefault="004C78D5" w:rsidP="00AE3683">
            <w:pPr>
              <w:widowControl w:val="0"/>
              <w:rPr>
                <w:sz w:val="20"/>
                <w:szCs w:val="20"/>
              </w:rPr>
            </w:pPr>
            <w:r w:rsidRPr="00C34FEA">
              <w:rPr>
                <w:b/>
                <w:sz w:val="20"/>
                <w:szCs w:val="20"/>
                <w:lang w:val="fr-CA"/>
              </w:rPr>
              <w:t xml:space="preserve">Andrew Simpson et al. (Que.) (Criminal.) </w:t>
            </w:r>
            <w:r w:rsidRPr="00E97032">
              <w:rPr>
                <w:b/>
                <w:sz w:val="20"/>
                <w:szCs w:val="20"/>
              </w:rPr>
              <w:t>(</w:t>
            </w:r>
            <w:r>
              <w:rPr>
                <w:b/>
                <w:sz w:val="20"/>
                <w:szCs w:val="20"/>
              </w:rPr>
              <w:t>As of Right</w:t>
            </w:r>
            <w:r w:rsidRPr="00E97032">
              <w:rPr>
                <w:b/>
                <w:sz w:val="20"/>
                <w:szCs w:val="20"/>
              </w:rPr>
              <w:t xml:space="preserve">) </w:t>
            </w:r>
          </w:p>
        </w:tc>
        <w:tc>
          <w:tcPr>
            <w:tcW w:w="720" w:type="dxa"/>
            <w:tcMar>
              <w:left w:w="0" w:type="dxa"/>
              <w:right w:w="0" w:type="dxa"/>
            </w:tcMar>
          </w:tcPr>
          <w:p w:rsidR="004C78D5" w:rsidRPr="00E97032" w:rsidRDefault="004C78D5" w:rsidP="004C78D5">
            <w:pPr>
              <w:widowControl w:val="0"/>
              <w:jc w:val="center"/>
              <w:rPr>
                <w:sz w:val="20"/>
                <w:szCs w:val="20"/>
              </w:rPr>
            </w:pPr>
          </w:p>
        </w:tc>
        <w:tc>
          <w:tcPr>
            <w:tcW w:w="4380" w:type="dxa"/>
            <w:tcMar>
              <w:left w:w="0" w:type="dxa"/>
              <w:right w:w="0" w:type="dxa"/>
            </w:tcMar>
          </w:tcPr>
          <w:p w:rsidR="00AE3683" w:rsidRDefault="00AE3683" w:rsidP="00AE3683">
            <w:pPr>
              <w:jc w:val="both"/>
              <w:rPr>
                <w:sz w:val="20"/>
                <w:szCs w:val="20"/>
              </w:rPr>
            </w:pPr>
            <w:r w:rsidRPr="00692450">
              <w:rPr>
                <w:sz w:val="20"/>
                <w:szCs w:val="20"/>
              </w:rPr>
              <w:t>Dennis Galiatsatos and Christian Jarry</w:t>
            </w:r>
            <w:r>
              <w:rPr>
                <w:sz w:val="20"/>
                <w:szCs w:val="20"/>
              </w:rPr>
              <w:t xml:space="preserve"> f</w:t>
            </w:r>
            <w:r w:rsidRPr="00692450">
              <w:rPr>
                <w:sz w:val="20"/>
                <w:szCs w:val="20"/>
              </w:rPr>
              <w:t xml:space="preserve">or the </w:t>
            </w:r>
            <w:r>
              <w:rPr>
                <w:sz w:val="20"/>
                <w:szCs w:val="20"/>
              </w:rPr>
              <w:t>a</w:t>
            </w:r>
            <w:r w:rsidRPr="00692450">
              <w:rPr>
                <w:sz w:val="20"/>
                <w:szCs w:val="20"/>
              </w:rPr>
              <w:t>ppellant</w:t>
            </w:r>
            <w:r>
              <w:rPr>
                <w:sz w:val="20"/>
                <w:szCs w:val="20"/>
              </w:rPr>
              <w:t>.</w:t>
            </w:r>
          </w:p>
          <w:p w:rsidR="00AE3683" w:rsidRPr="00692450" w:rsidRDefault="00AE3683" w:rsidP="00AE3683">
            <w:pPr>
              <w:jc w:val="both"/>
              <w:rPr>
                <w:sz w:val="20"/>
                <w:szCs w:val="20"/>
              </w:rPr>
            </w:pPr>
          </w:p>
          <w:p w:rsidR="00AE3683" w:rsidRPr="00692450" w:rsidRDefault="00AE3683" w:rsidP="00AE3683">
            <w:pPr>
              <w:jc w:val="both"/>
              <w:rPr>
                <w:sz w:val="20"/>
                <w:szCs w:val="20"/>
                <w:lang w:val="fr-CA"/>
              </w:rPr>
            </w:pPr>
            <w:r w:rsidRPr="00692450">
              <w:rPr>
                <w:sz w:val="20"/>
                <w:szCs w:val="20"/>
                <w:lang w:val="fr-CA"/>
              </w:rPr>
              <w:t>Éric Couture</w:t>
            </w:r>
            <w:r>
              <w:rPr>
                <w:sz w:val="20"/>
                <w:szCs w:val="20"/>
                <w:lang w:val="fr-CA"/>
              </w:rPr>
              <w:t xml:space="preserve"> p</w:t>
            </w:r>
            <w:r w:rsidRPr="00692450">
              <w:rPr>
                <w:sz w:val="20"/>
                <w:szCs w:val="20"/>
                <w:lang w:val="fr-CA"/>
              </w:rPr>
              <w:t>our l’intervenante</w:t>
            </w:r>
            <w:r>
              <w:rPr>
                <w:sz w:val="20"/>
                <w:szCs w:val="20"/>
                <w:lang w:val="fr-CA"/>
              </w:rPr>
              <w:t xml:space="preserve"> </w:t>
            </w:r>
            <w:r w:rsidRPr="00692450">
              <w:rPr>
                <w:sz w:val="20"/>
                <w:szCs w:val="20"/>
                <w:lang w:val="fr-CA"/>
              </w:rPr>
              <w:t>Ville de Montréal</w:t>
            </w:r>
            <w:r>
              <w:rPr>
                <w:sz w:val="20"/>
                <w:szCs w:val="20"/>
                <w:lang w:val="fr-CA"/>
              </w:rPr>
              <w:t>.</w:t>
            </w:r>
          </w:p>
          <w:p w:rsidR="00AE3683" w:rsidRPr="00692450" w:rsidRDefault="00AE3683" w:rsidP="00AE3683">
            <w:pPr>
              <w:jc w:val="both"/>
              <w:rPr>
                <w:sz w:val="20"/>
                <w:szCs w:val="20"/>
                <w:lang w:val="fr-CA"/>
              </w:rPr>
            </w:pPr>
          </w:p>
          <w:p w:rsidR="00AE3683" w:rsidRPr="00692450" w:rsidRDefault="00AE3683" w:rsidP="00AE3683">
            <w:pPr>
              <w:tabs>
                <w:tab w:val="left" w:pos="2910"/>
              </w:tabs>
              <w:jc w:val="both"/>
              <w:rPr>
                <w:sz w:val="20"/>
                <w:szCs w:val="20"/>
                <w:lang w:val="en-US"/>
              </w:rPr>
            </w:pPr>
            <w:r w:rsidRPr="00692450">
              <w:rPr>
                <w:sz w:val="20"/>
                <w:szCs w:val="20"/>
                <w:lang w:val="en-US"/>
              </w:rPr>
              <w:t>Andrew Simpson</w:t>
            </w:r>
            <w:r>
              <w:rPr>
                <w:sz w:val="20"/>
                <w:szCs w:val="20"/>
                <w:lang w:val="en-US"/>
              </w:rPr>
              <w:t xml:space="preserve"> and </w:t>
            </w:r>
            <w:r w:rsidRPr="00692450">
              <w:rPr>
                <w:sz w:val="20"/>
                <w:szCs w:val="20"/>
                <w:lang w:val="en-US"/>
              </w:rPr>
              <w:t xml:space="preserve">Kizzy-Ann Farrell </w:t>
            </w:r>
            <w:r>
              <w:rPr>
                <w:sz w:val="20"/>
                <w:szCs w:val="20"/>
                <w:lang w:val="en-US"/>
              </w:rPr>
              <w:t>f</w:t>
            </w:r>
            <w:r w:rsidRPr="00692450">
              <w:rPr>
                <w:sz w:val="20"/>
                <w:szCs w:val="20"/>
                <w:lang w:val="en-US"/>
              </w:rPr>
              <w:t xml:space="preserve">or the </w:t>
            </w:r>
            <w:r>
              <w:rPr>
                <w:sz w:val="20"/>
                <w:szCs w:val="20"/>
                <w:lang w:val="en-US"/>
              </w:rPr>
              <w:t>r</w:t>
            </w:r>
            <w:r w:rsidRPr="00692450">
              <w:rPr>
                <w:sz w:val="20"/>
                <w:szCs w:val="20"/>
                <w:lang w:val="en-US"/>
              </w:rPr>
              <w:t>espondents.</w:t>
            </w:r>
          </w:p>
          <w:p w:rsidR="00AE3683" w:rsidRPr="00692450" w:rsidRDefault="00AE3683" w:rsidP="00AE3683">
            <w:pPr>
              <w:jc w:val="both"/>
              <w:rPr>
                <w:sz w:val="20"/>
                <w:szCs w:val="20"/>
                <w:lang w:val="en-US"/>
              </w:rPr>
            </w:pPr>
          </w:p>
          <w:p w:rsidR="004C78D5" w:rsidRPr="00AE3683" w:rsidRDefault="00AE3683" w:rsidP="00AE3683">
            <w:pPr>
              <w:jc w:val="both"/>
              <w:rPr>
                <w:sz w:val="20"/>
                <w:szCs w:val="20"/>
                <w:lang w:val="en-US"/>
              </w:rPr>
            </w:pPr>
            <w:r w:rsidRPr="00692450">
              <w:rPr>
                <w:sz w:val="20"/>
                <w:szCs w:val="20"/>
                <w:lang w:val="en-US"/>
              </w:rPr>
              <w:t>Walid Hijazi</w:t>
            </w:r>
            <w:r>
              <w:rPr>
                <w:sz w:val="20"/>
                <w:szCs w:val="20"/>
                <w:lang w:val="en-US"/>
              </w:rPr>
              <w:t xml:space="preserve"> f</w:t>
            </w:r>
            <w:r w:rsidRPr="00692450">
              <w:rPr>
                <w:sz w:val="20"/>
                <w:szCs w:val="20"/>
                <w:lang w:val="en-US"/>
              </w:rPr>
              <w:t>or the Amicus Curiae.</w:t>
            </w:r>
          </w:p>
        </w:tc>
      </w:tr>
    </w:tbl>
    <w:p w:rsidR="004C78D5" w:rsidRPr="00E97032" w:rsidRDefault="004C78D5" w:rsidP="004C78D5">
      <w:pPr>
        <w:widowControl w:val="0"/>
        <w:rPr>
          <w:sz w:val="20"/>
          <w:szCs w:val="20"/>
        </w:rPr>
      </w:pPr>
    </w:p>
    <w:p w:rsidR="004C78D5" w:rsidRPr="004C78D5" w:rsidRDefault="004C78D5" w:rsidP="004C78D5">
      <w:pPr>
        <w:widowControl w:val="0"/>
        <w:rPr>
          <w:sz w:val="20"/>
          <w:szCs w:val="20"/>
        </w:rPr>
      </w:pPr>
      <w:r w:rsidRPr="004C78D5">
        <w:rPr>
          <w:b/>
          <w:sz w:val="20"/>
          <w:szCs w:val="20"/>
        </w:rPr>
        <w:t>RESERVED / EN DÉLIBÉRÉ</w:t>
      </w:r>
    </w:p>
    <w:p w:rsidR="004C78D5" w:rsidRPr="004C78D5" w:rsidRDefault="004C78D5" w:rsidP="004C78D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C78D5" w:rsidRPr="00F70079" w:rsidTr="004C78D5">
        <w:tc>
          <w:tcPr>
            <w:tcW w:w="4380" w:type="dxa"/>
            <w:tcMar>
              <w:left w:w="0" w:type="dxa"/>
              <w:right w:w="0" w:type="dxa"/>
            </w:tcMar>
          </w:tcPr>
          <w:p w:rsidR="004C78D5" w:rsidRPr="004C78D5" w:rsidRDefault="004C78D5" w:rsidP="004C78D5">
            <w:pPr>
              <w:widowControl w:val="0"/>
              <w:jc w:val="both"/>
              <w:rPr>
                <w:b/>
                <w:sz w:val="20"/>
                <w:szCs w:val="20"/>
                <w:u w:val="single"/>
              </w:rPr>
            </w:pPr>
            <w:r w:rsidRPr="004C78D5">
              <w:rPr>
                <w:b/>
                <w:sz w:val="20"/>
                <w:szCs w:val="20"/>
                <w:u w:val="single"/>
              </w:rPr>
              <w:t>Nature of the case :</w:t>
            </w:r>
          </w:p>
          <w:p w:rsidR="004C78D5" w:rsidRPr="004C78D5" w:rsidRDefault="004C78D5" w:rsidP="004C78D5">
            <w:pPr>
              <w:widowControl w:val="0"/>
              <w:jc w:val="both"/>
              <w:rPr>
                <w:b/>
                <w:sz w:val="20"/>
                <w:szCs w:val="20"/>
              </w:rPr>
            </w:pPr>
          </w:p>
          <w:p w:rsidR="004C78D5" w:rsidRPr="004C78D5" w:rsidRDefault="001C767B" w:rsidP="004C78D5">
            <w:pPr>
              <w:widowControl w:val="0"/>
              <w:jc w:val="both"/>
              <w:rPr>
                <w:b/>
                <w:sz w:val="20"/>
                <w:szCs w:val="20"/>
              </w:rPr>
            </w:pPr>
            <w:r w:rsidRPr="00E82683">
              <w:rPr>
                <w:i/>
                <w:sz w:val="20"/>
                <w:szCs w:val="20"/>
              </w:rPr>
              <w:t>Charter of Rights</w:t>
            </w:r>
            <w:r w:rsidRPr="00E82683">
              <w:rPr>
                <w:sz w:val="20"/>
                <w:szCs w:val="20"/>
              </w:rPr>
              <w:t xml:space="preserve"> - Unreasonable search and seizure - Breaking and entering - Colour of right - Whether the trial judge erred in law in finding that the respondents’ s. 8 </w:t>
            </w:r>
            <w:r w:rsidRPr="00E82683">
              <w:rPr>
                <w:i/>
                <w:sz w:val="20"/>
                <w:szCs w:val="20"/>
              </w:rPr>
              <w:t>Charter</w:t>
            </w:r>
            <w:r w:rsidRPr="00E82683">
              <w:rPr>
                <w:sz w:val="20"/>
                <w:szCs w:val="20"/>
              </w:rPr>
              <w:t xml:space="preserve"> rights were violated - Whether the trial judge erred in finding colour of right.</w:t>
            </w:r>
          </w:p>
        </w:tc>
        <w:tc>
          <w:tcPr>
            <w:tcW w:w="720" w:type="dxa"/>
            <w:tcMar>
              <w:left w:w="0" w:type="dxa"/>
              <w:right w:w="0" w:type="dxa"/>
            </w:tcMar>
          </w:tcPr>
          <w:p w:rsidR="004C78D5" w:rsidRPr="004C78D5" w:rsidRDefault="004C78D5" w:rsidP="004C78D5">
            <w:pPr>
              <w:widowControl w:val="0"/>
              <w:jc w:val="center"/>
              <w:rPr>
                <w:sz w:val="20"/>
                <w:szCs w:val="20"/>
              </w:rPr>
            </w:pPr>
          </w:p>
        </w:tc>
        <w:tc>
          <w:tcPr>
            <w:tcW w:w="4380" w:type="dxa"/>
            <w:tcMar>
              <w:left w:w="0" w:type="dxa"/>
              <w:right w:w="0" w:type="dxa"/>
            </w:tcMar>
          </w:tcPr>
          <w:p w:rsidR="004C78D5" w:rsidRPr="001C767B" w:rsidRDefault="004C78D5" w:rsidP="004C78D5">
            <w:pPr>
              <w:widowControl w:val="0"/>
              <w:jc w:val="both"/>
              <w:rPr>
                <w:b/>
                <w:sz w:val="20"/>
                <w:szCs w:val="20"/>
                <w:u w:val="single"/>
                <w:lang w:val="fr-CA"/>
              </w:rPr>
            </w:pPr>
            <w:r w:rsidRPr="001C767B">
              <w:rPr>
                <w:b/>
                <w:sz w:val="20"/>
                <w:szCs w:val="20"/>
                <w:u w:val="single"/>
                <w:lang w:val="fr-CA"/>
              </w:rPr>
              <w:t>Nature de la cause :</w:t>
            </w:r>
          </w:p>
          <w:p w:rsidR="004C78D5" w:rsidRPr="001C767B" w:rsidRDefault="004C78D5" w:rsidP="004C78D5">
            <w:pPr>
              <w:widowControl w:val="0"/>
              <w:jc w:val="both"/>
              <w:rPr>
                <w:sz w:val="20"/>
                <w:szCs w:val="20"/>
                <w:lang w:val="fr-CA"/>
              </w:rPr>
            </w:pPr>
          </w:p>
          <w:p w:rsidR="004C78D5" w:rsidRPr="001C767B" w:rsidRDefault="001C767B" w:rsidP="004C78D5">
            <w:pPr>
              <w:widowControl w:val="0"/>
              <w:jc w:val="both"/>
              <w:rPr>
                <w:sz w:val="20"/>
                <w:szCs w:val="20"/>
                <w:lang w:val="fr-CA"/>
              </w:rPr>
            </w:pPr>
            <w:r w:rsidRPr="00D46CE6">
              <w:rPr>
                <w:i/>
                <w:sz w:val="20"/>
                <w:szCs w:val="20"/>
                <w:lang w:val="fr-CA"/>
              </w:rPr>
              <w:t>Charte des droits</w:t>
            </w:r>
            <w:r w:rsidRPr="00D46CE6">
              <w:rPr>
                <w:sz w:val="20"/>
                <w:szCs w:val="20"/>
                <w:lang w:val="fr-CA"/>
              </w:rPr>
              <w:t xml:space="preserve"> - Perquisition, fouille et saisie abusives - Introduction par effraction - Apparence de droit - Le juge du procès a-t-il commis une erreur de droit en concluant qu’il y avait eu atteinte aux droits que l’art. 8 de la </w:t>
            </w:r>
            <w:r w:rsidRPr="00D46CE6">
              <w:rPr>
                <w:i/>
                <w:sz w:val="20"/>
                <w:szCs w:val="20"/>
                <w:lang w:val="fr-CA"/>
              </w:rPr>
              <w:t>Charte</w:t>
            </w:r>
            <w:r w:rsidRPr="00D46CE6">
              <w:rPr>
                <w:sz w:val="20"/>
                <w:szCs w:val="20"/>
                <w:lang w:val="fr-CA"/>
              </w:rPr>
              <w:t xml:space="preserve"> garantit aux intimés? - Le juge du procès a-t-il eu tort de conclure qu’il y avait apparence de droit?</w:t>
            </w:r>
          </w:p>
        </w:tc>
      </w:tr>
    </w:tbl>
    <w:p w:rsidR="004C78D5" w:rsidRPr="001C767B" w:rsidRDefault="004C78D5" w:rsidP="004C78D5">
      <w:pPr>
        <w:widowControl w:val="0"/>
        <w:rPr>
          <w:sz w:val="20"/>
          <w:szCs w:val="20"/>
          <w:lang w:val="fr-CA"/>
        </w:rPr>
      </w:pPr>
    </w:p>
    <w:p w:rsidR="004C78D5" w:rsidRDefault="00007FF8" w:rsidP="004C78D5">
      <w:pPr>
        <w:widowControl w:val="0"/>
        <w:rPr>
          <w:sz w:val="20"/>
          <w:szCs w:val="20"/>
        </w:rPr>
      </w:pPr>
      <w:r>
        <w:rPr>
          <w:sz w:val="20"/>
          <w:szCs w:val="20"/>
          <w:lang w:val="fr-CA"/>
        </w:rPr>
        <w:pict>
          <v:rect id="_x0000_i1064" style="width:2in;height:1pt" o:hrpct="0" o:hralign="center" o:hrstd="t" o:hrnoshade="t" o:hr="t" fillcolor="black [3213]" stroked="f"/>
        </w:pict>
      </w:r>
    </w:p>
    <w:p w:rsidR="004C78D5" w:rsidRDefault="004C78D5" w:rsidP="004C78D5">
      <w:pPr>
        <w:widowControl w:val="0"/>
        <w:rPr>
          <w:sz w:val="20"/>
          <w:szCs w:val="20"/>
        </w:rPr>
      </w:pPr>
    </w:p>
    <w:p w:rsidR="004C78D5" w:rsidRDefault="004C78D5" w:rsidP="00732DB7">
      <w:pPr>
        <w:widowControl w:val="0"/>
        <w:rPr>
          <w:sz w:val="20"/>
          <w:szCs w:val="20"/>
        </w:rPr>
      </w:pPr>
    </w:p>
    <w:p w:rsidR="004C78D5" w:rsidRDefault="004C78D5" w:rsidP="00732DB7">
      <w:pPr>
        <w:widowControl w:val="0"/>
        <w:rPr>
          <w:sz w:val="20"/>
          <w:szCs w:val="20"/>
        </w:rPr>
      </w:pPr>
    </w:p>
    <w:p w:rsidR="004C78D5" w:rsidRDefault="004C78D5" w:rsidP="00732DB7">
      <w:pPr>
        <w:widowControl w:val="0"/>
        <w:rPr>
          <w:sz w:val="20"/>
          <w:szCs w:val="20"/>
        </w:rPr>
      </w:pPr>
    </w:p>
    <w:p w:rsidR="00E940EB" w:rsidRDefault="00E940EB"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7007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F7FF6" w:rsidRDefault="003A3F4E" w:rsidP="0052229C">
      <w:pPr>
        <w:rPr>
          <w:b/>
          <w:sz w:val="20"/>
          <w:szCs w:val="20"/>
        </w:rPr>
      </w:pPr>
      <w:r w:rsidRPr="002F7FF6">
        <w:rPr>
          <w:b/>
          <w:sz w:val="20"/>
          <w:szCs w:val="20"/>
        </w:rPr>
        <w:t>FEBR</w:t>
      </w:r>
      <w:r w:rsidR="0052229C" w:rsidRPr="002F7FF6">
        <w:rPr>
          <w:b/>
          <w:sz w:val="20"/>
          <w:szCs w:val="20"/>
        </w:rPr>
        <w:t>UARY 1</w:t>
      </w:r>
      <w:r w:rsidR="00F47605" w:rsidRPr="002F7FF6">
        <w:rPr>
          <w:b/>
          <w:sz w:val="20"/>
          <w:szCs w:val="20"/>
        </w:rPr>
        <w:t>3</w:t>
      </w:r>
      <w:r w:rsidR="0052229C" w:rsidRPr="002F7FF6">
        <w:rPr>
          <w:b/>
          <w:sz w:val="20"/>
          <w:szCs w:val="20"/>
        </w:rPr>
        <w:t>, 201</w:t>
      </w:r>
      <w:r w:rsidR="00F47605" w:rsidRPr="002F7FF6">
        <w:rPr>
          <w:b/>
          <w:sz w:val="20"/>
          <w:szCs w:val="20"/>
        </w:rPr>
        <w:t>5</w:t>
      </w:r>
      <w:r w:rsidR="0052229C" w:rsidRPr="002F7FF6">
        <w:rPr>
          <w:b/>
          <w:sz w:val="20"/>
          <w:szCs w:val="20"/>
        </w:rPr>
        <w:t xml:space="preserve"> / LE 1</w:t>
      </w:r>
      <w:r w:rsidR="00F47605" w:rsidRPr="002F7FF6">
        <w:rPr>
          <w:b/>
          <w:sz w:val="20"/>
          <w:szCs w:val="20"/>
        </w:rPr>
        <w:t>3</w:t>
      </w:r>
      <w:r w:rsidR="0052229C" w:rsidRPr="002F7FF6">
        <w:rPr>
          <w:b/>
          <w:sz w:val="20"/>
          <w:szCs w:val="20"/>
        </w:rPr>
        <w:t xml:space="preserve"> </w:t>
      </w:r>
      <w:r w:rsidR="00F47605" w:rsidRPr="002F7FF6">
        <w:rPr>
          <w:b/>
          <w:sz w:val="20"/>
          <w:szCs w:val="20"/>
        </w:rPr>
        <w:t>FÉ</w:t>
      </w:r>
      <w:r w:rsidR="0052229C" w:rsidRPr="002F7FF6">
        <w:rPr>
          <w:b/>
          <w:sz w:val="20"/>
          <w:szCs w:val="20"/>
        </w:rPr>
        <w:t>V</w:t>
      </w:r>
      <w:r w:rsidR="00F47605" w:rsidRPr="002F7FF6">
        <w:rPr>
          <w:b/>
          <w:sz w:val="20"/>
          <w:szCs w:val="20"/>
        </w:rPr>
        <w:t>R</w:t>
      </w:r>
      <w:r w:rsidR="0052229C" w:rsidRPr="002F7FF6">
        <w:rPr>
          <w:b/>
          <w:sz w:val="20"/>
          <w:szCs w:val="20"/>
        </w:rPr>
        <w:t>IER 201</w:t>
      </w:r>
      <w:r w:rsidR="00F47605" w:rsidRPr="002F7FF6">
        <w:rPr>
          <w:b/>
          <w:sz w:val="20"/>
          <w:szCs w:val="20"/>
        </w:rPr>
        <w:t>5</w:t>
      </w:r>
    </w:p>
    <w:p w:rsidR="0052229C" w:rsidRPr="002F7FF6" w:rsidRDefault="0052229C" w:rsidP="0052229C">
      <w:pPr>
        <w:rPr>
          <w:sz w:val="20"/>
          <w:szCs w:val="20"/>
        </w:rPr>
      </w:pPr>
    </w:p>
    <w:p w:rsidR="002C7E9B" w:rsidRPr="00454D3D" w:rsidRDefault="00E94B3C" w:rsidP="002C7E9B">
      <w:pPr>
        <w:ind w:left="1440" w:hanging="1440"/>
        <w:jc w:val="both"/>
        <w:rPr>
          <w:sz w:val="20"/>
          <w:szCs w:val="20"/>
        </w:rPr>
      </w:pPr>
      <w:r w:rsidRPr="00454D3D">
        <w:rPr>
          <w:b/>
          <w:sz w:val="20"/>
          <w:szCs w:val="20"/>
        </w:rPr>
        <w:fldChar w:fldCharType="begin"/>
      </w:r>
      <w:r w:rsidR="002C7E9B" w:rsidRPr="00454D3D">
        <w:rPr>
          <w:b/>
          <w:sz w:val="20"/>
          <w:szCs w:val="20"/>
        </w:rPr>
        <w:instrText xml:space="preserve"> SEQ CHAPTER \h \r 1</w:instrText>
      </w:r>
      <w:r w:rsidRPr="00454D3D">
        <w:rPr>
          <w:b/>
          <w:sz w:val="20"/>
          <w:szCs w:val="20"/>
        </w:rPr>
        <w:fldChar w:fldCharType="end"/>
      </w:r>
      <w:r w:rsidR="002C7E9B" w:rsidRPr="00454D3D">
        <w:rPr>
          <w:b/>
          <w:sz w:val="20"/>
          <w:szCs w:val="20"/>
        </w:rPr>
        <w:t>35399</w:t>
      </w:r>
      <w:r w:rsidR="002C7E9B" w:rsidRPr="00454D3D">
        <w:rPr>
          <w:sz w:val="20"/>
          <w:szCs w:val="20"/>
        </w:rPr>
        <w:tab/>
      </w:r>
      <w:r w:rsidR="002C7E9B" w:rsidRPr="00454D3D">
        <w:rPr>
          <w:b/>
          <w:sz w:val="20"/>
          <w:szCs w:val="20"/>
          <w:u w:val="single"/>
        </w:rPr>
        <w:t>Attorney General of Canada v. Federation of Law Societies of Canada – and – Criminal Lawyers’ Association (Ontario), Canadian Civil Liberties Association, Law Society of British Columbia, Canadian Bar Association, Advocates’ Society, Barreau du Québec and Chambre des notaires du Québec</w:t>
      </w:r>
      <w:r w:rsidR="002C7E9B" w:rsidRPr="00454D3D">
        <w:rPr>
          <w:b/>
          <w:sz w:val="20"/>
          <w:szCs w:val="20"/>
        </w:rPr>
        <w:t xml:space="preserve"> </w:t>
      </w:r>
      <w:r w:rsidR="002C7E9B" w:rsidRPr="00454D3D">
        <w:rPr>
          <w:iCs/>
          <w:sz w:val="20"/>
          <w:szCs w:val="20"/>
        </w:rPr>
        <w:t>(B.C.)</w:t>
      </w:r>
    </w:p>
    <w:p w:rsidR="002C7E9B" w:rsidRPr="00454D3D" w:rsidRDefault="002C7E9B" w:rsidP="002C7E9B">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454D3D">
        <w:rPr>
          <w:b/>
          <w:sz w:val="20"/>
          <w:szCs w:val="20"/>
        </w:rPr>
        <w:t>2015 SCC 7 / 2015 CSC 7</w:t>
      </w:r>
    </w:p>
    <w:p w:rsidR="002C7E9B" w:rsidRPr="00454D3D" w:rsidRDefault="002C7E9B" w:rsidP="002C7E9B">
      <w:pPr>
        <w:ind w:left="1440" w:hanging="1440"/>
        <w:jc w:val="both"/>
        <w:rPr>
          <w:sz w:val="20"/>
          <w:szCs w:val="20"/>
        </w:rPr>
      </w:pPr>
    </w:p>
    <w:p w:rsidR="002C7E9B" w:rsidRPr="00454D3D" w:rsidRDefault="002C7E9B" w:rsidP="002C7E9B">
      <w:pPr>
        <w:ind w:left="1440" w:hanging="1440"/>
        <w:jc w:val="both"/>
        <w:rPr>
          <w:sz w:val="20"/>
          <w:szCs w:val="20"/>
          <w:u w:val="single"/>
        </w:rPr>
      </w:pPr>
      <w:r w:rsidRPr="00454D3D">
        <w:rPr>
          <w:sz w:val="20"/>
          <w:szCs w:val="20"/>
        </w:rPr>
        <w:t>Coram:</w:t>
      </w:r>
      <w:r w:rsidRPr="00454D3D">
        <w:rPr>
          <w:sz w:val="20"/>
          <w:szCs w:val="20"/>
        </w:rPr>
        <w:tab/>
      </w:r>
      <w:r w:rsidRPr="00454D3D">
        <w:rPr>
          <w:sz w:val="20"/>
          <w:szCs w:val="20"/>
          <w:u w:val="single"/>
        </w:rPr>
        <w:t>McLachlin C.J. and LeBel, Abella, Cromwell, Moldaver, Karakatsanis and Wagner JJ.</w:t>
      </w:r>
    </w:p>
    <w:p w:rsidR="002C7E9B" w:rsidRPr="00454D3D" w:rsidRDefault="002C7E9B" w:rsidP="002C7E9B">
      <w:pPr>
        <w:ind w:left="1440" w:hanging="1440"/>
        <w:jc w:val="both"/>
        <w:rPr>
          <w:sz w:val="20"/>
          <w:szCs w:val="20"/>
          <w:u w:val="single"/>
        </w:rPr>
      </w:pPr>
    </w:p>
    <w:p w:rsidR="002C7E9B" w:rsidRPr="00454D3D" w:rsidRDefault="002C7E9B" w:rsidP="002C7E9B">
      <w:pPr>
        <w:jc w:val="both"/>
        <w:rPr>
          <w:sz w:val="20"/>
          <w:szCs w:val="20"/>
        </w:rPr>
      </w:pPr>
      <w:r w:rsidRPr="00454D3D">
        <w:rPr>
          <w:sz w:val="20"/>
          <w:szCs w:val="20"/>
        </w:rPr>
        <w:t xml:space="preserve">The appeal from the judgment </w:t>
      </w:r>
      <w:bookmarkStart w:id="2" w:name="BM_1_"/>
      <w:bookmarkEnd w:id="2"/>
      <w:r w:rsidRPr="00454D3D">
        <w:rPr>
          <w:sz w:val="20"/>
          <w:szCs w:val="20"/>
        </w:rPr>
        <w:t>of the Court of Appeal for British Columbia (Vancouver), Number CA039434, 2013 BCCA 147, dated April 4, 2013, heard on May 13, 2014, is allowed in part with costs of the appeal and the proceedings below to the Federation of Law Societies of Canada. That part of the application judge’s order declaring that ss. 5(</w:t>
      </w:r>
      <w:r w:rsidRPr="00454D3D">
        <w:rPr>
          <w:i/>
          <w:iCs/>
          <w:sz w:val="20"/>
          <w:szCs w:val="20"/>
        </w:rPr>
        <w:t>i</w:t>
      </w:r>
      <w:r w:rsidRPr="00454D3D">
        <w:rPr>
          <w:sz w:val="20"/>
          <w:szCs w:val="20"/>
        </w:rPr>
        <w:t>) and 5(</w:t>
      </w:r>
      <w:r w:rsidRPr="00454D3D">
        <w:rPr>
          <w:i/>
          <w:iCs/>
          <w:sz w:val="20"/>
          <w:szCs w:val="20"/>
        </w:rPr>
        <w:t>j</w:t>
      </w:r>
      <w:r w:rsidRPr="00454D3D">
        <w:rPr>
          <w:sz w:val="20"/>
          <w:szCs w:val="20"/>
        </w:rPr>
        <w:t xml:space="preserve">) of the </w:t>
      </w:r>
      <w:r w:rsidRPr="00454D3D">
        <w:rPr>
          <w:i/>
          <w:sz w:val="20"/>
          <w:szCs w:val="20"/>
        </w:rPr>
        <w:t>Proceeds of Crime (Money Laundering) and Terrorist Financing Act</w:t>
      </w:r>
      <w:r w:rsidRPr="00454D3D">
        <w:rPr>
          <w:sz w:val="20"/>
          <w:szCs w:val="20"/>
        </w:rPr>
        <w:t>, S.C. 2000, c. 17, are inconsistent with the Constitution of Canada and are of no force and effect to the extent that the reference in those subsections to “persons and entities” includes legal counsel and law firms is set aside. The words ss. 5(</w:t>
      </w:r>
      <w:r w:rsidRPr="00454D3D">
        <w:rPr>
          <w:i/>
          <w:iCs/>
          <w:sz w:val="20"/>
          <w:szCs w:val="20"/>
        </w:rPr>
        <w:t>i</w:t>
      </w:r>
      <w:r w:rsidRPr="00454D3D">
        <w:rPr>
          <w:sz w:val="20"/>
          <w:szCs w:val="20"/>
        </w:rPr>
        <w:t>) and (</w:t>
      </w:r>
      <w:r w:rsidRPr="00454D3D">
        <w:rPr>
          <w:i/>
          <w:iCs/>
          <w:sz w:val="20"/>
          <w:szCs w:val="20"/>
        </w:rPr>
        <w:t>j</w:t>
      </w:r>
      <w:r w:rsidRPr="00454D3D">
        <w:rPr>
          <w:sz w:val="20"/>
          <w:szCs w:val="20"/>
        </w:rPr>
        <w:t>) are struck from that part of the application judge’s order declaring that ss. 5(</w:t>
      </w:r>
      <w:r w:rsidRPr="00454D3D">
        <w:rPr>
          <w:i/>
          <w:iCs/>
          <w:sz w:val="20"/>
          <w:szCs w:val="20"/>
        </w:rPr>
        <w:t>i</w:t>
      </w:r>
      <w:r w:rsidRPr="00454D3D">
        <w:rPr>
          <w:sz w:val="20"/>
          <w:szCs w:val="20"/>
        </w:rPr>
        <w:t>), (</w:t>
      </w:r>
      <w:r w:rsidRPr="00454D3D">
        <w:rPr>
          <w:i/>
          <w:iCs/>
          <w:sz w:val="20"/>
          <w:szCs w:val="20"/>
        </w:rPr>
        <w:t>j</w:t>
      </w:r>
      <w:r w:rsidRPr="00454D3D">
        <w:rPr>
          <w:sz w:val="20"/>
          <w:szCs w:val="20"/>
        </w:rPr>
        <w:t xml:space="preserve">), 62, 63, 63.1 of the </w:t>
      </w:r>
      <w:r w:rsidRPr="00454D3D">
        <w:rPr>
          <w:iCs/>
          <w:sz w:val="20"/>
          <w:szCs w:val="20"/>
        </w:rPr>
        <w:t>Act</w:t>
      </w:r>
      <w:r w:rsidRPr="00454D3D">
        <w:rPr>
          <w:sz w:val="20"/>
          <w:szCs w:val="20"/>
        </w:rPr>
        <w:t xml:space="preserve"> are read down to exclude legal counsel and law firms from the operation of those sections. The appeal is otherwise dismissed. The constitutional questions are answered as follows:</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1. Do ss. 5(</w:t>
      </w:r>
      <w:r w:rsidRPr="00454D3D">
        <w:rPr>
          <w:i/>
          <w:sz w:val="20"/>
          <w:szCs w:val="20"/>
        </w:rPr>
        <w:t>i</w:t>
      </w:r>
      <w:r w:rsidRPr="00454D3D">
        <w:rPr>
          <w:sz w:val="20"/>
          <w:szCs w:val="20"/>
        </w:rPr>
        <w:t>), 5(</w:t>
      </w:r>
      <w:r w:rsidRPr="00454D3D">
        <w:rPr>
          <w:i/>
          <w:sz w:val="20"/>
          <w:szCs w:val="20"/>
        </w:rPr>
        <w:t>j</w:t>
      </w:r>
      <w:r w:rsidRPr="00454D3D">
        <w:rPr>
          <w:sz w:val="20"/>
          <w:szCs w:val="20"/>
        </w:rPr>
        <w:t>), 62, 63, 63.1 or 64 of the</w:t>
      </w:r>
      <w:r w:rsidRPr="00454D3D">
        <w:rPr>
          <w:i/>
          <w:sz w:val="20"/>
          <w:szCs w:val="20"/>
        </w:rPr>
        <w:t xml:space="preserve"> Proceeds of Crime (Money Laundering) and Terrorist Financing Act</w:t>
      </w:r>
      <w:r w:rsidRPr="00454D3D">
        <w:rPr>
          <w:sz w:val="20"/>
          <w:szCs w:val="20"/>
        </w:rPr>
        <w:t xml:space="preserve">, S.C. 2000, c. 17, infringe s. 7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With respect to ss. 62, 63, 63.1 and 64 of the Act, it is not necessary to answer this question given the answer to question 5. With respect to ss. 5(</w:t>
      </w:r>
      <w:r w:rsidRPr="00454D3D">
        <w:rPr>
          <w:i/>
          <w:sz w:val="20"/>
          <w:szCs w:val="20"/>
        </w:rPr>
        <w:t>i</w:t>
      </w:r>
      <w:r w:rsidRPr="00454D3D">
        <w:rPr>
          <w:sz w:val="20"/>
          <w:szCs w:val="20"/>
        </w:rPr>
        <w:t>) and 5(</w:t>
      </w:r>
      <w:r w:rsidRPr="00454D3D">
        <w:rPr>
          <w:i/>
          <w:sz w:val="20"/>
          <w:szCs w:val="20"/>
        </w:rPr>
        <w:t>j</w:t>
      </w:r>
      <w:r w:rsidRPr="00454D3D">
        <w:rPr>
          <w:sz w:val="20"/>
          <w:szCs w:val="20"/>
        </w:rPr>
        <w:t>) of the Act, the answer is no.</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 xml:space="preserve">2. If so, is the infringement a reasonable limit prescribed by law as can be demonstrably justified in a free and democratic society under s. 1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It is not necessary to answer this question.</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 xml:space="preserve">3. Do ss. 11.1, 33.3, 33.4 or 59.4 of the </w:t>
      </w:r>
      <w:r w:rsidRPr="00454D3D">
        <w:rPr>
          <w:i/>
          <w:sz w:val="20"/>
          <w:szCs w:val="20"/>
        </w:rPr>
        <w:t>Proceeds of Crime (Money Laundering) and Terrorist Financing Regulations</w:t>
      </w:r>
      <w:r w:rsidRPr="00454D3D">
        <w:rPr>
          <w:sz w:val="20"/>
          <w:szCs w:val="20"/>
        </w:rPr>
        <w:t xml:space="preserve">, SOR/2002-184, infringe s. 7 of the </w:t>
      </w:r>
      <w:r w:rsidRPr="00454D3D">
        <w:rPr>
          <w:i/>
          <w:sz w:val="20"/>
          <w:szCs w:val="20"/>
        </w:rPr>
        <w:t>Canadian Charter of Rights and Freedoms</w:t>
      </w:r>
      <w:r w:rsidRPr="00454D3D">
        <w:rPr>
          <w:sz w:val="20"/>
          <w:szCs w:val="20"/>
        </w:rPr>
        <w:t xml:space="preserve">? </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With respect to s. 11.1 of the Regulations, to the extent that it applies to legal counsel and legal firms, the answer is yes. With respect to ss. 33.3, 33.4 and 59.4 of the Regulations, the answer is yes.</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 xml:space="preserve">4. If so, is the infringement a reasonable limit prescribed by law as can be demonstrably justified in a free and democratic society under s. 1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No.</w:t>
      </w:r>
    </w:p>
    <w:p w:rsidR="002C7E9B" w:rsidRPr="00454D3D" w:rsidRDefault="002C7E9B" w:rsidP="002C7E9B">
      <w:pPr>
        <w:widowControl w:val="0"/>
        <w:jc w:val="both"/>
        <w:outlineLvl w:val="0"/>
        <w:rPr>
          <w:sz w:val="20"/>
          <w:szCs w:val="20"/>
        </w:rPr>
      </w:pPr>
    </w:p>
    <w:p w:rsidR="002C7E9B" w:rsidRPr="00454D3D" w:rsidRDefault="002C7E9B" w:rsidP="002C7E9B">
      <w:pPr>
        <w:jc w:val="both"/>
        <w:rPr>
          <w:sz w:val="20"/>
          <w:szCs w:val="20"/>
        </w:rPr>
      </w:pPr>
      <w:r w:rsidRPr="00454D3D">
        <w:rPr>
          <w:sz w:val="20"/>
          <w:szCs w:val="20"/>
        </w:rPr>
        <w:t xml:space="preserve">5. Do ss. 5(i), 5(j), 62, 63, 63.1 or 64 of the </w:t>
      </w:r>
      <w:r w:rsidRPr="00454D3D">
        <w:rPr>
          <w:i/>
          <w:sz w:val="20"/>
          <w:szCs w:val="20"/>
        </w:rPr>
        <w:t>Proceeds of Crime (Money Laundering) and Terrorist Financing Act</w:t>
      </w:r>
      <w:r w:rsidRPr="00454D3D">
        <w:rPr>
          <w:sz w:val="20"/>
          <w:szCs w:val="20"/>
        </w:rPr>
        <w:t xml:space="preserve">, S.C. 2000, c. 17, infringe s. 8 of the </w:t>
      </w:r>
      <w:r w:rsidRPr="00454D3D">
        <w:rPr>
          <w:i/>
          <w:sz w:val="20"/>
          <w:szCs w:val="20"/>
        </w:rPr>
        <w:t>Canadian Charter of Rights and Freedoms</w:t>
      </w:r>
      <w:r w:rsidRPr="00454D3D">
        <w:rPr>
          <w:sz w:val="20"/>
          <w:szCs w:val="20"/>
        </w:rPr>
        <w:t xml:space="preserve">? </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To the extent that ss. 62, 63 and 63.1 of the Act apply to documents in the possession of legal counsel and legal firms, the answer is yes. With respect to s. 64, the answer is yes. With respect to ss. 5(</w:t>
      </w:r>
      <w:r w:rsidRPr="00454D3D">
        <w:rPr>
          <w:i/>
          <w:sz w:val="20"/>
          <w:szCs w:val="20"/>
        </w:rPr>
        <w:t>i</w:t>
      </w:r>
      <w:r w:rsidRPr="00454D3D">
        <w:rPr>
          <w:sz w:val="20"/>
          <w:szCs w:val="20"/>
        </w:rPr>
        <w:t>) and 5(</w:t>
      </w:r>
      <w:r w:rsidRPr="00454D3D">
        <w:rPr>
          <w:i/>
          <w:sz w:val="20"/>
          <w:szCs w:val="20"/>
        </w:rPr>
        <w:t>j</w:t>
      </w:r>
      <w:r w:rsidRPr="00454D3D">
        <w:rPr>
          <w:sz w:val="20"/>
          <w:szCs w:val="20"/>
        </w:rPr>
        <w:t xml:space="preserve">) the answer is no. </w:t>
      </w:r>
    </w:p>
    <w:p w:rsidR="002C7E9B" w:rsidRPr="00454D3D" w:rsidRDefault="002C7E9B" w:rsidP="002C7E9B">
      <w:pPr>
        <w:jc w:val="both"/>
        <w:rPr>
          <w:sz w:val="20"/>
          <w:szCs w:val="20"/>
        </w:rPr>
      </w:pPr>
    </w:p>
    <w:p w:rsidR="002C7E9B" w:rsidRDefault="002C7E9B">
      <w:pPr>
        <w:rPr>
          <w:sz w:val="20"/>
          <w:szCs w:val="20"/>
        </w:rPr>
      </w:pPr>
      <w:r>
        <w:rPr>
          <w:sz w:val="20"/>
          <w:szCs w:val="20"/>
        </w:rPr>
        <w:br w:type="page"/>
      </w:r>
    </w:p>
    <w:p w:rsidR="002C7E9B" w:rsidRPr="00454D3D" w:rsidRDefault="002C7E9B" w:rsidP="002C7E9B">
      <w:pPr>
        <w:jc w:val="both"/>
        <w:rPr>
          <w:sz w:val="20"/>
          <w:szCs w:val="20"/>
        </w:rPr>
      </w:pPr>
      <w:r w:rsidRPr="00454D3D">
        <w:rPr>
          <w:sz w:val="20"/>
          <w:szCs w:val="20"/>
        </w:rPr>
        <w:lastRenderedPageBreak/>
        <w:t xml:space="preserve">6. If so, is the infringement a reasonable limit prescribed by law as can be demonstrably justified in a free and democratic society under s. 1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No.</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 xml:space="preserve">7. Do ss. 11.1, 33.3, 33.4 or 59.4 of the </w:t>
      </w:r>
      <w:r w:rsidRPr="00454D3D">
        <w:rPr>
          <w:i/>
          <w:sz w:val="20"/>
          <w:szCs w:val="20"/>
        </w:rPr>
        <w:t>Proceeds of Crime (Money Laundering) and Terrorist Financing Regulations</w:t>
      </w:r>
      <w:r w:rsidRPr="00454D3D">
        <w:rPr>
          <w:sz w:val="20"/>
          <w:szCs w:val="20"/>
        </w:rPr>
        <w:t xml:space="preserve">, SOR/2002-184, infringe s. 8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No.</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 xml:space="preserve">8. If so, is the infringement a reasonable limit prescribed by law as can be demonstrably justified in a free and democratic society under s. 1 of the </w:t>
      </w:r>
      <w:r w:rsidRPr="00454D3D">
        <w:rPr>
          <w:i/>
          <w:sz w:val="20"/>
          <w:szCs w:val="20"/>
        </w:rPr>
        <w:t>Canadian Charter of Rights and Freedoms</w:t>
      </w:r>
      <w:r w:rsidRPr="00454D3D">
        <w:rPr>
          <w:sz w:val="20"/>
          <w:szCs w:val="20"/>
        </w:rPr>
        <w:t>?</w:t>
      </w:r>
    </w:p>
    <w:p w:rsidR="002C7E9B" w:rsidRPr="00454D3D" w:rsidRDefault="002C7E9B" w:rsidP="002C7E9B">
      <w:pPr>
        <w:jc w:val="both"/>
        <w:rPr>
          <w:sz w:val="20"/>
          <w:szCs w:val="20"/>
        </w:rPr>
      </w:pPr>
    </w:p>
    <w:p w:rsidR="002C7E9B" w:rsidRPr="00454D3D" w:rsidRDefault="002C7E9B" w:rsidP="002C7E9B">
      <w:pPr>
        <w:jc w:val="both"/>
        <w:rPr>
          <w:sz w:val="20"/>
          <w:szCs w:val="20"/>
        </w:rPr>
      </w:pPr>
      <w:r w:rsidRPr="00454D3D">
        <w:rPr>
          <w:sz w:val="20"/>
          <w:szCs w:val="20"/>
        </w:rPr>
        <w:t>Answer: It is not necessary to answer this question.</w:t>
      </w:r>
    </w:p>
    <w:p w:rsidR="002C7E9B" w:rsidRPr="00454D3D" w:rsidRDefault="002C7E9B" w:rsidP="002C7E9B">
      <w:pPr>
        <w:jc w:val="both"/>
        <w:rPr>
          <w:sz w:val="20"/>
          <w:szCs w:val="20"/>
        </w:rPr>
      </w:pPr>
    </w:p>
    <w:p w:rsidR="002C7E9B" w:rsidRPr="00454D3D" w:rsidRDefault="002C7E9B" w:rsidP="002C7E9B">
      <w:pPr>
        <w:jc w:val="both"/>
        <w:rPr>
          <w:sz w:val="20"/>
          <w:szCs w:val="20"/>
        </w:rPr>
      </w:pPr>
    </w:p>
    <w:p w:rsidR="002C7E9B" w:rsidRPr="00454D3D" w:rsidRDefault="002C7E9B" w:rsidP="002C7E9B">
      <w:pPr>
        <w:jc w:val="both"/>
        <w:rPr>
          <w:sz w:val="20"/>
          <w:szCs w:val="20"/>
          <w:lang w:val="fr-CA"/>
        </w:rPr>
      </w:pPr>
      <w:r w:rsidRPr="00454D3D">
        <w:rPr>
          <w:sz w:val="20"/>
          <w:szCs w:val="20"/>
          <w:lang w:val="fr-CA"/>
        </w:rPr>
        <w:t xml:space="preserve">L’appel interjeté contre l’arrêt de la Cour d’appel de la Colombie-Britannique (Vancouver), numéro CA039434, 2013 BCCA 147, en date du 4 avril 2013, entendu le 13 mai 2014, est accueilli en partie et la Fédération des ordres professionnels de juristes du Canada a droit à ses dépens relatifs au présent pourvoi et aux procédures devant les juridictions inférieures. Est annulée la partie de l’ordonnance où la juge de première instance déclare les al. 5i) et 5j) de la </w:t>
      </w:r>
      <w:r w:rsidRPr="00454D3D">
        <w:rPr>
          <w:i/>
          <w:sz w:val="20"/>
          <w:szCs w:val="20"/>
          <w:lang w:val="fr-CA"/>
        </w:rPr>
        <w:t>Loi sur le recyclage des produits de la criminalité et le financement des activités terroristes</w:t>
      </w:r>
      <w:r w:rsidRPr="00454D3D">
        <w:rPr>
          <w:sz w:val="20"/>
          <w:szCs w:val="20"/>
          <w:lang w:val="fr-CA"/>
        </w:rPr>
        <w:t xml:space="preserve">, L.C. 2000, ch. 17, incompatibles avec la Constitution du Canada et inopérants dans la mesure où les « personnes et les entités » mentionnées à ces alinéas comprennent les conseillers juridiques et les cabinets d’avocats. Les mots al. 5i) et j) sont supprimés de la partie de l’ordonnance donnant à ces alinéas de même qu’aux art. 62, 63 et 63.1 de la </w:t>
      </w:r>
      <w:r w:rsidRPr="00454D3D">
        <w:rPr>
          <w:i/>
          <w:sz w:val="20"/>
          <w:szCs w:val="20"/>
          <w:lang w:val="fr-CA"/>
        </w:rPr>
        <w:t>Loi</w:t>
      </w:r>
      <w:r w:rsidRPr="00454D3D">
        <w:rPr>
          <w:sz w:val="20"/>
          <w:szCs w:val="20"/>
          <w:lang w:val="fr-CA"/>
        </w:rPr>
        <w:t xml:space="preserve"> une interprétation atténuée pour soustraire à leur application les conseillers juridiques et les cabinets d’avocats. Pour le reste, le pourvoi est rejeté. Les questions constitutionnelles reçoivent les réponses suivantes :</w:t>
      </w:r>
    </w:p>
    <w:p w:rsidR="002C7E9B" w:rsidRPr="00454D3D" w:rsidRDefault="002C7E9B" w:rsidP="002C7E9B">
      <w:pPr>
        <w:jc w:val="both"/>
        <w:rPr>
          <w:sz w:val="20"/>
          <w:szCs w:val="20"/>
          <w:lang w:val="fr-CA"/>
        </w:rPr>
      </w:pPr>
    </w:p>
    <w:p w:rsidR="002C7E9B" w:rsidRPr="00454D3D" w:rsidRDefault="002C7E9B" w:rsidP="002C7E9B">
      <w:pPr>
        <w:pStyle w:val="ListParagraph"/>
        <w:ind w:left="0"/>
        <w:jc w:val="both"/>
        <w:rPr>
          <w:sz w:val="20"/>
          <w:szCs w:val="20"/>
          <w:lang w:val="fr-CA"/>
        </w:rPr>
      </w:pPr>
      <w:r w:rsidRPr="00454D3D">
        <w:rPr>
          <w:sz w:val="20"/>
          <w:szCs w:val="20"/>
          <w:lang w:val="fr-CA"/>
        </w:rPr>
        <w:t>1. Les alinéas 5</w:t>
      </w:r>
      <w:r w:rsidRPr="00454D3D">
        <w:rPr>
          <w:i/>
          <w:sz w:val="20"/>
          <w:szCs w:val="20"/>
          <w:lang w:val="fr-CA"/>
        </w:rPr>
        <w:t>i</w:t>
      </w:r>
      <w:r w:rsidRPr="00454D3D">
        <w:rPr>
          <w:sz w:val="20"/>
          <w:szCs w:val="20"/>
          <w:lang w:val="fr-CA"/>
        </w:rPr>
        <w:t>) et 5</w:t>
      </w:r>
      <w:r w:rsidRPr="00454D3D">
        <w:rPr>
          <w:i/>
          <w:sz w:val="20"/>
          <w:szCs w:val="20"/>
          <w:lang w:val="fr-CA"/>
        </w:rPr>
        <w:t>j</w:t>
      </w:r>
      <w:r w:rsidRPr="00454D3D">
        <w:rPr>
          <w:sz w:val="20"/>
          <w:szCs w:val="20"/>
          <w:lang w:val="fr-CA"/>
        </w:rPr>
        <w:t xml:space="preserve">) et les art. 62, 63, 63.1 ou 64 de la </w:t>
      </w:r>
      <w:r w:rsidRPr="00454D3D">
        <w:rPr>
          <w:i/>
          <w:sz w:val="20"/>
          <w:szCs w:val="20"/>
          <w:lang w:val="fr-CA"/>
        </w:rPr>
        <w:t>Loi sur le recyclage des produits de la criminalité et le financement des activités terroristes</w:t>
      </w:r>
      <w:r w:rsidRPr="00454D3D">
        <w:rPr>
          <w:sz w:val="20"/>
          <w:szCs w:val="20"/>
          <w:lang w:val="fr-CA"/>
        </w:rPr>
        <w:t>, L.C. 2000, ch. 17, violent</w:t>
      </w:r>
      <w:r w:rsidRPr="00454D3D">
        <w:rPr>
          <w:sz w:val="20"/>
          <w:szCs w:val="20"/>
          <w:lang w:val="fr-CA"/>
        </w:rPr>
        <w:noBreakHyphen/>
        <w:t xml:space="preserve">ils l’art. 7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 xml:space="preserve">Réponse : En ce qui concerne les art. 62, 63, 63.1 et 64 de la </w:t>
      </w:r>
      <w:r w:rsidRPr="00454D3D">
        <w:rPr>
          <w:i/>
          <w:sz w:val="20"/>
          <w:szCs w:val="20"/>
          <w:lang w:val="fr-CA"/>
        </w:rPr>
        <w:t>Loi</w:t>
      </w:r>
      <w:r w:rsidRPr="00454D3D">
        <w:rPr>
          <w:sz w:val="20"/>
          <w:szCs w:val="20"/>
          <w:lang w:val="fr-CA"/>
        </w:rPr>
        <w:t>, il n’est pas nécessaire de répondre à cette question compte tenu de la réponse donnée à la question 5. En ce qui concerne les al. 5</w:t>
      </w:r>
      <w:r w:rsidRPr="00454D3D">
        <w:rPr>
          <w:i/>
          <w:sz w:val="20"/>
          <w:szCs w:val="20"/>
          <w:lang w:val="fr-CA"/>
        </w:rPr>
        <w:t>i</w:t>
      </w:r>
      <w:r w:rsidRPr="00454D3D">
        <w:rPr>
          <w:sz w:val="20"/>
          <w:szCs w:val="20"/>
          <w:lang w:val="fr-CA"/>
        </w:rPr>
        <w:t>) et 5</w:t>
      </w:r>
      <w:r w:rsidRPr="00454D3D">
        <w:rPr>
          <w:i/>
          <w:sz w:val="20"/>
          <w:szCs w:val="20"/>
          <w:lang w:val="fr-CA"/>
        </w:rPr>
        <w:t>j</w:t>
      </w:r>
      <w:r w:rsidRPr="00454D3D">
        <w:rPr>
          <w:sz w:val="20"/>
          <w:szCs w:val="20"/>
          <w:lang w:val="fr-CA"/>
        </w:rPr>
        <w:t xml:space="preserve">) de la </w:t>
      </w:r>
      <w:r w:rsidRPr="00454D3D">
        <w:rPr>
          <w:i/>
          <w:sz w:val="20"/>
          <w:szCs w:val="20"/>
          <w:lang w:val="fr-CA"/>
        </w:rPr>
        <w:t>Loi</w:t>
      </w:r>
      <w:r w:rsidRPr="00454D3D">
        <w:rPr>
          <w:sz w:val="20"/>
          <w:szCs w:val="20"/>
          <w:lang w:val="fr-CA"/>
        </w:rPr>
        <w:t>, la réponse est non.</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2. Dans l’affirmative, s’agit</w:t>
      </w:r>
      <w:r w:rsidRPr="00454D3D">
        <w:rPr>
          <w:sz w:val="20"/>
          <w:szCs w:val="20"/>
          <w:lang w:val="fr-CA"/>
        </w:rPr>
        <w:noBreakHyphen/>
        <w:t xml:space="preserve">il d’une violation constituant une limite raisonnable, établie par une règle de droit et dont la justification peut se démontrer dans le cadre d’une société libre et démocratique conformément à l’article premier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Réponse : Il n’est pas nécessaire de répondre à cette question.</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 xml:space="preserve">3. Les articles 11.1, 33.3, 33.4 ou 59.4 du </w:t>
      </w:r>
      <w:r w:rsidRPr="00454D3D">
        <w:rPr>
          <w:i/>
          <w:sz w:val="20"/>
          <w:szCs w:val="20"/>
          <w:lang w:val="fr-CA"/>
        </w:rPr>
        <w:t>Règlement sur le recyclage des produits de la criminalité et le financement des activités terroristes</w:t>
      </w:r>
      <w:r w:rsidRPr="00454D3D">
        <w:rPr>
          <w:sz w:val="20"/>
          <w:szCs w:val="20"/>
          <w:lang w:val="fr-CA"/>
        </w:rPr>
        <w:t>, DORS/2002</w:t>
      </w:r>
      <w:r w:rsidRPr="00454D3D">
        <w:rPr>
          <w:sz w:val="20"/>
          <w:szCs w:val="20"/>
          <w:lang w:val="fr-CA"/>
        </w:rPr>
        <w:noBreakHyphen/>
        <w:t>184, violent</w:t>
      </w:r>
      <w:r w:rsidRPr="00454D3D">
        <w:rPr>
          <w:sz w:val="20"/>
          <w:szCs w:val="20"/>
          <w:lang w:val="fr-CA"/>
        </w:rPr>
        <w:noBreakHyphen/>
        <w:t xml:space="preserve">ils l’art. 7 de la </w:t>
      </w:r>
      <w:r w:rsidRPr="00454D3D">
        <w:rPr>
          <w:i/>
          <w:sz w:val="20"/>
          <w:szCs w:val="20"/>
          <w:lang w:val="fr-CA"/>
        </w:rPr>
        <w:t>Charte canadienne des droits et libertés</w:t>
      </w:r>
      <w:r w:rsidRPr="00454D3D">
        <w:rPr>
          <w:sz w:val="20"/>
          <w:szCs w:val="20"/>
          <w:lang w:val="fr-CA"/>
        </w:rPr>
        <w:t xml:space="preserve">? </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 xml:space="preserve">Réponse : En ce qui concerne l’art. 11.1 du </w:t>
      </w:r>
      <w:r w:rsidRPr="00454D3D">
        <w:rPr>
          <w:i/>
          <w:sz w:val="20"/>
          <w:szCs w:val="20"/>
          <w:lang w:val="fr-CA"/>
        </w:rPr>
        <w:t>Règlement</w:t>
      </w:r>
      <w:r w:rsidRPr="00454D3D">
        <w:rPr>
          <w:sz w:val="20"/>
          <w:szCs w:val="20"/>
          <w:lang w:val="fr-CA"/>
        </w:rPr>
        <w:t xml:space="preserve">, dans la mesure où il s’applique aux conseillers juridiques et aux cabinets d’avocats, la réponse est oui. En ce qui concerne les art. 33.3, 33.4 et 59.4 du </w:t>
      </w:r>
      <w:r w:rsidRPr="00454D3D">
        <w:rPr>
          <w:i/>
          <w:sz w:val="20"/>
          <w:szCs w:val="20"/>
          <w:lang w:val="fr-CA"/>
        </w:rPr>
        <w:t>Règlement</w:t>
      </w:r>
      <w:r w:rsidRPr="00454D3D">
        <w:rPr>
          <w:sz w:val="20"/>
          <w:szCs w:val="20"/>
          <w:lang w:val="fr-CA"/>
        </w:rPr>
        <w:t>, la réponse est oui.</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4. Dans l’affirmative, s’agit</w:t>
      </w:r>
      <w:r w:rsidRPr="00454D3D">
        <w:rPr>
          <w:sz w:val="20"/>
          <w:szCs w:val="20"/>
          <w:lang w:val="fr-CA"/>
        </w:rPr>
        <w:noBreakHyphen/>
        <w:t xml:space="preserve">il d’une violation constituant une limite raisonnable, établie par une règle de droit et dont la justification peut se démontrer dans le cadre d’une société libre et démocratique conformément à l’article premier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Réponse : Non.</w:t>
      </w:r>
    </w:p>
    <w:p w:rsidR="002C7E9B" w:rsidRPr="00454D3D" w:rsidRDefault="002C7E9B" w:rsidP="002C7E9B">
      <w:pPr>
        <w:widowControl w:val="0"/>
        <w:jc w:val="both"/>
        <w:outlineLvl w:val="0"/>
        <w:rPr>
          <w:sz w:val="20"/>
          <w:szCs w:val="20"/>
          <w:lang w:val="fr-CA"/>
        </w:rPr>
      </w:pPr>
    </w:p>
    <w:p w:rsidR="002C7E9B" w:rsidRPr="00454D3D" w:rsidRDefault="002C7E9B" w:rsidP="002C7E9B">
      <w:pPr>
        <w:jc w:val="both"/>
        <w:rPr>
          <w:sz w:val="20"/>
          <w:szCs w:val="20"/>
          <w:lang w:val="fr-CA"/>
        </w:rPr>
      </w:pPr>
      <w:r w:rsidRPr="00454D3D">
        <w:rPr>
          <w:sz w:val="20"/>
          <w:szCs w:val="20"/>
          <w:lang w:val="fr-CA"/>
        </w:rPr>
        <w:lastRenderedPageBreak/>
        <w:t>5. Les alinéas 5</w:t>
      </w:r>
      <w:r w:rsidRPr="00454D3D">
        <w:rPr>
          <w:i/>
          <w:sz w:val="20"/>
          <w:szCs w:val="20"/>
          <w:lang w:val="fr-CA"/>
        </w:rPr>
        <w:t>i</w:t>
      </w:r>
      <w:r w:rsidRPr="00454D3D">
        <w:rPr>
          <w:sz w:val="20"/>
          <w:szCs w:val="20"/>
          <w:lang w:val="fr-CA"/>
        </w:rPr>
        <w:t>) et 5</w:t>
      </w:r>
      <w:r w:rsidRPr="00454D3D">
        <w:rPr>
          <w:i/>
          <w:sz w:val="20"/>
          <w:szCs w:val="20"/>
          <w:lang w:val="fr-CA"/>
        </w:rPr>
        <w:t>j</w:t>
      </w:r>
      <w:r w:rsidRPr="00454D3D">
        <w:rPr>
          <w:sz w:val="20"/>
          <w:szCs w:val="20"/>
          <w:lang w:val="fr-CA"/>
        </w:rPr>
        <w:t xml:space="preserve">) et les art. 62, 63, 63.1 ou 64 de la </w:t>
      </w:r>
      <w:r w:rsidRPr="00454D3D">
        <w:rPr>
          <w:i/>
          <w:sz w:val="20"/>
          <w:szCs w:val="20"/>
          <w:lang w:val="fr-CA"/>
        </w:rPr>
        <w:t>Loi sur le recyclage des produits de la criminalité et le financement des activités terroristes</w:t>
      </w:r>
      <w:r w:rsidRPr="00454D3D">
        <w:rPr>
          <w:sz w:val="20"/>
          <w:szCs w:val="20"/>
          <w:lang w:val="fr-CA"/>
        </w:rPr>
        <w:t>, L.C. 2000, ch. 17, violent</w:t>
      </w:r>
      <w:r w:rsidRPr="00454D3D">
        <w:rPr>
          <w:sz w:val="20"/>
          <w:szCs w:val="20"/>
          <w:lang w:val="fr-CA"/>
        </w:rPr>
        <w:noBreakHyphen/>
        <w:t xml:space="preserve">ils l’art. 8 de la </w:t>
      </w:r>
      <w:r w:rsidRPr="00454D3D">
        <w:rPr>
          <w:i/>
          <w:sz w:val="20"/>
          <w:szCs w:val="20"/>
          <w:lang w:val="fr-CA"/>
        </w:rPr>
        <w:t>Charte canadienne des droits et libertés</w:t>
      </w:r>
      <w:r w:rsidRPr="00454D3D">
        <w:rPr>
          <w:sz w:val="20"/>
          <w:szCs w:val="20"/>
          <w:lang w:val="fr-CA"/>
        </w:rPr>
        <w:t xml:space="preserve">? </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 xml:space="preserve">Réponse : Dans la mesure où les art. 62, 63 et 63.1 de la </w:t>
      </w:r>
      <w:r w:rsidRPr="00454D3D">
        <w:rPr>
          <w:i/>
          <w:sz w:val="20"/>
          <w:szCs w:val="20"/>
          <w:lang w:val="fr-CA"/>
        </w:rPr>
        <w:t>Loi</w:t>
      </w:r>
      <w:r w:rsidRPr="00454D3D">
        <w:rPr>
          <w:sz w:val="20"/>
          <w:szCs w:val="20"/>
          <w:lang w:val="fr-CA"/>
        </w:rPr>
        <w:t xml:space="preserve"> s’appliquent aux documents se trouvant en la possession d’un conseiller juridique ou d’un cabinet d’avocats, la réponse est oui. En ce qui concerne l’art. 64, la réponse est oui. En ce qui concerne les alinéas 5</w:t>
      </w:r>
      <w:r w:rsidRPr="00454D3D">
        <w:rPr>
          <w:i/>
          <w:sz w:val="20"/>
          <w:szCs w:val="20"/>
          <w:lang w:val="fr-CA"/>
        </w:rPr>
        <w:t>i</w:t>
      </w:r>
      <w:r w:rsidRPr="00454D3D">
        <w:rPr>
          <w:sz w:val="20"/>
          <w:szCs w:val="20"/>
          <w:lang w:val="fr-CA"/>
        </w:rPr>
        <w:t>) et 5</w:t>
      </w:r>
      <w:r w:rsidRPr="00454D3D">
        <w:rPr>
          <w:i/>
          <w:sz w:val="20"/>
          <w:szCs w:val="20"/>
          <w:lang w:val="fr-CA"/>
        </w:rPr>
        <w:t>j</w:t>
      </w:r>
      <w:r w:rsidRPr="00454D3D">
        <w:rPr>
          <w:sz w:val="20"/>
          <w:szCs w:val="20"/>
          <w:lang w:val="fr-CA"/>
        </w:rPr>
        <w:t xml:space="preserve">), la réponse est non. </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6. Dans l’affirmative, s’agit</w:t>
      </w:r>
      <w:r w:rsidRPr="00454D3D">
        <w:rPr>
          <w:sz w:val="20"/>
          <w:szCs w:val="20"/>
          <w:lang w:val="fr-CA"/>
        </w:rPr>
        <w:noBreakHyphen/>
        <w:t xml:space="preserve">il d’une violation constituant une limite raisonnable, établie par une règle de droit et dont la justification peut se démontrer dans le cadre d’une société libre et démocratique conformément à l’article premier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Réponse : Non.</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 xml:space="preserve">7. Les articles 11.1, 33.3, 33.4 ou 59.4 du </w:t>
      </w:r>
      <w:r w:rsidRPr="00454D3D">
        <w:rPr>
          <w:i/>
          <w:sz w:val="20"/>
          <w:szCs w:val="20"/>
          <w:lang w:val="fr-CA"/>
        </w:rPr>
        <w:t>Règlement sur le recyclage des produits de la criminalité et le financement des activités terroristes</w:t>
      </w:r>
      <w:r w:rsidRPr="00454D3D">
        <w:rPr>
          <w:sz w:val="20"/>
          <w:szCs w:val="20"/>
          <w:lang w:val="fr-CA"/>
        </w:rPr>
        <w:t>, DORS/2002</w:t>
      </w:r>
      <w:r w:rsidRPr="00454D3D">
        <w:rPr>
          <w:sz w:val="20"/>
          <w:szCs w:val="20"/>
          <w:lang w:val="fr-CA"/>
        </w:rPr>
        <w:noBreakHyphen/>
        <w:t>184, violent</w:t>
      </w:r>
      <w:r w:rsidRPr="00454D3D">
        <w:rPr>
          <w:sz w:val="20"/>
          <w:szCs w:val="20"/>
          <w:lang w:val="fr-CA"/>
        </w:rPr>
        <w:noBreakHyphen/>
        <w:t xml:space="preserve">ils l’art. 8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Réponse : Non.</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8. Dans l’affirmative, s’agit</w:t>
      </w:r>
      <w:r w:rsidRPr="00454D3D">
        <w:rPr>
          <w:sz w:val="20"/>
          <w:szCs w:val="20"/>
          <w:lang w:val="fr-CA"/>
        </w:rPr>
        <w:noBreakHyphen/>
        <w:t xml:space="preserve">il d’une violation constituant une limite raisonnable, établie par une règle de droit et dont la justification peut se démontrer dans le cadre d’une société libre et démocratique conformément à l’article premier de la </w:t>
      </w:r>
      <w:r w:rsidRPr="00454D3D">
        <w:rPr>
          <w:i/>
          <w:sz w:val="20"/>
          <w:szCs w:val="20"/>
          <w:lang w:val="fr-CA"/>
        </w:rPr>
        <w:t>Charte canadienne des droits et libertés</w:t>
      </w:r>
      <w:r w:rsidRPr="00454D3D">
        <w:rPr>
          <w:sz w:val="20"/>
          <w:szCs w:val="20"/>
          <w:lang w:val="fr-CA"/>
        </w:rPr>
        <w:t>?</w:t>
      </w:r>
    </w:p>
    <w:p w:rsidR="002C7E9B" w:rsidRPr="00454D3D" w:rsidRDefault="002C7E9B" w:rsidP="002C7E9B">
      <w:pPr>
        <w:jc w:val="both"/>
        <w:rPr>
          <w:sz w:val="20"/>
          <w:szCs w:val="20"/>
          <w:lang w:val="fr-CA"/>
        </w:rPr>
      </w:pPr>
    </w:p>
    <w:p w:rsidR="002C7E9B" w:rsidRPr="00454D3D" w:rsidRDefault="002C7E9B" w:rsidP="002C7E9B">
      <w:pPr>
        <w:jc w:val="both"/>
        <w:rPr>
          <w:sz w:val="20"/>
          <w:szCs w:val="20"/>
          <w:lang w:val="fr-CA"/>
        </w:rPr>
      </w:pPr>
      <w:r w:rsidRPr="00454D3D">
        <w:rPr>
          <w:sz w:val="20"/>
          <w:szCs w:val="20"/>
          <w:lang w:val="fr-CA"/>
        </w:rPr>
        <w:t>Réponse : Il n’est pas nécessaire de répondre à cette question.</w:t>
      </w:r>
    </w:p>
    <w:p w:rsidR="0052229C" w:rsidRPr="002F7FF6" w:rsidRDefault="0052229C" w:rsidP="0052229C">
      <w:pPr>
        <w:rPr>
          <w:sz w:val="20"/>
          <w:szCs w:val="20"/>
          <w:lang w:val="fr-CA"/>
        </w:rPr>
      </w:pPr>
    </w:p>
    <w:p w:rsidR="0052229C" w:rsidRPr="003B3977" w:rsidRDefault="00007FF8" w:rsidP="0052229C">
      <w:pPr>
        <w:spacing w:line="0" w:lineRule="atLeast"/>
        <w:rPr>
          <w:sz w:val="20"/>
          <w:szCs w:val="20"/>
        </w:rPr>
      </w:pPr>
      <w:r>
        <w:rPr>
          <w:b/>
          <w:sz w:val="20"/>
          <w:szCs w:val="20"/>
        </w:rPr>
        <w:pict>
          <v:rect id="_x0000_i106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523B6" w:rsidRPr="00FC0BBB" w:rsidRDefault="009523B6" w:rsidP="009523B6">
      <w:pPr>
        <w:tabs>
          <w:tab w:val="left" w:pos="993"/>
        </w:tabs>
        <w:rPr>
          <w:sz w:val="20"/>
          <w:szCs w:val="20"/>
        </w:rPr>
      </w:pPr>
      <w:r w:rsidRPr="00FC0BBB">
        <w:rPr>
          <w:i/>
          <w:sz w:val="20"/>
          <w:szCs w:val="20"/>
        </w:rPr>
        <w:t xml:space="preserve">Attorney General of Canada v. Federation of Law Societies of Canada </w:t>
      </w:r>
      <w:r w:rsidRPr="00FC0BBB">
        <w:rPr>
          <w:sz w:val="20"/>
          <w:szCs w:val="20"/>
        </w:rPr>
        <w:t>(B.C.) (</w:t>
      </w:r>
      <w:hyperlink r:id="rId59" w:history="1">
        <w:r w:rsidRPr="00FC0BBB">
          <w:rPr>
            <w:rStyle w:val="Hyperlink"/>
            <w:sz w:val="20"/>
            <w:szCs w:val="20"/>
          </w:rPr>
          <w:t>35399</w:t>
        </w:r>
      </w:hyperlink>
      <w:r w:rsidRPr="00FC0BBB">
        <w:rPr>
          <w:sz w:val="20"/>
          <w:szCs w:val="20"/>
        </w:rPr>
        <w:t>)</w:t>
      </w:r>
    </w:p>
    <w:p w:rsidR="009F498E" w:rsidRPr="00CD11EF" w:rsidRDefault="009F498E" w:rsidP="009F498E">
      <w:pPr>
        <w:jc w:val="both"/>
        <w:rPr>
          <w:b/>
          <w:sz w:val="20"/>
          <w:szCs w:val="20"/>
        </w:rPr>
      </w:pPr>
      <w:r w:rsidRPr="00CD11EF">
        <w:rPr>
          <w:b/>
          <w:sz w:val="20"/>
          <w:szCs w:val="20"/>
        </w:rPr>
        <w:t xml:space="preserve">Indexed as: Canada (Attorney General) </w:t>
      </w:r>
      <w:r w:rsidRPr="00CD11EF">
        <w:rPr>
          <w:b/>
          <w:i/>
          <w:sz w:val="20"/>
          <w:szCs w:val="20"/>
        </w:rPr>
        <w:t>v.</w:t>
      </w:r>
      <w:r w:rsidRPr="00CD11EF">
        <w:rPr>
          <w:b/>
          <w:sz w:val="20"/>
          <w:szCs w:val="20"/>
        </w:rPr>
        <w:t xml:space="preserve"> Federation of Law Societies of Canada</w:t>
      </w:r>
      <w:r>
        <w:rPr>
          <w:b/>
          <w:sz w:val="20"/>
          <w:szCs w:val="20"/>
        </w:rPr>
        <w:t xml:space="preserve"> / </w:t>
      </w:r>
    </w:p>
    <w:p w:rsidR="009F498E" w:rsidRPr="00052486" w:rsidRDefault="009F498E" w:rsidP="009F498E">
      <w:pPr>
        <w:jc w:val="both"/>
        <w:rPr>
          <w:b/>
          <w:sz w:val="20"/>
          <w:szCs w:val="20"/>
          <w:lang w:val="fr-CA"/>
        </w:rPr>
      </w:pPr>
      <w:r w:rsidRPr="00052486">
        <w:rPr>
          <w:b/>
          <w:sz w:val="20"/>
          <w:szCs w:val="20"/>
          <w:lang w:val="fr-CA"/>
        </w:rPr>
        <w:t xml:space="preserve">Répertorié : Canada (Procureur général) </w:t>
      </w:r>
      <w:r w:rsidRPr="00052486">
        <w:rPr>
          <w:b/>
          <w:i/>
          <w:sz w:val="20"/>
          <w:szCs w:val="20"/>
          <w:lang w:val="fr-CA"/>
        </w:rPr>
        <w:t>c.</w:t>
      </w:r>
      <w:r w:rsidRPr="00052486">
        <w:rPr>
          <w:b/>
          <w:sz w:val="20"/>
          <w:szCs w:val="20"/>
          <w:lang w:val="fr-CA"/>
        </w:rPr>
        <w:t xml:space="preserve"> Fédération des ordres professionnels de juristes du Canada</w:t>
      </w:r>
    </w:p>
    <w:p w:rsidR="0052229C" w:rsidRPr="009F498E" w:rsidRDefault="0052229C" w:rsidP="0052229C">
      <w:pPr>
        <w:pStyle w:val="SCCSystemYear"/>
        <w:jc w:val="both"/>
        <w:rPr>
          <w:sz w:val="20"/>
        </w:rPr>
      </w:pPr>
      <w:r w:rsidRPr="009F498E">
        <w:rPr>
          <w:sz w:val="20"/>
        </w:rPr>
        <w:t>Neutral citation:  201</w:t>
      </w:r>
      <w:r w:rsidR="00020DC3" w:rsidRPr="009F498E">
        <w:rPr>
          <w:sz w:val="20"/>
        </w:rPr>
        <w:t>5</w:t>
      </w:r>
      <w:r w:rsidRPr="009F498E">
        <w:rPr>
          <w:sz w:val="20"/>
        </w:rPr>
        <w:t xml:space="preserve"> SCC </w:t>
      </w:r>
      <w:r w:rsidR="00F47605" w:rsidRPr="009F498E">
        <w:rPr>
          <w:sz w:val="20"/>
        </w:rPr>
        <w:t>7</w:t>
      </w:r>
      <w:r w:rsidRPr="009F498E">
        <w:rPr>
          <w:sz w:val="20"/>
        </w:rPr>
        <w:t xml:space="preserve"> / Référence neutre : 201</w:t>
      </w:r>
      <w:r w:rsidR="00020DC3" w:rsidRPr="009F498E">
        <w:rPr>
          <w:sz w:val="20"/>
        </w:rPr>
        <w:t>5</w:t>
      </w:r>
      <w:r w:rsidRPr="009F498E">
        <w:rPr>
          <w:sz w:val="20"/>
        </w:rPr>
        <w:t xml:space="preserve"> CSC </w:t>
      </w:r>
      <w:r w:rsidR="00F47605" w:rsidRPr="009F498E">
        <w:rPr>
          <w:sz w:val="20"/>
        </w:rPr>
        <w:t>7</w:t>
      </w:r>
    </w:p>
    <w:p w:rsidR="0052229C" w:rsidRPr="009F498E" w:rsidRDefault="0052229C" w:rsidP="0052229C">
      <w:pPr>
        <w:rPr>
          <w:rFonts w:cs="Times New Roman"/>
          <w:sz w:val="20"/>
          <w:szCs w:val="20"/>
          <w:lang w:val="fr-CA"/>
        </w:rPr>
      </w:pPr>
      <w:r w:rsidRPr="009F498E">
        <w:rPr>
          <w:rFonts w:cs="Times New Roman"/>
          <w:sz w:val="20"/>
          <w:szCs w:val="20"/>
          <w:lang w:val="fr-CA"/>
        </w:rPr>
        <w:t xml:space="preserve">Hearing:  </w:t>
      </w:r>
      <w:r w:rsidR="009F498E" w:rsidRPr="009F498E">
        <w:rPr>
          <w:rFonts w:cs="Times New Roman"/>
          <w:sz w:val="20"/>
          <w:szCs w:val="20"/>
          <w:lang w:val="fr-CA"/>
        </w:rPr>
        <w:t>May</w:t>
      </w:r>
      <w:r w:rsidRPr="009F498E">
        <w:rPr>
          <w:rFonts w:cs="Times New Roman"/>
          <w:sz w:val="20"/>
          <w:szCs w:val="20"/>
          <w:lang w:val="fr-CA"/>
        </w:rPr>
        <w:t xml:space="preserve"> </w:t>
      </w:r>
      <w:r w:rsidR="009F498E" w:rsidRPr="009F498E">
        <w:rPr>
          <w:rFonts w:cs="Times New Roman"/>
          <w:sz w:val="20"/>
          <w:szCs w:val="20"/>
          <w:lang w:val="fr-CA"/>
        </w:rPr>
        <w:t>13</w:t>
      </w:r>
      <w:r w:rsidRPr="009F498E">
        <w:rPr>
          <w:rFonts w:cs="Times New Roman"/>
          <w:sz w:val="20"/>
          <w:szCs w:val="20"/>
          <w:lang w:val="fr-CA"/>
        </w:rPr>
        <w:t>, 201</w:t>
      </w:r>
      <w:r w:rsidR="00020DC3" w:rsidRPr="009F498E">
        <w:rPr>
          <w:rFonts w:cs="Times New Roman"/>
          <w:sz w:val="20"/>
          <w:szCs w:val="20"/>
          <w:lang w:val="fr-CA"/>
        </w:rPr>
        <w:t>4</w:t>
      </w:r>
      <w:r w:rsidRPr="009F498E">
        <w:rPr>
          <w:rFonts w:cs="Times New Roman"/>
          <w:sz w:val="20"/>
          <w:szCs w:val="20"/>
          <w:lang w:val="fr-CA"/>
        </w:rPr>
        <w:t xml:space="preserve"> / Judgment:  </w:t>
      </w:r>
      <w:r w:rsidR="009523B6" w:rsidRPr="009F498E">
        <w:rPr>
          <w:rFonts w:cs="Times New Roman"/>
          <w:sz w:val="20"/>
          <w:szCs w:val="20"/>
          <w:lang w:val="fr-CA"/>
        </w:rPr>
        <w:t>Febru</w:t>
      </w:r>
      <w:r w:rsidRPr="009F498E">
        <w:rPr>
          <w:rFonts w:cs="Times New Roman"/>
          <w:sz w:val="20"/>
          <w:szCs w:val="20"/>
          <w:lang w:val="fr-CA"/>
        </w:rPr>
        <w:t>ary 1</w:t>
      </w:r>
      <w:r w:rsidR="009523B6" w:rsidRPr="009F498E">
        <w:rPr>
          <w:rFonts w:cs="Times New Roman"/>
          <w:sz w:val="20"/>
          <w:szCs w:val="20"/>
          <w:lang w:val="fr-CA"/>
        </w:rPr>
        <w:t>3</w:t>
      </w:r>
      <w:r w:rsidRPr="009F498E">
        <w:rPr>
          <w:rFonts w:cs="Times New Roman"/>
          <w:sz w:val="20"/>
          <w:szCs w:val="20"/>
          <w:lang w:val="fr-CA"/>
        </w:rPr>
        <w:t>, 201</w:t>
      </w:r>
      <w:r w:rsidR="00020DC3" w:rsidRPr="009F498E">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F498E">
        <w:rPr>
          <w:rFonts w:cs="Times New Roman"/>
          <w:sz w:val="20"/>
          <w:szCs w:val="20"/>
          <w:lang w:val="fr-CA"/>
        </w:rPr>
        <w:t>13</w:t>
      </w:r>
      <w:r w:rsidRPr="003B3977">
        <w:rPr>
          <w:rFonts w:cs="Times New Roman"/>
          <w:sz w:val="20"/>
          <w:szCs w:val="20"/>
          <w:lang w:val="fr-CA"/>
        </w:rPr>
        <w:t xml:space="preserve"> </w:t>
      </w:r>
      <w:r w:rsidR="009F498E">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9523B6">
        <w:rPr>
          <w:rFonts w:cs="Times New Roman"/>
          <w:sz w:val="20"/>
          <w:szCs w:val="20"/>
          <w:lang w:val="fr-CA"/>
        </w:rPr>
        <w:t>3</w:t>
      </w:r>
      <w:r>
        <w:rPr>
          <w:rFonts w:cs="Times New Roman"/>
          <w:sz w:val="20"/>
          <w:szCs w:val="20"/>
          <w:lang w:val="fr-CA"/>
        </w:rPr>
        <w:t xml:space="preserve"> </w:t>
      </w:r>
      <w:r w:rsidR="009523B6">
        <w:rPr>
          <w:rFonts w:cs="Times New Roman"/>
          <w:sz w:val="20"/>
          <w:szCs w:val="20"/>
          <w:lang w:val="fr-CA"/>
        </w:rPr>
        <w:t>fé</w:t>
      </w:r>
      <w:r>
        <w:rPr>
          <w:rFonts w:cs="Times New Roman"/>
          <w:sz w:val="20"/>
          <w:szCs w:val="20"/>
          <w:lang w:val="fr-CA"/>
        </w:rPr>
        <w:t>v</w:t>
      </w:r>
      <w:r w:rsidR="009523B6">
        <w:rPr>
          <w:rFonts w:cs="Times New Roman"/>
          <w:sz w:val="20"/>
          <w:szCs w:val="20"/>
          <w:lang w:val="fr-CA"/>
        </w:rPr>
        <w:t>r</w:t>
      </w:r>
      <w:r>
        <w:rPr>
          <w:rFonts w:cs="Times New Roman"/>
          <w:sz w:val="20"/>
          <w:szCs w:val="20"/>
          <w:lang w:val="fr-CA"/>
        </w:rPr>
        <w:t>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007FF8" w:rsidP="005C6840">
      <w:pPr>
        <w:rPr>
          <w:rFonts w:cs="Times New Roman"/>
          <w:sz w:val="20"/>
          <w:szCs w:val="20"/>
          <w:lang w:val="fr-CA"/>
        </w:rPr>
      </w:pPr>
      <w:r>
        <w:rPr>
          <w:rFonts w:cs="Times New Roman"/>
          <w:i/>
          <w:sz w:val="20"/>
          <w:szCs w:val="20"/>
        </w:rPr>
        <w:pict>
          <v:rect id="_x0000_i107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F498E" w:rsidRPr="00CD11EF" w:rsidRDefault="009F498E" w:rsidP="009F498E">
      <w:pPr>
        <w:jc w:val="both"/>
        <w:rPr>
          <w:sz w:val="20"/>
          <w:szCs w:val="20"/>
        </w:rPr>
      </w:pPr>
      <w:r w:rsidRPr="00CD11EF">
        <w:rPr>
          <w:sz w:val="20"/>
          <w:szCs w:val="20"/>
        </w:rPr>
        <w:t>Present: McLachlin C.J. and LeBel, Abella, Cromwell, Moldaver, Karakatsanis and Wagner JJ.</w:t>
      </w:r>
    </w:p>
    <w:p w:rsidR="009F498E" w:rsidRDefault="009F498E" w:rsidP="009F498E">
      <w:pPr>
        <w:pStyle w:val="SCCLowerCourtNameLowercase"/>
        <w:spacing w:line="240" w:lineRule="auto"/>
        <w:outlineLvl w:val="0"/>
        <w:rPr>
          <w:sz w:val="20"/>
        </w:rPr>
      </w:pPr>
    </w:p>
    <w:p w:rsidR="009F498E" w:rsidRPr="00CD11EF" w:rsidRDefault="009F498E" w:rsidP="009F498E">
      <w:pPr>
        <w:pStyle w:val="SCCNormalDoubleSpacing"/>
        <w:spacing w:line="240" w:lineRule="auto"/>
        <w:rPr>
          <w:sz w:val="20"/>
        </w:rPr>
      </w:pPr>
      <w:r w:rsidRPr="00CD11EF">
        <w:rPr>
          <w:sz w:val="20"/>
        </w:rPr>
        <w:tab/>
      </w:r>
      <w:r w:rsidRPr="00CD11EF">
        <w:rPr>
          <w:i/>
          <w:sz w:val="20"/>
        </w:rPr>
        <w:t>Constitutional law — Charter of Rights — Right to liberty — Fundamental justice — Search and seizure — Solicitor-client privilege — Lawyer’s duty of commitment to client’s cause — Whether Canada’s anti-money laundering and anti-terrorist financing legislation, as it applies to legal profession, infringes right to be free of unreasonable searches and seizures — Whether legislation infringes right not to be deprived of liberty otherwise than in accordance with principles of fundamental justice — If so, whether infringements justifiable — Canadian Charter of Rights and Freedoms, ss. 1, 7, 8 — Proceeds of Crime (Money Laundering) and Terrorist Financing Act, S.C. 2000, c. 17, ss. 5(i), 5(j), 62, 63, 63.1, 64 — Proceeds of Crime (Money Laundering) and Terrorist Financing Regulations, SOR/2002</w:t>
      </w:r>
      <w:r w:rsidRPr="00CD11EF">
        <w:rPr>
          <w:i/>
          <w:sz w:val="20"/>
        </w:rPr>
        <w:noBreakHyphen/>
        <w:t>184, ss. 11.1, 33.3, 33.4, 33.5, 59.4.</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To reduce the risk that financial intermediaries may facilitate money laundering or terrorist financing, the </w:t>
      </w:r>
      <w:r w:rsidRPr="00CD11EF">
        <w:rPr>
          <w:i/>
          <w:sz w:val="20"/>
        </w:rPr>
        <w:t>Proceeds of Crime (Money Laundering) and Terrorist Financing Act</w:t>
      </w:r>
      <w:r w:rsidRPr="00CD11EF">
        <w:rPr>
          <w:sz w:val="20"/>
        </w:rPr>
        <w:t xml:space="preserve">, S.C. 2000, c. 17, and the </w:t>
      </w:r>
      <w:r w:rsidRPr="00CD11EF">
        <w:rPr>
          <w:i/>
          <w:sz w:val="20"/>
        </w:rPr>
        <w:t>Proceeds of Crime (Money Laundering) and Terrorist Financing Regulations</w:t>
      </w:r>
      <w:r w:rsidRPr="00CD11EF">
        <w:rPr>
          <w:sz w:val="20"/>
        </w:rPr>
        <w:t>, SOR/2002</w:t>
      </w:r>
      <w:r w:rsidRPr="00CD11EF">
        <w:rPr>
          <w:sz w:val="20"/>
        </w:rPr>
        <w:noBreakHyphen/>
        <w:t>184, impose duties on financial intermediaries, including advocates and notaries in Quebec and barristers and solicitors in all other provinces. The legislation requires financial intermediaries to collect, record and retain material, including information verifying the identity of those on whose behalf they pay or receive money. It puts in place an agency to oversee compliance, the Financial Transactions and Reports Analysis Centre of Canada, and allows that agency to search for and seize that material. It imposes fines and penal consequences for non-compliance. Sections 5(</w:t>
      </w:r>
      <w:r w:rsidRPr="00CD11EF">
        <w:rPr>
          <w:i/>
          <w:sz w:val="20"/>
        </w:rPr>
        <w:t>i</w:t>
      </w:r>
      <w:r w:rsidRPr="00CD11EF">
        <w:rPr>
          <w:sz w:val="20"/>
        </w:rPr>
        <w:t>) and (</w:t>
      </w:r>
      <w:r w:rsidRPr="00CD11EF">
        <w:rPr>
          <w:i/>
          <w:sz w:val="20"/>
        </w:rPr>
        <w:t>j</w:t>
      </w:r>
      <w:r w:rsidRPr="00CD11EF">
        <w:rPr>
          <w:sz w:val="20"/>
        </w:rPr>
        <w:t>) of the Act</w:t>
      </w:r>
      <w:r w:rsidRPr="00CD11EF">
        <w:rPr>
          <w:i/>
          <w:sz w:val="20"/>
        </w:rPr>
        <w:t xml:space="preserve"> </w:t>
      </w:r>
      <w:r w:rsidRPr="00CD11EF">
        <w:rPr>
          <w:sz w:val="20"/>
        </w:rPr>
        <w:t>make professions specified in the Regulations subject to the record keeping and verification requirements. Section 33.3 of the Regulations makes legal counsel subject to the Act when receiving or paying funds or giving instructions to pay funds other than in respect of professional fees, disbursements, expenses or bail or when doing so on behalf of their employer. Sections 33.4 and 33.5 of the Regulations impose recording keeping requirements. Section 59.4 of the Regulations imposes identification requirements. Section 11.1 of the Regulations sets out the information that must be collected and retained in the course of verifying identity. Sections 62, 63 and 63.1 of the Act provide for search and seizure powers. Section 64 provides limitations on the search and seizure powers in relation to material for which solicitor-client privilege is claimed.</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The Federation of Law Societies commenced a constitutional challenge to the legislation as it applies to the legal profession. The application judge of the Supreme Court of British Columbia held that the challenged provisions violate s. 7 of the </w:t>
      </w:r>
      <w:r w:rsidRPr="00CD11EF">
        <w:rPr>
          <w:i/>
          <w:sz w:val="20"/>
        </w:rPr>
        <w:t>Charter</w:t>
      </w:r>
      <w:r w:rsidRPr="00CD11EF">
        <w:rPr>
          <w:sz w:val="20"/>
        </w:rPr>
        <w:t xml:space="preserve"> and the infringement is not saved under s. 1 of the </w:t>
      </w:r>
      <w:r w:rsidRPr="00CD11EF">
        <w:rPr>
          <w:i/>
          <w:sz w:val="20"/>
        </w:rPr>
        <w:t>Charter</w:t>
      </w:r>
      <w:r w:rsidRPr="00CD11EF">
        <w:rPr>
          <w:sz w:val="20"/>
        </w:rPr>
        <w:t xml:space="preserve">. She did not address whether the provisions infringe s. 8 of the </w:t>
      </w:r>
      <w:r w:rsidRPr="00CD11EF">
        <w:rPr>
          <w:i/>
          <w:sz w:val="20"/>
        </w:rPr>
        <w:t>Charter</w:t>
      </w:r>
      <w:r w:rsidRPr="00CD11EF">
        <w:rPr>
          <w:sz w:val="20"/>
        </w:rPr>
        <w:t>. She read down ss. 5(</w:t>
      </w:r>
      <w:r w:rsidRPr="00CD11EF">
        <w:rPr>
          <w:i/>
          <w:sz w:val="20"/>
        </w:rPr>
        <w:t>i</w:t>
      </w:r>
      <w:r w:rsidRPr="00CD11EF">
        <w:rPr>
          <w:sz w:val="20"/>
        </w:rPr>
        <w:t>), 5(</w:t>
      </w:r>
      <w:r w:rsidRPr="00CD11EF">
        <w:rPr>
          <w:i/>
          <w:sz w:val="20"/>
        </w:rPr>
        <w:t>j</w:t>
      </w:r>
      <w:r w:rsidRPr="00CD11EF">
        <w:rPr>
          <w:sz w:val="20"/>
        </w:rPr>
        <w:t xml:space="preserve">), 62, 63 and 63.1 of the Act and s. 11.1 of the Regulations to exclude legal counsel and legal firms. She struck down s. 64 of the Act and ss. 33.3, 33.4, 33.5, and 59.4 of the Regulations. The British Columbia Court of Appeal dismissed an appeal. </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r>
      <w:r w:rsidRPr="00CD11EF">
        <w:rPr>
          <w:i/>
          <w:sz w:val="20"/>
        </w:rPr>
        <w:t>Held</w:t>
      </w:r>
      <w:r w:rsidRPr="00CD11EF">
        <w:rPr>
          <w:sz w:val="20"/>
        </w:rPr>
        <w:t>: The appeal should be allowed in part. That part of the application judge’s order declaring that ss. 5(</w:t>
      </w:r>
      <w:r w:rsidRPr="00CD11EF">
        <w:rPr>
          <w:i/>
          <w:iCs/>
          <w:sz w:val="20"/>
        </w:rPr>
        <w:t>i</w:t>
      </w:r>
      <w:r w:rsidRPr="00CD11EF">
        <w:rPr>
          <w:sz w:val="20"/>
        </w:rPr>
        <w:t>) and 5(</w:t>
      </w:r>
      <w:r w:rsidRPr="00CD11EF">
        <w:rPr>
          <w:i/>
          <w:iCs/>
          <w:sz w:val="20"/>
        </w:rPr>
        <w:t>j</w:t>
      </w:r>
      <w:r w:rsidRPr="00CD11EF">
        <w:rPr>
          <w:sz w:val="20"/>
        </w:rPr>
        <w:t>) of the Act are inconsistent with the Constitution of Canada and are of no force and effect to the extent that the reference in those subsections to “persons and entities” includes legal counsel and law firms should be set aside. Sections 5(</w:t>
      </w:r>
      <w:r w:rsidRPr="00CD11EF">
        <w:rPr>
          <w:i/>
          <w:iCs/>
          <w:sz w:val="20"/>
        </w:rPr>
        <w:t>i</w:t>
      </w:r>
      <w:r w:rsidRPr="00CD11EF">
        <w:rPr>
          <w:sz w:val="20"/>
        </w:rPr>
        <w:t>) and (</w:t>
      </w:r>
      <w:r w:rsidRPr="00CD11EF">
        <w:rPr>
          <w:i/>
          <w:iCs/>
          <w:sz w:val="20"/>
        </w:rPr>
        <w:t>j</w:t>
      </w:r>
      <w:r w:rsidRPr="00CD11EF">
        <w:rPr>
          <w:sz w:val="20"/>
        </w:rPr>
        <w:t>) should be struck from that part of the application judge’s order declaring that ss. 5(</w:t>
      </w:r>
      <w:r w:rsidRPr="00CD11EF">
        <w:rPr>
          <w:i/>
          <w:iCs/>
          <w:sz w:val="20"/>
        </w:rPr>
        <w:t>i</w:t>
      </w:r>
      <w:r w:rsidRPr="00CD11EF">
        <w:rPr>
          <w:sz w:val="20"/>
        </w:rPr>
        <w:t>), (</w:t>
      </w:r>
      <w:r w:rsidRPr="00CD11EF">
        <w:rPr>
          <w:i/>
          <w:iCs/>
          <w:sz w:val="20"/>
        </w:rPr>
        <w:t>j</w:t>
      </w:r>
      <w:r w:rsidRPr="00CD11EF">
        <w:rPr>
          <w:sz w:val="20"/>
        </w:rPr>
        <w:t xml:space="preserve">), 62, 63, 63.1 of the </w:t>
      </w:r>
      <w:r w:rsidRPr="00CD11EF">
        <w:rPr>
          <w:iCs/>
          <w:sz w:val="20"/>
        </w:rPr>
        <w:t>Act</w:t>
      </w:r>
      <w:r w:rsidRPr="00CD11EF">
        <w:rPr>
          <w:sz w:val="20"/>
        </w:rPr>
        <w:t xml:space="preserve"> are read down to exclude legal counsel and law firms from the operation of those sections. The appeal should otherwise be dismissed.</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r>
      <w:r w:rsidRPr="00CD11EF">
        <w:rPr>
          <w:i/>
          <w:sz w:val="20"/>
        </w:rPr>
        <w:t>Per</w:t>
      </w:r>
      <w:r w:rsidRPr="00CD11EF">
        <w:rPr>
          <w:sz w:val="20"/>
        </w:rPr>
        <w:t xml:space="preserve"> LeBel, Abella,</w:t>
      </w:r>
      <w:r w:rsidRPr="00CD11EF">
        <w:rPr>
          <w:b/>
          <w:sz w:val="20"/>
        </w:rPr>
        <w:t xml:space="preserve"> Cromwell</w:t>
      </w:r>
      <w:r w:rsidRPr="00CD11EF">
        <w:rPr>
          <w:sz w:val="20"/>
        </w:rPr>
        <w:t>, Karakatsanis and Wagner JJ.: Sections 5(</w:t>
      </w:r>
      <w:r w:rsidRPr="00CD11EF">
        <w:rPr>
          <w:i/>
          <w:sz w:val="20"/>
        </w:rPr>
        <w:t>i</w:t>
      </w:r>
      <w:r w:rsidRPr="00CD11EF">
        <w:rPr>
          <w:sz w:val="20"/>
        </w:rPr>
        <w:t>) and 5(</w:t>
      </w:r>
      <w:r w:rsidRPr="00CD11EF">
        <w:rPr>
          <w:i/>
          <w:sz w:val="20"/>
        </w:rPr>
        <w:t>j</w:t>
      </w:r>
      <w:r w:rsidRPr="00CD11EF">
        <w:rPr>
          <w:sz w:val="20"/>
        </w:rPr>
        <w:t>) of the Act</w:t>
      </w:r>
      <w:r w:rsidRPr="00CD11EF">
        <w:rPr>
          <w:i/>
          <w:sz w:val="20"/>
        </w:rPr>
        <w:t xml:space="preserve"> </w:t>
      </w:r>
      <w:r w:rsidRPr="00CD11EF">
        <w:rPr>
          <w:sz w:val="20"/>
        </w:rPr>
        <w:t xml:space="preserve">simply authorize the making of regulations and do not on their own infringe the </w:t>
      </w:r>
      <w:r w:rsidRPr="00CD11EF">
        <w:rPr>
          <w:i/>
          <w:sz w:val="20"/>
        </w:rPr>
        <w:t>Charter</w:t>
      </w:r>
      <w:r w:rsidRPr="00CD11EF">
        <w:rPr>
          <w:sz w:val="20"/>
        </w:rPr>
        <w:t>.</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lang w:val="en-US"/>
        </w:rPr>
      </w:pPr>
      <w:r w:rsidRPr="00CD11EF">
        <w:rPr>
          <w:sz w:val="20"/>
        </w:rPr>
        <w:lastRenderedPageBreak/>
        <w:tab/>
        <w:t xml:space="preserve">Sections 62, 63 and 63.1 of the Act, to the extent that they apply to documents in the possession of legal counsel and legal firms, and s. 64 of the Act infringe s. 8 of the </w:t>
      </w:r>
      <w:r w:rsidRPr="00CD11EF">
        <w:rPr>
          <w:i/>
          <w:sz w:val="20"/>
        </w:rPr>
        <w:t>Charter</w:t>
      </w:r>
      <w:r w:rsidRPr="00CD11EF">
        <w:rPr>
          <w:sz w:val="20"/>
        </w:rPr>
        <w:t xml:space="preserve">. These provisions have a predominantly criminal law character rather than an administrative law character. They facilitate detecting and deterring criminal offences, and investigating and prosecuting criminal offences. There are penal sanctions for non-compliance. These provisions authorize sweeping searches of law offices which inherently risks breaching solicitor-client privilege. The expectation of privacy in solicitor-client privileged communications is invariably high regardless of the context and nothing about the regulatory context of the Act or the fact that a regulatory agency undertakes the searches diminishes that expectation. The principles governing searches of law offices set out in </w:t>
      </w:r>
      <w:r w:rsidRPr="00CD11EF">
        <w:rPr>
          <w:i/>
          <w:sz w:val="20"/>
        </w:rPr>
        <w:t>Lavallee, Rackel &amp; Heintz v. Canada (Attorney General)</w:t>
      </w:r>
      <w:r w:rsidRPr="00CD11EF">
        <w:rPr>
          <w:sz w:val="20"/>
        </w:rPr>
        <w:t>, 2002 SCC 61, [2002] 3 S.C.R. 209, apply and these provisions do not comply with those standards. Solicitor-client privilege must remain as close to absolute as possible. There must be a stringent norm to ensure protection and legislative provisions must interfere with the privilege no more than absolutely necessary. These provisions wrongly transfer the burden of protecting solicitor-client privilege to lawyers. Nothing requires notice to clients and a client may not be aware that his or her privilege is threatened. There is no protocol for independent legal intervention when it is not feasible to notify a client. A judge has no discretion to assess a claim of privilege on his or her own motion. Unless the search is of a lawyer’s home office, nothing requires prior judicial authorization. Searches are not contingent upon proof that there are no reasonable alternatives. The provisions allow</w:t>
      </w:r>
      <w:r w:rsidRPr="00CD11EF">
        <w:rPr>
          <w:sz w:val="20"/>
          <w:lang w:val="en-US"/>
        </w:rPr>
        <w:t xml:space="preserve"> warrantless searches, which are presumptively unreasonable. </w:t>
      </w:r>
      <w:r w:rsidRPr="00CD11EF">
        <w:rPr>
          <w:sz w:val="20"/>
        </w:rPr>
        <w:t>Examining and copying documents proceeds until privilege is asserted — an approach that greatly elevates the risk of a breach of privilege. Claiming privilege requires revealing a client’s name and address even though this information may be subject to privilege. The search powers in ss. 62, 63 and 63.1 as applied to lawyers, along with the inadequate protection of solicitor-client privilege provided by s. 64, constitute a very significant limitation of the right to be free of unreasonable searches and seizures.</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Section 11.1 of the Regulations, to the extent that it applies to legal counsel and legal firms, and the other provisions of the Regulations in issue in this appeal infringe s. 7 of the </w:t>
      </w:r>
      <w:r w:rsidRPr="00CD11EF">
        <w:rPr>
          <w:i/>
          <w:sz w:val="20"/>
        </w:rPr>
        <w:t>Charter</w:t>
      </w:r>
      <w:r w:rsidRPr="00CD11EF">
        <w:rPr>
          <w:sz w:val="20"/>
        </w:rPr>
        <w:t xml:space="preserve">. The liberty interests of lawyers are infringed because lawyers are liable to imprisonment if they do not comply with the requirements of the Act and Regulations. It is not necessary to determine whether the liberty interests of clients are infringed. </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It should be recognized as a principle of fundamental justice that the state cannot impose duties on lawyers that undermine their duty of commitment to their clients’ causes. Principles of fundamental justice have three characteristics. They must be a legal principle; there must be significant societal consensus that they are fundamental to the way in which the legal system ought fairly to operate; and, they must be sufficiently precise so as to yield a manageable standard against which to measure deprivations of life, liberty or security of the person. The lawyer’s duty of commitment to the client’s cause meets this test. First, it is a normative legal principle and a basic tenet of our legal system. It has been recognized as a distinct element of a lawyer’s broader common law duty of loyalty. Second, </w:t>
      </w:r>
      <w:r w:rsidRPr="00CD11EF">
        <w:rPr>
          <w:sz w:val="20"/>
          <w:lang w:val="en-US"/>
        </w:rPr>
        <w:t>jurisprudence demonstrates that the principle is</w:t>
      </w:r>
      <w:r w:rsidRPr="00CD11EF">
        <w:rPr>
          <w:sz w:val="20"/>
        </w:rPr>
        <w:t xml:space="preserve"> sufficiently precise to provide a workable standard. It does not countenance a lawyer’s involvement in, or facilitation of, illegal activities and it is consistent with a lawyer taking appropriate steps to ensure that his or her services are not used for improper ends. Third, there is overwhelming evidence of a strong and wide-spread consensus concerning the fundamental importance in democratic states of protection against state interference with the lawyer’s commitment to his or her client’s cause. The duty is fundamental to the solicitor-client relationship and how the state and the citizen interact in legal matters. The lawyer’s duty of commitment to the client’s cause is essential to maintaining confidence in the integrity of the administration of justice. </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Subject to justification, the state cannot impose obligations on lawyers that undermine their compliance with the duty, either in fact or in the perception of a reasonable person. The legal profession has developed practice standards relating to the subjects addressed by the Act and Regulations that are narrower in scope. Although these standards cannot set the constitutional parameters for legislation, they are evidence of a strong consensus in the profession as to what ethical practice in relation to these issues requires. Viewed in this light, the legislation requires lawyers to gather and retain considerably more information than the profession thinks is needed for ethical and effective client representation. This, coupled with the inadequate protection of solicitor-client privilege, undermines a lawyer’s ability to comply with the duty of commitment to the client’s cause. The lawyer is required to create and preserve records not required for ethical and effective representation, in the knowledge that solicitor-client confidences contained in these records are not adequately protected against searches and seizures authorized by the legislation. A reasonable and informed person, thinking the matter through, would perceive that these provisions are inconsistent with the lawyer’s duty of commitment to the client’s cause. The scheme taken as a whole limits the liberty of lawyers in a </w:t>
      </w:r>
      <w:r w:rsidRPr="00CD11EF">
        <w:rPr>
          <w:sz w:val="20"/>
        </w:rPr>
        <w:lastRenderedPageBreak/>
        <w:t>manner that is not in accordance with the principle of fundamental justice relating to the lawyer’s duty of committed representation.</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 xml:space="preserve">The infringements of ss. 7 and 8 of the </w:t>
      </w:r>
      <w:r w:rsidRPr="00CD11EF">
        <w:rPr>
          <w:i/>
          <w:sz w:val="20"/>
        </w:rPr>
        <w:t>Charter</w:t>
      </w:r>
      <w:r w:rsidRPr="00CD11EF">
        <w:rPr>
          <w:sz w:val="20"/>
        </w:rPr>
        <w:t xml:space="preserve"> are not justified under s.  1 of the </w:t>
      </w:r>
      <w:r w:rsidRPr="00CD11EF">
        <w:rPr>
          <w:i/>
          <w:sz w:val="20"/>
        </w:rPr>
        <w:t>Charter</w:t>
      </w:r>
      <w:r w:rsidRPr="00CD11EF">
        <w:rPr>
          <w:sz w:val="20"/>
        </w:rPr>
        <w:t xml:space="preserve">. Sections 62, 63, 63.1 and 64 of the Act fail the minimal impairment test. There are other less drastic means to pursue the objectives of combating money laundering and terrorist financing. The provisions of the Regulations in issue in this appeal fail the proportionality test. </w:t>
      </w:r>
    </w:p>
    <w:p w:rsidR="009F498E" w:rsidRDefault="009F498E" w:rsidP="009F498E">
      <w:pPr>
        <w:pStyle w:val="SCCNormalDoubleSpacing"/>
        <w:spacing w:line="240" w:lineRule="auto"/>
        <w:rPr>
          <w:i/>
          <w:sz w:val="20"/>
        </w:rPr>
      </w:pPr>
    </w:p>
    <w:p w:rsidR="009F498E" w:rsidRDefault="009F498E" w:rsidP="009F498E">
      <w:pPr>
        <w:pStyle w:val="SCCNormalDoubleSpacing"/>
        <w:spacing w:line="240" w:lineRule="auto"/>
        <w:rPr>
          <w:sz w:val="20"/>
        </w:rPr>
      </w:pPr>
      <w:r w:rsidRPr="00CD11EF">
        <w:rPr>
          <w:i/>
          <w:sz w:val="20"/>
        </w:rPr>
        <w:tab/>
        <w:t>Per</w:t>
      </w:r>
      <w:r w:rsidRPr="00CD11EF">
        <w:rPr>
          <w:sz w:val="20"/>
        </w:rPr>
        <w:t xml:space="preserve"> </w:t>
      </w:r>
      <w:r w:rsidRPr="00CD11EF">
        <w:rPr>
          <w:b/>
          <w:sz w:val="20"/>
        </w:rPr>
        <w:t>McLachlin C.J.</w:t>
      </w:r>
      <w:r w:rsidRPr="00CD11EF">
        <w:rPr>
          <w:sz w:val="20"/>
        </w:rPr>
        <w:t xml:space="preserve"> and </w:t>
      </w:r>
      <w:r w:rsidRPr="00CD11EF">
        <w:rPr>
          <w:b/>
          <w:sz w:val="20"/>
        </w:rPr>
        <w:t>Moldaver J.</w:t>
      </w:r>
      <w:r w:rsidRPr="00CD11EF">
        <w:rPr>
          <w:sz w:val="20"/>
        </w:rPr>
        <w:t>: There is agreement with Cromwell J.’s reasons insofar as they relate to s. 8 of the</w:t>
      </w:r>
      <w:r w:rsidRPr="00CD11EF">
        <w:rPr>
          <w:i/>
          <w:sz w:val="20"/>
        </w:rPr>
        <w:t xml:space="preserve"> Charter</w:t>
      </w:r>
      <w:r w:rsidRPr="00CD11EF">
        <w:rPr>
          <w:sz w:val="20"/>
        </w:rPr>
        <w:t>. However, to the extent that the s. 7 interests of the lawyer are engaged, the lawyer’s duty of commitment to the client’s cause lacks sufficient certainty to constitute a principle of fundamental justice. The lawyer’s commitment does not provide a workable constitutional standard because it will vary with the nature of the retainer and other circumstances. Solicitor</w:t>
      </w:r>
      <w:r w:rsidRPr="00CD11EF">
        <w:rPr>
          <w:sz w:val="20"/>
        </w:rPr>
        <w:noBreakHyphen/>
        <w:t xml:space="preserve">client privilege has already been recognized as a constitutional norm and breach of this principle of fundamental justice is sufficient to establish the potential deprivation of liberty that violates s. 7 of the </w:t>
      </w:r>
      <w:r w:rsidRPr="00CD11EF">
        <w:rPr>
          <w:i/>
          <w:sz w:val="20"/>
        </w:rPr>
        <w:t>Charter</w:t>
      </w:r>
      <w:r w:rsidRPr="00CD11EF">
        <w:rPr>
          <w:sz w:val="20"/>
        </w:rPr>
        <w:t xml:space="preserve">. </w:t>
      </w:r>
    </w:p>
    <w:p w:rsidR="009F498E" w:rsidRDefault="009F498E" w:rsidP="009F498E">
      <w:pPr>
        <w:pStyle w:val="SCCNormalDoubleSpacing"/>
        <w:spacing w:line="240" w:lineRule="auto"/>
        <w:rPr>
          <w:sz w:val="20"/>
        </w:rPr>
      </w:pPr>
    </w:p>
    <w:p w:rsidR="009F498E" w:rsidRPr="00CD11EF" w:rsidRDefault="009F498E" w:rsidP="009F498E">
      <w:pPr>
        <w:pStyle w:val="SCCNormalDoubleSpacing"/>
        <w:spacing w:line="240" w:lineRule="auto"/>
        <w:rPr>
          <w:sz w:val="20"/>
        </w:rPr>
      </w:pPr>
      <w:r w:rsidRPr="00CD11EF">
        <w:rPr>
          <w:sz w:val="20"/>
        </w:rPr>
        <w:tab/>
        <w:t>APPEAL from a judgment of the British Columbia Court of Appeal (Finch C.J.B.C. and Frankel, Neilson, Garson and Hinkson JJ.A.), 2013 BCCA 147, 41 B.C.L.R. (5th) 283, 335 B.C.A.C. 243, 573 W.A.C. 243, 359 D.L.R. (4th) 1, 48 Admin. L.R. (5th) 181, 297 C.C.C. (3d) 429, 2 C.R. (7th) 324, 278 C.R.R. (2d) 273, [2013] 5 W.W.R. 1, [2013] B.C.J. No. 632 (QL), 2013 CarswellBC 812 (WL Can.), affirming a decision of Gerow J., 2011 BCSC 1270, 25 B.C.L.R. (5th) 265, 339 D.L.R. (4th) 48, 48 Admin. L.R. (5th) 285, 89 C.R. (6th) 80, 244 C.R.R. (2d) 129, [2012] 2 W.W.R. 758, [2011] B.C.J. No. 1779 (QL), 2011 CarswellBC 2436 (WL Can.). Appeal allowed in part.</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Christopher Rupar</w:t>
      </w:r>
      <w:r w:rsidRPr="00CD11EF">
        <w:rPr>
          <w:sz w:val="20"/>
        </w:rPr>
        <w:t xml:space="preserve"> and </w:t>
      </w:r>
      <w:r w:rsidRPr="00CD11EF">
        <w:rPr>
          <w:i/>
          <w:sz w:val="20"/>
        </w:rPr>
        <w:t>Jan Brongers</w:t>
      </w:r>
      <w:r w:rsidRPr="00CD11EF">
        <w:rPr>
          <w:sz w:val="20"/>
        </w:rPr>
        <w:t>, for the appellant.</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John J. L. Hunter</w:t>
      </w:r>
      <w:r w:rsidRPr="00CD11EF">
        <w:rPr>
          <w:sz w:val="20"/>
        </w:rPr>
        <w:t xml:space="preserve">, </w:t>
      </w:r>
      <w:r w:rsidRPr="00CD11EF">
        <w:rPr>
          <w:i/>
          <w:sz w:val="20"/>
        </w:rPr>
        <w:t>Q.C.</w:t>
      </w:r>
      <w:r w:rsidRPr="00CD11EF">
        <w:rPr>
          <w:sz w:val="20"/>
        </w:rPr>
        <w:t xml:space="preserve">, and </w:t>
      </w:r>
      <w:r w:rsidRPr="00CD11EF">
        <w:rPr>
          <w:i/>
          <w:sz w:val="20"/>
        </w:rPr>
        <w:t>Roy W. Millen</w:t>
      </w:r>
      <w:r w:rsidRPr="00CD11EF">
        <w:rPr>
          <w:sz w:val="20"/>
        </w:rPr>
        <w:t>, for the respondent.</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Michal Fairburn</w:t>
      </w:r>
      <w:r w:rsidRPr="00CD11EF">
        <w:rPr>
          <w:sz w:val="20"/>
        </w:rPr>
        <w:t xml:space="preserve"> and </w:t>
      </w:r>
      <w:r w:rsidRPr="00CD11EF">
        <w:rPr>
          <w:i/>
          <w:sz w:val="20"/>
        </w:rPr>
        <w:t>Justin Safayeni</w:t>
      </w:r>
      <w:r w:rsidRPr="00CD11EF">
        <w:rPr>
          <w:sz w:val="20"/>
        </w:rPr>
        <w:t>, for the intervener the Criminal Lawyers’ Association (Ontario).</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Mahmud Jamal</w:t>
      </w:r>
      <w:r w:rsidRPr="00CD11EF">
        <w:rPr>
          <w:sz w:val="20"/>
        </w:rPr>
        <w:t xml:space="preserve">, </w:t>
      </w:r>
      <w:r w:rsidRPr="00CD11EF">
        <w:rPr>
          <w:i/>
          <w:sz w:val="20"/>
        </w:rPr>
        <w:t>David Rankin</w:t>
      </w:r>
      <w:r w:rsidRPr="00CD11EF">
        <w:rPr>
          <w:sz w:val="20"/>
        </w:rPr>
        <w:t xml:space="preserve"> and </w:t>
      </w:r>
      <w:r w:rsidRPr="00CD11EF">
        <w:rPr>
          <w:i/>
          <w:sz w:val="20"/>
        </w:rPr>
        <w:t>Pierre</w:t>
      </w:r>
      <w:r w:rsidRPr="00CD11EF">
        <w:rPr>
          <w:i/>
          <w:sz w:val="20"/>
        </w:rPr>
        <w:noBreakHyphen/>
        <w:t>Alexandre Henri</w:t>
      </w:r>
      <w:r w:rsidRPr="00CD11EF">
        <w:rPr>
          <w:sz w:val="20"/>
        </w:rPr>
        <w:t>, for the intervener the Canadian Civil Liberties Association.</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Leonard T. Doust</w:t>
      </w:r>
      <w:r w:rsidRPr="00CD11EF">
        <w:rPr>
          <w:sz w:val="20"/>
        </w:rPr>
        <w:t xml:space="preserve">, </w:t>
      </w:r>
      <w:r w:rsidRPr="00CD11EF">
        <w:rPr>
          <w:i/>
          <w:sz w:val="20"/>
        </w:rPr>
        <w:t>Q.C.</w:t>
      </w:r>
      <w:r w:rsidRPr="00CD11EF">
        <w:rPr>
          <w:sz w:val="20"/>
        </w:rPr>
        <w:t xml:space="preserve">, and </w:t>
      </w:r>
      <w:r w:rsidRPr="00CD11EF">
        <w:rPr>
          <w:i/>
          <w:sz w:val="20"/>
        </w:rPr>
        <w:t>Michael A. Feder</w:t>
      </w:r>
      <w:r w:rsidRPr="00CD11EF">
        <w:rPr>
          <w:sz w:val="20"/>
        </w:rPr>
        <w:t>, for the intervener the Law Society of British Columbia.</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Craig A. B. Ferris</w:t>
      </w:r>
      <w:r w:rsidRPr="00CD11EF">
        <w:rPr>
          <w:sz w:val="20"/>
        </w:rPr>
        <w:t xml:space="preserve"> and </w:t>
      </w:r>
      <w:r w:rsidRPr="00CD11EF">
        <w:rPr>
          <w:i/>
          <w:sz w:val="20"/>
        </w:rPr>
        <w:t>Laura Bevan</w:t>
      </w:r>
      <w:r w:rsidRPr="00CD11EF">
        <w:rPr>
          <w:sz w:val="20"/>
        </w:rPr>
        <w:t>, for the intervener the Canadian Bar Association.</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Paul D. Stern</w:t>
      </w:r>
      <w:r w:rsidRPr="00CD11EF">
        <w:rPr>
          <w:sz w:val="20"/>
        </w:rPr>
        <w:t xml:space="preserve"> and </w:t>
      </w:r>
      <w:r w:rsidRPr="00CD11EF">
        <w:rPr>
          <w:i/>
          <w:sz w:val="20"/>
        </w:rPr>
        <w:t>Robert A. Centa</w:t>
      </w:r>
      <w:r w:rsidRPr="00CD11EF">
        <w:rPr>
          <w:sz w:val="20"/>
        </w:rPr>
        <w:t>, for the intervener the Advocates’ Society.</w:t>
      </w:r>
    </w:p>
    <w:p w:rsidR="009F498E" w:rsidRDefault="009F498E" w:rsidP="009F498E">
      <w:pPr>
        <w:pStyle w:val="SCCNormalDoubleSpacing"/>
        <w:spacing w:line="240" w:lineRule="auto"/>
        <w:rPr>
          <w:i/>
          <w:sz w:val="20"/>
        </w:rPr>
      </w:pPr>
    </w:p>
    <w:p w:rsidR="009F498E" w:rsidRPr="00CD11EF" w:rsidRDefault="009F498E" w:rsidP="009F498E">
      <w:pPr>
        <w:pStyle w:val="SCCNormalDoubleSpacing"/>
        <w:spacing w:line="240" w:lineRule="auto"/>
        <w:rPr>
          <w:sz w:val="20"/>
        </w:rPr>
      </w:pPr>
      <w:r w:rsidRPr="00CD11EF">
        <w:rPr>
          <w:i/>
          <w:sz w:val="20"/>
        </w:rPr>
        <w:tab/>
        <w:t>Raymond Doray</w:t>
      </w:r>
      <w:r w:rsidRPr="00CD11EF">
        <w:rPr>
          <w:sz w:val="20"/>
        </w:rPr>
        <w:t xml:space="preserve"> and </w:t>
      </w:r>
      <w:r w:rsidRPr="00CD11EF">
        <w:rPr>
          <w:i/>
          <w:sz w:val="20"/>
        </w:rPr>
        <w:t>Loïc Berdnikoff</w:t>
      </w:r>
      <w:r w:rsidRPr="00CD11EF">
        <w:rPr>
          <w:sz w:val="20"/>
        </w:rPr>
        <w:t>, for the interveners Barreau du Québec and Chambre des notaires du Québec.</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 for the appellant: Attorney General of Canada, Ottawa.</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Solicitors for the respondent: Hunter Litigation Chambers, Vancouver; Blake, Cassels &amp; Graydon, Vancouver.</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Solicitors for the intervener the Criminal Lawyers’ Association (Ontario): Stockwoods, Toronto.</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Solicitors for the intervener the Canadian Civil Liberties Association: Osler, Hoskin &amp; Harcourt, Toronto.</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Solicitors for the intervener the Law Society of British Columbia: McCarthy Tétrault, Vancouver.</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tab/>
        <w:t>Solicitors for the intervener the Canadian Bar Association: Lawson Lundell, Vancouver.</w:t>
      </w:r>
    </w:p>
    <w:p w:rsidR="009F498E" w:rsidRDefault="009F498E" w:rsidP="009F498E">
      <w:pPr>
        <w:pStyle w:val="SCCLawFirm"/>
        <w:spacing w:line="240" w:lineRule="auto"/>
        <w:rPr>
          <w:sz w:val="20"/>
        </w:rPr>
      </w:pPr>
    </w:p>
    <w:p w:rsidR="009F498E" w:rsidRPr="00CD11EF" w:rsidRDefault="009F498E" w:rsidP="009F498E">
      <w:pPr>
        <w:pStyle w:val="SCCLawFirm"/>
        <w:spacing w:line="240" w:lineRule="auto"/>
        <w:rPr>
          <w:sz w:val="20"/>
        </w:rPr>
      </w:pPr>
      <w:r w:rsidRPr="00CD11EF">
        <w:rPr>
          <w:sz w:val="20"/>
        </w:rPr>
        <w:lastRenderedPageBreak/>
        <w:tab/>
        <w:t>Solicitors for the intervener the Advocates’ Society: Stern Landesman Clark, Toronto; Paliare Roland Rosenberg Rothstein, Toronto.</w:t>
      </w:r>
    </w:p>
    <w:p w:rsidR="009F498E" w:rsidRDefault="009F498E" w:rsidP="009F498E">
      <w:pPr>
        <w:pStyle w:val="SCCLawFirm"/>
        <w:spacing w:line="240" w:lineRule="auto"/>
        <w:rPr>
          <w:sz w:val="20"/>
        </w:rPr>
      </w:pPr>
    </w:p>
    <w:p w:rsidR="009F498E" w:rsidRDefault="009F498E" w:rsidP="009F498E">
      <w:pPr>
        <w:pStyle w:val="SCCLawFirm"/>
        <w:spacing w:line="240" w:lineRule="auto"/>
        <w:rPr>
          <w:sz w:val="20"/>
          <w:lang w:val="fr-CA"/>
        </w:rPr>
      </w:pPr>
      <w:r w:rsidRPr="00CD11EF">
        <w:rPr>
          <w:sz w:val="20"/>
        </w:rPr>
        <w:tab/>
      </w:r>
      <w:r w:rsidRPr="00CD11EF">
        <w:rPr>
          <w:sz w:val="20"/>
          <w:lang w:val="fr-CA"/>
        </w:rPr>
        <w:t>Solicitors for the interveners Barreau du Québec and Chambre des notaires du Québec: Lavery, de Billy, Montréal.</w:t>
      </w:r>
    </w:p>
    <w:p w:rsidR="0052229C" w:rsidRPr="009F498E" w:rsidRDefault="0052229C" w:rsidP="0052229C">
      <w:pPr>
        <w:rPr>
          <w:rFonts w:cs="Times New Roman"/>
          <w:sz w:val="20"/>
          <w:szCs w:val="20"/>
          <w:lang w:val="fr-CA"/>
        </w:rPr>
      </w:pPr>
      <w:r w:rsidRPr="009F498E">
        <w:rPr>
          <w:rFonts w:cs="Times New Roman"/>
          <w:sz w:val="20"/>
          <w:szCs w:val="20"/>
          <w:lang w:val="fr-CA"/>
        </w:rPr>
        <w:t>________________________</w:t>
      </w:r>
    </w:p>
    <w:p w:rsidR="0052229C" w:rsidRPr="009F498E" w:rsidRDefault="0052229C" w:rsidP="0052229C">
      <w:pPr>
        <w:rPr>
          <w:rFonts w:cs="Times New Roman"/>
          <w:sz w:val="20"/>
          <w:szCs w:val="20"/>
          <w:lang w:val="fr-CA"/>
        </w:rPr>
      </w:pPr>
    </w:p>
    <w:p w:rsidR="009F498E" w:rsidRPr="00052486" w:rsidRDefault="009F498E" w:rsidP="009F498E">
      <w:pPr>
        <w:jc w:val="both"/>
        <w:rPr>
          <w:sz w:val="20"/>
          <w:szCs w:val="20"/>
          <w:lang w:val="fr-CA"/>
        </w:rPr>
      </w:pPr>
      <w:r w:rsidRPr="00052486">
        <w:rPr>
          <w:sz w:val="20"/>
          <w:szCs w:val="20"/>
          <w:lang w:val="fr-CA"/>
        </w:rPr>
        <w:t>Présents : La juge en chef McLachlin et les juges LeBel, Abella, Cromwell, Moldaver, Karakatsanis et Wagner.</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r>
      <w:r w:rsidRPr="00052486">
        <w:rPr>
          <w:i/>
          <w:sz w:val="20"/>
          <w:lang w:val="fr-CA"/>
        </w:rPr>
        <w:t>Droit constitutionnel — Charte des droits — Droit à la liberté — Justice fondamentale — Fouilles, perquisitions et saisies — Secret professionnel de l’avocat — Devoir de l’avocat de se dévouer à la cause du client — Les dispositions de la législation canadienne visant à lutter contre le recyclage des produits de la criminalité et le financement des activités terroristes</w:t>
      </w:r>
      <w:r w:rsidRPr="00052486">
        <w:rPr>
          <w:sz w:val="20"/>
          <w:lang w:val="fr-CA"/>
        </w:rPr>
        <w:t xml:space="preserve"> </w:t>
      </w:r>
      <w:r w:rsidRPr="00052486">
        <w:rPr>
          <w:i/>
          <w:sz w:val="20"/>
          <w:lang w:val="fr-CA"/>
        </w:rPr>
        <w:t>qui s’appliquent aux avocats portent</w:t>
      </w:r>
      <w:r w:rsidRPr="00052486">
        <w:rPr>
          <w:i/>
          <w:sz w:val="20"/>
          <w:lang w:val="fr-CA"/>
        </w:rPr>
        <w:noBreakHyphen/>
        <w:t xml:space="preserve">elles atteinte au droit à la protection contre les </w:t>
      </w:r>
      <w:r w:rsidRPr="00052486">
        <w:rPr>
          <w:rStyle w:val="complet"/>
          <w:i/>
          <w:sz w:val="20"/>
          <w:lang w:val="fr-CA"/>
        </w:rPr>
        <w:t>fouilles, les perquisitions et</w:t>
      </w:r>
      <w:r w:rsidRPr="00052486">
        <w:rPr>
          <w:rStyle w:val="complet"/>
          <w:sz w:val="20"/>
          <w:lang w:val="fr-CA"/>
        </w:rPr>
        <w:t xml:space="preserve"> </w:t>
      </w:r>
      <w:r w:rsidRPr="00052486">
        <w:rPr>
          <w:rStyle w:val="complet"/>
          <w:i/>
          <w:sz w:val="20"/>
          <w:lang w:val="fr-CA"/>
        </w:rPr>
        <w:t>les saisies abusives?</w:t>
      </w:r>
      <w:r w:rsidRPr="00052486">
        <w:rPr>
          <w:rStyle w:val="complet"/>
          <w:sz w:val="20"/>
          <w:lang w:val="fr-CA"/>
        </w:rPr>
        <w:t xml:space="preserve"> </w:t>
      </w:r>
      <w:r w:rsidRPr="00052486">
        <w:rPr>
          <w:i/>
          <w:sz w:val="20"/>
          <w:lang w:val="fr-CA"/>
        </w:rPr>
        <w:t>— La législation porte</w:t>
      </w:r>
      <w:r w:rsidRPr="00052486">
        <w:rPr>
          <w:i/>
          <w:sz w:val="20"/>
          <w:lang w:val="fr-CA"/>
        </w:rPr>
        <w:noBreakHyphen/>
        <w:t>t</w:t>
      </w:r>
      <w:r w:rsidRPr="00052486">
        <w:rPr>
          <w:i/>
          <w:sz w:val="20"/>
          <w:lang w:val="fr-CA"/>
        </w:rPr>
        <w:noBreakHyphen/>
        <w:t>elle atteinte au droit de ne pas être privé de sa liberté, sauf en conformité avec les principes de justice fondamentale? — Dans l’affirmative, les atteintes sont</w:t>
      </w:r>
      <w:r w:rsidRPr="00052486">
        <w:rPr>
          <w:i/>
          <w:sz w:val="20"/>
          <w:lang w:val="fr-CA"/>
        </w:rPr>
        <w:noBreakHyphen/>
        <w:t>elles justifiables? — Charte canadienne des droits et libertés, art. 1, 7, 8 — Loi sur le recyclage des produits de la criminalité et le financement des activités terroristes</w:t>
      </w:r>
      <w:r w:rsidRPr="00052486">
        <w:rPr>
          <w:sz w:val="20"/>
          <w:lang w:val="fr-CA"/>
        </w:rPr>
        <w:t xml:space="preserve">, </w:t>
      </w:r>
      <w:r w:rsidRPr="00052486">
        <w:rPr>
          <w:i/>
          <w:sz w:val="20"/>
          <w:lang w:val="fr-CA"/>
        </w:rPr>
        <w:t>L.C. 2000, c. 17, art. 5i), 5j), 62, 63, 63.1, 64 — Règlement sur le recyclage des produits de la criminalité et le financement des activités terroristes, DORS/2002</w:t>
      </w:r>
      <w:r w:rsidRPr="00052486">
        <w:rPr>
          <w:i/>
          <w:sz w:val="20"/>
          <w:lang w:val="fr-CA"/>
        </w:rPr>
        <w:noBreakHyphen/>
        <w:t>184</w:t>
      </w:r>
      <w:r w:rsidRPr="00052486">
        <w:rPr>
          <w:sz w:val="20"/>
          <w:lang w:val="fr-CA"/>
        </w:rPr>
        <w:t xml:space="preserve">, </w:t>
      </w:r>
      <w:r w:rsidRPr="00052486">
        <w:rPr>
          <w:i/>
          <w:sz w:val="20"/>
          <w:lang w:val="fr-CA"/>
        </w:rPr>
        <w:t>art. 11.1, 33.3, 33.4, 33.5, 59.4.</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 xml:space="preserve">Pour réduire le risque que les intermédiaires financiers facilitent le recyclage des produits de la criminalité ou le financement des activités terroristes, la </w:t>
      </w:r>
      <w:r w:rsidRPr="00052486">
        <w:rPr>
          <w:i/>
          <w:sz w:val="20"/>
          <w:lang w:val="fr-CA"/>
        </w:rPr>
        <w:t>Loi sur le recyclage des produits de la criminalité et le financement des activités terroristes</w:t>
      </w:r>
      <w:r w:rsidRPr="00052486">
        <w:rPr>
          <w:sz w:val="20"/>
          <w:lang w:val="fr-CA"/>
        </w:rPr>
        <w:t xml:space="preserve">, L.C. 2000, c. 17, et le </w:t>
      </w:r>
      <w:r w:rsidRPr="00052486">
        <w:rPr>
          <w:i/>
          <w:sz w:val="20"/>
          <w:lang w:val="fr-CA"/>
        </w:rPr>
        <w:t>Règlement sur le recyclage des produits de la criminalité et le financement des activités terroristes</w:t>
      </w:r>
      <w:r w:rsidRPr="00052486">
        <w:rPr>
          <w:sz w:val="20"/>
          <w:lang w:val="fr-CA"/>
        </w:rPr>
        <w:t>, DORS/2002</w:t>
      </w:r>
      <w:r w:rsidRPr="00052486">
        <w:rPr>
          <w:sz w:val="20"/>
          <w:lang w:val="fr-CA"/>
        </w:rPr>
        <w:noBreakHyphen/>
        <w:t xml:space="preserve">184, imposent des obligations aux intermédiaires financiers, notamment aux avocats et aux notaires du Québec et aux avocats de toutes les autres provinces. Selon la législation, les intermédiaires financiers doivent recueillir et conserver des documents et des renseignements afin de vérifier l’identité des personnes pour le compte desquelles ils paient ou reçoivent de l’argent. La législation constitue un organisme chargé de contrôler le respect de la </w:t>
      </w:r>
      <w:r w:rsidRPr="00052486">
        <w:rPr>
          <w:i/>
          <w:iCs/>
          <w:sz w:val="20"/>
          <w:lang w:val="fr-CA"/>
        </w:rPr>
        <w:t>Loi</w:t>
      </w:r>
      <w:r w:rsidRPr="00052486">
        <w:rPr>
          <w:sz w:val="20"/>
          <w:lang w:val="fr-CA"/>
        </w:rPr>
        <w:t>, en l’occurrence le Centre d’analyse des opérations et déclarations financières du Canada, et lui permet de chercher ces documents et de les saisir. Elle impose des amendes et des sanctions pénales en cas de non</w:t>
      </w:r>
      <w:r w:rsidRPr="00052486">
        <w:rPr>
          <w:sz w:val="20"/>
          <w:lang w:val="fr-CA"/>
        </w:rPr>
        <w:noBreakHyphen/>
        <w:t>respect de la loi. Les alinéas 5</w:t>
      </w:r>
      <w:r w:rsidRPr="00052486">
        <w:rPr>
          <w:i/>
          <w:sz w:val="20"/>
          <w:lang w:val="fr-CA"/>
        </w:rPr>
        <w:t>i</w:t>
      </w:r>
      <w:r w:rsidRPr="00052486">
        <w:rPr>
          <w:sz w:val="20"/>
          <w:lang w:val="fr-CA"/>
        </w:rPr>
        <w:t>) et 5</w:t>
      </w:r>
      <w:r w:rsidRPr="00052486">
        <w:rPr>
          <w:i/>
          <w:sz w:val="20"/>
          <w:lang w:val="fr-CA"/>
        </w:rPr>
        <w:t>j</w:t>
      </w:r>
      <w:r w:rsidRPr="00052486">
        <w:rPr>
          <w:sz w:val="20"/>
          <w:lang w:val="fr-CA"/>
        </w:rPr>
        <w:t xml:space="preserve">) soumettent les professions mentionnées dans le </w:t>
      </w:r>
      <w:r w:rsidRPr="00052486">
        <w:rPr>
          <w:i/>
          <w:iCs/>
          <w:sz w:val="20"/>
          <w:lang w:val="fr-CA"/>
        </w:rPr>
        <w:t>Règlement</w:t>
      </w:r>
      <w:r w:rsidRPr="00052486">
        <w:rPr>
          <w:sz w:val="20"/>
          <w:lang w:val="fr-CA"/>
        </w:rPr>
        <w:t xml:space="preserve"> aux obligations de tenue de documents et de vérification. L’article 33.3 du </w:t>
      </w:r>
      <w:r w:rsidRPr="00052486">
        <w:rPr>
          <w:i/>
          <w:sz w:val="20"/>
          <w:lang w:val="fr-CA"/>
        </w:rPr>
        <w:t>Règlement</w:t>
      </w:r>
      <w:r w:rsidRPr="00052486">
        <w:rPr>
          <w:sz w:val="20"/>
          <w:lang w:val="fr-CA"/>
        </w:rPr>
        <w:t xml:space="preserve"> assujettit les conseillers juridiques à la </w:t>
      </w:r>
      <w:r w:rsidRPr="00052486">
        <w:rPr>
          <w:i/>
          <w:iCs/>
          <w:sz w:val="20"/>
          <w:lang w:val="fr-CA"/>
        </w:rPr>
        <w:t xml:space="preserve">Loi </w:t>
      </w:r>
      <w:r w:rsidRPr="00052486">
        <w:rPr>
          <w:sz w:val="20"/>
          <w:lang w:val="fr-CA"/>
        </w:rPr>
        <w:t xml:space="preserve">lorsqu’ils reçoivent ou paient des fonds ou donnent des instructions pour le paiement de fonds (autres que ceux reçus ou payés à titre d’honoraires, de débours, de dépenses ou de cautionnement ou lorsque le conseiller juridique exerce une de ces activités pour le compte de son employeur). Les articles 33.4 et 33.5 du </w:t>
      </w:r>
      <w:r w:rsidRPr="00052486">
        <w:rPr>
          <w:i/>
          <w:sz w:val="20"/>
          <w:lang w:val="fr-CA"/>
        </w:rPr>
        <w:t>Règlement</w:t>
      </w:r>
      <w:r w:rsidRPr="00052486">
        <w:rPr>
          <w:sz w:val="20"/>
          <w:lang w:val="fr-CA"/>
        </w:rPr>
        <w:t xml:space="preserve"> imposent des obligations en matière de tenue de documents. L’article 59.4 du </w:t>
      </w:r>
      <w:r w:rsidRPr="00052486">
        <w:rPr>
          <w:i/>
          <w:sz w:val="20"/>
          <w:lang w:val="fr-CA"/>
        </w:rPr>
        <w:t xml:space="preserve">Règlement </w:t>
      </w:r>
      <w:r w:rsidRPr="00052486">
        <w:rPr>
          <w:sz w:val="20"/>
          <w:lang w:val="fr-CA"/>
        </w:rPr>
        <w:t xml:space="preserve">impose des obligations d’identification. L’article 11.1 du </w:t>
      </w:r>
      <w:r w:rsidRPr="00052486">
        <w:rPr>
          <w:i/>
          <w:sz w:val="20"/>
          <w:lang w:val="fr-CA"/>
        </w:rPr>
        <w:t xml:space="preserve">Règlement </w:t>
      </w:r>
      <w:r w:rsidRPr="00052486">
        <w:rPr>
          <w:sz w:val="20"/>
          <w:lang w:val="fr-CA"/>
        </w:rPr>
        <w:t xml:space="preserve">énumère les renseignements qui doivent être recueillis et conservés au cours de la vérification de l’identité. Les articles 62, 63 et 63.1 de la </w:t>
      </w:r>
      <w:r w:rsidRPr="00052486">
        <w:rPr>
          <w:i/>
          <w:sz w:val="20"/>
          <w:lang w:val="fr-CA"/>
        </w:rPr>
        <w:t>Loi</w:t>
      </w:r>
      <w:r w:rsidRPr="00052486">
        <w:rPr>
          <w:sz w:val="20"/>
          <w:lang w:val="fr-CA"/>
        </w:rPr>
        <w:t xml:space="preserve"> confèrent des pouvoirs de fouille, de perquisition et de saisie. L’article 64, quant à lui, prévoit certaines restrictions à ces pouvoirs dans le cas de documents à l’égard desquels le secret professionnel de l’avocat est revendiqué.</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i/>
          <w:sz w:val="20"/>
          <w:lang w:val="fr-CA"/>
        </w:rPr>
      </w:pPr>
      <w:r w:rsidRPr="00052486">
        <w:rPr>
          <w:sz w:val="20"/>
          <w:lang w:val="fr-CA"/>
        </w:rPr>
        <w:tab/>
        <w:t>La Fédération des ordres professionnels de juristes a attaqué la constitutionnalité des dispositions de la législation qui s’appliquent aux avocats. La juge de première instance de la Cour suprême de la Colombie</w:t>
      </w:r>
      <w:r w:rsidRPr="00052486">
        <w:rPr>
          <w:sz w:val="20"/>
          <w:lang w:val="fr-CA"/>
        </w:rPr>
        <w:noBreakHyphen/>
        <w:t xml:space="preserve">Britannique a conclu que les dispositions contestées violent l’art. 7 de la </w:t>
      </w:r>
      <w:r w:rsidRPr="00052486">
        <w:rPr>
          <w:i/>
          <w:sz w:val="20"/>
          <w:lang w:val="fr-CA"/>
        </w:rPr>
        <w:t>Charte</w:t>
      </w:r>
      <w:r w:rsidRPr="00052486">
        <w:rPr>
          <w:sz w:val="20"/>
          <w:lang w:val="fr-CA"/>
        </w:rPr>
        <w:t xml:space="preserve"> et que cette violation n’est pas sauvegardée par l’article premier de la </w:t>
      </w:r>
      <w:r w:rsidRPr="00052486">
        <w:rPr>
          <w:i/>
          <w:sz w:val="20"/>
          <w:lang w:val="fr-CA"/>
        </w:rPr>
        <w:t>Charte</w:t>
      </w:r>
      <w:r w:rsidRPr="00052486">
        <w:rPr>
          <w:sz w:val="20"/>
          <w:lang w:val="fr-CA"/>
        </w:rPr>
        <w:t xml:space="preserve">. Elle n’a pas décidé si les dispositions contreviennent à l’art. 8 de la </w:t>
      </w:r>
      <w:r w:rsidRPr="00052486">
        <w:rPr>
          <w:i/>
          <w:sz w:val="20"/>
          <w:lang w:val="fr-CA"/>
        </w:rPr>
        <w:t>Charte</w:t>
      </w:r>
      <w:r w:rsidRPr="00052486">
        <w:rPr>
          <w:sz w:val="20"/>
          <w:lang w:val="fr-CA"/>
        </w:rPr>
        <w:t>. Elle a donné une interprétation atténuée des al. 5</w:t>
      </w:r>
      <w:r w:rsidRPr="00052486">
        <w:rPr>
          <w:i/>
          <w:sz w:val="20"/>
          <w:lang w:val="fr-CA"/>
        </w:rPr>
        <w:t>i</w:t>
      </w:r>
      <w:r w:rsidRPr="00052486">
        <w:rPr>
          <w:sz w:val="20"/>
          <w:lang w:val="fr-CA"/>
        </w:rPr>
        <w:t>) et 5</w:t>
      </w:r>
      <w:r w:rsidRPr="00052486">
        <w:rPr>
          <w:i/>
          <w:sz w:val="20"/>
          <w:lang w:val="fr-CA"/>
        </w:rPr>
        <w:t>j</w:t>
      </w:r>
      <w:r w:rsidRPr="00052486">
        <w:rPr>
          <w:sz w:val="20"/>
          <w:lang w:val="fr-CA"/>
        </w:rPr>
        <w:t xml:space="preserve">) et des art. 62, 63 et 63.1 de la </w:t>
      </w:r>
      <w:r w:rsidRPr="00052486">
        <w:rPr>
          <w:i/>
          <w:iCs/>
          <w:sz w:val="20"/>
          <w:lang w:val="fr-CA"/>
        </w:rPr>
        <w:t>Loi</w:t>
      </w:r>
      <w:r w:rsidRPr="00052486">
        <w:rPr>
          <w:sz w:val="20"/>
          <w:lang w:val="fr-CA"/>
        </w:rPr>
        <w:t xml:space="preserve"> ainsi que de l’art. 11.1 du </w:t>
      </w:r>
      <w:r w:rsidRPr="00052486">
        <w:rPr>
          <w:i/>
          <w:iCs/>
          <w:sz w:val="20"/>
          <w:lang w:val="fr-CA"/>
        </w:rPr>
        <w:t>Règlement</w:t>
      </w:r>
      <w:r w:rsidRPr="00052486">
        <w:rPr>
          <w:sz w:val="20"/>
          <w:lang w:val="fr-CA"/>
        </w:rPr>
        <w:t xml:space="preserve"> pour exclure les conseillers juridiques et les cabinets d’avocats. Elle a invalidé l’art. 64 de la </w:t>
      </w:r>
      <w:r w:rsidRPr="00052486">
        <w:rPr>
          <w:i/>
          <w:iCs/>
          <w:sz w:val="20"/>
          <w:lang w:val="fr-CA"/>
        </w:rPr>
        <w:t>Loi</w:t>
      </w:r>
      <w:r w:rsidRPr="00052486">
        <w:rPr>
          <w:sz w:val="20"/>
          <w:lang w:val="fr-CA"/>
        </w:rPr>
        <w:t xml:space="preserve"> de même que les art. 33.3, 33.4, 33.5 et 59.4 du </w:t>
      </w:r>
      <w:r w:rsidRPr="00052486">
        <w:rPr>
          <w:i/>
          <w:iCs/>
          <w:sz w:val="20"/>
          <w:lang w:val="fr-CA"/>
        </w:rPr>
        <w:t>Règlement</w:t>
      </w:r>
      <w:r w:rsidRPr="00052486">
        <w:rPr>
          <w:sz w:val="20"/>
          <w:lang w:val="fr-CA"/>
        </w:rPr>
        <w:t>. La Cour d’appel de la Colombie</w:t>
      </w:r>
      <w:r w:rsidRPr="00052486">
        <w:rPr>
          <w:sz w:val="20"/>
          <w:lang w:val="fr-CA"/>
        </w:rPr>
        <w:noBreakHyphen/>
        <w:t xml:space="preserve">Britannique a rejeté l’appel.  </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r>
      <w:r w:rsidRPr="00052486">
        <w:rPr>
          <w:i/>
          <w:sz w:val="20"/>
          <w:lang w:val="fr-CA"/>
        </w:rPr>
        <w:t>Arrêt</w:t>
      </w:r>
      <w:r w:rsidRPr="00052486">
        <w:rPr>
          <w:sz w:val="20"/>
          <w:lang w:val="fr-CA"/>
        </w:rPr>
        <w:t> : Le pourvoi est accueilli en partie. Est annulée la partie de l’ordonnance où la juge de première instance déclare les al. 5</w:t>
      </w:r>
      <w:r w:rsidRPr="00052486">
        <w:rPr>
          <w:i/>
          <w:iCs/>
          <w:sz w:val="20"/>
          <w:lang w:val="fr-CA"/>
        </w:rPr>
        <w:t>i</w:t>
      </w:r>
      <w:r w:rsidRPr="00052486">
        <w:rPr>
          <w:sz w:val="20"/>
          <w:lang w:val="fr-CA"/>
        </w:rPr>
        <w:t>) et 5</w:t>
      </w:r>
      <w:r w:rsidRPr="00052486">
        <w:rPr>
          <w:i/>
          <w:iCs/>
          <w:sz w:val="20"/>
          <w:lang w:val="fr-CA"/>
        </w:rPr>
        <w:t>j</w:t>
      </w:r>
      <w:r w:rsidRPr="00052486">
        <w:rPr>
          <w:sz w:val="20"/>
          <w:lang w:val="fr-CA"/>
        </w:rPr>
        <w:t xml:space="preserve">) de la </w:t>
      </w:r>
      <w:r w:rsidRPr="00052486">
        <w:rPr>
          <w:i/>
          <w:iCs/>
          <w:sz w:val="20"/>
          <w:lang w:val="fr-CA"/>
        </w:rPr>
        <w:t xml:space="preserve">Loi </w:t>
      </w:r>
      <w:r w:rsidRPr="00052486">
        <w:rPr>
          <w:sz w:val="20"/>
          <w:lang w:val="fr-CA"/>
        </w:rPr>
        <w:t>incompatibles avec la Constitution du Canada et inopérants dans la mesure où les « personnes et les entités » mentionnées à ces alinéas comprennent les conseillers juridiques et les cabinets d’avocats. Les alinéas 5</w:t>
      </w:r>
      <w:r w:rsidRPr="00052486">
        <w:rPr>
          <w:i/>
          <w:iCs/>
          <w:sz w:val="20"/>
          <w:lang w:val="fr-CA"/>
        </w:rPr>
        <w:t>i</w:t>
      </w:r>
      <w:r w:rsidRPr="00052486">
        <w:rPr>
          <w:sz w:val="20"/>
          <w:lang w:val="fr-CA"/>
        </w:rPr>
        <w:t>) et 5</w:t>
      </w:r>
      <w:r w:rsidRPr="00052486">
        <w:rPr>
          <w:i/>
          <w:iCs/>
          <w:sz w:val="20"/>
          <w:lang w:val="fr-CA"/>
        </w:rPr>
        <w:t>j</w:t>
      </w:r>
      <w:r w:rsidRPr="00052486">
        <w:rPr>
          <w:sz w:val="20"/>
          <w:lang w:val="fr-CA"/>
        </w:rPr>
        <w:t xml:space="preserve">) sont supprimés de la partie de l’ordonnance donnant à ces alinéas de même qu’aux art. 62, 63 et 63.1 de la </w:t>
      </w:r>
      <w:r w:rsidRPr="00052486">
        <w:rPr>
          <w:i/>
          <w:sz w:val="20"/>
          <w:lang w:val="fr-CA"/>
        </w:rPr>
        <w:t>Loi</w:t>
      </w:r>
      <w:r w:rsidRPr="00052486">
        <w:rPr>
          <w:sz w:val="20"/>
          <w:lang w:val="fr-CA"/>
        </w:rPr>
        <w:t xml:space="preserve"> une interprétation atténuée pour soustraire à leur application les conseillers juridiques et les cabinets d’avocats. Pour le reste, le pourvoi est rejeté. </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lastRenderedPageBreak/>
        <w:tab/>
        <w:t xml:space="preserve">Les </w:t>
      </w:r>
      <w:r w:rsidRPr="00052486">
        <w:rPr>
          <w:sz w:val="20"/>
          <w:lang w:val="fr-CA"/>
        </w:rPr>
        <w:t>juges LeBel, Abella,</w:t>
      </w:r>
      <w:r w:rsidRPr="00052486">
        <w:rPr>
          <w:b/>
          <w:sz w:val="20"/>
          <w:lang w:val="fr-CA"/>
        </w:rPr>
        <w:t xml:space="preserve"> Cromwell</w:t>
      </w:r>
      <w:r w:rsidRPr="00052486">
        <w:rPr>
          <w:sz w:val="20"/>
          <w:lang w:val="fr-CA"/>
        </w:rPr>
        <w:t>, Karakatsanis et Wagner : Les alinéas 5</w:t>
      </w:r>
      <w:r w:rsidRPr="00052486">
        <w:rPr>
          <w:i/>
          <w:iCs/>
          <w:sz w:val="20"/>
          <w:lang w:val="fr-CA"/>
        </w:rPr>
        <w:t>i</w:t>
      </w:r>
      <w:r w:rsidRPr="00052486">
        <w:rPr>
          <w:sz w:val="20"/>
          <w:lang w:val="fr-CA"/>
        </w:rPr>
        <w:t>) et 5</w:t>
      </w:r>
      <w:r w:rsidRPr="00052486">
        <w:rPr>
          <w:i/>
          <w:iCs/>
          <w:sz w:val="20"/>
          <w:lang w:val="fr-CA"/>
        </w:rPr>
        <w:t>j</w:t>
      </w:r>
      <w:r w:rsidRPr="00052486">
        <w:rPr>
          <w:sz w:val="20"/>
          <w:lang w:val="fr-CA"/>
        </w:rPr>
        <w:t xml:space="preserve">) de la </w:t>
      </w:r>
      <w:r w:rsidRPr="00052486">
        <w:rPr>
          <w:i/>
          <w:iCs/>
          <w:sz w:val="20"/>
          <w:lang w:val="fr-CA"/>
        </w:rPr>
        <w:t xml:space="preserve">Loi </w:t>
      </w:r>
      <w:r w:rsidRPr="00052486">
        <w:rPr>
          <w:iCs/>
          <w:sz w:val="20"/>
          <w:lang w:val="fr-CA"/>
        </w:rPr>
        <w:t xml:space="preserve">ne font qu’autoriser la prise de règlements </w:t>
      </w:r>
      <w:r w:rsidRPr="00052486">
        <w:rPr>
          <w:sz w:val="20"/>
          <w:lang w:val="fr-CA"/>
        </w:rPr>
        <w:t xml:space="preserve">et ne violent pas à eux seuls la </w:t>
      </w:r>
      <w:r w:rsidRPr="00052486">
        <w:rPr>
          <w:i/>
          <w:iCs/>
          <w:sz w:val="20"/>
          <w:lang w:val="fr-CA"/>
        </w:rPr>
        <w:t>Charte</w:t>
      </w:r>
      <w:r w:rsidRPr="00052486">
        <w:rPr>
          <w:sz w:val="20"/>
          <w:lang w:val="fr-CA"/>
        </w:rPr>
        <w:t>.</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 xml:space="preserve">Les articles 62, 63 et 63.1 de la </w:t>
      </w:r>
      <w:r w:rsidRPr="00052486">
        <w:rPr>
          <w:i/>
          <w:sz w:val="20"/>
          <w:lang w:val="fr-CA"/>
        </w:rPr>
        <w:t>Loi</w:t>
      </w:r>
      <w:r w:rsidRPr="00052486">
        <w:rPr>
          <w:sz w:val="20"/>
          <w:lang w:val="fr-CA"/>
        </w:rPr>
        <w:t xml:space="preserve">, dans la mesure où ils s’appliquent aux documents en la possession d’un conseiller juridique ou d’un cabinet d’avocats, et l’art. 64 de la </w:t>
      </w:r>
      <w:r w:rsidRPr="00052486">
        <w:rPr>
          <w:i/>
          <w:sz w:val="20"/>
          <w:lang w:val="fr-CA"/>
        </w:rPr>
        <w:t xml:space="preserve">Loi </w:t>
      </w:r>
      <w:r w:rsidRPr="00052486">
        <w:rPr>
          <w:sz w:val="20"/>
          <w:lang w:val="fr-CA"/>
        </w:rPr>
        <w:t xml:space="preserve">contreviennent à l’art. 8 de la </w:t>
      </w:r>
      <w:r w:rsidRPr="00052486">
        <w:rPr>
          <w:i/>
          <w:sz w:val="20"/>
          <w:lang w:val="fr-CA"/>
        </w:rPr>
        <w:t>Charte</w:t>
      </w:r>
      <w:r w:rsidRPr="00052486">
        <w:rPr>
          <w:sz w:val="20"/>
          <w:lang w:val="fr-CA"/>
        </w:rPr>
        <w:t>. Ces dispositions ont un caractère principalement pénal plutôt qu’administratif. Elles aident à détecter et à décourager les infractions criminelles et facilitent les enquêtes et les poursuites relatives à ces infractions. Des sanctions pénales sont imposées en cas de non</w:t>
      </w:r>
      <w:r w:rsidRPr="00052486">
        <w:rPr>
          <w:sz w:val="20"/>
          <w:lang w:val="fr-CA"/>
        </w:rPr>
        <w:noBreakHyphen/>
        <w:t xml:space="preserve">respect de la loi. Ces dispositions autorisent une perquisition approfondie du cabinet d’avocats qui risque, de par sa nature, de violer le secret professionnel de l’avocat. L’attente à l’égard de la confidentialité des communications protégées par le secret professionnel de l’avocat est invariablement élevée, peu importe le contexte, et aucun élément du contexte réglementaire de la </w:t>
      </w:r>
      <w:r w:rsidRPr="00052486">
        <w:rPr>
          <w:i/>
          <w:sz w:val="20"/>
          <w:lang w:val="fr-CA"/>
        </w:rPr>
        <w:t>Loi</w:t>
      </w:r>
      <w:r w:rsidRPr="00052486">
        <w:rPr>
          <w:sz w:val="20"/>
          <w:lang w:val="fr-CA"/>
        </w:rPr>
        <w:t xml:space="preserve"> ni le fait qu’un organisme de réglementation procède aux perquisitions n’a pour effet de diminuer cette attente. Les principes en matière de perquisition d’un cabinet d’avocats qui sont énoncés dans </w:t>
      </w:r>
      <w:r w:rsidRPr="00052486">
        <w:rPr>
          <w:i/>
          <w:sz w:val="20"/>
          <w:lang w:val="fr-CA"/>
        </w:rPr>
        <w:t>Lavallee, Rackel &amp; Heintz c. Canada (Procureur général)</w:t>
      </w:r>
      <w:r w:rsidRPr="00052486">
        <w:rPr>
          <w:sz w:val="20"/>
          <w:lang w:val="fr-CA"/>
        </w:rPr>
        <w:t xml:space="preserve">, 2002 CSC 61, [2002] 3 R.C.S. 209, s’appliquent et les dispositions en cause ne respectent pas ces normes. Le secret professionnel de l’avocat doit demeurer aussi absolu que possible. Il doit exister une norme rigoureuse pour assurer sa protection et les dispositions législatives ne doivent pas porter atteinte au secret professionnel plus que ce qui est absolument nécessaire. Ces dispositions déplacent à tort aux avocats le fardeau de protéger le privilège. Rien n’exige qu’un avis soit donné au client et il est possible que le client ne sache même pas que son privilège est menacé. Aucun protocole n’est prévu pour permettre une intervention légale indépendante lorsqu’il est impossible d’aviser le client. Le juge n’a pas le pouvoir discrétionnaire d’apprécier de son propre chef le secret professionnel revendiqué. Rien n’exige qu’on obtienne une autorisation judiciaire avant de perquisitionner, sauf si la perquisition a lieu dans un cabinet à domicile. Les perquisitions ne sont pas subordonnées à la preuve qu’il n’existe aucune solution de rechange raisonnable. Les dispositions autorisent les perquisitions sans mandat, qui sont présumée abusives. L’examen et la reproduction des documents se poursuivent jusqu’à ce que le secret professionnel soit invoqué, ce qui augmente considérablement le risque que le secret professionnel soit violé. Pour revendiquer le secret professionnel, il faut révéler les nom et adresse du client même s’il se peut que ces renseignements soient protégés par le secret professionnel. Les pouvoirs de perquisition et de fouille qui sont prévus aux art. 62, 63 et 63.1 et qui sont exercés à l’endroit des avocats, conjugués à la protection insuffisante que l’art. 64 accorde au secret professionnel de l’avocat, constituent une restriction considérable du droit d’être protégé </w:t>
      </w:r>
      <w:r w:rsidRPr="00052486">
        <w:rPr>
          <w:rStyle w:val="complet"/>
          <w:sz w:val="20"/>
          <w:lang w:val="fr-CA"/>
        </w:rPr>
        <w:t xml:space="preserve">contre les fouilles, les perquisitions et les saisies abusives. </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L</w:t>
      </w:r>
      <w:r w:rsidRPr="00052486">
        <w:rPr>
          <w:sz w:val="20"/>
          <w:lang w:val="fr-CA" w:eastAsia="fr-CA"/>
        </w:rPr>
        <w:t xml:space="preserve">’article 11.1 du </w:t>
      </w:r>
      <w:r w:rsidRPr="00052486">
        <w:rPr>
          <w:i/>
          <w:iCs/>
          <w:sz w:val="20"/>
          <w:lang w:val="fr-CA" w:eastAsia="fr-CA"/>
        </w:rPr>
        <w:t>Règlement</w:t>
      </w:r>
      <w:r w:rsidRPr="00052486">
        <w:rPr>
          <w:sz w:val="20"/>
          <w:lang w:val="fr-CA" w:eastAsia="fr-CA"/>
        </w:rPr>
        <w:t xml:space="preserve">, dans la mesure où il s’applique aux conseillers juridiques et aux cabinets d’avocats, ainsi que les autres dispositions du </w:t>
      </w:r>
      <w:r w:rsidRPr="00052486">
        <w:rPr>
          <w:i/>
          <w:sz w:val="20"/>
          <w:lang w:val="fr-CA" w:eastAsia="fr-CA"/>
        </w:rPr>
        <w:t>Règlement</w:t>
      </w:r>
      <w:r w:rsidRPr="00052486">
        <w:rPr>
          <w:sz w:val="20"/>
          <w:lang w:val="fr-CA" w:eastAsia="fr-CA"/>
        </w:rPr>
        <w:t xml:space="preserve"> en litige dans le présent pourvoi violent l’art. 7 de la </w:t>
      </w:r>
      <w:r w:rsidRPr="00052486">
        <w:rPr>
          <w:i/>
          <w:sz w:val="20"/>
          <w:lang w:val="fr-CA"/>
        </w:rPr>
        <w:t>Charte</w:t>
      </w:r>
      <w:r w:rsidRPr="00052486">
        <w:rPr>
          <w:sz w:val="20"/>
          <w:lang w:val="fr-CA"/>
        </w:rPr>
        <w:t xml:space="preserve">. Il y a atteinte au droit à la liberté de l’avocat parce que ce dernier s’expose à l’emprisonnement s’il ne se conforme pas aux exigences de la </w:t>
      </w:r>
      <w:r w:rsidRPr="00052486">
        <w:rPr>
          <w:i/>
          <w:sz w:val="20"/>
          <w:lang w:val="fr-CA"/>
        </w:rPr>
        <w:t>Loi</w:t>
      </w:r>
      <w:r w:rsidRPr="00052486">
        <w:rPr>
          <w:sz w:val="20"/>
          <w:lang w:val="fr-CA"/>
        </w:rPr>
        <w:t xml:space="preserve"> et du </w:t>
      </w:r>
      <w:r w:rsidRPr="00052486">
        <w:rPr>
          <w:i/>
          <w:sz w:val="20"/>
          <w:lang w:val="fr-CA"/>
        </w:rPr>
        <w:t>Règlement</w:t>
      </w:r>
      <w:r w:rsidRPr="00052486">
        <w:rPr>
          <w:sz w:val="20"/>
          <w:lang w:val="fr-CA"/>
        </w:rPr>
        <w:t xml:space="preserve">. Point n’est besoin de décider s’il y a atteinte au droit à la liberté des clients. </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 xml:space="preserve">L’impossibilité pour l’État d’imposer aux avocats des obligations qui minent leur devoir de se dévouer à la cause de leurs clients devrait être reconnue comme principe de justice fondamentale. </w:t>
      </w:r>
      <w:r w:rsidRPr="00052486">
        <w:rPr>
          <w:sz w:val="20"/>
          <w:lang w:val="fr-CA" w:eastAsia="fr-CA"/>
        </w:rPr>
        <w:t xml:space="preserve">Le principe de justice fondamentale présente trois caractéristiques. Il doit s’agir d’un principe juridique à l’égard duquel il existe un consensus substantiel dans la société sur le fait que ce principe est essentiel au bon fonctionnement du système de justice, et ce principe doit être suffisamment précis pour constituer une norme fonctionnelle permettant d’évaluer l’atteinte à la vie, à la liberté ou à la sécurité de la personne. Le devoir de l’avocat de se dévouer à la cause du client satisfait à ce critère. Premièrement, c’est un principe juridique normatif et un précepte fondamental de notre système juridique. Il a été </w:t>
      </w:r>
      <w:r w:rsidRPr="00052486">
        <w:rPr>
          <w:sz w:val="20"/>
          <w:lang w:val="fr-CA"/>
        </w:rPr>
        <w:t xml:space="preserve">reconnu comme un élément distinct du devoir général de loyauté incombant à l’avocat en common law. Deuxièmement, la jurisprudence démontre que ce principe est assez précis pour constituer une norme pratique. Il ne permet pas à l’avocat de participer à des activités illégales ou de les faciliter et il s’accorde parfaitement avec la prise, par l’avocat, des mesures qui s’imposent pour éviter que ses services soient utilisés à des fins illégitimes. Troisièmement, une preuve abondante établit l’existence d’un vaste et solide consensus au sujet de l’importance fondamentale, dans les États démocratiques, d’empêcher que l’État nuise au dévouement de l’avocat à la cause de son client. Ce devoir est un aspect fondamental de la relation avocat-client et de l’interaction entre l’État et le citoyen dans des dossiers juridiques. Le devoir de l’avocat de se dévouer à la cause du client est nécessaire pour préserver la confiance dans l’intégrité de l’administration de la justice. </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 xml:space="preserve">L’État ne peut, sous réserve d’une justification, imposer aux avocats des obligations qui entravent leur respect de ce devoir, soit dans les faits, soit aux yeux d’une personne raisonnable. La profession juridique a établi des normes de pratique plus restreintes relativement aux thèmes visés par la </w:t>
      </w:r>
      <w:r w:rsidRPr="00052486">
        <w:rPr>
          <w:i/>
          <w:sz w:val="20"/>
          <w:lang w:val="fr-CA"/>
        </w:rPr>
        <w:t xml:space="preserve">Loi </w:t>
      </w:r>
      <w:r w:rsidRPr="00052486">
        <w:rPr>
          <w:sz w:val="20"/>
          <w:lang w:val="fr-CA"/>
        </w:rPr>
        <w:t xml:space="preserve">et le </w:t>
      </w:r>
      <w:r w:rsidRPr="00052486">
        <w:rPr>
          <w:i/>
          <w:sz w:val="20"/>
          <w:lang w:val="fr-CA"/>
        </w:rPr>
        <w:t>Règlement</w:t>
      </w:r>
      <w:r w:rsidRPr="00052486">
        <w:rPr>
          <w:sz w:val="20"/>
          <w:lang w:val="fr-CA"/>
        </w:rPr>
        <w:t xml:space="preserve">. Ces normes ne sauraient fixer les </w:t>
      </w:r>
      <w:r w:rsidRPr="00052486">
        <w:rPr>
          <w:sz w:val="20"/>
          <w:lang w:val="fr-CA"/>
        </w:rPr>
        <w:lastRenderedPageBreak/>
        <w:t xml:space="preserve">paramètres constitutionnels d’une loi, mais elles témoignent d’un solide consensus au sein de la profession en ce qui a trait aux normes déontologiques que commandent ces enjeux. Vue sous cet angle, la législation oblige les avocats à recueillir et à conserver beaucoup plus de renseignements que ce que la profession estime nécessaire pour la représentation éthique et efficace du client. Ce fait, conjugué à la protection insuffisante du secret professionnel de l’avocat, mine la capacité de ce dernier à respecter son devoir de se dévouer à la cause du client. L’avocat est tenu de créer et de conserver des documents qui ne sont pas nécessaires à une représentation éthique et efficace tout en sachant que les renseignements visés par son secret professionnel qui figurent dans ces documents ne bénéficient pas d’une protection convenable contre les perquisitions et saisies autorisées par la législation. La personne raisonnable et bien informée examinant la question en profondeur estimerait que ces dispositions sont incompatibles avec le devoir de l’avocat de se dévouer à la cause du client. Pris dans son ensemble, le régime restreint la liberté des avocats d’une manière qui n’est pas conforme au principe de justice fondamentale concernant le devoir de représentation dévouée de l’avocat. </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052486">
        <w:rPr>
          <w:sz w:val="20"/>
          <w:lang w:val="fr-CA"/>
        </w:rPr>
        <w:tab/>
        <w:t xml:space="preserve">Les atteintes aux art. 7 et 8 de la </w:t>
      </w:r>
      <w:r w:rsidRPr="00052486">
        <w:rPr>
          <w:i/>
          <w:sz w:val="20"/>
          <w:lang w:val="fr-CA"/>
        </w:rPr>
        <w:t>Charte</w:t>
      </w:r>
      <w:r w:rsidRPr="00052486">
        <w:rPr>
          <w:sz w:val="20"/>
          <w:lang w:val="fr-CA"/>
        </w:rPr>
        <w:t xml:space="preserve"> ne sont pas justifiées au sens de l’article premier de la </w:t>
      </w:r>
      <w:r w:rsidRPr="00052486">
        <w:rPr>
          <w:i/>
          <w:sz w:val="20"/>
          <w:lang w:val="fr-CA"/>
        </w:rPr>
        <w:t>Charte</w:t>
      </w:r>
      <w:r w:rsidRPr="00052486">
        <w:rPr>
          <w:sz w:val="20"/>
          <w:lang w:val="fr-CA"/>
        </w:rPr>
        <w:t xml:space="preserve">. Les articles 62, 63, 63.1 et 64 de la </w:t>
      </w:r>
      <w:r w:rsidRPr="00052486">
        <w:rPr>
          <w:i/>
          <w:sz w:val="20"/>
          <w:lang w:val="fr-CA"/>
        </w:rPr>
        <w:t>Loi</w:t>
      </w:r>
      <w:r w:rsidRPr="00052486">
        <w:rPr>
          <w:sz w:val="20"/>
          <w:lang w:val="fr-CA"/>
        </w:rPr>
        <w:t xml:space="preserve"> ne satisfont pas au critère de l’atteinte minimale. Il existe d’autres moyens moins radicaux de poursuivre les objectifs de la lutte contre le recyclage des produits de la criminalité et le financement des activités terroristes. Les dispositions du </w:t>
      </w:r>
      <w:r w:rsidRPr="00052486">
        <w:rPr>
          <w:i/>
          <w:sz w:val="20"/>
          <w:lang w:val="fr-CA"/>
        </w:rPr>
        <w:t>Règlement</w:t>
      </w:r>
      <w:r w:rsidRPr="00052486">
        <w:rPr>
          <w:sz w:val="20"/>
          <w:lang w:val="fr-CA"/>
        </w:rPr>
        <w:t xml:space="preserve"> en litige dans le présent pourvoi ne satisfont pas au critère de proportionnalité.  </w:t>
      </w:r>
    </w:p>
    <w:p w:rsidR="009F498E" w:rsidRDefault="009F498E" w:rsidP="009F498E">
      <w:pPr>
        <w:pStyle w:val="SCCNormalDoubleSpacing"/>
        <w:spacing w:line="240" w:lineRule="auto"/>
        <w:rPr>
          <w:i/>
          <w:sz w:val="20"/>
          <w:lang w:val="fr-CA"/>
        </w:rPr>
      </w:pPr>
    </w:p>
    <w:p w:rsidR="009F498E" w:rsidRDefault="009F498E" w:rsidP="009F498E">
      <w:pPr>
        <w:pStyle w:val="SCCNormalDoubleSpacing"/>
        <w:spacing w:line="240" w:lineRule="auto"/>
        <w:rPr>
          <w:sz w:val="20"/>
          <w:lang w:val="fr-CA"/>
        </w:rPr>
      </w:pPr>
      <w:r w:rsidRPr="00052486">
        <w:rPr>
          <w:i/>
          <w:sz w:val="20"/>
          <w:lang w:val="fr-CA"/>
        </w:rPr>
        <w:tab/>
        <w:t xml:space="preserve">La </w:t>
      </w:r>
      <w:r w:rsidRPr="00052486">
        <w:rPr>
          <w:sz w:val="20"/>
          <w:lang w:val="fr-CA"/>
        </w:rPr>
        <w:t>juge en chef</w:t>
      </w:r>
      <w:r w:rsidRPr="00052486">
        <w:rPr>
          <w:b/>
          <w:sz w:val="20"/>
          <w:lang w:val="fr-CA"/>
        </w:rPr>
        <w:t xml:space="preserve"> McLachlin</w:t>
      </w:r>
      <w:r w:rsidRPr="00052486">
        <w:rPr>
          <w:sz w:val="20"/>
          <w:lang w:val="fr-CA"/>
        </w:rPr>
        <w:t xml:space="preserve"> et le juge </w:t>
      </w:r>
      <w:r w:rsidRPr="00052486">
        <w:rPr>
          <w:b/>
          <w:sz w:val="20"/>
          <w:lang w:val="fr-CA"/>
        </w:rPr>
        <w:t>Moldaver</w:t>
      </w:r>
      <w:r w:rsidRPr="00052486">
        <w:rPr>
          <w:sz w:val="20"/>
          <w:lang w:val="fr-CA"/>
        </w:rPr>
        <w:t xml:space="preserve"> : Il y a accord avec les motifs du juge Cromwell portant sur l’art. 8 de la </w:t>
      </w:r>
      <w:r w:rsidRPr="00052486">
        <w:rPr>
          <w:i/>
          <w:sz w:val="20"/>
          <w:lang w:val="fr-CA"/>
        </w:rPr>
        <w:t>Charte</w:t>
      </w:r>
      <w:r w:rsidRPr="00052486">
        <w:rPr>
          <w:sz w:val="20"/>
          <w:lang w:val="fr-CA"/>
        </w:rPr>
        <w:t xml:space="preserve">. Toutefois, dans la mesure où les droits garantis à l’avocat par l’art. 7 entrent en jeu, le devoir de l’avocat de se dévouer à la cause du client n’est pas suffisamment certain pour constituer un principe de justice fondamentale. Le dévouement de l’avocat ne fournit pas une norme constitutionnelle pratique parce qu’il varie selon la nature du mandat ainsi que d’autres facteurs. Le secret professionnel de l’avocat a déjà été reconnu comme une norme constitutionnelle et la transgression de ce principe de justice fondamentale suffit pour établir la privation potentielle de liberté qui viole l’art. 7 de la </w:t>
      </w:r>
      <w:r w:rsidRPr="00052486">
        <w:rPr>
          <w:i/>
          <w:sz w:val="20"/>
          <w:lang w:val="fr-CA"/>
        </w:rPr>
        <w:t>Charte</w:t>
      </w:r>
      <w:r w:rsidRPr="00052486">
        <w:rPr>
          <w:sz w:val="20"/>
          <w:lang w:val="fr-CA"/>
        </w:rPr>
        <w:t>.</w:t>
      </w:r>
    </w:p>
    <w:p w:rsidR="009F498E" w:rsidRDefault="009F498E" w:rsidP="009F498E">
      <w:pPr>
        <w:pStyle w:val="SCCNormalDoubleSpacing"/>
        <w:spacing w:line="240" w:lineRule="auto"/>
        <w:rPr>
          <w:sz w:val="20"/>
          <w:lang w:val="fr-CA"/>
        </w:rPr>
      </w:pPr>
    </w:p>
    <w:p w:rsidR="009F498E" w:rsidRPr="00052486" w:rsidRDefault="009F498E" w:rsidP="009F498E">
      <w:pPr>
        <w:pStyle w:val="SCCNormalDoubleSpacing"/>
        <w:spacing w:line="240" w:lineRule="auto"/>
        <w:rPr>
          <w:sz w:val="20"/>
          <w:lang w:val="fr-CA"/>
        </w:rPr>
      </w:pPr>
      <w:r w:rsidRPr="009F498E">
        <w:rPr>
          <w:sz w:val="20"/>
          <w:lang w:val="fr-CA"/>
        </w:rPr>
        <w:tab/>
      </w:r>
      <w:r w:rsidRPr="00052486">
        <w:rPr>
          <w:sz w:val="20"/>
          <w:lang w:val="fr-CA"/>
        </w:rPr>
        <w:t>POURVOI contre un arrêt de la Cour d’appel de la Colombie</w:t>
      </w:r>
      <w:r w:rsidRPr="00052486">
        <w:rPr>
          <w:sz w:val="20"/>
          <w:lang w:val="fr-CA"/>
        </w:rPr>
        <w:noBreakHyphen/>
        <w:t xml:space="preserve">Britannique (le juge en chef Finch et les juges Frankel, Neilson, Garson et Hinkson), 2013 BCCA 147, 41 B.C.L.R. (5th) 283, 335 B.C.A.C. 243, 573 W.A.C. 243, 359 D.L.R. (4th) 1, 48 Admin. L.R. (5th) 181, 297 C.C.C. (3d) 429, 2 C.R. (7th) 324, 278 C.R.R. (2d) 273, [2013] 5 W.W.R. 1, [2013] B.C.J. No. 632 (QL), 2013 CarswellBC 812 (WL Can.), qui a confirmé une décision de la juge Gerow, 2011 BCSC 1270, 25 B.C.L.R. (5th) 265, 339 D.L.R. (4th) 48, 48 Admin. </w:t>
      </w:r>
      <w:r w:rsidRPr="00052486">
        <w:rPr>
          <w:sz w:val="20"/>
        </w:rPr>
        <w:t xml:space="preserve">L.R. (5th) 285, 89 C.R. (6th) 80, 244 C.R.R. (2d) 129, [2012] 2 W.W.R. 758, [2011] B.C.J. No. 1779 (QL), 2011 CarswellBC 2436 (WL Can.). </w:t>
      </w:r>
      <w:r w:rsidRPr="00052486">
        <w:rPr>
          <w:sz w:val="20"/>
          <w:lang w:val="fr-CA"/>
        </w:rPr>
        <w:t>Pourvoi accueilli en partie.</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Christopher Rupar</w:t>
      </w:r>
      <w:r w:rsidRPr="00052486">
        <w:rPr>
          <w:sz w:val="20"/>
          <w:lang w:val="fr-CA"/>
        </w:rPr>
        <w:t xml:space="preserve"> et </w:t>
      </w:r>
      <w:r w:rsidRPr="00052486">
        <w:rPr>
          <w:i/>
          <w:sz w:val="20"/>
          <w:lang w:val="fr-CA"/>
        </w:rPr>
        <w:t>Jan Brongers</w:t>
      </w:r>
      <w:r w:rsidRPr="00052486">
        <w:rPr>
          <w:sz w:val="20"/>
          <w:lang w:val="fr-CA"/>
        </w:rPr>
        <w:t>, pour l’appelant.</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John J. L. Hunter</w:t>
      </w:r>
      <w:r w:rsidRPr="00052486">
        <w:rPr>
          <w:sz w:val="20"/>
          <w:lang w:val="fr-CA"/>
        </w:rPr>
        <w:t xml:space="preserve">, </w:t>
      </w:r>
      <w:r w:rsidRPr="00052486">
        <w:rPr>
          <w:i/>
          <w:sz w:val="20"/>
          <w:lang w:val="fr-CA"/>
        </w:rPr>
        <w:t>c.r.</w:t>
      </w:r>
      <w:r w:rsidRPr="00052486">
        <w:rPr>
          <w:sz w:val="20"/>
          <w:lang w:val="fr-CA"/>
        </w:rPr>
        <w:t xml:space="preserve">, et </w:t>
      </w:r>
      <w:r w:rsidRPr="00052486">
        <w:rPr>
          <w:i/>
          <w:sz w:val="20"/>
          <w:lang w:val="fr-CA"/>
        </w:rPr>
        <w:t>Roy W. Millen</w:t>
      </w:r>
      <w:r w:rsidRPr="00052486">
        <w:rPr>
          <w:sz w:val="20"/>
          <w:lang w:val="fr-CA"/>
        </w:rPr>
        <w:t>, pour l’intimée.</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Michal Fairburn</w:t>
      </w:r>
      <w:r w:rsidRPr="00052486">
        <w:rPr>
          <w:sz w:val="20"/>
          <w:lang w:val="fr-CA"/>
        </w:rPr>
        <w:t xml:space="preserve"> et </w:t>
      </w:r>
      <w:r w:rsidRPr="00052486">
        <w:rPr>
          <w:i/>
          <w:sz w:val="20"/>
          <w:lang w:val="fr-CA"/>
        </w:rPr>
        <w:t>Justin Safayeni</w:t>
      </w:r>
      <w:r w:rsidRPr="00052486">
        <w:rPr>
          <w:sz w:val="20"/>
          <w:lang w:val="fr-CA"/>
        </w:rPr>
        <w:t>, pour l’intervenante Criminal Lawyers’ Association (Ontario).</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Mahmud Jamal</w:t>
      </w:r>
      <w:r w:rsidRPr="00052486">
        <w:rPr>
          <w:sz w:val="20"/>
          <w:lang w:val="fr-CA"/>
        </w:rPr>
        <w:t xml:space="preserve">, </w:t>
      </w:r>
      <w:r w:rsidRPr="00052486">
        <w:rPr>
          <w:i/>
          <w:sz w:val="20"/>
          <w:lang w:val="fr-CA"/>
        </w:rPr>
        <w:t>David Rankin</w:t>
      </w:r>
      <w:r w:rsidRPr="00052486">
        <w:rPr>
          <w:sz w:val="20"/>
          <w:lang w:val="fr-CA"/>
        </w:rPr>
        <w:t xml:space="preserve"> et </w:t>
      </w:r>
      <w:r w:rsidRPr="00052486">
        <w:rPr>
          <w:i/>
          <w:sz w:val="20"/>
          <w:lang w:val="fr-CA"/>
        </w:rPr>
        <w:t>Pierre</w:t>
      </w:r>
      <w:r w:rsidRPr="00052486">
        <w:rPr>
          <w:i/>
          <w:sz w:val="20"/>
          <w:lang w:val="fr-CA"/>
        </w:rPr>
        <w:noBreakHyphen/>
        <w:t>Alexandre Henri</w:t>
      </w:r>
      <w:r w:rsidRPr="00052486">
        <w:rPr>
          <w:sz w:val="20"/>
          <w:lang w:val="fr-CA"/>
        </w:rPr>
        <w:t>, pour l’intervenante l’Association canadienne des libertés civiles.</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rPr>
      </w:pPr>
      <w:r w:rsidRPr="00052486">
        <w:rPr>
          <w:i/>
          <w:sz w:val="20"/>
          <w:lang w:val="fr-CA"/>
        </w:rPr>
        <w:tab/>
      </w:r>
      <w:r w:rsidRPr="00052486">
        <w:rPr>
          <w:i/>
          <w:sz w:val="20"/>
        </w:rPr>
        <w:t>Leonard T. Doust</w:t>
      </w:r>
      <w:r w:rsidRPr="00052486">
        <w:rPr>
          <w:sz w:val="20"/>
        </w:rPr>
        <w:t xml:space="preserve">, </w:t>
      </w:r>
      <w:r w:rsidRPr="00052486">
        <w:rPr>
          <w:i/>
          <w:sz w:val="20"/>
        </w:rPr>
        <w:t>c.r.</w:t>
      </w:r>
      <w:r w:rsidRPr="00052486">
        <w:rPr>
          <w:sz w:val="20"/>
        </w:rPr>
        <w:t xml:space="preserve">, et </w:t>
      </w:r>
      <w:r w:rsidRPr="00052486">
        <w:rPr>
          <w:i/>
          <w:sz w:val="20"/>
        </w:rPr>
        <w:t>Michael A. Feder</w:t>
      </w:r>
      <w:r w:rsidRPr="00052486">
        <w:rPr>
          <w:sz w:val="20"/>
        </w:rPr>
        <w:t>, pour l’intervenante Law Society of British Columbia.</w:t>
      </w:r>
    </w:p>
    <w:p w:rsidR="009F498E" w:rsidRDefault="009F498E" w:rsidP="009F498E">
      <w:pPr>
        <w:pStyle w:val="SCCNormalDoubleSpacing"/>
        <w:spacing w:line="240" w:lineRule="auto"/>
        <w:rPr>
          <w:i/>
          <w:sz w:val="20"/>
        </w:rPr>
      </w:pPr>
    </w:p>
    <w:p w:rsidR="009F498E" w:rsidRPr="00052486" w:rsidRDefault="009F498E" w:rsidP="009F498E">
      <w:pPr>
        <w:pStyle w:val="SCCNormalDoubleSpacing"/>
        <w:spacing w:line="240" w:lineRule="auto"/>
        <w:rPr>
          <w:sz w:val="20"/>
          <w:lang w:val="fr-CA"/>
        </w:rPr>
      </w:pPr>
      <w:r w:rsidRPr="00052486">
        <w:rPr>
          <w:i/>
          <w:sz w:val="20"/>
        </w:rPr>
        <w:tab/>
      </w:r>
      <w:r w:rsidRPr="00052486">
        <w:rPr>
          <w:i/>
          <w:sz w:val="20"/>
          <w:lang w:val="fr-CA"/>
        </w:rPr>
        <w:t>Craig A. B. Ferris</w:t>
      </w:r>
      <w:r w:rsidRPr="00052486">
        <w:rPr>
          <w:sz w:val="20"/>
          <w:lang w:val="fr-CA"/>
        </w:rPr>
        <w:t xml:space="preserve"> et </w:t>
      </w:r>
      <w:r w:rsidRPr="00052486">
        <w:rPr>
          <w:i/>
          <w:sz w:val="20"/>
          <w:lang w:val="fr-CA"/>
        </w:rPr>
        <w:t>Laura Bevan</w:t>
      </w:r>
      <w:r w:rsidRPr="00052486">
        <w:rPr>
          <w:sz w:val="20"/>
          <w:lang w:val="fr-CA"/>
        </w:rPr>
        <w:t>, pour l’intervenante l’Association du Barreau canadien.</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Paul D. Stern</w:t>
      </w:r>
      <w:r w:rsidRPr="00052486">
        <w:rPr>
          <w:sz w:val="20"/>
          <w:lang w:val="fr-CA"/>
        </w:rPr>
        <w:t xml:space="preserve"> et </w:t>
      </w:r>
      <w:r w:rsidRPr="00052486">
        <w:rPr>
          <w:i/>
          <w:sz w:val="20"/>
          <w:lang w:val="fr-CA"/>
        </w:rPr>
        <w:t>Robert A. Centa</w:t>
      </w:r>
      <w:r w:rsidRPr="00052486">
        <w:rPr>
          <w:sz w:val="20"/>
          <w:lang w:val="fr-CA"/>
        </w:rPr>
        <w:t>, pour l’intervenante Advocates’ Society.</w:t>
      </w:r>
    </w:p>
    <w:p w:rsidR="009F498E" w:rsidRDefault="009F498E" w:rsidP="009F498E">
      <w:pPr>
        <w:pStyle w:val="SCCNormalDoubleSpacing"/>
        <w:spacing w:line="240" w:lineRule="auto"/>
        <w:rPr>
          <w:i/>
          <w:sz w:val="20"/>
          <w:lang w:val="fr-CA"/>
        </w:rPr>
      </w:pPr>
    </w:p>
    <w:p w:rsidR="009F498E" w:rsidRPr="00052486" w:rsidRDefault="009F498E" w:rsidP="009F498E">
      <w:pPr>
        <w:pStyle w:val="SCCNormalDoubleSpacing"/>
        <w:spacing w:line="240" w:lineRule="auto"/>
        <w:rPr>
          <w:sz w:val="20"/>
          <w:lang w:val="fr-CA"/>
        </w:rPr>
      </w:pPr>
      <w:r w:rsidRPr="00052486">
        <w:rPr>
          <w:i/>
          <w:sz w:val="20"/>
          <w:lang w:val="fr-CA"/>
        </w:rPr>
        <w:tab/>
        <w:t>Raymond Doray</w:t>
      </w:r>
      <w:r w:rsidRPr="00052486">
        <w:rPr>
          <w:sz w:val="20"/>
          <w:lang w:val="fr-CA"/>
        </w:rPr>
        <w:t xml:space="preserve"> et </w:t>
      </w:r>
      <w:r w:rsidRPr="00052486">
        <w:rPr>
          <w:i/>
          <w:sz w:val="20"/>
          <w:lang w:val="fr-CA"/>
        </w:rPr>
        <w:t>Loïc Berdnikoff</w:t>
      </w:r>
      <w:r w:rsidRPr="00052486">
        <w:rPr>
          <w:sz w:val="20"/>
          <w:lang w:val="fr-CA"/>
        </w:rPr>
        <w:t>, pour les intervenants le Barreau du Québec et la Chambre des notaires du Québec.</w:t>
      </w:r>
    </w:p>
    <w:p w:rsidR="009F498E" w:rsidRPr="00052486" w:rsidRDefault="009F498E" w:rsidP="009F498E">
      <w:pPr>
        <w:pStyle w:val="SCCLawFirm"/>
        <w:spacing w:line="240" w:lineRule="auto"/>
        <w:rPr>
          <w:sz w:val="20"/>
          <w:lang w:val="fr-CA"/>
        </w:rPr>
      </w:pPr>
      <w:r w:rsidRPr="00052486">
        <w:rPr>
          <w:sz w:val="20"/>
          <w:lang w:val="fr-CA"/>
        </w:rPr>
        <w:tab/>
        <w:t>Procureur de l’appelant : Procureur général du Canada, Ottawa.</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l’intimée : Hunter Litigation Chambers, Vancouver; Blake, Cassels &amp; Graydon, Vancouver.</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l’intervenante Criminal Lawyers’ Association (Ontario) : Stockwoods, Toronto.</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l’intervenante l’Association canadienne des libertés civiles : Osler, Hoskin &amp; Harcourt, Toronto.</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l’intervenante Law Society of British Columbia : McCarthy Tétrault, Vancouver.</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l’intervenante l’Association du Barreau canadien : Lawson Lundell, Vancouver.</w:t>
      </w:r>
    </w:p>
    <w:p w:rsidR="009F498E" w:rsidRDefault="009F498E" w:rsidP="009F498E">
      <w:pPr>
        <w:pStyle w:val="SCCLawFirm"/>
        <w:spacing w:line="240" w:lineRule="auto"/>
        <w:rPr>
          <w:sz w:val="20"/>
          <w:lang w:val="fr-CA"/>
        </w:rPr>
      </w:pPr>
    </w:p>
    <w:p w:rsidR="009F498E" w:rsidRPr="00052486" w:rsidRDefault="009F498E" w:rsidP="009F498E">
      <w:pPr>
        <w:pStyle w:val="SCCLawFirm"/>
        <w:spacing w:line="240" w:lineRule="auto"/>
        <w:rPr>
          <w:sz w:val="20"/>
          <w:lang w:val="fr-CA"/>
        </w:rPr>
      </w:pPr>
      <w:r w:rsidRPr="00052486">
        <w:rPr>
          <w:sz w:val="20"/>
          <w:lang w:val="fr-CA"/>
        </w:rPr>
        <w:tab/>
        <w:t>Procureurs de l’intervenante Advocates’ Society : Stern Landesman Clark, Toronto; Paliare Roland Rosenberg Rothstein, Toronto.</w:t>
      </w:r>
    </w:p>
    <w:p w:rsidR="009F498E" w:rsidRDefault="009F498E" w:rsidP="009F498E">
      <w:pPr>
        <w:pStyle w:val="SCCLawFirm"/>
        <w:spacing w:line="240" w:lineRule="auto"/>
        <w:rPr>
          <w:sz w:val="20"/>
          <w:lang w:val="fr-CA"/>
        </w:rPr>
      </w:pPr>
    </w:p>
    <w:p w:rsidR="009F498E" w:rsidRDefault="009F498E" w:rsidP="009F498E">
      <w:pPr>
        <w:pStyle w:val="SCCLawFirm"/>
        <w:spacing w:line="240" w:lineRule="auto"/>
        <w:rPr>
          <w:sz w:val="20"/>
          <w:lang w:val="fr-CA"/>
        </w:rPr>
      </w:pPr>
      <w:r w:rsidRPr="00052486">
        <w:rPr>
          <w:sz w:val="20"/>
          <w:lang w:val="fr-CA"/>
        </w:rPr>
        <w:tab/>
        <w:t>Procureurs des intervenants le Barreau du Québec et la Chambre des notaires du Québec : Lavery, de Billy, Montréal.</w:t>
      </w:r>
    </w:p>
    <w:p w:rsidR="003B3977" w:rsidRPr="009F498E" w:rsidRDefault="003B3977" w:rsidP="005C6840">
      <w:pPr>
        <w:rPr>
          <w:rFonts w:cs="Times New Roman"/>
          <w:sz w:val="20"/>
          <w:szCs w:val="20"/>
          <w:lang w:val="fr-CA"/>
        </w:rPr>
      </w:pPr>
    </w:p>
    <w:p w:rsidR="00902E51" w:rsidRDefault="00007FF8" w:rsidP="00902E51">
      <w:pPr>
        <w:rPr>
          <w:rFonts w:cs="Times New Roman"/>
          <w:sz w:val="20"/>
          <w:szCs w:val="20"/>
          <w:lang w:val="fr-CA"/>
        </w:rPr>
      </w:pPr>
      <w:r>
        <w:rPr>
          <w:rFonts w:cs="Times New Roman"/>
          <w:sz w:val="20"/>
          <w:szCs w:val="20"/>
          <w:lang w:val="fr-CA"/>
        </w:rPr>
        <w:pict>
          <v:rect id="_x0000_i1071" style="width:144.3pt;height:1pt" o:hrpct="300" o:hralign="center" o:hrstd="t" o:hrnoshade="t" o:hr="t" fillcolor="black [3213]" stroked="f"/>
        </w:pict>
      </w:r>
    </w:p>
    <w:p w:rsidR="00F47605" w:rsidRDefault="00F47605"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F70079"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F70079" w:rsidTr="00E724B4">
        <w:trPr>
          <w:cantSplit/>
          <w:trHeight w:val="1152"/>
        </w:trPr>
        <w:tc>
          <w:tcPr>
            <w:tcW w:w="4320" w:type="dxa"/>
            <w:tcBorders>
              <w:top w:val="nil"/>
              <w:left w:val="nil"/>
              <w:bottom w:val="nil"/>
              <w:right w:val="nil"/>
            </w:tcBorders>
          </w:tcPr>
          <w:p w:rsidR="00A956D3" w:rsidRPr="00DD0B49" w:rsidRDefault="00A956D3" w:rsidP="00E724B4">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E724B4">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E724B4">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E724B4">
        <w:tc>
          <w:tcPr>
            <w:tcW w:w="4320" w:type="dxa"/>
            <w:tcBorders>
              <w:top w:val="nil"/>
              <w:left w:val="nil"/>
              <w:bottom w:val="nil"/>
              <w:right w:val="nil"/>
            </w:tcBorders>
          </w:tcPr>
          <w:p w:rsidR="00A956D3" w:rsidRPr="00DD0B49" w:rsidRDefault="00A956D3" w:rsidP="00E724B4">
            <w:pPr>
              <w:rPr>
                <w:rFonts w:cs="Times New Roman"/>
                <w:sz w:val="20"/>
                <w:szCs w:val="20"/>
                <w:lang w:val="en-GB"/>
              </w:rPr>
            </w:pPr>
            <w:r w:rsidRPr="00DD0B49">
              <w:rPr>
                <w:rFonts w:cs="Times New Roman"/>
                <w:b/>
                <w:bCs/>
                <w:sz w:val="20"/>
                <w:szCs w:val="20"/>
                <w:lang w:val="en-GB"/>
              </w:rPr>
              <w:t>Judgments reported in [201</w:t>
            </w:r>
            <w:r w:rsidR="0060471F">
              <w:rPr>
                <w:rFonts w:cs="Times New Roman"/>
                <w:b/>
                <w:bCs/>
                <w:sz w:val="20"/>
                <w:szCs w:val="20"/>
                <w:lang w:val="en-GB"/>
              </w:rPr>
              <w:t>4</w:t>
            </w:r>
            <w:r w:rsidRPr="00DD0B49">
              <w:rPr>
                <w:rFonts w:cs="Times New Roman"/>
                <w:b/>
                <w:bCs/>
                <w:sz w:val="20"/>
                <w:szCs w:val="20"/>
                <w:lang w:val="en-GB"/>
              </w:rPr>
              <w:t xml:space="preserve">] </w:t>
            </w:r>
            <w:r w:rsidR="0060471F">
              <w:rPr>
                <w:rFonts w:cs="Times New Roman"/>
                <w:b/>
                <w:bCs/>
                <w:sz w:val="20"/>
                <w:szCs w:val="20"/>
                <w:lang w:val="en-GB"/>
              </w:rPr>
              <w:t>2</w:t>
            </w:r>
            <w:r w:rsidRPr="00DD0B49">
              <w:rPr>
                <w:rFonts w:cs="Times New Roman"/>
                <w:b/>
                <w:bCs/>
                <w:sz w:val="20"/>
                <w:szCs w:val="20"/>
                <w:lang w:val="en-GB"/>
              </w:rPr>
              <w:t xml:space="preserve"> S.C.R. Part </w:t>
            </w:r>
            <w:r>
              <w:rPr>
                <w:rFonts w:cs="Times New Roman"/>
                <w:b/>
                <w:bCs/>
                <w:sz w:val="20"/>
                <w:szCs w:val="20"/>
                <w:lang w:val="en-GB"/>
              </w:rPr>
              <w:t>1</w:t>
            </w:r>
          </w:p>
          <w:p w:rsidR="00A956D3" w:rsidRPr="00DD0B49" w:rsidRDefault="00A956D3" w:rsidP="00E724B4">
            <w:pPr>
              <w:rPr>
                <w:rFonts w:cs="Times New Roman"/>
                <w:sz w:val="20"/>
                <w:szCs w:val="20"/>
                <w:lang w:val="en-GB"/>
              </w:rPr>
            </w:pPr>
          </w:p>
          <w:p w:rsidR="00A956D3" w:rsidRPr="00DD0B49" w:rsidRDefault="006E775A" w:rsidP="00E724B4">
            <w:pPr>
              <w:rPr>
                <w:rFonts w:cs="Times New Roman"/>
                <w:sz w:val="20"/>
                <w:szCs w:val="20"/>
                <w:lang w:val="en-GB"/>
              </w:rPr>
            </w:pPr>
            <w:r>
              <w:rPr>
                <w:rFonts w:cs="Times New Roman"/>
                <w:sz w:val="20"/>
                <w:szCs w:val="20"/>
                <w:lang w:val="en-GB"/>
              </w:rPr>
              <w:t>Canada (Citizenship and Immigration)</w:t>
            </w:r>
            <w:r w:rsidR="00A956D3" w:rsidRPr="00DD0B49">
              <w:rPr>
                <w:rFonts w:cs="Times New Roman"/>
                <w:sz w:val="20"/>
                <w:szCs w:val="20"/>
                <w:lang w:val="en-GB"/>
              </w:rPr>
              <w:t xml:space="preserve"> </w:t>
            </w:r>
            <w:r w:rsidR="00A956D3" w:rsidRPr="00DD0B49">
              <w:rPr>
                <w:rFonts w:cs="Times New Roman"/>
                <w:i/>
                <w:sz w:val="20"/>
                <w:szCs w:val="20"/>
                <w:lang w:val="en-GB"/>
              </w:rPr>
              <w:t>v.</w:t>
            </w:r>
            <w:r w:rsidR="00A956D3" w:rsidRPr="00DD0B49">
              <w:rPr>
                <w:rFonts w:cs="Times New Roman"/>
                <w:sz w:val="20"/>
                <w:szCs w:val="20"/>
                <w:lang w:val="en-GB"/>
              </w:rPr>
              <w:t xml:space="preserve"> </w:t>
            </w:r>
            <w:r>
              <w:rPr>
                <w:rFonts w:cs="Times New Roman"/>
                <w:sz w:val="20"/>
                <w:szCs w:val="20"/>
                <w:lang w:val="en-GB"/>
              </w:rPr>
              <w:t>H</w:t>
            </w:r>
            <w:r w:rsidR="00A956D3">
              <w:rPr>
                <w:rFonts w:cs="Times New Roman"/>
                <w:sz w:val="20"/>
                <w:szCs w:val="20"/>
                <w:lang w:val="en-GB"/>
              </w:rPr>
              <w:t>ar</w:t>
            </w:r>
            <w:r>
              <w:rPr>
                <w:rFonts w:cs="Times New Roman"/>
                <w:sz w:val="20"/>
                <w:szCs w:val="20"/>
                <w:lang w:val="en-GB"/>
              </w:rPr>
              <w:t>ka</w:t>
            </w:r>
            <w:r w:rsidR="00A956D3">
              <w:rPr>
                <w:rFonts w:cs="Times New Roman"/>
                <w:sz w:val="20"/>
                <w:szCs w:val="20"/>
                <w:lang w:val="en-GB"/>
              </w:rPr>
              <w:t>t</w:t>
            </w:r>
            <w:r w:rsidR="00A956D3" w:rsidRPr="00DD0B49">
              <w:rPr>
                <w:rFonts w:cs="Times New Roman"/>
                <w:sz w:val="20"/>
                <w:szCs w:val="20"/>
                <w:lang w:val="en-GB"/>
              </w:rPr>
              <w:t>,</w:t>
            </w:r>
          </w:p>
          <w:p w:rsidR="00A956D3" w:rsidRPr="00DD0B49" w:rsidRDefault="00A956D3" w:rsidP="00E724B4">
            <w:pPr>
              <w:rPr>
                <w:rFonts w:cs="Times New Roman"/>
                <w:sz w:val="20"/>
                <w:szCs w:val="20"/>
                <w:lang w:val="en-GB"/>
              </w:rPr>
            </w:pPr>
            <w:r w:rsidRPr="00DD0B49">
              <w:rPr>
                <w:rFonts w:cs="Times New Roman"/>
                <w:sz w:val="20"/>
                <w:szCs w:val="20"/>
                <w:lang w:val="en-GB"/>
              </w:rPr>
              <w:t>201</w:t>
            </w:r>
            <w:r w:rsidR="006E775A">
              <w:rPr>
                <w:rFonts w:cs="Times New Roman"/>
                <w:sz w:val="20"/>
                <w:szCs w:val="20"/>
                <w:lang w:val="en-GB"/>
              </w:rPr>
              <w:t>4</w:t>
            </w:r>
            <w:r w:rsidRPr="00DD0B49">
              <w:rPr>
                <w:rFonts w:cs="Times New Roman"/>
                <w:sz w:val="20"/>
                <w:szCs w:val="20"/>
                <w:lang w:val="en-GB"/>
              </w:rPr>
              <w:t xml:space="preserve"> SCC </w:t>
            </w:r>
            <w:r w:rsidR="00B24B5B">
              <w:rPr>
                <w:rFonts w:cs="Times New Roman"/>
                <w:sz w:val="20"/>
                <w:szCs w:val="20"/>
                <w:lang w:val="en-GB"/>
              </w:rPr>
              <w:t>37</w:t>
            </w:r>
            <w:r w:rsidRPr="00DD0B49">
              <w:rPr>
                <w:rFonts w:cs="Times New Roman"/>
                <w:sz w:val="20"/>
                <w:szCs w:val="20"/>
                <w:lang w:val="en-GB"/>
              </w:rPr>
              <w:t>, [201</w:t>
            </w:r>
            <w:r w:rsidR="006E775A">
              <w:rPr>
                <w:rFonts w:cs="Times New Roman"/>
                <w:sz w:val="20"/>
                <w:szCs w:val="20"/>
                <w:lang w:val="en-GB"/>
              </w:rPr>
              <w:t>4</w:t>
            </w:r>
            <w:r w:rsidRPr="00DD0B49">
              <w:rPr>
                <w:rFonts w:cs="Times New Roman"/>
                <w:sz w:val="20"/>
                <w:szCs w:val="20"/>
                <w:lang w:val="en-GB"/>
              </w:rPr>
              <w:t xml:space="preserve">] </w:t>
            </w:r>
            <w:r w:rsidR="006E775A">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3</w:t>
            </w:r>
            <w:r w:rsidR="00B24B5B">
              <w:rPr>
                <w:rFonts w:cs="Times New Roman"/>
                <w:sz w:val="20"/>
                <w:szCs w:val="20"/>
                <w:lang w:val="en-GB"/>
              </w:rPr>
              <w:t>3</w:t>
            </w:r>
          </w:p>
          <w:p w:rsidR="00A956D3" w:rsidRPr="00DD0B49" w:rsidRDefault="00A956D3" w:rsidP="00E724B4">
            <w:pPr>
              <w:rPr>
                <w:rFonts w:cs="Times New Roman"/>
                <w:sz w:val="20"/>
                <w:szCs w:val="20"/>
                <w:lang w:val="en-GB"/>
              </w:rPr>
            </w:pPr>
          </w:p>
          <w:p w:rsidR="00A956D3" w:rsidRPr="00DD0B49" w:rsidRDefault="00B24B5B" w:rsidP="00E724B4">
            <w:pPr>
              <w:rPr>
                <w:rFonts w:cs="Times New Roman"/>
                <w:sz w:val="20"/>
                <w:szCs w:val="20"/>
                <w:lang w:val="en-GB"/>
              </w:rPr>
            </w:pPr>
            <w:r>
              <w:rPr>
                <w:rFonts w:cs="Times New Roman"/>
                <w:sz w:val="20"/>
                <w:szCs w:val="20"/>
                <w:lang w:val="en-GB"/>
              </w:rPr>
              <w:t>Canadian Artists’ Representation</w:t>
            </w:r>
            <w:r w:rsidR="00A956D3">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Pr>
                <w:rFonts w:cs="Times New Roman"/>
                <w:iCs/>
                <w:sz w:val="20"/>
                <w:szCs w:val="20"/>
                <w:lang w:val="en-GB"/>
              </w:rPr>
              <w:t>N</w:t>
            </w:r>
            <w:r w:rsidR="00A956D3">
              <w:rPr>
                <w:rFonts w:cs="Times New Roman"/>
                <w:iCs/>
                <w:sz w:val="20"/>
                <w:szCs w:val="20"/>
                <w:lang w:val="en-GB"/>
              </w:rPr>
              <w:t>a</w:t>
            </w:r>
            <w:r>
              <w:rPr>
                <w:rFonts w:cs="Times New Roman"/>
                <w:iCs/>
                <w:sz w:val="20"/>
                <w:szCs w:val="20"/>
                <w:lang w:val="en-GB"/>
              </w:rPr>
              <w:t>tio</w:t>
            </w:r>
            <w:r w:rsidR="00A956D3">
              <w:rPr>
                <w:rFonts w:cs="Times New Roman"/>
                <w:iCs/>
                <w:sz w:val="20"/>
                <w:szCs w:val="20"/>
                <w:lang w:val="en-GB"/>
              </w:rPr>
              <w:t>na</w:t>
            </w:r>
            <w:r>
              <w:rPr>
                <w:rFonts w:cs="Times New Roman"/>
                <w:iCs/>
                <w:sz w:val="20"/>
                <w:szCs w:val="20"/>
                <w:lang w:val="en-GB"/>
              </w:rPr>
              <w:t>l G</w:t>
            </w:r>
            <w:r w:rsidR="00A956D3">
              <w:rPr>
                <w:rFonts w:cs="Times New Roman"/>
                <w:iCs/>
                <w:sz w:val="20"/>
                <w:szCs w:val="20"/>
                <w:lang w:val="en-GB"/>
              </w:rPr>
              <w:t>al</w:t>
            </w:r>
            <w:r>
              <w:rPr>
                <w:rFonts w:cs="Times New Roman"/>
                <w:iCs/>
                <w:sz w:val="20"/>
                <w:szCs w:val="20"/>
                <w:lang w:val="en-GB"/>
              </w:rPr>
              <w:t>l</w:t>
            </w:r>
            <w:r w:rsidR="00A956D3">
              <w:rPr>
                <w:rFonts w:cs="Times New Roman"/>
                <w:iCs/>
                <w:sz w:val="20"/>
                <w:szCs w:val="20"/>
                <w:lang w:val="en-GB"/>
              </w:rPr>
              <w:t>e</w:t>
            </w:r>
            <w:r>
              <w:rPr>
                <w:rFonts w:cs="Times New Roman"/>
                <w:iCs/>
                <w:sz w:val="20"/>
                <w:szCs w:val="20"/>
                <w:lang w:val="en-GB"/>
              </w:rPr>
              <w:t>r</w:t>
            </w:r>
            <w:r w:rsidR="00A956D3">
              <w:rPr>
                <w:rFonts w:cs="Times New Roman"/>
                <w:iCs/>
                <w:sz w:val="20"/>
                <w:szCs w:val="20"/>
                <w:lang w:val="en-GB"/>
              </w:rPr>
              <w:t xml:space="preserve">y </w:t>
            </w:r>
            <w:r>
              <w:rPr>
                <w:rFonts w:cs="Times New Roman"/>
                <w:iCs/>
                <w:sz w:val="20"/>
                <w:szCs w:val="20"/>
                <w:lang w:val="en-GB"/>
              </w:rPr>
              <w:t>of C</w:t>
            </w:r>
            <w:r w:rsidR="00A956D3">
              <w:rPr>
                <w:rFonts w:cs="Times New Roman"/>
                <w:iCs/>
                <w:sz w:val="20"/>
                <w:szCs w:val="20"/>
                <w:lang w:val="en-GB"/>
              </w:rPr>
              <w:t>an</w:t>
            </w:r>
            <w:r>
              <w:rPr>
                <w:rFonts w:cs="Times New Roman"/>
                <w:iCs/>
                <w:sz w:val="20"/>
                <w:szCs w:val="20"/>
                <w:lang w:val="en-GB"/>
              </w:rPr>
              <w:t>a</w:t>
            </w:r>
            <w:r w:rsidR="00A956D3">
              <w:rPr>
                <w:rFonts w:cs="Times New Roman"/>
                <w:iCs/>
                <w:sz w:val="20"/>
                <w:szCs w:val="20"/>
                <w:lang w:val="en-GB"/>
              </w:rPr>
              <w:t>da</w:t>
            </w:r>
            <w:r w:rsidR="00A956D3" w:rsidRPr="00DD0B49">
              <w:rPr>
                <w:rFonts w:cs="Times New Roman"/>
                <w:sz w:val="20"/>
                <w:szCs w:val="20"/>
                <w:lang w:val="en-GB"/>
              </w:rPr>
              <w:t>,</w:t>
            </w:r>
          </w:p>
          <w:p w:rsidR="00A956D3" w:rsidRPr="00DD0B49" w:rsidRDefault="00A956D3" w:rsidP="00E724B4">
            <w:pPr>
              <w:rPr>
                <w:rFonts w:cs="Times New Roman"/>
                <w:sz w:val="20"/>
                <w:szCs w:val="20"/>
                <w:lang w:val="en-GB"/>
              </w:rPr>
            </w:pPr>
            <w:r w:rsidRPr="00DD0B49">
              <w:rPr>
                <w:rFonts w:cs="Times New Roman"/>
                <w:sz w:val="20"/>
                <w:szCs w:val="20"/>
                <w:lang w:val="en-GB"/>
              </w:rPr>
              <w:t>201</w:t>
            </w:r>
            <w:r w:rsidR="006E775A">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4</w:t>
            </w:r>
            <w:r w:rsidR="00B24B5B">
              <w:rPr>
                <w:rFonts w:cs="Times New Roman"/>
                <w:sz w:val="20"/>
                <w:szCs w:val="20"/>
                <w:lang w:val="en-GB"/>
              </w:rPr>
              <w:t>2</w:t>
            </w:r>
            <w:r w:rsidRPr="00DD0B49">
              <w:rPr>
                <w:rFonts w:cs="Times New Roman"/>
                <w:sz w:val="20"/>
                <w:szCs w:val="20"/>
                <w:lang w:val="en-GB"/>
              </w:rPr>
              <w:t>, [201</w:t>
            </w:r>
            <w:r w:rsidR="006E775A">
              <w:rPr>
                <w:rFonts w:cs="Times New Roman"/>
                <w:sz w:val="20"/>
                <w:szCs w:val="20"/>
                <w:lang w:val="en-GB"/>
              </w:rPr>
              <w:t>4</w:t>
            </w:r>
            <w:r w:rsidRPr="00DD0B49">
              <w:rPr>
                <w:rFonts w:cs="Times New Roman"/>
                <w:sz w:val="20"/>
                <w:szCs w:val="20"/>
                <w:lang w:val="en-GB"/>
              </w:rPr>
              <w:t xml:space="preserve">] </w:t>
            </w:r>
            <w:r w:rsidR="006E775A">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1</w:t>
            </w:r>
            <w:r w:rsidR="00B24B5B">
              <w:rPr>
                <w:rFonts w:cs="Times New Roman"/>
                <w:sz w:val="20"/>
                <w:szCs w:val="20"/>
                <w:lang w:val="en-GB"/>
              </w:rPr>
              <w:t>9</w:t>
            </w:r>
            <w:r>
              <w:rPr>
                <w:rFonts w:cs="Times New Roman"/>
                <w:sz w:val="20"/>
                <w:szCs w:val="20"/>
                <w:lang w:val="en-GB"/>
              </w:rPr>
              <w:t>7</w:t>
            </w:r>
          </w:p>
          <w:p w:rsidR="00A956D3" w:rsidRPr="00DD0B49" w:rsidRDefault="00A956D3" w:rsidP="00E724B4">
            <w:pPr>
              <w:rPr>
                <w:rFonts w:cs="Times New Roman"/>
                <w:iCs/>
                <w:sz w:val="20"/>
                <w:szCs w:val="20"/>
                <w:lang w:val="en-GB"/>
              </w:rPr>
            </w:pPr>
          </w:p>
          <w:p w:rsidR="00A956D3" w:rsidRPr="00DD0B49" w:rsidRDefault="00B24B5B" w:rsidP="00E724B4">
            <w:pPr>
              <w:rPr>
                <w:rFonts w:cs="Times New Roman"/>
                <w:iCs/>
                <w:sz w:val="20"/>
                <w:szCs w:val="20"/>
                <w:lang w:val="en-GB"/>
              </w:rPr>
            </w:pPr>
            <w:r>
              <w:rPr>
                <w:rFonts w:cs="Times New Roman"/>
                <w:sz w:val="20"/>
                <w:szCs w:val="20"/>
                <w:lang w:val="en-GB"/>
              </w:rPr>
              <w:t>Canadian</w:t>
            </w:r>
            <w:r>
              <w:rPr>
                <w:rFonts w:cs="Times New Roman"/>
                <w:iCs/>
                <w:sz w:val="20"/>
                <w:szCs w:val="20"/>
                <w:lang w:val="en-GB"/>
              </w:rPr>
              <w:t xml:space="preserve"> National Railway Co.</w:t>
            </w:r>
            <w:r w:rsidR="00A956D3">
              <w:rPr>
                <w:rFonts w:cs="Times New Roman"/>
                <w:iCs/>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sidR="00A956D3">
              <w:rPr>
                <w:rFonts w:cs="Times New Roman"/>
                <w:iCs/>
                <w:sz w:val="20"/>
                <w:szCs w:val="20"/>
                <w:lang w:val="en-GB"/>
              </w:rPr>
              <w:t>Canada</w:t>
            </w:r>
            <w:r>
              <w:rPr>
                <w:rFonts w:cs="Times New Roman"/>
                <w:iCs/>
                <w:sz w:val="20"/>
                <w:szCs w:val="20"/>
                <w:lang w:val="en-GB"/>
              </w:rPr>
              <w:t xml:space="preserve"> (Attorney General)</w:t>
            </w:r>
            <w:r w:rsidR="00A956D3" w:rsidRPr="00DD0B49">
              <w:rPr>
                <w:rFonts w:cs="Times New Roman"/>
                <w:iCs/>
                <w:sz w:val="20"/>
                <w:szCs w:val="20"/>
                <w:lang w:val="en-GB"/>
              </w:rPr>
              <w:t>,</w:t>
            </w:r>
          </w:p>
          <w:p w:rsidR="00A956D3" w:rsidRPr="00DD0B49" w:rsidRDefault="00A956D3" w:rsidP="00E724B4">
            <w:pPr>
              <w:rPr>
                <w:rFonts w:cs="Times New Roman"/>
                <w:sz w:val="20"/>
                <w:szCs w:val="20"/>
                <w:lang w:val="en-GB"/>
              </w:rPr>
            </w:pPr>
            <w:r w:rsidRPr="00DD0B49">
              <w:rPr>
                <w:rFonts w:cs="Times New Roman"/>
                <w:sz w:val="20"/>
                <w:szCs w:val="20"/>
                <w:lang w:val="en-GB"/>
              </w:rPr>
              <w:t>201</w:t>
            </w:r>
            <w:r w:rsidR="006E775A">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4</w:t>
            </w:r>
            <w:r w:rsidR="00B24B5B">
              <w:rPr>
                <w:rFonts w:cs="Times New Roman"/>
                <w:sz w:val="20"/>
                <w:szCs w:val="20"/>
                <w:lang w:val="en-GB"/>
              </w:rPr>
              <w:t>0</w:t>
            </w:r>
            <w:r w:rsidRPr="00DD0B49">
              <w:rPr>
                <w:rFonts w:cs="Times New Roman"/>
                <w:sz w:val="20"/>
                <w:szCs w:val="20"/>
                <w:lang w:val="en-GB"/>
              </w:rPr>
              <w:t>, [201</w:t>
            </w:r>
            <w:r w:rsidR="006E775A">
              <w:rPr>
                <w:rFonts w:cs="Times New Roman"/>
                <w:sz w:val="20"/>
                <w:szCs w:val="20"/>
                <w:lang w:val="en-GB"/>
              </w:rPr>
              <w:t>4</w:t>
            </w:r>
            <w:r w:rsidRPr="00DD0B49">
              <w:rPr>
                <w:rFonts w:cs="Times New Roman"/>
                <w:sz w:val="20"/>
                <w:szCs w:val="20"/>
                <w:lang w:val="en-GB"/>
              </w:rPr>
              <w:t xml:space="preserve">] </w:t>
            </w:r>
            <w:r w:rsidR="006E775A">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1</w:t>
            </w:r>
            <w:r w:rsidR="00B24B5B">
              <w:rPr>
                <w:rFonts w:cs="Times New Roman"/>
                <w:sz w:val="20"/>
                <w:szCs w:val="20"/>
                <w:lang w:val="en-GB"/>
              </w:rPr>
              <w:t>35</w:t>
            </w:r>
          </w:p>
          <w:p w:rsidR="00A956D3" w:rsidRPr="00DD0B49" w:rsidRDefault="00A956D3" w:rsidP="00E724B4">
            <w:pPr>
              <w:rPr>
                <w:rFonts w:cs="Times New Roman"/>
                <w:sz w:val="20"/>
                <w:szCs w:val="20"/>
                <w:lang w:val="en-GB"/>
              </w:rPr>
            </w:pPr>
          </w:p>
          <w:p w:rsidR="00A956D3" w:rsidRPr="00DD0B49" w:rsidRDefault="00B24B5B" w:rsidP="00E724B4">
            <w:pPr>
              <w:rPr>
                <w:rFonts w:cs="Times New Roman"/>
                <w:sz w:val="20"/>
                <w:szCs w:val="20"/>
                <w:lang w:val="en-GB"/>
              </w:rPr>
            </w:pPr>
            <w:r>
              <w:rPr>
                <w:rFonts w:cs="Times New Roman"/>
                <w:sz w:val="20"/>
                <w:szCs w:val="20"/>
                <w:lang w:val="en-GB"/>
              </w:rPr>
              <w:t>John Doe</w:t>
            </w:r>
            <w:r w:rsidR="00A956D3">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Ontario (Finance)</w:t>
            </w:r>
            <w:r w:rsidR="00A956D3" w:rsidRPr="00DD0B49">
              <w:rPr>
                <w:rFonts w:cs="Times New Roman"/>
                <w:sz w:val="20"/>
                <w:szCs w:val="20"/>
                <w:lang w:val="en-GB"/>
              </w:rPr>
              <w:t>,</w:t>
            </w:r>
          </w:p>
          <w:p w:rsidR="00A956D3" w:rsidRPr="00DD0B49" w:rsidRDefault="00A956D3" w:rsidP="00E724B4">
            <w:pPr>
              <w:rPr>
                <w:rFonts w:cs="Times New Roman"/>
                <w:sz w:val="20"/>
                <w:szCs w:val="20"/>
                <w:lang w:val="en-GB"/>
              </w:rPr>
            </w:pPr>
            <w:r w:rsidRPr="00DD0B49">
              <w:rPr>
                <w:rFonts w:cs="Times New Roman"/>
                <w:sz w:val="20"/>
                <w:szCs w:val="20"/>
                <w:lang w:val="en-GB"/>
              </w:rPr>
              <w:t>201</w:t>
            </w:r>
            <w:r w:rsidR="006E775A">
              <w:rPr>
                <w:rFonts w:cs="Times New Roman"/>
                <w:sz w:val="20"/>
                <w:szCs w:val="20"/>
                <w:lang w:val="en-GB"/>
              </w:rPr>
              <w:t>4</w:t>
            </w:r>
            <w:r w:rsidRPr="00DD0B49">
              <w:rPr>
                <w:rFonts w:cs="Times New Roman"/>
                <w:sz w:val="20"/>
                <w:szCs w:val="20"/>
                <w:lang w:val="en-GB"/>
              </w:rPr>
              <w:t xml:space="preserve"> SCC </w:t>
            </w:r>
            <w:r w:rsidR="00B24B5B">
              <w:rPr>
                <w:rFonts w:cs="Times New Roman"/>
                <w:sz w:val="20"/>
                <w:szCs w:val="20"/>
                <w:lang w:val="en-GB"/>
              </w:rPr>
              <w:t>36</w:t>
            </w:r>
            <w:r w:rsidRPr="00DD0B49">
              <w:rPr>
                <w:rFonts w:cs="Times New Roman"/>
                <w:sz w:val="20"/>
                <w:szCs w:val="20"/>
                <w:lang w:val="en-GB"/>
              </w:rPr>
              <w:t>, [201</w:t>
            </w:r>
            <w:r w:rsidR="006E775A">
              <w:rPr>
                <w:rFonts w:cs="Times New Roman"/>
                <w:sz w:val="20"/>
                <w:szCs w:val="20"/>
                <w:lang w:val="en-GB"/>
              </w:rPr>
              <w:t>4</w:t>
            </w:r>
            <w:r w:rsidRPr="00DD0B49">
              <w:rPr>
                <w:rFonts w:cs="Times New Roman"/>
                <w:sz w:val="20"/>
                <w:szCs w:val="20"/>
                <w:lang w:val="en-GB"/>
              </w:rPr>
              <w:t xml:space="preserve">] </w:t>
            </w:r>
            <w:r w:rsidR="006E775A">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3</w:t>
            </w:r>
          </w:p>
          <w:p w:rsidR="00A956D3" w:rsidRDefault="00A956D3" w:rsidP="00E724B4">
            <w:pPr>
              <w:rPr>
                <w:rFonts w:cs="Times New Roman"/>
                <w:sz w:val="20"/>
                <w:szCs w:val="20"/>
                <w:lang w:val="en-GB"/>
              </w:rPr>
            </w:pPr>
          </w:p>
          <w:p w:rsidR="00A956D3" w:rsidRPr="00DD0B49" w:rsidRDefault="00A956D3" w:rsidP="00E724B4">
            <w:pPr>
              <w:rPr>
                <w:rFonts w:cs="Times New Roman"/>
                <w:sz w:val="20"/>
                <w:szCs w:val="20"/>
                <w:lang w:val="en-GB"/>
              </w:rPr>
            </w:pPr>
          </w:p>
          <w:p w:rsidR="00A956D3" w:rsidRPr="00DD0B49" w:rsidRDefault="00B24B5B" w:rsidP="00E724B4">
            <w:pPr>
              <w:rPr>
                <w:rFonts w:cs="Times New Roman"/>
                <w:sz w:val="20"/>
                <w:szCs w:val="20"/>
                <w:lang w:val="en-GB"/>
              </w:rPr>
            </w:pPr>
            <w:r>
              <w:rPr>
                <w:rFonts w:cs="Times New Roman"/>
                <w:sz w:val="20"/>
                <w:szCs w:val="20"/>
                <w:lang w:val="en-GB"/>
              </w:rPr>
              <w:t>McC</w:t>
            </w:r>
            <w:r w:rsidR="00A956D3">
              <w:rPr>
                <w:rFonts w:cs="Times New Roman"/>
                <w:sz w:val="20"/>
                <w:szCs w:val="20"/>
                <w:lang w:val="en-GB"/>
              </w:rPr>
              <w:t>o</w:t>
            </w:r>
            <w:r>
              <w:rPr>
                <w:rFonts w:cs="Times New Roman"/>
                <w:sz w:val="20"/>
                <w:szCs w:val="20"/>
                <w:lang w:val="en-GB"/>
              </w:rPr>
              <w:t xml:space="preserve">rmick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Fasken Mart</w:t>
            </w:r>
            <w:r w:rsidR="00A956D3">
              <w:rPr>
                <w:rFonts w:cs="Times New Roman"/>
                <w:sz w:val="20"/>
                <w:szCs w:val="20"/>
                <w:lang w:val="en-GB"/>
              </w:rPr>
              <w:t>in</w:t>
            </w:r>
            <w:r>
              <w:rPr>
                <w:rFonts w:cs="Times New Roman"/>
                <w:sz w:val="20"/>
                <w:szCs w:val="20"/>
                <w:lang w:val="en-GB"/>
              </w:rPr>
              <w:t>e</w:t>
            </w:r>
            <w:r w:rsidR="00A956D3">
              <w:rPr>
                <w:rFonts w:cs="Times New Roman"/>
                <w:sz w:val="20"/>
                <w:szCs w:val="20"/>
                <w:lang w:val="en-GB"/>
              </w:rPr>
              <w:t>a</w:t>
            </w:r>
            <w:r>
              <w:rPr>
                <w:rFonts w:cs="Times New Roman"/>
                <w:sz w:val="20"/>
                <w:szCs w:val="20"/>
                <w:lang w:val="en-GB"/>
              </w:rPr>
              <w:t xml:space="preserve">u DuMoulin </w:t>
            </w:r>
            <w:r w:rsidR="00A956D3">
              <w:rPr>
                <w:rFonts w:cs="Times New Roman"/>
                <w:sz w:val="20"/>
                <w:szCs w:val="20"/>
                <w:lang w:val="en-GB"/>
              </w:rPr>
              <w:t>L</w:t>
            </w:r>
            <w:r>
              <w:rPr>
                <w:rFonts w:cs="Times New Roman"/>
                <w:sz w:val="20"/>
                <w:szCs w:val="20"/>
                <w:lang w:val="en-GB"/>
              </w:rPr>
              <w:t>LP</w:t>
            </w:r>
            <w:r w:rsidR="00A956D3" w:rsidRPr="00DD0B49">
              <w:rPr>
                <w:rFonts w:cs="Times New Roman"/>
                <w:sz w:val="20"/>
                <w:szCs w:val="20"/>
                <w:lang w:val="en-GB"/>
              </w:rPr>
              <w:t>,</w:t>
            </w:r>
          </w:p>
          <w:p w:rsidR="00A956D3" w:rsidRPr="00DD0B49" w:rsidRDefault="00A956D3" w:rsidP="00E724B4">
            <w:pPr>
              <w:rPr>
                <w:rFonts w:cs="Times New Roman"/>
                <w:sz w:val="20"/>
                <w:szCs w:val="20"/>
              </w:rPr>
            </w:pPr>
            <w:r w:rsidRPr="00DD0B49">
              <w:rPr>
                <w:rFonts w:cs="Times New Roman"/>
                <w:sz w:val="20"/>
                <w:szCs w:val="20"/>
              </w:rPr>
              <w:t>201</w:t>
            </w:r>
            <w:r w:rsidR="006E775A">
              <w:rPr>
                <w:rFonts w:cs="Times New Roman"/>
                <w:sz w:val="20"/>
                <w:szCs w:val="20"/>
              </w:rPr>
              <w:t>4</w:t>
            </w:r>
            <w:r w:rsidRPr="00DD0B49">
              <w:rPr>
                <w:rFonts w:cs="Times New Roman"/>
                <w:sz w:val="20"/>
                <w:szCs w:val="20"/>
              </w:rPr>
              <w:t xml:space="preserve"> SCC </w:t>
            </w:r>
            <w:r>
              <w:rPr>
                <w:rFonts w:cs="Times New Roman"/>
                <w:sz w:val="20"/>
                <w:szCs w:val="20"/>
              </w:rPr>
              <w:t>3</w:t>
            </w:r>
            <w:r w:rsidR="00B24B5B">
              <w:rPr>
                <w:rFonts w:cs="Times New Roman"/>
                <w:sz w:val="20"/>
                <w:szCs w:val="20"/>
              </w:rPr>
              <w:t>9</w:t>
            </w:r>
            <w:r w:rsidRPr="00DD0B49">
              <w:rPr>
                <w:rFonts w:cs="Times New Roman"/>
                <w:sz w:val="20"/>
                <w:szCs w:val="20"/>
              </w:rPr>
              <w:t>, [201</w:t>
            </w:r>
            <w:r w:rsidR="006E775A">
              <w:rPr>
                <w:rFonts w:cs="Times New Roman"/>
                <w:sz w:val="20"/>
                <w:szCs w:val="20"/>
              </w:rPr>
              <w:t>4</w:t>
            </w:r>
            <w:r w:rsidRPr="00DD0B49">
              <w:rPr>
                <w:rFonts w:cs="Times New Roman"/>
                <w:sz w:val="20"/>
                <w:szCs w:val="20"/>
              </w:rPr>
              <w:t xml:space="preserve">] </w:t>
            </w:r>
            <w:r w:rsidR="006E775A">
              <w:rPr>
                <w:rFonts w:cs="Times New Roman"/>
                <w:sz w:val="20"/>
                <w:szCs w:val="20"/>
              </w:rPr>
              <w:t>2</w:t>
            </w:r>
            <w:r w:rsidRPr="00DD0B49">
              <w:rPr>
                <w:rFonts w:cs="Times New Roman"/>
                <w:sz w:val="20"/>
                <w:szCs w:val="20"/>
              </w:rPr>
              <w:t xml:space="preserve"> S.C.R. </w:t>
            </w:r>
            <w:r w:rsidR="00B24B5B">
              <w:rPr>
                <w:rFonts w:cs="Times New Roman"/>
                <w:sz w:val="20"/>
                <w:szCs w:val="20"/>
              </w:rPr>
              <w:t>108</w:t>
            </w:r>
          </w:p>
          <w:p w:rsidR="00A956D3" w:rsidRDefault="00A956D3" w:rsidP="00E724B4">
            <w:pPr>
              <w:rPr>
                <w:rFonts w:cs="Times New Roman"/>
                <w:sz w:val="20"/>
                <w:szCs w:val="20"/>
              </w:rPr>
            </w:pPr>
          </w:p>
          <w:p w:rsidR="00A956D3" w:rsidRPr="00DD0B49" w:rsidRDefault="00B24B5B" w:rsidP="00E724B4">
            <w:pPr>
              <w:rPr>
                <w:rFonts w:cs="Times New Roman"/>
                <w:sz w:val="20"/>
                <w:szCs w:val="20"/>
                <w:lang w:val="en-GB"/>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Pr>
                <w:rFonts w:cs="Times New Roman"/>
                <w:sz w:val="20"/>
                <w:szCs w:val="20"/>
              </w:rPr>
              <w:t>Anderson</w:t>
            </w:r>
            <w:r w:rsidR="00A956D3" w:rsidRPr="00DD0B49">
              <w:rPr>
                <w:rFonts w:cs="Times New Roman"/>
                <w:sz w:val="20"/>
                <w:szCs w:val="20"/>
                <w:lang w:val="en-GB"/>
              </w:rPr>
              <w:t>,</w:t>
            </w:r>
          </w:p>
          <w:p w:rsidR="00A956D3" w:rsidRPr="00EE0831" w:rsidRDefault="00A956D3" w:rsidP="00E724B4">
            <w:pPr>
              <w:rPr>
                <w:rFonts w:cs="Times New Roman"/>
                <w:sz w:val="20"/>
                <w:szCs w:val="20"/>
              </w:rPr>
            </w:pPr>
            <w:r w:rsidRPr="00EE0831">
              <w:rPr>
                <w:rFonts w:cs="Times New Roman"/>
                <w:sz w:val="20"/>
                <w:szCs w:val="20"/>
              </w:rPr>
              <w:t>201</w:t>
            </w:r>
            <w:r w:rsidR="006E775A">
              <w:rPr>
                <w:rFonts w:cs="Times New Roman"/>
                <w:sz w:val="20"/>
                <w:szCs w:val="20"/>
              </w:rPr>
              <w:t>4</w:t>
            </w:r>
            <w:r w:rsidRPr="00EE0831">
              <w:rPr>
                <w:rFonts w:cs="Times New Roman"/>
                <w:sz w:val="20"/>
                <w:szCs w:val="20"/>
              </w:rPr>
              <w:t xml:space="preserve"> SCC </w:t>
            </w:r>
            <w:r>
              <w:rPr>
                <w:rFonts w:cs="Times New Roman"/>
                <w:sz w:val="20"/>
                <w:szCs w:val="20"/>
              </w:rPr>
              <w:t>4</w:t>
            </w:r>
            <w:r w:rsidR="00B24B5B">
              <w:rPr>
                <w:rFonts w:cs="Times New Roman"/>
                <w:sz w:val="20"/>
                <w:szCs w:val="20"/>
              </w:rPr>
              <w:t>1</w:t>
            </w:r>
            <w:r w:rsidRPr="00EE0831">
              <w:rPr>
                <w:rFonts w:cs="Times New Roman"/>
                <w:sz w:val="20"/>
                <w:szCs w:val="20"/>
              </w:rPr>
              <w:t>, [201</w:t>
            </w:r>
            <w:r w:rsidR="006E775A">
              <w:rPr>
                <w:rFonts w:cs="Times New Roman"/>
                <w:sz w:val="20"/>
                <w:szCs w:val="20"/>
              </w:rPr>
              <w:t>4</w:t>
            </w:r>
            <w:r w:rsidRPr="00EE0831">
              <w:rPr>
                <w:rFonts w:cs="Times New Roman"/>
                <w:sz w:val="20"/>
                <w:szCs w:val="20"/>
              </w:rPr>
              <w:t xml:space="preserve">] </w:t>
            </w:r>
            <w:r w:rsidR="006E775A">
              <w:rPr>
                <w:rFonts w:cs="Times New Roman"/>
                <w:sz w:val="20"/>
                <w:szCs w:val="20"/>
              </w:rPr>
              <w:t>2</w:t>
            </w:r>
            <w:r w:rsidRPr="00EE0831">
              <w:rPr>
                <w:rFonts w:cs="Times New Roman"/>
                <w:sz w:val="20"/>
                <w:szCs w:val="20"/>
              </w:rPr>
              <w:t xml:space="preserve"> S.C.R. </w:t>
            </w:r>
            <w:r w:rsidR="00B24B5B">
              <w:rPr>
                <w:rFonts w:cs="Times New Roman"/>
                <w:sz w:val="20"/>
                <w:szCs w:val="20"/>
              </w:rPr>
              <w:t>167</w:t>
            </w:r>
          </w:p>
          <w:p w:rsidR="00A956D3" w:rsidRPr="00EE0831" w:rsidRDefault="00A956D3" w:rsidP="00E724B4">
            <w:pPr>
              <w:rPr>
                <w:rFonts w:cs="Times New Roman"/>
                <w:sz w:val="20"/>
                <w:szCs w:val="20"/>
              </w:rPr>
            </w:pPr>
          </w:p>
          <w:p w:rsidR="00A956D3" w:rsidRPr="00EE0831" w:rsidRDefault="00A956D3" w:rsidP="00E724B4">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B24B5B">
              <w:rPr>
                <w:rFonts w:cs="Times New Roman"/>
                <w:sz w:val="20"/>
                <w:szCs w:val="20"/>
              </w:rPr>
              <w:t>Spenc</w:t>
            </w:r>
            <w:r w:rsidRPr="00EE0831">
              <w:rPr>
                <w:rFonts w:cs="Times New Roman"/>
                <w:sz w:val="20"/>
                <w:szCs w:val="20"/>
              </w:rPr>
              <w:t>e</w:t>
            </w:r>
            <w:r w:rsidR="00B24B5B">
              <w:rPr>
                <w:rFonts w:cs="Times New Roman"/>
                <w:sz w:val="20"/>
                <w:szCs w:val="20"/>
              </w:rPr>
              <w:t>r</w:t>
            </w:r>
            <w:r w:rsidRPr="00EE0831">
              <w:rPr>
                <w:rFonts w:cs="Times New Roman"/>
                <w:sz w:val="20"/>
                <w:szCs w:val="20"/>
              </w:rPr>
              <w:t>,</w:t>
            </w:r>
          </w:p>
          <w:p w:rsidR="00A956D3" w:rsidRPr="00EE0831" w:rsidRDefault="00A956D3" w:rsidP="00E724B4">
            <w:pPr>
              <w:rPr>
                <w:rFonts w:cs="Times New Roman"/>
                <w:sz w:val="20"/>
                <w:szCs w:val="20"/>
              </w:rPr>
            </w:pPr>
            <w:r w:rsidRPr="00EE0831">
              <w:rPr>
                <w:rFonts w:cs="Times New Roman"/>
                <w:sz w:val="20"/>
                <w:szCs w:val="20"/>
              </w:rPr>
              <w:t>201</w:t>
            </w:r>
            <w:r w:rsidR="006E775A">
              <w:rPr>
                <w:rFonts w:cs="Times New Roman"/>
                <w:sz w:val="20"/>
                <w:szCs w:val="20"/>
              </w:rPr>
              <w:t>4</w:t>
            </w:r>
            <w:r w:rsidRPr="00EE0831">
              <w:rPr>
                <w:rFonts w:cs="Times New Roman"/>
                <w:sz w:val="20"/>
                <w:szCs w:val="20"/>
              </w:rPr>
              <w:t xml:space="preserve"> SCC </w:t>
            </w:r>
            <w:r>
              <w:rPr>
                <w:rFonts w:cs="Times New Roman"/>
                <w:sz w:val="20"/>
                <w:szCs w:val="20"/>
              </w:rPr>
              <w:t>4</w:t>
            </w:r>
            <w:r w:rsidR="00B24B5B">
              <w:rPr>
                <w:rFonts w:cs="Times New Roman"/>
                <w:sz w:val="20"/>
                <w:szCs w:val="20"/>
              </w:rPr>
              <w:t>3</w:t>
            </w:r>
            <w:r w:rsidR="006E775A">
              <w:rPr>
                <w:rFonts w:cs="Times New Roman"/>
                <w:sz w:val="20"/>
                <w:szCs w:val="20"/>
              </w:rPr>
              <w:t>, [2014</w:t>
            </w:r>
            <w:r w:rsidRPr="00EE0831">
              <w:rPr>
                <w:rFonts w:cs="Times New Roman"/>
                <w:sz w:val="20"/>
                <w:szCs w:val="20"/>
              </w:rPr>
              <w:t xml:space="preserve">] </w:t>
            </w:r>
            <w:r w:rsidR="006E775A">
              <w:rPr>
                <w:rFonts w:cs="Times New Roman"/>
                <w:sz w:val="20"/>
                <w:szCs w:val="20"/>
              </w:rPr>
              <w:t>2</w:t>
            </w:r>
            <w:r w:rsidRPr="00EE0831">
              <w:rPr>
                <w:rFonts w:cs="Times New Roman"/>
                <w:sz w:val="20"/>
                <w:szCs w:val="20"/>
              </w:rPr>
              <w:t xml:space="preserve"> S.C.R. </w:t>
            </w:r>
            <w:r>
              <w:rPr>
                <w:rFonts w:cs="Times New Roman"/>
                <w:sz w:val="20"/>
                <w:szCs w:val="20"/>
              </w:rPr>
              <w:t>2</w:t>
            </w:r>
            <w:r w:rsidR="00B24B5B">
              <w:rPr>
                <w:rFonts w:cs="Times New Roman"/>
                <w:sz w:val="20"/>
                <w:szCs w:val="20"/>
              </w:rPr>
              <w:t>1</w:t>
            </w:r>
            <w:r>
              <w:rPr>
                <w:rFonts w:cs="Times New Roman"/>
                <w:sz w:val="20"/>
                <w:szCs w:val="20"/>
              </w:rPr>
              <w:t>2</w:t>
            </w:r>
          </w:p>
          <w:p w:rsidR="00A956D3" w:rsidRPr="00EE0831" w:rsidRDefault="00A956D3" w:rsidP="00E724B4">
            <w:pPr>
              <w:rPr>
                <w:rFonts w:cs="Times New Roman"/>
                <w:sz w:val="20"/>
                <w:szCs w:val="20"/>
              </w:rPr>
            </w:pPr>
          </w:p>
          <w:p w:rsidR="00A956D3" w:rsidRPr="00EE0831" w:rsidRDefault="00B24B5B" w:rsidP="00E724B4">
            <w:pPr>
              <w:rPr>
                <w:rFonts w:cs="Times New Roman"/>
                <w:sz w:val="20"/>
                <w:szCs w:val="20"/>
              </w:rPr>
            </w:pPr>
            <w:r>
              <w:rPr>
                <w:rFonts w:cs="Times New Roman"/>
                <w:sz w:val="20"/>
                <w:szCs w:val="20"/>
              </w:rPr>
              <w:t>Stubicar</w:t>
            </w:r>
            <w:r w:rsidR="00A956D3" w:rsidRPr="00EE0831">
              <w:rPr>
                <w:rFonts w:cs="Times New Roman"/>
                <w:sz w:val="20"/>
                <w:szCs w:val="20"/>
              </w:rPr>
              <w:t xml:space="preserve"> </w:t>
            </w:r>
            <w:r w:rsidR="00A956D3" w:rsidRPr="00EE0831">
              <w:rPr>
                <w:rFonts w:cs="Times New Roman"/>
                <w:i/>
                <w:iCs/>
                <w:sz w:val="20"/>
                <w:szCs w:val="20"/>
              </w:rPr>
              <w:t>v</w:t>
            </w:r>
            <w:r w:rsidR="00A956D3" w:rsidRPr="00EE0831">
              <w:rPr>
                <w:rFonts w:cs="Times New Roman"/>
                <w:sz w:val="20"/>
                <w:szCs w:val="20"/>
              </w:rPr>
              <w:t xml:space="preserve">. </w:t>
            </w:r>
            <w:r>
              <w:rPr>
                <w:rFonts w:cs="Times New Roman"/>
                <w:sz w:val="20"/>
                <w:szCs w:val="20"/>
              </w:rPr>
              <w:t>C</w:t>
            </w:r>
            <w:r w:rsidR="00A956D3" w:rsidRPr="00EE0831">
              <w:rPr>
                <w:rFonts w:cs="Times New Roman"/>
                <w:sz w:val="20"/>
                <w:szCs w:val="20"/>
              </w:rPr>
              <w:t>a</w:t>
            </w:r>
            <w:r>
              <w:rPr>
                <w:rFonts w:cs="Times New Roman"/>
                <w:sz w:val="20"/>
                <w:szCs w:val="20"/>
              </w:rPr>
              <w:t>nada (Public Safety and Emergency Preparedness)</w:t>
            </w:r>
            <w:r w:rsidR="00A956D3" w:rsidRPr="00EE0831">
              <w:rPr>
                <w:rFonts w:cs="Times New Roman"/>
                <w:sz w:val="20"/>
                <w:szCs w:val="20"/>
              </w:rPr>
              <w:t>,</w:t>
            </w:r>
          </w:p>
          <w:p w:rsidR="00A956D3" w:rsidRPr="00E836F1" w:rsidRDefault="00A956D3" w:rsidP="00E724B4">
            <w:pPr>
              <w:rPr>
                <w:rFonts w:cs="Times New Roman"/>
                <w:sz w:val="20"/>
                <w:szCs w:val="20"/>
              </w:rPr>
            </w:pPr>
            <w:r w:rsidRPr="00E836F1">
              <w:rPr>
                <w:rFonts w:cs="Times New Roman"/>
                <w:sz w:val="20"/>
                <w:szCs w:val="20"/>
              </w:rPr>
              <w:t>201</w:t>
            </w:r>
            <w:r w:rsidR="006E775A">
              <w:rPr>
                <w:rFonts w:cs="Times New Roman"/>
                <w:sz w:val="20"/>
                <w:szCs w:val="20"/>
              </w:rPr>
              <w:t>4</w:t>
            </w:r>
            <w:r w:rsidRPr="00E836F1">
              <w:rPr>
                <w:rFonts w:cs="Times New Roman"/>
                <w:sz w:val="20"/>
                <w:szCs w:val="20"/>
              </w:rPr>
              <w:t xml:space="preserve"> SCC </w:t>
            </w:r>
            <w:r w:rsidR="00B24B5B">
              <w:rPr>
                <w:rFonts w:cs="Times New Roman"/>
                <w:sz w:val="20"/>
                <w:szCs w:val="20"/>
              </w:rPr>
              <w:t>38</w:t>
            </w:r>
            <w:r w:rsidRPr="00E836F1">
              <w:rPr>
                <w:rFonts w:cs="Times New Roman"/>
                <w:sz w:val="20"/>
                <w:szCs w:val="20"/>
              </w:rPr>
              <w:t>, [201</w:t>
            </w:r>
            <w:r w:rsidR="006E775A">
              <w:rPr>
                <w:rFonts w:cs="Times New Roman"/>
                <w:sz w:val="20"/>
                <w:szCs w:val="20"/>
              </w:rPr>
              <w:t>4</w:t>
            </w:r>
            <w:r w:rsidRPr="00E836F1">
              <w:rPr>
                <w:rFonts w:cs="Times New Roman"/>
                <w:sz w:val="20"/>
                <w:szCs w:val="20"/>
              </w:rPr>
              <w:t xml:space="preserve">] </w:t>
            </w:r>
            <w:r w:rsidR="006E775A">
              <w:rPr>
                <w:rFonts w:cs="Times New Roman"/>
                <w:sz w:val="20"/>
                <w:szCs w:val="20"/>
              </w:rPr>
              <w:t>2</w:t>
            </w:r>
            <w:r w:rsidRPr="00E836F1">
              <w:rPr>
                <w:rFonts w:cs="Times New Roman"/>
                <w:sz w:val="20"/>
                <w:szCs w:val="20"/>
              </w:rPr>
              <w:t xml:space="preserve"> S.C.R. </w:t>
            </w:r>
            <w:r w:rsidR="00B24B5B">
              <w:rPr>
                <w:rFonts w:cs="Times New Roman"/>
                <w:sz w:val="20"/>
                <w:szCs w:val="20"/>
              </w:rPr>
              <w:t>104</w:t>
            </w:r>
          </w:p>
          <w:p w:rsidR="00A956D3" w:rsidRPr="00E836F1" w:rsidRDefault="00A956D3" w:rsidP="00E724B4">
            <w:pPr>
              <w:rPr>
                <w:rFonts w:cs="Times New Roman"/>
                <w:sz w:val="20"/>
                <w:szCs w:val="20"/>
              </w:rPr>
            </w:pPr>
          </w:p>
          <w:p w:rsidR="00A956D3" w:rsidRPr="00B24B5B" w:rsidRDefault="00B24B5B" w:rsidP="00E724B4">
            <w:pPr>
              <w:rPr>
                <w:rFonts w:cs="Times New Roman"/>
                <w:sz w:val="20"/>
                <w:szCs w:val="20"/>
              </w:rPr>
            </w:pPr>
            <w:r w:rsidRPr="00B24B5B">
              <w:rPr>
                <w:rFonts w:cs="Times New Roman"/>
                <w:sz w:val="20"/>
                <w:szCs w:val="20"/>
              </w:rPr>
              <w:t xml:space="preserve">Tsilhqot’in Nation </w:t>
            </w:r>
            <w:r w:rsidR="00A956D3" w:rsidRPr="00B24B5B">
              <w:rPr>
                <w:rFonts w:cs="Times New Roman"/>
                <w:i/>
                <w:iCs/>
                <w:sz w:val="20"/>
                <w:szCs w:val="20"/>
              </w:rPr>
              <w:t>v</w:t>
            </w:r>
            <w:r w:rsidR="00A956D3" w:rsidRPr="00B24B5B">
              <w:rPr>
                <w:rFonts w:cs="Times New Roman"/>
                <w:sz w:val="20"/>
                <w:szCs w:val="20"/>
              </w:rPr>
              <w:t>. Br</w:t>
            </w:r>
            <w:r>
              <w:rPr>
                <w:rFonts w:cs="Times New Roman"/>
                <w:sz w:val="20"/>
                <w:szCs w:val="20"/>
              </w:rPr>
              <w:t xml:space="preserve">itish </w:t>
            </w:r>
            <w:r w:rsidR="00A956D3" w:rsidRPr="00B24B5B">
              <w:rPr>
                <w:rFonts w:cs="Times New Roman"/>
                <w:sz w:val="20"/>
                <w:szCs w:val="20"/>
              </w:rPr>
              <w:t>Co</w:t>
            </w:r>
            <w:r>
              <w:rPr>
                <w:rFonts w:cs="Times New Roman"/>
                <w:sz w:val="20"/>
                <w:szCs w:val="20"/>
              </w:rPr>
              <w:t>lumbi</w:t>
            </w:r>
            <w:r w:rsidR="00A956D3" w:rsidRPr="00B24B5B">
              <w:rPr>
                <w:rFonts w:cs="Times New Roman"/>
                <w:sz w:val="20"/>
                <w:szCs w:val="20"/>
              </w:rPr>
              <w:t>a,</w:t>
            </w:r>
          </w:p>
          <w:p w:rsidR="00A956D3" w:rsidRPr="00E4544C" w:rsidRDefault="00A956D3" w:rsidP="00E724B4">
            <w:pPr>
              <w:rPr>
                <w:rFonts w:cs="Times New Roman"/>
                <w:sz w:val="20"/>
                <w:szCs w:val="20"/>
                <w:lang w:val="fr-CA"/>
              </w:rPr>
            </w:pPr>
            <w:r w:rsidRPr="00E4544C">
              <w:rPr>
                <w:rFonts w:cs="Times New Roman"/>
                <w:sz w:val="20"/>
                <w:szCs w:val="20"/>
                <w:lang w:val="fr-CA"/>
              </w:rPr>
              <w:t>201</w:t>
            </w:r>
            <w:r w:rsidR="006E775A">
              <w:rPr>
                <w:rFonts w:cs="Times New Roman"/>
                <w:sz w:val="20"/>
                <w:szCs w:val="20"/>
                <w:lang w:val="fr-CA"/>
              </w:rPr>
              <w:t>4</w:t>
            </w:r>
            <w:r w:rsidRPr="00E4544C">
              <w:rPr>
                <w:rFonts w:cs="Times New Roman"/>
                <w:sz w:val="20"/>
                <w:szCs w:val="20"/>
                <w:lang w:val="fr-CA"/>
              </w:rPr>
              <w:t xml:space="preserve"> SCC </w:t>
            </w:r>
            <w:r>
              <w:rPr>
                <w:rFonts w:cs="Times New Roman"/>
                <w:sz w:val="20"/>
                <w:szCs w:val="20"/>
                <w:lang w:val="fr-CA"/>
              </w:rPr>
              <w:t>4</w:t>
            </w:r>
            <w:r w:rsidR="00B24B5B">
              <w:rPr>
                <w:rFonts w:cs="Times New Roman"/>
                <w:sz w:val="20"/>
                <w:szCs w:val="20"/>
                <w:lang w:val="fr-CA"/>
              </w:rPr>
              <w:t>4</w:t>
            </w:r>
            <w:r w:rsidRPr="00E4544C">
              <w:rPr>
                <w:rFonts w:cs="Times New Roman"/>
                <w:sz w:val="20"/>
                <w:szCs w:val="20"/>
                <w:lang w:val="fr-CA"/>
              </w:rPr>
              <w:t>, [201</w:t>
            </w:r>
            <w:r w:rsidR="006E775A">
              <w:rPr>
                <w:rFonts w:cs="Times New Roman"/>
                <w:sz w:val="20"/>
                <w:szCs w:val="20"/>
                <w:lang w:val="fr-CA"/>
              </w:rPr>
              <w:t>4</w:t>
            </w:r>
            <w:r w:rsidRPr="00E4544C">
              <w:rPr>
                <w:rFonts w:cs="Times New Roman"/>
                <w:sz w:val="20"/>
                <w:szCs w:val="20"/>
                <w:lang w:val="fr-CA"/>
              </w:rPr>
              <w:t xml:space="preserve">] </w:t>
            </w:r>
            <w:r w:rsidR="006E775A">
              <w:rPr>
                <w:rFonts w:cs="Times New Roman"/>
                <w:sz w:val="20"/>
                <w:szCs w:val="20"/>
                <w:lang w:val="fr-CA"/>
              </w:rPr>
              <w:t>2</w:t>
            </w:r>
            <w:r w:rsidRPr="00E4544C">
              <w:rPr>
                <w:rFonts w:cs="Times New Roman"/>
                <w:sz w:val="20"/>
                <w:szCs w:val="20"/>
                <w:lang w:val="fr-CA"/>
              </w:rPr>
              <w:t xml:space="preserve"> S.C.R. </w:t>
            </w:r>
            <w:r>
              <w:rPr>
                <w:rFonts w:cs="Times New Roman"/>
                <w:sz w:val="20"/>
                <w:szCs w:val="20"/>
                <w:lang w:val="fr-CA"/>
              </w:rPr>
              <w:t>25</w:t>
            </w:r>
            <w:r w:rsidR="00B24B5B">
              <w:rPr>
                <w:rFonts w:cs="Times New Roman"/>
                <w:sz w:val="20"/>
                <w:szCs w:val="20"/>
                <w:lang w:val="fr-CA"/>
              </w:rPr>
              <w:t>7</w:t>
            </w:r>
          </w:p>
          <w:p w:rsidR="00A956D3" w:rsidRDefault="00A956D3" w:rsidP="00E724B4">
            <w:pPr>
              <w:rPr>
                <w:rFonts w:cs="Times New Roman"/>
                <w:sz w:val="20"/>
                <w:szCs w:val="20"/>
                <w:lang w:val="fr-CA"/>
              </w:rPr>
            </w:pPr>
          </w:p>
          <w:p w:rsidR="00A956D3" w:rsidRPr="00DD0B49" w:rsidRDefault="00007FF8" w:rsidP="00E724B4">
            <w:pPr>
              <w:keepNext/>
              <w:keepLines/>
              <w:rPr>
                <w:rFonts w:cs="Times New Roman"/>
                <w:bCs/>
                <w:sz w:val="20"/>
                <w:szCs w:val="20"/>
                <w:lang w:val="fr-CA"/>
              </w:rPr>
            </w:pPr>
            <w:r>
              <w:rPr>
                <w:rFonts w:cs="Times New Roman"/>
                <w:sz w:val="20"/>
                <w:szCs w:val="20"/>
              </w:rPr>
              <w:pict>
                <v:rect id="_x0000_i1074" style="width:129.6pt;height:1pt" o:hrpct="600" o:hralign="center" o:hrstd="t" o:hrnoshade="t" o:hr="t" fillcolor="black [3213]" stroked="f"/>
              </w:pict>
            </w:r>
          </w:p>
          <w:p w:rsidR="00A956D3" w:rsidRPr="00DD0B49" w:rsidRDefault="00A956D3" w:rsidP="00E724B4">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E724B4">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E724B4">
            <w:pPr>
              <w:rPr>
                <w:rFonts w:cs="Times New Roman"/>
                <w:b/>
                <w:bCs/>
                <w:sz w:val="20"/>
                <w:szCs w:val="20"/>
                <w:lang w:val="fr-CA"/>
              </w:rPr>
            </w:pPr>
            <w:r w:rsidRPr="00DD0B49">
              <w:rPr>
                <w:rFonts w:cs="Times New Roman"/>
                <w:b/>
                <w:bCs/>
                <w:sz w:val="20"/>
                <w:szCs w:val="20"/>
                <w:lang w:val="fr-CA"/>
              </w:rPr>
              <w:t>Jugements publiés dans [201</w:t>
            </w:r>
            <w:r w:rsidR="0060471F">
              <w:rPr>
                <w:rFonts w:cs="Times New Roman"/>
                <w:b/>
                <w:bCs/>
                <w:sz w:val="20"/>
                <w:szCs w:val="20"/>
                <w:lang w:val="fr-CA"/>
              </w:rPr>
              <w:t>4</w:t>
            </w:r>
            <w:r w:rsidRPr="00DD0B49">
              <w:rPr>
                <w:rFonts w:cs="Times New Roman"/>
                <w:b/>
                <w:bCs/>
                <w:sz w:val="20"/>
                <w:szCs w:val="20"/>
                <w:lang w:val="fr-CA"/>
              </w:rPr>
              <w:t xml:space="preserve">] </w:t>
            </w:r>
            <w:r w:rsidR="0060471F">
              <w:rPr>
                <w:rFonts w:cs="Times New Roman"/>
                <w:b/>
                <w:bCs/>
                <w:sz w:val="20"/>
                <w:szCs w:val="20"/>
                <w:lang w:val="fr-CA"/>
              </w:rPr>
              <w:t>2</w:t>
            </w:r>
            <w:r w:rsidRPr="00DD0B49">
              <w:rPr>
                <w:rFonts w:cs="Times New Roman"/>
                <w:b/>
                <w:bCs/>
                <w:sz w:val="20"/>
                <w:szCs w:val="20"/>
                <w:lang w:val="fr-CA"/>
              </w:rPr>
              <w:t xml:space="preserve"> R.C.S. Partie </w:t>
            </w:r>
            <w:r>
              <w:rPr>
                <w:rFonts w:cs="Times New Roman"/>
                <w:b/>
                <w:bCs/>
                <w:sz w:val="20"/>
                <w:szCs w:val="20"/>
                <w:lang w:val="fr-CA"/>
              </w:rPr>
              <w:t>1</w:t>
            </w:r>
          </w:p>
          <w:p w:rsidR="00A956D3" w:rsidRPr="00DD0B49" w:rsidRDefault="00A956D3" w:rsidP="00E724B4">
            <w:pPr>
              <w:rPr>
                <w:rFonts w:cs="Times New Roman"/>
                <w:b/>
                <w:bCs/>
                <w:sz w:val="20"/>
                <w:szCs w:val="20"/>
                <w:lang w:val="fr-CA"/>
              </w:rPr>
            </w:pPr>
          </w:p>
          <w:p w:rsidR="00A956D3" w:rsidRPr="00EE0831" w:rsidRDefault="00A956D3" w:rsidP="00E724B4">
            <w:pPr>
              <w:rPr>
                <w:rFonts w:cs="Times New Roman"/>
                <w:sz w:val="20"/>
                <w:szCs w:val="20"/>
                <w:lang w:val="fr-CA"/>
              </w:rPr>
            </w:pPr>
            <w:r w:rsidRPr="00EE0831">
              <w:rPr>
                <w:rFonts w:cs="Times New Roman"/>
                <w:sz w:val="20"/>
                <w:szCs w:val="20"/>
                <w:lang w:val="fr-CA"/>
              </w:rPr>
              <w:t>C</w:t>
            </w:r>
            <w:r w:rsidR="006E775A">
              <w:rPr>
                <w:rFonts w:cs="Times New Roman"/>
                <w:sz w:val="20"/>
                <w:szCs w:val="20"/>
                <w:lang w:val="fr-CA"/>
              </w:rPr>
              <w:t>anada</w:t>
            </w:r>
            <w:r w:rsidRPr="00EE0831">
              <w:rPr>
                <w:rFonts w:cs="Times New Roman"/>
                <w:sz w:val="20"/>
                <w:szCs w:val="20"/>
                <w:lang w:val="fr-CA"/>
              </w:rPr>
              <w:t xml:space="preserve"> (</w:t>
            </w:r>
            <w:r w:rsidR="006E775A">
              <w:rPr>
                <w:rFonts w:cs="Times New Roman"/>
                <w:sz w:val="20"/>
                <w:szCs w:val="20"/>
                <w:lang w:val="fr-CA"/>
              </w:rPr>
              <w:t>Cit</w:t>
            </w:r>
            <w:r w:rsidRPr="00EE0831">
              <w:rPr>
                <w:rFonts w:cs="Times New Roman"/>
                <w:sz w:val="20"/>
                <w:szCs w:val="20"/>
                <w:lang w:val="fr-CA"/>
              </w:rPr>
              <w:t>o</w:t>
            </w:r>
            <w:r w:rsidR="00B24B5B">
              <w:rPr>
                <w:rFonts w:cs="Times New Roman"/>
                <w:sz w:val="20"/>
                <w:szCs w:val="20"/>
                <w:lang w:val="fr-CA"/>
              </w:rPr>
              <w:t>yenne</w:t>
            </w:r>
            <w:r w:rsidRPr="00EE0831">
              <w:rPr>
                <w:rFonts w:cs="Times New Roman"/>
                <w:sz w:val="20"/>
                <w:szCs w:val="20"/>
                <w:lang w:val="fr-CA"/>
              </w:rPr>
              <w:t>t</w:t>
            </w:r>
            <w:r w:rsidR="00B24B5B">
              <w:rPr>
                <w:rFonts w:cs="Times New Roman"/>
                <w:sz w:val="20"/>
                <w:szCs w:val="20"/>
                <w:lang w:val="fr-CA"/>
              </w:rPr>
              <w:t>é et Immigration</w:t>
            </w:r>
            <w:r w:rsidRPr="00EE0831">
              <w:rPr>
                <w:rFonts w:cs="Times New Roman"/>
                <w:sz w:val="20"/>
                <w:szCs w:val="20"/>
                <w:lang w:val="fr-CA"/>
              </w:rPr>
              <w:t xml:space="preserve">) </w:t>
            </w:r>
            <w:r w:rsidRPr="00EE0831">
              <w:rPr>
                <w:rFonts w:cs="Times New Roman"/>
                <w:i/>
                <w:sz w:val="20"/>
                <w:szCs w:val="20"/>
                <w:lang w:val="fr-CA"/>
              </w:rPr>
              <w:t>c.</w:t>
            </w:r>
            <w:r w:rsidRPr="00EE0831">
              <w:rPr>
                <w:rFonts w:cs="Times New Roman"/>
                <w:sz w:val="20"/>
                <w:szCs w:val="20"/>
                <w:lang w:val="fr-CA"/>
              </w:rPr>
              <w:t xml:space="preserve"> </w:t>
            </w:r>
            <w:r w:rsidR="00B24B5B">
              <w:rPr>
                <w:rFonts w:cs="Times New Roman"/>
                <w:sz w:val="20"/>
                <w:szCs w:val="20"/>
                <w:lang w:val="fr-CA"/>
              </w:rPr>
              <w:t>H</w:t>
            </w:r>
            <w:r w:rsidRPr="00EE0831">
              <w:rPr>
                <w:rFonts w:cs="Times New Roman"/>
                <w:sz w:val="20"/>
                <w:szCs w:val="20"/>
                <w:lang w:val="fr-CA"/>
              </w:rPr>
              <w:t>ar</w:t>
            </w:r>
            <w:r w:rsidR="00B24B5B">
              <w:rPr>
                <w:rFonts w:cs="Times New Roman"/>
                <w:sz w:val="20"/>
                <w:szCs w:val="20"/>
                <w:lang w:val="fr-CA"/>
              </w:rPr>
              <w:t>ka</w:t>
            </w:r>
            <w:r w:rsidRPr="00EE0831">
              <w:rPr>
                <w:rFonts w:cs="Times New Roman"/>
                <w:sz w:val="20"/>
                <w:szCs w:val="20"/>
                <w:lang w:val="fr-CA"/>
              </w:rPr>
              <w:t>t,</w:t>
            </w:r>
          </w:p>
          <w:p w:rsidR="00A956D3" w:rsidRPr="00EE0831" w:rsidRDefault="00A956D3" w:rsidP="00E724B4">
            <w:pPr>
              <w:rPr>
                <w:rFonts w:cs="Times New Roman"/>
                <w:sz w:val="20"/>
                <w:szCs w:val="20"/>
                <w:lang w:val="fr-CA"/>
              </w:rPr>
            </w:pPr>
            <w:r w:rsidRPr="00EE0831">
              <w:rPr>
                <w:rFonts w:cs="Times New Roman"/>
                <w:sz w:val="20"/>
                <w:szCs w:val="20"/>
                <w:lang w:val="fr-CA"/>
              </w:rPr>
              <w:t>201</w:t>
            </w:r>
            <w:r w:rsidR="006E775A">
              <w:rPr>
                <w:rFonts w:cs="Times New Roman"/>
                <w:sz w:val="20"/>
                <w:szCs w:val="20"/>
                <w:lang w:val="fr-CA"/>
              </w:rPr>
              <w:t>4</w:t>
            </w:r>
            <w:r w:rsidRPr="00EE0831">
              <w:rPr>
                <w:rFonts w:cs="Times New Roman"/>
                <w:sz w:val="20"/>
                <w:szCs w:val="20"/>
                <w:lang w:val="fr-CA"/>
              </w:rPr>
              <w:t xml:space="preserve"> CSC </w:t>
            </w:r>
            <w:r w:rsidR="00B24B5B">
              <w:rPr>
                <w:rFonts w:cs="Times New Roman"/>
                <w:sz w:val="20"/>
                <w:szCs w:val="20"/>
                <w:lang w:val="fr-CA"/>
              </w:rPr>
              <w:t>37</w:t>
            </w:r>
            <w:r w:rsidRPr="00EE0831">
              <w:rPr>
                <w:rFonts w:cs="Times New Roman"/>
                <w:sz w:val="20"/>
                <w:szCs w:val="20"/>
                <w:lang w:val="fr-CA"/>
              </w:rPr>
              <w:t>, [201</w:t>
            </w:r>
            <w:r w:rsidR="006E775A">
              <w:rPr>
                <w:rFonts w:cs="Times New Roman"/>
                <w:sz w:val="20"/>
                <w:szCs w:val="20"/>
                <w:lang w:val="fr-CA"/>
              </w:rPr>
              <w:t>4</w:t>
            </w:r>
            <w:r w:rsidRPr="00EE0831">
              <w:rPr>
                <w:rFonts w:cs="Times New Roman"/>
                <w:sz w:val="20"/>
                <w:szCs w:val="20"/>
                <w:lang w:val="fr-CA"/>
              </w:rPr>
              <w:t xml:space="preserve">] </w:t>
            </w:r>
            <w:r w:rsidR="006E775A">
              <w:rPr>
                <w:rFonts w:cs="Times New Roman"/>
                <w:sz w:val="20"/>
                <w:szCs w:val="20"/>
                <w:lang w:val="fr-CA"/>
              </w:rPr>
              <w:t>2</w:t>
            </w:r>
            <w:r w:rsidRPr="00EE0831">
              <w:rPr>
                <w:rFonts w:cs="Times New Roman"/>
                <w:sz w:val="20"/>
                <w:szCs w:val="20"/>
                <w:lang w:val="fr-CA"/>
              </w:rPr>
              <w:t xml:space="preserve"> R.C.S. 3</w:t>
            </w:r>
            <w:r w:rsidR="00B24B5B">
              <w:rPr>
                <w:rFonts w:cs="Times New Roman"/>
                <w:sz w:val="20"/>
                <w:szCs w:val="20"/>
                <w:lang w:val="fr-CA"/>
              </w:rPr>
              <w:t>3</w:t>
            </w:r>
          </w:p>
          <w:p w:rsidR="00A956D3" w:rsidRPr="00EE0831" w:rsidRDefault="00A956D3" w:rsidP="00E724B4">
            <w:pPr>
              <w:rPr>
                <w:rFonts w:cs="Times New Roman"/>
                <w:sz w:val="20"/>
                <w:szCs w:val="20"/>
                <w:lang w:val="fr-CA"/>
              </w:rPr>
            </w:pPr>
          </w:p>
          <w:p w:rsidR="00A956D3" w:rsidRPr="00EE0831" w:rsidRDefault="00B24B5B" w:rsidP="00E724B4">
            <w:pPr>
              <w:rPr>
                <w:rFonts w:cs="Times New Roman"/>
                <w:sz w:val="20"/>
                <w:szCs w:val="20"/>
                <w:lang w:val="fr-CA"/>
              </w:rPr>
            </w:pPr>
            <w:r>
              <w:rPr>
                <w:rFonts w:cs="Times New Roman"/>
                <w:sz w:val="20"/>
                <w:szCs w:val="20"/>
                <w:lang w:val="fr-CA"/>
              </w:rPr>
              <w:t>Compagnie des chemins de fer nationaux du Canada</w:t>
            </w:r>
            <w:r w:rsidR="00A956D3" w:rsidRPr="00EE0831">
              <w:rPr>
                <w:rFonts w:cs="Times New Roman"/>
                <w:sz w:val="20"/>
                <w:szCs w:val="20"/>
                <w:lang w:val="fr-CA"/>
              </w:rPr>
              <w:t xml:space="preserve"> </w:t>
            </w:r>
            <w:r w:rsidR="00A956D3" w:rsidRPr="00EE0831">
              <w:rPr>
                <w:rFonts w:cs="Times New Roman"/>
                <w:i/>
                <w:iCs/>
                <w:sz w:val="20"/>
                <w:szCs w:val="20"/>
                <w:lang w:val="fr-CA"/>
              </w:rPr>
              <w:t>c.</w:t>
            </w:r>
            <w:r w:rsidR="00A956D3" w:rsidRPr="00EE0831">
              <w:rPr>
                <w:rFonts w:cs="Times New Roman"/>
                <w:iCs/>
                <w:sz w:val="20"/>
                <w:szCs w:val="20"/>
                <w:lang w:val="fr-CA"/>
              </w:rPr>
              <w:t xml:space="preserve"> Canada (</w:t>
            </w:r>
            <w:r>
              <w:rPr>
                <w:rFonts w:cs="Times New Roman"/>
                <w:iCs/>
                <w:sz w:val="20"/>
                <w:szCs w:val="20"/>
                <w:lang w:val="fr-CA"/>
              </w:rPr>
              <w:t>Procureur gén</w:t>
            </w:r>
            <w:r w:rsidR="00A956D3" w:rsidRPr="00EE0831">
              <w:rPr>
                <w:rFonts w:cs="Times New Roman"/>
                <w:iCs/>
                <w:sz w:val="20"/>
                <w:szCs w:val="20"/>
                <w:lang w:val="fr-CA"/>
              </w:rPr>
              <w:t>ér</w:t>
            </w:r>
            <w:r>
              <w:rPr>
                <w:rFonts w:cs="Times New Roman"/>
                <w:iCs/>
                <w:sz w:val="20"/>
                <w:szCs w:val="20"/>
                <w:lang w:val="fr-CA"/>
              </w:rPr>
              <w:t>a</w:t>
            </w:r>
            <w:r w:rsidR="00A956D3" w:rsidRPr="00EE0831">
              <w:rPr>
                <w:rFonts w:cs="Times New Roman"/>
                <w:iCs/>
                <w:sz w:val="20"/>
                <w:szCs w:val="20"/>
                <w:lang w:val="fr-CA"/>
              </w:rPr>
              <w:t>l)</w:t>
            </w:r>
            <w:r w:rsidR="00A956D3" w:rsidRPr="00EE0831">
              <w:rPr>
                <w:rFonts w:cs="Times New Roman"/>
                <w:sz w:val="20"/>
                <w:szCs w:val="20"/>
                <w:lang w:val="fr-CA"/>
              </w:rPr>
              <w:t>,</w:t>
            </w:r>
          </w:p>
          <w:p w:rsidR="00A956D3" w:rsidRPr="00C34FEA" w:rsidRDefault="00A956D3" w:rsidP="00E724B4">
            <w:pPr>
              <w:rPr>
                <w:rFonts w:cs="Times New Roman"/>
                <w:sz w:val="20"/>
                <w:szCs w:val="20"/>
                <w:lang w:val="fr-CA"/>
              </w:rPr>
            </w:pPr>
            <w:r w:rsidRPr="00C34FEA">
              <w:rPr>
                <w:rFonts w:cs="Times New Roman"/>
                <w:sz w:val="20"/>
                <w:szCs w:val="20"/>
                <w:lang w:val="fr-CA"/>
              </w:rPr>
              <w:t>201</w:t>
            </w:r>
            <w:r w:rsidR="006E775A" w:rsidRPr="00C34FEA">
              <w:rPr>
                <w:rFonts w:cs="Times New Roman"/>
                <w:sz w:val="20"/>
                <w:szCs w:val="20"/>
                <w:lang w:val="fr-CA"/>
              </w:rPr>
              <w:t>4</w:t>
            </w:r>
            <w:r w:rsidRPr="00C34FEA">
              <w:rPr>
                <w:rFonts w:cs="Times New Roman"/>
                <w:sz w:val="20"/>
                <w:szCs w:val="20"/>
                <w:lang w:val="fr-CA"/>
              </w:rPr>
              <w:t xml:space="preserve"> CSC 4</w:t>
            </w:r>
            <w:r w:rsidR="00B24B5B" w:rsidRPr="00C34FEA">
              <w:rPr>
                <w:rFonts w:cs="Times New Roman"/>
                <w:sz w:val="20"/>
                <w:szCs w:val="20"/>
                <w:lang w:val="fr-CA"/>
              </w:rPr>
              <w:t>0</w:t>
            </w:r>
            <w:r w:rsidRPr="00C34FEA">
              <w:rPr>
                <w:rFonts w:cs="Times New Roman"/>
                <w:sz w:val="20"/>
                <w:szCs w:val="20"/>
                <w:lang w:val="fr-CA"/>
              </w:rPr>
              <w:t>, [201</w:t>
            </w:r>
            <w:r w:rsidR="006E775A" w:rsidRPr="00C34FEA">
              <w:rPr>
                <w:rFonts w:cs="Times New Roman"/>
                <w:sz w:val="20"/>
                <w:szCs w:val="20"/>
                <w:lang w:val="fr-CA"/>
              </w:rPr>
              <w:t>4</w:t>
            </w:r>
            <w:r w:rsidRPr="00C34FEA">
              <w:rPr>
                <w:rFonts w:cs="Times New Roman"/>
                <w:sz w:val="20"/>
                <w:szCs w:val="20"/>
                <w:lang w:val="fr-CA"/>
              </w:rPr>
              <w:t xml:space="preserve">] </w:t>
            </w:r>
            <w:r w:rsidR="006E775A" w:rsidRPr="00C34FEA">
              <w:rPr>
                <w:rFonts w:cs="Times New Roman"/>
                <w:sz w:val="20"/>
                <w:szCs w:val="20"/>
                <w:lang w:val="fr-CA"/>
              </w:rPr>
              <w:t>2</w:t>
            </w:r>
            <w:r w:rsidRPr="00C34FEA">
              <w:rPr>
                <w:rFonts w:cs="Times New Roman"/>
                <w:sz w:val="20"/>
                <w:szCs w:val="20"/>
                <w:lang w:val="fr-CA"/>
              </w:rPr>
              <w:t xml:space="preserve"> R.C.S. 1</w:t>
            </w:r>
            <w:r w:rsidR="00B24B5B" w:rsidRPr="00C34FEA">
              <w:rPr>
                <w:rFonts w:cs="Times New Roman"/>
                <w:sz w:val="20"/>
                <w:szCs w:val="20"/>
                <w:lang w:val="fr-CA"/>
              </w:rPr>
              <w:t>3</w:t>
            </w:r>
            <w:r w:rsidRPr="00C34FEA">
              <w:rPr>
                <w:rFonts w:cs="Times New Roman"/>
                <w:sz w:val="20"/>
                <w:szCs w:val="20"/>
                <w:lang w:val="fr-CA"/>
              </w:rPr>
              <w:t>5</w:t>
            </w:r>
          </w:p>
          <w:p w:rsidR="00A956D3" w:rsidRPr="00C34FEA" w:rsidRDefault="00A956D3" w:rsidP="00E724B4">
            <w:pPr>
              <w:rPr>
                <w:rFonts w:cs="Times New Roman"/>
                <w:iCs/>
                <w:sz w:val="20"/>
                <w:szCs w:val="20"/>
                <w:lang w:val="fr-CA"/>
              </w:rPr>
            </w:pPr>
          </w:p>
          <w:p w:rsidR="00A956D3" w:rsidRPr="00C34FEA" w:rsidRDefault="00C34FEA" w:rsidP="00E724B4">
            <w:pPr>
              <w:rPr>
                <w:rFonts w:cs="Times New Roman"/>
                <w:sz w:val="20"/>
                <w:szCs w:val="20"/>
                <w:lang w:val="fr-CA"/>
              </w:rPr>
            </w:pPr>
            <w:r w:rsidRPr="00C34FEA">
              <w:rPr>
                <w:rFonts w:cs="Times New Roman"/>
                <w:iCs/>
                <w:sz w:val="20"/>
                <w:szCs w:val="20"/>
                <w:lang w:val="fr-CA"/>
              </w:rPr>
              <w:t xml:space="preserve">Front des artistes canadiens </w:t>
            </w:r>
            <w:r w:rsidR="00A956D3" w:rsidRPr="00C34FEA">
              <w:rPr>
                <w:rFonts w:cs="Times New Roman"/>
                <w:i/>
                <w:iCs/>
                <w:sz w:val="20"/>
                <w:szCs w:val="20"/>
                <w:lang w:val="fr-CA"/>
              </w:rPr>
              <w:t>c.</w:t>
            </w:r>
            <w:r w:rsidR="00A956D3" w:rsidRPr="00C34FEA">
              <w:rPr>
                <w:rFonts w:cs="Times New Roman"/>
                <w:iCs/>
                <w:sz w:val="20"/>
                <w:szCs w:val="20"/>
                <w:lang w:val="fr-CA"/>
              </w:rPr>
              <w:t xml:space="preserve"> </w:t>
            </w:r>
            <w:r>
              <w:rPr>
                <w:rFonts w:cs="Times New Roman"/>
                <w:iCs/>
                <w:sz w:val="20"/>
                <w:szCs w:val="20"/>
                <w:lang w:val="fr-CA"/>
              </w:rPr>
              <w:t>Musée des beaux-</w:t>
            </w:r>
            <w:r w:rsidR="00A956D3" w:rsidRPr="00C34FEA">
              <w:rPr>
                <w:rFonts w:cs="Times New Roman"/>
                <w:iCs/>
                <w:sz w:val="20"/>
                <w:szCs w:val="20"/>
                <w:lang w:val="fr-CA"/>
              </w:rPr>
              <w:t>a</w:t>
            </w:r>
            <w:r>
              <w:rPr>
                <w:rFonts w:cs="Times New Roman"/>
                <w:iCs/>
                <w:sz w:val="20"/>
                <w:szCs w:val="20"/>
                <w:lang w:val="fr-CA"/>
              </w:rPr>
              <w:t>rts du Ca</w:t>
            </w:r>
            <w:r w:rsidR="00A956D3" w:rsidRPr="00C34FEA">
              <w:rPr>
                <w:rFonts w:cs="Times New Roman"/>
                <w:iCs/>
                <w:sz w:val="20"/>
                <w:szCs w:val="20"/>
                <w:lang w:val="fr-CA"/>
              </w:rPr>
              <w:t>nada,</w:t>
            </w:r>
          </w:p>
          <w:p w:rsidR="00A956D3" w:rsidRPr="003332E2" w:rsidRDefault="00A956D3" w:rsidP="00E724B4">
            <w:pPr>
              <w:rPr>
                <w:rFonts w:cs="Times New Roman"/>
                <w:sz w:val="20"/>
                <w:szCs w:val="20"/>
                <w:lang w:val="fr-CA"/>
              </w:rPr>
            </w:pPr>
            <w:r w:rsidRPr="003332E2">
              <w:rPr>
                <w:rFonts w:cs="Times New Roman"/>
                <w:sz w:val="20"/>
                <w:szCs w:val="20"/>
                <w:lang w:val="fr-CA"/>
              </w:rPr>
              <w:t>201</w:t>
            </w:r>
            <w:r w:rsidR="006E775A" w:rsidRPr="003332E2">
              <w:rPr>
                <w:rFonts w:cs="Times New Roman"/>
                <w:sz w:val="20"/>
                <w:szCs w:val="20"/>
                <w:lang w:val="fr-CA"/>
              </w:rPr>
              <w:t>4</w:t>
            </w:r>
            <w:r w:rsidRPr="003332E2">
              <w:rPr>
                <w:rFonts w:cs="Times New Roman"/>
                <w:sz w:val="20"/>
                <w:szCs w:val="20"/>
                <w:lang w:val="fr-CA"/>
              </w:rPr>
              <w:t xml:space="preserve"> CSC 4</w:t>
            </w:r>
            <w:r w:rsidR="00C34FEA" w:rsidRPr="003332E2">
              <w:rPr>
                <w:rFonts w:cs="Times New Roman"/>
                <w:sz w:val="20"/>
                <w:szCs w:val="20"/>
                <w:lang w:val="fr-CA"/>
              </w:rPr>
              <w:t>2</w:t>
            </w:r>
            <w:r w:rsidRPr="003332E2">
              <w:rPr>
                <w:rFonts w:cs="Times New Roman"/>
                <w:sz w:val="20"/>
                <w:szCs w:val="20"/>
                <w:lang w:val="fr-CA"/>
              </w:rPr>
              <w:t>, [201</w:t>
            </w:r>
            <w:r w:rsidR="006E775A" w:rsidRPr="003332E2">
              <w:rPr>
                <w:rFonts w:cs="Times New Roman"/>
                <w:sz w:val="20"/>
                <w:szCs w:val="20"/>
                <w:lang w:val="fr-CA"/>
              </w:rPr>
              <w:t>4</w:t>
            </w:r>
            <w:r w:rsidRPr="003332E2">
              <w:rPr>
                <w:rFonts w:cs="Times New Roman"/>
                <w:sz w:val="20"/>
                <w:szCs w:val="20"/>
                <w:lang w:val="fr-CA"/>
              </w:rPr>
              <w:t xml:space="preserve">] </w:t>
            </w:r>
            <w:r w:rsidR="006E775A" w:rsidRPr="003332E2">
              <w:rPr>
                <w:rFonts w:cs="Times New Roman"/>
                <w:sz w:val="20"/>
                <w:szCs w:val="20"/>
                <w:lang w:val="fr-CA"/>
              </w:rPr>
              <w:t>2</w:t>
            </w:r>
            <w:r w:rsidRPr="003332E2">
              <w:rPr>
                <w:rFonts w:cs="Times New Roman"/>
                <w:sz w:val="20"/>
                <w:szCs w:val="20"/>
                <w:lang w:val="fr-CA"/>
              </w:rPr>
              <w:t xml:space="preserve"> R.C.S. 19</w:t>
            </w:r>
            <w:r w:rsidR="00C34FEA" w:rsidRPr="003332E2">
              <w:rPr>
                <w:rFonts w:cs="Times New Roman"/>
                <w:sz w:val="20"/>
                <w:szCs w:val="20"/>
                <w:lang w:val="fr-CA"/>
              </w:rPr>
              <w:t>7</w:t>
            </w:r>
          </w:p>
          <w:p w:rsidR="00A956D3" w:rsidRPr="003332E2" w:rsidRDefault="00A956D3" w:rsidP="00E724B4">
            <w:pPr>
              <w:rPr>
                <w:rFonts w:cs="Times New Roman"/>
                <w:iCs/>
                <w:sz w:val="20"/>
                <w:szCs w:val="20"/>
                <w:lang w:val="fr-CA"/>
              </w:rPr>
            </w:pPr>
          </w:p>
          <w:p w:rsidR="00A956D3" w:rsidRPr="003332E2" w:rsidRDefault="00A956D3" w:rsidP="00E724B4">
            <w:pPr>
              <w:rPr>
                <w:rFonts w:cs="Times New Roman"/>
                <w:iCs/>
                <w:sz w:val="20"/>
                <w:szCs w:val="20"/>
                <w:lang w:val="fr-CA"/>
              </w:rPr>
            </w:pPr>
            <w:r w:rsidRPr="003332E2">
              <w:rPr>
                <w:rFonts w:cs="Times New Roman"/>
                <w:sz w:val="20"/>
                <w:szCs w:val="20"/>
                <w:lang w:val="fr-CA"/>
              </w:rPr>
              <w:t>M</w:t>
            </w:r>
            <w:r w:rsidR="00C34FEA" w:rsidRPr="003332E2">
              <w:rPr>
                <w:rFonts w:cs="Times New Roman"/>
                <w:sz w:val="20"/>
                <w:szCs w:val="20"/>
                <w:lang w:val="fr-CA"/>
              </w:rPr>
              <w:t xml:space="preserve">cCormick </w:t>
            </w:r>
            <w:r w:rsidRPr="003332E2">
              <w:rPr>
                <w:rFonts w:cs="Times New Roman"/>
                <w:i/>
                <w:iCs/>
                <w:sz w:val="20"/>
                <w:szCs w:val="20"/>
                <w:lang w:val="fr-CA"/>
              </w:rPr>
              <w:t>c.</w:t>
            </w:r>
            <w:r w:rsidRPr="003332E2">
              <w:rPr>
                <w:rFonts w:cs="Times New Roman"/>
                <w:sz w:val="20"/>
                <w:szCs w:val="20"/>
                <w:lang w:val="fr-CA"/>
              </w:rPr>
              <w:t xml:space="preserve"> </w:t>
            </w:r>
            <w:r w:rsidR="00C34FEA" w:rsidRPr="003332E2">
              <w:rPr>
                <w:rFonts w:cs="Times New Roman"/>
                <w:sz w:val="20"/>
                <w:szCs w:val="20"/>
                <w:lang w:val="fr-CA"/>
              </w:rPr>
              <w:t>F</w:t>
            </w:r>
            <w:r w:rsidRPr="003332E2">
              <w:rPr>
                <w:rFonts w:cs="Times New Roman"/>
                <w:sz w:val="20"/>
                <w:szCs w:val="20"/>
                <w:lang w:val="fr-CA"/>
              </w:rPr>
              <w:t>a</w:t>
            </w:r>
            <w:r w:rsidR="00C34FEA" w:rsidRPr="003332E2">
              <w:rPr>
                <w:rFonts w:cs="Times New Roman"/>
                <w:sz w:val="20"/>
                <w:szCs w:val="20"/>
                <w:lang w:val="fr-CA"/>
              </w:rPr>
              <w:t>ske</w:t>
            </w:r>
            <w:r w:rsidRPr="003332E2">
              <w:rPr>
                <w:rFonts w:cs="Times New Roman"/>
                <w:sz w:val="20"/>
                <w:szCs w:val="20"/>
                <w:lang w:val="fr-CA"/>
              </w:rPr>
              <w:t xml:space="preserve">n </w:t>
            </w:r>
            <w:r w:rsidR="00C34FEA" w:rsidRPr="003332E2">
              <w:rPr>
                <w:rFonts w:cs="Times New Roman"/>
                <w:sz w:val="20"/>
                <w:szCs w:val="20"/>
                <w:lang w:val="fr-CA"/>
              </w:rPr>
              <w:t xml:space="preserve">Martineau DuMoulin S.E.N.C.R.L./s.r.l., </w:t>
            </w:r>
          </w:p>
          <w:p w:rsidR="00A956D3" w:rsidRPr="003332E2" w:rsidRDefault="00A956D3" w:rsidP="00E724B4">
            <w:pPr>
              <w:rPr>
                <w:rFonts w:cs="Times New Roman"/>
                <w:sz w:val="20"/>
                <w:szCs w:val="20"/>
                <w:lang w:val="fr-CA"/>
              </w:rPr>
            </w:pPr>
            <w:r w:rsidRPr="003332E2">
              <w:rPr>
                <w:rFonts w:cs="Times New Roman"/>
                <w:sz w:val="20"/>
                <w:szCs w:val="20"/>
                <w:lang w:val="fr-CA"/>
              </w:rPr>
              <w:t>201</w:t>
            </w:r>
            <w:r w:rsidR="006E775A" w:rsidRPr="003332E2">
              <w:rPr>
                <w:rFonts w:cs="Times New Roman"/>
                <w:sz w:val="20"/>
                <w:szCs w:val="20"/>
                <w:lang w:val="fr-CA"/>
              </w:rPr>
              <w:t>4</w:t>
            </w:r>
            <w:r w:rsidRPr="003332E2">
              <w:rPr>
                <w:rFonts w:cs="Times New Roman"/>
                <w:sz w:val="20"/>
                <w:szCs w:val="20"/>
                <w:lang w:val="fr-CA"/>
              </w:rPr>
              <w:t xml:space="preserve"> CSC </w:t>
            </w:r>
            <w:r w:rsidR="00C34FEA" w:rsidRPr="003332E2">
              <w:rPr>
                <w:rFonts w:cs="Times New Roman"/>
                <w:sz w:val="20"/>
                <w:szCs w:val="20"/>
                <w:lang w:val="fr-CA"/>
              </w:rPr>
              <w:t>39</w:t>
            </w:r>
            <w:r w:rsidRPr="003332E2">
              <w:rPr>
                <w:rFonts w:cs="Times New Roman"/>
                <w:sz w:val="20"/>
                <w:szCs w:val="20"/>
                <w:lang w:val="fr-CA"/>
              </w:rPr>
              <w:t>, [201</w:t>
            </w:r>
            <w:r w:rsidR="006E775A" w:rsidRPr="003332E2">
              <w:rPr>
                <w:rFonts w:cs="Times New Roman"/>
                <w:sz w:val="20"/>
                <w:szCs w:val="20"/>
                <w:lang w:val="fr-CA"/>
              </w:rPr>
              <w:t>4</w:t>
            </w:r>
            <w:r w:rsidRPr="003332E2">
              <w:rPr>
                <w:rFonts w:cs="Times New Roman"/>
                <w:sz w:val="20"/>
                <w:szCs w:val="20"/>
                <w:lang w:val="fr-CA"/>
              </w:rPr>
              <w:t xml:space="preserve">] </w:t>
            </w:r>
            <w:r w:rsidR="006E775A" w:rsidRPr="003332E2">
              <w:rPr>
                <w:rFonts w:cs="Times New Roman"/>
                <w:sz w:val="20"/>
                <w:szCs w:val="20"/>
                <w:lang w:val="fr-CA"/>
              </w:rPr>
              <w:t>2</w:t>
            </w:r>
            <w:r w:rsidRPr="003332E2">
              <w:rPr>
                <w:rFonts w:cs="Times New Roman"/>
                <w:sz w:val="20"/>
                <w:szCs w:val="20"/>
                <w:lang w:val="fr-CA"/>
              </w:rPr>
              <w:t xml:space="preserve"> R.C.S. </w:t>
            </w:r>
            <w:r w:rsidR="00C34FEA" w:rsidRPr="003332E2">
              <w:rPr>
                <w:rFonts w:cs="Times New Roman"/>
                <w:sz w:val="20"/>
                <w:szCs w:val="20"/>
                <w:lang w:val="fr-CA"/>
              </w:rPr>
              <w:t>108</w:t>
            </w:r>
          </w:p>
          <w:p w:rsidR="00A956D3" w:rsidRPr="003332E2" w:rsidRDefault="00A956D3" w:rsidP="00E724B4">
            <w:pPr>
              <w:rPr>
                <w:rFonts w:cs="Times New Roman"/>
                <w:sz w:val="20"/>
                <w:szCs w:val="20"/>
                <w:lang w:val="fr-CA"/>
              </w:rPr>
            </w:pPr>
          </w:p>
          <w:p w:rsidR="00A956D3" w:rsidRPr="00C34FEA" w:rsidRDefault="00C34FEA" w:rsidP="00E724B4">
            <w:pPr>
              <w:rPr>
                <w:rFonts w:cs="Times New Roman"/>
                <w:sz w:val="20"/>
                <w:szCs w:val="20"/>
                <w:lang w:val="fr-CA"/>
              </w:rPr>
            </w:pPr>
            <w:r w:rsidRPr="00C34FEA">
              <w:rPr>
                <w:rFonts w:cs="Times New Roman"/>
                <w:sz w:val="20"/>
                <w:szCs w:val="20"/>
                <w:lang w:val="fr-CA"/>
              </w:rPr>
              <w:t>Na</w:t>
            </w:r>
            <w:r w:rsidR="00A956D3" w:rsidRPr="00C34FEA">
              <w:rPr>
                <w:rFonts w:cs="Times New Roman"/>
                <w:sz w:val="20"/>
                <w:szCs w:val="20"/>
                <w:lang w:val="fr-CA"/>
              </w:rPr>
              <w:t>tio</w:t>
            </w:r>
            <w:r w:rsidRPr="00C34FEA">
              <w:rPr>
                <w:rFonts w:cs="Times New Roman"/>
                <w:sz w:val="20"/>
                <w:szCs w:val="20"/>
                <w:lang w:val="fr-CA"/>
              </w:rPr>
              <w:t>n Tsilqot’in</w:t>
            </w:r>
            <w:r w:rsidR="00A956D3" w:rsidRPr="00C34FEA">
              <w:rPr>
                <w:rFonts w:cs="Times New Roman"/>
                <w:sz w:val="20"/>
                <w:szCs w:val="20"/>
                <w:lang w:val="fr-CA"/>
              </w:rPr>
              <w:t xml:space="preserve"> </w:t>
            </w:r>
            <w:r w:rsidR="00A956D3" w:rsidRPr="00C34FEA">
              <w:rPr>
                <w:rFonts w:cs="Times New Roman"/>
                <w:i/>
                <w:iCs/>
                <w:sz w:val="20"/>
                <w:szCs w:val="20"/>
                <w:lang w:val="fr-CA"/>
              </w:rPr>
              <w:t>c</w:t>
            </w:r>
            <w:r w:rsidR="00A956D3" w:rsidRPr="00C34FEA">
              <w:rPr>
                <w:rFonts w:cs="Times New Roman"/>
                <w:sz w:val="20"/>
                <w:szCs w:val="20"/>
                <w:lang w:val="fr-CA"/>
              </w:rPr>
              <w:t>. C</w:t>
            </w:r>
            <w:r w:rsidRPr="00C34FEA">
              <w:rPr>
                <w:rFonts w:cs="Times New Roman"/>
                <w:sz w:val="20"/>
                <w:szCs w:val="20"/>
                <w:lang w:val="fr-CA"/>
              </w:rPr>
              <w:t>olo</w:t>
            </w:r>
            <w:r w:rsidR="00A956D3" w:rsidRPr="00C34FEA">
              <w:rPr>
                <w:rFonts w:cs="Times New Roman"/>
                <w:sz w:val="20"/>
                <w:szCs w:val="20"/>
                <w:lang w:val="fr-CA"/>
              </w:rPr>
              <w:t>m</w:t>
            </w:r>
            <w:r w:rsidRPr="00C34FEA">
              <w:rPr>
                <w:rFonts w:cs="Times New Roman"/>
                <w:sz w:val="20"/>
                <w:szCs w:val="20"/>
                <w:lang w:val="fr-CA"/>
              </w:rPr>
              <w:t>b</w:t>
            </w:r>
            <w:r w:rsidR="00A956D3" w:rsidRPr="00C34FEA">
              <w:rPr>
                <w:rFonts w:cs="Times New Roman"/>
                <w:sz w:val="20"/>
                <w:szCs w:val="20"/>
                <w:lang w:val="fr-CA"/>
              </w:rPr>
              <w:t>i</w:t>
            </w:r>
            <w:r w:rsidRPr="00C34FEA">
              <w:rPr>
                <w:rFonts w:cs="Times New Roman"/>
                <w:sz w:val="20"/>
                <w:szCs w:val="20"/>
                <w:lang w:val="fr-CA"/>
              </w:rPr>
              <w:t>e-Brita</w:t>
            </w:r>
            <w:r w:rsidR="00A956D3" w:rsidRPr="00C34FEA">
              <w:rPr>
                <w:rFonts w:cs="Times New Roman"/>
                <w:sz w:val="20"/>
                <w:szCs w:val="20"/>
                <w:lang w:val="fr-CA"/>
              </w:rPr>
              <w:t>n</w:t>
            </w:r>
            <w:r w:rsidRPr="00C34FEA">
              <w:rPr>
                <w:rFonts w:cs="Times New Roman"/>
                <w:sz w:val="20"/>
                <w:szCs w:val="20"/>
                <w:lang w:val="fr-CA"/>
              </w:rPr>
              <w:t>niqu</w:t>
            </w:r>
            <w:r w:rsidR="00A956D3" w:rsidRPr="00C34FEA">
              <w:rPr>
                <w:rFonts w:cs="Times New Roman"/>
                <w:sz w:val="20"/>
                <w:szCs w:val="20"/>
                <w:lang w:val="fr-CA"/>
              </w:rPr>
              <w:t>e,</w:t>
            </w:r>
          </w:p>
          <w:p w:rsidR="00A956D3" w:rsidRPr="00EE0831" w:rsidRDefault="00A956D3" w:rsidP="00E724B4">
            <w:pPr>
              <w:rPr>
                <w:rFonts w:cs="Times New Roman"/>
                <w:sz w:val="20"/>
                <w:szCs w:val="20"/>
              </w:rPr>
            </w:pPr>
            <w:r w:rsidRPr="00EE0831">
              <w:rPr>
                <w:rFonts w:cs="Times New Roman"/>
                <w:sz w:val="20"/>
                <w:szCs w:val="20"/>
              </w:rPr>
              <w:t>201</w:t>
            </w:r>
            <w:r w:rsidR="006E775A">
              <w:rPr>
                <w:rFonts w:cs="Times New Roman"/>
                <w:sz w:val="20"/>
                <w:szCs w:val="20"/>
              </w:rPr>
              <w:t>4</w:t>
            </w:r>
            <w:r w:rsidRPr="00EE0831">
              <w:rPr>
                <w:rFonts w:cs="Times New Roman"/>
                <w:sz w:val="20"/>
                <w:szCs w:val="20"/>
              </w:rPr>
              <w:t xml:space="preserve"> CSC 4</w:t>
            </w:r>
            <w:r w:rsidR="00C34FEA">
              <w:rPr>
                <w:rFonts w:cs="Times New Roman"/>
                <w:sz w:val="20"/>
                <w:szCs w:val="20"/>
              </w:rPr>
              <w:t>4</w:t>
            </w:r>
            <w:r w:rsidRPr="00EE0831">
              <w:rPr>
                <w:rFonts w:cs="Times New Roman"/>
                <w:sz w:val="20"/>
                <w:szCs w:val="20"/>
              </w:rPr>
              <w:t>, [201</w:t>
            </w:r>
            <w:r w:rsidR="006E775A">
              <w:rPr>
                <w:rFonts w:cs="Times New Roman"/>
                <w:sz w:val="20"/>
                <w:szCs w:val="20"/>
              </w:rPr>
              <w:t>4</w:t>
            </w:r>
            <w:r w:rsidRPr="00EE0831">
              <w:rPr>
                <w:rFonts w:cs="Times New Roman"/>
                <w:sz w:val="20"/>
                <w:szCs w:val="20"/>
              </w:rPr>
              <w:t xml:space="preserve">] </w:t>
            </w:r>
            <w:r w:rsidR="006E775A">
              <w:rPr>
                <w:rFonts w:cs="Times New Roman"/>
                <w:sz w:val="20"/>
                <w:szCs w:val="20"/>
              </w:rPr>
              <w:t>2</w:t>
            </w:r>
            <w:r w:rsidRPr="00EE0831">
              <w:rPr>
                <w:rFonts w:cs="Times New Roman"/>
                <w:sz w:val="20"/>
                <w:szCs w:val="20"/>
              </w:rPr>
              <w:t xml:space="preserve"> R.C.S. </w:t>
            </w:r>
            <w:r w:rsidR="00C34FEA">
              <w:rPr>
                <w:rFonts w:cs="Times New Roman"/>
                <w:sz w:val="20"/>
                <w:szCs w:val="20"/>
              </w:rPr>
              <w:t>257</w:t>
            </w:r>
          </w:p>
          <w:p w:rsidR="00A956D3" w:rsidRPr="00EE0831" w:rsidRDefault="00A956D3" w:rsidP="00E724B4">
            <w:pPr>
              <w:rPr>
                <w:rFonts w:cs="Times New Roman"/>
                <w:sz w:val="20"/>
                <w:szCs w:val="20"/>
              </w:rPr>
            </w:pPr>
          </w:p>
          <w:p w:rsidR="00A956D3" w:rsidRPr="00EE0831" w:rsidRDefault="00C34FEA" w:rsidP="00E724B4">
            <w:pPr>
              <w:rPr>
                <w:rFonts w:cs="Times New Roman"/>
                <w:sz w:val="20"/>
                <w:szCs w:val="20"/>
              </w:rPr>
            </w:pPr>
            <w:r>
              <w:rPr>
                <w:rFonts w:cs="Times New Roman"/>
                <w:sz w:val="20"/>
                <w:szCs w:val="20"/>
                <w:lang w:val="en-GB"/>
              </w:rPr>
              <w:t>R.</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sz w:val="20"/>
                <w:szCs w:val="20"/>
                <w:lang w:val="en-GB"/>
              </w:rPr>
              <w:t xml:space="preserve">. </w:t>
            </w:r>
            <w:r>
              <w:rPr>
                <w:rFonts w:cs="Times New Roman"/>
                <w:sz w:val="20"/>
                <w:szCs w:val="20"/>
                <w:lang w:val="en-GB"/>
              </w:rPr>
              <w:t>Anderson</w:t>
            </w:r>
            <w:r w:rsidR="00A956D3" w:rsidRPr="00EE0831">
              <w:rPr>
                <w:rFonts w:cs="Times New Roman"/>
                <w:sz w:val="20"/>
                <w:szCs w:val="20"/>
              </w:rPr>
              <w:t>,</w:t>
            </w:r>
          </w:p>
          <w:p w:rsidR="00A956D3" w:rsidRPr="00FF4756" w:rsidRDefault="00A956D3" w:rsidP="00E724B4">
            <w:pPr>
              <w:rPr>
                <w:rFonts w:cs="Times New Roman"/>
                <w:sz w:val="20"/>
                <w:szCs w:val="20"/>
              </w:rPr>
            </w:pPr>
            <w:r w:rsidRPr="00FF4756">
              <w:rPr>
                <w:rFonts w:cs="Times New Roman"/>
                <w:sz w:val="20"/>
                <w:szCs w:val="20"/>
              </w:rPr>
              <w:t>201</w:t>
            </w:r>
            <w:r w:rsidR="006E775A">
              <w:rPr>
                <w:rFonts w:cs="Times New Roman"/>
                <w:sz w:val="20"/>
                <w:szCs w:val="20"/>
              </w:rPr>
              <w:t>4</w:t>
            </w:r>
            <w:r w:rsidRPr="00FF4756">
              <w:rPr>
                <w:rFonts w:cs="Times New Roman"/>
                <w:sz w:val="20"/>
                <w:szCs w:val="20"/>
              </w:rPr>
              <w:t xml:space="preserve"> CSC </w:t>
            </w:r>
            <w:r>
              <w:rPr>
                <w:rFonts w:cs="Times New Roman"/>
                <w:sz w:val="20"/>
                <w:szCs w:val="20"/>
              </w:rPr>
              <w:t>4</w:t>
            </w:r>
            <w:r w:rsidR="00C34FEA">
              <w:rPr>
                <w:rFonts w:cs="Times New Roman"/>
                <w:sz w:val="20"/>
                <w:szCs w:val="20"/>
              </w:rPr>
              <w:t>1</w:t>
            </w:r>
            <w:r w:rsidRPr="00FF4756">
              <w:rPr>
                <w:rFonts w:cs="Times New Roman"/>
                <w:sz w:val="20"/>
                <w:szCs w:val="20"/>
              </w:rPr>
              <w:t>, [201</w:t>
            </w:r>
            <w:r w:rsidR="006E775A">
              <w:rPr>
                <w:rFonts w:cs="Times New Roman"/>
                <w:sz w:val="20"/>
                <w:szCs w:val="20"/>
              </w:rPr>
              <w:t>4</w:t>
            </w:r>
            <w:r w:rsidRPr="00FF4756">
              <w:rPr>
                <w:rFonts w:cs="Times New Roman"/>
                <w:sz w:val="20"/>
                <w:szCs w:val="20"/>
              </w:rPr>
              <w:t xml:space="preserve">] </w:t>
            </w:r>
            <w:r w:rsidR="006E775A">
              <w:rPr>
                <w:rFonts w:cs="Times New Roman"/>
                <w:sz w:val="20"/>
                <w:szCs w:val="20"/>
              </w:rPr>
              <w:t>2</w:t>
            </w:r>
            <w:r w:rsidRPr="00FF4756">
              <w:rPr>
                <w:rFonts w:cs="Times New Roman"/>
                <w:sz w:val="20"/>
                <w:szCs w:val="20"/>
              </w:rPr>
              <w:t xml:space="preserve"> R.C.S. </w:t>
            </w:r>
            <w:r w:rsidR="00C34FEA">
              <w:rPr>
                <w:rFonts w:cs="Times New Roman"/>
                <w:sz w:val="20"/>
                <w:szCs w:val="20"/>
              </w:rPr>
              <w:t>167</w:t>
            </w:r>
          </w:p>
          <w:p w:rsidR="00A956D3" w:rsidRPr="00FF4756" w:rsidRDefault="00A956D3" w:rsidP="00E724B4">
            <w:pPr>
              <w:rPr>
                <w:rFonts w:cs="Times New Roman"/>
                <w:sz w:val="20"/>
                <w:szCs w:val="20"/>
              </w:rPr>
            </w:pPr>
          </w:p>
          <w:p w:rsidR="00A956D3" w:rsidRPr="00FF4756" w:rsidRDefault="00A956D3" w:rsidP="00E724B4">
            <w:pPr>
              <w:rPr>
                <w:rFonts w:cs="Times New Roman"/>
                <w:sz w:val="20"/>
                <w:szCs w:val="20"/>
              </w:rPr>
            </w:pPr>
            <w:r w:rsidRPr="00FF4756">
              <w:rPr>
                <w:rFonts w:cs="Times New Roman"/>
                <w:sz w:val="20"/>
                <w:szCs w:val="20"/>
              </w:rPr>
              <w:t xml:space="preserve">R. </w:t>
            </w:r>
            <w:r w:rsidRPr="00FF4756">
              <w:rPr>
                <w:rFonts w:cs="Times New Roman"/>
                <w:i/>
                <w:iCs/>
                <w:sz w:val="20"/>
                <w:szCs w:val="20"/>
              </w:rPr>
              <w:t>c</w:t>
            </w:r>
            <w:r w:rsidRPr="00FF4756">
              <w:rPr>
                <w:rFonts w:cs="Times New Roman"/>
                <w:sz w:val="20"/>
                <w:szCs w:val="20"/>
              </w:rPr>
              <w:t xml:space="preserve">. </w:t>
            </w:r>
            <w:r w:rsidR="00C34FEA">
              <w:rPr>
                <w:rFonts w:cs="Times New Roman"/>
                <w:sz w:val="20"/>
                <w:szCs w:val="20"/>
              </w:rPr>
              <w:t>Spencer</w:t>
            </w:r>
            <w:r w:rsidRPr="00FF4756">
              <w:rPr>
                <w:rFonts w:cs="Times New Roman"/>
                <w:sz w:val="20"/>
                <w:szCs w:val="20"/>
              </w:rPr>
              <w:t>,</w:t>
            </w:r>
          </w:p>
          <w:p w:rsidR="00A956D3" w:rsidRPr="00E836F1" w:rsidRDefault="00A956D3" w:rsidP="00E724B4">
            <w:pPr>
              <w:rPr>
                <w:rFonts w:cs="Times New Roman"/>
                <w:sz w:val="20"/>
                <w:szCs w:val="20"/>
              </w:rPr>
            </w:pPr>
            <w:r w:rsidRPr="00E836F1">
              <w:rPr>
                <w:rFonts w:cs="Times New Roman"/>
                <w:sz w:val="20"/>
                <w:szCs w:val="20"/>
              </w:rPr>
              <w:t>201</w:t>
            </w:r>
            <w:r w:rsidR="006E775A">
              <w:rPr>
                <w:rFonts w:cs="Times New Roman"/>
                <w:sz w:val="20"/>
                <w:szCs w:val="20"/>
              </w:rPr>
              <w:t>4</w:t>
            </w:r>
            <w:r w:rsidRPr="00E836F1">
              <w:rPr>
                <w:rFonts w:cs="Times New Roman"/>
                <w:sz w:val="20"/>
                <w:szCs w:val="20"/>
              </w:rPr>
              <w:t xml:space="preserve"> CSC 4</w:t>
            </w:r>
            <w:r w:rsidR="00C34FEA">
              <w:rPr>
                <w:rFonts w:cs="Times New Roman"/>
                <w:sz w:val="20"/>
                <w:szCs w:val="20"/>
              </w:rPr>
              <w:t>3</w:t>
            </w:r>
            <w:r w:rsidRPr="00E836F1">
              <w:rPr>
                <w:rFonts w:cs="Times New Roman"/>
                <w:sz w:val="20"/>
                <w:szCs w:val="20"/>
              </w:rPr>
              <w:t>, [201</w:t>
            </w:r>
            <w:r w:rsidR="006E775A">
              <w:rPr>
                <w:rFonts w:cs="Times New Roman"/>
                <w:sz w:val="20"/>
                <w:szCs w:val="20"/>
              </w:rPr>
              <w:t>4</w:t>
            </w:r>
            <w:r w:rsidRPr="00E836F1">
              <w:rPr>
                <w:rFonts w:cs="Times New Roman"/>
                <w:sz w:val="20"/>
                <w:szCs w:val="20"/>
              </w:rPr>
              <w:t xml:space="preserve">] </w:t>
            </w:r>
            <w:r w:rsidR="006E775A">
              <w:rPr>
                <w:rFonts w:cs="Times New Roman"/>
                <w:sz w:val="20"/>
                <w:szCs w:val="20"/>
              </w:rPr>
              <w:t>2</w:t>
            </w:r>
            <w:r w:rsidRPr="00E836F1">
              <w:rPr>
                <w:rFonts w:cs="Times New Roman"/>
                <w:sz w:val="20"/>
                <w:szCs w:val="20"/>
              </w:rPr>
              <w:t xml:space="preserve"> R.C.S. 2</w:t>
            </w:r>
            <w:r w:rsidR="00C34FEA">
              <w:rPr>
                <w:rFonts w:cs="Times New Roman"/>
                <w:sz w:val="20"/>
                <w:szCs w:val="20"/>
              </w:rPr>
              <w:t>1</w:t>
            </w:r>
            <w:r w:rsidRPr="00E836F1">
              <w:rPr>
                <w:rFonts w:cs="Times New Roman"/>
                <w:sz w:val="20"/>
                <w:szCs w:val="20"/>
              </w:rPr>
              <w:t>2</w:t>
            </w:r>
          </w:p>
          <w:p w:rsidR="00A956D3" w:rsidRPr="00E836F1" w:rsidRDefault="00A956D3" w:rsidP="00E724B4">
            <w:pPr>
              <w:rPr>
                <w:rFonts w:cs="Times New Roman"/>
                <w:sz w:val="20"/>
                <w:szCs w:val="20"/>
              </w:rPr>
            </w:pPr>
          </w:p>
          <w:p w:rsidR="00A956D3" w:rsidRPr="00C34FEA" w:rsidRDefault="00C34FEA" w:rsidP="00E724B4">
            <w:pPr>
              <w:rPr>
                <w:rFonts w:cs="Times New Roman"/>
                <w:sz w:val="20"/>
                <w:szCs w:val="20"/>
                <w:lang w:val="fr-CA"/>
              </w:rPr>
            </w:pPr>
            <w:r w:rsidRPr="00C34FEA">
              <w:rPr>
                <w:rFonts w:cs="Times New Roman"/>
                <w:sz w:val="20"/>
                <w:szCs w:val="20"/>
                <w:lang w:val="fr-CA"/>
              </w:rPr>
              <w:t xml:space="preserve">Stubicar </w:t>
            </w:r>
            <w:r w:rsidRPr="00C34FEA">
              <w:rPr>
                <w:rFonts w:cs="Times New Roman"/>
                <w:i/>
                <w:iCs/>
                <w:sz w:val="20"/>
                <w:szCs w:val="20"/>
                <w:lang w:val="fr-CA"/>
              </w:rPr>
              <w:t>c</w:t>
            </w:r>
            <w:r w:rsidRPr="00C34FEA">
              <w:rPr>
                <w:rFonts w:cs="Times New Roman"/>
                <w:sz w:val="20"/>
                <w:szCs w:val="20"/>
                <w:lang w:val="fr-CA"/>
              </w:rPr>
              <w:t>. Canada</w:t>
            </w:r>
            <w:r w:rsidR="00A956D3" w:rsidRPr="00C34FEA">
              <w:rPr>
                <w:rFonts w:cs="Times New Roman"/>
                <w:i/>
                <w:iCs/>
                <w:sz w:val="20"/>
                <w:szCs w:val="20"/>
                <w:lang w:val="fr-CA"/>
              </w:rPr>
              <w:t xml:space="preserve"> </w:t>
            </w:r>
            <w:r w:rsidRPr="00C34FEA">
              <w:rPr>
                <w:rFonts w:cs="Times New Roman"/>
                <w:iCs/>
                <w:sz w:val="20"/>
                <w:szCs w:val="20"/>
                <w:lang w:val="fr-CA"/>
              </w:rPr>
              <w:t>(Sécurité publ</w:t>
            </w:r>
            <w:r w:rsidR="00A956D3" w:rsidRPr="00C34FEA">
              <w:rPr>
                <w:rFonts w:cs="Times New Roman"/>
                <w:sz w:val="20"/>
                <w:szCs w:val="20"/>
                <w:lang w:val="fr-CA"/>
              </w:rPr>
              <w:t>i</w:t>
            </w:r>
            <w:r w:rsidRPr="00C34FEA">
              <w:rPr>
                <w:rFonts w:cs="Times New Roman"/>
                <w:sz w:val="20"/>
                <w:szCs w:val="20"/>
                <w:lang w:val="fr-CA"/>
              </w:rPr>
              <w:t>qu</w:t>
            </w:r>
            <w:r w:rsidR="00A956D3" w:rsidRPr="00C34FEA">
              <w:rPr>
                <w:rFonts w:cs="Times New Roman"/>
                <w:sz w:val="20"/>
                <w:szCs w:val="20"/>
                <w:lang w:val="fr-CA"/>
              </w:rPr>
              <w:t>e</w:t>
            </w:r>
            <w:r w:rsidRPr="00C34FEA">
              <w:rPr>
                <w:rFonts w:cs="Times New Roman"/>
                <w:sz w:val="20"/>
                <w:szCs w:val="20"/>
                <w:lang w:val="fr-CA"/>
              </w:rPr>
              <w:t xml:space="preserve"> et Protection civile)</w:t>
            </w:r>
            <w:r w:rsidR="00A956D3" w:rsidRPr="00C34FEA">
              <w:rPr>
                <w:rFonts w:cs="Times New Roman"/>
                <w:iCs/>
                <w:sz w:val="20"/>
                <w:szCs w:val="20"/>
                <w:lang w:val="fr-CA"/>
              </w:rPr>
              <w:t>,</w:t>
            </w:r>
          </w:p>
          <w:p w:rsidR="00A956D3" w:rsidRPr="00C34FEA" w:rsidRDefault="00A956D3" w:rsidP="00E724B4">
            <w:pPr>
              <w:rPr>
                <w:rFonts w:cs="Times New Roman"/>
                <w:sz w:val="20"/>
                <w:szCs w:val="20"/>
              </w:rPr>
            </w:pPr>
            <w:r w:rsidRPr="00C34FEA">
              <w:rPr>
                <w:rFonts w:cs="Times New Roman"/>
                <w:sz w:val="20"/>
                <w:szCs w:val="20"/>
              </w:rPr>
              <w:t>201</w:t>
            </w:r>
            <w:r w:rsidR="006E775A" w:rsidRPr="00C34FEA">
              <w:rPr>
                <w:rFonts w:cs="Times New Roman"/>
                <w:sz w:val="20"/>
                <w:szCs w:val="20"/>
              </w:rPr>
              <w:t>4</w:t>
            </w:r>
            <w:r w:rsidRPr="00C34FEA">
              <w:rPr>
                <w:rFonts w:cs="Times New Roman"/>
                <w:sz w:val="20"/>
                <w:szCs w:val="20"/>
              </w:rPr>
              <w:t xml:space="preserve"> CSC </w:t>
            </w:r>
            <w:r w:rsidR="00C34FEA" w:rsidRPr="00C34FEA">
              <w:rPr>
                <w:rFonts w:cs="Times New Roman"/>
                <w:sz w:val="20"/>
                <w:szCs w:val="20"/>
              </w:rPr>
              <w:t>38</w:t>
            </w:r>
            <w:r w:rsidRPr="00C34FEA">
              <w:rPr>
                <w:rFonts w:cs="Times New Roman"/>
                <w:sz w:val="20"/>
                <w:szCs w:val="20"/>
              </w:rPr>
              <w:t>, [201</w:t>
            </w:r>
            <w:r w:rsidR="006E775A" w:rsidRPr="00C34FEA">
              <w:rPr>
                <w:rFonts w:cs="Times New Roman"/>
                <w:sz w:val="20"/>
                <w:szCs w:val="20"/>
              </w:rPr>
              <w:t>4</w:t>
            </w:r>
            <w:r w:rsidRPr="00C34FEA">
              <w:rPr>
                <w:rFonts w:cs="Times New Roman"/>
                <w:sz w:val="20"/>
                <w:szCs w:val="20"/>
              </w:rPr>
              <w:t xml:space="preserve">] </w:t>
            </w:r>
            <w:r w:rsidR="006E775A" w:rsidRPr="00C34FEA">
              <w:rPr>
                <w:rFonts w:cs="Times New Roman"/>
                <w:sz w:val="20"/>
                <w:szCs w:val="20"/>
              </w:rPr>
              <w:t>2</w:t>
            </w:r>
            <w:r w:rsidRPr="00C34FEA">
              <w:rPr>
                <w:rFonts w:cs="Times New Roman"/>
                <w:sz w:val="20"/>
                <w:szCs w:val="20"/>
              </w:rPr>
              <w:t xml:space="preserve"> R.C.S. </w:t>
            </w:r>
            <w:r w:rsidR="00C34FEA" w:rsidRPr="00C34FEA">
              <w:rPr>
                <w:rFonts w:cs="Times New Roman"/>
                <w:sz w:val="20"/>
                <w:szCs w:val="20"/>
              </w:rPr>
              <w:t>104</w:t>
            </w:r>
          </w:p>
          <w:p w:rsidR="00A956D3" w:rsidRPr="00C34FEA" w:rsidRDefault="00A956D3" w:rsidP="00E724B4">
            <w:pPr>
              <w:keepNext/>
              <w:keepLines/>
              <w:rPr>
                <w:rFonts w:cs="Times New Roman"/>
                <w:bCs/>
                <w:sz w:val="20"/>
                <w:szCs w:val="20"/>
              </w:rPr>
            </w:pPr>
          </w:p>
          <w:p w:rsidR="00A956D3" w:rsidRPr="00C34FEA" w:rsidRDefault="00C34FEA" w:rsidP="00E724B4">
            <w:pPr>
              <w:keepNext/>
              <w:keepLines/>
              <w:rPr>
                <w:rFonts w:cs="Times New Roman"/>
                <w:bCs/>
                <w:sz w:val="20"/>
                <w:szCs w:val="20"/>
              </w:rPr>
            </w:pPr>
            <w:r w:rsidRPr="00C34FEA">
              <w:rPr>
                <w:rFonts w:cs="Times New Roman"/>
                <w:sz w:val="20"/>
                <w:szCs w:val="20"/>
              </w:rPr>
              <w:t>Untel</w:t>
            </w:r>
            <w:r w:rsidR="00A956D3" w:rsidRPr="00C34FEA">
              <w:rPr>
                <w:rFonts w:cs="Times New Roman"/>
                <w:sz w:val="20"/>
                <w:szCs w:val="20"/>
              </w:rPr>
              <w:t xml:space="preserve"> </w:t>
            </w:r>
            <w:r w:rsidR="00A956D3" w:rsidRPr="00C34FEA">
              <w:rPr>
                <w:rFonts w:cs="Times New Roman"/>
                <w:i/>
                <w:iCs/>
                <w:sz w:val="20"/>
                <w:szCs w:val="20"/>
              </w:rPr>
              <w:t>c</w:t>
            </w:r>
            <w:r w:rsidR="00A956D3" w:rsidRPr="00C34FEA">
              <w:rPr>
                <w:rFonts w:cs="Times New Roman"/>
                <w:sz w:val="20"/>
                <w:szCs w:val="20"/>
              </w:rPr>
              <w:t xml:space="preserve">. </w:t>
            </w:r>
            <w:r>
              <w:rPr>
                <w:rFonts w:cs="Times New Roman"/>
                <w:sz w:val="20"/>
                <w:szCs w:val="20"/>
              </w:rPr>
              <w:t>O</w:t>
            </w:r>
            <w:r w:rsidR="00A956D3" w:rsidRPr="00C34FEA">
              <w:rPr>
                <w:rFonts w:cs="Times New Roman"/>
                <w:sz w:val="20"/>
                <w:szCs w:val="20"/>
              </w:rPr>
              <w:t>n</w:t>
            </w:r>
            <w:r>
              <w:rPr>
                <w:rFonts w:cs="Times New Roman"/>
                <w:sz w:val="20"/>
                <w:szCs w:val="20"/>
              </w:rPr>
              <w:t>t</w:t>
            </w:r>
            <w:r w:rsidR="00A956D3" w:rsidRPr="00C34FEA">
              <w:rPr>
                <w:rFonts w:cs="Times New Roman"/>
                <w:sz w:val="20"/>
                <w:szCs w:val="20"/>
              </w:rPr>
              <w:t>ar</w:t>
            </w:r>
            <w:r>
              <w:rPr>
                <w:rFonts w:cs="Times New Roman"/>
                <w:sz w:val="20"/>
                <w:szCs w:val="20"/>
              </w:rPr>
              <w:t>i</w:t>
            </w:r>
            <w:r w:rsidR="00A956D3" w:rsidRPr="00C34FEA">
              <w:rPr>
                <w:rFonts w:cs="Times New Roman"/>
                <w:sz w:val="20"/>
                <w:szCs w:val="20"/>
              </w:rPr>
              <w:t>o</w:t>
            </w:r>
            <w:r>
              <w:rPr>
                <w:rFonts w:cs="Times New Roman"/>
                <w:sz w:val="20"/>
                <w:szCs w:val="20"/>
              </w:rPr>
              <w:t xml:space="preserve"> (Fin</w:t>
            </w:r>
            <w:r w:rsidR="00A956D3" w:rsidRPr="00C34FEA">
              <w:rPr>
                <w:rFonts w:cs="Times New Roman"/>
                <w:sz w:val="20"/>
                <w:szCs w:val="20"/>
              </w:rPr>
              <w:t>an</w:t>
            </w:r>
            <w:r>
              <w:rPr>
                <w:rFonts w:cs="Times New Roman"/>
                <w:sz w:val="20"/>
                <w:szCs w:val="20"/>
              </w:rPr>
              <w:t>ces)</w:t>
            </w:r>
            <w:r w:rsidR="00A956D3" w:rsidRPr="00C34FEA">
              <w:rPr>
                <w:rFonts w:cs="Times New Roman"/>
                <w:sz w:val="20"/>
                <w:szCs w:val="20"/>
              </w:rPr>
              <w:t>,</w:t>
            </w:r>
          </w:p>
          <w:p w:rsidR="00A956D3" w:rsidRPr="00FF4756" w:rsidRDefault="006E775A" w:rsidP="00E724B4">
            <w:pPr>
              <w:rPr>
                <w:rFonts w:cs="Times New Roman"/>
                <w:sz w:val="20"/>
                <w:szCs w:val="20"/>
              </w:rPr>
            </w:pPr>
            <w:r>
              <w:rPr>
                <w:rFonts w:cs="Times New Roman"/>
                <w:sz w:val="20"/>
                <w:szCs w:val="20"/>
              </w:rPr>
              <w:t>2014</w:t>
            </w:r>
            <w:r w:rsidR="00A956D3" w:rsidRPr="00FF4756">
              <w:rPr>
                <w:rFonts w:cs="Times New Roman"/>
                <w:sz w:val="20"/>
                <w:szCs w:val="20"/>
              </w:rPr>
              <w:t xml:space="preserve"> CSC </w:t>
            </w:r>
            <w:r w:rsidR="00C34FEA">
              <w:rPr>
                <w:rFonts w:cs="Times New Roman"/>
                <w:sz w:val="20"/>
                <w:szCs w:val="20"/>
              </w:rPr>
              <w:t>3</w:t>
            </w:r>
            <w:r w:rsidR="00A956D3">
              <w:rPr>
                <w:rFonts w:cs="Times New Roman"/>
                <w:sz w:val="20"/>
                <w:szCs w:val="20"/>
              </w:rPr>
              <w:t>6</w:t>
            </w:r>
            <w:r w:rsidR="00A956D3" w:rsidRPr="00FF4756">
              <w:rPr>
                <w:rFonts w:cs="Times New Roman"/>
                <w:sz w:val="20"/>
                <w:szCs w:val="20"/>
              </w:rPr>
              <w:t>, [201</w:t>
            </w:r>
            <w:r>
              <w:rPr>
                <w:rFonts w:cs="Times New Roman"/>
                <w:sz w:val="20"/>
                <w:szCs w:val="20"/>
              </w:rPr>
              <w:t>4</w:t>
            </w:r>
            <w:r w:rsidR="00A956D3" w:rsidRPr="00FF4756">
              <w:rPr>
                <w:rFonts w:cs="Times New Roman"/>
                <w:sz w:val="20"/>
                <w:szCs w:val="20"/>
              </w:rPr>
              <w:t xml:space="preserve">] </w:t>
            </w:r>
            <w:r>
              <w:rPr>
                <w:rFonts w:cs="Times New Roman"/>
                <w:sz w:val="20"/>
                <w:szCs w:val="20"/>
              </w:rPr>
              <w:t>2</w:t>
            </w:r>
            <w:r w:rsidR="00A956D3" w:rsidRPr="00FF4756">
              <w:rPr>
                <w:rFonts w:cs="Times New Roman"/>
                <w:sz w:val="20"/>
                <w:szCs w:val="20"/>
              </w:rPr>
              <w:t xml:space="preserve"> R.C.S. </w:t>
            </w:r>
            <w:r w:rsidR="00C34FEA">
              <w:rPr>
                <w:rFonts w:cs="Times New Roman"/>
                <w:sz w:val="20"/>
                <w:szCs w:val="20"/>
              </w:rPr>
              <w:t>3</w:t>
            </w:r>
          </w:p>
          <w:p w:rsidR="00A956D3" w:rsidRPr="00FF4756" w:rsidRDefault="00A956D3" w:rsidP="00E724B4">
            <w:pPr>
              <w:keepNext/>
              <w:keepLines/>
              <w:rPr>
                <w:rFonts w:cs="Times New Roman"/>
                <w:bCs/>
                <w:sz w:val="20"/>
                <w:szCs w:val="20"/>
              </w:rPr>
            </w:pPr>
          </w:p>
          <w:p w:rsidR="00A956D3" w:rsidRPr="00DD0B49" w:rsidRDefault="00007FF8" w:rsidP="00E724B4">
            <w:pPr>
              <w:rPr>
                <w:rFonts w:cs="Times New Roman"/>
                <w:sz w:val="20"/>
                <w:szCs w:val="20"/>
              </w:rPr>
            </w:pPr>
            <w:r>
              <w:rPr>
                <w:rFonts w:cs="Times New Roman"/>
                <w:sz w:val="20"/>
                <w:szCs w:val="20"/>
              </w:rPr>
              <w:pict>
                <v:rect id="_x0000_i1075" style="width:129.6pt;height:1pt" o:hrpct="600" o:hralign="center" o:hrstd="t" o:hrnoshade="t" o:hr="t" fillcolor="black [3213]" stroked="f"/>
              </w:pict>
            </w:r>
          </w:p>
          <w:p w:rsidR="00A956D3" w:rsidRPr="00DD0B49" w:rsidRDefault="00A956D3" w:rsidP="00E724B4">
            <w:pPr>
              <w:keepNext/>
              <w:keepLines/>
              <w:rPr>
                <w:rFonts w:cs="Times New Roman"/>
                <w:bCs/>
                <w:sz w:val="20"/>
                <w:szCs w:val="20"/>
                <w:lang w:val="fr-CA"/>
              </w:rPr>
            </w:pPr>
          </w:p>
        </w:tc>
      </w:tr>
    </w:tbl>
    <w:p w:rsidR="00A956D3" w:rsidRDefault="00A956D3" w:rsidP="00A956D3">
      <w:pPr>
        <w:rPr>
          <w:sz w:val="20"/>
          <w:szCs w:val="20"/>
          <w:lang w:val="fr-CA"/>
        </w:rPr>
      </w:pPr>
    </w:p>
    <w:p w:rsidR="00A956D3" w:rsidRDefault="00A956D3" w:rsidP="00A956D3">
      <w:pPr>
        <w:rPr>
          <w:sz w:val="20"/>
          <w:szCs w:val="20"/>
          <w:lang w:val="fr-CA"/>
        </w:rPr>
      </w:pPr>
    </w:p>
    <w:p w:rsidR="00A956D3" w:rsidRDefault="00A956D3" w:rsidP="00A956D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F70079" w:rsidTr="00E724B4">
        <w:trPr>
          <w:cantSplit/>
          <w:trHeight w:val="1152"/>
        </w:trPr>
        <w:tc>
          <w:tcPr>
            <w:tcW w:w="4320" w:type="dxa"/>
            <w:tcBorders>
              <w:top w:val="nil"/>
              <w:left w:val="nil"/>
              <w:bottom w:val="nil"/>
              <w:right w:val="nil"/>
            </w:tcBorders>
          </w:tcPr>
          <w:p w:rsidR="00A956D3" w:rsidRPr="00DD0B49" w:rsidRDefault="00A956D3" w:rsidP="00E724B4">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E724B4">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E724B4">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E724B4">
        <w:tc>
          <w:tcPr>
            <w:tcW w:w="4320" w:type="dxa"/>
            <w:tcBorders>
              <w:top w:val="nil"/>
              <w:left w:val="nil"/>
              <w:bottom w:val="nil"/>
              <w:right w:val="nil"/>
            </w:tcBorders>
          </w:tcPr>
          <w:p w:rsidR="00A956D3" w:rsidRPr="00DD0B49" w:rsidRDefault="00A956D3" w:rsidP="00E724B4">
            <w:pPr>
              <w:rPr>
                <w:rFonts w:cs="Times New Roman"/>
                <w:sz w:val="20"/>
                <w:szCs w:val="20"/>
                <w:lang w:val="en-GB"/>
              </w:rPr>
            </w:pPr>
            <w:r w:rsidRPr="00DD0B49">
              <w:rPr>
                <w:rFonts w:cs="Times New Roman"/>
                <w:b/>
                <w:bCs/>
                <w:sz w:val="20"/>
                <w:szCs w:val="20"/>
                <w:lang w:val="en-GB"/>
              </w:rPr>
              <w:t>Judgments reported in [201</w:t>
            </w:r>
            <w:r w:rsidR="0060471F">
              <w:rPr>
                <w:rFonts w:cs="Times New Roman"/>
                <w:b/>
                <w:bCs/>
                <w:sz w:val="20"/>
                <w:szCs w:val="20"/>
                <w:lang w:val="en-GB"/>
              </w:rPr>
              <w:t>4</w:t>
            </w:r>
            <w:r w:rsidRPr="00DD0B49">
              <w:rPr>
                <w:rFonts w:cs="Times New Roman"/>
                <w:b/>
                <w:bCs/>
                <w:sz w:val="20"/>
                <w:szCs w:val="20"/>
                <w:lang w:val="en-GB"/>
              </w:rPr>
              <w:t xml:space="preserve">] </w:t>
            </w:r>
            <w:r w:rsidR="0060471F">
              <w:rPr>
                <w:rFonts w:cs="Times New Roman"/>
                <w:b/>
                <w:bCs/>
                <w:sz w:val="20"/>
                <w:szCs w:val="20"/>
                <w:lang w:val="en-GB"/>
              </w:rPr>
              <w:t>2</w:t>
            </w:r>
            <w:r w:rsidRPr="00DD0B49">
              <w:rPr>
                <w:rFonts w:cs="Times New Roman"/>
                <w:b/>
                <w:bCs/>
                <w:sz w:val="20"/>
                <w:szCs w:val="20"/>
                <w:lang w:val="en-GB"/>
              </w:rPr>
              <w:t xml:space="preserve"> S.C.R. Part </w:t>
            </w:r>
            <w:r>
              <w:rPr>
                <w:rFonts w:cs="Times New Roman"/>
                <w:b/>
                <w:bCs/>
                <w:sz w:val="20"/>
                <w:szCs w:val="20"/>
                <w:lang w:val="en-GB"/>
              </w:rPr>
              <w:t>2</w:t>
            </w:r>
          </w:p>
          <w:p w:rsidR="00A956D3" w:rsidRPr="00DD0B49" w:rsidRDefault="00A956D3" w:rsidP="00E724B4">
            <w:pPr>
              <w:rPr>
                <w:rFonts w:cs="Times New Roman"/>
                <w:sz w:val="20"/>
                <w:szCs w:val="20"/>
                <w:lang w:val="en-GB"/>
              </w:rPr>
            </w:pPr>
          </w:p>
          <w:p w:rsidR="00A956D3" w:rsidRPr="00C34FEA" w:rsidRDefault="00A956D3" w:rsidP="00E724B4">
            <w:pPr>
              <w:rPr>
                <w:rFonts w:cs="Times New Roman"/>
                <w:sz w:val="20"/>
                <w:szCs w:val="20"/>
                <w:lang w:val="fr-CA"/>
              </w:rPr>
            </w:pPr>
            <w:r w:rsidRPr="00C34FEA">
              <w:rPr>
                <w:rFonts w:cs="Times New Roman"/>
                <w:sz w:val="20"/>
                <w:szCs w:val="20"/>
                <w:lang w:val="fr-CA"/>
              </w:rPr>
              <w:t>Cana</w:t>
            </w:r>
            <w:r w:rsidR="00C34FEA" w:rsidRPr="00C34FEA">
              <w:rPr>
                <w:rFonts w:cs="Times New Roman"/>
                <w:sz w:val="20"/>
                <w:szCs w:val="20"/>
                <w:lang w:val="fr-CA"/>
              </w:rPr>
              <w:t>da (Attorne</w:t>
            </w:r>
            <w:r w:rsidRPr="00C34FEA">
              <w:rPr>
                <w:rFonts w:cs="Times New Roman"/>
                <w:sz w:val="20"/>
                <w:szCs w:val="20"/>
                <w:lang w:val="fr-CA"/>
              </w:rPr>
              <w:t xml:space="preserve">y </w:t>
            </w:r>
            <w:r w:rsidR="00C34FEA" w:rsidRPr="00C34FEA">
              <w:rPr>
                <w:rFonts w:cs="Times New Roman"/>
                <w:sz w:val="20"/>
                <w:szCs w:val="20"/>
                <w:lang w:val="fr-CA"/>
              </w:rPr>
              <w:t>Ge</w:t>
            </w:r>
            <w:r w:rsidRPr="00C34FEA">
              <w:rPr>
                <w:rFonts w:cs="Times New Roman"/>
                <w:sz w:val="20"/>
                <w:szCs w:val="20"/>
                <w:lang w:val="fr-CA"/>
              </w:rPr>
              <w:t>n</w:t>
            </w:r>
            <w:r w:rsidR="00C34FEA" w:rsidRPr="00C34FEA">
              <w:rPr>
                <w:rFonts w:cs="Times New Roman"/>
                <w:sz w:val="20"/>
                <w:szCs w:val="20"/>
                <w:lang w:val="fr-CA"/>
              </w:rPr>
              <w:t>eral)</w:t>
            </w:r>
            <w:r w:rsidRPr="00C34FEA">
              <w:rPr>
                <w:rFonts w:cs="Times New Roman"/>
                <w:sz w:val="20"/>
                <w:szCs w:val="20"/>
                <w:lang w:val="fr-CA"/>
              </w:rPr>
              <w:t xml:space="preserve"> </w:t>
            </w:r>
            <w:r w:rsidRPr="00C34FEA">
              <w:rPr>
                <w:rFonts w:cs="Times New Roman"/>
                <w:i/>
                <w:sz w:val="20"/>
                <w:szCs w:val="20"/>
                <w:lang w:val="fr-CA"/>
              </w:rPr>
              <w:t>v.</w:t>
            </w:r>
            <w:r w:rsidRPr="00C34FEA">
              <w:rPr>
                <w:rFonts w:cs="Times New Roman"/>
                <w:sz w:val="20"/>
                <w:szCs w:val="20"/>
                <w:lang w:val="fr-CA"/>
              </w:rPr>
              <w:t xml:space="preserve"> </w:t>
            </w:r>
            <w:r w:rsidR="00C34FEA" w:rsidRPr="00C34FEA">
              <w:rPr>
                <w:rFonts w:cs="Times New Roman"/>
                <w:sz w:val="20"/>
                <w:szCs w:val="20"/>
                <w:lang w:val="fr-CA"/>
              </w:rPr>
              <w:t>C</w:t>
            </w:r>
            <w:r w:rsidRPr="00C34FEA">
              <w:rPr>
                <w:rFonts w:cs="Times New Roman"/>
                <w:sz w:val="20"/>
                <w:szCs w:val="20"/>
                <w:lang w:val="fr-CA"/>
              </w:rPr>
              <w:t>o</w:t>
            </w:r>
            <w:r w:rsidR="00C34FEA" w:rsidRPr="00C34FEA">
              <w:rPr>
                <w:rFonts w:cs="Times New Roman"/>
                <w:sz w:val="20"/>
                <w:szCs w:val="20"/>
                <w:lang w:val="fr-CA"/>
              </w:rPr>
              <w:t>nfédération des syndicats nationaux</w:t>
            </w:r>
            <w:r w:rsidRPr="00C34FEA">
              <w:rPr>
                <w:rFonts w:cs="Times New Roman"/>
                <w:sz w:val="20"/>
                <w:szCs w:val="20"/>
                <w:lang w:val="fr-CA"/>
              </w:rPr>
              <w:t>,</w:t>
            </w:r>
          </w:p>
          <w:p w:rsidR="00A956D3" w:rsidRPr="00DD0B49" w:rsidRDefault="00A956D3" w:rsidP="00E724B4">
            <w:pPr>
              <w:rPr>
                <w:rFonts w:cs="Times New Roman"/>
                <w:sz w:val="20"/>
                <w:szCs w:val="20"/>
                <w:lang w:val="en-GB"/>
              </w:rPr>
            </w:pPr>
            <w:r w:rsidRPr="00DD0B49">
              <w:rPr>
                <w:rFonts w:cs="Times New Roman"/>
                <w:sz w:val="20"/>
                <w:szCs w:val="20"/>
                <w:lang w:val="en-GB"/>
              </w:rPr>
              <w:t>201</w:t>
            </w:r>
            <w:r w:rsidR="006E775A">
              <w:rPr>
                <w:rFonts w:cs="Times New Roman"/>
                <w:sz w:val="20"/>
                <w:szCs w:val="20"/>
                <w:lang w:val="en-GB"/>
              </w:rPr>
              <w:t>4</w:t>
            </w:r>
            <w:r w:rsidRPr="00DD0B49">
              <w:rPr>
                <w:rFonts w:cs="Times New Roman"/>
                <w:sz w:val="20"/>
                <w:szCs w:val="20"/>
                <w:lang w:val="en-GB"/>
              </w:rPr>
              <w:t xml:space="preserve"> SCC </w:t>
            </w:r>
            <w:r w:rsidR="00C34FEA">
              <w:rPr>
                <w:rFonts w:cs="Times New Roman"/>
                <w:sz w:val="20"/>
                <w:szCs w:val="20"/>
                <w:lang w:val="en-GB"/>
              </w:rPr>
              <w:t>49</w:t>
            </w:r>
            <w:r w:rsidRPr="00DD0B49">
              <w:rPr>
                <w:rFonts w:cs="Times New Roman"/>
                <w:sz w:val="20"/>
                <w:szCs w:val="20"/>
                <w:lang w:val="en-GB"/>
              </w:rPr>
              <w:t>, [201</w:t>
            </w:r>
            <w:r w:rsidR="006E775A">
              <w:rPr>
                <w:rFonts w:cs="Times New Roman"/>
                <w:sz w:val="20"/>
                <w:szCs w:val="20"/>
                <w:lang w:val="en-GB"/>
              </w:rPr>
              <w:t>4</w:t>
            </w:r>
            <w:r w:rsidRPr="00DD0B49">
              <w:rPr>
                <w:rFonts w:cs="Times New Roman"/>
                <w:sz w:val="20"/>
                <w:szCs w:val="20"/>
                <w:lang w:val="en-GB"/>
              </w:rPr>
              <w:t xml:space="preserve">] </w:t>
            </w:r>
            <w:r w:rsidR="006E775A">
              <w:rPr>
                <w:rFonts w:cs="Times New Roman"/>
                <w:sz w:val="20"/>
                <w:szCs w:val="20"/>
                <w:lang w:val="en-GB"/>
              </w:rPr>
              <w:t>2</w:t>
            </w:r>
            <w:r w:rsidRPr="00DD0B49">
              <w:rPr>
                <w:rFonts w:cs="Times New Roman"/>
                <w:sz w:val="20"/>
                <w:szCs w:val="20"/>
                <w:lang w:val="en-GB"/>
              </w:rPr>
              <w:t xml:space="preserve"> S.C.R. </w:t>
            </w:r>
            <w:r w:rsidR="00C34FEA">
              <w:rPr>
                <w:rFonts w:cs="Times New Roman"/>
                <w:sz w:val="20"/>
                <w:szCs w:val="20"/>
                <w:lang w:val="en-GB"/>
              </w:rPr>
              <w:t>477</w:t>
            </w:r>
          </w:p>
          <w:p w:rsidR="00A956D3" w:rsidRDefault="00A956D3" w:rsidP="00E724B4">
            <w:pPr>
              <w:rPr>
                <w:rFonts w:cs="Times New Roman"/>
                <w:sz w:val="20"/>
                <w:szCs w:val="20"/>
                <w:lang w:val="en-GB"/>
              </w:rPr>
            </w:pPr>
          </w:p>
          <w:p w:rsidR="00A956D3" w:rsidRPr="00E240C2" w:rsidRDefault="00C34FEA" w:rsidP="00E724B4">
            <w:pPr>
              <w:rPr>
                <w:rFonts w:cs="Times New Roman"/>
                <w:sz w:val="20"/>
                <w:szCs w:val="20"/>
                <w:lang w:val="en-GB"/>
              </w:rPr>
            </w:pPr>
            <w:r>
              <w:rPr>
                <w:rFonts w:cs="Times New Roman"/>
                <w:sz w:val="20"/>
                <w:szCs w:val="20"/>
                <w:lang w:val="en-GB"/>
              </w:rPr>
              <w:t>Grassy Narrows First Nation</w:t>
            </w:r>
            <w:r w:rsidR="00A956D3" w:rsidRPr="00E240C2">
              <w:rPr>
                <w:rFonts w:cs="Times New Roman"/>
                <w:sz w:val="20"/>
                <w:szCs w:val="20"/>
                <w:lang w:val="en-GB"/>
              </w:rPr>
              <w:t xml:space="preserve"> </w:t>
            </w:r>
            <w:r w:rsidR="00A956D3" w:rsidRPr="00E240C2">
              <w:rPr>
                <w:rFonts w:cs="Times New Roman"/>
                <w:i/>
                <w:sz w:val="20"/>
                <w:szCs w:val="20"/>
                <w:lang w:val="en-GB"/>
              </w:rPr>
              <w:t>v.</w:t>
            </w:r>
            <w:r w:rsidR="00A956D3" w:rsidRPr="00E240C2">
              <w:rPr>
                <w:rFonts w:cs="Times New Roman"/>
                <w:sz w:val="20"/>
                <w:szCs w:val="20"/>
                <w:lang w:val="en-GB"/>
              </w:rPr>
              <w:t xml:space="preserve"> </w:t>
            </w:r>
            <w:r>
              <w:rPr>
                <w:rFonts w:cs="Times New Roman"/>
                <w:sz w:val="20"/>
                <w:szCs w:val="20"/>
                <w:lang w:val="en-GB"/>
              </w:rPr>
              <w:t>Ont</w:t>
            </w:r>
            <w:r w:rsidR="00A956D3" w:rsidRPr="00E240C2">
              <w:rPr>
                <w:rFonts w:cs="Times New Roman"/>
                <w:sz w:val="20"/>
                <w:szCs w:val="20"/>
                <w:lang w:val="en-GB"/>
              </w:rPr>
              <w:t>a</w:t>
            </w:r>
            <w:r>
              <w:rPr>
                <w:rFonts w:cs="Times New Roman"/>
                <w:sz w:val="20"/>
                <w:szCs w:val="20"/>
                <w:lang w:val="en-GB"/>
              </w:rPr>
              <w:t>r</w:t>
            </w:r>
            <w:r w:rsidR="00A956D3" w:rsidRPr="00E240C2">
              <w:rPr>
                <w:rFonts w:cs="Times New Roman"/>
                <w:sz w:val="20"/>
                <w:szCs w:val="20"/>
                <w:lang w:val="en-GB"/>
              </w:rPr>
              <w:t>i</w:t>
            </w:r>
            <w:r>
              <w:rPr>
                <w:rFonts w:cs="Times New Roman"/>
                <w:sz w:val="20"/>
                <w:szCs w:val="20"/>
                <w:lang w:val="en-GB"/>
              </w:rPr>
              <w:t>o (Natural Resources)</w:t>
            </w:r>
            <w:r w:rsidR="00A956D3" w:rsidRPr="00E240C2">
              <w:rPr>
                <w:rFonts w:cs="Times New Roman"/>
                <w:sz w:val="20"/>
                <w:szCs w:val="20"/>
                <w:lang w:val="en-GB"/>
              </w:rPr>
              <w:t>,</w:t>
            </w:r>
          </w:p>
          <w:p w:rsidR="00A956D3" w:rsidRPr="00C34FEA" w:rsidRDefault="006E775A" w:rsidP="00E724B4">
            <w:pPr>
              <w:rPr>
                <w:rFonts w:cs="Times New Roman"/>
                <w:sz w:val="20"/>
                <w:szCs w:val="20"/>
                <w:lang w:val="fr-CA"/>
              </w:rPr>
            </w:pPr>
            <w:r w:rsidRPr="00C34FEA">
              <w:rPr>
                <w:rFonts w:cs="Times New Roman"/>
                <w:sz w:val="20"/>
                <w:szCs w:val="20"/>
                <w:lang w:val="fr-CA"/>
              </w:rPr>
              <w:t xml:space="preserve">2014 SCC </w:t>
            </w:r>
            <w:r w:rsidR="00C34FEA" w:rsidRPr="00C34FEA">
              <w:rPr>
                <w:rFonts w:cs="Times New Roman"/>
                <w:sz w:val="20"/>
                <w:szCs w:val="20"/>
                <w:lang w:val="fr-CA"/>
              </w:rPr>
              <w:t>48</w:t>
            </w:r>
            <w:r w:rsidRPr="00C34FEA">
              <w:rPr>
                <w:rFonts w:cs="Times New Roman"/>
                <w:sz w:val="20"/>
                <w:szCs w:val="20"/>
                <w:lang w:val="fr-CA"/>
              </w:rPr>
              <w:t xml:space="preserve">, [2014] 2 S.C.R. </w:t>
            </w:r>
            <w:r w:rsidR="00C34FEA" w:rsidRPr="00C34FEA">
              <w:rPr>
                <w:rFonts w:cs="Times New Roman"/>
                <w:sz w:val="20"/>
                <w:szCs w:val="20"/>
                <w:lang w:val="fr-CA"/>
              </w:rPr>
              <w:t>447</w:t>
            </w:r>
          </w:p>
          <w:p w:rsidR="00A956D3" w:rsidRPr="00C34FEA" w:rsidRDefault="00A956D3" w:rsidP="00E724B4">
            <w:pPr>
              <w:rPr>
                <w:rFonts w:cs="Times New Roman"/>
                <w:sz w:val="20"/>
                <w:szCs w:val="20"/>
                <w:lang w:val="fr-CA"/>
              </w:rPr>
            </w:pPr>
          </w:p>
          <w:p w:rsidR="00A956D3" w:rsidRPr="00DD0B49" w:rsidRDefault="00C34FEA" w:rsidP="00E724B4">
            <w:pPr>
              <w:rPr>
                <w:rFonts w:cs="Times New Roman"/>
                <w:sz w:val="20"/>
                <w:szCs w:val="20"/>
                <w:lang w:val="fr-CA"/>
              </w:rPr>
            </w:pPr>
            <w:r>
              <w:rPr>
                <w:rFonts w:cs="Times New Roman"/>
                <w:sz w:val="20"/>
                <w:szCs w:val="20"/>
                <w:lang w:val="fr-CA"/>
              </w:rPr>
              <w:t>Québec (Comm</w:t>
            </w:r>
            <w:r w:rsidR="00A956D3">
              <w:rPr>
                <w:rFonts w:cs="Times New Roman"/>
                <w:sz w:val="20"/>
                <w:szCs w:val="20"/>
                <w:lang w:val="fr-CA"/>
              </w:rPr>
              <w:t>i</w:t>
            </w:r>
            <w:r>
              <w:rPr>
                <w:rFonts w:cs="Times New Roman"/>
                <w:sz w:val="20"/>
                <w:szCs w:val="20"/>
                <w:lang w:val="fr-CA"/>
              </w:rPr>
              <w:t>ssi</w:t>
            </w:r>
            <w:r w:rsidR="00A956D3">
              <w:rPr>
                <w:rFonts w:cs="Times New Roman"/>
                <w:sz w:val="20"/>
                <w:szCs w:val="20"/>
                <w:lang w:val="fr-CA"/>
              </w:rPr>
              <w:t xml:space="preserve">on </w:t>
            </w:r>
            <w:r>
              <w:rPr>
                <w:rFonts w:cs="Times New Roman"/>
                <w:sz w:val="20"/>
                <w:szCs w:val="20"/>
                <w:lang w:val="fr-CA"/>
              </w:rPr>
              <w:t>d</w:t>
            </w:r>
            <w:r w:rsidR="00A956D3">
              <w:rPr>
                <w:rFonts w:cs="Times New Roman"/>
                <w:sz w:val="20"/>
                <w:szCs w:val="20"/>
                <w:lang w:val="fr-CA"/>
              </w:rPr>
              <w:t>e</w:t>
            </w:r>
            <w:r>
              <w:rPr>
                <w:rFonts w:cs="Times New Roman"/>
                <w:sz w:val="20"/>
                <w:szCs w:val="20"/>
                <w:lang w:val="fr-CA"/>
              </w:rPr>
              <w:t xml:space="preserve">s </w:t>
            </w:r>
            <w:r w:rsidR="00A956D3">
              <w:rPr>
                <w:rFonts w:cs="Times New Roman"/>
                <w:sz w:val="20"/>
                <w:szCs w:val="20"/>
                <w:lang w:val="fr-CA"/>
              </w:rPr>
              <w:t>no</w:t>
            </w:r>
            <w:r>
              <w:rPr>
                <w:rFonts w:cs="Times New Roman"/>
                <w:sz w:val="20"/>
                <w:szCs w:val="20"/>
                <w:lang w:val="fr-CA"/>
              </w:rPr>
              <w:t>rm</w:t>
            </w:r>
            <w:r w:rsidR="00A956D3">
              <w:rPr>
                <w:rFonts w:cs="Times New Roman"/>
                <w:sz w:val="20"/>
                <w:szCs w:val="20"/>
                <w:lang w:val="fr-CA"/>
              </w:rPr>
              <w:t>es</w:t>
            </w:r>
            <w:r>
              <w:rPr>
                <w:rFonts w:cs="Times New Roman"/>
                <w:sz w:val="20"/>
                <w:szCs w:val="20"/>
                <w:lang w:val="fr-CA"/>
              </w:rPr>
              <w:t xml:space="preserve"> du travail)</w:t>
            </w:r>
            <w:r w:rsidR="00A956D3" w:rsidRPr="00DD0B49">
              <w:rPr>
                <w:rFonts w:cs="Times New Roman"/>
                <w:sz w:val="20"/>
                <w:szCs w:val="20"/>
                <w:lang w:val="fr-CA"/>
              </w:rPr>
              <w:t xml:space="preserve"> </w:t>
            </w:r>
            <w:r w:rsidR="00A956D3" w:rsidRPr="00DD0B49">
              <w:rPr>
                <w:rFonts w:cs="Times New Roman"/>
                <w:i/>
                <w:iCs/>
                <w:sz w:val="20"/>
                <w:szCs w:val="20"/>
                <w:lang w:val="fr-CA"/>
              </w:rPr>
              <w:t xml:space="preserve">v. </w:t>
            </w:r>
            <w:r>
              <w:rPr>
                <w:rFonts w:cs="Times New Roman"/>
                <w:iCs/>
                <w:sz w:val="20"/>
                <w:szCs w:val="20"/>
                <w:lang w:val="fr-CA"/>
              </w:rPr>
              <w:t>As</w:t>
            </w:r>
            <w:r w:rsidR="00A956D3">
              <w:rPr>
                <w:rFonts w:cs="Times New Roman"/>
                <w:iCs/>
                <w:sz w:val="20"/>
                <w:szCs w:val="20"/>
                <w:lang w:val="fr-CA"/>
              </w:rPr>
              <w:t>p</w:t>
            </w:r>
            <w:r>
              <w:rPr>
                <w:rFonts w:cs="Times New Roman"/>
                <w:iCs/>
                <w:sz w:val="20"/>
                <w:szCs w:val="20"/>
                <w:lang w:val="fr-CA"/>
              </w:rPr>
              <w:t>hal</w:t>
            </w:r>
            <w:r w:rsidR="00A956D3">
              <w:rPr>
                <w:rFonts w:cs="Times New Roman"/>
                <w:iCs/>
                <w:sz w:val="20"/>
                <w:szCs w:val="20"/>
                <w:lang w:val="fr-CA"/>
              </w:rPr>
              <w:t>t</w:t>
            </w:r>
            <w:r>
              <w:rPr>
                <w:rFonts w:cs="Times New Roman"/>
                <w:iCs/>
                <w:sz w:val="20"/>
                <w:szCs w:val="20"/>
                <w:lang w:val="fr-CA"/>
              </w:rPr>
              <w:t>e</w:t>
            </w:r>
            <w:r w:rsidR="00A956D3">
              <w:rPr>
                <w:rFonts w:cs="Times New Roman"/>
                <w:iCs/>
                <w:sz w:val="20"/>
                <w:szCs w:val="20"/>
                <w:lang w:val="fr-CA"/>
              </w:rPr>
              <w:t xml:space="preserve"> </w:t>
            </w:r>
            <w:r>
              <w:rPr>
                <w:rFonts w:cs="Times New Roman"/>
                <w:iCs/>
                <w:sz w:val="20"/>
                <w:szCs w:val="20"/>
                <w:lang w:val="fr-CA"/>
              </w:rPr>
              <w:t>De</w:t>
            </w:r>
            <w:r w:rsidR="00A956D3">
              <w:rPr>
                <w:rFonts w:cs="Times New Roman"/>
                <w:iCs/>
                <w:sz w:val="20"/>
                <w:szCs w:val="20"/>
                <w:lang w:val="fr-CA"/>
              </w:rPr>
              <w:t>s</w:t>
            </w:r>
            <w:r>
              <w:rPr>
                <w:rFonts w:cs="Times New Roman"/>
                <w:iCs/>
                <w:sz w:val="20"/>
                <w:szCs w:val="20"/>
                <w:lang w:val="fr-CA"/>
              </w:rPr>
              <w:t>jardin</w:t>
            </w:r>
            <w:r w:rsidR="00A956D3">
              <w:rPr>
                <w:rFonts w:cs="Times New Roman"/>
                <w:iCs/>
                <w:sz w:val="20"/>
                <w:szCs w:val="20"/>
                <w:lang w:val="fr-CA"/>
              </w:rPr>
              <w:t>s</w:t>
            </w:r>
            <w:r w:rsidR="00666EB6">
              <w:rPr>
                <w:rFonts w:cs="Times New Roman"/>
                <w:iCs/>
                <w:sz w:val="20"/>
                <w:szCs w:val="20"/>
                <w:lang w:val="fr-CA"/>
              </w:rPr>
              <w:t xml:space="preserve"> inc.</w:t>
            </w:r>
            <w:r w:rsidR="00A956D3" w:rsidRPr="00DD0B49">
              <w:rPr>
                <w:rFonts w:cs="Times New Roman"/>
                <w:iCs/>
                <w:sz w:val="20"/>
                <w:szCs w:val="20"/>
                <w:lang w:val="fr-CA"/>
              </w:rPr>
              <w:t>,</w:t>
            </w:r>
          </w:p>
          <w:p w:rsidR="00A956D3" w:rsidRPr="00E0705E" w:rsidRDefault="006E775A" w:rsidP="00E724B4">
            <w:pPr>
              <w:rPr>
                <w:rFonts w:cs="Times New Roman"/>
                <w:sz w:val="20"/>
                <w:szCs w:val="20"/>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5</w:t>
            </w:r>
            <w:r w:rsidR="00666EB6">
              <w:rPr>
                <w:rFonts w:cs="Times New Roman"/>
                <w:sz w:val="20"/>
                <w:szCs w:val="20"/>
                <w:lang w:val="en-GB"/>
              </w:rPr>
              <w:t>1</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sidR="00666EB6">
              <w:rPr>
                <w:rFonts w:cs="Times New Roman"/>
                <w:sz w:val="20"/>
                <w:szCs w:val="20"/>
                <w:lang w:val="en-GB"/>
              </w:rPr>
              <w:t>514</w:t>
            </w:r>
          </w:p>
          <w:p w:rsidR="00A956D3" w:rsidRPr="00E0705E" w:rsidRDefault="00A956D3" w:rsidP="00E724B4">
            <w:pPr>
              <w:rPr>
                <w:rFonts w:cs="Times New Roman"/>
                <w:sz w:val="20"/>
                <w:szCs w:val="20"/>
              </w:rPr>
            </w:pPr>
          </w:p>
          <w:p w:rsidR="00A956D3" w:rsidRPr="00DD0B49" w:rsidRDefault="00666EB6" w:rsidP="00E724B4">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Hart</w:t>
            </w:r>
            <w:r w:rsidR="00A956D3" w:rsidRPr="00DD0B49">
              <w:rPr>
                <w:rFonts w:cs="Times New Roman"/>
                <w:sz w:val="20"/>
                <w:szCs w:val="20"/>
              </w:rPr>
              <w:t>,</w:t>
            </w:r>
          </w:p>
          <w:p w:rsidR="00A956D3" w:rsidRPr="003332E2" w:rsidRDefault="006E775A" w:rsidP="00E724B4">
            <w:pPr>
              <w:rPr>
                <w:rFonts w:cs="Times New Roman"/>
                <w:sz w:val="20"/>
                <w:szCs w:val="20"/>
                <w:lang w:val="fr-CA"/>
              </w:rPr>
            </w:pPr>
            <w:r w:rsidRPr="003332E2">
              <w:rPr>
                <w:rFonts w:cs="Times New Roman"/>
                <w:sz w:val="20"/>
                <w:szCs w:val="20"/>
                <w:lang w:val="fr-CA"/>
              </w:rPr>
              <w:t xml:space="preserve">2014 SCC 52, [2014] 2 S.C.R. </w:t>
            </w:r>
            <w:r w:rsidR="00666EB6" w:rsidRPr="003332E2">
              <w:rPr>
                <w:rFonts w:cs="Times New Roman"/>
                <w:sz w:val="20"/>
                <w:szCs w:val="20"/>
                <w:lang w:val="fr-CA"/>
              </w:rPr>
              <w:t>544</w:t>
            </w:r>
          </w:p>
          <w:p w:rsidR="00A956D3" w:rsidRPr="003332E2" w:rsidRDefault="00A956D3" w:rsidP="00E724B4">
            <w:pPr>
              <w:rPr>
                <w:rFonts w:cs="Times New Roman"/>
                <w:sz w:val="20"/>
                <w:szCs w:val="20"/>
                <w:lang w:val="fr-CA"/>
              </w:rPr>
            </w:pPr>
          </w:p>
          <w:p w:rsidR="00A956D3" w:rsidRPr="00666EB6" w:rsidRDefault="00A956D3" w:rsidP="00E724B4">
            <w:pPr>
              <w:rPr>
                <w:rFonts w:cs="Times New Roman"/>
                <w:sz w:val="20"/>
                <w:szCs w:val="20"/>
                <w:lang w:val="fr-CA"/>
              </w:rPr>
            </w:pPr>
            <w:r w:rsidRPr="00666EB6">
              <w:rPr>
                <w:rFonts w:cs="Times New Roman"/>
                <w:sz w:val="20"/>
                <w:szCs w:val="20"/>
                <w:lang w:val="fr-CA"/>
              </w:rPr>
              <w:t xml:space="preserve">R. </w:t>
            </w:r>
            <w:r w:rsidRPr="00666EB6">
              <w:rPr>
                <w:rFonts w:cs="Times New Roman"/>
                <w:i/>
                <w:iCs/>
                <w:sz w:val="20"/>
                <w:szCs w:val="20"/>
                <w:lang w:val="fr-CA"/>
              </w:rPr>
              <w:t>v.</w:t>
            </w:r>
            <w:r w:rsidRPr="00666EB6">
              <w:rPr>
                <w:rFonts w:cs="Times New Roman"/>
                <w:iCs/>
                <w:sz w:val="20"/>
                <w:szCs w:val="20"/>
                <w:lang w:val="fr-CA"/>
              </w:rPr>
              <w:t xml:space="preserve"> </w:t>
            </w:r>
            <w:r w:rsidR="00666EB6" w:rsidRPr="00666EB6">
              <w:rPr>
                <w:rFonts w:cs="Times New Roman"/>
                <w:iCs/>
                <w:sz w:val="20"/>
                <w:szCs w:val="20"/>
                <w:lang w:val="fr-CA"/>
              </w:rPr>
              <w:t>Qu</w:t>
            </w:r>
            <w:r w:rsidRPr="00666EB6">
              <w:rPr>
                <w:rFonts w:cs="Times New Roman"/>
                <w:iCs/>
                <w:sz w:val="20"/>
                <w:szCs w:val="20"/>
                <w:lang w:val="fr-CA"/>
              </w:rPr>
              <w:t>e</w:t>
            </w:r>
            <w:r w:rsidR="00666EB6" w:rsidRPr="00666EB6">
              <w:rPr>
                <w:rFonts w:cs="Times New Roman"/>
                <w:iCs/>
                <w:sz w:val="20"/>
                <w:szCs w:val="20"/>
                <w:lang w:val="fr-CA"/>
              </w:rPr>
              <w:t>snelle</w:t>
            </w:r>
            <w:r w:rsidRPr="00666EB6">
              <w:rPr>
                <w:rFonts w:cs="Times New Roman"/>
                <w:sz w:val="20"/>
                <w:szCs w:val="20"/>
                <w:lang w:val="fr-CA"/>
              </w:rPr>
              <w:t>,</w:t>
            </w:r>
          </w:p>
          <w:p w:rsidR="00A956D3" w:rsidRPr="00666EB6" w:rsidRDefault="006E775A" w:rsidP="00E724B4">
            <w:pPr>
              <w:rPr>
                <w:rFonts w:cs="Times New Roman"/>
                <w:sz w:val="20"/>
                <w:szCs w:val="20"/>
                <w:lang w:val="fr-CA"/>
              </w:rPr>
            </w:pPr>
            <w:r w:rsidRPr="00666EB6">
              <w:rPr>
                <w:rFonts w:cs="Times New Roman"/>
                <w:sz w:val="20"/>
                <w:szCs w:val="20"/>
                <w:lang w:val="fr-CA"/>
              </w:rPr>
              <w:t xml:space="preserve">2014 SCC </w:t>
            </w:r>
            <w:r w:rsidR="00666EB6" w:rsidRPr="00666EB6">
              <w:rPr>
                <w:rFonts w:cs="Times New Roman"/>
                <w:sz w:val="20"/>
                <w:szCs w:val="20"/>
                <w:lang w:val="fr-CA"/>
              </w:rPr>
              <w:t>46</w:t>
            </w:r>
            <w:r w:rsidRPr="00666EB6">
              <w:rPr>
                <w:rFonts w:cs="Times New Roman"/>
                <w:sz w:val="20"/>
                <w:szCs w:val="20"/>
                <w:lang w:val="fr-CA"/>
              </w:rPr>
              <w:t>, [2014] 2 S.C.R. 3</w:t>
            </w:r>
            <w:r w:rsidR="00666EB6">
              <w:rPr>
                <w:rFonts w:cs="Times New Roman"/>
                <w:sz w:val="20"/>
                <w:szCs w:val="20"/>
                <w:lang w:val="fr-CA"/>
              </w:rPr>
              <w:t>90</w:t>
            </w:r>
          </w:p>
          <w:p w:rsidR="00A956D3" w:rsidRPr="00666EB6" w:rsidRDefault="00A956D3" w:rsidP="00E724B4">
            <w:pPr>
              <w:rPr>
                <w:rFonts w:cs="Times New Roman"/>
                <w:iCs/>
                <w:sz w:val="20"/>
                <w:szCs w:val="20"/>
                <w:lang w:val="fr-CA"/>
              </w:rPr>
            </w:pPr>
          </w:p>
          <w:p w:rsidR="00A956D3" w:rsidRPr="00E836F1" w:rsidRDefault="00A956D3" w:rsidP="00E724B4">
            <w:pPr>
              <w:rPr>
                <w:rFonts w:cs="Times New Roman"/>
                <w:iCs/>
                <w:sz w:val="20"/>
                <w:szCs w:val="20"/>
                <w:lang w:val="fr-CA"/>
              </w:rPr>
            </w:pPr>
            <w:r w:rsidRPr="00E836F1">
              <w:rPr>
                <w:rFonts w:cs="Times New Roman"/>
                <w:iCs/>
                <w:sz w:val="20"/>
                <w:szCs w:val="20"/>
                <w:lang w:val="fr-CA"/>
              </w:rPr>
              <w:t xml:space="preserve">R. </w:t>
            </w:r>
            <w:r w:rsidRPr="00E836F1">
              <w:rPr>
                <w:rFonts w:cs="Times New Roman"/>
                <w:i/>
                <w:iCs/>
                <w:sz w:val="20"/>
                <w:szCs w:val="20"/>
                <w:lang w:val="fr-CA"/>
              </w:rPr>
              <w:t>v.</w:t>
            </w:r>
            <w:r w:rsidR="00666EB6">
              <w:rPr>
                <w:rFonts w:cs="Times New Roman"/>
                <w:iCs/>
                <w:sz w:val="20"/>
                <w:szCs w:val="20"/>
                <w:lang w:val="fr-CA"/>
              </w:rPr>
              <w:t xml:space="preserve"> Sipo</w:t>
            </w:r>
            <w:r w:rsidRPr="00E836F1">
              <w:rPr>
                <w:rFonts w:cs="Times New Roman"/>
                <w:iCs/>
                <w:sz w:val="20"/>
                <w:szCs w:val="20"/>
                <w:lang w:val="fr-CA"/>
              </w:rPr>
              <w:t>s,</w:t>
            </w:r>
          </w:p>
          <w:p w:rsidR="00A956D3" w:rsidRPr="003332E2" w:rsidRDefault="006E775A" w:rsidP="00E724B4">
            <w:pPr>
              <w:rPr>
                <w:rFonts w:cs="Times New Roman"/>
                <w:sz w:val="20"/>
                <w:szCs w:val="20"/>
              </w:rPr>
            </w:pPr>
            <w:r w:rsidRPr="003332E2">
              <w:rPr>
                <w:rFonts w:cs="Times New Roman"/>
                <w:sz w:val="20"/>
                <w:szCs w:val="20"/>
              </w:rPr>
              <w:t xml:space="preserve">2014 SCC </w:t>
            </w:r>
            <w:r w:rsidR="00666EB6" w:rsidRPr="003332E2">
              <w:rPr>
                <w:rFonts w:cs="Times New Roman"/>
                <w:sz w:val="20"/>
                <w:szCs w:val="20"/>
              </w:rPr>
              <w:t>47</w:t>
            </w:r>
            <w:r w:rsidRPr="003332E2">
              <w:rPr>
                <w:rFonts w:cs="Times New Roman"/>
                <w:sz w:val="20"/>
                <w:szCs w:val="20"/>
              </w:rPr>
              <w:t xml:space="preserve">, [2014] 2 S.C.R. </w:t>
            </w:r>
            <w:r w:rsidR="00666EB6" w:rsidRPr="003332E2">
              <w:rPr>
                <w:rFonts w:cs="Times New Roman"/>
                <w:sz w:val="20"/>
                <w:szCs w:val="20"/>
              </w:rPr>
              <w:t>4</w:t>
            </w:r>
            <w:r w:rsidRPr="003332E2">
              <w:rPr>
                <w:rFonts w:cs="Times New Roman"/>
                <w:sz w:val="20"/>
                <w:szCs w:val="20"/>
              </w:rPr>
              <w:t>23</w:t>
            </w:r>
          </w:p>
          <w:p w:rsidR="00A956D3" w:rsidRPr="003332E2" w:rsidRDefault="00A956D3" w:rsidP="00E724B4">
            <w:pPr>
              <w:rPr>
                <w:rFonts w:cs="Times New Roman"/>
                <w:sz w:val="20"/>
                <w:szCs w:val="20"/>
              </w:rPr>
            </w:pPr>
          </w:p>
          <w:p w:rsidR="00A956D3" w:rsidRPr="00666EB6" w:rsidRDefault="00A956D3" w:rsidP="00E724B4">
            <w:pPr>
              <w:rPr>
                <w:rFonts w:cs="Times New Roman"/>
                <w:iCs/>
                <w:sz w:val="20"/>
                <w:szCs w:val="20"/>
              </w:rPr>
            </w:pPr>
            <w:r w:rsidRPr="00666EB6">
              <w:rPr>
                <w:rFonts w:cs="Times New Roman"/>
                <w:iCs/>
                <w:sz w:val="20"/>
                <w:szCs w:val="20"/>
              </w:rPr>
              <w:t xml:space="preserve">R. </w:t>
            </w:r>
            <w:r w:rsidRPr="00666EB6">
              <w:rPr>
                <w:rFonts w:cs="Times New Roman"/>
                <w:i/>
                <w:iCs/>
                <w:sz w:val="20"/>
                <w:szCs w:val="20"/>
              </w:rPr>
              <w:t>v.</w:t>
            </w:r>
            <w:r w:rsidRPr="00666EB6">
              <w:rPr>
                <w:rFonts w:cs="Times New Roman"/>
                <w:iCs/>
                <w:sz w:val="20"/>
                <w:szCs w:val="20"/>
              </w:rPr>
              <w:t xml:space="preserve"> </w:t>
            </w:r>
            <w:r w:rsidR="00666EB6" w:rsidRPr="00666EB6">
              <w:rPr>
                <w:rFonts w:cs="Times New Roman"/>
                <w:iCs/>
                <w:sz w:val="20"/>
                <w:szCs w:val="20"/>
              </w:rPr>
              <w:t>Taylor</w:t>
            </w:r>
            <w:r w:rsidRPr="00666EB6">
              <w:rPr>
                <w:rFonts w:cs="Times New Roman"/>
                <w:iCs/>
                <w:sz w:val="20"/>
                <w:szCs w:val="20"/>
              </w:rPr>
              <w:t>,</w:t>
            </w:r>
          </w:p>
          <w:p w:rsidR="00A956D3" w:rsidRPr="00666EB6" w:rsidRDefault="006E775A" w:rsidP="00E724B4">
            <w:pPr>
              <w:rPr>
                <w:rFonts w:cs="Times New Roman"/>
                <w:sz w:val="20"/>
                <w:szCs w:val="20"/>
              </w:rPr>
            </w:pPr>
            <w:r w:rsidRPr="00666EB6">
              <w:rPr>
                <w:rFonts w:cs="Times New Roman"/>
                <w:sz w:val="20"/>
                <w:szCs w:val="20"/>
              </w:rPr>
              <w:t>2014 SCC 5</w:t>
            </w:r>
            <w:r w:rsidR="00666EB6" w:rsidRPr="00666EB6">
              <w:rPr>
                <w:rFonts w:cs="Times New Roman"/>
                <w:sz w:val="20"/>
                <w:szCs w:val="20"/>
              </w:rPr>
              <w:t>0</w:t>
            </w:r>
            <w:r w:rsidRPr="00666EB6">
              <w:rPr>
                <w:rFonts w:cs="Times New Roman"/>
                <w:sz w:val="20"/>
                <w:szCs w:val="20"/>
              </w:rPr>
              <w:t xml:space="preserve">, [2014] 2 S.C.R. </w:t>
            </w:r>
            <w:r w:rsidR="00666EB6" w:rsidRPr="00666EB6">
              <w:rPr>
                <w:rFonts w:cs="Times New Roman"/>
                <w:sz w:val="20"/>
                <w:szCs w:val="20"/>
              </w:rPr>
              <w:t>495</w:t>
            </w:r>
          </w:p>
          <w:p w:rsidR="00A956D3" w:rsidRPr="00666EB6" w:rsidRDefault="00A956D3" w:rsidP="00E724B4">
            <w:pPr>
              <w:rPr>
                <w:rFonts w:cs="Times New Roman"/>
                <w:sz w:val="20"/>
                <w:szCs w:val="20"/>
              </w:rPr>
            </w:pPr>
          </w:p>
          <w:p w:rsidR="00A956D3" w:rsidRPr="00E15380" w:rsidRDefault="00666EB6" w:rsidP="00E724B4">
            <w:pPr>
              <w:rPr>
                <w:rFonts w:cs="Times New Roman"/>
                <w:sz w:val="20"/>
                <w:szCs w:val="20"/>
              </w:rPr>
            </w:pPr>
            <w:r w:rsidRPr="00666EB6">
              <w:rPr>
                <w:rFonts w:cs="Times New Roman"/>
                <w:sz w:val="20"/>
                <w:szCs w:val="20"/>
              </w:rPr>
              <w:t>U</w:t>
            </w:r>
            <w:r w:rsidR="00A956D3" w:rsidRPr="00666EB6">
              <w:rPr>
                <w:rFonts w:cs="Times New Roman"/>
                <w:sz w:val="20"/>
                <w:szCs w:val="20"/>
              </w:rPr>
              <w:t>n</w:t>
            </w:r>
            <w:r w:rsidRPr="00666EB6">
              <w:rPr>
                <w:rFonts w:cs="Times New Roman"/>
                <w:sz w:val="20"/>
                <w:szCs w:val="20"/>
              </w:rPr>
              <w:t>ited Food and Comm</w:t>
            </w:r>
            <w:r w:rsidR="00A956D3" w:rsidRPr="00666EB6">
              <w:rPr>
                <w:rFonts w:cs="Times New Roman"/>
                <w:sz w:val="20"/>
                <w:szCs w:val="20"/>
              </w:rPr>
              <w:t>er</w:t>
            </w:r>
            <w:r w:rsidRPr="00666EB6">
              <w:rPr>
                <w:rFonts w:cs="Times New Roman"/>
                <w:sz w:val="20"/>
                <w:szCs w:val="20"/>
              </w:rPr>
              <w:t>cial W</w:t>
            </w:r>
            <w:r w:rsidR="00A956D3" w:rsidRPr="00666EB6">
              <w:rPr>
                <w:rFonts w:cs="Times New Roman"/>
                <w:sz w:val="20"/>
                <w:szCs w:val="20"/>
              </w:rPr>
              <w:t>o</w:t>
            </w:r>
            <w:r w:rsidRPr="00666EB6">
              <w:rPr>
                <w:rFonts w:cs="Times New Roman"/>
                <w:sz w:val="20"/>
                <w:szCs w:val="20"/>
              </w:rPr>
              <w:t>rker</w:t>
            </w:r>
            <w:r w:rsidR="00A956D3" w:rsidRPr="00666EB6">
              <w:rPr>
                <w:rFonts w:cs="Times New Roman"/>
                <w:sz w:val="20"/>
                <w:szCs w:val="20"/>
              </w:rPr>
              <w:t>s</w:t>
            </w:r>
            <w:r w:rsidRPr="00666EB6">
              <w:rPr>
                <w:rFonts w:cs="Times New Roman"/>
                <w:sz w:val="20"/>
                <w:szCs w:val="20"/>
              </w:rPr>
              <w:t>, Local 503</w:t>
            </w:r>
            <w:r w:rsidR="00A956D3" w:rsidRPr="00666EB6">
              <w:rPr>
                <w:rFonts w:cs="Times New Roman"/>
                <w:sz w:val="20"/>
                <w:szCs w:val="20"/>
              </w:rPr>
              <w:t xml:space="preserve"> </w:t>
            </w:r>
            <w:r w:rsidR="00A956D3" w:rsidRPr="00666EB6">
              <w:rPr>
                <w:rFonts w:cs="Times New Roman"/>
                <w:i/>
                <w:iCs/>
                <w:sz w:val="20"/>
                <w:szCs w:val="20"/>
              </w:rPr>
              <w:t xml:space="preserve">v. </w:t>
            </w:r>
            <w:r>
              <w:rPr>
                <w:rFonts w:cs="Times New Roman"/>
                <w:iCs/>
                <w:sz w:val="20"/>
                <w:szCs w:val="20"/>
              </w:rPr>
              <w:t>Wal-Ma</w:t>
            </w:r>
            <w:r w:rsidR="00A956D3" w:rsidRPr="00666EB6">
              <w:rPr>
                <w:rFonts w:cs="Times New Roman"/>
                <w:iCs/>
                <w:sz w:val="20"/>
                <w:szCs w:val="20"/>
              </w:rPr>
              <w:t>r</w:t>
            </w:r>
            <w:r>
              <w:rPr>
                <w:rFonts w:cs="Times New Roman"/>
                <w:iCs/>
                <w:sz w:val="20"/>
                <w:szCs w:val="20"/>
              </w:rPr>
              <w:t>t C</w:t>
            </w:r>
            <w:r w:rsidR="00A956D3" w:rsidRPr="00666EB6">
              <w:rPr>
                <w:rFonts w:cs="Times New Roman"/>
                <w:iCs/>
                <w:sz w:val="20"/>
                <w:szCs w:val="20"/>
              </w:rPr>
              <w:t>ana</w:t>
            </w:r>
            <w:r w:rsidR="00A956D3" w:rsidRPr="00E15380">
              <w:rPr>
                <w:rFonts w:cs="Times New Roman"/>
                <w:iCs/>
                <w:sz w:val="20"/>
                <w:szCs w:val="20"/>
              </w:rPr>
              <w:t>da</w:t>
            </w:r>
            <w:r>
              <w:rPr>
                <w:rFonts w:cs="Times New Roman"/>
                <w:iCs/>
                <w:sz w:val="20"/>
                <w:szCs w:val="20"/>
              </w:rPr>
              <w:t xml:space="preserve"> Corp.</w:t>
            </w:r>
            <w:r w:rsidR="00A956D3" w:rsidRPr="00E15380">
              <w:rPr>
                <w:rFonts w:cs="Times New Roman"/>
                <w:iCs/>
                <w:sz w:val="20"/>
                <w:szCs w:val="20"/>
              </w:rPr>
              <w:t>,</w:t>
            </w:r>
          </w:p>
          <w:p w:rsidR="00A956D3" w:rsidRPr="00E15380" w:rsidRDefault="006E775A" w:rsidP="00E724B4">
            <w:pPr>
              <w:rPr>
                <w:rFonts w:cs="Times New Roman"/>
                <w:sz w:val="20"/>
                <w:szCs w:val="20"/>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sidR="00666EB6">
              <w:rPr>
                <w:rFonts w:cs="Times New Roman"/>
                <w:sz w:val="20"/>
                <w:szCs w:val="20"/>
                <w:lang w:val="en-GB"/>
              </w:rPr>
              <w:t>4</w:t>
            </w:r>
            <w:r>
              <w:rPr>
                <w:rFonts w:cs="Times New Roman"/>
                <w:sz w:val="20"/>
                <w:szCs w:val="20"/>
                <w:lang w:val="en-GB"/>
              </w:rPr>
              <w:t>5</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323</w:t>
            </w:r>
          </w:p>
          <w:p w:rsidR="00A956D3" w:rsidRPr="00E15380" w:rsidRDefault="00A956D3" w:rsidP="00E724B4">
            <w:pPr>
              <w:keepNext/>
              <w:keepLines/>
              <w:rPr>
                <w:rFonts w:cs="Times New Roman"/>
                <w:bCs/>
                <w:sz w:val="20"/>
                <w:szCs w:val="20"/>
              </w:rPr>
            </w:pPr>
          </w:p>
          <w:p w:rsidR="00A956D3" w:rsidRPr="00DD0B49" w:rsidRDefault="00007FF8" w:rsidP="00E724B4">
            <w:pPr>
              <w:keepNext/>
              <w:keepLines/>
              <w:rPr>
                <w:rFonts w:cs="Times New Roman"/>
                <w:bCs/>
                <w:sz w:val="20"/>
                <w:szCs w:val="20"/>
                <w:lang w:val="fr-CA"/>
              </w:rPr>
            </w:pPr>
            <w:r>
              <w:rPr>
                <w:rFonts w:cs="Times New Roman"/>
                <w:sz w:val="20"/>
                <w:szCs w:val="20"/>
              </w:rPr>
              <w:pict>
                <v:rect id="_x0000_i1076" style="width:129.6pt;height:1pt" o:hrpct="600" o:hralign="center" o:hrstd="t" o:hrnoshade="t" o:hr="t" fillcolor="black [3213]" stroked="f"/>
              </w:pict>
            </w:r>
          </w:p>
          <w:p w:rsidR="00A956D3" w:rsidRPr="00DD0B49" w:rsidRDefault="00A956D3" w:rsidP="00E724B4">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E724B4">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E724B4">
            <w:pPr>
              <w:rPr>
                <w:rFonts w:cs="Times New Roman"/>
                <w:b/>
                <w:bCs/>
                <w:sz w:val="20"/>
                <w:szCs w:val="20"/>
                <w:lang w:val="fr-CA"/>
              </w:rPr>
            </w:pPr>
            <w:r w:rsidRPr="00DD0B49">
              <w:rPr>
                <w:rFonts w:cs="Times New Roman"/>
                <w:b/>
                <w:bCs/>
                <w:sz w:val="20"/>
                <w:szCs w:val="20"/>
                <w:lang w:val="fr-CA"/>
              </w:rPr>
              <w:t>Jugements publiés dans [201</w:t>
            </w:r>
            <w:r w:rsidR="0060471F">
              <w:rPr>
                <w:rFonts w:cs="Times New Roman"/>
                <w:b/>
                <w:bCs/>
                <w:sz w:val="20"/>
                <w:szCs w:val="20"/>
                <w:lang w:val="fr-CA"/>
              </w:rPr>
              <w:t>4</w:t>
            </w:r>
            <w:r w:rsidRPr="00DD0B49">
              <w:rPr>
                <w:rFonts w:cs="Times New Roman"/>
                <w:b/>
                <w:bCs/>
                <w:sz w:val="20"/>
                <w:szCs w:val="20"/>
                <w:lang w:val="fr-CA"/>
              </w:rPr>
              <w:t xml:space="preserve">] </w:t>
            </w:r>
            <w:r w:rsidR="0060471F">
              <w:rPr>
                <w:rFonts w:cs="Times New Roman"/>
                <w:b/>
                <w:bCs/>
                <w:sz w:val="20"/>
                <w:szCs w:val="20"/>
                <w:lang w:val="fr-CA"/>
              </w:rPr>
              <w:t>2</w:t>
            </w:r>
            <w:r w:rsidRPr="00DD0B49">
              <w:rPr>
                <w:rFonts w:cs="Times New Roman"/>
                <w:b/>
                <w:bCs/>
                <w:sz w:val="20"/>
                <w:szCs w:val="20"/>
                <w:lang w:val="fr-CA"/>
              </w:rPr>
              <w:t xml:space="preserve"> R.C.S. Partie </w:t>
            </w:r>
            <w:r>
              <w:rPr>
                <w:rFonts w:cs="Times New Roman"/>
                <w:b/>
                <w:bCs/>
                <w:sz w:val="20"/>
                <w:szCs w:val="20"/>
                <w:lang w:val="fr-CA"/>
              </w:rPr>
              <w:t>2</w:t>
            </w:r>
          </w:p>
          <w:p w:rsidR="00A956D3" w:rsidRPr="00DD0B49" w:rsidRDefault="00A956D3" w:rsidP="00E724B4">
            <w:pPr>
              <w:rPr>
                <w:rFonts w:cs="Times New Roman"/>
                <w:b/>
                <w:bCs/>
                <w:sz w:val="20"/>
                <w:szCs w:val="20"/>
                <w:lang w:val="fr-CA"/>
              </w:rPr>
            </w:pPr>
          </w:p>
          <w:p w:rsidR="00A956D3" w:rsidRPr="00F029FD" w:rsidRDefault="00A956D3" w:rsidP="00E724B4">
            <w:pPr>
              <w:rPr>
                <w:rFonts w:cs="Times New Roman"/>
                <w:sz w:val="20"/>
                <w:szCs w:val="20"/>
                <w:lang w:val="fr-CA"/>
              </w:rPr>
            </w:pPr>
            <w:r>
              <w:rPr>
                <w:rFonts w:cs="Times New Roman"/>
                <w:sz w:val="20"/>
                <w:szCs w:val="20"/>
                <w:lang w:val="fr-CA"/>
              </w:rPr>
              <w:t>C</w:t>
            </w:r>
            <w:r w:rsidR="00C34FEA">
              <w:rPr>
                <w:rFonts w:cs="Times New Roman"/>
                <w:sz w:val="20"/>
                <w:szCs w:val="20"/>
                <w:lang w:val="fr-CA"/>
              </w:rPr>
              <w:t>anada (Proc</w:t>
            </w:r>
            <w:r>
              <w:rPr>
                <w:rFonts w:cs="Times New Roman"/>
                <w:sz w:val="20"/>
                <w:szCs w:val="20"/>
                <w:lang w:val="fr-CA"/>
              </w:rPr>
              <w:t>u</w:t>
            </w:r>
            <w:r w:rsidRPr="00F029FD">
              <w:rPr>
                <w:rFonts w:cs="Times New Roman"/>
                <w:sz w:val="20"/>
                <w:szCs w:val="20"/>
                <w:lang w:val="fr-CA"/>
              </w:rPr>
              <w:t>r</w:t>
            </w:r>
            <w:r w:rsidR="00C34FEA">
              <w:rPr>
                <w:rFonts w:cs="Times New Roman"/>
                <w:sz w:val="20"/>
                <w:szCs w:val="20"/>
                <w:lang w:val="fr-CA"/>
              </w:rPr>
              <w:t>eur gé</w:t>
            </w:r>
            <w:r>
              <w:rPr>
                <w:rFonts w:cs="Times New Roman"/>
                <w:sz w:val="20"/>
                <w:szCs w:val="20"/>
                <w:lang w:val="fr-CA"/>
              </w:rPr>
              <w:t>n</w:t>
            </w:r>
            <w:r w:rsidR="00C34FEA">
              <w:rPr>
                <w:rFonts w:cs="Times New Roman"/>
                <w:sz w:val="20"/>
                <w:szCs w:val="20"/>
                <w:lang w:val="fr-CA"/>
              </w:rPr>
              <w:t>éral)</w:t>
            </w:r>
            <w:r>
              <w:rPr>
                <w:rFonts w:cs="Times New Roman"/>
                <w:sz w:val="20"/>
                <w:szCs w:val="20"/>
                <w:lang w:val="fr-CA"/>
              </w:rPr>
              <w:t xml:space="preserve"> </w:t>
            </w:r>
            <w:r w:rsidRPr="00F029FD">
              <w:rPr>
                <w:rFonts w:cs="Times New Roman"/>
                <w:i/>
                <w:sz w:val="20"/>
                <w:szCs w:val="20"/>
                <w:lang w:val="fr-CA"/>
              </w:rPr>
              <w:t>c.</w:t>
            </w:r>
            <w:r w:rsidRPr="00F029FD">
              <w:rPr>
                <w:rFonts w:cs="Times New Roman"/>
                <w:sz w:val="20"/>
                <w:szCs w:val="20"/>
                <w:lang w:val="fr-CA"/>
              </w:rPr>
              <w:t xml:space="preserve"> </w:t>
            </w:r>
            <w:r w:rsidR="00C34FEA">
              <w:rPr>
                <w:rFonts w:cs="Times New Roman"/>
                <w:sz w:val="20"/>
                <w:szCs w:val="20"/>
                <w:lang w:val="fr-CA"/>
              </w:rPr>
              <w:t>Confédérat</w:t>
            </w:r>
            <w:r>
              <w:rPr>
                <w:rFonts w:cs="Times New Roman"/>
                <w:sz w:val="20"/>
                <w:szCs w:val="20"/>
                <w:lang w:val="fr-CA"/>
              </w:rPr>
              <w:t>i</w:t>
            </w:r>
            <w:r w:rsidR="00C34FEA">
              <w:rPr>
                <w:rFonts w:cs="Times New Roman"/>
                <w:sz w:val="20"/>
                <w:szCs w:val="20"/>
                <w:lang w:val="fr-CA"/>
              </w:rPr>
              <w:t>on des syndicats nationaux</w:t>
            </w:r>
            <w:r w:rsidRPr="00F029FD">
              <w:rPr>
                <w:rFonts w:cs="Times New Roman"/>
                <w:sz w:val="20"/>
                <w:szCs w:val="20"/>
                <w:lang w:val="fr-CA"/>
              </w:rPr>
              <w:t>,</w:t>
            </w:r>
          </w:p>
          <w:p w:rsidR="006E775A" w:rsidRPr="006E775A" w:rsidRDefault="006E775A" w:rsidP="006E775A">
            <w:pPr>
              <w:rPr>
                <w:rFonts w:cs="Times New Roman"/>
                <w:sz w:val="20"/>
                <w:szCs w:val="20"/>
                <w:lang w:val="fr-CA"/>
              </w:rPr>
            </w:pPr>
            <w:r w:rsidRPr="006E775A">
              <w:rPr>
                <w:rFonts w:cs="Times New Roman"/>
                <w:sz w:val="20"/>
                <w:szCs w:val="20"/>
                <w:lang w:val="fr-CA"/>
              </w:rPr>
              <w:t xml:space="preserve">2014 CSC </w:t>
            </w:r>
            <w:r w:rsidR="00C34FEA">
              <w:rPr>
                <w:rFonts w:cs="Times New Roman"/>
                <w:sz w:val="20"/>
                <w:szCs w:val="20"/>
                <w:lang w:val="fr-CA"/>
              </w:rPr>
              <w:t>49</w:t>
            </w:r>
            <w:r w:rsidRPr="006E775A">
              <w:rPr>
                <w:rFonts w:cs="Times New Roman"/>
                <w:sz w:val="20"/>
                <w:szCs w:val="20"/>
                <w:lang w:val="fr-CA"/>
              </w:rPr>
              <w:t>, [2014] 2 R.C.S. 4</w:t>
            </w:r>
            <w:r w:rsidR="00C34FEA">
              <w:rPr>
                <w:rFonts w:cs="Times New Roman"/>
                <w:sz w:val="20"/>
                <w:szCs w:val="20"/>
                <w:lang w:val="fr-CA"/>
              </w:rPr>
              <w:t>77</w:t>
            </w:r>
          </w:p>
          <w:p w:rsidR="00A956D3" w:rsidRPr="0029235F" w:rsidRDefault="00A956D3" w:rsidP="00E724B4">
            <w:pPr>
              <w:rPr>
                <w:rFonts w:cs="Times New Roman"/>
                <w:sz w:val="20"/>
                <w:szCs w:val="20"/>
                <w:lang w:val="fr-CA"/>
              </w:rPr>
            </w:pPr>
          </w:p>
          <w:p w:rsidR="00A956D3" w:rsidRPr="00F029FD" w:rsidRDefault="00C34FEA" w:rsidP="00E724B4">
            <w:pPr>
              <w:rPr>
                <w:rFonts w:cs="Times New Roman"/>
                <w:sz w:val="20"/>
                <w:szCs w:val="20"/>
                <w:lang w:val="fr-CA"/>
              </w:rPr>
            </w:pPr>
            <w:r w:rsidRPr="00C34FEA">
              <w:rPr>
                <w:rFonts w:cs="Times New Roman"/>
                <w:sz w:val="20"/>
                <w:szCs w:val="20"/>
                <w:lang w:val="fr-CA"/>
              </w:rPr>
              <w:t xml:space="preserve">Première Nation de Grassy Narrows </w:t>
            </w:r>
            <w:r w:rsidR="00A956D3" w:rsidRPr="00F029FD">
              <w:rPr>
                <w:rFonts w:cs="Times New Roman"/>
                <w:i/>
                <w:iCs/>
                <w:sz w:val="20"/>
                <w:szCs w:val="20"/>
                <w:lang w:val="fr-CA"/>
              </w:rPr>
              <w:t>c.</w:t>
            </w:r>
            <w:r w:rsidR="00A956D3" w:rsidRPr="00F029FD">
              <w:rPr>
                <w:rFonts w:cs="Times New Roman"/>
                <w:sz w:val="20"/>
                <w:szCs w:val="20"/>
                <w:lang w:val="fr-CA"/>
              </w:rPr>
              <w:t xml:space="preserve"> </w:t>
            </w:r>
            <w:r w:rsidR="00A956D3">
              <w:rPr>
                <w:rFonts w:cs="Times New Roman"/>
                <w:sz w:val="20"/>
                <w:szCs w:val="20"/>
                <w:lang w:val="fr-CA"/>
              </w:rPr>
              <w:t>Ontario (</w:t>
            </w:r>
            <w:r>
              <w:rPr>
                <w:rFonts w:cs="Times New Roman"/>
                <w:sz w:val="20"/>
                <w:szCs w:val="20"/>
                <w:lang w:val="fr-CA"/>
              </w:rPr>
              <w:t>Ressou</w:t>
            </w:r>
            <w:r w:rsidR="00A956D3">
              <w:rPr>
                <w:rFonts w:cs="Times New Roman"/>
                <w:sz w:val="20"/>
                <w:szCs w:val="20"/>
                <w:lang w:val="fr-CA"/>
              </w:rPr>
              <w:t>r</w:t>
            </w:r>
            <w:r>
              <w:rPr>
                <w:rFonts w:cs="Times New Roman"/>
                <w:sz w:val="20"/>
                <w:szCs w:val="20"/>
                <w:lang w:val="fr-CA"/>
              </w:rPr>
              <w:t xml:space="preserve">ces </w:t>
            </w:r>
            <w:r w:rsidR="00A956D3">
              <w:rPr>
                <w:rFonts w:cs="Times New Roman"/>
                <w:sz w:val="20"/>
                <w:szCs w:val="20"/>
                <w:lang w:val="fr-CA"/>
              </w:rPr>
              <w:t>n</w:t>
            </w:r>
            <w:r>
              <w:rPr>
                <w:rFonts w:cs="Times New Roman"/>
                <w:sz w:val="20"/>
                <w:szCs w:val="20"/>
                <w:lang w:val="fr-CA"/>
              </w:rPr>
              <w:t>a</w:t>
            </w:r>
            <w:r w:rsidR="00A956D3">
              <w:rPr>
                <w:rFonts w:cs="Times New Roman"/>
                <w:sz w:val="20"/>
                <w:szCs w:val="20"/>
                <w:lang w:val="fr-CA"/>
              </w:rPr>
              <w:t>t</w:t>
            </w:r>
            <w:r>
              <w:rPr>
                <w:rFonts w:cs="Times New Roman"/>
                <w:sz w:val="20"/>
                <w:szCs w:val="20"/>
                <w:lang w:val="fr-CA"/>
              </w:rPr>
              <w:t>urelles</w:t>
            </w:r>
            <w:r w:rsidR="00A956D3">
              <w:rPr>
                <w:rFonts w:cs="Times New Roman"/>
                <w:sz w:val="20"/>
                <w:szCs w:val="20"/>
                <w:lang w:val="fr-CA"/>
              </w:rPr>
              <w:t>)</w:t>
            </w:r>
            <w:r w:rsidR="00A956D3" w:rsidRPr="00F029FD">
              <w:rPr>
                <w:rFonts w:cs="Times New Roman"/>
                <w:sz w:val="20"/>
                <w:szCs w:val="20"/>
                <w:lang w:val="fr-CA"/>
              </w:rPr>
              <w:t>,</w:t>
            </w:r>
          </w:p>
          <w:p w:rsidR="006E775A" w:rsidRPr="006E775A" w:rsidRDefault="006E775A" w:rsidP="006E775A">
            <w:pPr>
              <w:rPr>
                <w:rFonts w:cs="Times New Roman"/>
                <w:sz w:val="20"/>
                <w:szCs w:val="20"/>
                <w:lang w:val="fr-CA"/>
              </w:rPr>
            </w:pPr>
            <w:r w:rsidRPr="006E775A">
              <w:rPr>
                <w:rFonts w:cs="Times New Roman"/>
                <w:sz w:val="20"/>
                <w:szCs w:val="20"/>
                <w:lang w:val="fr-CA"/>
              </w:rPr>
              <w:t xml:space="preserve">2014 CSC </w:t>
            </w:r>
            <w:r w:rsidR="00C34FEA">
              <w:rPr>
                <w:rFonts w:cs="Times New Roman"/>
                <w:sz w:val="20"/>
                <w:szCs w:val="20"/>
                <w:lang w:val="fr-CA"/>
              </w:rPr>
              <w:t>4</w:t>
            </w:r>
            <w:r w:rsidRPr="006E775A">
              <w:rPr>
                <w:rFonts w:cs="Times New Roman"/>
                <w:sz w:val="20"/>
                <w:szCs w:val="20"/>
                <w:lang w:val="fr-CA"/>
              </w:rPr>
              <w:t>8, [2014] 2 R.C.S. 4</w:t>
            </w:r>
            <w:r w:rsidR="00C34FEA">
              <w:rPr>
                <w:rFonts w:cs="Times New Roman"/>
                <w:sz w:val="20"/>
                <w:szCs w:val="20"/>
                <w:lang w:val="fr-CA"/>
              </w:rPr>
              <w:t>47</w:t>
            </w:r>
          </w:p>
          <w:p w:rsidR="00A956D3" w:rsidRPr="0029235F" w:rsidRDefault="00A956D3" w:rsidP="00E724B4">
            <w:pPr>
              <w:rPr>
                <w:rFonts w:cs="Times New Roman"/>
                <w:sz w:val="20"/>
                <w:szCs w:val="20"/>
                <w:lang w:val="fr-CA"/>
              </w:rPr>
            </w:pPr>
          </w:p>
          <w:p w:rsidR="00A956D3" w:rsidRPr="00F029FD" w:rsidRDefault="00666EB6" w:rsidP="00E724B4">
            <w:pPr>
              <w:rPr>
                <w:rFonts w:cs="Times New Roman"/>
                <w:sz w:val="20"/>
                <w:szCs w:val="20"/>
                <w:lang w:val="fr-CA"/>
              </w:rPr>
            </w:pPr>
            <w:r>
              <w:rPr>
                <w:rFonts w:cs="Times New Roman"/>
                <w:sz w:val="20"/>
                <w:szCs w:val="20"/>
                <w:lang w:val="fr-CA"/>
              </w:rPr>
              <w:t>Québec (Commission des normes du travail)</w:t>
            </w:r>
            <w:r w:rsidR="00A956D3" w:rsidRPr="00DD0B49">
              <w:rPr>
                <w:rFonts w:cs="Times New Roman"/>
                <w:sz w:val="20"/>
                <w:szCs w:val="20"/>
                <w:lang w:val="fr-CA"/>
              </w:rPr>
              <w:t xml:space="preserve"> </w:t>
            </w:r>
            <w:r>
              <w:rPr>
                <w:rFonts w:cs="Times New Roman"/>
                <w:i/>
                <w:iCs/>
                <w:sz w:val="20"/>
                <w:szCs w:val="20"/>
                <w:lang w:val="fr-CA"/>
              </w:rPr>
              <w:t>c</w:t>
            </w:r>
            <w:r w:rsidR="00A956D3" w:rsidRPr="00DD0B49">
              <w:rPr>
                <w:rFonts w:cs="Times New Roman"/>
                <w:i/>
                <w:iCs/>
                <w:sz w:val="20"/>
                <w:szCs w:val="20"/>
                <w:lang w:val="fr-CA"/>
              </w:rPr>
              <w:t xml:space="preserve">. </w:t>
            </w:r>
            <w:r>
              <w:rPr>
                <w:rFonts w:cs="Times New Roman"/>
                <w:iCs/>
                <w:sz w:val="20"/>
                <w:szCs w:val="20"/>
                <w:lang w:val="fr-CA"/>
              </w:rPr>
              <w:t>As</w:t>
            </w:r>
            <w:r w:rsidR="00A956D3">
              <w:rPr>
                <w:rFonts w:cs="Times New Roman"/>
                <w:iCs/>
                <w:sz w:val="20"/>
                <w:szCs w:val="20"/>
                <w:lang w:val="fr-CA"/>
              </w:rPr>
              <w:t>p</w:t>
            </w:r>
            <w:r>
              <w:rPr>
                <w:rFonts w:cs="Times New Roman"/>
                <w:iCs/>
                <w:sz w:val="20"/>
                <w:szCs w:val="20"/>
                <w:lang w:val="fr-CA"/>
              </w:rPr>
              <w:t>hal</w:t>
            </w:r>
            <w:r w:rsidR="00A956D3">
              <w:rPr>
                <w:rFonts w:cs="Times New Roman"/>
                <w:iCs/>
                <w:sz w:val="20"/>
                <w:szCs w:val="20"/>
                <w:lang w:val="fr-CA"/>
              </w:rPr>
              <w:t>t</w:t>
            </w:r>
            <w:r>
              <w:rPr>
                <w:rFonts w:cs="Times New Roman"/>
                <w:iCs/>
                <w:sz w:val="20"/>
                <w:szCs w:val="20"/>
                <w:lang w:val="fr-CA"/>
              </w:rPr>
              <w:t>e</w:t>
            </w:r>
            <w:r w:rsidR="00A956D3">
              <w:rPr>
                <w:rFonts w:cs="Times New Roman"/>
                <w:iCs/>
                <w:sz w:val="20"/>
                <w:szCs w:val="20"/>
                <w:lang w:val="fr-CA"/>
              </w:rPr>
              <w:t xml:space="preserve"> </w:t>
            </w:r>
            <w:r>
              <w:rPr>
                <w:rFonts w:cs="Times New Roman"/>
                <w:iCs/>
                <w:sz w:val="20"/>
                <w:szCs w:val="20"/>
                <w:lang w:val="fr-CA"/>
              </w:rPr>
              <w:t>D</w:t>
            </w:r>
            <w:r w:rsidR="00A956D3">
              <w:rPr>
                <w:rFonts w:cs="Times New Roman"/>
                <w:iCs/>
                <w:sz w:val="20"/>
                <w:szCs w:val="20"/>
                <w:lang w:val="fr-CA"/>
              </w:rPr>
              <w:t>es</w:t>
            </w:r>
            <w:r>
              <w:rPr>
                <w:rFonts w:cs="Times New Roman"/>
                <w:iCs/>
                <w:sz w:val="20"/>
                <w:szCs w:val="20"/>
                <w:lang w:val="fr-CA"/>
              </w:rPr>
              <w:t>jardins inc.</w:t>
            </w:r>
            <w:r w:rsidR="00A956D3" w:rsidRPr="00F029FD">
              <w:rPr>
                <w:rFonts w:cs="Times New Roman"/>
                <w:sz w:val="20"/>
                <w:szCs w:val="20"/>
                <w:lang w:val="fr-CA"/>
              </w:rPr>
              <w:t>,</w:t>
            </w:r>
          </w:p>
          <w:p w:rsidR="006E775A" w:rsidRPr="00E15380" w:rsidRDefault="006E775A" w:rsidP="006E775A">
            <w:pPr>
              <w:rPr>
                <w:rFonts w:cs="Times New Roman"/>
                <w:sz w:val="20"/>
                <w:szCs w:val="20"/>
              </w:rPr>
            </w:pPr>
            <w:r w:rsidRPr="00E15380">
              <w:rPr>
                <w:rFonts w:cs="Times New Roman"/>
                <w:sz w:val="20"/>
                <w:szCs w:val="20"/>
              </w:rPr>
              <w:t>201</w:t>
            </w:r>
            <w:r>
              <w:rPr>
                <w:rFonts w:cs="Times New Roman"/>
                <w:sz w:val="20"/>
                <w:szCs w:val="20"/>
              </w:rPr>
              <w:t>4</w:t>
            </w:r>
            <w:r w:rsidRPr="00E15380">
              <w:rPr>
                <w:rFonts w:cs="Times New Roman"/>
                <w:sz w:val="20"/>
                <w:szCs w:val="20"/>
              </w:rPr>
              <w:t xml:space="preserve"> CSC </w:t>
            </w:r>
            <w:r>
              <w:rPr>
                <w:rFonts w:cs="Times New Roman"/>
                <w:sz w:val="20"/>
                <w:szCs w:val="20"/>
              </w:rPr>
              <w:t>5</w:t>
            </w:r>
            <w:r w:rsidR="00666EB6">
              <w:rPr>
                <w:rFonts w:cs="Times New Roman"/>
                <w:sz w:val="20"/>
                <w:szCs w:val="20"/>
              </w:rPr>
              <w:t>1</w:t>
            </w:r>
            <w:r w:rsidRPr="00E15380">
              <w:rPr>
                <w:rFonts w:cs="Times New Roman"/>
                <w:sz w:val="20"/>
                <w:szCs w:val="20"/>
              </w:rPr>
              <w:t>, [201</w:t>
            </w:r>
            <w:r>
              <w:rPr>
                <w:rFonts w:cs="Times New Roman"/>
                <w:sz w:val="20"/>
                <w:szCs w:val="20"/>
              </w:rPr>
              <w:t>4</w:t>
            </w:r>
            <w:r w:rsidRPr="00E15380">
              <w:rPr>
                <w:rFonts w:cs="Times New Roman"/>
                <w:sz w:val="20"/>
                <w:szCs w:val="20"/>
              </w:rPr>
              <w:t xml:space="preserve">] </w:t>
            </w:r>
            <w:r>
              <w:rPr>
                <w:rFonts w:cs="Times New Roman"/>
                <w:sz w:val="20"/>
                <w:szCs w:val="20"/>
              </w:rPr>
              <w:t>2</w:t>
            </w:r>
            <w:r w:rsidRPr="00E15380">
              <w:rPr>
                <w:rFonts w:cs="Times New Roman"/>
                <w:sz w:val="20"/>
                <w:szCs w:val="20"/>
              </w:rPr>
              <w:t xml:space="preserve"> R.C.S. </w:t>
            </w:r>
            <w:r>
              <w:rPr>
                <w:rFonts w:cs="Times New Roman"/>
                <w:sz w:val="20"/>
                <w:szCs w:val="20"/>
              </w:rPr>
              <w:t>5</w:t>
            </w:r>
            <w:r w:rsidR="00666EB6">
              <w:rPr>
                <w:rFonts w:cs="Times New Roman"/>
                <w:sz w:val="20"/>
                <w:szCs w:val="20"/>
              </w:rPr>
              <w:t>1</w:t>
            </w:r>
            <w:r>
              <w:rPr>
                <w:rFonts w:cs="Times New Roman"/>
                <w:sz w:val="20"/>
                <w:szCs w:val="20"/>
              </w:rPr>
              <w:t>4</w:t>
            </w:r>
          </w:p>
          <w:p w:rsidR="00A956D3" w:rsidRPr="00E0705E" w:rsidRDefault="00A956D3" w:rsidP="00E724B4">
            <w:pPr>
              <w:rPr>
                <w:rFonts w:cs="Times New Roman"/>
                <w:sz w:val="20"/>
                <w:szCs w:val="20"/>
              </w:rPr>
            </w:pPr>
          </w:p>
          <w:p w:rsidR="00A956D3" w:rsidRPr="00E0705E" w:rsidRDefault="00666EB6" w:rsidP="00E724B4">
            <w:pPr>
              <w:rPr>
                <w:rFonts w:cs="Times New Roman"/>
                <w:sz w:val="20"/>
                <w:szCs w:val="20"/>
              </w:rPr>
            </w:pPr>
            <w:r w:rsidRPr="00DD0B49">
              <w:rPr>
                <w:rFonts w:cs="Times New Roman"/>
                <w:sz w:val="20"/>
                <w:szCs w:val="20"/>
                <w:lang w:val="en-GB"/>
              </w:rPr>
              <w:t xml:space="preserve">R. </w:t>
            </w:r>
            <w:r>
              <w:rPr>
                <w:rFonts w:cs="Times New Roman"/>
                <w:i/>
                <w:iCs/>
                <w:sz w:val="20"/>
                <w:szCs w:val="20"/>
                <w:lang w:val="en-GB"/>
              </w:rPr>
              <w:t>c</w:t>
            </w:r>
            <w:r w:rsidRPr="00DD0B49">
              <w:rPr>
                <w:rFonts w:cs="Times New Roman"/>
                <w:i/>
                <w:iCs/>
                <w:sz w:val="20"/>
                <w:szCs w:val="20"/>
                <w:lang w:val="en-GB"/>
              </w:rPr>
              <w:t>.</w:t>
            </w:r>
            <w:r w:rsidRPr="00DD0B49">
              <w:rPr>
                <w:rFonts w:cs="Times New Roman"/>
                <w:iCs/>
                <w:sz w:val="20"/>
                <w:szCs w:val="20"/>
                <w:lang w:val="en-GB"/>
              </w:rPr>
              <w:t xml:space="preserve"> </w:t>
            </w:r>
            <w:r>
              <w:rPr>
                <w:rFonts w:cs="Times New Roman"/>
                <w:iCs/>
                <w:sz w:val="20"/>
                <w:szCs w:val="20"/>
                <w:lang w:val="en-GB"/>
              </w:rPr>
              <w:t>Hart</w:t>
            </w:r>
            <w:r w:rsidR="00A956D3" w:rsidRPr="00E0705E">
              <w:rPr>
                <w:rFonts w:cs="Times New Roman"/>
                <w:sz w:val="20"/>
                <w:szCs w:val="20"/>
              </w:rPr>
              <w:t>,</w:t>
            </w:r>
          </w:p>
          <w:p w:rsidR="006E775A" w:rsidRPr="003332E2" w:rsidRDefault="006E775A" w:rsidP="006E775A">
            <w:pPr>
              <w:rPr>
                <w:rFonts w:cs="Times New Roman"/>
                <w:sz w:val="20"/>
                <w:szCs w:val="20"/>
                <w:lang w:val="fr-CA"/>
              </w:rPr>
            </w:pPr>
            <w:r w:rsidRPr="003332E2">
              <w:rPr>
                <w:rFonts w:cs="Times New Roman"/>
                <w:sz w:val="20"/>
                <w:szCs w:val="20"/>
                <w:lang w:val="fr-CA"/>
              </w:rPr>
              <w:t>2014 CSC 5</w:t>
            </w:r>
            <w:r w:rsidR="00666EB6" w:rsidRPr="003332E2">
              <w:rPr>
                <w:rFonts w:cs="Times New Roman"/>
                <w:sz w:val="20"/>
                <w:szCs w:val="20"/>
                <w:lang w:val="fr-CA"/>
              </w:rPr>
              <w:t>2</w:t>
            </w:r>
            <w:r w:rsidRPr="003332E2">
              <w:rPr>
                <w:rFonts w:cs="Times New Roman"/>
                <w:sz w:val="20"/>
                <w:szCs w:val="20"/>
                <w:lang w:val="fr-CA"/>
              </w:rPr>
              <w:t>, [2014] 2 R.C.S. 54</w:t>
            </w:r>
            <w:r w:rsidR="00666EB6" w:rsidRPr="003332E2">
              <w:rPr>
                <w:rFonts w:cs="Times New Roman"/>
                <w:sz w:val="20"/>
                <w:szCs w:val="20"/>
                <w:lang w:val="fr-CA"/>
              </w:rPr>
              <w:t>4</w:t>
            </w:r>
          </w:p>
          <w:p w:rsidR="00A956D3" w:rsidRPr="003332E2" w:rsidRDefault="00A956D3" w:rsidP="00E724B4">
            <w:pPr>
              <w:rPr>
                <w:rFonts w:cs="Times New Roman"/>
                <w:sz w:val="20"/>
                <w:szCs w:val="20"/>
                <w:lang w:val="fr-CA"/>
              </w:rPr>
            </w:pPr>
          </w:p>
          <w:p w:rsidR="00A956D3" w:rsidRPr="00666EB6" w:rsidRDefault="00A956D3" w:rsidP="00E724B4">
            <w:pPr>
              <w:rPr>
                <w:rFonts w:cs="Times New Roman"/>
                <w:sz w:val="20"/>
                <w:szCs w:val="20"/>
                <w:lang w:val="fr-CA"/>
              </w:rPr>
            </w:pPr>
            <w:r w:rsidRPr="00666EB6">
              <w:rPr>
                <w:rFonts w:cs="Times New Roman"/>
                <w:sz w:val="20"/>
                <w:szCs w:val="20"/>
                <w:lang w:val="fr-CA"/>
              </w:rPr>
              <w:t xml:space="preserve">R. </w:t>
            </w:r>
            <w:r w:rsidRPr="00666EB6">
              <w:rPr>
                <w:rFonts w:cs="Times New Roman"/>
                <w:i/>
                <w:iCs/>
                <w:sz w:val="20"/>
                <w:szCs w:val="20"/>
                <w:lang w:val="fr-CA"/>
              </w:rPr>
              <w:t>c.</w:t>
            </w:r>
            <w:r w:rsidRPr="00666EB6">
              <w:rPr>
                <w:rFonts w:cs="Times New Roman"/>
                <w:iCs/>
                <w:sz w:val="20"/>
                <w:szCs w:val="20"/>
                <w:lang w:val="fr-CA"/>
              </w:rPr>
              <w:t xml:space="preserve"> </w:t>
            </w:r>
            <w:r w:rsidR="00666EB6" w:rsidRPr="00666EB6">
              <w:rPr>
                <w:rFonts w:cs="Times New Roman"/>
                <w:iCs/>
                <w:sz w:val="20"/>
                <w:szCs w:val="20"/>
                <w:lang w:val="fr-CA"/>
              </w:rPr>
              <w:t>Ques</w:t>
            </w:r>
            <w:r w:rsidRPr="00666EB6">
              <w:rPr>
                <w:rFonts w:cs="Times New Roman"/>
                <w:iCs/>
                <w:sz w:val="20"/>
                <w:szCs w:val="20"/>
                <w:lang w:val="fr-CA"/>
              </w:rPr>
              <w:t>ne</w:t>
            </w:r>
            <w:r w:rsidR="00666EB6" w:rsidRPr="00666EB6">
              <w:rPr>
                <w:rFonts w:cs="Times New Roman"/>
                <w:iCs/>
                <w:sz w:val="20"/>
                <w:szCs w:val="20"/>
                <w:lang w:val="fr-CA"/>
              </w:rPr>
              <w:t>lle</w:t>
            </w:r>
            <w:r w:rsidRPr="00666EB6">
              <w:rPr>
                <w:rFonts w:cs="Times New Roman"/>
                <w:sz w:val="20"/>
                <w:szCs w:val="20"/>
                <w:lang w:val="fr-CA"/>
              </w:rPr>
              <w:t>,</w:t>
            </w:r>
          </w:p>
          <w:p w:rsidR="006E775A" w:rsidRPr="00666EB6" w:rsidRDefault="006E775A" w:rsidP="006E775A">
            <w:pPr>
              <w:rPr>
                <w:rFonts w:cs="Times New Roman"/>
                <w:sz w:val="20"/>
                <w:szCs w:val="20"/>
                <w:lang w:val="fr-CA"/>
              </w:rPr>
            </w:pPr>
            <w:r w:rsidRPr="00666EB6">
              <w:rPr>
                <w:rFonts w:cs="Times New Roman"/>
                <w:sz w:val="20"/>
                <w:szCs w:val="20"/>
                <w:lang w:val="fr-CA"/>
              </w:rPr>
              <w:t xml:space="preserve">2014 CSC </w:t>
            </w:r>
            <w:r w:rsidR="00666EB6" w:rsidRPr="00666EB6">
              <w:rPr>
                <w:rFonts w:cs="Times New Roman"/>
                <w:sz w:val="20"/>
                <w:szCs w:val="20"/>
                <w:lang w:val="fr-CA"/>
              </w:rPr>
              <w:t>46</w:t>
            </w:r>
            <w:r w:rsidRPr="00666EB6">
              <w:rPr>
                <w:rFonts w:cs="Times New Roman"/>
                <w:sz w:val="20"/>
                <w:szCs w:val="20"/>
                <w:lang w:val="fr-CA"/>
              </w:rPr>
              <w:t xml:space="preserve">, [2014] 2 R.C.S. </w:t>
            </w:r>
            <w:r w:rsidR="00666EB6">
              <w:rPr>
                <w:rFonts w:cs="Times New Roman"/>
                <w:sz w:val="20"/>
                <w:szCs w:val="20"/>
                <w:lang w:val="fr-CA"/>
              </w:rPr>
              <w:t>390</w:t>
            </w:r>
          </w:p>
          <w:p w:rsidR="00A956D3" w:rsidRPr="00666EB6" w:rsidRDefault="00A956D3" w:rsidP="00E724B4">
            <w:pPr>
              <w:rPr>
                <w:rFonts w:cs="Times New Roman"/>
                <w:iCs/>
                <w:sz w:val="20"/>
                <w:szCs w:val="20"/>
                <w:lang w:val="fr-CA"/>
              </w:rPr>
            </w:pPr>
          </w:p>
          <w:p w:rsidR="00A956D3" w:rsidRPr="0088234F" w:rsidRDefault="00A956D3" w:rsidP="00E724B4">
            <w:pPr>
              <w:rPr>
                <w:rFonts w:cs="Times New Roman"/>
                <w:iCs/>
                <w:sz w:val="20"/>
                <w:szCs w:val="20"/>
                <w:lang w:val="fr-CA"/>
              </w:rPr>
            </w:pPr>
            <w:r w:rsidRPr="0088234F">
              <w:rPr>
                <w:rFonts w:cs="Times New Roman"/>
                <w:iCs/>
                <w:sz w:val="20"/>
                <w:szCs w:val="20"/>
                <w:lang w:val="fr-CA"/>
              </w:rPr>
              <w:t xml:space="preserve">R. </w:t>
            </w:r>
            <w:r w:rsidRPr="0088234F">
              <w:rPr>
                <w:rFonts w:cs="Times New Roman"/>
                <w:i/>
                <w:iCs/>
                <w:sz w:val="20"/>
                <w:szCs w:val="20"/>
                <w:lang w:val="fr-CA"/>
              </w:rPr>
              <w:t>c.</w:t>
            </w:r>
            <w:r w:rsidRPr="0088234F">
              <w:rPr>
                <w:rFonts w:cs="Times New Roman"/>
                <w:iCs/>
                <w:sz w:val="20"/>
                <w:szCs w:val="20"/>
                <w:lang w:val="fr-CA"/>
              </w:rPr>
              <w:t xml:space="preserve"> </w:t>
            </w:r>
            <w:r w:rsidR="00666EB6">
              <w:rPr>
                <w:rFonts w:cs="Times New Roman"/>
                <w:iCs/>
                <w:sz w:val="20"/>
                <w:szCs w:val="20"/>
                <w:lang w:val="fr-CA"/>
              </w:rPr>
              <w:t>Si</w:t>
            </w:r>
            <w:r w:rsidRPr="0088234F">
              <w:rPr>
                <w:rFonts w:cs="Times New Roman"/>
                <w:iCs/>
                <w:sz w:val="20"/>
                <w:szCs w:val="20"/>
                <w:lang w:val="fr-CA"/>
              </w:rPr>
              <w:t>p</w:t>
            </w:r>
            <w:r w:rsidR="00666EB6">
              <w:rPr>
                <w:rFonts w:cs="Times New Roman"/>
                <w:iCs/>
                <w:sz w:val="20"/>
                <w:szCs w:val="20"/>
                <w:lang w:val="fr-CA"/>
              </w:rPr>
              <w:t>o</w:t>
            </w:r>
            <w:r w:rsidRPr="0088234F">
              <w:rPr>
                <w:rFonts w:cs="Times New Roman"/>
                <w:iCs/>
                <w:sz w:val="20"/>
                <w:szCs w:val="20"/>
                <w:lang w:val="fr-CA"/>
              </w:rPr>
              <w:t>s,</w:t>
            </w:r>
          </w:p>
          <w:p w:rsidR="006E775A" w:rsidRPr="00666EB6" w:rsidRDefault="006E775A" w:rsidP="006E775A">
            <w:pPr>
              <w:rPr>
                <w:rFonts w:cs="Times New Roman"/>
                <w:sz w:val="20"/>
                <w:szCs w:val="20"/>
              </w:rPr>
            </w:pPr>
            <w:r w:rsidRPr="00666EB6">
              <w:rPr>
                <w:rFonts w:cs="Times New Roman"/>
                <w:sz w:val="20"/>
                <w:szCs w:val="20"/>
              </w:rPr>
              <w:t xml:space="preserve">2014 CSC </w:t>
            </w:r>
            <w:r w:rsidR="00666EB6" w:rsidRPr="00666EB6">
              <w:rPr>
                <w:rFonts w:cs="Times New Roman"/>
                <w:sz w:val="20"/>
                <w:szCs w:val="20"/>
              </w:rPr>
              <w:t>47</w:t>
            </w:r>
            <w:r w:rsidRPr="00666EB6">
              <w:rPr>
                <w:rFonts w:cs="Times New Roman"/>
                <w:sz w:val="20"/>
                <w:szCs w:val="20"/>
              </w:rPr>
              <w:t>, [2014] 2 R.C.S. 4</w:t>
            </w:r>
            <w:r w:rsidR="00666EB6" w:rsidRPr="00666EB6">
              <w:rPr>
                <w:rFonts w:cs="Times New Roman"/>
                <w:sz w:val="20"/>
                <w:szCs w:val="20"/>
              </w:rPr>
              <w:t>23</w:t>
            </w:r>
          </w:p>
          <w:p w:rsidR="00A956D3" w:rsidRPr="00666EB6" w:rsidRDefault="00A956D3" w:rsidP="00E724B4">
            <w:pPr>
              <w:rPr>
                <w:rFonts w:cs="Times New Roman"/>
                <w:sz w:val="20"/>
                <w:szCs w:val="20"/>
              </w:rPr>
            </w:pPr>
          </w:p>
          <w:p w:rsidR="00A956D3" w:rsidRPr="00666EB6" w:rsidRDefault="00A956D3" w:rsidP="00E724B4">
            <w:pPr>
              <w:rPr>
                <w:rFonts w:cs="Times New Roman"/>
                <w:iCs/>
                <w:sz w:val="20"/>
                <w:szCs w:val="20"/>
              </w:rPr>
            </w:pPr>
            <w:r w:rsidRPr="00666EB6">
              <w:rPr>
                <w:rFonts w:cs="Times New Roman"/>
                <w:iCs/>
                <w:sz w:val="20"/>
                <w:szCs w:val="20"/>
              </w:rPr>
              <w:t xml:space="preserve">R. </w:t>
            </w:r>
            <w:r w:rsidRPr="00666EB6">
              <w:rPr>
                <w:rFonts w:cs="Times New Roman"/>
                <w:i/>
                <w:iCs/>
                <w:sz w:val="20"/>
                <w:szCs w:val="20"/>
              </w:rPr>
              <w:t>c.</w:t>
            </w:r>
            <w:r w:rsidRPr="00666EB6">
              <w:rPr>
                <w:rFonts w:cs="Times New Roman"/>
                <w:iCs/>
                <w:sz w:val="20"/>
                <w:szCs w:val="20"/>
              </w:rPr>
              <w:t xml:space="preserve"> </w:t>
            </w:r>
            <w:r w:rsidR="00666EB6" w:rsidRPr="00666EB6">
              <w:rPr>
                <w:rFonts w:cs="Times New Roman"/>
                <w:iCs/>
                <w:sz w:val="20"/>
                <w:szCs w:val="20"/>
              </w:rPr>
              <w:t>Taylor</w:t>
            </w:r>
            <w:r w:rsidRPr="00666EB6">
              <w:rPr>
                <w:rFonts w:cs="Times New Roman"/>
                <w:iCs/>
                <w:sz w:val="20"/>
                <w:szCs w:val="20"/>
              </w:rPr>
              <w:t>,</w:t>
            </w:r>
          </w:p>
          <w:p w:rsidR="006E775A" w:rsidRPr="00C34FEA" w:rsidRDefault="006E775A" w:rsidP="006E775A">
            <w:pPr>
              <w:rPr>
                <w:rFonts w:cs="Times New Roman"/>
                <w:sz w:val="20"/>
                <w:szCs w:val="20"/>
                <w:lang w:val="fr-CA"/>
              </w:rPr>
            </w:pPr>
            <w:r w:rsidRPr="00C34FEA">
              <w:rPr>
                <w:rFonts w:cs="Times New Roman"/>
                <w:sz w:val="20"/>
                <w:szCs w:val="20"/>
                <w:lang w:val="fr-CA"/>
              </w:rPr>
              <w:t>2014 CSC 5</w:t>
            </w:r>
            <w:r w:rsidR="00666EB6">
              <w:rPr>
                <w:rFonts w:cs="Times New Roman"/>
                <w:sz w:val="20"/>
                <w:szCs w:val="20"/>
                <w:lang w:val="fr-CA"/>
              </w:rPr>
              <w:t>0</w:t>
            </w:r>
            <w:r w:rsidRPr="00C34FEA">
              <w:rPr>
                <w:rFonts w:cs="Times New Roman"/>
                <w:sz w:val="20"/>
                <w:szCs w:val="20"/>
                <w:lang w:val="fr-CA"/>
              </w:rPr>
              <w:t>, [2014] 2 R.C.S. 4</w:t>
            </w:r>
            <w:r w:rsidR="00666EB6">
              <w:rPr>
                <w:rFonts w:cs="Times New Roman"/>
                <w:sz w:val="20"/>
                <w:szCs w:val="20"/>
                <w:lang w:val="fr-CA"/>
              </w:rPr>
              <w:t>9</w:t>
            </w:r>
            <w:r w:rsidRPr="00C34FEA">
              <w:rPr>
                <w:rFonts w:cs="Times New Roman"/>
                <w:sz w:val="20"/>
                <w:szCs w:val="20"/>
                <w:lang w:val="fr-CA"/>
              </w:rPr>
              <w:t>5</w:t>
            </w:r>
          </w:p>
          <w:p w:rsidR="00A956D3" w:rsidRPr="00E836F1" w:rsidRDefault="00A956D3" w:rsidP="00E724B4">
            <w:pPr>
              <w:rPr>
                <w:rFonts w:cs="Times New Roman"/>
                <w:sz w:val="20"/>
                <w:szCs w:val="20"/>
                <w:lang w:val="fr-CA"/>
              </w:rPr>
            </w:pPr>
          </w:p>
          <w:p w:rsidR="00A956D3" w:rsidRPr="00666EB6" w:rsidRDefault="00666EB6" w:rsidP="00E724B4">
            <w:pPr>
              <w:rPr>
                <w:rFonts w:cs="Times New Roman"/>
                <w:sz w:val="20"/>
                <w:szCs w:val="20"/>
                <w:lang w:val="fr-CA"/>
              </w:rPr>
            </w:pPr>
            <w:r w:rsidRPr="00666EB6">
              <w:rPr>
                <w:rFonts w:cs="Times New Roman"/>
                <w:sz w:val="20"/>
                <w:szCs w:val="20"/>
                <w:lang w:val="fr-CA"/>
              </w:rPr>
              <w:t>Travailleurs et travailleuses unis de l’alime</w:t>
            </w:r>
            <w:r w:rsidR="00A956D3" w:rsidRPr="00666EB6">
              <w:rPr>
                <w:rFonts w:cs="Times New Roman"/>
                <w:sz w:val="20"/>
                <w:szCs w:val="20"/>
                <w:lang w:val="fr-CA"/>
              </w:rPr>
              <w:t>n</w:t>
            </w:r>
            <w:r w:rsidRPr="00666EB6">
              <w:rPr>
                <w:rFonts w:cs="Times New Roman"/>
                <w:sz w:val="20"/>
                <w:szCs w:val="20"/>
                <w:lang w:val="fr-CA"/>
              </w:rPr>
              <w:t>ta</w:t>
            </w:r>
            <w:r w:rsidR="00A956D3" w:rsidRPr="00666EB6">
              <w:rPr>
                <w:rFonts w:cs="Times New Roman"/>
                <w:sz w:val="20"/>
                <w:szCs w:val="20"/>
                <w:lang w:val="fr-CA"/>
              </w:rPr>
              <w:t>t</w:t>
            </w:r>
            <w:r w:rsidRPr="00666EB6">
              <w:rPr>
                <w:rFonts w:cs="Times New Roman"/>
                <w:sz w:val="20"/>
                <w:szCs w:val="20"/>
                <w:lang w:val="fr-CA"/>
              </w:rPr>
              <w:t>ion et du commerce, sec</w:t>
            </w:r>
            <w:r w:rsidR="00A956D3" w:rsidRPr="00666EB6">
              <w:rPr>
                <w:rFonts w:cs="Times New Roman"/>
                <w:sz w:val="20"/>
                <w:szCs w:val="20"/>
                <w:lang w:val="fr-CA"/>
              </w:rPr>
              <w:t>t</w:t>
            </w:r>
            <w:r w:rsidRPr="00666EB6">
              <w:rPr>
                <w:rFonts w:cs="Times New Roman"/>
                <w:sz w:val="20"/>
                <w:szCs w:val="20"/>
                <w:lang w:val="fr-CA"/>
              </w:rPr>
              <w:t>ion locale 503</w:t>
            </w:r>
            <w:r w:rsidR="00A956D3" w:rsidRPr="00666EB6">
              <w:rPr>
                <w:rFonts w:cs="Times New Roman"/>
                <w:sz w:val="20"/>
                <w:szCs w:val="20"/>
                <w:lang w:val="fr-CA"/>
              </w:rPr>
              <w:t xml:space="preserve"> </w:t>
            </w:r>
            <w:r w:rsidR="00A956D3" w:rsidRPr="00666EB6">
              <w:rPr>
                <w:rFonts w:cs="Times New Roman"/>
                <w:i/>
                <w:iCs/>
                <w:sz w:val="20"/>
                <w:szCs w:val="20"/>
                <w:lang w:val="fr-CA"/>
              </w:rPr>
              <w:t xml:space="preserve">c. </w:t>
            </w:r>
            <w:r>
              <w:rPr>
                <w:rFonts w:cs="Times New Roman"/>
                <w:iCs/>
                <w:sz w:val="20"/>
                <w:szCs w:val="20"/>
                <w:lang w:val="fr-CA"/>
              </w:rPr>
              <w:t>Compagni</w:t>
            </w:r>
            <w:r w:rsidR="00A956D3" w:rsidRPr="00666EB6">
              <w:rPr>
                <w:rFonts w:cs="Times New Roman"/>
                <w:iCs/>
                <w:sz w:val="20"/>
                <w:szCs w:val="20"/>
                <w:lang w:val="fr-CA"/>
              </w:rPr>
              <w:t>e</w:t>
            </w:r>
            <w:r>
              <w:rPr>
                <w:rFonts w:cs="Times New Roman"/>
                <w:iCs/>
                <w:sz w:val="20"/>
                <w:szCs w:val="20"/>
                <w:lang w:val="fr-CA"/>
              </w:rPr>
              <w:t xml:space="preserve"> Wal</w:t>
            </w:r>
            <w:r>
              <w:rPr>
                <w:rFonts w:cs="Times New Roman"/>
                <w:iCs/>
                <w:sz w:val="20"/>
                <w:szCs w:val="20"/>
                <w:lang w:val="fr-CA"/>
              </w:rPr>
              <w:noBreakHyphen/>
              <w:t>Ma</w:t>
            </w:r>
            <w:r w:rsidR="00A956D3" w:rsidRPr="00666EB6">
              <w:rPr>
                <w:rFonts w:cs="Times New Roman"/>
                <w:iCs/>
                <w:sz w:val="20"/>
                <w:szCs w:val="20"/>
                <w:lang w:val="fr-CA"/>
              </w:rPr>
              <w:t>r</w:t>
            </w:r>
            <w:r>
              <w:rPr>
                <w:rFonts w:cs="Times New Roman"/>
                <w:iCs/>
                <w:sz w:val="20"/>
                <w:szCs w:val="20"/>
                <w:lang w:val="fr-CA"/>
              </w:rPr>
              <w:t>t du C</w:t>
            </w:r>
            <w:r w:rsidR="00A956D3" w:rsidRPr="00666EB6">
              <w:rPr>
                <w:rFonts w:cs="Times New Roman"/>
                <w:iCs/>
                <w:sz w:val="20"/>
                <w:szCs w:val="20"/>
                <w:lang w:val="fr-CA"/>
              </w:rPr>
              <w:t>anada,</w:t>
            </w:r>
          </w:p>
          <w:p w:rsidR="00A956D3" w:rsidRPr="00E15380" w:rsidRDefault="00A956D3" w:rsidP="00E724B4">
            <w:pPr>
              <w:rPr>
                <w:rFonts w:cs="Times New Roman"/>
                <w:sz w:val="20"/>
                <w:szCs w:val="20"/>
              </w:rPr>
            </w:pPr>
            <w:r w:rsidRPr="00E15380">
              <w:rPr>
                <w:rFonts w:cs="Times New Roman"/>
                <w:sz w:val="20"/>
                <w:szCs w:val="20"/>
              </w:rPr>
              <w:t>201</w:t>
            </w:r>
            <w:r w:rsidR="006E775A">
              <w:rPr>
                <w:rFonts w:cs="Times New Roman"/>
                <w:sz w:val="20"/>
                <w:szCs w:val="20"/>
              </w:rPr>
              <w:t>4</w:t>
            </w:r>
            <w:r w:rsidRPr="00E15380">
              <w:rPr>
                <w:rFonts w:cs="Times New Roman"/>
                <w:sz w:val="20"/>
                <w:szCs w:val="20"/>
              </w:rPr>
              <w:t xml:space="preserve"> CSC </w:t>
            </w:r>
            <w:r w:rsidR="00666EB6">
              <w:rPr>
                <w:rFonts w:cs="Times New Roman"/>
                <w:sz w:val="20"/>
                <w:szCs w:val="20"/>
              </w:rPr>
              <w:t>4</w:t>
            </w:r>
            <w:r>
              <w:rPr>
                <w:rFonts w:cs="Times New Roman"/>
                <w:sz w:val="20"/>
                <w:szCs w:val="20"/>
              </w:rPr>
              <w:t>5</w:t>
            </w:r>
            <w:r w:rsidRPr="00E15380">
              <w:rPr>
                <w:rFonts w:cs="Times New Roman"/>
                <w:sz w:val="20"/>
                <w:szCs w:val="20"/>
              </w:rPr>
              <w:t>, [201</w:t>
            </w:r>
            <w:r w:rsidR="006E775A">
              <w:rPr>
                <w:rFonts w:cs="Times New Roman"/>
                <w:sz w:val="20"/>
                <w:szCs w:val="20"/>
              </w:rPr>
              <w:t>4</w:t>
            </w:r>
            <w:r w:rsidRPr="00E15380">
              <w:rPr>
                <w:rFonts w:cs="Times New Roman"/>
                <w:sz w:val="20"/>
                <w:szCs w:val="20"/>
              </w:rPr>
              <w:t xml:space="preserve">] </w:t>
            </w:r>
            <w:r w:rsidR="006E775A">
              <w:rPr>
                <w:rFonts w:cs="Times New Roman"/>
                <w:sz w:val="20"/>
                <w:szCs w:val="20"/>
              </w:rPr>
              <w:t>2</w:t>
            </w:r>
            <w:r w:rsidRPr="00E15380">
              <w:rPr>
                <w:rFonts w:cs="Times New Roman"/>
                <w:sz w:val="20"/>
                <w:szCs w:val="20"/>
              </w:rPr>
              <w:t xml:space="preserve"> R.C.S. </w:t>
            </w:r>
            <w:r w:rsidR="00666EB6">
              <w:rPr>
                <w:rFonts w:cs="Times New Roman"/>
                <w:sz w:val="20"/>
                <w:szCs w:val="20"/>
              </w:rPr>
              <w:t>323</w:t>
            </w:r>
          </w:p>
          <w:p w:rsidR="00A956D3" w:rsidRPr="00E15380" w:rsidRDefault="00A956D3" w:rsidP="00E724B4">
            <w:pPr>
              <w:keepNext/>
              <w:keepLines/>
              <w:rPr>
                <w:rFonts w:cs="Times New Roman"/>
                <w:bCs/>
                <w:sz w:val="20"/>
                <w:szCs w:val="20"/>
              </w:rPr>
            </w:pPr>
          </w:p>
          <w:p w:rsidR="00A956D3" w:rsidRPr="00DD0B49" w:rsidRDefault="00007FF8" w:rsidP="00E724B4">
            <w:pPr>
              <w:rPr>
                <w:rFonts w:cs="Times New Roman"/>
                <w:sz w:val="20"/>
                <w:szCs w:val="20"/>
              </w:rPr>
            </w:pPr>
            <w:r>
              <w:rPr>
                <w:rFonts w:cs="Times New Roman"/>
                <w:sz w:val="20"/>
                <w:szCs w:val="20"/>
              </w:rPr>
              <w:pict>
                <v:rect id="_x0000_i1077" style="width:129.6pt;height:1pt" o:hrpct="600" o:hralign="center" o:hrstd="t" o:hrnoshade="t" o:hr="t" fillcolor="black [3213]" stroked="f"/>
              </w:pict>
            </w:r>
          </w:p>
          <w:p w:rsidR="00A956D3" w:rsidRPr="00DD0B49" w:rsidRDefault="00A956D3" w:rsidP="00E724B4">
            <w:pPr>
              <w:keepNext/>
              <w:keepLines/>
              <w:rPr>
                <w:rFonts w:cs="Times New Roman"/>
                <w:bCs/>
                <w:sz w:val="20"/>
                <w:szCs w:val="20"/>
                <w:lang w:val="fr-CA"/>
              </w:rPr>
            </w:pPr>
          </w:p>
        </w:tc>
      </w:tr>
    </w:tbl>
    <w:p w:rsidR="00A956D3" w:rsidRDefault="00A956D3"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p w:rsidR="008112A9" w:rsidRPr="002E0C7E" w:rsidRDefault="00E94B3C"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E724B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DECEMBER - DÉCEMBRE</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M</w:t>
            </w: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13</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E724B4">
            <w:pPr>
              <w:widowControl w:val="0"/>
              <w:jc w:val="center"/>
              <w:rPr>
                <w:rFonts w:ascii="Arial" w:hAnsi="Arial"/>
                <w:b/>
                <w:sz w:val="14"/>
              </w:rPr>
            </w:pPr>
            <w:r w:rsidRPr="004F066E">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20</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E724B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E724B4">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E724B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MARCH - MARS</w:t>
            </w:r>
          </w:p>
        </w:tc>
      </w:tr>
      <w:tr w:rsidR="008112A9" w:rsidRPr="002E0C7E" w:rsidTr="00E724B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E724B4">
            <w:pPr>
              <w:widowControl w:val="0"/>
              <w:jc w:val="center"/>
              <w:rPr>
                <w:rFonts w:ascii="Arial" w:hAnsi="Arial"/>
                <w:b/>
                <w:sz w:val="14"/>
              </w:rPr>
            </w:pPr>
            <w:r w:rsidRPr="004F066E">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14</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E724B4">
            <w:pPr>
              <w:widowControl w:val="0"/>
              <w:jc w:val="center"/>
              <w:rPr>
                <w:rFonts w:ascii="Arial" w:hAnsi="Arial"/>
                <w:b/>
                <w:sz w:val="14"/>
              </w:rPr>
            </w:pPr>
            <w:r w:rsidRPr="009900C5">
              <w:rPr>
                <w:rFonts w:ascii="Arial" w:hAnsi="Arial"/>
                <w:b/>
                <w:sz w:val="14"/>
              </w:rPr>
              <w:t>M</w:t>
            </w: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E724B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E724B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724B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724B4">
            <w:pPr>
              <w:widowControl w:val="0"/>
              <w:jc w:val="center"/>
              <w:rPr>
                <w:rFonts w:ascii="Arial" w:hAnsi="Arial"/>
                <w:sz w:val="14"/>
              </w:rPr>
            </w:pPr>
            <w:r w:rsidRPr="002E0C7E">
              <w:rPr>
                <w:rFonts w:ascii="Arial" w:hAnsi="Arial"/>
                <w:b/>
                <w:sz w:val="14"/>
              </w:rPr>
              <w:t>JUNE - JUIN</w:t>
            </w:r>
          </w:p>
        </w:tc>
      </w:tr>
      <w:tr w:rsidR="008112A9" w:rsidRPr="002E0C7E" w:rsidTr="00E724B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S</w:t>
            </w:r>
          </w:p>
          <w:p w:rsidR="008112A9" w:rsidRPr="002E0C7E" w:rsidRDefault="008112A9" w:rsidP="00E724B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M</w:t>
            </w:r>
          </w:p>
          <w:p w:rsidR="008112A9" w:rsidRPr="002E0C7E" w:rsidRDefault="008112A9" w:rsidP="00E724B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W</w:t>
            </w:r>
          </w:p>
          <w:p w:rsidR="008112A9" w:rsidRPr="002E0C7E" w:rsidRDefault="008112A9" w:rsidP="00E724B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T</w:t>
            </w:r>
          </w:p>
          <w:p w:rsidR="008112A9" w:rsidRPr="002E0C7E" w:rsidRDefault="008112A9" w:rsidP="00E724B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sidRPr="002E0C7E">
              <w:rPr>
                <w:rFonts w:ascii="Arial" w:hAnsi="Arial"/>
                <w:sz w:val="14"/>
              </w:rPr>
              <w:t>F</w:t>
            </w:r>
          </w:p>
          <w:p w:rsidR="008112A9" w:rsidRPr="002E0C7E" w:rsidRDefault="008112A9" w:rsidP="00E724B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r>
              <w:rPr>
                <w:rFonts w:ascii="Arial" w:hAnsi="Arial"/>
                <w:sz w:val="14"/>
              </w:rPr>
              <w:t>S</w:t>
            </w:r>
          </w:p>
          <w:p w:rsidR="008112A9" w:rsidRPr="002E0C7E" w:rsidRDefault="008112A9" w:rsidP="00E724B4">
            <w:pPr>
              <w:widowControl w:val="0"/>
              <w:jc w:val="center"/>
              <w:rPr>
                <w:rFonts w:ascii="Arial" w:hAnsi="Arial"/>
                <w:sz w:val="14"/>
              </w:rPr>
            </w:pPr>
            <w:r>
              <w:rPr>
                <w:rFonts w:ascii="Arial" w:hAnsi="Arial"/>
                <w:sz w:val="14"/>
              </w:rPr>
              <w:t>S</w:t>
            </w:r>
          </w:p>
        </w:tc>
      </w:tr>
      <w:tr w:rsidR="008112A9" w:rsidRPr="002E0C7E" w:rsidTr="00E724B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13</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E724B4">
            <w:pPr>
              <w:widowControl w:val="0"/>
              <w:jc w:val="center"/>
              <w:rPr>
                <w:rFonts w:ascii="Arial" w:hAnsi="Arial"/>
                <w:b/>
                <w:sz w:val="14"/>
              </w:rPr>
            </w:pPr>
            <w:r>
              <w:rPr>
                <w:rFonts w:ascii="Arial" w:hAnsi="Arial"/>
                <w:b/>
                <w:sz w:val="14"/>
              </w:rPr>
              <w:t>M</w:t>
            </w: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E724B4">
            <w:pPr>
              <w:widowControl w:val="0"/>
              <w:jc w:val="center"/>
              <w:rPr>
                <w:rFonts w:ascii="Arial" w:hAnsi="Arial"/>
                <w:b/>
                <w:sz w:val="14"/>
              </w:rPr>
            </w:pPr>
            <w:r w:rsidRPr="002453E3">
              <w:rPr>
                <w:rFonts w:ascii="Arial" w:hAnsi="Arial"/>
                <w:b/>
                <w:sz w:val="14"/>
              </w:rPr>
              <w:t>M</w:t>
            </w: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20</w:t>
            </w:r>
          </w:p>
        </w:tc>
      </w:tr>
      <w:tr w:rsidR="008112A9" w:rsidRPr="002E0C7E" w:rsidTr="00E724B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E724B4">
            <w:pPr>
              <w:widowControl w:val="0"/>
              <w:jc w:val="center"/>
              <w:rPr>
                <w:rFonts w:ascii="Arial" w:hAnsi="Arial"/>
                <w:b/>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E724B4">
            <w:pPr>
              <w:widowControl w:val="0"/>
              <w:jc w:val="center"/>
              <w:rPr>
                <w:rFonts w:ascii="Arial" w:hAnsi="Arial"/>
                <w:b/>
                <w:sz w:val="14"/>
              </w:rPr>
            </w:pPr>
            <w:r>
              <w:rPr>
                <w:rFonts w:ascii="Arial" w:hAnsi="Arial"/>
                <w:b/>
                <w:sz w:val="14"/>
              </w:rPr>
              <w:t>H</w:t>
            </w:r>
          </w:p>
          <w:p w:rsidR="008112A9" w:rsidRPr="002E0C7E" w:rsidRDefault="008112A9" w:rsidP="00E724B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E724B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E724B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E724B4">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724B4">
            <w:pPr>
              <w:widowControl w:val="0"/>
              <w:jc w:val="center"/>
              <w:rPr>
                <w:rFonts w:ascii="Arial" w:hAnsi="Arial"/>
                <w:sz w:val="14"/>
              </w:rPr>
            </w:pPr>
          </w:p>
          <w:p w:rsidR="008112A9" w:rsidRPr="002E0C7E" w:rsidRDefault="008112A9" w:rsidP="00E724B4">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E724B4">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E724B4">
            <w:pPr>
              <w:widowControl w:val="0"/>
              <w:rPr>
                <w:rFonts w:ascii="Arial" w:hAnsi="Arial"/>
                <w:sz w:val="16"/>
              </w:rPr>
            </w:pPr>
            <w:r w:rsidRPr="002E0C7E">
              <w:rPr>
                <w:rFonts w:ascii="Arial" w:hAnsi="Arial"/>
                <w:sz w:val="16"/>
              </w:rPr>
              <w:t>Sittings of the court:</w:t>
            </w:r>
          </w:p>
          <w:p w:rsidR="008112A9" w:rsidRPr="002E0C7E" w:rsidRDefault="008112A9" w:rsidP="00E724B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E724B4">
            <w:pPr>
              <w:widowControl w:val="0"/>
              <w:rPr>
                <w:rFonts w:ascii="Arial" w:hAnsi="Arial"/>
                <w:sz w:val="16"/>
              </w:rPr>
            </w:pPr>
          </w:p>
          <w:p w:rsidR="008112A9" w:rsidRPr="002E0C7E" w:rsidRDefault="008112A9" w:rsidP="00E724B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E724B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E724B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E724B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E724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34" w:rsidRDefault="00681634" w:rsidP="00A87207">
      <w:r>
        <w:separator/>
      </w:r>
    </w:p>
  </w:endnote>
  <w:endnote w:type="continuationSeparator" w:id="0">
    <w:p w:rsidR="00681634" w:rsidRDefault="0068163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EB2B90">
    <w:pPr>
      <w:tabs>
        <w:tab w:val="center" w:pos="4680"/>
      </w:tabs>
    </w:pPr>
    <w:r>
      <w:pict>
        <v:rect id="_x0000_i1055" style="width:480.95pt;height:1pt" o:hralign="center" o:hrstd="t" o:hrnoshade="t" o:hr="t" fillcolor="black [3213]" stroked="f"/>
      </w:pict>
    </w:r>
  </w:p>
  <w:p w:rsidR="00681634" w:rsidRPr="0031432F" w:rsidRDefault="00681634" w:rsidP="00EB2B90">
    <w:pPr>
      <w:tabs>
        <w:tab w:val="center" w:pos="4680"/>
      </w:tabs>
    </w:pPr>
    <w:r>
      <w:tab/>
      <w:t xml:space="preserve">- </w:t>
    </w:r>
    <w:r w:rsidR="00772311">
      <w:fldChar w:fldCharType="begin"/>
    </w:r>
    <w:r w:rsidR="00772311">
      <w:instrText xml:space="preserve"> PAGE   \* MERGEFORMAT </w:instrText>
    </w:r>
    <w:r w:rsidR="00772311">
      <w:fldChar w:fldCharType="separate"/>
    </w:r>
    <w:r w:rsidR="00007FF8">
      <w:rPr>
        <w:noProof/>
      </w:rPr>
      <w:t>287</w:t>
    </w:r>
    <w:r w:rsidR="00772311">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681634" w:rsidRDefault="00681634" w:rsidP="00EB2B90">
    <w:pPr>
      <w:tabs>
        <w:tab w:val="center" w:pos="4770"/>
      </w:tabs>
    </w:pPr>
    <w:r>
      <w:tab/>
      <w:t xml:space="preserve">- </w:t>
    </w:r>
    <w:r w:rsidR="00772311">
      <w:fldChar w:fldCharType="begin"/>
    </w:r>
    <w:r w:rsidR="00772311">
      <w:instrText xml:space="preserve"> PAGE   \* MERGEFORMAT </w:instrText>
    </w:r>
    <w:r w:rsidR="00772311">
      <w:fldChar w:fldCharType="separate"/>
    </w:r>
    <w:r w:rsidR="00007FF8">
      <w:rPr>
        <w:noProof/>
      </w:rPr>
      <w:t>298</w:t>
    </w:r>
    <w:r w:rsidR="0077231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EB2B90">
    <w:pPr>
      <w:tabs>
        <w:tab w:val="center" w:pos="4770"/>
      </w:tabs>
    </w:pPr>
    <w:r>
      <w:pict>
        <v:rect id="_x0000_i1058" style="width:480.95pt;height:1pt" o:hralign="center" o:hrstd="t" o:hrnoshade="t" o:hr="t" fillcolor="black [3213]" stroked="f"/>
      </w:pict>
    </w:r>
  </w:p>
  <w:p w:rsidR="00681634" w:rsidRPr="00041AAB" w:rsidRDefault="00681634" w:rsidP="00EB2B90">
    <w:pPr>
      <w:tabs>
        <w:tab w:val="center" w:pos="4770"/>
      </w:tabs>
    </w:pPr>
    <w:r>
      <w:tab/>
      <w:t xml:space="preserve">- </w:t>
    </w:r>
    <w:r w:rsidR="00772311">
      <w:fldChar w:fldCharType="begin"/>
    </w:r>
    <w:r w:rsidR="00772311">
      <w:instrText xml:space="preserve"> PAGE   \* MERGEFORMAT </w:instrText>
    </w:r>
    <w:r w:rsidR="00772311">
      <w:fldChar w:fldCharType="separate"/>
    </w:r>
    <w:r w:rsidR="00007FF8">
      <w:rPr>
        <w:noProof/>
      </w:rPr>
      <w:t>292</w:t>
    </w:r>
    <w:r w:rsidR="0077231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681634" w:rsidRDefault="00681634" w:rsidP="00697C62">
    <w:pPr>
      <w:tabs>
        <w:tab w:val="center" w:pos="4680"/>
      </w:tabs>
    </w:pPr>
    <w:r>
      <w:tab/>
      <w:t xml:space="preserve">- </w:t>
    </w:r>
    <w:r w:rsidR="00E94B3C" w:rsidRPr="00B74FED">
      <w:rPr>
        <w:szCs w:val="24"/>
      </w:rPr>
      <w:fldChar w:fldCharType="begin"/>
    </w:r>
    <w:r w:rsidRPr="00B74FED">
      <w:rPr>
        <w:szCs w:val="24"/>
      </w:rPr>
      <w:instrText xml:space="preserve"> PAGE   \* MERGEFORMAT </w:instrText>
    </w:r>
    <w:r w:rsidR="00E94B3C" w:rsidRPr="00B74FED">
      <w:rPr>
        <w:szCs w:val="24"/>
      </w:rPr>
      <w:fldChar w:fldCharType="separate"/>
    </w:r>
    <w:r>
      <w:rPr>
        <w:noProof/>
        <w:szCs w:val="24"/>
      </w:rPr>
      <w:t>528</w:t>
    </w:r>
    <w:r w:rsidR="00E94B3C"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802863">
    <w:pPr>
      <w:widowControl w:val="0"/>
      <w:tabs>
        <w:tab w:val="left" w:pos="-1440"/>
        <w:tab w:val="left" w:pos="-720"/>
      </w:tabs>
    </w:pPr>
    <w:r>
      <w:rPr>
        <w:lang w:val="fr-CA"/>
      </w:rPr>
      <w:pict>
        <v:rect id="_x0000_i1061" style="width:480.95pt;height:1pt" o:hralign="center" o:hrstd="t" o:hrnoshade="t" o:hr="t" fillcolor="black [3213]" stroked="f"/>
      </w:pict>
    </w:r>
  </w:p>
  <w:p w:rsidR="00681634" w:rsidRPr="00180897" w:rsidRDefault="00681634" w:rsidP="00697C62">
    <w:pPr>
      <w:tabs>
        <w:tab w:val="center" w:pos="4680"/>
      </w:tabs>
    </w:pPr>
    <w:r>
      <w:tab/>
      <w:t xml:space="preserve">- </w:t>
    </w:r>
    <w:r w:rsidR="00E94B3C" w:rsidRPr="00B74FED">
      <w:rPr>
        <w:szCs w:val="24"/>
      </w:rPr>
      <w:fldChar w:fldCharType="begin"/>
    </w:r>
    <w:r w:rsidRPr="00B74FED">
      <w:rPr>
        <w:szCs w:val="24"/>
      </w:rPr>
      <w:instrText xml:space="preserve"> PAGE   \* MERGEFORMAT </w:instrText>
    </w:r>
    <w:r w:rsidR="00E94B3C" w:rsidRPr="00B74FED">
      <w:rPr>
        <w:szCs w:val="24"/>
      </w:rPr>
      <w:fldChar w:fldCharType="separate"/>
    </w:r>
    <w:r w:rsidR="00007FF8">
      <w:rPr>
        <w:noProof/>
        <w:szCs w:val="24"/>
      </w:rPr>
      <w:t>299</w:t>
    </w:r>
    <w:r w:rsidR="00E94B3C"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732DB7">
    <w:r>
      <w:pict>
        <v:rect id="_x0000_i1065" style="width:480.95pt;height:1pt" o:hralign="center" o:hrstd="t" o:hrnoshade="t" o:hr="t" fillcolor="black" stroked="f"/>
      </w:pict>
    </w:r>
  </w:p>
  <w:p w:rsidR="00681634" w:rsidRDefault="00681634">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pPr>
      <w:pStyle w:val="Footer"/>
    </w:pPr>
    <w:r>
      <w:pict>
        <v:rect id="_x0000_i1066" style="width:480.95pt;height:1pt" o:hralign="center" o:hrstd="t" o:hrnoshade="t" o:hr="t" fillcolor="black" stroked="f"/>
      </w:pict>
    </w:r>
  </w:p>
  <w:p w:rsidR="00681634" w:rsidRPr="00283C52" w:rsidRDefault="00681634">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732DB7">
    <w:r>
      <w:pict>
        <v:rect id="_x0000_i1068" style="width:480.95pt;height:1pt" o:hralign="center" o:hrstd="t" o:hrnoshade="t" o:hr="t" fillcolor="black" stroked="f"/>
      </w:pict>
    </w:r>
  </w:p>
  <w:p w:rsidR="00681634" w:rsidRDefault="00681634">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pPr>
      <w:pStyle w:val="Footer"/>
    </w:pPr>
    <w:r>
      <w:pict>
        <v:rect id="_x0000_i1069" style="width:480.95pt;height:1pt" o:hralign="center" o:hrstd="t" o:hrnoshade="t" o:hr="t" fillcolor="black [3213]" stroked="f"/>
      </w:pict>
    </w:r>
  </w:p>
  <w:p w:rsidR="00681634" w:rsidRPr="003C2C0F" w:rsidRDefault="00681634" w:rsidP="00697C62">
    <w:pPr>
      <w:tabs>
        <w:tab w:val="center" w:pos="4680"/>
      </w:tabs>
    </w:pPr>
    <w:r>
      <w:tab/>
      <w:t xml:space="preserve">- </w:t>
    </w:r>
    <w:r w:rsidR="00772311">
      <w:fldChar w:fldCharType="begin"/>
    </w:r>
    <w:r w:rsidR="00772311">
      <w:instrText xml:space="preserve"> PAGE   \* MERGEFORMAT </w:instrText>
    </w:r>
    <w:r w:rsidR="00772311">
      <w:fldChar w:fldCharType="separate"/>
    </w:r>
    <w:r w:rsidR="00007FF8">
      <w:rPr>
        <w:noProof/>
      </w:rPr>
      <w:t>304</w:t>
    </w:r>
    <w:r w:rsidR="00772311">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007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681634" w:rsidRDefault="00681634" w:rsidP="00782AE4">
    <w:pPr>
      <w:tabs>
        <w:tab w:val="center" w:pos="4680"/>
      </w:tabs>
    </w:pPr>
    <w:r>
      <w:tab/>
      <w:t xml:space="preserve">- </w:t>
    </w:r>
    <w:r w:rsidR="00E94B3C" w:rsidRPr="001775C1">
      <w:rPr>
        <w:szCs w:val="24"/>
      </w:rPr>
      <w:fldChar w:fldCharType="begin"/>
    </w:r>
    <w:r w:rsidRPr="001775C1">
      <w:rPr>
        <w:szCs w:val="24"/>
      </w:rPr>
      <w:instrText xml:space="preserve"> PAGE   \* MERGEFORMAT </w:instrText>
    </w:r>
    <w:r w:rsidR="00E94B3C" w:rsidRPr="001775C1">
      <w:rPr>
        <w:szCs w:val="24"/>
      </w:rPr>
      <w:fldChar w:fldCharType="separate"/>
    </w:r>
    <w:r w:rsidR="00007FF8">
      <w:rPr>
        <w:noProof/>
        <w:szCs w:val="24"/>
      </w:rPr>
      <w:t>313</w:t>
    </w:r>
    <w:r w:rsidR="00E94B3C"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782AE4">
    <w:pPr>
      <w:tabs>
        <w:tab w:val="center" w:pos="4680"/>
      </w:tabs>
    </w:pPr>
    <w:r>
      <w:pict>
        <v:rect id="_x0000_i1073" style="width:480.95pt;height:1pt" o:hralign="center" o:hrstd="t" o:hrnoshade="t" o:hr="t" fillcolor="black [3213]" stroked="f"/>
      </w:pict>
    </w:r>
  </w:p>
  <w:p w:rsidR="00681634" w:rsidRDefault="00681634" w:rsidP="00782AE4">
    <w:pPr>
      <w:tabs>
        <w:tab w:val="center" w:pos="4680"/>
      </w:tabs>
    </w:pPr>
    <w:r>
      <w:tab/>
      <w:t xml:space="preserve">- </w:t>
    </w:r>
    <w:r w:rsidR="00E94B3C" w:rsidRPr="001775C1">
      <w:rPr>
        <w:szCs w:val="24"/>
      </w:rPr>
      <w:fldChar w:fldCharType="begin"/>
    </w:r>
    <w:r w:rsidRPr="001775C1">
      <w:rPr>
        <w:szCs w:val="24"/>
      </w:rPr>
      <w:instrText xml:space="preserve"> PAGE   \* MERGEFORMAT </w:instrText>
    </w:r>
    <w:r w:rsidR="00E94B3C" w:rsidRPr="001775C1">
      <w:rPr>
        <w:szCs w:val="24"/>
      </w:rPr>
      <w:fldChar w:fldCharType="separate"/>
    </w:r>
    <w:r w:rsidR="00007FF8">
      <w:rPr>
        <w:noProof/>
        <w:szCs w:val="24"/>
      </w:rPr>
      <w:t>307</w:t>
    </w:r>
    <w:r w:rsidR="00E94B3C"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
      <w:rPr>
        <w:lang w:val="fr-CA"/>
      </w:rPr>
      <w:pict>
        <v:rect id="_x0000_i1078" style="width:480.95pt;height:1pt" o:hralign="center" o:hrstd="t" o:hrnoshade="t" o:hr="t" fillcolor="black [3213]" stroked="f"/>
      </w:pict>
    </w:r>
  </w:p>
  <w:p w:rsidR="00681634" w:rsidRDefault="00681634" w:rsidP="006B6926">
    <w:pPr>
      <w:tabs>
        <w:tab w:val="center" w:pos="4680"/>
      </w:tabs>
    </w:pPr>
    <w:r>
      <w:tab/>
      <w:t xml:space="preserve">- </w:t>
    </w:r>
    <w:r w:rsidR="00772311">
      <w:fldChar w:fldCharType="begin"/>
    </w:r>
    <w:r w:rsidR="00772311">
      <w:instrText xml:space="preserve">PAGE </w:instrText>
    </w:r>
    <w:r w:rsidR="00772311">
      <w:fldChar w:fldCharType="separate"/>
    </w:r>
    <w:r w:rsidR="00007FF8">
      <w:rPr>
        <w:noProof/>
      </w:rPr>
      <w:t>315</w:t>
    </w:r>
    <w:r w:rsidR="00772311">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6B6926">
    <w:pPr>
      <w:tabs>
        <w:tab w:val="center" w:pos="4680"/>
      </w:tabs>
      <w:rPr>
        <w:lang w:val="fr-CA"/>
      </w:rPr>
    </w:pPr>
    <w:r>
      <w:rPr>
        <w:lang w:val="fr-CA"/>
      </w:rPr>
      <w:pict>
        <v:rect id="_x0000_i1079" style="width:480.95pt;height:1pt" o:hralign="center" o:hrstd="t" o:hrnoshade="t" o:hr="t" fillcolor="black [3213]" stroked="f"/>
      </w:pict>
    </w:r>
  </w:p>
  <w:p w:rsidR="00681634" w:rsidRDefault="00681634" w:rsidP="006B6926">
    <w:pPr>
      <w:tabs>
        <w:tab w:val="center" w:pos="4680"/>
      </w:tabs>
    </w:pPr>
    <w:r>
      <w:tab/>
      <w:t xml:space="preserve">- </w:t>
    </w:r>
    <w:r w:rsidR="00772311">
      <w:fldChar w:fldCharType="begin"/>
    </w:r>
    <w:r w:rsidR="00772311">
      <w:instrText xml:space="preserve">PAGE </w:instrText>
    </w:r>
    <w:r w:rsidR="00772311">
      <w:fldChar w:fldCharType="separate"/>
    </w:r>
    <w:r w:rsidR="00007FF8">
      <w:rPr>
        <w:noProof/>
      </w:rPr>
      <w:t>314</w:t>
    </w:r>
    <w:r w:rsidR="00772311">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Pr="00924065" w:rsidRDefault="0068163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A87207">
    <w:pPr>
      <w:pStyle w:val="Footer"/>
    </w:pPr>
    <w:r>
      <w:pict>
        <v:rect id="_x0000_i1044" style="width:480.95pt;height:1pt" o:hralign="center" o:hrstd="t" o:hrnoshade="t" o:hr="t" fillcolor="black [3213]" stroked="f"/>
      </w:pict>
    </w:r>
  </w:p>
  <w:p w:rsidR="00681634" w:rsidRPr="00B7374B" w:rsidRDefault="00681634" w:rsidP="00B7374B">
    <w:pPr>
      <w:tabs>
        <w:tab w:val="center" w:pos="4680"/>
      </w:tabs>
      <w:rPr>
        <w:szCs w:val="24"/>
      </w:rPr>
    </w:pPr>
    <w:r w:rsidRPr="00954D22">
      <w:rPr>
        <w:szCs w:val="24"/>
      </w:rPr>
      <w:tab/>
      <w:t xml:space="preserve">- </w:t>
    </w:r>
    <w:r w:rsidR="00E94B3C" w:rsidRPr="00954D22">
      <w:rPr>
        <w:szCs w:val="24"/>
      </w:rPr>
      <w:fldChar w:fldCharType="begin"/>
    </w:r>
    <w:r w:rsidRPr="00954D22">
      <w:rPr>
        <w:szCs w:val="24"/>
      </w:rPr>
      <w:instrText xml:space="preserve"> PAGE   \* MERGEFORMAT </w:instrText>
    </w:r>
    <w:r w:rsidR="00E94B3C" w:rsidRPr="00954D22">
      <w:rPr>
        <w:szCs w:val="24"/>
      </w:rPr>
      <w:fldChar w:fldCharType="separate"/>
    </w:r>
    <w:r w:rsidR="00007FF8">
      <w:rPr>
        <w:noProof/>
        <w:szCs w:val="24"/>
      </w:rPr>
      <w:t>284</w:t>
    </w:r>
    <w:r w:rsidR="00E94B3C"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755F22">
    <w:pPr>
      <w:tabs>
        <w:tab w:val="left" w:pos="-1440"/>
        <w:tab w:val="left" w:pos="-720"/>
      </w:tabs>
    </w:pPr>
    <w:r>
      <w:pict>
        <v:rect id="_x0000_i1045" style="width:480.95pt;height:1pt" o:hralign="center" o:hrstd="t" o:hrnoshade="t" o:hr="t" fillcolor="black [3213]" stroked="f"/>
      </w:pict>
    </w:r>
  </w:p>
  <w:p w:rsidR="00681634" w:rsidRPr="00954D22" w:rsidRDefault="00681634" w:rsidP="00B7374B">
    <w:pPr>
      <w:tabs>
        <w:tab w:val="center" w:pos="4680"/>
      </w:tabs>
      <w:rPr>
        <w:szCs w:val="24"/>
      </w:rPr>
    </w:pPr>
    <w:r w:rsidRPr="00954D22">
      <w:rPr>
        <w:szCs w:val="24"/>
      </w:rPr>
      <w:tab/>
      <w:t xml:space="preserve">- </w:t>
    </w:r>
    <w:r w:rsidR="00E94B3C">
      <w:rPr>
        <w:szCs w:val="24"/>
      </w:rPr>
      <w:fldChar w:fldCharType="begin"/>
    </w:r>
    <w:r>
      <w:rPr>
        <w:szCs w:val="24"/>
      </w:rPr>
      <w:instrText xml:space="preserve"> PAGE   \* MERGEFORMAT </w:instrText>
    </w:r>
    <w:r w:rsidR="00E94B3C">
      <w:rPr>
        <w:szCs w:val="24"/>
      </w:rPr>
      <w:fldChar w:fldCharType="separate"/>
    </w:r>
    <w:r w:rsidR="00007FF8">
      <w:rPr>
        <w:noProof/>
        <w:szCs w:val="24"/>
      </w:rPr>
      <w:t>283</w:t>
    </w:r>
    <w:r w:rsidR="00E94B3C">
      <w:rPr>
        <w:szCs w:val="24"/>
      </w:rPr>
      <w:fldChar w:fldCharType="end"/>
    </w:r>
    <w:r w:rsidRPr="00954D22">
      <w:rPr>
        <w:szCs w:val="24"/>
      </w:rPr>
      <w:t xml:space="preserve"> -</w:t>
    </w:r>
  </w:p>
  <w:p w:rsidR="00681634" w:rsidRDefault="006816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A87207">
    <w:pPr>
      <w:pStyle w:val="Footer"/>
    </w:pPr>
    <w:r>
      <w:pict>
        <v:rect id="_x0000_i1047" style="width:480.95pt;height:1pt" o:hralign="center" o:hrstd="t" o:hrnoshade="t" o:hr="t" fillcolor="black [3213]" stroked="f"/>
      </w:pict>
    </w:r>
  </w:p>
  <w:p w:rsidR="00681634" w:rsidRPr="00B7374B" w:rsidRDefault="00681634" w:rsidP="00B7374B">
    <w:pPr>
      <w:tabs>
        <w:tab w:val="center" w:pos="4680"/>
      </w:tabs>
      <w:rPr>
        <w:szCs w:val="24"/>
      </w:rPr>
    </w:pPr>
    <w:r w:rsidRPr="00954D22">
      <w:rPr>
        <w:szCs w:val="24"/>
      </w:rPr>
      <w:tab/>
      <w:t xml:space="preserve">- </w:t>
    </w:r>
    <w:r w:rsidR="00E94B3C" w:rsidRPr="00954D22">
      <w:rPr>
        <w:szCs w:val="24"/>
      </w:rPr>
      <w:fldChar w:fldCharType="begin"/>
    </w:r>
    <w:r w:rsidRPr="00954D22">
      <w:rPr>
        <w:szCs w:val="24"/>
      </w:rPr>
      <w:instrText xml:space="preserve"> PAGE   \* MERGEFORMAT </w:instrText>
    </w:r>
    <w:r w:rsidR="00E94B3C" w:rsidRPr="00954D22">
      <w:rPr>
        <w:szCs w:val="24"/>
      </w:rPr>
      <w:fldChar w:fldCharType="separate"/>
    </w:r>
    <w:r>
      <w:rPr>
        <w:noProof/>
        <w:szCs w:val="24"/>
      </w:rPr>
      <w:t>286</w:t>
    </w:r>
    <w:r w:rsidR="00E94B3C"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681634" w:rsidRPr="00954D22" w:rsidRDefault="00681634" w:rsidP="00B7374B">
    <w:pPr>
      <w:tabs>
        <w:tab w:val="center" w:pos="4680"/>
      </w:tabs>
      <w:rPr>
        <w:szCs w:val="24"/>
      </w:rPr>
    </w:pPr>
    <w:r w:rsidRPr="00954D22">
      <w:rPr>
        <w:szCs w:val="24"/>
      </w:rPr>
      <w:tab/>
      <w:t xml:space="preserve">- </w:t>
    </w:r>
    <w:r w:rsidR="00E94B3C" w:rsidRPr="00954D22">
      <w:rPr>
        <w:szCs w:val="24"/>
      </w:rPr>
      <w:fldChar w:fldCharType="begin"/>
    </w:r>
    <w:r w:rsidRPr="00954D22">
      <w:rPr>
        <w:szCs w:val="24"/>
      </w:rPr>
      <w:instrText xml:space="preserve"> PAGE   \* MERGEFORMAT </w:instrText>
    </w:r>
    <w:r w:rsidR="00E94B3C" w:rsidRPr="00954D22">
      <w:rPr>
        <w:szCs w:val="24"/>
      </w:rPr>
      <w:fldChar w:fldCharType="separate"/>
    </w:r>
    <w:r w:rsidR="00007FF8">
      <w:rPr>
        <w:noProof/>
        <w:szCs w:val="24"/>
      </w:rPr>
      <w:t>286</w:t>
    </w:r>
    <w:r w:rsidR="00E94B3C"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1634" w:rsidRDefault="0068163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007FF8" w:rsidP="00755F22">
    <w:pPr>
      <w:tabs>
        <w:tab w:val="left" w:pos="-1440"/>
        <w:tab w:val="left" w:pos="-720"/>
      </w:tabs>
    </w:pPr>
    <w:r>
      <w:pict>
        <v:rect id="_x0000_i1054" style="width:480.95pt;height:1pt" o:hralign="center" o:hrstd="t" o:hrnoshade="t" o:hr="t" fillcolor="black [3213]" stroked="f"/>
      </w:pict>
    </w:r>
  </w:p>
  <w:p w:rsidR="00681634" w:rsidRDefault="00681634" w:rsidP="00EB2B90">
    <w:pPr>
      <w:tabs>
        <w:tab w:val="center" w:pos="4680"/>
      </w:tabs>
    </w:pPr>
    <w:r>
      <w:tab/>
      <w:t xml:space="preserve">- </w:t>
    </w:r>
    <w:r w:rsidR="00772311">
      <w:fldChar w:fldCharType="begin"/>
    </w:r>
    <w:r w:rsidR="00772311">
      <w:instrText xml:space="preserve"> PAGE   \* MERGEFORMAT </w:instrText>
    </w:r>
    <w:r w:rsidR="00772311">
      <w:fldChar w:fldCharType="separate"/>
    </w:r>
    <w:r w:rsidR="00007FF8">
      <w:rPr>
        <w:noProof/>
      </w:rPr>
      <w:t>288</w:t>
    </w:r>
    <w:r w:rsidR="0077231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34" w:rsidRDefault="00681634" w:rsidP="00A87207">
      <w:r>
        <w:separator/>
      </w:r>
    </w:p>
  </w:footnote>
  <w:footnote w:type="continuationSeparator" w:id="0">
    <w:p w:rsidR="00681634" w:rsidRDefault="0068163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81634">
      <w:tc>
        <w:tcPr>
          <w:tcW w:w="423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681634"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1634"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681634">
      <w:trPr>
        <w:gridAfter w:val="2"/>
        <w:wAfter w:w="5250" w:type="dxa"/>
      </w:trPr>
      <w:tc>
        <w:tcPr>
          <w:tcW w:w="4230" w:type="dxa"/>
          <w:tcMar>
            <w:left w:w="0" w:type="dxa"/>
            <w:right w:w="0" w:type="dxa"/>
          </w:tcMar>
        </w:tcPr>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681634" w:rsidRPr="00755F22" w:rsidTr="00245129">
      <w:tc>
        <w:tcPr>
          <w:tcW w:w="4230" w:type="dxa"/>
          <w:tcMar>
            <w:left w:w="0" w:type="dxa"/>
            <w:right w:w="0" w:type="dxa"/>
          </w:tcMar>
        </w:tcPr>
        <w:p w:rsidR="00681634" w:rsidRPr="00755F22" w:rsidRDefault="00681634" w:rsidP="00EB2B90">
          <w:pPr>
            <w:keepNext/>
            <w:keepLines/>
            <w:rPr>
              <w:sz w:val="22"/>
            </w:rPr>
          </w:pPr>
          <w:r w:rsidRPr="00755F22">
            <w:rPr>
              <w:sz w:val="22"/>
            </w:rPr>
            <w:t>TAXATION OF COSTS</w:t>
          </w:r>
        </w:p>
      </w:tc>
      <w:tc>
        <w:tcPr>
          <w:tcW w:w="1170" w:type="dxa"/>
          <w:tcMar>
            <w:left w:w="0" w:type="dxa"/>
            <w:right w:w="0" w:type="dxa"/>
          </w:tcMar>
        </w:tcPr>
        <w:p w:rsidR="00681634" w:rsidRPr="00755F22" w:rsidRDefault="00681634" w:rsidP="00831CA9">
          <w:pPr>
            <w:keepLines/>
            <w:jc w:val="center"/>
            <w:rPr>
              <w:sz w:val="22"/>
            </w:rPr>
          </w:pPr>
        </w:p>
        <w:p w:rsidR="00681634" w:rsidRPr="00755F22" w:rsidRDefault="00681634" w:rsidP="00831CA9">
          <w:pPr>
            <w:keepLines/>
            <w:jc w:val="center"/>
            <w:rPr>
              <w:sz w:val="22"/>
            </w:rPr>
          </w:pPr>
        </w:p>
      </w:tc>
      <w:tc>
        <w:tcPr>
          <w:tcW w:w="4230" w:type="dxa"/>
          <w:tcMar>
            <w:left w:w="0" w:type="dxa"/>
            <w:right w:w="0" w:type="dxa"/>
          </w:tcMar>
        </w:tcPr>
        <w:p w:rsidR="00681634" w:rsidRPr="00755F22" w:rsidRDefault="00681634" w:rsidP="00831CA9">
          <w:pPr>
            <w:keepLines/>
            <w:rPr>
              <w:sz w:val="22"/>
              <w:lang w:val="fr-CA"/>
            </w:rPr>
          </w:pPr>
          <w:r w:rsidRPr="00755F22">
            <w:rPr>
              <w:sz w:val="22"/>
              <w:lang w:val="fr-CA"/>
            </w:rPr>
            <w:t>TAXATION DES DÉPENS</w:t>
          </w:r>
        </w:p>
      </w:tc>
    </w:tr>
  </w:tbl>
  <w:p w:rsidR="00681634" w:rsidRDefault="00681634" w:rsidP="00EB2B90">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tc>
        <w:tcPr>
          <w:tcW w:w="4200" w:type="dxa"/>
          <w:tcMar>
            <w:left w:w="0" w:type="dxa"/>
            <w:right w:w="0" w:type="dxa"/>
          </w:tcMar>
        </w:tcPr>
        <w:p w:rsidR="00681634" w:rsidRDefault="006816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681634" w:rsidRDefault="006816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681634" w:rsidRDefault="006816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1634" w:rsidRPr="009256DC" w:rsidRDefault="0068163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681634" w:rsidRPr="009256DC" w:rsidRDefault="006816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81634" w:rsidRPr="009256DC" w:rsidRDefault="006816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rsidTr="00245129">
      <w:tc>
        <w:tcPr>
          <w:tcW w:w="4200" w:type="dxa"/>
          <w:tcMar>
            <w:left w:w="0" w:type="dxa"/>
            <w:right w:w="0" w:type="dxa"/>
          </w:tcMar>
        </w:tcPr>
        <w:p w:rsidR="00681634" w:rsidRPr="00802863" w:rsidRDefault="0068163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681634" w:rsidRPr="00802863" w:rsidRDefault="00681634" w:rsidP="00802863">
          <w:pPr>
            <w:keepNext/>
            <w:keepLines/>
            <w:widowControl w:val="0"/>
            <w:tabs>
              <w:tab w:val="left" w:pos="-1440"/>
              <w:tab w:val="left" w:pos="-720"/>
            </w:tabs>
            <w:jc w:val="center"/>
            <w:rPr>
              <w:sz w:val="20"/>
              <w:szCs w:val="20"/>
            </w:rPr>
          </w:pPr>
        </w:p>
        <w:p w:rsidR="00681634" w:rsidRPr="00802863" w:rsidRDefault="00681634" w:rsidP="00802863">
          <w:pPr>
            <w:keepNext/>
            <w:keepLines/>
            <w:widowControl w:val="0"/>
            <w:tabs>
              <w:tab w:val="left" w:pos="-1440"/>
              <w:tab w:val="left" w:pos="-720"/>
            </w:tabs>
            <w:jc w:val="center"/>
            <w:rPr>
              <w:sz w:val="20"/>
              <w:szCs w:val="20"/>
            </w:rPr>
          </w:pPr>
        </w:p>
        <w:p w:rsidR="00681634" w:rsidRPr="00802863" w:rsidRDefault="0068163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681634" w:rsidRPr="00802863" w:rsidRDefault="0068163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681634" w:rsidRPr="009256DC" w:rsidRDefault="0068163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tc>
        <w:tcPr>
          <w:tcW w:w="420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1634" w:rsidRPr="00283C52"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81634" w:rsidRPr="00283C52"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81634" w:rsidRPr="00283C52"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rsidTr="00245129">
      <w:tc>
        <w:tcPr>
          <w:tcW w:w="4200" w:type="dxa"/>
          <w:tcMar>
            <w:left w:w="0" w:type="dxa"/>
            <w:right w:w="0" w:type="dxa"/>
          </w:tcMar>
        </w:tcPr>
        <w:p w:rsidR="00681634" w:rsidRPr="00732DB7" w:rsidRDefault="0068163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81634" w:rsidRPr="00732DB7" w:rsidRDefault="00681634" w:rsidP="00732DB7">
          <w:pPr>
            <w:keepNext/>
            <w:keepLines/>
            <w:tabs>
              <w:tab w:val="left" w:pos="-1440"/>
              <w:tab w:val="left" w:pos="-720"/>
            </w:tabs>
            <w:jc w:val="center"/>
            <w:rPr>
              <w:sz w:val="20"/>
              <w:szCs w:val="20"/>
            </w:rPr>
          </w:pPr>
        </w:p>
        <w:p w:rsidR="00681634" w:rsidRPr="00732DB7" w:rsidRDefault="00681634" w:rsidP="00732DB7">
          <w:pPr>
            <w:keepNext/>
            <w:keepLines/>
            <w:tabs>
              <w:tab w:val="left" w:pos="-1440"/>
              <w:tab w:val="left" w:pos="-720"/>
            </w:tabs>
            <w:jc w:val="center"/>
            <w:rPr>
              <w:sz w:val="20"/>
              <w:szCs w:val="20"/>
            </w:rPr>
          </w:pPr>
        </w:p>
        <w:p w:rsidR="00681634" w:rsidRPr="00732DB7" w:rsidRDefault="00681634" w:rsidP="00732DB7">
          <w:pPr>
            <w:keepNext/>
            <w:keepLines/>
            <w:tabs>
              <w:tab w:val="left" w:pos="-1440"/>
              <w:tab w:val="left" w:pos="-720"/>
            </w:tabs>
            <w:jc w:val="center"/>
            <w:rPr>
              <w:sz w:val="20"/>
              <w:szCs w:val="20"/>
            </w:rPr>
          </w:pPr>
        </w:p>
      </w:tc>
      <w:tc>
        <w:tcPr>
          <w:tcW w:w="4080" w:type="dxa"/>
          <w:tcMar>
            <w:left w:w="0" w:type="dxa"/>
            <w:right w:w="0" w:type="dxa"/>
          </w:tcMar>
        </w:tcPr>
        <w:p w:rsidR="00681634" w:rsidRPr="00732DB7" w:rsidRDefault="0068163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81634" w:rsidRPr="00283C52" w:rsidRDefault="0068163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tc>
        <w:tcPr>
          <w:tcW w:w="420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81634" w:rsidRPr="003C2C0F"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81634" w:rsidRPr="003C2C0F"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81634" w:rsidRPr="003C2C0F"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rsidTr="00245129">
      <w:tc>
        <w:tcPr>
          <w:tcW w:w="4200" w:type="dxa"/>
          <w:tcMar>
            <w:left w:w="0" w:type="dxa"/>
            <w:right w:w="0" w:type="dxa"/>
          </w:tcMar>
        </w:tcPr>
        <w:p w:rsidR="00681634" w:rsidRPr="00FF6EEC" w:rsidRDefault="00681634" w:rsidP="00FF6EEC">
          <w:pPr>
            <w:rPr>
              <w:sz w:val="20"/>
              <w:szCs w:val="20"/>
            </w:rPr>
          </w:pPr>
          <w:r w:rsidRPr="00FF6EEC">
            <w:rPr>
              <w:sz w:val="20"/>
              <w:szCs w:val="20"/>
            </w:rPr>
            <w:t>PRONOUNCEMENTS OF APPEALS RESERVED</w:t>
          </w:r>
        </w:p>
      </w:tc>
      <w:tc>
        <w:tcPr>
          <w:tcW w:w="1200" w:type="dxa"/>
          <w:tcMar>
            <w:left w:w="0" w:type="dxa"/>
            <w:right w:w="0" w:type="dxa"/>
          </w:tcMar>
        </w:tcPr>
        <w:p w:rsidR="00681634" w:rsidRPr="00FF6EEC" w:rsidRDefault="00681634" w:rsidP="00FF6EEC">
          <w:pPr>
            <w:jc w:val="center"/>
            <w:rPr>
              <w:sz w:val="20"/>
              <w:szCs w:val="20"/>
            </w:rPr>
          </w:pPr>
        </w:p>
        <w:p w:rsidR="00681634" w:rsidRPr="00FF6EEC" w:rsidRDefault="00681634" w:rsidP="00FF6EEC">
          <w:pPr>
            <w:jc w:val="center"/>
            <w:rPr>
              <w:sz w:val="20"/>
              <w:szCs w:val="20"/>
            </w:rPr>
          </w:pPr>
        </w:p>
        <w:p w:rsidR="00681634" w:rsidRPr="00FF6EEC" w:rsidRDefault="00681634" w:rsidP="00FF6EEC">
          <w:pPr>
            <w:jc w:val="center"/>
            <w:rPr>
              <w:sz w:val="20"/>
              <w:szCs w:val="20"/>
            </w:rPr>
          </w:pPr>
        </w:p>
      </w:tc>
      <w:tc>
        <w:tcPr>
          <w:tcW w:w="4080" w:type="dxa"/>
          <w:tcMar>
            <w:left w:w="0" w:type="dxa"/>
            <w:right w:w="0" w:type="dxa"/>
          </w:tcMar>
        </w:tcPr>
        <w:p w:rsidR="00681634" w:rsidRPr="00FF6EEC" w:rsidRDefault="00681634" w:rsidP="00FF6EEC">
          <w:pPr>
            <w:rPr>
              <w:sz w:val="20"/>
              <w:szCs w:val="20"/>
              <w:lang w:val="fr-CA"/>
            </w:rPr>
          </w:pPr>
          <w:r w:rsidRPr="00FF6EEC">
            <w:rPr>
              <w:sz w:val="20"/>
              <w:szCs w:val="20"/>
              <w:lang w:val="fr-CA"/>
            </w:rPr>
            <w:t>JUGEMENTS RENDUS SUR LES APPELS EN DÉLIBÉRÉ</w:t>
          </w:r>
        </w:p>
      </w:tc>
    </w:tr>
  </w:tbl>
  <w:p w:rsidR="00681634" w:rsidRPr="003C2C0F" w:rsidRDefault="0068163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81634">
      <w:tc>
        <w:tcPr>
          <w:tcW w:w="423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81634"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81634" w:rsidRPr="00782AE4" w:rsidTr="00245129">
      <w:tc>
        <w:tcPr>
          <w:tcW w:w="4230" w:type="dxa"/>
          <w:tcMar>
            <w:left w:w="0" w:type="dxa"/>
            <w:right w:w="0" w:type="dxa"/>
          </w:tcMar>
        </w:tcPr>
        <w:p w:rsidR="00681634" w:rsidRPr="00782AE4" w:rsidRDefault="00681634" w:rsidP="00102926">
          <w:pPr>
            <w:keepNext/>
            <w:keepLines/>
            <w:tabs>
              <w:tab w:val="left" w:pos="-1440"/>
              <w:tab w:val="left" w:pos="-720"/>
            </w:tabs>
            <w:rPr>
              <w:sz w:val="20"/>
              <w:szCs w:val="20"/>
            </w:rPr>
          </w:pPr>
          <w:r w:rsidRPr="00782AE4">
            <w:rPr>
              <w:sz w:val="20"/>
              <w:szCs w:val="20"/>
            </w:rPr>
            <w:t xml:space="preserve">HEADNOTES OF RECENT </w:t>
          </w:r>
        </w:p>
        <w:p w:rsidR="00681634" w:rsidRPr="00782AE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81634" w:rsidRDefault="00681634" w:rsidP="00102926">
          <w:pPr>
            <w:keepNext/>
            <w:keepLines/>
            <w:tabs>
              <w:tab w:val="left" w:pos="-1440"/>
              <w:tab w:val="left" w:pos="-720"/>
            </w:tabs>
            <w:jc w:val="center"/>
            <w:rPr>
              <w:sz w:val="20"/>
              <w:szCs w:val="20"/>
            </w:rPr>
          </w:pPr>
        </w:p>
        <w:p w:rsidR="00681634" w:rsidRDefault="00681634" w:rsidP="00102926">
          <w:pPr>
            <w:keepNext/>
            <w:keepLines/>
            <w:tabs>
              <w:tab w:val="left" w:pos="-1440"/>
              <w:tab w:val="left" w:pos="-720"/>
            </w:tabs>
            <w:jc w:val="center"/>
            <w:rPr>
              <w:sz w:val="20"/>
              <w:szCs w:val="20"/>
            </w:rPr>
          </w:pPr>
        </w:p>
        <w:p w:rsidR="00681634" w:rsidRPr="00782AE4" w:rsidRDefault="00681634" w:rsidP="00102926">
          <w:pPr>
            <w:keepNext/>
            <w:keepLines/>
            <w:tabs>
              <w:tab w:val="left" w:pos="-1440"/>
              <w:tab w:val="left" w:pos="-720"/>
            </w:tabs>
            <w:jc w:val="center"/>
            <w:rPr>
              <w:sz w:val="20"/>
              <w:szCs w:val="20"/>
            </w:rPr>
          </w:pPr>
        </w:p>
      </w:tc>
      <w:tc>
        <w:tcPr>
          <w:tcW w:w="4080" w:type="dxa"/>
          <w:tcMar>
            <w:left w:w="0" w:type="dxa"/>
            <w:right w:w="0" w:type="dxa"/>
          </w:tcMar>
        </w:tcPr>
        <w:p w:rsidR="00681634" w:rsidRPr="00102926"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81634" w:rsidRPr="00782AE4" w:rsidRDefault="00681634" w:rsidP="00102926">
          <w:pPr>
            <w:keepLines/>
            <w:tabs>
              <w:tab w:val="left" w:pos="-1440"/>
              <w:tab w:val="left" w:pos="-720"/>
            </w:tabs>
            <w:rPr>
              <w:sz w:val="20"/>
              <w:szCs w:val="20"/>
            </w:rPr>
          </w:pPr>
          <w:r w:rsidRPr="00102926">
            <w:rPr>
              <w:sz w:val="20"/>
              <w:szCs w:val="20"/>
              <w:lang w:val="fr-CA"/>
            </w:rPr>
            <w:t>RÉCENTS</w:t>
          </w:r>
        </w:p>
      </w:tc>
    </w:tr>
  </w:tbl>
  <w:p w:rsidR="00681634" w:rsidRDefault="0068163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81634" w:rsidRPr="002F7FF6" w:rsidTr="00245129">
      <w:tc>
        <w:tcPr>
          <w:tcW w:w="4320" w:type="dxa"/>
        </w:tcPr>
        <w:p w:rsidR="00681634" w:rsidRPr="006B6926" w:rsidRDefault="00681634" w:rsidP="006B6926">
          <w:pPr>
            <w:keepNext/>
            <w:keepLines/>
            <w:rPr>
              <w:bCs/>
              <w:sz w:val="20"/>
              <w:szCs w:val="20"/>
              <w:lang w:val="en-GB"/>
            </w:rPr>
          </w:pPr>
          <w:r w:rsidRPr="006B6926">
            <w:rPr>
              <w:bCs/>
              <w:sz w:val="20"/>
              <w:szCs w:val="20"/>
              <w:lang w:val="en-GB"/>
            </w:rPr>
            <w:t>SUPREME COURT REPORTS</w:t>
          </w:r>
        </w:p>
      </w:tc>
      <w:tc>
        <w:tcPr>
          <w:tcW w:w="840" w:type="dxa"/>
        </w:tcPr>
        <w:p w:rsidR="00681634" w:rsidRDefault="00681634" w:rsidP="006B6926">
          <w:pPr>
            <w:jc w:val="center"/>
            <w:rPr>
              <w:bCs/>
              <w:sz w:val="20"/>
              <w:szCs w:val="20"/>
              <w:lang w:val="en-GB"/>
            </w:rPr>
          </w:pPr>
        </w:p>
        <w:p w:rsidR="00681634" w:rsidRPr="006B6926" w:rsidRDefault="00681634" w:rsidP="006B6926">
          <w:pPr>
            <w:jc w:val="center"/>
            <w:rPr>
              <w:bCs/>
              <w:sz w:val="20"/>
              <w:szCs w:val="20"/>
              <w:lang w:val="en-GB"/>
            </w:rPr>
          </w:pPr>
        </w:p>
      </w:tc>
      <w:tc>
        <w:tcPr>
          <w:tcW w:w="4320" w:type="dxa"/>
        </w:tcPr>
        <w:p w:rsidR="00681634" w:rsidRPr="006B6926" w:rsidRDefault="00681634" w:rsidP="006B6926">
          <w:pPr>
            <w:keepNext/>
            <w:keepLines/>
            <w:rPr>
              <w:bCs/>
              <w:sz w:val="20"/>
              <w:szCs w:val="20"/>
              <w:lang w:val="fr-CA"/>
            </w:rPr>
          </w:pPr>
          <w:r w:rsidRPr="006B6926">
            <w:rPr>
              <w:bCs/>
              <w:sz w:val="20"/>
              <w:szCs w:val="20"/>
              <w:lang w:val="fr-CA"/>
            </w:rPr>
            <w:t>RECUEIL DES ARRÊTS DE LA COUR SUPRÊME</w:t>
          </w:r>
        </w:p>
      </w:tc>
    </w:tr>
  </w:tbl>
  <w:p w:rsidR="00681634" w:rsidRPr="000924F7" w:rsidRDefault="00681634">
    <w:pPr>
      <w:pStyle w:val="Header"/>
      <w:rPr>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81634" w:rsidRPr="0044776A" w:rsidTr="00245129">
      <w:tc>
        <w:tcPr>
          <w:tcW w:w="4290" w:type="dxa"/>
          <w:tcMar>
            <w:left w:w="0" w:type="dxa"/>
            <w:right w:w="0" w:type="dxa"/>
          </w:tcMar>
        </w:tcPr>
        <w:p w:rsidR="00681634" w:rsidRPr="0044776A" w:rsidRDefault="0068163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81634" w:rsidRPr="0044776A" w:rsidRDefault="00681634" w:rsidP="002E2327">
          <w:pPr>
            <w:keepNext/>
            <w:keepLines/>
            <w:tabs>
              <w:tab w:val="left" w:pos="-1440"/>
              <w:tab w:val="left" w:pos="-720"/>
            </w:tabs>
            <w:jc w:val="center"/>
            <w:rPr>
              <w:sz w:val="20"/>
              <w:szCs w:val="20"/>
            </w:rPr>
          </w:pPr>
        </w:p>
        <w:p w:rsidR="00681634" w:rsidRPr="0044776A" w:rsidRDefault="00681634" w:rsidP="002E2327">
          <w:pPr>
            <w:keepNext/>
            <w:keepLines/>
            <w:tabs>
              <w:tab w:val="left" w:pos="-1440"/>
              <w:tab w:val="left" w:pos="-720"/>
            </w:tabs>
            <w:jc w:val="center"/>
            <w:rPr>
              <w:sz w:val="20"/>
              <w:szCs w:val="20"/>
            </w:rPr>
          </w:pPr>
        </w:p>
        <w:p w:rsidR="00681634" w:rsidRPr="0044776A" w:rsidRDefault="00681634" w:rsidP="002E2327">
          <w:pPr>
            <w:keepNext/>
            <w:keepLines/>
            <w:tabs>
              <w:tab w:val="left" w:pos="-1440"/>
              <w:tab w:val="left" w:pos="-720"/>
            </w:tabs>
            <w:jc w:val="center"/>
            <w:rPr>
              <w:sz w:val="20"/>
              <w:szCs w:val="20"/>
            </w:rPr>
          </w:pPr>
        </w:p>
      </w:tc>
      <w:tc>
        <w:tcPr>
          <w:tcW w:w="4320" w:type="dxa"/>
          <w:tcMar>
            <w:left w:w="0" w:type="dxa"/>
            <w:right w:w="0" w:type="dxa"/>
          </w:tcMar>
        </w:tcPr>
        <w:p w:rsidR="00681634" w:rsidRPr="0044776A" w:rsidRDefault="00681634" w:rsidP="002E2327">
          <w:pPr>
            <w:keepLines/>
            <w:rPr>
              <w:sz w:val="20"/>
              <w:szCs w:val="20"/>
              <w:lang w:val="fr-CA"/>
            </w:rPr>
          </w:pPr>
          <w:r w:rsidRPr="0044776A">
            <w:rPr>
              <w:sz w:val="20"/>
              <w:szCs w:val="20"/>
              <w:lang w:val="fr-CA"/>
            </w:rPr>
            <w:t>DEMANDES D'AUTORISATION D'APPEL DÉPOSÉES</w:t>
          </w:r>
        </w:p>
      </w:tc>
    </w:tr>
  </w:tbl>
  <w:p w:rsidR="00681634" w:rsidRDefault="006816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81634" w:rsidRPr="002F7FF6" w:rsidTr="00245129">
      <w:tc>
        <w:tcPr>
          <w:tcW w:w="4200" w:type="dxa"/>
          <w:tcMar>
            <w:left w:w="0" w:type="dxa"/>
            <w:right w:w="0" w:type="dxa"/>
          </w:tcMar>
        </w:tcPr>
        <w:p w:rsidR="00681634" w:rsidRPr="0044776A" w:rsidRDefault="00681634" w:rsidP="0044776A">
          <w:pPr>
            <w:keepNext/>
            <w:keepLines/>
            <w:widowControl w:val="0"/>
            <w:rPr>
              <w:sz w:val="20"/>
              <w:szCs w:val="20"/>
            </w:rPr>
          </w:pPr>
          <w:r>
            <w:rPr>
              <w:sz w:val="20"/>
              <w:szCs w:val="20"/>
            </w:rPr>
            <w:t>APPLICATIONS FOR LEAVE</w:t>
          </w:r>
        </w:p>
        <w:p w:rsidR="00681634" w:rsidRPr="0044776A" w:rsidRDefault="0068163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81634" w:rsidRPr="0044776A" w:rsidRDefault="00681634" w:rsidP="0044776A">
          <w:pPr>
            <w:keepNext/>
            <w:keepLines/>
            <w:widowControl w:val="0"/>
            <w:jc w:val="center"/>
            <w:rPr>
              <w:sz w:val="20"/>
              <w:szCs w:val="20"/>
            </w:rPr>
          </w:pPr>
        </w:p>
        <w:p w:rsidR="00681634" w:rsidRPr="0044776A" w:rsidRDefault="00681634" w:rsidP="0044776A">
          <w:pPr>
            <w:keepNext/>
            <w:keepLines/>
            <w:widowControl w:val="0"/>
            <w:jc w:val="center"/>
            <w:rPr>
              <w:sz w:val="20"/>
              <w:szCs w:val="20"/>
            </w:rPr>
          </w:pPr>
        </w:p>
        <w:p w:rsidR="00681634" w:rsidRPr="0044776A" w:rsidRDefault="00681634" w:rsidP="0044776A">
          <w:pPr>
            <w:keepNext/>
            <w:keepLines/>
            <w:widowControl w:val="0"/>
            <w:jc w:val="center"/>
            <w:rPr>
              <w:sz w:val="20"/>
              <w:szCs w:val="20"/>
            </w:rPr>
          </w:pPr>
        </w:p>
      </w:tc>
      <w:tc>
        <w:tcPr>
          <w:tcW w:w="4080" w:type="dxa"/>
          <w:tcMar>
            <w:left w:w="0" w:type="dxa"/>
            <w:right w:w="0" w:type="dxa"/>
          </w:tcMar>
        </w:tcPr>
        <w:p w:rsidR="00681634" w:rsidRPr="0044776A" w:rsidRDefault="00681634" w:rsidP="0044776A">
          <w:pPr>
            <w:keepLines/>
            <w:widowControl w:val="0"/>
            <w:rPr>
              <w:sz w:val="20"/>
              <w:szCs w:val="20"/>
              <w:lang w:val="fr-CA"/>
            </w:rPr>
          </w:pPr>
          <w:r w:rsidRPr="0044776A">
            <w:rPr>
              <w:sz w:val="20"/>
              <w:szCs w:val="20"/>
              <w:lang w:val="fr-CA"/>
            </w:rPr>
            <w:t>DEMANDES SOUMISES À LA COUR DEPUIS LA DERNIÈRE PARUTION</w:t>
          </w:r>
        </w:p>
        <w:p w:rsidR="00681634" w:rsidRPr="0044776A" w:rsidRDefault="00681634" w:rsidP="0044776A">
          <w:pPr>
            <w:widowControl w:val="0"/>
            <w:rPr>
              <w:sz w:val="20"/>
              <w:szCs w:val="20"/>
              <w:lang w:val="fr-CA"/>
            </w:rPr>
          </w:pPr>
        </w:p>
      </w:tc>
    </w:tr>
  </w:tbl>
  <w:p w:rsidR="00681634" w:rsidRPr="002E2327" w:rsidRDefault="0068163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34" w:rsidRDefault="006816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81634">
      <w:tc>
        <w:tcPr>
          <w:tcW w:w="4230" w:type="dxa"/>
          <w:tcMar>
            <w:left w:w="0" w:type="dxa"/>
            <w:right w:w="0" w:type="dxa"/>
          </w:tcMar>
        </w:tcPr>
        <w:p w:rsidR="00681634" w:rsidRDefault="006816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81634"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1634" w:rsidRDefault="006816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81634">
      <w:trPr>
        <w:gridAfter w:val="2"/>
        <w:wAfter w:w="5250" w:type="dxa"/>
      </w:trPr>
      <w:tc>
        <w:tcPr>
          <w:tcW w:w="4230" w:type="dxa"/>
          <w:tcMar>
            <w:left w:w="0" w:type="dxa"/>
            <w:right w:w="0" w:type="dxa"/>
          </w:tcMar>
        </w:tcPr>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1634" w:rsidRDefault="0068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81634" w:rsidRPr="00755F22" w:rsidTr="00245129">
      <w:tc>
        <w:tcPr>
          <w:tcW w:w="4230" w:type="dxa"/>
          <w:tcMar>
            <w:left w:w="0" w:type="dxa"/>
            <w:right w:w="0" w:type="dxa"/>
          </w:tcMar>
        </w:tcPr>
        <w:p w:rsidR="00681634" w:rsidRPr="00755F22" w:rsidRDefault="00681634" w:rsidP="00831CA9">
          <w:pPr>
            <w:keepNext/>
            <w:keepLines/>
            <w:rPr>
              <w:sz w:val="20"/>
              <w:szCs w:val="20"/>
            </w:rPr>
          </w:pPr>
          <w:r w:rsidRPr="00755F22">
            <w:rPr>
              <w:sz w:val="20"/>
              <w:szCs w:val="20"/>
            </w:rPr>
            <w:t>MOTIONS</w:t>
          </w:r>
        </w:p>
      </w:tc>
      <w:tc>
        <w:tcPr>
          <w:tcW w:w="1170" w:type="dxa"/>
          <w:tcMar>
            <w:left w:w="0" w:type="dxa"/>
            <w:right w:w="0" w:type="dxa"/>
          </w:tcMar>
        </w:tcPr>
        <w:p w:rsidR="00681634" w:rsidRPr="00755F22" w:rsidRDefault="00681634" w:rsidP="00831CA9">
          <w:pPr>
            <w:keepLines/>
            <w:jc w:val="center"/>
            <w:rPr>
              <w:sz w:val="20"/>
              <w:szCs w:val="20"/>
            </w:rPr>
          </w:pPr>
        </w:p>
        <w:p w:rsidR="00681634" w:rsidRPr="00755F22" w:rsidRDefault="00681634" w:rsidP="00831CA9">
          <w:pPr>
            <w:keepLines/>
            <w:tabs>
              <w:tab w:val="left" w:pos="-1440"/>
              <w:tab w:val="left" w:pos="-720"/>
            </w:tabs>
            <w:jc w:val="center"/>
            <w:rPr>
              <w:sz w:val="20"/>
              <w:szCs w:val="20"/>
            </w:rPr>
          </w:pPr>
        </w:p>
      </w:tc>
      <w:tc>
        <w:tcPr>
          <w:tcW w:w="4080" w:type="dxa"/>
          <w:tcMar>
            <w:left w:w="0" w:type="dxa"/>
            <w:right w:w="0" w:type="dxa"/>
          </w:tcMar>
        </w:tcPr>
        <w:p w:rsidR="00681634" w:rsidRPr="00BA6468" w:rsidRDefault="00681634" w:rsidP="00BA6468">
          <w:pPr>
            <w:keepLines/>
            <w:rPr>
              <w:sz w:val="20"/>
              <w:szCs w:val="20"/>
              <w:lang w:val="fr-CA"/>
            </w:rPr>
          </w:pPr>
          <w:r w:rsidRPr="00BA6468">
            <w:rPr>
              <w:sz w:val="20"/>
              <w:szCs w:val="20"/>
              <w:lang w:val="fr-CA"/>
            </w:rPr>
            <w:t>REQUÊTES</w:t>
          </w:r>
        </w:p>
      </w:tc>
    </w:tr>
  </w:tbl>
  <w:p w:rsidR="00681634" w:rsidRDefault="0068163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2282"/>
    <w:multiLevelType w:val="hybridMultilevel"/>
    <w:tmpl w:val="76BA63C6"/>
    <w:lvl w:ilvl="0" w:tplc="95FA1F6A">
      <w:start w:val="1"/>
      <w:numFmt w:val="decimal"/>
      <w:lvlText w:val="[%1]"/>
      <w:lvlJc w:val="left"/>
      <w:pPr>
        <w:ind w:left="432" w:hanging="432"/>
      </w:pPr>
      <w:rPr>
        <w:rFonts w:hint="default"/>
      </w:rPr>
    </w:lvl>
    <w:lvl w:ilvl="1" w:tplc="04090019" w:tentative="1">
      <w:start w:val="1"/>
      <w:numFmt w:val="lowerLetter"/>
      <w:lvlText w:val="%2."/>
      <w:lvlJc w:val="left"/>
      <w:pPr>
        <w:ind w:left="366" w:hanging="360"/>
      </w:pPr>
    </w:lvl>
    <w:lvl w:ilvl="2" w:tplc="0409001B" w:tentative="1">
      <w:start w:val="1"/>
      <w:numFmt w:val="lowerRoman"/>
      <w:lvlText w:val="%3."/>
      <w:lvlJc w:val="right"/>
      <w:pPr>
        <w:ind w:left="1086" w:hanging="180"/>
      </w:pPr>
    </w:lvl>
    <w:lvl w:ilvl="3" w:tplc="0409000F" w:tentative="1">
      <w:start w:val="1"/>
      <w:numFmt w:val="decimal"/>
      <w:lvlText w:val="%4."/>
      <w:lvlJc w:val="left"/>
      <w:pPr>
        <w:ind w:left="1806" w:hanging="360"/>
      </w:pPr>
    </w:lvl>
    <w:lvl w:ilvl="4" w:tplc="04090019" w:tentative="1">
      <w:start w:val="1"/>
      <w:numFmt w:val="lowerLetter"/>
      <w:lvlText w:val="%5."/>
      <w:lvlJc w:val="left"/>
      <w:pPr>
        <w:ind w:left="2526" w:hanging="360"/>
      </w:pPr>
    </w:lvl>
    <w:lvl w:ilvl="5" w:tplc="0409001B" w:tentative="1">
      <w:start w:val="1"/>
      <w:numFmt w:val="lowerRoman"/>
      <w:lvlText w:val="%6."/>
      <w:lvlJc w:val="right"/>
      <w:pPr>
        <w:ind w:left="3246" w:hanging="180"/>
      </w:pPr>
    </w:lvl>
    <w:lvl w:ilvl="6" w:tplc="0409000F" w:tentative="1">
      <w:start w:val="1"/>
      <w:numFmt w:val="decimal"/>
      <w:lvlText w:val="%7."/>
      <w:lvlJc w:val="left"/>
      <w:pPr>
        <w:ind w:left="3966" w:hanging="360"/>
      </w:pPr>
    </w:lvl>
    <w:lvl w:ilvl="7" w:tplc="04090019" w:tentative="1">
      <w:start w:val="1"/>
      <w:numFmt w:val="lowerLetter"/>
      <w:lvlText w:val="%8."/>
      <w:lvlJc w:val="left"/>
      <w:pPr>
        <w:ind w:left="4686" w:hanging="360"/>
      </w:pPr>
    </w:lvl>
    <w:lvl w:ilvl="8" w:tplc="0409001B" w:tentative="1">
      <w:start w:val="1"/>
      <w:numFmt w:val="lowerRoman"/>
      <w:lvlText w:val="%9."/>
      <w:lvlJc w:val="right"/>
      <w:pPr>
        <w:ind w:left="5406" w:hanging="180"/>
      </w:pPr>
    </w:lvl>
  </w:abstractNum>
  <w:abstractNum w:abstractNumId="2" w15:restartNumberingAfterBreak="0">
    <w:nsid w:val="1A9E4372"/>
    <w:multiLevelType w:val="hybridMultilevel"/>
    <w:tmpl w:val="61E279D2"/>
    <w:lvl w:ilvl="0" w:tplc="AE0EFD68">
      <w:start w:val="1"/>
      <w:numFmt w:val="decimal"/>
      <w:lvlText w:val="[%1]"/>
      <w:lvlJc w:val="left"/>
      <w:pPr>
        <w:ind w:left="43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D7BFC"/>
    <w:multiLevelType w:val="hybridMultilevel"/>
    <w:tmpl w:val="665C5BB4"/>
    <w:lvl w:ilvl="0" w:tplc="FC7EFBFA">
      <w:start w:val="1"/>
      <w:numFmt w:val="decimal"/>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420FE7"/>
    <w:multiLevelType w:val="hybridMultilevel"/>
    <w:tmpl w:val="12968818"/>
    <w:lvl w:ilvl="0" w:tplc="6CC8B96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231AC7"/>
    <w:multiLevelType w:val="hybridMultilevel"/>
    <w:tmpl w:val="B9B4E842"/>
    <w:lvl w:ilvl="0" w:tplc="EC007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F34"/>
    <w:multiLevelType w:val="multilevel"/>
    <w:tmpl w:val="ADB446C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20B3D"/>
    <w:multiLevelType w:val="hybridMultilevel"/>
    <w:tmpl w:val="C6B0081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AAB3819"/>
    <w:multiLevelType w:val="hybridMultilevel"/>
    <w:tmpl w:val="54D261EC"/>
    <w:lvl w:ilvl="0" w:tplc="2C52D038">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E2515"/>
    <w:multiLevelType w:val="hybridMultilevel"/>
    <w:tmpl w:val="332A4746"/>
    <w:lvl w:ilvl="0" w:tplc="D08AB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F0BB4"/>
    <w:multiLevelType w:val="hybridMultilevel"/>
    <w:tmpl w:val="B9B4E842"/>
    <w:lvl w:ilvl="0" w:tplc="EC007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0"/>
  </w:num>
  <w:num w:numId="10">
    <w:abstractNumId w:val="1"/>
  </w:num>
  <w:num w:numId="11">
    <w:abstractNumId w:val="7"/>
  </w:num>
  <w:num w:numId="12">
    <w:abstractNumId w:val="2"/>
  </w:num>
  <w:num w:numId="13">
    <w:abstractNumId w:val="3"/>
  </w:num>
  <w:num w:numId="14">
    <w:abstractNumId w:val="6"/>
  </w:num>
  <w:num w:numId="15">
    <w:abstractNumId w:val="1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
  <w:rsids>
    <w:rsidRoot w:val="0045025E"/>
    <w:rsid w:val="0000216D"/>
    <w:rsid w:val="00007FF8"/>
    <w:rsid w:val="000107AF"/>
    <w:rsid w:val="00020DC3"/>
    <w:rsid w:val="0003223B"/>
    <w:rsid w:val="000327B2"/>
    <w:rsid w:val="0004528B"/>
    <w:rsid w:val="000579C5"/>
    <w:rsid w:val="00064FBA"/>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72F69"/>
    <w:rsid w:val="00182D8E"/>
    <w:rsid w:val="00183454"/>
    <w:rsid w:val="001A0583"/>
    <w:rsid w:val="001B157C"/>
    <w:rsid w:val="001B4006"/>
    <w:rsid w:val="001B5C23"/>
    <w:rsid w:val="001C767B"/>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C7E9B"/>
    <w:rsid w:val="002D72EB"/>
    <w:rsid w:val="002E2327"/>
    <w:rsid w:val="002E3583"/>
    <w:rsid w:val="002E5576"/>
    <w:rsid w:val="002F3FE7"/>
    <w:rsid w:val="002F7FF6"/>
    <w:rsid w:val="00331B52"/>
    <w:rsid w:val="003332E2"/>
    <w:rsid w:val="003359D3"/>
    <w:rsid w:val="00355967"/>
    <w:rsid w:val="00365330"/>
    <w:rsid w:val="00382C47"/>
    <w:rsid w:val="00384384"/>
    <w:rsid w:val="003866AE"/>
    <w:rsid w:val="003A3F4E"/>
    <w:rsid w:val="003B3977"/>
    <w:rsid w:val="003E1D4C"/>
    <w:rsid w:val="003F1877"/>
    <w:rsid w:val="004137A0"/>
    <w:rsid w:val="004150AB"/>
    <w:rsid w:val="00422D9A"/>
    <w:rsid w:val="00432989"/>
    <w:rsid w:val="00440E24"/>
    <w:rsid w:val="0044776A"/>
    <w:rsid w:val="0045025E"/>
    <w:rsid w:val="004562FA"/>
    <w:rsid w:val="00460AFC"/>
    <w:rsid w:val="004619C2"/>
    <w:rsid w:val="0047471F"/>
    <w:rsid w:val="004B195E"/>
    <w:rsid w:val="004B66B4"/>
    <w:rsid w:val="004B7F60"/>
    <w:rsid w:val="004C1AAC"/>
    <w:rsid w:val="004C773C"/>
    <w:rsid w:val="004C78D5"/>
    <w:rsid w:val="004E1E0A"/>
    <w:rsid w:val="004F090E"/>
    <w:rsid w:val="00501F3C"/>
    <w:rsid w:val="0050506B"/>
    <w:rsid w:val="0052229C"/>
    <w:rsid w:val="00527CC7"/>
    <w:rsid w:val="00571CA4"/>
    <w:rsid w:val="00582136"/>
    <w:rsid w:val="005A476C"/>
    <w:rsid w:val="005C6840"/>
    <w:rsid w:val="005D5C53"/>
    <w:rsid w:val="005F1ED8"/>
    <w:rsid w:val="005F263E"/>
    <w:rsid w:val="00600252"/>
    <w:rsid w:val="0060471F"/>
    <w:rsid w:val="00612A40"/>
    <w:rsid w:val="00621341"/>
    <w:rsid w:val="0062714A"/>
    <w:rsid w:val="00663AF2"/>
    <w:rsid w:val="00666EB6"/>
    <w:rsid w:val="00675479"/>
    <w:rsid w:val="00680709"/>
    <w:rsid w:val="00681634"/>
    <w:rsid w:val="00681F61"/>
    <w:rsid w:val="00687A0D"/>
    <w:rsid w:val="00696BF9"/>
    <w:rsid w:val="00697C62"/>
    <w:rsid w:val="006A028C"/>
    <w:rsid w:val="006A211F"/>
    <w:rsid w:val="006A329B"/>
    <w:rsid w:val="006A7EB8"/>
    <w:rsid w:val="006B6926"/>
    <w:rsid w:val="006C3F47"/>
    <w:rsid w:val="006C5F7A"/>
    <w:rsid w:val="006E06AF"/>
    <w:rsid w:val="006E775A"/>
    <w:rsid w:val="006F350F"/>
    <w:rsid w:val="006F5AB3"/>
    <w:rsid w:val="00726A85"/>
    <w:rsid w:val="00732DB7"/>
    <w:rsid w:val="0074238B"/>
    <w:rsid w:val="00745EF7"/>
    <w:rsid w:val="00755F22"/>
    <w:rsid w:val="00766E4A"/>
    <w:rsid w:val="00772311"/>
    <w:rsid w:val="0077693C"/>
    <w:rsid w:val="007820CE"/>
    <w:rsid w:val="00782AE4"/>
    <w:rsid w:val="00784049"/>
    <w:rsid w:val="00784D8A"/>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90FEB"/>
    <w:rsid w:val="00895E7E"/>
    <w:rsid w:val="008A5C1A"/>
    <w:rsid w:val="008D292F"/>
    <w:rsid w:val="008E03DC"/>
    <w:rsid w:val="00902E51"/>
    <w:rsid w:val="00924065"/>
    <w:rsid w:val="00930D68"/>
    <w:rsid w:val="00932DB4"/>
    <w:rsid w:val="00936CA4"/>
    <w:rsid w:val="00941A4B"/>
    <w:rsid w:val="00946242"/>
    <w:rsid w:val="0095096B"/>
    <w:rsid w:val="009523B6"/>
    <w:rsid w:val="00970CD3"/>
    <w:rsid w:val="009723FA"/>
    <w:rsid w:val="00974698"/>
    <w:rsid w:val="009777B1"/>
    <w:rsid w:val="00984546"/>
    <w:rsid w:val="009864A9"/>
    <w:rsid w:val="0099249E"/>
    <w:rsid w:val="00996510"/>
    <w:rsid w:val="009B6EB0"/>
    <w:rsid w:val="009D00FF"/>
    <w:rsid w:val="009D1F15"/>
    <w:rsid w:val="009D555E"/>
    <w:rsid w:val="009F3024"/>
    <w:rsid w:val="009F39BA"/>
    <w:rsid w:val="009F498E"/>
    <w:rsid w:val="00A0355E"/>
    <w:rsid w:val="00A10522"/>
    <w:rsid w:val="00A375D1"/>
    <w:rsid w:val="00A514A6"/>
    <w:rsid w:val="00A51D10"/>
    <w:rsid w:val="00A52A83"/>
    <w:rsid w:val="00A6552C"/>
    <w:rsid w:val="00A87207"/>
    <w:rsid w:val="00A935AA"/>
    <w:rsid w:val="00A93CA5"/>
    <w:rsid w:val="00A956D3"/>
    <w:rsid w:val="00AB2201"/>
    <w:rsid w:val="00AD1D34"/>
    <w:rsid w:val="00AD3259"/>
    <w:rsid w:val="00AE3683"/>
    <w:rsid w:val="00AF1715"/>
    <w:rsid w:val="00AF3904"/>
    <w:rsid w:val="00B010C0"/>
    <w:rsid w:val="00B24B5B"/>
    <w:rsid w:val="00B44F5C"/>
    <w:rsid w:val="00B4740D"/>
    <w:rsid w:val="00B556A2"/>
    <w:rsid w:val="00B61629"/>
    <w:rsid w:val="00B7374B"/>
    <w:rsid w:val="00B87BED"/>
    <w:rsid w:val="00B90DC0"/>
    <w:rsid w:val="00BA116A"/>
    <w:rsid w:val="00BA5582"/>
    <w:rsid w:val="00BA6468"/>
    <w:rsid w:val="00BB1D44"/>
    <w:rsid w:val="00BC15AE"/>
    <w:rsid w:val="00BD06DA"/>
    <w:rsid w:val="00BD4217"/>
    <w:rsid w:val="00BF25F3"/>
    <w:rsid w:val="00C1697B"/>
    <w:rsid w:val="00C21644"/>
    <w:rsid w:val="00C21CB5"/>
    <w:rsid w:val="00C34FEA"/>
    <w:rsid w:val="00C46376"/>
    <w:rsid w:val="00C50A5C"/>
    <w:rsid w:val="00C50FDF"/>
    <w:rsid w:val="00C603FA"/>
    <w:rsid w:val="00C63381"/>
    <w:rsid w:val="00C73D06"/>
    <w:rsid w:val="00C73E1B"/>
    <w:rsid w:val="00C759B4"/>
    <w:rsid w:val="00C77713"/>
    <w:rsid w:val="00C82F24"/>
    <w:rsid w:val="00C85BB7"/>
    <w:rsid w:val="00CA2DEA"/>
    <w:rsid w:val="00CB3520"/>
    <w:rsid w:val="00CB43D5"/>
    <w:rsid w:val="00CC4D84"/>
    <w:rsid w:val="00CE198A"/>
    <w:rsid w:val="00CF08C8"/>
    <w:rsid w:val="00D004FC"/>
    <w:rsid w:val="00D145EC"/>
    <w:rsid w:val="00D64901"/>
    <w:rsid w:val="00D76BDF"/>
    <w:rsid w:val="00D818B6"/>
    <w:rsid w:val="00D862C1"/>
    <w:rsid w:val="00D93B50"/>
    <w:rsid w:val="00D94028"/>
    <w:rsid w:val="00D94670"/>
    <w:rsid w:val="00DA46F6"/>
    <w:rsid w:val="00DB1352"/>
    <w:rsid w:val="00DD0B49"/>
    <w:rsid w:val="00DD240F"/>
    <w:rsid w:val="00DE0502"/>
    <w:rsid w:val="00DE349D"/>
    <w:rsid w:val="00E04ACC"/>
    <w:rsid w:val="00E06DFA"/>
    <w:rsid w:val="00E115AA"/>
    <w:rsid w:val="00E17DB8"/>
    <w:rsid w:val="00E20109"/>
    <w:rsid w:val="00E20A0A"/>
    <w:rsid w:val="00E240C2"/>
    <w:rsid w:val="00E356C7"/>
    <w:rsid w:val="00E41A5A"/>
    <w:rsid w:val="00E45FE4"/>
    <w:rsid w:val="00E64FA7"/>
    <w:rsid w:val="00E724B4"/>
    <w:rsid w:val="00E770CB"/>
    <w:rsid w:val="00E86907"/>
    <w:rsid w:val="00E903A1"/>
    <w:rsid w:val="00E940EB"/>
    <w:rsid w:val="00E94B3C"/>
    <w:rsid w:val="00E97032"/>
    <w:rsid w:val="00E9703F"/>
    <w:rsid w:val="00EB2B90"/>
    <w:rsid w:val="00EC2414"/>
    <w:rsid w:val="00ED7E83"/>
    <w:rsid w:val="00EE091F"/>
    <w:rsid w:val="00EF35D8"/>
    <w:rsid w:val="00EF4B63"/>
    <w:rsid w:val="00F0068D"/>
    <w:rsid w:val="00F026EE"/>
    <w:rsid w:val="00F0576D"/>
    <w:rsid w:val="00F14E6D"/>
    <w:rsid w:val="00F15EA8"/>
    <w:rsid w:val="00F16C8D"/>
    <w:rsid w:val="00F26C61"/>
    <w:rsid w:val="00F33CCE"/>
    <w:rsid w:val="00F40249"/>
    <w:rsid w:val="00F47605"/>
    <w:rsid w:val="00F526C8"/>
    <w:rsid w:val="00F70079"/>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ubsection">
    <w:name w:val="subsection"/>
    <w:basedOn w:val="Normal"/>
    <w:rsid w:val="0077693C"/>
    <w:pPr>
      <w:spacing w:before="168" w:after="120"/>
      <w:ind w:firstLine="360"/>
    </w:pPr>
    <w:rPr>
      <w:rFonts w:eastAsia="Times New Roman" w:cs="Times New Roman"/>
      <w:szCs w:val="24"/>
      <w:lang w:eastAsia="en-CA"/>
    </w:rPr>
  </w:style>
  <w:style w:type="paragraph" w:customStyle="1" w:styleId="paragraph">
    <w:name w:val="paragraph"/>
    <w:basedOn w:val="Normal"/>
    <w:rsid w:val="0077693C"/>
    <w:pPr>
      <w:spacing w:before="168" w:after="120"/>
      <w:ind w:left="360"/>
    </w:pPr>
    <w:rPr>
      <w:rFonts w:eastAsia="Times New Roman" w:cs="Times New Roman"/>
      <w:szCs w:val="24"/>
      <w:lang w:eastAsia="en-CA"/>
    </w:rPr>
  </w:style>
  <w:style w:type="character" w:styleId="Emphasis">
    <w:name w:val="Emphasis"/>
    <w:basedOn w:val="DefaultParagraphFont"/>
    <w:uiPriority w:val="20"/>
    <w:qFormat/>
    <w:rsid w:val="0077693C"/>
    <w:rPr>
      <w:i/>
      <w:iCs/>
    </w:rPr>
  </w:style>
  <w:style w:type="table" w:customStyle="1" w:styleId="TableGrid2">
    <w:name w:val="Table Grid2"/>
    <w:basedOn w:val="TableNormal"/>
    <w:next w:val="TableGrid"/>
    <w:uiPriority w:val="59"/>
    <w:rsid w:val="0000216D"/>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plet">
    <w:name w:val="complet"/>
    <w:basedOn w:val="DefaultParagraphFont"/>
    <w:rsid w:val="009F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yperlink" Target="http://www.scc-csc.ca/case-dossier/info/sum-som-eng.aspx?cas=35807" TargetMode="Externa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header" Target="header27.xml"/><Relationship Id="rId7" Type="http://schemas.openxmlformats.org/officeDocument/2006/relationships/image" Target="media/image1.wmf"/><Relationship Id="rId71" Type="http://schemas.openxmlformats.org/officeDocument/2006/relationships/footer" Target="footer2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yperlink" Target="http://www.scc-csc.ca/case-dossier/info/sum-som-eng.aspx?cas=35862" TargetMode="External"/><Relationship Id="rId53" Type="http://schemas.openxmlformats.org/officeDocument/2006/relationships/header" Target="header20.xml"/><Relationship Id="rId58" Type="http://schemas.openxmlformats.org/officeDocument/2006/relationships/footer" Target="footer22.xml"/><Relationship Id="rId66"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7.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yperlink" Target="http://www.scc-csc.ca/case-dossier/info/sum-som-eng.aspx?cas=35813" TargetMode="External"/><Relationship Id="rId52" Type="http://schemas.openxmlformats.org/officeDocument/2006/relationships/footer" Target="footer19.xml"/><Relationship Id="rId60" Type="http://schemas.openxmlformats.org/officeDocument/2006/relationships/header" Target="header23.xml"/><Relationship Id="rId65" Type="http://schemas.openxmlformats.org/officeDocument/2006/relationships/footer" Target="footer2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yperlink" Target="http://www.scc-csc.ca/case-dossier/info/sum-som-eng.aspx?cas=35811" TargetMode="Externa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header" Target="header25.xml"/><Relationship Id="rId69" Type="http://schemas.openxmlformats.org/officeDocument/2006/relationships/footer" Target="footer27.xml"/><Relationship Id="rId8" Type="http://schemas.openxmlformats.org/officeDocument/2006/relationships/hyperlink" Target="http://www.scc-csc.ca" TargetMode="External"/><Relationship Id="rId51" Type="http://schemas.openxmlformats.org/officeDocument/2006/relationships/header" Target="header19.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yperlink" Target="http://www.scc-csc.ca/case-dossier/info/sum-som-eng.aspx?cas=35971" TargetMode="External"/><Relationship Id="rId59" Type="http://schemas.openxmlformats.org/officeDocument/2006/relationships/hyperlink" Target="http://www.scc-csc.ca/case-dossier/info/sum-som-eng.aspx?cas=35399" TargetMode="External"/><Relationship Id="rId67" Type="http://schemas.openxmlformats.org/officeDocument/2006/relationships/footer" Target="footer26.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1.xml"/><Relationship Id="rId62" Type="http://schemas.openxmlformats.org/officeDocument/2006/relationships/footer" Target="footer23.xml"/><Relationship Id="rId70"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14640</Words>
  <Characters>83454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2015-02-05T14:07:00Z</dcterms:created>
  <dcterms:modified xsi:type="dcterms:W3CDTF">2015-11-26T21:53:00Z</dcterms:modified>
</cp:coreProperties>
</file>