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5A363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5A363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A363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5A363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A3634" w:rsidTr="002E5576">
        <w:tc>
          <w:tcPr>
            <w:tcW w:w="4518" w:type="dxa"/>
          </w:tcPr>
          <w:p w:rsidR="00BF25F3" w:rsidRPr="002E2327" w:rsidRDefault="00286B88"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286B88"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A3634"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A3634"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5A3634">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5A3634">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F5442" w:rsidP="00F0068D">
      <w:pPr>
        <w:pBdr>
          <w:bottom w:val="single" w:sz="6" w:space="1" w:color="auto"/>
        </w:pBdr>
        <w:tabs>
          <w:tab w:val="center" w:pos="4680"/>
          <w:tab w:val="right" w:pos="9360"/>
        </w:tabs>
        <w:rPr>
          <w:lang w:val="fr-CA"/>
        </w:rPr>
      </w:pPr>
      <w:r>
        <w:rPr>
          <w:lang w:val="fr-CA"/>
        </w:rPr>
        <w:t>Febr</w:t>
      </w:r>
      <w:r w:rsidR="00C73D06">
        <w:rPr>
          <w:lang w:val="fr-CA"/>
        </w:rPr>
        <w:t>uary</w:t>
      </w:r>
      <w:r w:rsidR="00440E24" w:rsidRPr="00675479">
        <w:rPr>
          <w:lang w:val="fr-CA"/>
        </w:rPr>
        <w:t xml:space="preserve"> </w:t>
      </w:r>
      <w:r>
        <w:rPr>
          <w:lang w:val="fr-CA"/>
        </w:rPr>
        <w:t>20</w:t>
      </w:r>
      <w:r w:rsidR="00440E24" w:rsidRPr="00675479">
        <w:rPr>
          <w:lang w:val="fr-CA"/>
        </w:rPr>
        <w:t>, 201</w:t>
      </w:r>
      <w:r w:rsidR="00020DC3">
        <w:rPr>
          <w:lang w:val="fr-CA"/>
        </w:rPr>
        <w:t>5</w:t>
      </w:r>
      <w:r w:rsidR="00F0068D" w:rsidRPr="00675479">
        <w:rPr>
          <w:lang w:val="fr-CA"/>
        </w:rPr>
        <w:tab/>
      </w:r>
      <w:r w:rsidR="00004B55">
        <w:rPr>
          <w:lang w:val="fr-CA"/>
        </w:rPr>
        <w:t>3</w:t>
      </w:r>
      <w:r w:rsidR="00F0068D" w:rsidRPr="00675479">
        <w:rPr>
          <w:lang w:val="fr-CA"/>
        </w:rPr>
        <w:t>1</w:t>
      </w:r>
      <w:r w:rsidR="00004B55">
        <w:rPr>
          <w:lang w:val="fr-CA"/>
        </w:rPr>
        <w:t>6</w:t>
      </w:r>
      <w:r w:rsidR="00F0068D" w:rsidRPr="00675479">
        <w:rPr>
          <w:lang w:val="fr-CA"/>
        </w:rPr>
        <w:t xml:space="preserve"> - </w:t>
      </w:r>
      <w:r w:rsidR="00397539">
        <w:rPr>
          <w:lang w:val="fr-CA"/>
        </w:rPr>
        <w:t>35</w:t>
      </w:r>
      <w:r w:rsidR="008B79EB">
        <w:rPr>
          <w:lang w:val="fr-CA"/>
        </w:rPr>
        <w:t>3</w:t>
      </w:r>
      <w:r w:rsidR="00440E24" w:rsidRPr="00675479">
        <w:rPr>
          <w:lang w:val="fr-CA"/>
        </w:rPr>
        <w:tab/>
      </w:r>
      <w:r w:rsidR="00440E24" w:rsidRPr="002E2327">
        <w:rPr>
          <w:lang w:val="fr-CA"/>
        </w:rPr>
        <w:t>Le</w:t>
      </w:r>
      <w:r w:rsidR="00C73D06">
        <w:rPr>
          <w:lang w:val="fr-CA"/>
        </w:rPr>
        <w:t xml:space="preserve"> </w:t>
      </w:r>
      <w:r>
        <w:rPr>
          <w:lang w:val="fr-CA"/>
        </w:rPr>
        <w:t>20</w:t>
      </w:r>
      <w:r w:rsidR="00C73D06">
        <w:rPr>
          <w:lang w:val="fr-CA"/>
        </w:rPr>
        <w:t xml:space="preserve"> </w:t>
      </w:r>
      <w:r>
        <w:rPr>
          <w:lang w:val="fr-CA"/>
        </w:rPr>
        <w:t>fé</w:t>
      </w:r>
      <w:r w:rsidR="00440E24" w:rsidRPr="002E2327">
        <w:rPr>
          <w:lang w:val="fr-CA"/>
        </w:rPr>
        <w:t>v</w:t>
      </w:r>
      <w:r>
        <w:rPr>
          <w:lang w:val="fr-CA"/>
        </w:rPr>
        <w:t>r</w:t>
      </w:r>
      <w:r w:rsidR="00440E24" w:rsidRPr="002E2327">
        <w:rPr>
          <w:lang w:val="fr-CA"/>
        </w:rPr>
        <w:t>i</w:t>
      </w:r>
      <w:r w:rsidR="00C73D06">
        <w:rPr>
          <w:lang w:val="fr-CA"/>
        </w:rPr>
        <w:t>er</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04B55" w:rsidRDefault="00440E24" w:rsidP="00440E24">
      <w:pPr>
        <w:pBdr>
          <w:bottom w:val="single" w:sz="6" w:space="1" w:color="auto"/>
        </w:pBdr>
        <w:tabs>
          <w:tab w:val="right" w:pos="9360"/>
        </w:tabs>
        <w:rPr>
          <w:sz w:val="18"/>
          <w:szCs w:val="18"/>
          <w:lang w:val="fr-CA"/>
        </w:rPr>
      </w:pPr>
      <w:r w:rsidRPr="00004B55">
        <w:rPr>
          <w:sz w:val="18"/>
          <w:szCs w:val="18"/>
          <w:lang w:val="fr-CA"/>
        </w:rPr>
        <w:t>© Supreme Court of Canada (201</w:t>
      </w:r>
      <w:r w:rsidR="00020DC3" w:rsidRPr="00004B55">
        <w:rPr>
          <w:sz w:val="18"/>
          <w:szCs w:val="18"/>
          <w:lang w:val="fr-CA"/>
        </w:rPr>
        <w:t>5</w:t>
      </w:r>
      <w:r w:rsidRPr="00004B55">
        <w:rPr>
          <w:sz w:val="18"/>
          <w:szCs w:val="18"/>
          <w:lang w:val="fr-CA"/>
        </w:rPr>
        <w:t>)</w:t>
      </w:r>
      <w:r w:rsidRPr="00004B55">
        <w:rPr>
          <w:sz w:val="18"/>
          <w:szCs w:val="18"/>
          <w:lang w:val="fr-CA"/>
        </w:rPr>
        <w:tab/>
        <w:t>© Cour suprême du Canada (201</w:t>
      </w:r>
      <w:r w:rsidR="00020DC3" w:rsidRPr="00004B55">
        <w:rPr>
          <w:sz w:val="18"/>
          <w:szCs w:val="18"/>
          <w:lang w:val="fr-CA"/>
        </w:rPr>
        <w:t>5</w:t>
      </w:r>
      <w:r w:rsidRPr="00004B55">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5A3634"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A87207" w:rsidRPr="002E2327" w:rsidRDefault="00A87207" w:rsidP="004B72F8">
            <w:pPr>
              <w:tabs>
                <w:tab w:val="right" w:pos="9360"/>
              </w:tabs>
              <w:rPr>
                <w:rFonts w:cs="Times New Roman"/>
                <w:sz w:val="20"/>
                <w:szCs w:val="20"/>
              </w:rPr>
            </w:pPr>
          </w:p>
        </w:tc>
        <w:tc>
          <w:tcPr>
            <w:tcW w:w="1980" w:type="dxa"/>
          </w:tcPr>
          <w:p w:rsidR="0095096B" w:rsidRPr="002E2327" w:rsidRDefault="004F5442" w:rsidP="0095096B">
            <w:pPr>
              <w:jc w:val="center"/>
              <w:rPr>
                <w:rFonts w:cs="Times New Roman"/>
                <w:sz w:val="20"/>
                <w:szCs w:val="20"/>
              </w:rPr>
            </w:pPr>
            <w:r>
              <w:rPr>
                <w:rFonts w:cs="Times New Roman"/>
                <w:sz w:val="20"/>
                <w:szCs w:val="20"/>
              </w:rPr>
              <w:t xml:space="preserve">316 </w:t>
            </w:r>
            <w:r w:rsidR="00286B88" w:rsidRPr="002E2327">
              <w:rPr>
                <w:rFonts w:cs="Times New Roman"/>
                <w:sz w:val="20"/>
                <w:szCs w:val="20"/>
              </w:rPr>
              <w:fldChar w:fldCharType="begin"/>
            </w:r>
            <w:r w:rsidR="0095096B" w:rsidRPr="002E2327">
              <w:rPr>
                <w:rFonts w:cs="Times New Roman"/>
                <w:sz w:val="20"/>
                <w:szCs w:val="20"/>
              </w:rPr>
              <w:instrText xml:space="preserve"> SEQ CHAPTER \h \r 1</w:instrText>
            </w:r>
            <w:r w:rsidR="00286B88"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w:t>
            </w:r>
            <w:r w:rsidR="004B72F8">
              <w:rPr>
                <w:rFonts w:cs="Times New Roman"/>
                <w:sz w:val="20"/>
                <w:szCs w:val="20"/>
              </w:rPr>
              <w:t>318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B72F8" w:rsidP="0095096B">
            <w:pPr>
              <w:jc w:val="center"/>
              <w:rPr>
                <w:rFonts w:cs="Times New Roman"/>
                <w:sz w:val="20"/>
                <w:szCs w:val="20"/>
              </w:rPr>
            </w:pPr>
            <w:r>
              <w:rPr>
                <w:rFonts w:cs="Times New Roman"/>
                <w:sz w:val="20"/>
                <w:szCs w:val="20"/>
              </w:rPr>
              <w:t>319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B72F8" w:rsidP="0095096B">
            <w:pPr>
              <w:jc w:val="center"/>
              <w:rPr>
                <w:rFonts w:cs="Times New Roman"/>
                <w:sz w:val="20"/>
                <w:szCs w:val="20"/>
              </w:rPr>
            </w:pPr>
            <w:r>
              <w:rPr>
                <w:rFonts w:cs="Times New Roman"/>
                <w:sz w:val="20"/>
                <w:szCs w:val="20"/>
              </w:rPr>
              <w:t xml:space="preserve">320 </w:t>
            </w:r>
            <w:r w:rsidR="0095096B" w:rsidRPr="002E2327">
              <w:rPr>
                <w:rFonts w:cs="Times New Roman"/>
                <w:sz w:val="20"/>
                <w:szCs w:val="20"/>
              </w:rPr>
              <w:t>-</w:t>
            </w:r>
            <w:r w:rsidR="00861DE3">
              <w:rPr>
                <w:rFonts w:cs="Times New Roman"/>
                <w:sz w:val="20"/>
                <w:szCs w:val="20"/>
              </w:rPr>
              <w:t xml:space="preserve"> 336</w:t>
            </w:r>
          </w:p>
          <w:p w:rsidR="0095096B" w:rsidRDefault="0095096B" w:rsidP="0095096B">
            <w:pPr>
              <w:jc w:val="center"/>
              <w:rPr>
                <w:rFonts w:cs="Times New Roman"/>
                <w:sz w:val="20"/>
                <w:szCs w:val="20"/>
              </w:rPr>
            </w:pPr>
          </w:p>
          <w:p w:rsidR="004B72F8" w:rsidRPr="002E2327" w:rsidRDefault="004B72F8" w:rsidP="0095096B">
            <w:pPr>
              <w:jc w:val="center"/>
              <w:rPr>
                <w:rFonts w:cs="Times New Roman"/>
                <w:sz w:val="20"/>
                <w:szCs w:val="20"/>
              </w:rPr>
            </w:pPr>
          </w:p>
          <w:p w:rsidR="0095096B" w:rsidRPr="002E2327" w:rsidRDefault="00861DE3" w:rsidP="0095096B">
            <w:pPr>
              <w:jc w:val="center"/>
              <w:rPr>
                <w:rFonts w:cs="Times New Roman"/>
                <w:sz w:val="20"/>
                <w:szCs w:val="20"/>
              </w:rPr>
            </w:pPr>
            <w:r>
              <w:rPr>
                <w:rFonts w:cs="Times New Roman"/>
                <w:sz w:val="20"/>
                <w:szCs w:val="20"/>
              </w:rPr>
              <w:t xml:space="preserve">337 </w:t>
            </w:r>
            <w:r w:rsidR="0095096B" w:rsidRPr="002E2327">
              <w:rPr>
                <w:rFonts w:cs="Times New Roman"/>
                <w:sz w:val="20"/>
                <w:szCs w:val="20"/>
              </w:rPr>
              <w:t>-</w:t>
            </w:r>
            <w:r>
              <w:rPr>
                <w:rFonts w:cs="Times New Roman"/>
                <w:sz w:val="20"/>
                <w:szCs w:val="20"/>
              </w:rPr>
              <w:t xml:space="preserve"> </w:t>
            </w:r>
            <w:r w:rsidR="002F2423">
              <w:rPr>
                <w:rFonts w:cs="Times New Roman"/>
                <w:sz w:val="20"/>
                <w:szCs w:val="20"/>
              </w:rPr>
              <w:t>34</w:t>
            </w:r>
            <w:r w:rsidR="008B79EB">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2F2423" w:rsidP="0095096B">
            <w:pPr>
              <w:jc w:val="center"/>
              <w:rPr>
                <w:rFonts w:cs="Times New Roman"/>
                <w:sz w:val="20"/>
                <w:szCs w:val="20"/>
              </w:rPr>
            </w:pPr>
            <w:r>
              <w:rPr>
                <w:rFonts w:cs="Times New Roman"/>
                <w:sz w:val="20"/>
                <w:szCs w:val="20"/>
              </w:rPr>
              <w:t>34</w:t>
            </w:r>
            <w:r w:rsidR="008B79EB">
              <w:rPr>
                <w:rFonts w:cs="Times New Roman"/>
                <w:sz w:val="20"/>
                <w:szCs w:val="20"/>
              </w:rPr>
              <w:t>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F2423" w:rsidP="0095096B">
            <w:pPr>
              <w:jc w:val="center"/>
              <w:rPr>
                <w:rFonts w:cs="Times New Roman"/>
                <w:sz w:val="20"/>
                <w:szCs w:val="20"/>
              </w:rPr>
            </w:pPr>
            <w:r>
              <w:rPr>
                <w:rFonts w:cs="Times New Roman"/>
                <w:sz w:val="20"/>
                <w:szCs w:val="20"/>
              </w:rPr>
              <w:t>34</w:t>
            </w:r>
            <w:r w:rsidR="008B79EB">
              <w:rPr>
                <w:rFonts w:cs="Times New Roman"/>
                <w:sz w:val="20"/>
                <w:szCs w:val="20"/>
              </w:rPr>
              <w:t>8</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w:t>
            </w:r>
            <w:r w:rsidR="00397539">
              <w:rPr>
                <w:rFonts w:cs="Times New Roman"/>
                <w:sz w:val="20"/>
                <w:szCs w:val="20"/>
              </w:rPr>
              <w:t>35</w:t>
            </w:r>
            <w:r w:rsidR="008B79EB">
              <w:rPr>
                <w:rFonts w:cs="Times New Roman"/>
                <w:sz w:val="20"/>
                <w:szCs w:val="20"/>
              </w:rPr>
              <w:t>3</w:t>
            </w:r>
          </w:p>
          <w:p w:rsidR="0095096B" w:rsidRPr="002E2327" w:rsidRDefault="0095096B" w:rsidP="0095096B">
            <w:pPr>
              <w:jc w:val="center"/>
              <w:rPr>
                <w:rFonts w:cs="Times New Roman"/>
                <w:sz w:val="20"/>
                <w:szCs w:val="20"/>
              </w:rPr>
            </w:pPr>
          </w:p>
          <w:p w:rsidR="00A87207" w:rsidRPr="002E2327" w:rsidRDefault="00A87207" w:rsidP="004B72F8">
            <w:pPr>
              <w:jc w:val="center"/>
              <w:rPr>
                <w:rFonts w:cs="Times New Roman"/>
                <w:sz w:val="20"/>
                <w:szCs w:val="20"/>
              </w:rPr>
            </w:pPr>
          </w:p>
        </w:tc>
        <w:tc>
          <w:tcPr>
            <w:tcW w:w="3888" w:type="dxa"/>
          </w:tcPr>
          <w:p w:rsidR="0095096B" w:rsidRPr="002E2327" w:rsidRDefault="00286B88"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A87207" w:rsidRPr="002E2327" w:rsidRDefault="00A87207" w:rsidP="004B72F8">
            <w:pPr>
              <w:rPr>
                <w:rFonts w:cs="Times New Roman"/>
                <w:sz w:val="20"/>
                <w:szCs w:val="20"/>
                <w:lang w:val="fr-CA"/>
              </w:rPr>
            </w:pPr>
          </w:p>
        </w:tc>
      </w:tr>
    </w:tbl>
    <w:p w:rsidR="0095096B" w:rsidRDefault="0095096B" w:rsidP="0095096B">
      <w:pPr>
        <w:tabs>
          <w:tab w:val="right" w:pos="9360"/>
        </w:tabs>
        <w:rPr>
          <w:sz w:val="20"/>
          <w:szCs w:val="20"/>
          <w:lang w:val="fr-CA"/>
        </w:rPr>
      </w:pPr>
    </w:p>
    <w:p w:rsidR="004B72F8" w:rsidRDefault="004B72F8" w:rsidP="0095096B">
      <w:pPr>
        <w:tabs>
          <w:tab w:val="right" w:pos="9360"/>
        </w:tabs>
        <w:rPr>
          <w:sz w:val="20"/>
          <w:szCs w:val="20"/>
          <w:lang w:val="fr-CA"/>
        </w:rPr>
      </w:pPr>
    </w:p>
    <w:p w:rsidR="004B72F8" w:rsidRDefault="004B72F8" w:rsidP="0095096B">
      <w:pPr>
        <w:tabs>
          <w:tab w:val="right" w:pos="9360"/>
        </w:tabs>
        <w:rPr>
          <w:sz w:val="20"/>
          <w:szCs w:val="20"/>
          <w:lang w:val="fr-CA"/>
        </w:rPr>
      </w:pPr>
    </w:p>
    <w:p w:rsidR="004B72F8" w:rsidRDefault="004B72F8" w:rsidP="0095096B">
      <w:pPr>
        <w:tabs>
          <w:tab w:val="right" w:pos="9360"/>
        </w:tabs>
        <w:rPr>
          <w:sz w:val="20"/>
          <w:szCs w:val="20"/>
          <w:lang w:val="fr-CA"/>
        </w:rPr>
      </w:pPr>
    </w:p>
    <w:p w:rsidR="004B72F8" w:rsidRPr="004B72F8" w:rsidRDefault="004B72F8"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5A363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D84417" w:rsidRPr="00C21644" w:rsidTr="003B3977">
        <w:tc>
          <w:tcPr>
            <w:tcW w:w="4320" w:type="dxa"/>
            <w:shd w:val="clear" w:color="auto" w:fill="auto"/>
          </w:tcPr>
          <w:p w:rsidR="00D84417" w:rsidRPr="00A935AA" w:rsidRDefault="00D84417" w:rsidP="005F1ED8">
            <w:pPr>
              <w:rPr>
                <w:b/>
                <w:sz w:val="20"/>
                <w:szCs w:val="20"/>
              </w:rPr>
            </w:pPr>
            <w:r>
              <w:rPr>
                <w:b/>
                <w:sz w:val="20"/>
                <w:szCs w:val="20"/>
              </w:rPr>
              <w:t xml:space="preserve">Her Majesty the Queen </w:t>
            </w:r>
          </w:p>
          <w:p w:rsidR="00D84417" w:rsidRPr="00A935AA" w:rsidRDefault="00D84417" w:rsidP="005F1ED8">
            <w:pPr>
              <w:tabs>
                <w:tab w:val="left" w:pos="-1440"/>
                <w:tab w:val="left" w:pos="-720"/>
              </w:tabs>
              <w:rPr>
                <w:sz w:val="20"/>
                <w:szCs w:val="20"/>
              </w:rPr>
            </w:pPr>
            <w:r w:rsidRPr="00A935AA">
              <w:rPr>
                <w:sz w:val="20"/>
                <w:szCs w:val="20"/>
              </w:rPr>
              <w:tab/>
            </w:r>
            <w:r>
              <w:rPr>
                <w:sz w:val="20"/>
                <w:szCs w:val="20"/>
              </w:rPr>
              <w:t xml:space="preserve">Jennifer A. MacLellan </w:t>
            </w:r>
          </w:p>
          <w:p w:rsidR="00D84417" w:rsidRPr="00D84417" w:rsidRDefault="00D84417" w:rsidP="005F1ED8">
            <w:pPr>
              <w:tabs>
                <w:tab w:val="left" w:pos="-1440"/>
                <w:tab w:val="left" w:pos="-720"/>
              </w:tabs>
              <w:rPr>
                <w:sz w:val="20"/>
                <w:szCs w:val="20"/>
              </w:rPr>
            </w:pPr>
            <w:r w:rsidRPr="00A935AA">
              <w:rPr>
                <w:sz w:val="20"/>
                <w:szCs w:val="20"/>
              </w:rPr>
              <w:tab/>
            </w:r>
            <w:r>
              <w:rPr>
                <w:sz w:val="20"/>
                <w:szCs w:val="20"/>
              </w:rPr>
              <w:t>Public Pr</w:t>
            </w:r>
            <w:r w:rsidRPr="00D84417">
              <w:rPr>
                <w:sz w:val="20"/>
                <w:szCs w:val="20"/>
              </w:rPr>
              <w:t>os</w:t>
            </w:r>
            <w:r>
              <w:rPr>
                <w:sz w:val="20"/>
                <w:szCs w:val="20"/>
              </w:rPr>
              <w:t>ecuti</w:t>
            </w:r>
            <w:r w:rsidRPr="00D84417">
              <w:rPr>
                <w:sz w:val="20"/>
                <w:szCs w:val="20"/>
              </w:rPr>
              <w:t>on</w:t>
            </w:r>
            <w:r>
              <w:rPr>
                <w:sz w:val="20"/>
                <w:szCs w:val="20"/>
              </w:rPr>
              <w:t xml:space="preserve"> Service of Nova </w:t>
            </w:r>
            <w:r>
              <w:rPr>
                <w:sz w:val="20"/>
                <w:szCs w:val="20"/>
              </w:rPr>
              <w:tab/>
              <w:t>Scotia</w:t>
            </w:r>
          </w:p>
          <w:p w:rsidR="00D84417" w:rsidRPr="00D84417" w:rsidRDefault="00D84417" w:rsidP="005F1ED8">
            <w:pPr>
              <w:tabs>
                <w:tab w:val="left" w:pos="-1440"/>
                <w:tab w:val="left" w:pos="-720"/>
              </w:tabs>
              <w:rPr>
                <w:sz w:val="20"/>
                <w:szCs w:val="20"/>
              </w:rPr>
            </w:pPr>
          </w:p>
          <w:p w:rsidR="00D84417" w:rsidRPr="00D84417" w:rsidRDefault="00D84417" w:rsidP="005F1ED8">
            <w:pPr>
              <w:tabs>
                <w:tab w:val="left" w:pos="-1440"/>
                <w:tab w:val="left" w:pos="-720"/>
              </w:tabs>
              <w:rPr>
                <w:sz w:val="20"/>
                <w:szCs w:val="20"/>
              </w:rPr>
            </w:pPr>
            <w:r w:rsidRPr="00D84417">
              <w:rPr>
                <w:sz w:val="20"/>
                <w:szCs w:val="20"/>
              </w:rPr>
              <w:tab/>
              <w:t>v. (36</w:t>
            </w:r>
            <w:r w:rsidR="00D3002B">
              <w:rPr>
                <w:sz w:val="20"/>
                <w:szCs w:val="20"/>
              </w:rPr>
              <w:t>23</w:t>
            </w:r>
            <w:r w:rsidRPr="00D84417">
              <w:rPr>
                <w:sz w:val="20"/>
                <w:szCs w:val="20"/>
              </w:rPr>
              <w:t>8)</w:t>
            </w:r>
          </w:p>
          <w:p w:rsidR="00D84417" w:rsidRPr="00D84417" w:rsidRDefault="00D84417" w:rsidP="005F1ED8">
            <w:pPr>
              <w:tabs>
                <w:tab w:val="left" w:pos="-1440"/>
                <w:tab w:val="left" w:pos="-720"/>
              </w:tabs>
              <w:rPr>
                <w:sz w:val="20"/>
                <w:szCs w:val="20"/>
              </w:rPr>
            </w:pPr>
          </w:p>
          <w:p w:rsidR="00D84417" w:rsidRPr="00A935AA" w:rsidRDefault="00D84417" w:rsidP="005F1ED8">
            <w:pPr>
              <w:tabs>
                <w:tab w:val="left" w:pos="-1440"/>
                <w:tab w:val="left" w:pos="-720"/>
              </w:tabs>
              <w:rPr>
                <w:b/>
                <w:sz w:val="20"/>
                <w:szCs w:val="20"/>
              </w:rPr>
            </w:pPr>
            <w:r>
              <w:rPr>
                <w:b/>
                <w:sz w:val="20"/>
                <w:szCs w:val="20"/>
              </w:rPr>
              <w:t>Eri</w:t>
            </w:r>
            <w:r w:rsidRPr="00D84417">
              <w:rPr>
                <w:b/>
                <w:sz w:val="20"/>
                <w:szCs w:val="20"/>
              </w:rPr>
              <w:t>n</w:t>
            </w:r>
            <w:r>
              <w:rPr>
                <w:b/>
                <w:sz w:val="20"/>
                <w:szCs w:val="20"/>
              </w:rPr>
              <w:t xml:space="preserve"> Lee M</w:t>
            </w:r>
            <w:r w:rsidRPr="00D84417">
              <w:rPr>
                <w:b/>
                <w:sz w:val="20"/>
                <w:szCs w:val="20"/>
              </w:rPr>
              <w:t>ac</w:t>
            </w:r>
            <w:r>
              <w:rPr>
                <w:b/>
                <w:sz w:val="20"/>
                <w:szCs w:val="20"/>
              </w:rPr>
              <w:t>Don</w:t>
            </w:r>
            <w:r w:rsidRPr="00D84417">
              <w:rPr>
                <w:b/>
                <w:sz w:val="20"/>
                <w:szCs w:val="20"/>
              </w:rPr>
              <w:t>al</w:t>
            </w:r>
            <w:r>
              <w:rPr>
                <w:b/>
                <w:sz w:val="20"/>
                <w:szCs w:val="20"/>
              </w:rPr>
              <w:t>d</w:t>
            </w:r>
            <w:r w:rsidRPr="00D84417">
              <w:rPr>
                <w:sz w:val="20"/>
                <w:szCs w:val="20"/>
              </w:rPr>
              <w:t xml:space="preserve"> </w:t>
            </w:r>
            <w:r w:rsidRPr="00A935AA">
              <w:rPr>
                <w:b/>
                <w:sz w:val="20"/>
                <w:szCs w:val="20"/>
              </w:rPr>
              <w:t>(</w:t>
            </w:r>
            <w:r>
              <w:rPr>
                <w:b/>
                <w:sz w:val="20"/>
                <w:szCs w:val="20"/>
              </w:rPr>
              <w:t>N.S.</w:t>
            </w:r>
            <w:r w:rsidRPr="00A935AA">
              <w:rPr>
                <w:b/>
                <w:sz w:val="20"/>
                <w:szCs w:val="20"/>
              </w:rPr>
              <w:t>)</w:t>
            </w:r>
          </w:p>
          <w:p w:rsidR="00D84417" w:rsidRPr="00A935AA" w:rsidRDefault="00D84417" w:rsidP="005F1ED8">
            <w:pPr>
              <w:tabs>
                <w:tab w:val="left" w:pos="-1440"/>
                <w:tab w:val="left" w:pos="-720"/>
              </w:tabs>
              <w:rPr>
                <w:sz w:val="20"/>
                <w:szCs w:val="20"/>
              </w:rPr>
            </w:pPr>
            <w:r w:rsidRPr="00A935AA">
              <w:rPr>
                <w:sz w:val="20"/>
                <w:szCs w:val="20"/>
              </w:rPr>
              <w:tab/>
            </w:r>
            <w:r>
              <w:rPr>
                <w:sz w:val="20"/>
                <w:szCs w:val="20"/>
              </w:rPr>
              <w:t xml:space="preserve">Hersh Wolch, Q.C. </w:t>
            </w:r>
          </w:p>
          <w:p w:rsidR="00D84417" w:rsidRPr="00A935AA" w:rsidRDefault="00D84417" w:rsidP="005F1ED8">
            <w:pPr>
              <w:tabs>
                <w:tab w:val="left" w:pos="-1440"/>
                <w:tab w:val="left" w:pos="-720"/>
              </w:tabs>
              <w:rPr>
                <w:sz w:val="20"/>
                <w:szCs w:val="20"/>
              </w:rPr>
            </w:pPr>
            <w:r w:rsidRPr="00A935AA">
              <w:rPr>
                <w:sz w:val="20"/>
                <w:szCs w:val="20"/>
              </w:rPr>
              <w:tab/>
            </w:r>
            <w:r>
              <w:rPr>
                <w:sz w:val="20"/>
                <w:szCs w:val="20"/>
              </w:rPr>
              <w:t xml:space="preserve">Wolch, Hursh, deWit, Silverberg &amp; Watts </w:t>
            </w:r>
          </w:p>
          <w:p w:rsidR="00D84417" w:rsidRPr="00A935AA" w:rsidRDefault="00D84417" w:rsidP="005F1ED8">
            <w:pPr>
              <w:tabs>
                <w:tab w:val="left" w:pos="-1440"/>
                <w:tab w:val="left" w:pos="-720"/>
              </w:tabs>
              <w:rPr>
                <w:sz w:val="20"/>
                <w:szCs w:val="20"/>
              </w:rPr>
            </w:pPr>
          </w:p>
          <w:p w:rsidR="00D84417" w:rsidRPr="00A935AA" w:rsidRDefault="00D84417" w:rsidP="00D84417">
            <w:pPr>
              <w:rPr>
                <w:sz w:val="20"/>
                <w:szCs w:val="20"/>
              </w:rPr>
            </w:pPr>
            <w:r w:rsidRPr="00A935AA">
              <w:rPr>
                <w:sz w:val="20"/>
                <w:szCs w:val="20"/>
              </w:rPr>
              <w:t xml:space="preserve">FILING DATE: </w:t>
            </w:r>
            <w:r>
              <w:rPr>
                <w:sz w:val="20"/>
                <w:szCs w:val="20"/>
              </w:rPr>
              <w:t>31</w:t>
            </w:r>
            <w:r w:rsidRPr="00A935AA">
              <w:rPr>
                <w:sz w:val="20"/>
                <w:szCs w:val="20"/>
              </w:rPr>
              <w:t>.</w:t>
            </w:r>
            <w:r>
              <w:rPr>
                <w:sz w:val="20"/>
                <w:szCs w:val="20"/>
              </w:rPr>
              <w:t>12</w:t>
            </w:r>
            <w:r w:rsidRPr="00A935AA">
              <w:rPr>
                <w:sz w:val="20"/>
                <w:szCs w:val="20"/>
              </w:rPr>
              <w:t>.201</w:t>
            </w:r>
            <w:r>
              <w:rPr>
                <w:sz w:val="20"/>
                <w:szCs w:val="20"/>
              </w:rPr>
              <w:t>4</w:t>
            </w:r>
            <w:r w:rsidR="005A3634">
              <w:rPr>
                <w:sz w:val="20"/>
                <w:szCs w:val="20"/>
                <w:lang w:val="fr-CA"/>
              </w:rPr>
              <w:pict>
                <v:rect id="_x0000_i1025" style="width:108pt;height:1pt" o:hrpct="0" o:hralign="center" o:hrstd="t" o:hrnoshade="t" o:hr="t" fillcolor="black [3213]" stroked="f"/>
              </w:pict>
            </w:r>
          </w:p>
        </w:tc>
        <w:tc>
          <w:tcPr>
            <w:tcW w:w="1181" w:type="dxa"/>
            <w:shd w:val="clear" w:color="auto" w:fill="auto"/>
          </w:tcPr>
          <w:p w:rsidR="00D84417" w:rsidRPr="00A935AA" w:rsidRDefault="00D84417" w:rsidP="00242AEE">
            <w:pPr>
              <w:jc w:val="center"/>
              <w:rPr>
                <w:sz w:val="20"/>
                <w:szCs w:val="20"/>
              </w:rPr>
            </w:pPr>
          </w:p>
          <w:p w:rsidR="00D84417" w:rsidRPr="00A935AA" w:rsidRDefault="00D84417" w:rsidP="00242AEE">
            <w:pPr>
              <w:jc w:val="center"/>
              <w:rPr>
                <w:sz w:val="20"/>
                <w:szCs w:val="20"/>
              </w:rPr>
            </w:pPr>
          </w:p>
          <w:p w:rsidR="00D84417" w:rsidRPr="00A935AA" w:rsidRDefault="00D84417" w:rsidP="00242AEE">
            <w:pPr>
              <w:jc w:val="center"/>
              <w:rPr>
                <w:sz w:val="20"/>
                <w:szCs w:val="20"/>
              </w:rPr>
            </w:pPr>
          </w:p>
          <w:p w:rsidR="00D84417" w:rsidRPr="00A935AA" w:rsidRDefault="00D84417" w:rsidP="00242AEE">
            <w:pPr>
              <w:jc w:val="center"/>
              <w:rPr>
                <w:sz w:val="20"/>
                <w:szCs w:val="20"/>
              </w:rPr>
            </w:pPr>
          </w:p>
          <w:p w:rsidR="00D84417" w:rsidRPr="00A935AA" w:rsidRDefault="00D84417" w:rsidP="00242AEE">
            <w:pPr>
              <w:jc w:val="center"/>
              <w:rPr>
                <w:sz w:val="20"/>
                <w:szCs w:val="20"/>
              </w:rPr>
            </w:pPr>
          </w:p>
          <w:p w:rsidR="00D84417" w:rsidRPr="00A935AA" w:rsidRDefault="00D84417" w:rsidP="00242AEE">
            <w:pPr>
              <w:jc w:val="center"/>
              <w:rPr>
                <w:sz w:val="20"/>
                <w:szCs w:val="20"/>
              </w:rPr>
            </w:pPr>
          </w:p>
          <w:p w:rsidR="00D84417" w:rsidRPr="00A935AA" w:rsidRDefault="00D84417" w:rsidP="00242AEE">
            <w:pPr>
              <w:jc w:val="center"/>
              <w:rPr>
                <w:sz w:val="20"/>
                <w:szCs w:val="20"/>
              </w:rPr>
            </w:pPr>
          </w:p>
          <w:p w:rsidR="00D84417" w:rsidRPr="00A935AA" w:rsidRDefault="00D84417" w:rsidP="00242AEE">
            <w:pPr>
              <w:jc w:val="center"/>
              <w:rPr>
                <w:sz w:val="20"/>
                <w:szCs w:val="20"/>
              </w:rPr>
            </w:pPr>
          </w:p>
          <w:p w:rsidR="00D84417" w:rsidRPr="00A935AA" w:rsidRDefault="00D84417" w:rsidP="00242AEE">
            <w:pPr>
              <w:jc w:val="center"/>
              <w:rPr>
                <w:sz w:val="20"/>
                <w:szCs w:val="20"/>
              </w:rPr>
            </w:pPr>
          </w:p>
          <w:p w:rsidR="00D84417" w:rsidRPr="00A935AA" w:rsidRDefault="00D84417" w:rsidP="00242AEE">
            <w:pPr>
              <w:jc w:val="center"/>
              <w:rPr>
                <w:sz w:val="20"/>
                <w:szCs w:val="20"/>
              </w:rPr>
            </w:pPr>
          </w:p>
          <w:p w:rsidR="00D84417" w:rsidRPr="00A935AA" w:rsidRDefault="00D84417" w:rsidP="00242AEE">
            <w:pPr>
              <w:jc w:val="center"/>
              <w:rPr>
                <w:sz w:val="20"/>
                <w:szCs w:val="20"/>
              </w:rPr>
            </w:pPr>
          </w:p>
          <w:p w:rsidR="00D84417" w:rsidRPr="00A935AA" w:rsidRDefault="00D84417" w:rsidP="00242AEE">
            <w:pPr>
              <w:jc w:val="center"/>
              <w:rPr>
                <w:sz w:val="20"/>
                <w:szCs w:val="20"/>
              </w:rPr>
            </w:pPr>
          </w:p>
          <w:p w:rsidR="00D84417" w:rsidRPr="00A935AA" w:rsidRDefault="00D84417" w:rsidP="00242AEE">
            <w:pPr>
              <w:jc w:val="center"/>
              <w:rPr>
                <w:sz w:val="20"/>
                <w:szCs w:val="20"/>
              </w:rPr>
            </w:pPr>
          </w:p>
        </w:tc>
        <w:tc>
          <w:tcPr>
            <w:tcW w:w="4320" w:type="dxa"/>
            <w:shd w:val="clear" w:color="auto" w:fill="auto"/>
          </w:tcPr>
          <w:p w:rsidR="00D84417" w:rsidRPr="00A935AA" w:rsidRDefault="00D3002B" w:rsidP="00D84417">
            <w:pPr>
              <w:rPr>
                <w:b/>
                <w:sz w:val="20"/>
                <w:szCs w:val="20"/>
              </w:rPr>
            </w:pPr>
            <w:r>
              <w:rPr>
                <w:b/>
                <w:sz w:val="20"/>
                <w:szCs w:val="20"/>
              </w:rPr>
              <w:t>Jeffrey Verdon</w:t>
            </w:r>
          </w:p>
          <w:p w:rsidR="00D84417" w:rsidRPr="00A935AA" w:rsidRDefault="00D84417" w:rsidP="00D84417">
            <w:pPr>
              <w:tabs>
                <w:tab w:val="left" w:pos="-1440"/>
                <w:tab w:val="left" w:pos="-720"/>
              </w:tabs>
              <w:rPr>
                <w:sz w:val="20"/>
                <w:szCs w:val="20"/>
              </w:rPr>
            </w:pPr>
            <w:r w:rsidRPr="00A935AA">
              <w:rPr>
                <w:sz w:val="20"/>
                <w:szCs w:val="20"/>
              </w:rPr>
              <w:tab/>
            </w:r>
            <w:r w:rsidR="00D3002B">
              <w:rPr>
                <w:sz w:val="20"/>
                <w:szCs w:val="20"/>
              </w:rPr>
              <w:t>Diane Condo</w:t>
            </w:r>
          </w:p>
          <w:p w:rsidR="00D84417" w:rsidRPr="00A935AA" w:rsidRDefault="00D84417" w:rsidP="00D84417">
            <w:pPr>
              <w:tabs>
                <w:tab w:val="left" w:pos="-1440"/>
                <w:tab w:val="left" w:pos="-720"/>
              </w:tabs>
              <w:rPr>
                <w:sz w:val="20"/>
                <w:szCs w:val="20"/>
              </w:rPr>
            </w:pPr>
            <w:r w:rsidRPr="00A935AA">
              <w:rPr>
                <w:sz w:val="20"/>
                <w:szCs w:val="20"/>
              </w:rPr>
              <w:tab/>
            </w:r>
            <w:r w:rsidR="00D3002B">
              <w:rPr>
                <w:sz w:val="20"/>
                <w:szCs w:val="20"/>
              </w:rPr>
              <w:t>Diane Condo Law</w:t>
            </w:r>
          </w:p>
          <w:p w:rsidR="00D84417" w:rsidRPr="00A935AA" w:rsidRDefault="00D84417" w:rsidP="00D84417">
            <w:pPr>
              <w:tabs>
                <w:tab w:val="left" w:pos="-1440"/>
                <w:tab w:val="left" w:pos="-720"/>
              </w:tabs>
              <w:rPr>
                <w:sz w:val="20"/>
                <w:szCs w:val="20"/>
              </w:rPr>
            </w:pPr>
          </w:p>
          <w:p w:rsidR="00D84417" w:rsidRPr="00A935AA" w:rsidRDefault="00D84417" w:rsidP="00D84417">
            <w:pPr>
              <w:tabs>
                <w:tab w:val="left" w:pos="-1440"/>
                <w:tab w:val="left" w:pos="-720"/>
              </w:tabs>
              <w:rPr>
                <w:sz w:val="20"/>
                <w:szCs w:val="20"/>
              </w:rPr>
            </w:pPr>
            <w:r w:rsidRPr="00A935AA">
              <w:rPr>
                <w:sz w:val="20"/>
                <w:szCs w:val="20"/>
              </w:rPr>
              <w:tab/>
              <w:t>v. (3</w:t>
            </w:r>
            <w:r w:rsidR="00D3002B">
              <w:rPr>
                <w:sz w:val="20"/>
                <w:szCs w:val="20"/>
              </w:rPr>
              <w:t>6252</w:t>
            </w:r>
            <w:r w:rsidRPr="00A935AA">
              <w:rPr>
                <w:sz w:val="20"/>
                <w:szCs w:val="20"/>
              </w:rPr>
              <w:t>)</w:t>
            </w:r>
          </w:p>
          <w:p w:rsidR="00D84417" w:rsidRPr="00A935AA" w:rsidRDefault="00D84417" w:rsidP="00D84417">
            <w:pPr>
              <w:tabs>
                <w:tab w:val="left" w:pos="-1440"/>
                <w:tab w:val="left" w:pos="-720"/>
              </w:tabs>
              <w:rPr>
                <w:sz w:val="20"/>
                <w:szCs w:val="20"/>
              </w:rPr>
            </w:pPr>
          </w:p>
          <w:p w:rsidR="00D84417" w:rsidRPr="00A935AA" w:rsidRDefault="00D3002B" w:rsidP="00D84417">
            <w:pPr>
              <w:tabs>
                <w:tab w:val="left" w:pos="-1440"/>
                <w:tab w:val="left" w:pos="-720"/>
              </w:tabs>
              <w:rPr>
                <w:b/>
                <w:sz w:val="20"/>
                <w:szCs w:val="20"/>
              </w:rPr>
            </w:pPr>
            <w:r>
              <w:rPr>
                <w:b/>
                <w:sz w:val="20"/>
                <w:szCs w:val="20"/>
              </w:rPr>
              <w:t>Her Majesty the Queen</w:t>
            </w:r>
            <w:r w:rsidRPr="00A935AA">
              <w:rPr>
                <w:b/>
                <w:sz w:val="20"/>
                <w:szCs w:val="20"/>
              </w:rPr>
              <w:t xml:space="preserve"> </w:t>
            </w:r>
            <w:r w:rsidR="00D84417" w:rsidRPr="00A935AA">
              <w:rPr>
                <w:b/>
                <w:sz w:val="20"/>
                <w:szCs w:val="20"/>
              </w:rPr>
              <w:t>(</w:t>
            </w:r>
            <w:r w:rsidR="00D84417">
              <w:rPr>
                <w:b/>
                <w:sz w:val="20"/>
                <w:szCs w:val="20"/>
              </w:rPr>
              <w:t>Ont</w:t>
            </w:r>
            <w:r w:rsidR="00D84417" w:rsidRPr="00A935AA">
              <w:rPr>
                <w:b/>
                <w:sz w:val="20"/>
                <w:szCs w:val="20"/>
              </w:rPr>
              <w:t>.)</w:t>
            </w:r>
          </w:p>
          <w:p w:rsidR="00D84417" w:rsidRPr="00A935AA" w:rsidRDefault="00D84417" w:rsidP="00D84417">
            <w:pPr>
              <w:tabs>
                <w:tab w:val="left" w:pos="-1440"/>
                <w:tab w:val="left" w:pos="-720"/>
              </w:tabs>
              <w:rPr>
                <w:sz w:val="20"/>
                <w:szCs w:val="20"/>
              </w:rPr>
            </w:pPr>
            <w:r w:rsidRPr="00A935AA">
              <w:rPr>
                <w:sz w:val="20"/>
                <w:szCs w:val="20"/>
              </w:rPr>
              <w:tab/>
            </w:r>
            <w:r w:rsidR="00D3002B">
              <w:rPr>
                <w:sz w:val="20"/>
                <w:szCs w:val="20"/>
              </w:rPr>
              <w:t>Michelle Campbell</w:t>
            </w:r>
          </w:p>
          <w:p w:rsidR="00D84417" w:rsidRPr="00A935AA" w:rsidRDefault="00D84417" w:rsidP="00D84417">
            <w:pPr>
              <w:tabs>
                <w:tab w:val="left" w:pos="-1440"/>
                <w:tab w:val="left" w:pos="-720"/>
              </w:tabs>
              <w:rPr>
                <w:sz w:val="20"/>
                <w:szCs w:val="20"/>
              </w:rPr>
            </w:pPr>
            <w:r w:rsidRPr="00A935AA">
              <w:rPr>
                <w:sz w:val="20"/>
                <w:szCs w:val="20"/>
              </w:rPr>
              <w:tab/>
            </w:r>
            <w:r w:rsidR="00D3002B">
              <w:rPr>
                <w:sz w:val="20"/>
                <w:szCs w:val="20"/>
              </w:rPr>
              <w:t>A.G. of Ontario</w:t>
            </w:r>
          </w:p>
          <w:p w:rsidR="00D84417" w:rsidRPr="00A935AA" w:rsidRDefault="00D84417" w:rsidP="00D84417">
            <w:pPr>
              <w:tabs>
                <w:tab w:val="left" w:pos="-1440"/>
                <w:tab w:val="left" w:pos="-720"/>
              </w:tabs>
              <w:rPr>
                <w:sz w:val="20"/>
                <w:szCs w:val="20"/>
              </w:rPr>
            </w:pPr>
          </w:p>
          <w:p w:rsidR="00D84417" w:rsidRPr="00A935AA" w:rsidRDefault="00D84417" w:rsidP="00D3002B">
            <w:pPr>
              <w:rPr>
                <w:sz w:val="20"/>
                <w:szCs w:val="20"/>
              </w:rPr>
            </w:pPr>
            <w:r w:rsidRPr="00A935AA">
              <w:rPr>
                <w:sz w:val="20"/>
                <w:szCs w:val="20"/>
              </w:rPr>
              <w:t xml:space="preserve">FILING DATE: </w:t>
            </w:r>
            <w:r w:rsidR="00D3002B">
              <w:rPr>
                <w:sz w:val="20"/>
                <w:szCs w:val="20"/>
              </w:rPr>
              <w:t>1</w:t>
            </w:r>
            <w:r w:rsidRPr="00A935AA">
              <w:rPr>
                <w:sz w:val="20"/>
                <w:szCs w:val="20"/>
              </w:rPr>
              <w:t>2.0</w:t>
            </w:r>
            <w:r w:rsidR="00D3002B">
              <w:rPr>
                <w:sz w:val="20"/>
                <w:szCs w:val="20"/>
              </w:rPr>
              <w:t>1</w:t>
            </w:r>
            <w:r w:rsidRPr="00A935AA">
              <w:rPr>
                <w:sz w:val="20"/>
                <w:szCs w:val="20"/>
              </w:rPr>
              <w:t>.201</w:t>
            </w:r>
            <w:r w:rsidR="00D3002B">
              <w:rPr>
                <w:sz w:val="20"/>
                <w:szCs w:val="20"/>
              </w:rPr>
              <w:t>5</w:t>
            </w:r>
            <w:r w:rsidR="005A3634">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6E2210" w:rsidRDefault="00C21644" w:rsidP="003B3977">
            <w:pPr>
              <w:rPr>
                <w:b/>
                <w:sz w:val="20"/>
                <w:szCs w:val="20"/>
                <w:lang w:val="fr-CA"/>
              </w:rPr>
            </w:pPr>
          </w:p>
          <w:p w:rsidR="00D3002B" w:rsidRPr="006E2210" w:rsidRDefault="00D3002B" w:rsidP="003B3977">
            <w:pPr>
              <w:rPr>
                <w:b/>
                <w:sz w:val="20"/>
                <w:szCs w:val="20"/>
                <w:lang w:val="fr-CA"/>
              </w:rPr>
            </w:pPr>
            <w:r w:rsidRPr="006E2210">
              <w:rPr>
                <w:b/>
                <w:sz w:val="20"/>
                <w:szCs w:val="20"/>
                <w:lang w:val="fr-CA"/>
              </w:rPr>
              <w:t>Yu CaiHua</w:t>
            </w:r>
          </w:p>
          <w:p w:rsidR="00C21644" w:rsidRPr="006E2210" w:rsidRDefault="00C21644" w:rsidP="003B3977">
            <w:pPr>
              <w:tabs>
                <w:tab w:val="left" w:pos="-1440"/>
                <w:tab w:val="left" w:pos="-720"/>
              </w:tabs>
              <w:rPr>
                <w:sz w:val="20"/>
                <w:szCs w:val="20"/>
                <w:lang w:val="fr-CA"/>
              </w:rPr>
            </w:pPr>
            <w:r w:rsidRPr="006E2210">
              <w:rPr>
                <w:sz w:val="20"/>
                <w:szCs w:val="20"/>
                <w:lang w:val="fr-CA"/>
              </w:rPr>
              <w:tab/>
            </w:r>
            <w:r w:rsidR="00D3002B" w:rsidRPr="006E2210">
              <w:rPr>
                <w:sz w:val="20"/>
                <w:szCs w:val="20"/>
                <w:lang w:val="fr-CA"/>
              </w:rPr>
              <w:t>Yu Cai</w:t>
            </w:r>
            <w:r w:rsidR="00A3387E" w:rsidRPr="006E2210">
              <w:rPr>
                <w:sz w:val="20"/>
                <w:szCs w:val="20"/>
                <w:lang w:val="fr-CA"/>
              </w:rPr>
              <w:t>H</w:t>
            </w:r>
            <w:r w:rsidR="00D3002B" w:rsidRPr="006E2210">
              <w:rPr>
                <w:sz w:val="20"/>
                <w:szCs w:val="20"/>
                <w:lang w:val="fr-CA"/>
              </w:rPr>
              <w:t>ua</w:t>
            </w:r>
          </w:p>
          <w:p w:rsidR="00C21644" w:rsidRPr="006E2210" w:rsidRDefault="00C21644" w:rsidP="003B3977">
            <w:pPr>
              <w:tabs>
                <w:tab w:val="left" w:pos="-1440"/>
                <w:tab w:val="left" w:pos="-720"/>
              </w:tabs>
              <w:rPr>
                <w:sz w:val="20"/>
                <w:szCs w:val="20"/>
                <w:lang w:val="fr-CA"/>
              </w:rPr>
            </w:pPr>
          </w:p>
          <w:p w:rsidR="00C21644" w:rsidRPr="006E2210" w:rsidRDefault="00C21644" w:rsidP="003B3977">
            <w:pPr>
              <w:tabs>
                <w:tab w:val="left" w:pos="-1440"/>
                <w:tab w:val="left" w:pos="-720"/>
              </w:tabs>
              <w:rPr>
                <w:sz w:val="20"/>
                <w:szCs w:val="20"/>
                <w:lang w:val="fr-CA"/>
              </w:rPr>
            </w:pPr>
            <w:r w:rsidRPr="006E2210">
              <w:rPr>
                <w:sz w:val="20"/>
                <w:szCs w:val="20"/>
                <w:lang w:val="fr-CA"/>
              </w:rPr>
              <w:tab/>
              <w:t>v. (3</w:t>
            </w:r>
            <w:r w:rsidR="00D3002B" w:rsidRPr="006E2210">
              <w:rPr>
                <w:sz w:val="20"/>
                <w:szCs w:val="20"/>
                <w:lang w:val="fr-CA"/>
              </w:rPr>
              <w:t>6213</w:t>
            </w:r>
            <w:r w:rsidRPr="006E2210">
              <w:rPr>
                <w:sz w:val="20"/>
                <w:szCs w:val="20"/>
                <w:lang w:val="fr-CA"/>
              </w:rPr>
              <w:t>)</w:t>
            </w:r>
          </w:p>
          <w:p w:rsidR="00C21644" w:rsidRPr="006E2210" w:rsidRDefault="00C21644" w:rsidP="003B3977">
            <w:pPr>
              <w:tabs>
                <w:tab w:val="left" w:pos="-1440"/>
                <w:tab w:val="left" w:pos="-720"/>
              </w:tabs>
              <w:rPr>
                <w:sz w:val="20"/>
                <w:szCs w:val="20"/>
                <w:lang w:val="fr-CA"/>
              </w:rPr>
            </w:pPr>
          </w:p>
          <w:p w:rsidR="00C21644" w:rsidRPr="00A935AA" w:rsidRDefault="00D3002B" w:rsidP="003B3977">
            <w:pPr>
              <w:tabs>
                <w:tab w:val="left" w:pos="-1440"/>
                <w:tab w:val="left" w:pos="-720"/>
              </w:tabs>
              <w:rPr>
                <w:b/>
                <w:sz w:val="20"/>
                <w:szCs w:val="20"/>
              </w:rPr>
            </w:pPr>
            <w:r>
              <w:rPr>
                <w:b/>
                <w:sz w:val="20"/>
                <w:szCs w:val="20"/>
              </w:rPr>
              <w:t xml:space="preserve">Minister of Citizenship and Immigration </w:t>
            </w:r>
            <w:r w:rsidR="00C21644" w:rsidRPr="00A935AA">
              <w:rPr>
                <w:b/>
                <w:sz w:val="20"/>
                <w:szCs w:val="20"/>
              </w:rPr>
              <w:t>(</w:t>
            </w:r>
            <w:r>
              <w:rPr>
                <w:b/>
                <w:sz w:val="20"/>
                <w:szCs w:val="20"/>
              </w:rPr>
              <w:t>F</w:t>
            </w:r>
            <w:r w:rsidR="00C21644" w:rsidRPr="00A935AA">
              <w:rPr>
                <w:b/>
                <w:sz w:val="20"/>
                <w:szCs w:val="20"/>
              </w:rPr>
              <w:t>.</w:t>
            </w:r>
            <w:r>
              <w:rPr>
                <w:b/>
                <w:sz w:val="20"/>
                <w:szCs w:val="20"/>
              </w:rPr>
              <w:t>C.)</w:t>
            </w:r>
          </w:p>
          <w:p w:rsidR="00C21644" w:rsidRPr="00A935AA" w:rsidRDefault="00C21644" w:rsidP="003B3977">
            <w:pPr>
              <w:tabs>
                <w:tab w:val="left" w:pos="-1440"/>
                <w:tab w:val="left" w:pos="-720"/>
              </w:tabs>
              <w:rPr>
                <w:sz w:val="20"/>
                <w:szCs w:val="20"/>
              </w:rPr>
            </w:pPr>
            <w:r w:rsidRPr="00A935AA">
              <w:rPr>
                <w:sz w:val="20"/>
                <w:szCs w:val="20"/>
              </w:rPr>
              <w:tab/>
            </w:r>
            <w:r w:rsidR="00D3002B">
              <w:rPr>
                <w:sz w:val="20"/>
                <w:szCs w:val="20"/>
              </w:rPr>
              <w:t xml:space="preserve">Martin Anderson </w:t>
            </w:r>
          </w:p>
          <w:p w:rsidR="00C21644" w:rsidRPr="00A935AA" w:rsidRDefault="00C21644" w:rsidP="003B3977">
            <w:pPr>
              <w:tabs>
                <w:tab w:val="left" w:pos="-1440"/>
                <w:tab w:val="left" w:pos="-720"/>
              </w:tabs>
              <w:rPr>
                <w:sz w:val="20"/>
                <w:szCs w:val="20"/>
              </w:rPr>
            </w:pPr>
            <w:r w:rsidRPr="00A935AA">
              <w:rPr>
                <w:sz w:val="20"/>
                <w:szCs w:val="20"/>
              </w:rPr>
              <w:tab/>
            </w:r>
            <w:r w:rsidR="00D3002B">
              <w:rPr>
                <w:sz w:val="20"/>
                <w:szCs w:val="20"/>
              </w:rPr>
              <w:t>A.G. of Canada</w:t>
            </w:r>
          </w:p>
          <w:p w:rsidR="00C21644" w:rsidRPr="00A935AA" w:rsidRDefault="00C21644" w:rsidP="003B3977">
            <w:pPr>
              <w:tabs>
                <w:tab w:val="left" w:pos="-1440"/>
                <w:tab w:val="left" w:pos="-720"/>
              </w:tabs>
              <w:rPr>
                <w:sz w:val="20"/>
                <w:szCs w:val="20"/>
              </w:rPr>
            </w:pPr>
          </w:p>
          <w:p w:rsidR="00C21644" w:rsidRPr="00A935AA" w:rsidRDefault="00C21644" w:rsidP="00D3002B">
            <w:pPr>
              <w:rPr>
                <w:sz w:val="20"/>
                <w:szCs w:val="20"/>
              </w:rPr>
            </w:pPr>
            <w:r w:rsidRPr="00A935AA">
              <w:rPr>
                <w:sz w:val="20"/>
                <w:szCs w:val="20"/>
              </w:rPr>
              <w:t xml:space="preserve">FILING DATE: </w:t>
            </w:r>
            <w:r w:rsidR="00D3002B">
              <w:rPr>
                <w:sz w:val="20"/>
                <w:szCs w:val="20"/>
              </w:rPr>
              <w:t>07</w:t>
            </w:r>
            <w:r w:rsidRPr="00A935AA">
              <w:rPr>
                <w:sz w:val="20"/>
                <w:szCs w:val="20"/>
              </w:rPr>
              <w:t>.0</w:t>
            </w:r>
            <w:r w:rsidR="00D3002B">
              <w:rPr>
                <w:sz w:val="20"/>
                <w:szCs w:val="20"/>
              </w:rPr>
              <w:t>1</w:t>
            </w:r>
            <w:r w:rsidRPr="00A935AA">
              <w:rPr>
                <w:sz w:val="20"/>
                <w:szCs w:val="20"/>
              </w:rPr>
              <w:t>.201</w:t>
            </w:r>
            <w:r w:rsidR="00D3002B">
              <w:rPr>
                <w:sz w:val="20"/>
                <w:szCs w:val="20"/>
              </w:rPr>
              <w:t>5</w:t>
            </w:r>
            <w:r w:rsidR="005A3634">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D84417" w:rsidRDefault="00D3002B" w:rsidP="003B3977">
            <w:pPr>
              <w:keepNext/>
              <w:keepLines/>
              <w:tabs>
                <w:tab w:val="left" w:pos="-1440"/>
                <w:tab w:val="left" w:pos="-720"/>
              </w:tabs>
              <w:rPr>
                <w:b/>
                <w:sz w:val="20"/>
                <w:szCs w:val="20"/>
              </w:rPr>
            </w:pPr>
            <w:r>
              <w:rPr>
                <w:b/>
                <w:sz w:val="20"/>
                <w:szCs w:val="20"/>
              </w:rPr>
              <w:t>Attorney General of Canada</w:t>
            </w:r>
          </w:p>
          <w:p w:rsidR="00C21644" w:rsidRPr="00D84417" w:rsidRDefault="00C21644" w:rsidP="003B3977">
            <w:pPr>
              <w:keepNext/>
              <w:keepLines/>
              <w:tabs>
                <w:tab w:val="left" w:pos="-1440"/>
                <w:tab w:val="left" w:pos="-720"/>
              </w:tabs>
              <w:rPr>
                <w:sz w:val="20"/>
                <w:szCs w:val="20"/>
              </w:rPr>
            </w:pPr>
            <w:r w:rsidRPr="00D84417">
              <w:rPr>
                <w:sz w:val="20"/>
                <w:szCs w:val="20"/>
              </w:rPr>
              <w:tab/>
            </w:r>
            <w:r w:rsidR="00D3002B">
              <w:rPr>
                <w:sz w:val="20"/>
                <w:szCs w:val="20"/>
              </w:rPr>
              <w:t>Luc Vaillancourt</w:t>
            </w:r>
          </w:p>
          <w:p w:rsidR="00C21644" w:rsidRPr="00A935AA" w:rsidRDefault="00C21644" w:rsidP="003B3977">
            <w:pPr>
              <w:keepNext/>
              <w:keepLines/>
              <w:tabs>
                <w:tab w:val="left" w:pos="-1440"/>
                <w:tab w:val="left" w:pos="-720"/>
              </w:tabs>
              <w:rPr>
                <w:sz w:val="20"/>
                <w:szCs w:val="20"/>
              </w:rPr>
            </w:pPr>
            <w:r w:rsidRPr="00D84417">
              <w:rPr>
                <w:sz w:val="20"/>
                <w:szCs w:val="20"/>
              </w:rPr>
              <w:tab/>
            </w:r>
            <w:r w:rsidR="00D3002B">
              <w:rPr>
                <w:sz w:val="20"/>
                <w:szCs w:val="20"/>
              </w:rPr>
              <w:t>Department of Justice</w:t>
            </w:r>
          </w:p>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D3002B">
              <w:rPr>
                <w:sz w:val="20"/>
                <w:szCs w:val="20"/>
              </w:rPr>
              <w:t>62</w:t>
            </w:r>
            <w:r>
              <w:rPr>
                <w:sz w:val="20"/>
                <w:szCs w:val="20"/>
              </w:rPr>
              <w:t>5</w:t>
            </w:r>
            <w:r w:rsidR="00D3002B">
              <w:rPr>
                <w:sz w:val="20"/>
                <w:szCs w:val="20"/>
              </w:rPr>
              <w:t>8</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D3002B" w:rsidP="003B3977">
            <w:pPr>
              <w:keepNext/>
              <w:keepLines/>
              <w:tabs>
                <w:tab w:val="left" w:pos="-1440"/>
                <w:tab w:val="left" w:pos="-720"/>
              </w:tabs>
              <w:rPr>
                <w:b/>
                <w:sz w:val="20"/>
                <w:szCs w:val="20"/>
              </w:rPr>
            </w:pPr>
            <w:r>
              <w:rPr>
                <w:b/>
                <w:sz w:val="20"/>
                <w:szCs w:val="20"/>
              </w:rPr>
              <w:t xml:space="preserve">Igloo Vikski Inc. </w:t>
            </w:r>
            <w:r w:rsidR="00C21644" w:rsidRPr="00A935AA">
              <w:rPr>
                <w:b/>
                <w:sz w:val="20"/>
                <w:szCs w:val="20"/>
              </w:rPr>
              <w:t>(</w:t>
            </w:r>
            <w:r>
              <w:rPr>
                <w:b/>
                <w:sz w:val="20"/>
                <w:szCs w:val="20"/>
              </w:rPr>
              <w:t>F</w:t>
            </w:r>
            <w:r w:rsidR="00C21644">
              <w:rPr>
                <w:b/>
                <w:sz w:val="20"/>
                <w:szCs w:val="20"/>
              </w:rPr>
              <w:t>.C</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D3002B">
              <w:rPr>
                <w:sz w:val="20"/>
                <w:szCs w:val="20"/>
              </w:rPr>
              <w:t>Michael Kaylor</w:t>
            </w:r>
          </w:p>
          <w:p w:rsidR="00C21644" w:rsidRPr="00A935AA" w:rsidRDefault="00C21644" w:rsidP="003B3977">
            <w:pPr>
              <w:keepNext/>
              <w:keepLines/>
              <w:tabs>
                <w:tab w:val="left" w:pos="-1440"/>
                <w:tab w:val="left" w:pos="-720"/>
              </w:tabs>
              <w:rPr>
                <w:sz w:val="20"/>
                <w:szCs w:val="20"/>
              </w:rPr>
            </w:pPr>
            <w:r w:rsidRPr="00A935AA">
              <w:rPr>
                <w:sz w:val="20"/>
                <w:szCs w:val="20"/>
              </w:rPr>
              <w:tab/>
            </w:r>
            <w:r w:rsidR="00D3002B">
              <w:rPr>
                <w:sz w:val="20"/>
                <w:szCs w:val="20"/>
              </w:rPr>
              <w:t>Lapointe Rosenstein Marchand Melançon</w:t>
            </w:r>
          </w:p>
          <w:p w:rsidR="00C21644" w:rsidRPr="00A935AA" w:rsidRDefault="00C21644" w:rsidP="003B3977">
            <w:pPr>
              <w:keepNext/>
              <w:keepLines/>
              <w:tabs>
                <w:tab w:val="left" w:pos="-1440"/>
                <w:tab w:val="left" w:pos="-720"/>
              </w:tabs>
              <w:rPr>
                <w:sz w:val="20"/>
                <w:szCs w:val="20"/>
              </w:rPr>
            </w:pPr>
          </w:p>
          <w:p w:rsidR="00C21644" w:rsidRPr="00A935AA" w:rsidRDefault="00C21644" w:rsidP="00D3002B">
            <w:pPr>
              <w:rPr>
                <w:sz w:val="20"/>
                <w:szCs w:val="20"/>
              </w:rPr>
            </w:pPr>
            <w:r w:rsidRPr="00A935AA">
              <w:rPr>
                <w:sz w:val="20"/>
                <w:szCs w:val="20"/>
              </w:rPr>
              <w:t xml:space="preserve">FILING DATE: </w:t>
            </w:r>
            <w:r w:rsidR="00D3002B">
              <w:rPr>
                <w:sz w:val="20"/>
                <w:szCs w:val="20"/>
              </w:rPr>
              <w:t>15</w:t>
            </w:r>
            <w:r w:rsidRPr="00A935AA">
              <w:rPr>
                <w:sz w:val="20"/>
                <w:szCs w:val="20"/>
              </w:rPr>
              <w:t>.0</w:t>
            </w:r>
            <w:r w:rsidR="00D3002B">
              <w:rPr>
                <w:sz w:val="20"/>
                <w:szCs w:val="20"/>
              </w:rPr>
              <w:t>1</w:t>
            </w:r>
            <w:r w:rsidRPr="00A935AA">
              <w:rPr>
                <w:sz w:val="20"/>
                <w:szCs w:val="20"/>
              </w:rPr>
              <w:t>.201</w:t>
            </w:r>
            <w:r w:rsidR="00D3002B">
              <w:rPr>
                <w:sz w:val="20"/>
                <w:szCs w:val="20"/>
              </w:rPr>
              <w:t>5</w:t>
            </w:r>
            <w:r w:rsidR="005A3634">
              <w:rPr>
                <w:sz w:val="20"/>
                <w:szCs w:val="20"/>
                <w:lang w:val="fr-CA"/>
              </w:rPr>
              <w:pict>
                <v:rect id="_x0000_i1028" style="width:108pt;height:1pt" o:hrpct="0" o:hralign="center" o:hrstd="t" o:hrnoshade="t" o:hr="t" fillcolor="black [3213]" stroked="f"/>
              </w:pict>
            </w:r>
          </w:p>
        </w:tc>
      </w:tr>
      <w:tr w:rsidR="00EC278E" w:rsidRPr="00A935AA" w:rsidTr="003B3977">
        <w:tc>
          <w:tcPr>
            <w:tcW w:w="4320" w:type="dxa"/>
            <w:shd w:val="clear" w:color="auto" w:fill="auto"/>
          </w:tcPr>
          <w:p w:rsidR="00EC278E" w:rsidRPr="00A3387E" w:rsidRDefault="00EC278E" w:rsidP="00EC278E">
            <w:pPr>
              <w:rPr>
                <w:b/>
                <w:sz w:val="20"/>
                <w:szCs w:val="20"/>
                <w:lang w:val="fr-CA"/>
              </w:rPr>
            </w:pPr>
            <w:r w:rsidRPr="00A3387E">
              <w:rPr>
                <w:b/>
                <w:sz w:val="20"/>
                <w:szCs w:val="20"/>
                <w:lang w:val="fr-CA"/>
              </w:rPr>
              <w:t>E.G. et al.</w:t>
            </w:r>
          </w:p>
          <w:p w:rsidR="00EC278E" w:rsidRPr="00A3387E" w:rsidRDefault="00EC278E" w:rsidP="00EC278E">
            <w:pPr>
              <w:tabs>
                <w:tab w:val="left" w:pos="-1440"/>
                <w:tab w:val="left" w:pos="-720"/>
              </w:tabs>
              <w:rPr>
                <w:sz w:val="20"/>
                <w:szCs w:val="20"/>
                <w:lang w:val="fr-CA"/>
              </w:rPr>
            </w:pPr>
            <w:r w:rsidRPr="00A3387E">
              <w:rPr>
                <w:sz w:val="20"/>
                <w:szCs w:val="20"/>
                <w:lang w:val="fr-CA"/>
              </w:rPr>
              <w:tab/>
              <w:t>Diann P. Castle</w:t>
            </w:r>
          </w:p>
          <w:p w:rsidR="00EC278E" w:rsidRPr="00A935AA" w:rsidRDefault="00EC278E" w:rsidP="00EC278E">
            <w:pPr>
              <w:tabs>
                <w:tab w:val="left" w:pos="-1440"/>
                <w:tab w:val="left" w:pos="-720"/>
              </w:tabs>
              <w:rPr>
                <w:sz w:val="20"/>
                <w:szCs w:val="20"/>
              </w:rPr>
            </w:pPr>
            <w:r w:rsidRPr="00A3387E">
              <w:rPr>
                <w:sz w:val="20"/>
                <w:szCs w:val="20"/>
                <w:lang w:val="fr-CA"/>
              </w:rPr>
              <w:tab/>
            </w:r>
            <w:r>
              <w:rPr>
                <w:sz w:val="20"/>
                <w:szCs w:val="20"/>
              </w:rPr>
              <w:t>Castle &amp; Associates</w:t>
            </w:r>
          </w:p>
          <w:p w:rsidR="00EC278E" w:rsidRPr="00A935AA" w:rsidRDefault="00EC278E" w:rsidP="00EC278E">
            <w:pPr>
              <w:tabs>
                <w:tab w:val="left" w:pos="-1440"/>
                <w:tab w:val="left" w:pos="-720"/>
              </w:tabs>
              <w:rPr>
                <w:sz w:val="20"/>
                <w:szCs w:val="20"/>
              </w:rPr>
            </w:pPr>
          </w:p>
          <w:p w:rsidR="00EC278E" w:rsidRPr="00A935AA" w:rsidRDefault="00EC278E" w:rsidP="00EC278E">
            <w:pPr>
              <w:tabs>
                <w:tab w:val="left" w:pos="-1440"/>
                <w:tab w:val="left" w:pos="-720"/>
              </w:tabs>
              <w:rPr>
                <w:sz w:val="20"/>
                <w:szCs w:val="20"/>
              </w:rPr>
            </w:pPr>
            <w:r w:rsidRPr="00A935AA">
              <w:rPr>
                <w:sz w:val="20"/>
                <w:szCs w:val="20"/>
              </w:rPr>
              <w:tab/>
              <w:t>v. (3</w:t>
            </w:r>
            <w:r>
              <w:rPr>
                <w:sz w:val="20"/>
                <w:szCs w:val="20"/>
              </w:rPr>
              <w:t>6274</w:t>
            </w:r>
            <w:r w:rsidRPr="00A935AA">
              <w:rPr>
                <w:sz w:val="20"/>
                <w:szCs w:val="20"/>
              </w:rPr>
              <w:t>)</w:t>
            </w:r>
          </w:p>
          <w:p w:rsidR="00EC278E" w:rsidRPr="00A935AA" w:rsidRDefault="00EC278E" w:rsidP="00EC278E">
            <w:pPr>
              <w:tabs>
                <w:tab w:val="left" w:pos="-1440"/>
                <w:tab w:val="left" w:pos="-720"/>
              </w:tabs>
              <w:rPr>
                <w:sz w:val="20"/>
                <w:szCs w:val="20"/>
              </w:rPr>
            </w:pPr>
          </w:p>
          <w:p w:rsidR="00EC278E" w:rsidRPr="00A935AA" w:rsidRDefault="00EC278E" w:rsidP="00EC278E">
            <w:pPr>
              <w:tabs>
                <w:tab w:val="left" w:pos="-1440"/>
                <w:tab w:val="left" w:pos="-720"/>
              </w:tabs>
              <w:rPr>
                <w:b/>
                <w:sz w:val="20"/>
                <w:szCs w:val="20"/>
              </w:rPr>
            </w:pPr>
            <w:r>
              <w:rPr>
                <w:b/>
                <w:sz w:val="20"/>
                <w:szCs w:val="20"/>
              </w:rPr>
              <w:t xml:space="preserve">Director of Child and Family Services </w:t>
            </w:r>
            <w:r w:rsidRPr="00A935AA">
              <w:rPr>
                <w:b/>
                <w:sz w:val="20"/>
                <w:szCs w:val="20"/>
              </w:rPr>
              <w:t>(</w:t>
            </w:r>
            <w:r>
              <w:rPr>
                <w:b/>
                <w:sz w:val="20"/>
                <w:szCs w:val="20"/>
              </w:rPr>
              <w:t>Alta</w:t>
            </w:r>
            <w:r w:rsidRPr="00A935AA">
              <w:rPr>
                <w:b/>
                <w:sz w:val="20"/>
                <w:szCs w:val="20"/>
              </w:rPr>
              <w:t>.)</w:t>
            </w:r>
          </w:p>
          <w:p w:rsidR="00EC278E" w:rsidRPr="00A935AA" w:rsidRDefault="00EC278E" w:rsidP="00EC278E">
            <w:pPr>
              <w:tabs>
                <w:tab w:val="left" w:pos="-1440"/>
                <w:tab w:val="left" w:pos="-720"/>
              </w:tabs>
              <w:rPr>
                <w:sz w:val="20"/>
                <w:szCs w:val="20"/>
              </w:rPr>
            </w:pPr>
            <w:r w:rsidRPr="00A935AA">
              <w:rPr>
                <w:sz w:val="20"/>
                <w:szCs w:val="20"/>
              </w:rPr>
              <w:tab/>
            </w:r>
            <w:r w:rsidR="00ED42B1">
              <w:rPr>
                <w:sz w:val="20"/>
                <w:szCs w:val="20"/>
              </w:rPr>
              <w:t>Michelle S. Lee</w:t>
            </w:r>
          </w:p>
          <w:p w:rsidR="00EC278E" w:rsidRPr="00A935AA" w:rsidRDefault="00EC278E" w:rsidP="00EC278E">
            <w:pPr>
              <w:tabs>
                <w:tab w:val="left" w:pos="-1440"/>
                <w:tab w:val="left" w:pos="-720"/>
              </w:tabs>
              <w:rPr>
                <w:sz w:val="20"/>
                <w:szCs w:val="20"/>
              </w:rPr>
            </w:pPr>
            <w:r w:rsidRPr="00A935AA">
              <w:rPr>
                <w:sz w:val="20"/>
                <w:szCs w:val="20"/>
              </w:rPr>
              <w:tab/>
            </w:r>
            <w:r w:rsidR="00ED42B1">
              <w:rPr>
                <w:sz w:val="20"/>
                <w:szCs w:val="20"/>
              </w:rPr>
              <w:t>A.G. of Alberta</w:t>
            </w:r>
          </w:p>
          <w:p w:rsidR="00EC278E" w:rsidRPr="00A935AA" w:rsidRDefault="00EC278E" w:rsidP="00EC278E">
            <w:pPr>
              <w:tabs>
                <w:tab w:val="left" w:pos="-1440"/>
                <w:tab w:val="left" w:pos="-720"/>
              </w:tabs>
              <w:rPr>
                <w:sz w:val="20"/>
                <w:szCs w:val="20"/>
              </w:rPr>
            </w:pPr>
          </w:p>
          <w:p w:rsidR="00EC278E" w:rsidRPr="00A935AA" w:rsidRDefault="00EC278E" w:rsidP="00EC278E">
            <w:pPr>
              <w:rPr>
                <w:sz w:val="20"/>
                <w:szCs w:val="20"/>
              </w:rPr>
            </w:pPr>
            <w:r w:rsidRPr="00A935AA">
              <w:rPr>
                <w:sz w:val="20"/>
                <w:szCs w:val="20"/>
              </w:rPr>
              <w:t>FILING DATE: 2</w:t>
            </w:r>
            <w:r>
              <w:rPr>
                <w:sz w:val="20"/>
                <w:szCs w:val="20"/>
              </w:rPr>
              <w:t>1</w:t>
            </w:r>
            <w:r w:rsidRPr="00A935AA">
              <w:rPr>
                <w:sz w:val="20"/>
                <w:szCs w:val="20"/>
              </w:rPr>
              <w:t>.0</w:t>
            </w:r>
            <w:r>
              <w:rPr>
                <w:sz w:val="20"/>
                <w:szCs w:val="20"/>
              </w:rPr>
              <w:t>1</w:t>
            </w:r>
            <w:r w:rsidRPr="00A935AA">
              <w:rPr>
                <w:sz w:val="20"/>
                <w:szCs w:val="20"/>
              </w:rPr>
              <w:t>.201</w:t>
            </w:r>
            <w:r>
              <w:rPr>
                <w:sz w:val="20"/>
                <w:szCs w:val="20"/>
              </w:rPr>
              <w:t>5</w:t>
            </w:r>
            <w:r w:rsidR="005A3634">
              <w:rPr>
                <w:sz w:val="20"/>
                <w:szCs w:val="20"/>
                <w:lang w:val="fr-CA"/>
              </w:rPr>
              <w:pict>
                <v:rect id="_x0000_i1029" style="width:108pt;height:1pt" o:hrpct="0" o:hralign="center" o:hrstd="t" o:hrnoshade="t" o:hr="t" fillcolor="black [3213]" stroked="f"/>
              </w:pict>
            </w:r>
          </w:p>
        </w:tc>
        <w:tc>
          <w:tcPr>
            <w:tcW w:w="1181" w:type="dxa"/>
            <w:shd w:val="clear" w:color="auto" w:fill="auto"/>
          </w:tcPr>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Default="00EC278E" w:rsidP="00242AEE">
            <w:pPr>
              <w:jc w:val="center"/>
              <w:rPr>
                <w:sz w:val="20"/>
                <w:szCs w:val="20"/>
              </w:rPr>
            </w:pPr>
          </w:p>
          <w:p w:rsidR="00EC278E" w:rsidRDefault="00EC278E" w:rsidP="00242AEE">
            <w:pPr>
              <w:jc w:val="center"/>
              <w:rPr>
                <w:sz w:val="20"/>
                <w:szCs w:val="20"/>
              </w:rPr>
            </w:pPr>
          </w:p>
          <w:p w:rsidR="00EC278E" w:rsidRPr="00A935AA" w:rsidRDefault="00EC278E" w:rsidP="00242AEE">
            <w:pPr>
              <w:jc w:val="center"/>
              <w:rPr>
                <w:sz w:val="20"/>
                <w:szCs w:val="20"/>
              </w:rPr>
            </w:pPr>
          </w:p>
        </w:tc>
        <w:tc>
          <w:tcPr>
            <w:tcW w:w="4320" w:type="dxa"/>
            <w:shd w:val="clear" w:color="auto" w:fill="auto"/>
          </w:tcPr>
          <w:p w:rsidR="00EC278E" w:rsidRPr="00A935AA" w:rsidRDefault="00EC278E" w:rsidP="005F1ED8">
            <w:pPr>
              <w:rPr>
                <w:b/>
                <w:sz w:val="20"/>
                <w:szCs w:val="20"/>
              </w:rPr>
            </w:pPr>
            <w:r>
              <w:rPr>
                <w:b/>
                <w:sz w:val="20"/>
                <w:szCs w:val="20"/>
              </w:rPr>
              <w:t>Denis Jerome Labossiere</w:t>
            </w:r>
          </w:p>
          <w:p w:rsidR="00EC278E" w:rsidRPr="00A935AA" w:rsidRDefault="00EC278E" w:rsidP="005F1ED8">
            <w:pPr>
              <w:tabs>
                <w:tab w:val="left" w:pos="-1440"/>
                <w:tab w:val="left" w:pos="-720"/>
              </w:tabs>
              <w:rPr>
                <w:sz w:val="20"/>
                <w:szCs w:val="20"/>
              </w:rPr>
            </w:pPr>
            <w:r w:rsidRPr="00A935AA">
              <w:rPr>
                <w:sz w:val="20"/>
                <w:szCs w:val="20"/>
              </w:rPr>
              <w:tab/>
            </w:r>
            <w:r>
              <w:rPr>
                <w:sz w:val="20"/>
                <w:szCs w:val="20"/>
              </w:rPr>
              <w:t>Gerri Wiebe</w:t>
            </w:r>
          </w:p>
          <w:p w:rsidR="00EC278E" w:rsidRPr="00A935AA" w:rsidRDefault="00EC278E" w:rsidP="005F1ED8">
            <w:pPr>
              <w:tabs>
                <w:tab w:val="left" w:pos="-1440"/>
                <w:tab w:val="left" w:pos="-720"/>
              </w:tabs>
              <w:rPr>
                <w:sz w:val="20"/>
                <w:szCs w:val="20"/>
              </w:rPr>
            </w:pPr>
            <w:r w:rsidRPr="00A935AA">
              <w:rPr>
                <w:sz w:val="20"/>
                <w:szCs w:val="20"/>
              </w:rPr>
              <w:tab/>
            </w:r>
            <w:r>
              <w:rPr>
                <w:sz w:val="20"/>
                <w:szCs w:val="20"/>
              </w:rPr>
              <w:t>Bueti Wasyliw &amp; Associates</w:t>
            </w:r>
          </w:p>
          <w:p w:rsidR="00EC278E" w:rsidRPr="00A935AA" w:rsidRDefault="00EC278E" w:rsidP="005F1ED8">
            <w:pPr>
              <w:tabs>
                <w:tab w:val="left" w:pos="-1440"/>
                <w:tab w:val="left" w:pos="-720"/>
              </w:tabs>
              <w:rPr>
                <w:sz w:val="20"/>
                <w:szCs w:val="20"/>
              </w:rPr>
            </w:pPr>
          </w:p>
          <w:p w:rsidR="00EC278E" w:rsidRPr="00A935AA" w:rsidRDefault="00EC278E" w:rsidP="005F1ED8">
            <w:pPr>
              <w:tabs>
                <w:tab w:val="left" w:pos="-1440"/>
                <w:tab w:val="left" w:pos="-720"/>
              </w:tabs>
              <w:rPr>
                <w:sz w:val="20"/>
                <w:szCs w:val="20"/>
              </w:rPr>
            </w:pPr>
            <w:r w:rsidRPr="00A935AA">
              <w:rPr>
                <w:sz w:val="20"/>
                <w:szCs w:val="20"/>
              </w:rPr>
              <w:tab/>
              <w:t>v. (3</w:t>
            </w:r>
            <w:r>
              <w:rPr>
                <w:sz w:val="20"/>
                <w:szCs w:val="20"/>
              </w:rPr>
              <w:t>6267</w:t>
            </w:r>
            <w:r w:rsidRPr="00A935AA">
              <w:rPr>
                <w:sz w:val="20"/>
                <w:szCs w:val="20"/>
              </w:rPr>
              <w:t>)</w:t>
            </w:r>
          </w:p>
          <w:p w:rsidR="00EC278E" w:rsidRPr="00A935AA" w:rsidRDefault="00EC278E" w:rsidP="005F1ED8">
            <w:pPr>
              <w:tabs>
                <w:tab w:val="left" w:pos="-1440"/>
                <w:tab w:val="left" w:pos="-720"/>
              </w:tabs>
              <w:rPr>
                <w:sz w:val="20"/>
                <w:szCs w:val="20"/>
              </w:rPr>
            </w:pPr>
          </w:p>
          <w:p w:rsidR="00EC278E" w:rsidRPr="00A935AA" w:rsidRDefault="00EC278E" w:rsidP="005F1ED8">
            <w:pPr>
              <w:tabs>
                <w:tab w:val="left" w:pos="-1440"/>
                <w:tab w:val="left" w:pos="-720"/>
              </w:tabs>
              <w:rPr>
                <w:b/>
                <w:sz w:val="20"/>
                <w:szCs w:val="20"/>
              </w:rPr>
            </w:pPr>
            <w:r>
              <w:rPr>
                <w:b/>
                <w:sz w:val="20"/>
                <w:szCs w:val="20"/>
              </w:rPr>
              <w:t>Her Majesty the Queen</w:t>
            </w:r>
            <w:r w:rsidRPr="00A935AA">
              <w:rPr>
                <w:b/>
                <w:sz w:val="20"/>
                <w:szCs w:val="20"/>
              </w:rPr>
              <w:t xml:space="preserve"> (</w:t>
            </w:r>
            <w:r>
              <w:rPr>
                <w:b/>
                <w:sz w:val="20"/>
                <w:szCs w:val="20"/>
              </w:rPr>
              <w:t>Man</w:t>
            </w:r>
            <w:r w:rsidRPr="00A935AA">
              <w:rPr>
                <w:b/>
                <w:sz w:val="20"/>
                <w:szCs w:val="20"/>
              </w:rPr>
              <w:t>.)</w:t>
            </w:r>
          </w:p>
          <w:p w:rsidR="00EC278E" w:rsidRPr="00A935AA" w:rsidRDefault="00EC278E" w:rsidP="005F1ED8">
            <w:pPr>
              <w:tabs>
                <w:tab w:val="left" w:pos="-1440"/>
                <w:tab w:val="left" w:pos="-720"/>
              </w:tabs>
              <w:rPr>
                <w:sz w:val="20"/>
                <w:szCs w:val="20"/>
              </w:rPr>
            </w:pPr>
            <w:r w:rsidRPr="00A935AA">
              <w:rPr>
                <w:sz w:val="20"/>
                <w:szCs w:val="20"/>
              </w:rPr>
              <w:tab/>
            </w:r>
            <w:r>
              <w:rPr>
                <w:sz w:val="20"/>
                <w:szCs w:val="20"/>
              </w:rPr>
              <w:t>Amiram Kotler</w:t>
            </w:r>
          </w:p>
          <w:p w:rsidR="00EC278E" w:rsidRPr="00A935AA" w:rsidRDefault="00EC278E" w:rsidP="005F1ED8">
            <w:pPr>
              <w:tabs>
                <w:tab w:val="left" w:pos="-1440"/>
                <w:tab w:val="left" w:pos="-720"/>
              </w:tabs>
              <w:rPr>
                <w:sz w:val="20"/>
                <w:szCs w:val="20"/>
              </w:rPr>
            </w:pPr>
            <w:r w:rsidRPr="00A935AA">
              <w:rPr>
                <w:sz w:val="20"/>
                <w:szCs w:val="20"/>
              </w:rPr>
              <w:tab/>
            </w:r>
            <w:r>
              <w:rPr>
                <w:sz w:val="20"/>
                <w:szCs w:val="20"/>
              </w:rPr>
              <w:t>A.G. of Manitoba</w:t>
            </w:r>
          </w:p>
          <w:p w:rsidR="00EC278E" w:rsidRPr="00A935AA" w:rsidRDefault="00EC278E" w:rsidP="005F1ED8">
            <w:pPr>
              <w:tabs>
                <w:tab w:val="left" w:pos="-1440"/>
                <w:tab w:val="left" w:pos="-720"/>
              </w:tabs>
              <w:rPr>
                <w:sz w:val="20"/>
                <w:szCs w:val="20"/>
              </w:rPr>
            </w:pPr>
          </w:p>
          <w:p w:rsidR="00EC278E" w:rsidRPr="00A935AA" w:rsidRDefault="00EC278E" w:rsidP="00EC278E">
            <w:pPr>
              <w:rPr>
                <w:sz w:val="20"/>
                <w:szCs w:val="20"/>
              </w:rPr>
            </w:pPr>
            <w:r w:rsidRPr="00A935AA">
              <w:rPr>
                <w:sz w:val="20"/>
                <w:szCs w:val="20"/>
              </w:rPr>
              <w:t>FILING DATE: 2</w:t>
            </w:r>
            <w:r>
              <w:rPr>
                <w:sz w:val="20"/>
                <w:szCs w:val="20"/>
              </w:rPr>
              <w:t>0</w:t>
            </w:r>
            <w:r w:rsidRPr="00A935AA">
              <w:rPr>
                <w:sz w:val="20"/>
                <w:szCs w:val="20"/>
              </w:rPr>
              <w:t>.0</w:t>
            </w:r>
            <w:r>
              <w:rPr>
                <w:sz w:val="20"/>
                <w:szCs w:val="20"/>
              </w:rPr>
              <w:t>1</w:t>
            </w:r>
            <w:r w:rsidRPr="00A935AA">
              <w:rPr>
                <w:sz w:val="20"/>
                <w:szCs w:val="20"/>
              </w:rPr>
              <w:t>.201</w:t>
            </w:r>
            <w:r>
              <w:rPr>
                <w:sz w:val="20"/>
                <w:szCs w:val="20"/>
              </w:rPr>
              <w:t>5</w:t>
            </w:r>
            <w:r w:rsidR="005A3634">
              <w:rPr>
                <w:sz w:val="20"/>
                <w:szCs w:val="20"/>
                <w:lang w:val="fr-CA"/>
              </w:rPr>
              <w:pict>
                <v:rect id="_x0000_i1030" style="width:108pt;height:1pt" o:hrpct="0" o:hralign="center" o:hrstd="t" o:hrnoshade="t" o:hr="t" fillcolor="black [3213]" stroked="f"/>
              </w:pict>
            </w:r>
          </w:p>
        </w:tc>
      </w:tr>
      <w:tr w:rsidR="00EC278E" w:rsidRPr="00A935AA" w:rsidTr="003B3977">
        <w:trPr>
          <w:cantSplit/>
        </w:trPr>
        <w:tc>
          <w:tcPr>
            <w:tcW w:w="4320" w:type="dxa"/>
            <w:shd w:val="clear" w:color="auto" w:fill="auto"/>
          </w:tcPr>
          <w:p w:rsidR="00EC278E" w:rsidRPr="00A935AA" w:rsidRDefault="00EC278E" w:rsidP="00EC278E">
            <w:pPr>
              <w:rPr>
                <w:b/>
                <w:sz w:val="20"/>
                <w:szCs w:val="20"/>
              </w:rPr>
            </w:pPr>
            <w:r>
              <w:rPr>
                <w:b/>
                <w:sz w:val="20"/>
                <w:szCs w:val="20"/>
              </w:rPr>
              <w:t>Workplace Health, Safety and Compensation Commission</w:t>
            </w:r>
          </w:p>
          <w:p w:rsidR="00EC278E" w:rsidRPr="00A935AA" w:rsidRDefault="00EC278E" w:rsidP="00EC278E">
            <w:pPr>
              <w:tabs>
                <w:tab w:val="left" w:pos="-1440"/>
                <w:tab w:val="left" w:pos="-720"/>
              </w:tabs>
              <w:rPr>
                <w:sz w:val="20"/>
                <w:szCs w:val="20"/>
              </w:rPr>
            </w:pPr>
            <w:r w:rsidRPr="00A935AA">
              <w:rPr>
                <w:sz w:val="20"/>
                <w:szCs w:val="20"/>
              </w:rPr>
              <w:tab/>
            </w:r>
            <w:r>
              <w:rPr>
                <w:sz w:val="20"/>
                <w:szCs w:val="20"/>
              </w:rPr>
              <w:t>Rebecca C. Phillipps</w:t>
            </w:r>
          </w:p>
          <w:p w:rsidR="00EC278E" w:rsidRPr="00A935AA" w:rsidRDefault="00EC278E" w:rsidP="00EC278E">
            <w:pPr>
              <w:tabs>
                <w:tab w:val="left" w:pos="-1440"/>
                <w:tab w:val="left" w:pos="-720"/>
              </w:tabs>
              <w:rPr>
                <w:sz w:val="20"/>
                <w:szCs w:val="20"/>
              </w:rPr>
            </w:pPr>
            <w:r w:rsidRPr="00A935AA">
              <w:rPr>
                <w:sz w:val="20"/>
                <w:szCs w:val="20"/>
              </w:rPr>
              <w:tab/>
            </w:r>
            <w:r>
              <w:rPr>
                <w:sz w:val="20"/>
                <w:szCs w:val="20"/>
              </w:rPr>
              <w:t xml:space="preserve">Workplace Health, Safety and </w:t>
            </w:r>
            <w:r>
              <w:rPr>
                <w:sz w:val="20"/>
                <w:szCs w:val="20"/>
              </w:rPr>
              <w:tab/>
              <w:t>Compensation Commission</w:t>
            </w:r>
          </w:p>
          <w:p w:rsidR="00EC278E" w:rsidRPr="00A935AA" w:rsidRDefault="00EC278E" w:rsidP="00EC278E">
            <w:pPr>
              <w:tabs>
                <w:tab w:val="left" w:pos="-1440"/>
                <w:tab w:val="left" w:pos="-720"/>
              </w:tabs>
              <w:rPr>
                <w:sz w:val="20"/>
                <w:szCs w:val="20"/>
              </w:rPr>
            </w:pPr>
          </w:p>
          <w:p w:rsidR="00EC278E" w:rsidRPr="00D3002B" w:rsidRDefault="00EC278E" w:rsidP="00EC278E">
            <w:pPr>
              <w:tabs>
                <w:tab w:val="left" w:pos="-1440"/>
                <w:tab w:val="left" w:pos="-720"/>
              </w:tabs>
              <w:rPr>
                <w:sz w:val="20"/>
                <w:szCs w:val="20"/>
                <w:lang w:val="fr-CA"/>
              </w:rPr>
            </w:pPr>
            <w:r w:rsidRPr="00A935AA">
              <w:rPr>
                <w:sz w:val="20"/>
                <w:szCs w:val="20"/>
              </w:rPr>
              <w:tab/>
            </w:r>
            <w:r w:rsidRPr="00D3002B">
              <w:rPr>
                <w:sz w:val="20"/>
                <w:szCs w:val="20"/>
                <w:lang w:val="fr-CA"/>
              </w:rPr>
              <w:t>v. (36265)</w:t>
            </w:r>
          </w:p>
          <w:p w:rsidR="00EC278E" w:rsidRPr="00D3002B" w:rsidRDefault="00EC278E" w:rsidP="00EC278E">
            <w:pPr>
              <w:tabs>
                <w:tab w:val="left" w:pos="-1440"/>
                <w:tab w:val="left" w:pos="-720"/>
              </w:tabs>
              <w:rPr>
                <w:sz w:val="20"/>
                <w:szCs w:val="20"/>
                <w:lang w:val="fr-CA"/>
              </w:rPr>
            </w:pPr>
          </w:p>
          <w:p w:rsidR="00EC278E" w:rsidRPr="00A935AA" w:rsidRDefault="00EC278E" w:rsidP="00EC278E">
            <w:pPr>
              <w:tabs>
                <w:tab w:val="left" w:pos="-1440"/>
                <w:tab w:val="left" w:pos="-720"/>
              </w:tabs>
              <w:rPr>
                <w:b/>
                <w:sz w:val="20"/>
                <w:szCs w:val="20"/>
              </w:rPr>
            </w:pPr>
            <w:r w:rsidRPr="00D3002B">
              <w:rPr>
                <w:b/>
                <w:sz w:val="20"/>
                <w:szCs w:val="20"/>
                <w:lang w:val="fr-CA"/>
              </w:rPr>
              <w:t xml:space="preserve">Douglas Allen et al. </w:t>
            </w:r>
            <w:r w:rsidRPr="00A935AA">
              <w:rPr>
                <w:b/>
                <w:sz w:val="20"/>
                <w:szCs w:val="20"/>
              </w:rPr>
              <w:t>(</w:t>
            </w:r>
            <w:r>
              <w:rPr>
                <w:b/>
                <w:sz w:val="20"/>
                <w:szCs w:val="20"/>
              </w:rPr>
              <w:t>N.L</w:t>
            </w:r>
            <w:r w:rsidRPr="00A935AA">
              <w:rPr>
                <w:b/>
                <w:sz w:val="20"/>
                <w:szCs w:val="20"/>
              </w:rPr>
              <w:t>.)</w:t>
            </w:r>
          </w:p>
          <w:p w:rsidR="00EC278E" w:rsidRPr="00A935AA" w:rsidRDefault="00EC278E" w:rsidP="00EC278E">
            <w:pPr>
              <w:tabs>
                <w:tab w:val="left" w:pos="-1440"/>
                <w:tab w:val="left" w:pos="-720"/>
              </w:tabs>
              <w:rPr>
                <w:sz w:val="20"/>
                <w:szCs w:val="20"/>
              </w:rPr>
            </w:pPr>
            <w:r w:rsidRPr="00A935AA">
              <w:rPr>
                <w:sz w:val="20"/>
                <w:szCs w:val="20"/>
              </w:rPr>
              <w:tab/>
            </w:r>
            <w:r>
              <w:rPr>
                <w:sz w:val="20"/>
                <w:szCs w:val="20"/>
              </w:rPr>
              <w:t>Mark D. Murray</w:t>
            </w:r>
          </w:p>
          <w:p w:rsidR="00EC278E" w:rsidRPr="00A935AA" w:rsidRDefault="00EC278E" w:rsidP="00EC278E">
            <w:pPr>
              <w:tabs>
                <w:tab w:val="left" w:pos="-1440"/>
                <w:tab w:val="left" w:pos="-720"/>
              </w:tabs>
              <w:rPr>
                <w:sz w:val="20"/>
                <w:szCs w:val="20"/>
              </w:rPr>
            </w:pPr>
            <w:r w:rsidRPr="00A935AA">
              <w:rPr>
                <w:sz w:val="20"/>
                <w:szCs w:val="20"/>
              </w:rPr>
              <w:tab/>
            </w:r>
            <w:r>
              <w:rPr>
                <w:sz w:val="20"/>
                <w:szCs w:val="20"/>
              </w:rPr>
              <w:t>Martin, Whalen, Hennebury &amp; Stamp</w:t>
            </w:r>
          </w:p>
          <w:p w:rsidR="00EC278E" w:rsidRPr="00A935AA" w:rsidRDefault="00EC278E" w:rsidP="00EC278E">
            <w:pPr>
              <w:tabs>
                <w:tab w:val="left" w:pos="-1440"/>
                <w:tab w:val="left" w:pos="-720"/>
              </w:tabs>
              <w:rPr>
                <w:sz w:val="20"/>
                <w:szCs w:val="20"/>
              </w:rPr>
            </w:pPr>
          </w:p>
          <w:p w:rsidR="00EC278E" w:rsidRPr="00A935AA" w:rsidRDefault="00EC278E" w:rsidP="00EC278E">
            <w:pPr>
              <w:rPr>
                <w:sz w:val="20"/>
                <w:szCs w:val="20"/>
              </w:rPr>
            </w:pPr>
            <w:r w:rsidRPr="00A935AA">
              <w:rPr>
                <w:sz w:val="20"/>
                <w:szCs w:val="20"/>
              </w:rPr>
              <w:t xml:space="preserve">FILING DATE: </w:t>
            </w:r>
            <w:r>
              <w:rPr>
                <w:sz w:val="20"/>
                <w:szCs w:val="20"/>
              </w:rPr>
              <w:t>19</w:t>
            </w:r>
            <w:r w:rsidRPr="00A935AA">
              <w:rPr>
                <w:sz w:val="20"/>
                <w:szCs w:val="20"/>
              </w:rPr>
              <w:t>.0</w:t>
            </w:r>
            <w:r>
              <w:rPr>
                <w:sz w:val="20"/>
                <w:szCs w:val="20"/>
              </w:rPr>
              <w:t>1</w:t>
            </w:r>
            <w:r w:rsidRPr="00A935AA">
              <w:rPr>
                <w:sz w:val="20"/>
                <w:szCs w:val="20"/>
              </w:rPr>
              <w:t>.201</w:t>
            </w:r>
            <w:r>
              <w:rPr>
                <w:sz w:val="20"/>
                <w:szCs w:val="20"/>
              </w:rPr>
              <w:t>5</w:t>
            </w:r>
            <w:r w:rsidR="005A3634">
              <w:rPr>
                <w:sz w:val="20"/>
                <w:szCs w:val="20"/>
                <w:lang w:val="fr-CA"/>
              </w:rPr>
              <w:pict>
                <v:rect id="_x0000_i1031" style="width:108pt;height:1pt" o:hrpct="0" o:hralign="center" o:hrstd="t" o:hrnoshade="t" o:hr="t" fillcolor="black [3213]" stroked="f"/>
              </w:pict>
            </w:r>
          </w:p>
        </w:tc>
        <w:tc>
          <w:tcPr>
            <w:tcW w:w="1181" w:type="dxa"/>
            <w:shd w:val="clear" w:color="auto" w:fill="auto"/>
          </w:tcPr>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Pr="00A935AA" w:rsidRDefault="00EC278E" w:rsidP="00242AEE">
            <w:pPr>
              <w:jc w:val="center"/>
              <w:rPr>
                <w:sz w:val="20"/>
                <w:szCs w:val="20"/>
              </w:rPr>
            </w:pPr>
          </w:p>
          <w:p w:rsidR="00EC278E" w:rsidRDefault="00EC278E" w:rsidP="00242AEE">
            <w:pPr>
              <w:jc w:val="center"/>
              <w:rPr>
                <w:sz w:val="20"/>
                <w:szCs w:val="20"/>
              </w:rPr>
            </w:pPr>
          </w:p>
          <w:p w:rsidR="00BC401D" w:rsidRPr="00A935AA" w:rsidRDefault="00BC401D" w:rsidP="00242AEE">
            <w:pPr>
              <w:jc w:val="center"/>
              <w:rPr>
                <w:sz w:val="20"/>
                <w:szCs w:val="20"/>
              </w:rPr>
            </w:pPr>
          </w:p>
          <w:p w:rsidR="00EC278E" w:rsidRPr="00A935AA" w:rsidRDefault="00EC278E" w:rsidP="00242AEE">
            <w:pPr>
              <w:jc w:val="center"/>
              <w:rPr>
                <w:sz w:val="20"/>
                <w:szCs w:val="20"/>
              </w:rPr>
            </w:pPr>
          </w:p>
        </w:tc>
        <w:tc>
          <w:tcPr>
            <w:tcW w:w="4320" w:type="dxa"/>
            <w:shd w:val="clear" w:color="auto" w:fill="auto"/>
          </w:tcPr>
          <w:p w:rsidR="00EC278E" w:rsidRPr="00806A5B" w:rsidRDefault="00ED42B1" w:rsidP="00D84417">
            <w:pPr>
              <w:keepNext/>
              <w:keepLines/>
              <w:tabs>
                <w:tab w:val="left" w:pos="-1440"/>
                <w:tab w:val="left" w:pos="-720"/>
              </w:tabs>
              <w:rPr>
                <w:b/>
                <w:sz w:val="20"/>
                <w:szCs w:val="20"/>
                <w:lang w:val="fr-CA"/>
              </w:rPr>
            </w:pPr>
            <w:r>
              <w:rPr>
                <w:b/>
                <w:sz w:val="20"/>
                <w:szCs w:val="20"/>
                <w:lang w:val="fr-CA"/>
              </w:rPr>
              <w:t>9026-2981 Québec Inc.</w:t>
            </w:r>
          </w:p>
          <w:p w:rsidR="00EC278E" w:rsidRPr="00806A5B" w:rsidRDefault="00EC278E" w:rsidP="00D84417">
            <w:pPr>
              <w:keepNext/>
              <w:keepLines/>
              <w:tabs>
                <w:tab w:val="left" w:pos="-1440"/>
                <w:tab w:val="left" w:pos="-720"/>
              </w:tabs>
              <w:rPr>
                <w:sz w:val="20"/>
                <w:szCs w:val="20"/>
                <w:lang w:val="fr-CA"/>
              </w:rPr>
            </w:pPr>
            <w:r w:rsidRPr="00806A5B">
              <w:rPr>
                <w:sz w:val="20"/>
                <w:szCs w:val="20"/>
                <w:lang w:val="fr-CA"/>
              </w:rPr>
              <w:tab/>
            </w:r>
            <w:r w:rsidR="00BC401D">
              <w:rPr>
                <w:sz w:val="20"/>
                <w:szCs w:val="20"/>
                <w:lang w:val="fr-CA"/>
              </w:rPr>
              <w:t>S</w:t>
            </w:r>
            <w:r w:rsidRPr="00806A5B">
              <w:rPr>
                <w:sz w:val="20"/>
                <w:szCs w:val="20"/>
                <w:lang w:val="fr-CA"/>
              </w:rPr>
              <w:t>i</w:t>
            </w:r>
            <w:r w:rsidR="00BC401D">
              <w:rPr>
                <w:sz w:val="20"/>
                <w:szCs w:val="20"/>
                <w:lang w:val="fr-CA"/>
              </w:rPr>
              <w:t>mon Lahai</w:t>
            </w:r>
            <w:r w:rsidRPr="00806A5B">
              <w:rPr>
                <w:sz w:val="20"/>
                <w:szCs w:val="20"/>
                <w:lang w:val="fr-CA"/>
              </w:rPr>
              <w:t>e</w:t>
            </w:r>
          </w:p>
          <w:p w:rsidR="00EC278E" w:rsidRPr="00806A5B" w:rsidRDefault="00EC278E" w:rsidP="00D84417">
            <w:pPr>
              <w:keepNext/>
              <w:keepLines/>
              <w:tabs>
                <w:tab w:val="left" w:pos="-1440"/>
                <w:tab w:val="left" w:pos="-720"/>
              </w:tabs>
              <w:rPr>
                <w:sz w:val="20"/>
                <w:szCs w:val="20"/>
                <w:lang w:val="fr-CA"/>
              </w:rPr>
            </w:pPr>
            <w:r w:rsidRPr="00806A5B">
              <w:rPr>
                <w:sz w:val="20"/>
                <w:szCs w:val="20"/>
                <w:lang w:val="fr-CA"/>
              </w:rPr>
              <w:tab/>
            </w:r>
            <w:r w:rsidR="00BC401D">
              <w:rPr>
                <w:sz w:val="20"/>
                <w:szCs w:val="20"/>
                <w:lang w:val="fr-CA"/>
              </w:rPr>
              <w:t>Lahaie, av</w:t>
            </w:r>
            <w:r w:rsidRPr="00806A5B">
              <w:rPr>
                <w:sz w:val="20"/>
                <w:szCs w:val="20"/>
                <w:lang w:val="fr-CA"/>
              </w:rPr>
              <w:t>o</w:t>
            </w:r>
            <w:r w:rsidR="00BC401D">
              <w:rPr>
                <w:sz w:val="20"/>
                <w:szCs w:val="20"/>
                <w:lang w:val="fr-CA"/>
              </w:rPr>
              <w:t>c</w:t>
            </w:r>
            <w:r w:rsidRPr="00806A5B">
              <w:rPr>
                <w:sz w:val="20"/>
                <w:szCs w:val="20"/>
                <w:lang w:val="fr-CA"/>
              </w:rPr>
              <w:t>ats</w:t>
            </w:r>
          </w:p>
          <w:p w:rsidR="00EC278E" w:rsidRPr="00806A5B" w:rsidRDefault="00EC278E" w:rsidP="00D84417">
            <w:pPr>
              <w:keepNext/>
              <w:keepLines/>
              <w:tabs>
                <w:tab w:val="left" w:pos="-1440"/>
                <w:tab w:val="left" w:pos="-720"/>
              </w:tabs>
              <w:rPr>
                <w:sz w:val="20"/>
                <w:szCs w:val="20"/>
                <w:lang w:val="fr-CA"/>
              </w:rPr>
            </w:pPr>
          </w:p>
          <w:p w:rsidR="00EC278E" w:rsidRPr="00806A5B" w:rsidRDefault="00EC278E" w:rsidP="00D84417">
            <w:pPr>
              <w:keepNext/>
              <w:keepLines/>
              <w:tabs>
                <w:tab w:val="left" w:pos="-1440"/>
                <w:tab w:val="left" w:pos="-720"/>
              </w:tabs>
              <w:rPr>
                <w:sz w:val="20"/>
                <w:szCs w:val="20"/>
                <w:lang w:val="fr-CA"/>
              </w:rPr>
            </w:pPr>
            <w:r w:rsidRPr="00806A5B">
              <w:rPr>
                <w:sz w:val="20"/>
                <w:szCs w:val="20"/>
                <w:lang w:val="fr-CA"/>
              </w:rPr>
              <w:tab/>
              <w:t>c. (36</w:t>
            </w:r>
            <w:r w:rsidR="00BC401D">
              <w:rPr>
                <w:sz w:val="20"/>
                <w:szCs w:val="20"/>
                <w:lang w:val="fr-CA"/>
              </w:rPr>
              <w:t>2</w:t>
            </w:r>
            <w:r w:rsidRPr="00806A5B">
              <w:rPr>
                <w:sz w:val="20"/>
                <w:szCs w:val="20"/>
                <w:lang w:val="fr-CA"/>
              </w:rPr>
              <w:t>75)</w:t>
            </w:r>
          </w:p>
          <w:p w:rsidR="00EC278E" w:rsidRPr="00806A5B" w:rsidRDefault="00EC278E" w:rsidP="00D84417">
            <w:pPr>
              <w:keepNext/>
              <w:keepLines/>
              <w:tabs>
                <w:tab w:val="left" w:pos="-1440"/>
                <w:tab w:val="left" w:pos="-720"/>
              </w:tabs>
              <w:rPr>
                <w:sz w:val="20"/>
                <w:szCs w:val="20"/>
                <w:lang w:val="fr-CA"/>
              </w:rPr>
            </w:pPr>
          </w:p>
          <w:p w:rsidR="00EC278E" w:rsidRPr="00806A5B" w:rsidRDefault="00D2172C" w:rsidP="00D84417">
            <w:pPr>
              <w:keepNext/>
              <w:keepLines/>
              <w:tabs>
                <w:tab w:val="left" w:pos="-1440"/>
                <w:tab w:val="left" w:pos="-720"/>
              </w:tabs>
              <w:rPr>
                <w:b/>
                <w:sz w:val="20"/>
                <w:szCs w:val="20"/>
                <w:lang w:val="fr-CA"/>
              </w:rPr>
            </w:pPr>
            <w:r>
              <w:rPr>
                <w:b/>
                <w:sz w:val="20"/>
                <w:szCs w:val="20"/>
                <w:lang w:val="fr-CA"/>
              </w:rPr>
              <w:t>Commission des droits de la personne et des droits de la jeunesse et autres</w:t>
            </w:r>
            <w:r w:rsidR="00EC278E" w:rsidRPr="00806A5B">
              <w:rPr>
                <w:b/>
                <w:sz w:val="20"/>
                <w:szCs w:val="20"/>
                <w:lang w:val="fr-CA"/>
              </w:rPr>
              <w:t xml:space="preserve"> (Qc)</w:t>
            </w:r>
          </w:p>
          <w:p w:rsidR="00EC278E" w:rsidRPr="00806A5B" w:rsidRDefault="00EC278E" w:rsidP="00D84417">
            <w:pPr>
              <w:keepNext/>
              <w:keepLines/>
              <w:tabs>
                <w:tab w:val="left" w:pos="-1440"/>
                <w:tab w:val="left" w:pos="-720"/>
              </w:tabs>
              <w:rPr>
                <w:sz w:val="20"/>
                <w:szCs w:val="20"/>
                <w:lang w:val="fr-CA"/>
              </w:rPr>
            </w:pPr>
            <w:r w:rsidRPr="00806A5B">
              <w:rPr>
                <w:sz w:val="20"/>
                <w:szCs w:val="20"/>
                <w:lang w:val="fr-CA"/>
              </w:rPr>
              <w:tab/>
            </w:r>
            <w:r>
              <w:rPr>
                <w:sz w:val="20"/>
                <w:szCs w:val="20"/>
                <w:lang w:val="fr-CA"/>
              </w:rPr>
              <w:t>M</w:t>
            </w:r>
            <w:r w:rsidR="00BC401D">
              <w:rPr>
                <w:sz w:val="20"/>
                <w:szCs w:val="20"/>
                <w:lang w:val="fr-CA"/>
              </w:rPr>
              <w:t>ar</w:t>
            </w:r>
            <w:r>
              <w:rPr>
                <w:sz w:val="20"/>
                <w:szCs w:val="20"/>
                <w:lang w:val="fr-CA"/>
              </w:rPr>
              <w:t>ie</w:t>
            </w:r>
            <w:r w:rsidR="00BC401D">
              <w:rPr>
                <w:sz w:val="20"/>
                <w:szCs w:val="20"/>
                <w:lang w:val="fr-CA"/>
              </w:rPr>
              <w:t xml:space="preserve"> D</w:t>
            </w:r>
            <w:r>
              <w:rPr>
                <w:sz w:val="20"/>
                <w:szCs w:val="20"/>
                <w:lang w:val="fr-CA"/>
              </w:rPr>
              <w:t>o</w:t>
            </w:r>
            <w:r w:rsidR="00BC401D">
              <w:rPr>
                <w:sz w:val="20"/>
                <w:szCs w:val="20"/>
                <w:lang w:val="fr-CA"/>
              </w:rPr>
              <w:t>miniq</w:t>
            </w:r>
            <w:r>
              <w:rPr>
                <w:sz w:val="20"/>
                <w:szCs w:val="20"/>
                <w:lang w:val="fr-CA"/>
              </w:rPr>
              <w:t>u</w:t>
            </w:r>
            <w:r w:rsidR="00BC401D">
              <w:rPr>
                <w:sz w:val="20"/>
                <w:szCs w:val="20"/>
                <w:lang w:val="fr-CA"/>
              </w:rPr>
              <w:t>e</w:t>
            </w:r>
          </w:p>
          <w:p w:rsidR="00EC278E" w:rsidRPr="00806A5B" w:rsidRDefault="00EC278E" w:rsidP="00D84417">
            <w:pPr>
              <w:keepNext/>
              <w:keepLines/>
              <w:tabs>
                <w:tab w:val="left" w:pos="-1440"/>
                <w:tab w:val="left" w:pos="-720"/>
              </w:tabs>
              <w:rPr>
                <w:sz w:val="20"/>
                <w:szCs w:val="20"/>
                <w:lang w:val="fr-CA"/>
              </w:rPr>
            </w:pPr>
            <w:r w:rsidRPr="00806A5B">
              <w:rPr>
                <w:sz w:val="20"/>
                <w:szCs w:val="20"/>
                <w:lang w:val="fr-CA"/>
              </w:rPr>
              <w:tab/>
            </w:r>
            <w:r w:rsidR="00BC401D">
              <w:rPr>
                <w:sz w:val="20"/>
                <w:szCs w:val="20"/>
                <w:lang w:val="fr-CA"/>
              </w:rPr>
              <w:t>Commission des dro</w:t>
            </w:r>
            <w:r>
              <w:rPr>
                <w:sz w:val="20"/>
                <w:szCs w:val="20"/>
                <w:lang w:val="fr-CA"/>
              </w:rPr>
              <w:t>it</w:t>
            </w:r>
            <w:r w:rsidR="00BC401D">
              <w:rPr>
                <w:sz w:val="20"/>
                <w:szCs w:val="20"/>
                <w:lang w:val="fr-CA"/>
              </w:rPr>
              <w:t>s de la</w:t>
            </w:r>
            <w:r>
              <w:rPr>
                <w:sz w:val="20"/>
                <w:szCs w:val="20"/>
                <w:lang w:val="fr-CA"/>
              </w:rPr>
              <w:t xml:space="preserve"> p</w:t>
            </w:r>
            <w:r w:rsidR="00BC401D">
              <w:rPr>
                <w:sz w:val="20"/>
                <w:szCs w:val="20"/>
                <w:lang w:val="fr-CA"/>
              </w:rPr>
              <w:t>erso</w:t>
            </w:r>
            <w:r>
              <w:rPr>
                <w:sz w:val="20"/>
                <w:szCs w:val="20"/>
                <w:lang w:val="fr-CA"/>
              </w:rPr>
              <w:t>n</w:t>
            </w:r>
            <w:r w:rsidR="00BC401D">
              <w:rPr>
                <w:sz w:val="20"/>
                <w:szCs w:val="20"/>
                <w:lang w:val="fr-CA"/>
              </w:rPr>
              <w:t>n</w:t>
            </w:r>
            <w:r>
              <w:rPr>
                <w:sz w:val="20"/>
                <w:szCs w:val="20"/>
                <w:lang w:val="fr-CA"/>
              </w:rPr>
              <w:t>e</w:t>
            </w:r>
            <w:r w:rsidR="00BC401D">
              <w:rPr>
                <w:sz w:val="20"/>
                <w:szCs w:val="20"/>
                <w:lang w:val="fr-CA"/>
              </w:rPr>
              <w:t xml:space="preserve"> et </w:t>
            </w:r>
            <w:r w:rsidR="00BC401D">
              <w:rPr>
                <w:sz w:val="20"/>
                <w:szCs w:val="20"/>
                <w:lang w:val="fr-CA"/>
              </w:rPr>
              <w:tab/>
              <w:t>de</w:t>
            </w:r>
            <w:r>
              <w:rPr>
                <w:sz w:val="20"/>
                <w:szCs w:val="20"/>
                <w:lang w:val="fr-CA"/>
              </w:rPr>
              <w:t>s d</w:t>
            </w:r>
            <w:r w:rsidR="00BC401D">
              <w:rPr>
                <w:sz w:val="20"/>
                <w:szCs w:val="20"/>
                <w:lang w:val="fr-CA"/>
              </w:rPr>
              <w:t>roits de la jeunesse</w:t>
            </w:r>
          </w:p>
          <w:p w:rsidR="00EC278E" w:rsidRPr="00806A5B" w:rsidRDefault="00EC278E" w:rsidP="00D84417">
            <w:pPr>
              <w:keepNext/>
              <w:keepLines/>
              <w:tabs>
                <w:tab w:val="left" w:pos="-1440"/>
                <w:tab w:val="left" w:pos="-720"/>
              </w:tabs>
              <w:rPr>
                <w:sz w:val="20"/>
                <w:szCs w:val="20"/>
                <w:lang w:val="fr-CA"/>
              </w:rPr>
            </w:pPr>
          </w:p>
          <w:p w:rsidR="00EC278E" w:rsidRPr="00806A5B" w:rsidRDefault="00EC278E" w:rsidP="00BC401D">
            <w:pPr>
              <w:rPr>
                <w:sz w:val="20"/>
                <w:szCs w:val="20"/>
                <w:lang w:val="fr-CA"/>
              </w:rPr>
            </w:pPr>
            <w:r w:rsidRPr="00806A5B">
              <w:rPr>
                <w:sz w:val="20"/>
                <w:szCs w:val="20"/>
                <w:lang w:val="fr-CA"/>
              </w:rPr>
              <w:t>DATE DE PRODUCTION</w:t>
            </w:r>
            <w:r w:rsidR="00CE6C02">
              <w:rPr>
                <w:sz w:val="20"/>
                <w:szCs w:val="20"/>
                <w:lang w:val="fr-CA"/>
              </w:rPr>
              <w:t xml:space="preserve"> </w:t>
            </w:r>
            <w:r w:rsidRPr="00806A5B">
              <w:rPr>
                <w:sz w:val="20"/>
                <w:szCs w:val="20"/>
                <w:lang w:val="fr-CA"/>
              </w:rPr>
              <w:t xml:space="preserve">: </w:t>
            </w:r>
            <w:r w:rsidR="00BC401D">
              <w:rPr>
                <w:sz w:val="20"/>
                <w:szCs w:val="20"/>
                <w:lang w:val="fr-CA"/>
              </w:rPr>
              <w:t>22</w:t>
            </w:r>
            <w:r w:rsidRPr="00806A5B">
              <w:rPr>
                <w:sz w:val="20"/>
                <w:szCs w:val="20"/>
                <w:lang w:val="fr-CA"/>
              </w:rPr>
              <w:t>.01.201</w:t>
            </w:r>
            <w:r w:rsidR="00BC401D">
              <w:rPr>
                <w:sz w:val="20"/>
                <w:szCs w:val="20"/>
                <w:lang w:val="fr-CA"/>
              </w:rPr>
              <w:t>5</w:t>
            </w:r>
            <w:r w:rsidR="005A3634">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CE6C02" w:rsidRDefault="00BC401D" w:rsidP="005F1ED8">
            <w:pPr>
              <w:rPr>
                <w:b/>
                <w:sz w:val="20"/>
                <w:szCs w:val="20"/>
                <w:lang w:val="fr-CA"/>
              </w:rPr>
            </w:pPr>
            <w:r w:rsidRPr="00CE6C02">
              <w:rPr>
                <w:b/>
                <w:sz w:val="20"/>
                <w:szCs w:val="20"/>
                <w:lang w:val="fr-CA"/>
              </w:rPr>
              <w:lastRenderedPageBreak/>
              <w:t>Diana Zabanah</w:t>
            </w:r>
          </w:p>
          <w:p w:rsidR="00C21644" w:rsidRPr="00CE6C02" w:rsidRDefault="00C21644" w:rsidP="005F1ED8">
            <w:pPr>
              <w:tabs>
                <w:tab w:val="left" w:pos="-1440"/>
                <w:tab w:val="left" w:pos="-720"/>
              </w:tabs>
              <w:rPr>
                <w:sz w:val="20"/>
                <w:szCs w:val="20"/>
                <w:lang w:val="fr-CA"/>
              </w:rPr>
            </w:pPr>
            <w:r w:rsidRPr="00CE6C02">
              <w:rPr>
                <w:sz w:val="20"/>
                <w:szCs w:val="20"/>
                <w:lang w:val="fr-CA"/>
              </w:rPr>
              <w:tab/>
            </w:r>
            <w:r w:rsidR="00BC401D" w:rsidRPr="00CE6C02">
              <w:rPr>
                <w:sz w:val="20"/>
                <w:szCs w:val="20"/>
                <w:lang w:val="fr-CA"/>
              </w:rPr>
              <w:t>Antonio</w:t>
            </w:r>
            <w:r w:rsidR="00CE6C02" w:rsidRPr="00CE6C02">
              <w:rPr>
                <w:sz w:val="20"/>
                <w:szCs w:val="20"/>
                <w:lang w:val="fr-CA"/>
              </w:rPr>
              <w:t xml:space="preserve"> Conte</w:t>
            </w:r>
          </w:p>
          <w:p w:rsidR="00C21644" w:rsidRPr="00CE6C02" w:rsidRDefault="00C21644" w:rsidP="005F1ED8">
            <w:pPr>
              <w:tabs>
                <w:tab w:val="left" w:pos="-1440"/>
                <w:tab w:val="left" w:pos="-720"/>
              </w:tabs>
              <w:rPr>
                <w:sz w:val="20"/>
                <w:szCs w:val="20"/>
                <w:lang w:val="fr-CA"/>
              </w:rPr>
            </w:pPr>
            <w:r w:rsidRPr="00CE6C02">
              <w:rPr>
                <w:sz w:val="20"/>
                <w:szCs w:val="20"/>
                <w:lang w:val="fr-CA"/>
              </w:rPr>
              <w:tab/>
            </w:r>
            <w:r w:rsidR="00CE6C02" w:rsidRPr="00CE6C02">
              <w:rPr>
                <w:sz w:val="20"/>
                <w:szCs w:val="20"/>
                <w:lang w:val="fr-CA"/>
              </w:rPr>
              <w:t>Conte, A., Professional Corporation</w:t>
            </w:r>
          </w:p>
          <w:p w:rsidR="00C21644" w:rsidRPr="00CE6C02" w:rsidRDefault="00C21644" w:rsidP="005F1ED8">
            <w:pPr>
              <w:tabs>
                <w:tab w:val="left" w:pos="-1440"/>
                <w:tab w:val="left" w:pos="-720"/>
              </w:tabs>
              <w:rPr>
                <w:sz w:val="20"/>
                <w:szCs w:val="20"/>
                <w:lang w:val="fr-CA"/>
              </w:rPr>
            </w:pPr>
          </w:p>
          <w:p w:rsidR="00C21644" w:rsidRPr="00A935AA" w:rsidRDefault="00C21644" w:rsidP="005F1ED8">
            <w:pPr>
              <w:tabs>
                <w:tab w:val="left" w:pos="-1440"/>
                <w:tab w:val="left" w:pos="-720"/>
              </w:tabs>
              <w:rPr>
                <w:sz w:val="20"/>
                <w:szCs w:val="20"/>
              </w:rPr>
            </w:pPr>
            <w:r w:rsidRPr="00CE6C02">
              <w:rPr>
                <w:sz w:val="20"/>
                <w:szCs w:val="20"/>
                <w:lang w:val="fr-CA"/>
              </w:rPr>
              <w:tab/>
            </w:r>
            <w:r w:rsidRPr="00A935AA">
              <w:rPr>
                <w:sz w:val="20"/>
                <w:szCs w:val="20"/>
              </w:rPr>
              <w:t>v. (</w:t>
            </w:r>
            <w:r w:rsidR="00CE6C02">
              <w:rPr>
                <w:sz w:val="20"/>
                <w:szCs w:val="20"/>
              </w:rPr>
              <w:t>36276)</w:t>
            </w:r>
          </w:p>
          <w:p w:rsidR="00C21644" w:rsidRPr="00A935AA" w:rsidRDefault="00C21644" w:rsidP="005F1ED8">
            <w:pPr>
              <w:tabs>
                <w:tab w:val="left" w:pos="-1440"/>
                <w:tab w:val="left" w:pos="-720"/>
              </w:tabs>
              <w:rPr>
                <w:sz w:val="20"/>
                <w:szCs w:val="20"/>
              </w:rPr>
            </w:pPr>
          </w:p>
          <w:p w:rsidR="00C21644" w:rsidRPr="00A935AA" w:rsidRDefault="00CE6C02" w:rsidP="005F1ED8">
            <w:pPr>
              <w:tabs>
                <w:tab w:val="left" w:pos="-1440"/>
                <w:tab w:val="left" w:pos="-720"/>
              </w:tabs>
              <w:rPr>
                <w:b/>
                <w:sz w:val="20"/>
                <w:szCs w:val="20"/>
              </w:rPr>
            </w:pPr>
            <w:r>
              <w:rPr>
                <w:b/>
                <w:sz w:val="20"/>
                <w:szCs w:val="20"/>
              </w:rPr>
              <w:t xml:space="preserve">Capital Direct Lending Corp. et al.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CE6C02">
              <w:rPr>
                <w:sz w:val="20"/>
                <w:szCs w:val="20"/>
              </w:rPr>
              <w:t>Kim T. Duong</w:t>
            </w:r>
          </w:p>
          <w:p w:rsidR="00C21644" w:rsidRPr="00A935AA" w:rsidRDefault="00C21644" w:rsidP="005F1ED8">
            <w:pPr>
              <w:tabs>
                <w:tab w:val="left" w:pos="-1440"/>
                <w:tab w:val="left" w:pos="-720"/>
              </w:tabs>
              <w:rPr>
                <w:sz w:val="20"/>
                <w:szCs w:val="20"/>
              </w:rPr>
            </w:pPr>
            <w:r w:rsidRPr="00A935AA">
              <w:rPr>
                <w:sz w:val="20"/>
                <w:szCs w:val="20"/>
              </w:rPr>
              <w:tab/>
            </w:r>
            <w:r w:rsidR="00CE6C02">
              <w:rPr>
                <w:sz w:val="20"/>
                <w:szCs w:val="20"/>
              </w:rPr>
              <w:t>Lloyd Burns LLP</w:t>
            </w:r>
          </w:p>
          <w:p w:rsidR="00C21644" w:rsidRPr="00A935AA" w:rsidRDefault="00C21644" w:rsidP="005F1ED8">
            <w:pPr>
              <w:tabs>
                <w:tab w:val="left" w:pos="-1440"/>
                <w:tab w:val="left" w:pos="-720"/>
              </w:tabs>
              <w:rPr>
                <w:sz w:val="20"/>
                <w:szCs w:val="20"/>
              </w:rPr>
            </w:pPr>
          </w:p>
          <w:p w:rsidR="00C21644" w:rsidRPr="00A935AA" w:rsidRDefault="00C21644" w:rsidP="00CE6C02">
            <w:pPr>
              <w:rPr>
                <w:sz w:val="20"/>
                <w:szCs w:val="20"/>
              </w:rPr>
            </w:pPr>
            <w:r w:rsidRPr="00A935AA">
              <w:rPr>
                <w:sz w:val="20"/>
                <w:szCs w:val="20"/>
              </w:rPr>
              <w:t>FILING DATE: 2</w:t>
            </w:r>
            <w:r w:rsidR="00CE6C02">
              <w:rPr>
                <w:sz w:val="20"/>
                <w:szCs w:val="20"/>
              </w:rPr>
              <w:t>2</w:t>
            </w:r>
            <w:r w:rsidRPr="00A935AA">
              <w:rPr>
                <w:sz w:val="20"/>
                <w:szCs w:val="20"/>
              </w:rPr>
              <w:t>.0</w:t>
            </w:r>
            <w:r w:rsidR="00CE6C02">
              <w:rPr>
                <w:sz w:val="20"/>
                <w:szCs w:val="20"/>
              </w:rPr>
              <w:t>1</w:t>
            </w:r>
            <w:r w:rsidRPr="00A935AA">
              <w:rPr>
                <w:sz w:val="20"/>
                <w:szCs w:val="20"/>
              </w:rPr>
              <w:t>.201</w:t>
            </w:r>
            <w:r w:rsidR="00CE6C02">
              <w:rPr>
                <w:sz w:val="20"/>
                <w:szCs w:val="20"/>
              </w:rPr>
              <w:t>5</w:t>
            </w:r>
            <w:r w:rsidR="005A3634">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CE6C02" w:rsidP="005F1ED8">
            <w:pPr>
              <w:rPr>
                <w:b/>
                <w:sz w:val="20"/>
                <w:szCs w:val="20"/>
              </w:rPr>
            </w:pPr>
            <w:r>
              <w:rPr>
                <w:b/>
                <w:sz w:val="20"/>
                <w:szCs w:val="20"/>
              </w:rPr>
              <w:t>Andrew Stevenson</w:t>
            </w:r>
          </w:p>
          <w:p w:rsidR="00C21644" w:rsidRPr="00A935AA" w:rsidRDefault="00C21644" w:rsidP="005F1ED8">
            <w:pPr>
              <w:tabs>
                <w:tab w:val="left" w:pos="-1440"/>
                <w:tab w:val="left" w:pos="-720"/>
              </w:tabs>
              <w:rPr>
                <w:sz w:val="20"/>
                <w:szCs w:val="20"/>
              </w:rPr>
            </w:pPr>
            <w:r w:rsidRPr="00A935AA">
              <w:rPr>
                <w:sz w:val="20"/>
                <w:szCs w:val="20"/>
              </w:rPr>
              <w:tab/>
            </w:r>
            <w:r w:rsidR="00CE6C02">
              <w:rPr>
                <w:sz w:val="20"/>
                <w:szCs w:val="20"/>
              </w:rPr>
              <w:t>Michael Lacy</w:t>
            </w:r>
          </w:p>
          <w:p w:rsidR="00C21644" w:rsidRPr="00A935AA" w:rsidRDefault="00C21644" w:rsidP="005F1ED8">
            <w:pPr>
              <w:tabs>
                <w:tab w:val="left" w:pos="-1440"/>
                <w:tab w:val="left" w:pos="-720"/>
              </w:tabs>
              <w:rPr>
                <w:sz w:val="20"/>
                <w:szCs w:val="20"/>
              </w:rPr>
            </w:pPr>
            <w:r w:rsidRPr="00A935AA">
              <w:rPr>
                <w:sz w:val="20"/>
                <w:szCs w:val="20"/>
              </w:rPr>
              <w:tab/>
            </w:r>
            <w:r w:rsidR="00CE6C02">
              <w:rPr>
                <w:sz w:val="20"/>
                <w:szCs w:val="20"/>
              </w:rPr>
              <w:t>Greenspan Partners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CE6C02">
              <w:rPr>
                <w:sz w:val="20"/>
                <w:szCs w:val="20"/>
              </w:rPr>
              <w:t>6281</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CE6C02" w:rsidP="005F1ED8">
            <w:pPr>
              <w:tabs>
                <w:tab w:val="left" w:pos="-1440"/>
                <w:tab w:val="left" w:pos="-720"/>
              </w:tabs>
              <w:rPr>
                <w:b/>
                <w:sz w:val="20"/>
                <w:szCs w:val="20"/>
              </w:rPr>
            </w:pPr>
            <w:r>
              <w:rPr>
                <w:b/>
                <w:sz w:val="20"/>
                <w:szCs w:val="20"/>
              </w:rPr>
              <w:t>Her Majesty the Queen</w:t>
            </w:r>
            <w:r w:rsidRPr="00A935AA">
              <w:rPr>
                <w:b/>
                <w:sz w:val="20"/>
                <w:szCs w:val="20"/>
              </w:rPr>
              <w:t xml:space="preserve">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CE6C02">
              <w:rPr>
                <w:sz w:val="20"/>
                <w:szCs w:val="20"/>
              </w:rPr>
              <w:t>John S. McInnes</w:t>
            </w:r>
          </w:p>
          <w:p w:rsidR="00C21644" w:rsidRPr="00A935AA" w:rsidRDefault="00C21644" w:rsidP="005F1ED8">
            <w:pPr>
              <w:tabs>
                <w:tab w:val="left" w:pos="-1440"/>
                <w:tab w:val="left" w:pos="-720"/>
              </w:tabs>
              <w:rPr>
                <w:sz w:val="20"/>
                <w:szCs w:val="20"/>
              </w:rPr>
            </w:pPr>
            <w:r w:rsidRPr="00A935AA">
              <w:rPr>
                <w:sz w:val="20"/>
                <w:szCs w:val="20"/>
              </w:rPr>
              <w:tab/>
            </w:r>
            <w:r w:rsidR="00CE6C02">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CE6C02">
            <w:pPr>
              <w:rPr>
                <w:sz w:val="20"/>
                <w:szCs w:val="20"/>
              </w:rPr>
            </w:pPr>
            <w:r w:rsidRPr="00A935AA">
              <w:rPr>
                <w:sz w:val="20"/>
                <w:szCs w:val="20"/>
              </w:rPr>
              <w:t>FILING DATE: 2</w:t>
            </w:r>
            <w:r w:rsidR="00CE6C02">
              <w:rPr>
                <w:sz w:val="20"/>
                <w:szCs w:val="20"/>
              </w:rPr>
              <w:t>3</w:t>
            </w:r>
            <w:r w:rsidRPr="00A935AA">
              <w:rPr>
                <w:sz w:val="20"/>
                <w:szCs w:val="20"/>
              </w:rPr>
              <w:t>.0</w:t>
            </w:r>
            <w:r w:rsidR="00CE6C02">
              <w:rPr>
                <w:sz w:val="20"/>
                <w:szCs w:val="20"/>
              </w:rPr>
              <w:t>1</w:t>
            </w:r>
            <w:r w:rsidRPr="00A935AA">
              <w:rPr>
                <w:sz w:val="20"/>
                <w:szCs w:val="20"/>
              </w:rPr>
              <w:t>.201</w:t>
            </w:r>
            <w:r w:rsidR="00CE6C02">
              <w:rPr>
                <w:sz w:val="20"/>
                <w:szCs w:val="20"/>
              </w:rPr>
              <w:t>5</w:t>
            </w:r>
            <w:r w:rsidR="005A3634">
              <w:rPr>
                <w:sz w:val="20"/>
                <w:szCs w:val="20"/>
                <w:lang w:val="fr-CA"/>
              </w:rPr>
              <w:pict>
                <v:rect id="_x0000_i1034" style="width:108pt;height:1pt" o:hrpct="0" o:hralign="center" o:hrstd="t" o:hrnoshade="t" o:hr="t" fillcolor="black [3213]" stroked="f"/>
              </w:pict>
            </w:r>
          </w:p>
        </w:tc>
      </w:tr>
      <w:tr w:rsidR="00C21644" w:rsidRPr="00CE6C02" w:rsidTr="003B3977">
        <w:trPr>
          <w:cantSplit/>
        </w:trPr>
        <w:tc>
          <w:tcPr>
            <w:tcW w:w="4320" w:type="dxa"/>
            <w:shd w:val="clear" w:color="auto" w:fill="auto"/>
          </w:tcPr>
          <w:p w:rsidR="00C21644" w:rsidRPr="00CE6C02" w:rsidRDefault="00CE6C02" w:rsidP="005F1ED8">
            <w:pPr>
              <w:rPr>
                <w:b/>
                <w:sz w:val="20"/>
                <w:szCs w:val="20"/>
                <w:lang w:val="fr-CA"/>
              </w:rPr>
            </w:pPr>
            <w:r w:rsidRPr="00CE6C02">
              <w:rPr>
                <w:b/>
                <w:sz w:val="20"/>
                <w:szCs w:val="20"/>
                <w:lang w:val="fr-CA"/>
              </w:rPr>
              <w:t>Daniel Beaulieu et autres</w:t>
            </w:r>
          </w:p>
          <w:p w:rsidR="00C21644" w:rsidRPr="00CE6C02" w:rsidRDefault="00C21644" w:rsidP="005F1ED8">
            <w:pPr>
              <w:tabs>
                <w:tab w:val="left" w:pos="-1440"/>
                <w:tab w:val="left" w:pos="-720"/>
              </w:tabs>
              <w:rPr>
                <w:sz w:val="20"/>
                <w:szCs w:val="20"/>
                <w:lang w:val="fr-CA"/>
              </w:rPr>
            </w:pPr>
            <w:r w:rsidRPr="00CE6C02">
              <w:rPr>
                <w:sz w:val="20"/>
                <w:szCs w:val="20"/>
                <w:lang w:val="fr-CA"/>
              </w:rPr>
              <w:tab/>
            </w:r>
            <w:r w:rsidR="00CE6C02">
              <w:rPr>
                <w:sz w:val="20"/>
                <w:szCs w:val="20"/>
                <w:lang w:val="fr-CA"/>
              </w:rPr>
              <w:t>Lida Sara Nouraie</w:t>
            </w:r>
          </w:p>
          <w:p w:rsidR="00C21644" w:rsidRPr="00CE6C02" w:rsidRDefault="00C21644" w:rsidP="005F1ED8">
            <w:pPr>
              <w:tabs>
                <w:tab w:val="left" w:pos="-1440"/>
                <w:tab w:val="left" w:pos="-720"/>
              </w:tabs>
              <w:rPr>
                <w:sz w:val="20"/>
                <w:szCs w:val="20"/>
                <w:lang w:val="fr-CA"/>
              </w:rPr>
            </w:pPr>
            <w:r w:rsidRPr="00CE6C02">
              <w:rPr>
                <w:sz w:val="20"/>
                <w:szCs w:val="20"/>
                <w:lang w:val="fr-CA"/>
              </w:rPr>
              <w:tab/>
            </w:r>
            <w:r w:rsidR="00CE6C02">
              <w:rPr>
                <w:sz w:val="20"/>
                <w:szCs w:val="20"/>
                <w:lang w:val="fr-CA"/>
              </w:rPr>
              <w:t>Desrosiers, Joncas, Nouraie, Massicotte</w:t>
            </w:r>
          </w:p>
          <w:p w:rsidR="00C21644" w:rsidRPr="00CE6C02" w:rsidRDefault="00C21644" w:rsidP="005F1ED8">
            <w:pPr>
              <w:tabs>
                <w:tab w:val="left" w:pos="-1440"/>
                <w:tab w:val="left" w:pos="-720"/>
              </w:tabs>
              <w:rPr>
                <w:sz w:val="20"/>
                <w:szCs w:val="20"/>
                <w:lang w:val="fr-CA"/>
              </w:rPr>
            </w:pPr>
          </w:p>
          <w:p w:rsidR="00C21644" w:rsidRPr="00CE6C02" w:rsidRDefault="00C21644" w:rsidP="005F1ED8">
            <w:pPr>
              <w:tabs>
                <w:tab w:val="left" w:pos="-1440"/>
                <w:tab w:val="left" w:pos="-720"/>
              </w:tabs>
              <w:rPr>
                <w:sz w:val="20"/>
                <w:szCs w:val="20"/>
                <w:lang w:val="fr-CA"/>
              </w:rPr>
            </w:pPr>
            <w:r w:rsidRPr="00CE6C02">
              <w:rPr>
                <w:sz w:val="20"/>
                <w:szCs w:val="20"/>
                <w:lang w:val="fr-CA"/>
              </w:rPr>
              <w:tab/>
            </w:r>
            <w:r w:rsidR="00CE6C02" w:rsidRPr="00CE6C02">
              <w:rPr>
                <w:sz w:val="20"/>
                <w:szCs w:val="20"/>
                <w:lang w:val="fr-CA"/>
              </w:rPr>
              <w:t>c</w:t>
            </w:r>
            <w:r w:rsidRPr="00CE6C02">
              <w:rPr>
                <w:sz w:val="20"/>
                <w:szCs w:val="20"/>
                <w:lang w:val="fr-CA"/>
              </w:rPr>
              <w:t>. (3</w:t>
            </w:r>
            <w:r w:rsidR="00CE6C02" w:rsidRPr="00CE6C02">
              <w:rPr>
                <w:sz w:val="20"/>
                <w:szCs w:val="20"/>
                <w:lang w:val="fr-CA"/>
              </w:rPr>
              <w:t>6278</w:t>
            </w:r>
            <w:r w:rsidRPr="00CE6C02">
              <w:rPr>
                <w:sz w:val="20"/>
                <w:szCs w:val="20"/>
                <w:lang w:val="fr-CA"/>
              </w:rPr>
              <w:t>)</w:t>
            </w:r>
          </w:p>
          <w:p w:rsidR="00C21644" w:rsidRPr="00CE6C02" w:rsidRDefault="00C21644" w:rsidP="005F1ED8">
            <w:pPr>
              <w:tabs>
                <w:tab w:val="left" w:pos="-1440"/>
                <w:tab w:val="left" w:pos="-720"/>
              </w:tabs>
              <w:rPr>
                <w:sz w:val="20"/>
                <w:szCs w:val="20"/>
                <w:lang w:val="fr-CA"/>
              </w:rPr>
            </w:pPr>
          </w:p>
          <w:p w:rsidR="00C21644" w:rsidRPr="00CE6C02" w:rsidRDefault="00CE6C02" w:rsidP="005F1ED8">
            <w:pPr>
              <w:tabs>
                <w:tab w:val="left" w:pos="-1440"/>
                <w:tab w:val="left" w:pos="-720"/>
              </w:tabs>
              <w:rPr>
                <w:b/>
                <w:sz w:val="20"/>
                <w:szCs w:val="20"/>
                <w:lang w:val="fr-CA"/>
              </w:rPr>
            </w:pPr>
            <w:r w:rsidRPr="00CE6C02">
              <w:rPr>
                <w:b/>
                <w:sz w:val="20"/>
                <w:szCs w:val="20"/>
                <w:lang w:val="fr-CA"/>
              </w:rPr>
              <w:t xml:space="preserve">Sa Majesté la Reine </w:t>
            </w:r>
            <w:r w:rsidR="00C21644" w:rsidRPr="00CE6C02">
              <w:rPr>
                <w:b/>
                <w:sz w:val="20"/>
                <w:szCs w:val="20"/>
                <w:lang w:val="fr-CA"/>
              </w:rPr>
              <w:t>(</w:t>
            </w:r>
            <w:r w:rsidRPr="00CE6C02">
              <w:rPr>
                <w:b/>
                <w:sz w:val="20"/>
                <w:szCs w:val="20"/>
                <w:lang w:val="fr-CA"/>
              </w:rPr>
              <w:t>Qc</w:t>
            </w:r>
            <w:r w:rsidR="00C21644" w:rsidRPr="00CE6C02">
              <w:rPr>
                <w:b/>
                <w:sz w:val="20"/>
                <w:szCs w:val="20"/>
                <w:lang w:val="fr-CA"/>
              </w:rPr>
              <w:t>)</w:t>
            </w:r>
          </w:p>
          <w:p w:rsidR="00C21644" w:rsidRPr="00CE6C02" w:rsidRDefault="00C21644" w:rsidP="005F1ED8">
            <w:pPr>
              <w:tabs>
                <w:tab w:val="left" w:pos="-1440"/>
                <w:tab w:val="left" w:pos="-720"/>
              </w:tabs>
              <w:rPr>
                <w:sz w:val="20"/>
                <w:szCs w:val="20"/>
                <w:lang w:val="fr-CA"/>
              </w:rPr>
            </w:pPr>
            <w:r w:rsidRPr="00CE6C02">
              <w:rPr>
                <w:sz w:val="20"/>
                <w:szCs w:val="20"/>
                <w:lang w:val="fr-CA"/>
              </w:rPr>
              <w:tab/>
            </w:r>
            <w:r w:rsidR="00CE6C02">
              <w:rPr>
                <w:sz w:val="20"/>
                <w:szCs w:val="20"/>
                <w:lang w:val="fr-CA"/>
              </w:rPr>
              <w:t>Marie-Claude Bourassa</w:t>
            </w:r>
          </w:p>
          <w:p w:rsidR="00C21644" w:rsidRPr="00CE6C02" w:rsidRDefault="00C21644" w:rsidP="005F1ED8">
            <w:pPr>
              <w:tabs>
                <w:tab w:val="left" w:pos="-1440"/>
                <w:tab w:val="left" w:pos="-720"/>
              </w:tabs>
              <w:rPr>
                <w:sz w:val="20"/>
                <w:szCs w:val="20"/>
                <w:lang w:val="fr-CA"/>
              </w:rPr>
            </w:pPr>
            <w:r w:rsidRPr="00CE6C02">
              <w:rPr>
                <w:sz w:val="20"/>
                <w:szCs w:val="20"/>
                <w:lang w:val="fr-CA"/>
              </w:rPr>
              <w:tab/>
            </w:r>
            <w:r w:rsidR="00CE6C02">
              <w:rPr>
                <w:sz w:val="20"/>
                <w:szCs w:val="20"/>
                <w:lang w:val="fr-CA"/>
              </w:rPr>
              <w:t xml:space="preserve">Directeur des poursuites criminelles et </w:t>
            </w:r>
            <w:r w:rsidR="00CE6C02">
              <w:rPr>
                <w:sz w:val="20"/>
                <w:szCs w:val="20"/>
                <w:lang w:val="fr-CA"/>
              </w:rPr>
              <w:tab/>
              <w:t>pénales du Québec</w:t>
            </w:r>
          </w:p>
          <w:p w:rsidR="00C21644" w:rsidRPr="00CE6C02" w:rsidRDefault="00C21644" w:rsidP="005F1ED8">
            <w:pPr>
              <w:tabs>
                <w:tab w:val="left" w:pos="-1440"/>
                <w:tab w:val="left" w:pos="-720"/>
              </w:tabs>
              <w:rPr>
                <w:sz w:val="20"/>
                <w:szCs w:val="20"/>
                <w:lang w:val="fr-CA"/>
              </w:rPr>
            </w:pPr>
          </w:p>
          <w:p w:rsidR="00C21644" w:rsidRPr="00CE6C02" w:rsidRDefault="00F80E5D" w:rsidP="00CE6C02">
            <w:pPr>
              <w:rPr>
                <w:sz w:val="20"/>
                <w:szCs w:val="20"/>
                <w:lang w:val="fr-CA"/>
              </w:rPr>
            </w:pPr>
            <w:r>
              <w:rPr>
                <w:sz w:val="20"/>
                <w:szCs w:val="20"/>
                <w:lang w:val="fr-CA"/>
              </w:rPr>
              <w:t>et entre</w:t>
            </w:r>
          </w:p>
        </w:tc>
        <w:tc>
          <w:tcPr>
            <w:tcW w:w="1181" w:type="dxa"/>
            <w:shd w:val="clear" w:color="auto" w:fill="auto"/>
          </w:tcPr>
          <w:p w:rsidR="00C21644" w:rsidRPr="00CE6C02" w:rsidRDefault="00C21644" w:rsidP="00242AEE">
            <w:pPr>
              <w:jc w:val="center"/>
              <w:rPr>
                <w:sz w:val="20"/>
                <w:szCs w:val="20"/>
                <w:lang w:val="fr-CA"/>
              </w:rPr>
            </w:pPr>
          </w:p>
          <w:p w:rsidR="00C21644" w:rsidRPr="00CE6C02" w:rsidRDefault="00C21644" w:rsidP="00242AEE">
            <w:pPr>
              <w:jc w:val="center"/>
              <w:rPr>
                <w:sz w:val="20"/>
                <w:szCs w:val="20"/>
                <w:lang w:val="fr-CA"/>
              </w:rPr>
            </w:pPr>
          </w:p>
          <w:p w:rsidR="00C21644" w:rsidRPr="00CE6C02" w:rsidRDefault="00C21644" w:rsidP="00242AEE">
            <w:pPr>
              <w:jc w:val="center"/>
              <w:rPr>
                <w:sz w:val="20"/>
                <w:szCs w:val="20"/>
                <w:lang w:val="fr-CA"/>
              </w:rPr>
            </w:pPr>
          </w:p>
          <w:p w:rsidR="00C21644" w:rsidRPr="00CE6C02" w:rsidRDefault="00C21644" w:rsidP="00242AEE">
            <w:pPr>
              <w:jc w:val="center"/>
              <w:rPr>
                <w:sz w:val="20"/>
                <w:szCs w:val="20"/>
                <w:lang w:val="fr-CA"/>
              </w:rPr>
            </w:pPr>
          </w:p>
          <w:p w:rsidR="00C21644" w:rsidRPr="00CE6C02" w:rsidRDefault="00C21644" w:rsidP="00242AEE">
            <w:pPr>
              <w:jc w:val="center"/>
              <w:rPr>
                <w:sz w:val="20"/>
                <w:szCs w:val="20"/>
                <w:lang w:val="fr-CA"/>
              </w:rPr>
            </w:pPr>
          </w:p>
          <w:p w:rsidR="00C21644" w:rsidRPr="00CE6C02" w:rsidRDefault="00C21644" w:rsidP="00242AEE">
            <w:pPr>
              <w:jc w:val="center"/>
              <w:rPr>
                <w:sz w:val="20"/>
                <w:szCs w:val="20"/>
                <w:lang w:val="fr-CA"/>
              </w:rPr>
            </w:pPr>
          </w:p>
          <w:p w:rsidR="00C21644" w:rsidRPr="00CE6C02" w:rsidRDefault="00C21644" w:rsidP="00242AEE">
            <w:pPr>
              <w:jc w:val="center"/>
              <w:rPr>
                <w:sz w:val="20"/>
                <w:szCs w:val="20"/>
                <w:lang w:val="fr-CA"/>
              </w:rPr>
            </w:pPr>
          </w:p>
          <w:p w:rsidR="00C21644" w:rsidRPr="00CE6C02" w:rsidRDefault="00C21644" w:rsidP="00242AEE">
            <w:pPr>
              <w:jc w:val="center"/>
              <w:rPr>
                <w:sz w:val="20"/>
                <w:szCs w:val="20"/>
                <w:lang w:val="fr-CA"/>
              </w:rPr>
            </w:pPr>
          </w:p>
          <w:p w:rsidR="00C21644" w:rsidRPr="00CE6C02" w:rsidRDefault="00C21644" w:rsidP="00242AEE">
            <w:pPr>
              <w:jc w:val="center"/>
              <w:rPr>
                <w:sz w:val="20"/>
                <w:szCs w:val="20"/>
                <w:lang w:val="fr-CA"/>
              </w:rPr>
            </w:pPr>
          </w:p>
          <w:p w:rsidR="00C21644" w:rsidRDefault="00C21644" w:rsidP="00242AEE">
            <w:pPr>
              <w:jc w:val="center"/>
              <w:rPr>
                <w:sz w:val="20"/>
                <w:szCs w:val="20"/>
                <w:lang w:val="fr-CA"/>
              </w:rPr>
            </w:pPr>
          </w:p>
          <w:p w:rsidR="00F80E5D" w:rsidRPr="00CE6C02" w:rsidRDefault="00F80E5D" w:rsidP="00242AEE">
            <w:pPr>
              <w:jc w:val="center"/>
              <w:rPr>
                <w:sz w:val="20"/>
                <w:szCs w:val="20"/>
                <w:lang w:val="fr-CA"/>
              </w:rPr>
            </w:pPr>
          </w:p>
          <w:p w:rsidR="00C21644" w:rsidRPr="00CE6C02" w:rsidRDefault="00C21644" w:rsidP="00242AEE">
            <w:pPr>
              <w:jc w:val="center"/>
              <w:rPr>
                <w:sz w:val="20"/>
                <w:szCs w:val="20"/>
                <w:lang w:val="fr-CA"/>
              </w:rPr>
            </w:pPr>
          </w:p>
        </w:tc>
        <w:tc>
          <w:tcPr>
            <w:tcW w:w="4320" w:type="dxa"/>
            <w:shd w:val="clear" w:color="auto" w:fill="auto"/>
          </w:tcPr>
          <w:p w:rsidR="00C21644" w:rsidRPr="00CE6C02" w:rsidRDefault="00F80E5D" w:rsidP="005F1ED8">
            <w:pPr>
              <w:rPr>
                <w:b/>
                <w:sz w:val="20"/>
                <w:szCs w:val="20"/>
                <w:lang w:val="fr-CA"/>
              </w:rPr>
            </w:pPr>
            <w:r>
              <w:rPr>
                <w:b/>
                <w:sz w:val="20"/>
                <w:szCs w:val="20"/>
                <w:lang w:val="fr-CA"/>
              </w:rPr>
              <w:t>Jennifer Tanudjaja et al.</w:t>
            </w:r>
          </w:p>
          <w:p w:rsidR="00C21644" w:rsidRPr="00CE6C02" w:rsidRDefault="00C21644" w:rsidP="005F1ED8">
            <w:pPr>
              <w:tabs>
                <w:tab w:val="left" w:pos="-1440"/>
                <w:tab w:val="left" w:pos="-720"/>
              </w:tabs>
              <w:rPr>
                <w:sz w:val="20"/>
                <w:szCs w:val="20"/>
                <w:lang w:val="fr-CA"/>
              </w:rPr>
            </w:pPr>
            <w:r w:rsidRPr="00CE6C02">
              <w:rPr>
                <w:sz w:val="20"/>
                <w:szCs w:val="20"/>
                <w:lang w:val="fr-CA"/>
              </w:rPr>
              <w:tab/>
            </w:r>
            <w:r w:rsidR="00F80E5D">
              <w:rPr>
                <w:sz w:val="20"/>
                <w:szCs w:val="20"/>
                <w:lang w:val="fr-CA"/>
              </w:rPr>
              <w:t>Fay Faraday</w:t>
            </w:r>
          </w:p>
          <w:p w:rsidR="00C21644" w:rsidRPr="00CE6C02" w:rsidRDefault="00C21644" w:rsidP="005F1ED8">
            <w:pPr>
              <w:tabs>
                <w:tab w:val="left" w:pos="-1440"/>
                <w:tab w:val="left" w:pos="-720"/>
              </w:tabs>
              <w:rPr>
                <w:sz w:val="20"/>
                <w:szCs w:val="20"/>
                <w:lang w:val="fr-CA"/>
              </w:rPr>
            </w:pPr>
          </w:p>
          <w:p w:rsidR="00C21644" w:rsidRPr="00F80E5D" w:rsidRDefault="00C21644" w:rsidP="005F1ED8">
            <w:pPr>
              <w:tabs>
                <w:tab w:val="left" w:pos="-1440"/>
                <w:tab w:val="left" w:pos="-720"/>
              </w:tabs>
              <w:rPr>
                <w:sz w:val="20"/>
                <w:szCs w:val="20"/>
              </w:rPr>
            </w:pPr>
            <w:r w:rsidRPr="00CE6C02">
              <w:rPr>
                <w:sz w:val="20"/>
                <w:szCs w:val="20"/>
                <w:lang w:val="fr-CA"/>
              </w:rPr>
              <w:tab/>
            </w:r>
            <w:r w:rsidRPr="00F80E5D">
              <w:rPr>
                <w:sz w:val="20"/>
                <w:szCs w:val="20"/>
              </w:rPr>
              <w:t>v. (3</w:t>
            </w:r>
            <w:r w:rsidR="00F80E5D" w:rsidRPr="00F80E5D">
              <w:rPr>
                <w:sz w:val="20"/>
                <w:szCs w:val="20"/>
              </w:rPr>
              <w:t>6283</w:t>
            </w:r>
            <w:r w:rsidRPr="00F80E5D">
              <w:rPr>
                <w:sz w:val="20"/>
                <w:szCs w:val="20"/>
              </w:rPr>
              <w:t>)</w:t>
            </w:r>
          </w:p>
          <w:p w:rsidR="00C21644" w:rsidRPr="00F80E5D" w:rsidRDefault="00C21644" w:rsidP="005F1ED8">
            <w:pPr>
              <w:tabs>
                <w:tab w:val="left" w:pos="-1440"/>
                <w:tab w:val="left" w:pos="-720"/>
              </w:tabs>
              <w:rPr>
                <w:sz w:val="20"/>
                <w:szCs w:val="20"/>
              </w:rPr>
            </w:pPr>
          </w:p>
          <w:p w:rsidR="00C21644" w:rsidRPr="00F80E5D" w:rsidRDefault="00F80E5D" w:rsidP="005F1ED8">
            <w:pPr>
              <w:tabs>
                <w:tab w:val="left" w:pos="-1440"/>
                <w:tab w:val="left" w:pos="-720"/>
              </w:tabs>
              <w:rPr>
                <w:b/>
                <w:sz w:val="20"/>
                <w:szCs w:val="20"/>
              </w:rPr>
            </w:pPr>
            <w:r w:rsidRPr="00F80E5D">
              <w:rPr>
                <w:b/>
                <w:sz w:val="20"/>
                <w:szCs w:val="20"/>
              </w:rPr>
              <w:t xml:space="preserve">Attorney General of Canada </w:t>
            </w:r>
            <w:r w:rsidR="00A3387E">
              <w:rPr>
                <w:b/>
                <w:sz w:val="20"/>
                <w:szCs w:val="20"/>
              </w:rPr>
              <w:t xml:space="preserve">et al. </w:t>
            </w:r>
            <w:r w:rsidR="00C21644" w:rsidRPr="00F80E5D">
              <w:rPr>
                <w:b/>
                <w:sz w:val="20"/>
                <w:szCs w:val="20"/>
              </w:rPr>
              <w:t>(Ont.)</w:t>
            </w:r>
          </w:p>
          <w:p w:rsidR="00C21644" w:rsidRPr="00F80E5D" w:rsidRDefault="00C21644" w:rsidP="005F1ED8">
            <w:pPr>
              <w:tabs>
                <w:tab w:val="left" w:pos="-1440"/>
                <w:tab w:val="left" w:pos="-720"/>
              </w:tabs>
              <w:rPr>
                <w:sz w:val="20"/>
                <w:szCs w:val="20"/>
              </w:rPr>
            </w:pPr>
            <w:r w:rsidRPr="00F80E5D">
              <w:rPr>
                <w:sz w:val="20"/>
                <w:szCs w:val="20"/>
              </w:rPr>
              <w:tab/>
            </w:r>
            <w:r w:rsidR="00F80E5D">
              <w:rPr>
                <w:sz w:val="20"/>
                <w:szCs w:val="20"/>
              </w:rPr>
              <w:t>Michael H. Morris</w:t>
            </w:r>
          </w:p>
          <w:p w:rsidR="00C21644" w:rsidRPr="00F80E5D" w:rsidRDefault="00C21644" w:rsidP="005F1ED8">
            <w:pPr>
              <w:tabs>
                <w:tab w:val="left" w:pos="-1440"/>
                <w:tab w:val="left" w:pos="-720"/>
              </w:tabs>
              <w:rPr>
                <w:sz w:val="20"/>
                <w:szCs w:val="20"/>
              </w:rPr>
            </w:pPr>
            <w:r w:rsidRPr="00F80E5D">
              <w:rPr>
                <w:sz w:val="20"/>
                <w:szCs w:val="20"/>
              </w:rPr>
              <w:tab/>
            </w:r>
            <w:r w:rsidR="00F80E5D">
              <w:rPr>
                <w:sz w:val="20"/>
                <w:szCs w:val="20"/>
              </w:rPr>
              <w:t>A.G. of Canada</w:t>
            </w:r>
          </w:p>
          <w:p w:rsidR="00C21644" w:rsidRPr="00F80E5D" w:rsidRDefault="00C21644" w:rsidP="005F1ED8">
            <w:pPr>
              <w:tabs>
                <w:tab w:val="left" w:pos="-1440"/>
                <w:tab w:val="left" w:pos="-720"/>
              </w:tabs>
              <w:rPr>
                <w:sz w:val="20"/>
                <w:szCs w:val="20"/>
              </w:rPr>
            </w:pPr>
          </w:p>
          <w:p w:rsidR="00C21644" w:rsidRPr="00CE6C02" w:rsidRDefault="00C21644" w:rsidP="00F80E5D">
            <w:pPr>
              <w:rPr>
                <w:sz w:val="20"/>
                <w:szCs w:val="20"/>
                <w:lang w:val="fr-CA"/>
              </w:rPr>
            </w:pPr>
            <w:r w:rsidRPr="00CE6C02">
              <w:rPr>
                <w:sz w:val="20"/>
                <w:szCs w:val="20"/>
                <w:lang w:val="fr-CA"/>
              </w:rPr>
              <w:t>FILING DATE: 28.0</w:t>
            </w:r>
            <w:r w:rsidR="00F80E5D">
              <w:rPr>
                <w:sz w:val="20"/>
                <w:szCs w:val="20"/>
                <w:lang w:val="fr-CA"/>
              </w:rPr>
              <w:t>1</w:t>
            </w:r>
            <w:r w:rsidRPr="00CE6C02">
              <w:rPr>
                <w:sz w:val="20"/>
                <w:szCs w:val="20"/>
                <w:lang w:val="fr-CA"/>
              </w:rPr>
              <w:t>.201</w:t>
            </w:r>
            <w:r w:rsidR="00F80E5D">
              <w:rPr>
                <w:sz w:val="20"/>
                <w:szCs w:val="20"/>
                <w:lang w:val="fr-CA"/>
              </w:rPr>
              <w:t>5</w:t>
            </w:r>
            <w:r w:rsidR="005A3634">
              <w:rPr>
                <w:sz w:val="20"/>
                <w:szCs w:val="20"/>
                <w:lang w:val="fr-CA"/>
              </w:rPr>
              <w:pict>
                <v:rect id="_x0000_i1035" style="width:108pt;height:1pt" o:hrpct="0" o:hralign="center" o:hrstd="t" o:hrnoshade="t" o:hr="t" fillcolor="black [3213]" stroked="f"/>
              </w:pict>
            </w:r>
          </w:p>
        </w:tc>
      </w:tr>
      <w:tr w:rsidR="00D84417" w:rsidRPr="00A935AA" w:rsidTr="003B3977">
        <w:trPr>
          <w:cantSplit/>
        </w:trPr>
        <w:tc>
          <w:tcPr>
            <w:tcW w:w="4320" w:type="dxa"/>
            <w:shd w:val="clear" w:color="auto" w:fill="auto"/>
          </w:tcPr>
          <w:p w:rsidR="00F80E5D" w:rsidRPr="00A3387E" w:rsidRDefault="00F80E5D" w:rsidP="00D84417">
            <w:pPr>
              <w:rPr>
                <w:b/>
                <w:sz w:val="20"/>
                <w:szCs w:val="20"/>
                <w:lang w:val="fr-CA"/>
              </w:rPr>
            </w:pPr>
          </w:p>
          <w:p w:rsidR="00D84417" w:rsidRPr="00A3387E" w:rsidRDefault="00CE6C02" w:rsidP="00D84417">
            <w:pPr>
              <w:rPr>
                <w:b/>
                <w:sz w:val="20"/>
                <w:szCs w:val="20"/>
                <w:lang w:val="fr-CA"/>
              </w:rPr>
            </w:pPr>
            <w:r w:rsidRPr="00A3387E">
              <w:rPr>
                <w:b/>
                <w:sz w:val="20"/>
                <w:szCs w:val="20"/>
                <w:lang w:val="fr-CA"/>
              </w:rPr>
              <w:t>Martin Robert</w:t>
            </w:r>
            <w:r w:rsidR="008579F6" w:rsidRPr="00A3387E">
              <w:rPr>
                <w:b/>
                <w:sz w:val="20"/>
                <w:szCs w:val="20"/>
                <w:lang w:val="fr-CA"/>
              </w:rPr>
              <w:t xml:space="preserve"> et autres</w:t>
            </w:r>
          </w:p>
          <w:p w:rsidR="00D84417" w:rsidRPr="00A3387E" w:rsidRDefault="00D84417" w:rsidP="00D84417">
            <w:pPr>
              <w:tabs>
                <w:tab w:val="left" w:pos="-1440"/>
                <w:tab w:val="left" w:pos="-720"/>
              </w:tabs>
              <w:rPr>
                <w:sz w:val="20"/>
                <w:szCs w:val="20"/>
                <w:lang w:val="fr-CA"/>
              </w:rPr>
            </w:pPr>
            <w:r w:rsidRPr="00A3387E">
              <w:rPr>
                <w:sz w:val="20"/>
                <w:szCs w:val="20"/>
                <w:lang w:val="fr-CA"/>
              </w:rPr>
              <w:tab/>
            </w:r>
            <w:r w:rsidR="00CE6C02" w:rsidRPr="00A3387E">
              <w:rPr>
                <w:sz w:val="20"/>
                <w:szCs w:val="20"/>
                <w:lang w:val="fr-CA"/>
              </w:rPr>
              <w:t>Julio Peris</w:t>
            </w:r>
          </w:p>
          <w:p w:rsidR="00D84417" w:rsidRPr="00CE6C02" w:rsidRDefault="00D84417" w:rsidP="00D84417">
            <w:pPr>
              <w:tabs>
                <w:tab w:val="left" w:pos="-1440"/>
                <w:tab w:val="left" w:pos="-720"/>
              </w:tabs>
              <w:rPr>
                <w:sz w:val="20"/>
                <w:szCs w:val="20"/>
              </w:rPr>
            </w:pPr>
            <w:r w:rsidRPr="00A3387E">
              <w:rPr>
                <w:sz w:val="20"/>
                <w:szCs w:val="20"/>
                <w:lang w:val="fr-CA"/>
              </w:rPr>
              <w:tab/>
            </w:r>
            <w:r w:rsidR="00CE6C02" w:rsidRPr="00CE6C02">
              <w:rPr>
                <w:sz w:val="20"/>
                <w:szCs w:val="20"/>
              </w:rPr>
              <w:t>Peris, Sutton &amp; St-Laurent</w:t>
            </w:r>
          </w:p>
          <w:p w:rsidR="00D84417" w:rsidRPr="00CE6C02" w:rsidRDefault="00D84417" w:rsidP="00D84417">
            <w:pPr>
              <w:tabs>
                <w:tab w:val="left" w:pos="-1440"/>
                <w:tab w:val="left" w:pos="-720"/>
              </w:tabs>
              <w:rPr>
                <w:sz w:val="20"/>
                <w:szCs w:val="20"/>
              </w:rPr>
            </w:pPr>
          </w:p>
          <w:p w:rsidR="00D84417" w:rsidRPr="00A3387E" w:rsidRDefault="00D84417" w:rsidP="00D84417">
            <w:pPr>
              <w:tabs>
                <w:tab w:val="left" w:pos="-1440"/>
                <w:tab w:val="left" w:pos="-720"/>
              </w:tabs>
              <w:rPr>
                <w:sz w:val="20"/>
                <w:szCs w:val="20"/>
              </w:rPr>
            </w:pPr>
            <w:r w:rsidRPr="00CE6C02">
              <w:rPr>
                <w:sz w:val="20"/>
                <w:szCs w:val="20"/>
              </w:rPr>
              <w:tab/>
            </w:r>
            <w:r w:rsidR="0061271E">
              <w:rPr>
                <w:sz w:val="20"/>
                <w:szCs w:val="20"/>
              </w:rPr>
              <w:t>c</w:t>
            </w:r>
            <w:r w:rsidRPr="00A3387E">
              <w:rPr>
                <w:sz w:val="20"/>
                <w:szCs w:val="20"/>
              </w:rPr>
              <w:t>. (3</w:t>
            </w:r>
            <w:r w:rsidR="00CE6C02" w:rsidRPr="00A3387E">
              <w:rPr>
                <w:sz w:val="20"/>
                <w:szCs w:val="20"/>
              </w:rPr>
              <w:t>6278</w:t>
            </w:r>
            <w:r w:rsidRPr="00A3387E">
              <w:rPr>
                <w:sz w:val="20"/>
                <w:szCs w:val="20"/>
              </w:rPr>
              <w:t>)</w:t>
            </w:r>
          </w:p>
          <w:p w:rsidR="00D84417" w:rsidRPr="00A3387E" w:rsidRDefault="00D84417" w:rsidP="00D84417">
            <w:pPr>
              <w:tabs>
                <w:tab w:val="left" w:pos="-1440"/>
                <w:tab w:val="left" w:pos="-720"/>
              </w:tabs>
              <w:rPr>
                <w:sz w:val="20"/>
                <w:szCs w:val="20"/>
              </w:rPr>
            </w:pPr>
          </w:p>
          <w:p w:rsidR="00F80E5D" w:rsidRPr="00CE6C02" w:rsidRDefault="00F80E5D" w:rsidP="00F80E5D">
            <w:pPr>
              <w:tabs>
                <w:tab w:val="left" w:pos="-1440"/>
                <w:tab w:val="left" w:pos="-720"/>
              </w:tabs>
              <w:rPr>
                <w:b/>
                <w:sz w:val="20"/>
                <w:szCs w:val="20"/>
                <w:lang w:val="fr-CA"/>
              </w:rPr>
            </w:pPr>
            <w:r w:rsidRPr="00CE6C02">
              <w:rPr>
                <w:b/>
                <w:sz w:val="20"/>
                <w:szCs w:val="20"/>
                <w:lang w:val="fr-CA"/>
              </w:rPr>
              <w:t>Sa Majesté la Reine (Qc)</w:t>
            </w:r>
          </w:p>
          <w:p w:rsidR="00F80E5D" w:rsidRPr="00CE6C02" w:rsidRDefault="00F80E5D" w:rsidP="00F80E5D">
            <w:pPr>
              <w:tabs>
                <w:tab w:val="left" w:pos="-1440"/>
                <w:tab w:val="left" w:pos="-720"/>
              </w:tabs>
              <w:rPr>
                <w:sz w:val="20"/>
                <w:szCs w:val="20"/>
                <w:lang w:val="fr-CA"/>
              </w:rPr>
            </w:pPr>
            <w:r w:rsidRPr="00CE6C02">
              <w:rPr>
                <w:sz w:val="20"/>
                <w:szCs w:val="20"/>
                <w:lang w:val="fr-CA"/>
              </w:rPr>
              <w:tab/>
            </w:r>
            <w:r>
              <w:rPr>
                <w:sz w:val="20"/>
                <w:szCs w:val="20"/>
                <w:lang w:val="fr-CA"/>
              </w:rPr>
              <w:t>Marie-Claude Bourassa</w:t>
            </w:r>
          </w:p>
          <w:p w:rsidR="00F80E5D" w:rsidRPr="00CE6C02" w:rsidRDefault="00F80E5D" w:rsidP="00F80E5D">
            <w:pPr>
              <w:tabs>
                <w:tab w:val="left" w:pos="-1440"/>
                <w:tab w:val="left" w:pos="-720"/>
              </w:tabs>
              <w:rPr>
                <w:sz w:val="20"/>
                <w:szCs w:val="20"/>
                <w:lang w:val="fr-CA"/>
              </w:rPr>
            </w:pPr>
            <w:r w:rsidRPr="00CE6C02">
              <w:rPr>
                <w:sz w:val="20"/>
                <w:szCs w:val="20"/>
                <w:lang w:val="fr-CA"/>
              </w:rPr>
              <w:tab/>
            </w:r>
            <w:r>
              <w:rPr>
                <w:sz w:val="20"/>
                <w:szCs w:val="20"/>
                <w:lang w:val="fr-CA"/>
              </w:rPr>
              <w:t xml:space="preserve">Directeur des poursuites criminelles et </w:t>
            </w:r>
            <w:r>
              <w:rPr>
                <w:sz w:val="20"/>
                <w:szCs w:val="20"/>
                <w:lang w:val="fr-CA"/>
              </w:rPr>
              <w:tab/>
              <w:t>pénales du Québec</w:t>
            </w:r>
          </w:p>
          <w:p w:rsidR="00D84417" w:rsidRPr="00CE6C02" w:rsidRDefault="00D84417" w:rsidP="00D84417">
            <w:pPr>
              <w:tabs>
                <w:tab w:val="left" w:pos="-1440"/>
                <w:tab w:val="left" w:pos="-720"/>
              </w:tabs>
              <w:rPr>
                <w:sz w:val="20"/>
                <w:szCs w:val="20"/>
                <w:lang w:val="fr-CA"/>
              </w:rPr>
            </w:pPr>
          </w:p>
          <w:p w:rsidR="00D84417" w:rsidRPr="00CE6C02" w:rsidRDefault="00D84417" w:rsidP="0061271E">
            <w:pPr>
              <w:rPr>
                <w:sz w:val="20"/>
                <w:szCs w:val="20"/>
                <w:lang w:val="fr-CA"/>
              </w:rPr>
            </w:pPr>
            <w:r w:rsidRPr="00CE6C02">
              <w:rPr>
                <w:sz w:val="20"/>
                <w:szCs w:val="20"/>
                <w:lang w:val="fr-CA"/>
              </w:rPr>
              <w:t>DATE</w:t>
            </w:r>
            <w:r w:rsidR="0061271E">
              <w:rPr>
                <w:sz w:val="20"/>
                <w:szCs w:val="20"/>
                <w:lang w:val="fr-CA"/>
              </w:rPr>
              <w:t xml:space="preserve"> DE PRODUCTION </w:t>
            </w:r>
            <w:r w:rsidRPr="00CE6C02">
              <w:rPr>
                <w:sz w:val="20"/>
                <w:szCs w:val="20"/>
                <w:lang w:val="fr-CA"/>
              </w:rPr>
              <w:t>: 2</w:t>
            </w:r>
            <w:r w:rsidR="00F80E5D">
              <w:rPr>
                <w:sz w:val="20"/>
                <w:szCs w:val="20"/>
                <w:lang w:val="fr-CA"/>
              </w:rPr>
              <w:t>6</w:t>
            </w:r>
            <w:r w:rsidRPr="00CE6C02">
              <w:rPr>
                <w:sz w:val="20"/>
                <w:szCs w:val="20"/>
                <w:lang w:val="fr-CA"/>
              </w:rPr>
              <w:t>.0</w:t>
            </w:r>
            <w:r w:rsidR="00F80E5D">
              <w:rPr>
                <w:sz w:val="20"/>
                <w:szCs w:val="20"/>
                <w:lang w:val="fr-CA"/>
              </w:rPr>
              <w:t>1</w:t>
            </w:r>
            <w:r w:rsidRPr="00CE6C02">
              <w:rPr>
                <w:sz w:val="20"/>
                <w:szCs w:val="20"/>
                <w:lang w:val="fr-CA"/>
              </w:rPr>
              <w:t>.201</w:t>
            </w:r>
            <w:r w:rsidR="00F80E5D">
              <w:rPr>
                <w:sz w:val="20"/>
                <w:szCs w:val="20"/>
                <w:lang w:val="fr-CA"/>
              </w:rPr>
              <w:t>5</w:t>
            </w:r>
            <w:r w:rsidR="005A3634">
              <w:rPr>
                <w:sz w:val="20"/>
                <w:szCs w:val="20"/>
                <w:lang w:val="fr-CA"/>
              </w:rPr>
              <w:pict>
                <v:rect id="_x0000_i1036" style="width:108pt;height:1pt" o:hrpct="0" o:hralign="center" o:hrstd="t" o:hrnoshade="t" o:hr="t" fillcolor="black [3213]" stroked="f"/>
              </w:pict>
            </w:r>
          </w:p>
        </w:tc>
        <w:tc>
          <w:tcPr>
            <w:tcW w:w="1181" w:type="dxa"/>
            <w:shd w:val="clear" w:color="auto" w:fill="auto"/>
          </w:tcPr>
          <w:p w:rsidR="00D84417" w:rsidRPr="00CE6C02" w:rsidRDefault="00D84417" w:rsidP="00242AEE">
            <w:pPr>
              <w:jc w:val="center"/>
              <w:rPr>
                <w:sz w:val="20"/>
                <w:szCs w:val="20"/>
                <w:lang w:val="fr-CA"/>
              </w:rPr>
            </w:pPr>
          </w:p>
          <w:p w:rsidR="00D84417" w:rsidRPr="00CE6C02" w:rsidRDefault="00D84417" w:rsidP="00242AEE">
            <w:pPr>
              <w:jc w:val="center"/>
              <w:rPr>
                <w:sz w:val="20"/>
                <w:szCs w:val="20"/>
                <w:lang w:val="fr-CA"/>
              </w:rPr>
            </w:pPr>
          </w:p>
          <w:p w:rsidR="00D84417" w:rsidRPr="00CE6C02" w:rsidRDefault="00D84417" w:rsidP="00242AEE">
            <w:pPr>
              <w:jc w:val="center"/>
              <w:rPr>
                <w:sz w:val="20"/>
                <w:szCs w:val="20"/>
                <w:lang w:val="fr-CA"/>
              </w:rPr>
            </w:pPr>
          </w:p>
          <w:p w:rsidR="00D84417" w:rsidRPr="00CE6C02" w:rsidRDefault="00D84417" w:rsidP="00242AEE">
            <w:pPr>
              <w:jc w:val="center"/>
              <w:rPr>
                <w:sz w:val="20"/>
                <w:szCs w:val="20"/>
                <w:lang w:val="fr-CA"/>
              </w:rPr>
            </w:pPr>
          </w:p>
          <w:p w:rsidR="00D84417" w:rsidRPr="00CE6C02" w:rsidRDefault="00D84417" w:rsidP="00242AEE">
            <w:pPr>
              <w:jc w:val="center"/>
              <w:rPr>
                <w:sz w:val="20"/>
                <w:szCs w:val="20"/>
                <w:lang w:val="fr-CA"/>
              </w:rPr>
            </w:pPr>
          </w:p>
          <w:p w:rsidR="00D84417" w:rsidRPr="00CE6C02" w:rsidRDefault="00D84417" w:rsidP="00242AEE">
            <w:pPr>
              <w:jc w:val="center"/>
              <w:rPr>
                <w:sz w:val="20"/>
                <w:szCs w:val="20"/>
                <w:lang w:val="fr-CA"/>
              </w:rPr>
            </w:pPr>
          </w:p>
          <w:p w:rsidR="00D84417" w:rsidRPr="00CE6C02" w:rsidRDefault="00D84417" w:rsidP="00242AEE">
            <w:pPr>
              <w:jc w:val="center"/>
              <w:rPr>
                <w:sz w:val="20"/>
                <w:szCs w:val="20"/>
                <w:lang w:val="fr-CA"/>
              </w:rPr>
            </w:pPr>
          </w:p>
          <w:p w:rsidR="00D84417" w:rsidRPr="00CE6C02" w:rsidRDefault="00D84417" w:rsidP="00242AEE">
            <w:pPr>
              <w:jc w:val="center"/>
              <w:rPr>
                <w:sz w:val="20"/>
                <w:szCs w:val="20"/>
                <w:lang w:val="fr-CA"/>
              </w:rPr>
            </w:pPr>
          </w:p>
          <w:p w:rsidR="00D84417" w:rsidRPr="00CE6C02" w:rsidRDefault="00D84417" w:rsidP="00242AEE">
            <w:pPr>
              <w:jc w:val="center"/>
              <w:rPr>
                <w:sz w:val="20"/>
                <w:szCs w:val="20"/>
                <w:lang w:val="fr-CA"/>
              </w:rPr>
            </w:pPr>
          </w:p>
          <w:p w:rsidR="00D84417" w:rsidRPr="00CE6C02" w:rsidRDefault="00D84417" w:rsidP="00242AEE">
            <w:pPr>
              <w:jc w:val="center"/>
              <w:rPr>
                <w:sz w:val="20"/>
                <w:szCs w:val="20"/>
                <w:lang w:val="fr-CA"/>
              </w:rPr>
            </w:pPr>
          </w:p>
          <w:p w:rsidR="00D84417" w:rsidRPr="00CE6C02" w:rsidRDefault="00D84417" w:rsidP="00242AEE">
            <w:pPr>
              <w:jc w:val="center"/>
              <w:rPr>
                <w:sz w:val="20"/>
                <w:szCs w:val="20"/>
                <w:lang w:val="fr-CA"/>
              </w:rPr>
            </w:pPr>
          </w:p>
          <w:p w:rsidR="00D84417" w:rsidRDefault="00D84417" w:rsidP="00242AEE">
            <w:pPr>
              <w:jc w:val="center"/>
              <w:rPr>
                <w:sz w:val="20"/>
                <w:szCs w:val="20"/>
                <w:lang w:val="fr-CA"/>
              </w:rPr>
            </w:pPr>
          </w:p>
          <w:p w:rsidR="00F80E5D" w:rsidRPr="00CE6C02" w:rsidRDefault="00F80E5D" w:rsidP="00242AEE">
            <w:pPr>
              <w:jc w:val="center"/>
              <w:rPr>
                <w:sz w:val="20"/>
                <w:szCs w:val="20"/>
                <w:lang w:val="fr-CA"/>
              </w:rPr>
            </w:pPr>
          </w:p>
          <w:p w:rsidR="00D84417" w:rsidRPr="00CE6C02" w:rsidRDefault="00D84417" w:rsidP="00242AEE">
            <w:pPr>
              <w:jc w:val="center"/>
              <w:rPr>
                <w:sz w:val="20"/>
                <w:szCs w:val="20"/>
                <w:lang w:val="fr-CA"/>
              </w:rPr>
            </w:pPr>
          </w:p>
        </w:tc>
        <w:tc>
          <w:tcPr>
            <w:tcW w:w="4320" w:type="dxa"/>
            <w:shd w:val="clear" w:color="auto" w:fill="auto"/>
          </w:tcPr>
          <w:p w:rsidR="00D84417" w:rsidRPr="00F80E5D" w:rsidRDefault="00F80E5D" w:rsidP="00D84417">
            <w:pPr>
              <w:rPr>
                <w:b/>
                <w:sz w:val="20"/>
                <w:szCs w:val="20"/>
              </w:rPr>
            </w:pPr>
            <w:r w:rsidRPr="00F80E5D">
              <w:rPr>
                <w:b/>
                <w:sz w:val="20"/>
                <w:szCs w:val="20"/>
              </w:rPr>
              <w:t>Javier Batista-Cervantes also known as Javier Churro</w:t>
            </w:r>
          </w:p>
          <w:p w:rsidR="00A3387E" w:rsidRDefault="00D84417" w:rsidP="00D84417">
            <w:pPr>
              <w:tabs>
                <w:tab w:val="left" w:pos="-1440"/>
                <w:tab w:val="left" w:pos="-720"/>
              </w:tabs>
              <w:rPr>
                <w:sz w:val="20"/>
                <w:szCs w:val="20"/>
              </w:rPr>
            </w:pPr>
            <w:r w:rsidRPr="00F80E5D">
              <w:rPr>
                <w:sz w:val="20"/>
                <w:szCs w:val="20"/>
              </w:rPr>
              <w:tab/>
            </w:r>
            <w:r w:rsidR="00A3387E">
              <w:rPr>
                <w:sz w:val="20"/>
                <w:szCs w:val="20"/>
              </w:rPr>
              <w:t>Karen B. Molle</w:t>
            </w:r>
          </w:p>
          <w:p w:rsidR="00D84417" w:rsidRPr="00F80E5D" w:rsidRDefault="00D84417" w:rsidP="00D84417">
            <w:pPr>
              <w:tabs>
                <w:tab w:val="left" w:pos="-1440"/>
                <w:tab w:val="left" w:pos="-720"/>
              </w:tabs>
              <w:rPr>
                <w:sz w:val="20"/>
                <w:szCs w:val="20"/>
              </w:rPr>
            </w:pPr>
          </w:p>
          <w:p w:rsidR="00D84417" w:rsidRPr="00A935AA" w:rsidRDefault="00D84417" w:rsidP="00D84417">
            <w:pPr>
              <w:tabs>
                <w:tab w:val="left" w:pos="-1440"/>
                <w:tab w:val="left" w:pos="-720"/>
              </w:tabs>
              <w:rPr>
                <w:sz w:val="20"/>
                <w:szCs w:val="20"/>
              </w:rPr>
            </w:pPr>
            <w:r w:rsidRPr="00F80E5D">
              <w:rPr>
                <w:sz w:val="20"/>
                <w:szCs w:val="20"/>
              </w:rPr>
              <w:tab/>
            </w:r>
            <w:r w:rsidRPr="00A935AA">
              <w:rPr>
                <w:sz w:val="20"/>
                <w:szCs w:val="20"/>
              </w:rPr>
              <w:t>v. (3</w:t>
            </w:r>
            <w:r w:rsidR="00F80E5D">
              <w:rPr>
                <w:sz w:val="20"/>
                <w:szCs w:val="20"/>
              </w:rPr>
              <w:t>6284</w:t>
            </w:r>
            <w:r w:rsidRPr="00A935AA">
              <w:rPr>
                <w:sz w:val="20"/>
                <w:szCs w:val="20"/>
              </w:rPr>
              <w:t>)</w:t>
            </w:r>
          </w:p>
          <w:p w:rsidR="00D84417" w:rsidRPr="00A935AA" w:rsidRDefault="00D84417" w:rsidP="00D84417">
            <w:pPr>
              <w:tabs>
                <w:tab w:val="left" w:pos="-1440"/>
                <w:tab w:val="left" w:pos="-720"/>
              </w:tabs>
              <w:rPr>
                <w:sz w:val="20"/>
                <w:szCs w:val="20"/>
              </w:rPr>
            </w:pPr>
          </w:p>
          <w:p w:rsidR="00D84417" w:rsidRPr="00A935AA" w:rsidRDefault="00F80E5D" w:rsidP="00D84417">
            <w:pPr>
              <w:tabs>
                <w:tab w:val="left" w:pos="-1440"/>
                <w:tab w:val="left" w:pos="-720"/>
              </w:tabs>
              <w:rPr>
                <w:b/>
                <w:sz w:val="20"/>
                <w:szCs w:val="20"/>
              </w:rPr>
            </w:pPr>
            <w:r>
              <w:rPr>
                <w:b/>
                <w:sz w:val="20"/>
                <w:szCs w:val="20"/>
              </w:rPr>
              <w:t xml:space="preserve">Attorney General of Canada on behalf of the United States of America </w:t>
            </w:r>
            <w:r w:rsidR="00D84417" w:rsidRPr="00A935AA">
              <w:rPr>
                <w:b/>
                <w:sz w:val="20"/>
                <w:szCs w:val="20"/>
              </w:rPr>
              <w:t>(</w:t>
            </w:r>
            <w:r>
              <w:rPr>
                <w:b/>
                <w:sz w:val="20"/>
                <w:szCs w:val="20"/>
              </w:rPr>
              <w:t>Al</w:t>
            </w:r>
            <w:r w:rsidR="00D84417">
              <w:rPr>
                <w:b/>
                <w:sz w:val="20"/>
                <w:szCs w:val="20"/>
              </w:rPr>
              <w:t>t</w:t>
            </w:r>
            <w:r>
              <w:rPr>
                <w:b/>
                <w:sz w:val="20"/>
                <w:szCs w:val="20"/>
              </w:rPr>
              <w:t>a</w:t>
            </w:r>
            <w:r w:rsidR="00D84417" w:rsidRPr="00A935AA">
              <w:rPr>
                <w:b/>
                <w:sz w:val="20"/>
                <w:szCs w:val="20"/>
              </w:rPr>
              <w:t>.)</w:t>
            </w:r>
          </w:p>
          <w:p w:rsidR="00A3387E" w:rsidRPr="00F80E5D" w:rsidRDefault="00A3387E" w:rsidP="00A3387E">
            <w:pPr>
              <w:tabs>
                <w:tab w:val="left" w:pos="-1440"/>
                <w:tab w:val="left" w:pos="-720"/>
              </w:tabs>
              <w:rPr>
                <w:sz w:val="20"/>
                <w:szCs w:val="20"/>
              </w:rPr>
            </w:pPr>
            <w:r>
              <w:rPr>
                <w:sz w:val="20"/>
                <w:szCs w:val="20"/>
              </w:rPr>
              <w:tab/>
              <w:t>Scott Farlinger</w:t>
            </w:r>
          </w:p>
          <w:p w:rsidR="00A3387E" w:rsidRPr="00F80E5D" w:rsidRDefault="00A3387E" w:rsidP="00A3387E">
            <w:pPr>
              <w:tabs>
                <w:tab w:val="left" w:pos="-1440"/>
                <w:tab w:val="left" w:pos="-720"/>
              </w:tabs>
              <w:rPr>
                <w:sz w:val="20"/>
                <w:szCs w:val="20"/>
              </w:rPr>
            </w:pPr>
            <w:r w:rsidRPr="00F80E5D">
              <w:rPr>
                <w:sz w:val="20"/>
                <w:szCs w:val="20"/>
              </w:rPr>
              <w:tab/>
            </w:r>
            <w:r>
              <w:rPr>
                <w:sz w:val="20"/>
                <w:szCs w:val="20"/>
              </w:rPr>
              <w:t>A.G. of Canada</w:t>
            </w:r>
          </w:p>
          <w:p w:rsidR="00D84417" w:rsidRPr="00A935AA" w:rsidRDefault="00D84417" w:rsidP="00D84417">
            <w:pPr>
              <w:tabs>
                <w:tab w:val="left" w:pos="-1440"/>
                <w:tab w:val="left" w:pos="-720"/>
              </w:tabs>
              <w:rPr>
                <w:sz w:val="20"/>
                <w:szCs w:val="20"/>
              </w:rPr>
            </w:pPr>
          </w:p>
          <w:p w:rsidR="00D84417" w:rsidRPr="00A935AA" w:rsidRDefault="00D84417" w:rsidP="00F80E5D">
            <w:pPr>
              <w:rPr>
                <w:sz w:val="20"/>
                <w:szCs w:val="20"/>
              </w:rPr>
            </w:pPr>
            <w:r w:rsidRPr="00A935AA">
              <w:rPr>
                <w:sz w:val="20"/>
                <w:szCs w:val="20"/>
              </w:rPr>
              <w:t>FILING DATE: 2</w:t>
            </w:r>
            <w:r w:rsidR="00F80E5D">
              <w:rPr>
                <w:sz w:val="20"/>
                <w:szCs w:val="20"/>
              </w:rPr>
              <w:t>9</w:t>
            </w:r>
            <w:r w:rsidRPr="00A935AA">
              <w:rPr>
                <w:sz w:val="20"/>
                <w:szCs w:val="20"/>
              </w:rPr>
              <w:t>.0</w:t>
            </w:r>
            <w:r w:rsidR="00F80E5D">
              <w:rPr>
                <w:sz w:val="20"/>
                <w:szCs w:val="20"/>
              </w:rPr>
              <w:t>1</w:t>
            </w:r>
            <w:r w:rsidRPr="00A935AA">
              <w:rPr>
                <w:sz w:val="20"/>
                <w:szCs w:val="20"/>
              </w:rPr>
              <w:t>.201</w:t>
            </w:r>
            <w:r w:rsidR="00F80E5D">
              <w:rPr>
                <w:sz w:val="20"/>
                <w:szCs w:val="20"/>
              </w:rPr>
              <w:t>5</w:t>
            </w:r>
            <w:r w:rsidR="005A3634">
              <w:rPr>
                <w:sz w:val="20"/>
                <w:szCs w:val="20"/>
                <w:lang w:val="fr-CA"/>
              </w:rPr>
              <w:pict>
                <v:rect id="_x0000_i1037" style="width:108pt;height:1pt" o:hrpct="0" o:hralign="center" o:hrstd="t" o:hrnoshade="t" o:hr="t" fillcolor="black [3213]" stroked="f"/>
              </w:pict>
            </w:r>
          </w:p>
        </w:tc>
      </w:tr>
      <w:tr w:rsidR="00D84417" w:rsidRPr="00A935AA" w:rsidTr="003B3977">
        <w:trPr>
          <w:cantSplit/>
        </w:trPr>
        <w:tc>
          <w:tcPr>
            <w:tcW w:w="4320" w:type="dxa"/>
            <w:shd w:val="clear" w:color="auto" w:fill="auto"/>
          </w:tcPr>
          <w:p w:rsidR="00D84417" w:rsidRDefault="00D84417" w:rsidP="00D84417">
            <w:pPr>
              <w:rPr>
                <w:b/>
                <w:sz w:val="20"/>
                <w:szCs w:val="20"/>
              </w:rPr>
            </w:pPr>
          </w:p>
          <w:p w:rsidR="00F80E5D" w:rsidRPr="00A935AA" w:rsidRDefault="00F80E5D" w:rsidP="00D84417">
            <w:pPr>
              <w:rPr>
                <w:b/>
                <w:sz w:val="20"/>
                <w:szCs w:val="20"/>
              </w:rPr>
            </w:pPr>
            <w:r>
              <w:rPr>
                <w:b/>
                <w:sz w:val="20"/>
                <w:szCs w:val="20"/>
              </w:rPr>
              <w:t>W.P. et al.</w:t>
            </w:r>
          </w:p>
          <w:p w:rsidR="00D84417" w:rsidRPr="00A935AA" w:rsidRDefault="00D84417" w:rsidP="00D84417">
            <w:pPr>
              <w:tabs>
                <w:tab w:val="left" w:pos="-1440"/>
                <w:tab w:val="left" w:pos="-720"/>
              </w:tabs>
              <w:rPr>
                <w:sz w:val="20"/>
                <w:szCs w:val="20"/>
              </w:rPr>
            </w:pPr>
            <w:r w:rsidRPr="00A935AA">
              <w:rPr>
                <w:sz w:val="20"/>
                <w:szCs w:val="20"/>
              </w:rPr>
              <w:tab/>
            </w:r>
            <w:r w:rsidR="00F80E5D">
              <w:rPr>
                <w:sz w:val="20"/>
                <w:szCs w:val="20"/>
              </w:rPr>
              <w:t>Michael J. Peerless</w:t>
            </w:r>
          </w:p>
          <w:p w:rsidR="00D84417" w:rsidRPr="00A935AA" w:rsidRDefault="00D84417" w:rsidP="00D84417">
            <w:pPr>
              <w:tabs>
                <w:tab w:val="left" w:pos="-1440"/>
                <w:tab w:val="left" w:pos="-720"/>
              </w:tabs>
              <w:rPr>
                <w:sz w:val="20"/>
                <w:szCs w:val="20"/>
              </w:rPr>
            </w:pPr>
            <w:r w:rsidRPr="00A935AA">
              <w:rPr>
                <w:sz w:val="20"/>
                <w:szCs w:val="20"/>
              </w:rPr>
              <w:tab/>
            </w:r>
            <w:r w:rsidR="00F80E5D">
              <w:rPr>
                <w:sz w:val="20"/>
                <w:szCs w:val="20"/>
              </w:rPr>
              <w:t>Siskinds LLP</w:t>
            </w:r>
          </w:p>
          <w:p w:rsidR="00D84417" w:rsidRPr="00A935AA" w:rsidRDefault="00D84417" w:rsidP="00D84417">
            <w:pPr>
              <w:tabs>
                <w:tab w:val="left" w:pos="-1440"/>
                <w:tab w:val="left" w:pos="-720"/>
              </w:tabs>
              <w:rPr>
                <w:sz w:val="20"/>
                <w:szCs w:val="20"/>
              </w:rPr>
            </w:pPr>
          </w:p>
          <w:p w:rsidR="00D84417" w:rsidRPr="00A935AA" w:rsidRDefault="00D84417" w:rsidP="00D84417">
            <w:pPr>
              <w:tabs>
                <w:tab w:val="left" w:pos="-1440"/>
                <w:tab w:val="left" w:pos="-720"/>
              </w:tabs>
              <w:rPr>
                <w:sz w:val="20"/>
                <w:szCs w:val="20"/>
              </w:rPr>
            </w:pPr>
            <w:r w:rsidRPr="00A935AA">
              <w:rPr>
                <w:sz w:val="20"/>
                <w:szCs w:val="20"/>
              </w:rPr>
              <w:tab/>
              <w:t>v. (3</w:t>
            </w:r>
            <w:r w:rsidR="00F80E5D">
              <w:rPr>
                <w:sz w:val="20"/>
                <w:szCs w:val="20"/>
              </w:rPr>
              <w:t>628</w:t>
            </w:r>
            <w:r>
              <w:rPr>
                <w:sz w:val="20"/>
                <w:szCs w:val="20"/>
              </w:rPr>
              <w:t>5</w:t>
            </w:r>
            <w:r w:rsidRPr="00A935AA">
              <w:rPr>
                <w:sz w:val="20"/>
                <w:szCs w:val="20"/>
              </w:rPr>
              <w:t>)</w:t>
            </w:r>
          </w:p>
          <w:p w:rsidR="00D84417" w:rsidRPr="00A935AA" w:rsidRDefault="00D84417" w:rsidP="00D84417">
            <w:pPr>
              <w:tabs>
                <w:tab w:val="left" w:pos="-1440"/>
                <w:tab w:val="left" w:pos="-720"/>
              </w:tabs>
              <w:rPr>
                <w:sz w:val="20"/>
                <w:szCs w:val="20"/>
              </w:rPr>
            </w:pPr>
          </w:p>
          <w:p w:rsidR="00D84417" w:rsidRPr="00A935AA" w:rsidRDefault="00F80E5D" w:rsidP="00D84417">
            <w:pPr>
              <w:tabs>
                <w:tab w:val="left" w:pos="-1440"/>
                <w:tab w:val="left" w:pos="-720"/>
              </w:tabs>
              <w:rPr>
                <w:b/>
                <w:sz w:val="20"/>
                <w:szCs w:val="20"/>
              </w:rPr>
            </w:pPr>
            <w:r>
              <w:rPr>
                <w:b/>
                <w:sz w:val="20"/>
                <w:szCs w:val="20"/>
              </w:rPr>
              <w:t xml:space="preserve">Her Majesty the Queen et al. </w:t>
            </w:r>
            <w:r w:rsidR="00D84417" w:rsidRPr="00A935AA">
              <w:rPr>
                <w:b/>
                <w:sz w:val="20"/>
                <w:szCs w:val="20"/>
              </w:rPr>
              <w:t>(</w:t>
            </w:r>
            <w:r>
              <w:rPr>
                <w:b/>
                <w:sz w:val="20"/>
                <w:szCs w:val="20"/>
              </w:rPr>
              <w:t>Al</w:t>
            </w:r>
            <w:r w:rsidR="00D84417">
              <w:rPr>
                <w:b/>
                <w:sz w:val="20"/>
                <w:szCs w:val="20"/>
              </w:rPr>
              <w:t>t</w:t>
            </w:r>
            <w:r>
              <w:rPr>
                <w:b/>
                <w:sz w:val="20"/>
                <w:szCs w:val="20"/>
              </w:rPr>
              <w:t>a</w:t>
            </w:r>
            <w:r w:rsidR="00D84417" w:rsidRPr="00A935AA">
              <w:rPr>
                <w:b/>
                <w:sz w:val="20"/>
                <w:szCs w:val="20"/>
              </w:rPr>
              <w:t>.)</w:t>
            </w:r>
          </w:p>
          <w:p w:rsidR="00D84417" w:rsidRPr="00A3387E" w:rsidRDefault="00D84417" w:rsidP="00D84417">
            <w:pPr>
              <w:tabs>
                <w:tab w:val="left" w:pos="-1440"/>
                <w:tab w:val="left" w:pos="-720"/>
              </w:tabs>
              <w:rPr>
                <w:sz w:val="20"/>
                <w:szCs w:val="20"/>
              </w:rPr>
            </w:pPr>
            <w:r w:rsidRPr="00A935AA">
              <w:rPr>
                <w:sz w:val="20"/>
                <w:szCs w:val="20"/>
              </w:rPr>
              <w:tab/>
            </w:r>
            <w:r w:rsidR="00F80E5D" w:rsidRPr="00A3387E">
              <w:rPr>
                <w:sz w:val="20"/>
                <w:szCs w:val="20"/>
              </w:rPr>
              <w:t>G. Alan Meikle, Q.C.</w:t>
            </w:r>
          </w:p>
          <w:p w:rsidR="00D84417" w:rsidRPr="0061271E" w:rsidRDefault="00D84417" w:rsidP="00D84417">
            <w:pPr>
              <w:tabs>
                <w:tab w:val="left" w:pos="-1440"/>
                <w:tab w:val="left" w:pos="-720"/>
              </w:tabs>
              <w:rPr>
                <w:sz w:val="20"/>
                <w:szCs w:val="20"/>
              </w:rPr>
            </w:pPr>
            <w:r w:rsidRPr="00A3387E">
              <w:rPr>
                <w:sz w:val="20"/>
                <w:szCs w:val="20"/>
              </w:rPr>
              <w:tab/>
            </w:r>
            <w:r w:rsidR="00F80E5D" w:rsidRPr="0061271E">
              <w:rPr>
                <w:sz w:val="20"/>
                <w:szCs w:val="20"/>
              </w:rPr>
              <w:t>A.G. of Alberta</w:t>
            </w:r>
          </w:p>
          <w:p w:rsidR="00D84417" w:rsidRPr="0061271E" w:rsidRDefault="00D84417" w:rsidP="00D84417">
            <w:pPr>
              <w:tabs>
                <w:tab w:val="left" w:pos="-1440"/>
                <w:tab w:val="left" w:pos="-720"/>
              </w:tabs>
              <w:rPr>
                <w:sz w:val="20"/>
                <w:szCs w:val="20"/>
              </w:rPr>
            </w:pPr>
          </w:p>
          <w:p w:rsidR="00D84417" w:rsidRPr="00A935AA" w:rsidRDefault="00D84417" w:rsidP="00F80E5D">
            <w:pPr>
              <w:rPr>
                <w:sz w:val="20"/>
                <w:szCs w:val="20"/>
              </w:rPr>
            </w:pPr>
            <w:r w:rsidRPr="00A935AA">
              <w:rPr>
                <w:sz w:val="20"/>
                <w:szCs w:val="20"/>
              </w:rPr>
              <w:t xml:space="preserve">FILING DATE: </w:t>
            </w:r>
            <w:r w:rsidR="00F80E5D">
              <w:rPr>
                <w:sz w:val="20"/>
                <w:szCs w:val="20"/>
              </w:rPr>
              <w:t>30</w:t>
            </w:r>
            <w:r w:rsidRPr="00A935AA">
              <w:rPr>
                <w:sz w:val="20"/>
                <w:szCs w:val="20"/>
              </w:rPr>
              <w:t>.0</w:t>
            </w:r>
            <w:r w:rsidR="00F80E5D">
              <w:rPr>
                <w:sz w:val="20"/>
                <w:szCs w:val="20"/>
              </w:rPr>
              <w:t>1</w:t>
            </w:r>
            <w:r w:rsidRPr="00A935AA">
              <w:rPr>
                <w:sz w:val="20"/>
                <w:szCs w:val="20"/>
              </w:rPr>
              <w:t>.201</w:t>
            </w:r>
            <w:r w:rsidR="00F80E5D">
              <w:rPr>
                <w:sz w:val="20"/>
                <w:szCs w:val="20"/>
              </w:rPr>
              <w:t>5</w:t>
            </w:r>
            <w:r w:rsidR="005A3634">
              <w:rPr>
                <w:sz w:val="20"/>
                <w:szCs w:val="20"/>
                <w:lang w:val="fr-CA"/>
              </w:rPr>
              <w:pict>
                <v:rect id="_x0000_i1038" style="width:108pt;height:1pt" o:hrpct="0" o:hralign="center" o:hrstd="t" o:hrnoshade="t" o:hr="t" fillcolor="black [3213]" stroked="f"/>
              </w:pict>
            </w:r>
          </w:p>
        </w:tc>
        <w:tc>
          <w:tcPr>
            <w:tcW w:w="1181" w:type="dxa"/>
            <w:shd w:val="clear" w:color="auto" w:fill="auto"/>
          </w:tcPr>
          <w:p w:rsidR="00D84417" w:rsidRDefault="00D84417" w:rsidP="00242AEE">
            <w:pPr>
              <w:jc w:val="center"/>
              <w:rPr>
                <w:sz w:val="20"/>
                <w:szCs w:val="20"/>
              </w:rPr>
            </w:pPr>
          </w:p>
          <w:p w:rsidR="00D84417" w:rsidRDefault="00D84417" w:rsidP="00242AEE">
            <w:pPr>
              <w:jc w:val="center"/>
              <w:rPr>
                <w:sz w:val="20"/>
                <w:szCs w:val="20"/>
              </w:rPr>
            </w:pPr>
          </w:p>
          <w:p w:rsidR="00D84417" w:rsidRDefault="00D84417" w:rsidP="00242AEE">
            <w:pPr>
              <w:jc w:val="center"/>
              <w:rPr>
                <w:sz w:val="20"/>
                <w:szCs w:val="20"/>
              </w:rPr>
            </w:pPr>
          </w:p>
          <w:p w:rsidR="00D84417" w:rsidRDefault="00D84417" w:rsidP="00242AEE">
            <w:pPr>
              <w:jc w:val="center"/>
              <w:rPr>
                <w:sz w:val="20"/>
                <w:szCs w:val="20"/>
              </w:rPr>
            </w:pPr>
          </w:p>
          <w:p w:rsidR="00D84417" w:rsidRDefault="00D84417" w:rsidP="00242AEE">
            <w:pPr>
              <w:jc w:val="center"/>
              <w:rPr>
                <w:sz w:val="20"/>
                <w:szCs w:val="20"/>
              </w:rPr>
            </w:pPr>
          </w:p>
          <w:p w:rsidR="00D84417" w:rsidRDefault="00D84417" w:rsidP="00242AEE">
            <w:pPr>
              <w:jc w:val="center"/>
              <w:rPr>
                <w:sz w:val="20"/>
                <w:szCs w:val="20"/>
              </w:rPr>
            </w:pPr>
          </w:p>
          <w:p w:rsidR="00D84417" w:rsidRDefault="00D84417" w:rsidP="00242AEE">
            <w:pPr>
              <w:jc w:val="center"/>
              <w:rPr>
                <w:sz w:val="20"/>
                <w:szCs w:val="20"/>
              </w:rPr>
            </w:pPr>
          </w:p>
          <w:p w:rsidR="00D84417" w:rsidRDefault="00D84417" w:rsidP="00242AEE">
            <w:pPr>
              <w:jc w:val="center"/>
              <w:rPr>
                <w:sz w:val="20"/>
                <w:szCs w:val="20"/>
              </w:rPr>
            </w:pPr>
          </w:p>
          <w:p w:rsidR="00D84417" w:rsidRDefault="00D84417" w:rsidP="00242AEE">
            <w:pPr>
              <w:jc w:val="center"/>
              <w:rPr>
                <w:sz w:val="20"/>
                <w:szCs w:val="20"/>
              </w:rPr>
            </w:pPr>
          </w:p>
          <w:p w:rsidR="00D84417" w:rsidRDefault="00D84417" w:rsidP="00242AEE">
            <w:pPr>
              <w:jc w:val="center"/>
              <w:rPr>
                <w:sz w:val="20"/>
                <w:szCs w:val="20"/>
              </w:rPr>
            </w:pPr>
          </w:p>
          <w:p w:rsidR="00D84417" w:rsidRDefault="00D84417" w:rsidP="00242AEE">
            <w:pPr>
              <w:jc w:val="center"/>
              <w:rPr>
                <w:sz w:val="20"/>
                <w:szCs w:val="20"/>
              </w:rPr>
            </w:pPr>
          </w:p>
          <w:p w:rsidR="007012D5" w:rsidRDefault="007012D5" w:rsidP="00242AEE">
            <w:pPr>
              <w:jc w:val="center"/>
              <w:rPr>
                <w:sz w:val="20"/>
                <w:szCs w:val="20"/>
              </w:rPr>
            </w:pPr>
          </w:p>
          <w:p w:rsidR="00D84417" w:rsidRDefault="00D84417" w:rsidP="00242AEE">
            <w:pPr>
              <w:jc w:val="center"/>
              <w:rPr>
                <w:sz w:val="20"/>
                <w:szCs w:val="20"/>
              </w:rPr>
            </w:pPr>
          </w:p>
          <w:p w:rsidR="00D84417" w:rsidRPr="00A935AA" w:rsidRDefault="00D84417" w:rsidP="00242AEE">
            <w:pPr>
              <w:jc w:val="center"/>
              <w:rPr>
                <w:sz w:val="20"/>
                <w:szCs w:val="20"/>
              </w:rPr>
            </w:pPr>
          </w:p>
        </w:tc>
        <w:tc>
          <w:tcPr>
            <w:tcW w:w="4320" w:type="dxa"/>
            <w:shd w:val="clear" w:color="auto" w:fill="auto"/>
          </w:tcPr>
          <w:p w:rsidR="00D84417" w:rsidRPr="007012D5" w:rsidRDefault="0061271E" w:rsidP="00D84417">
            <w:pPr>
              <w:rPr>
                <w:b/>
                <w:sz w:val="20"/>
                <w:szCs w:val="20"/>
                <w:lang w:val="fr-CA"/>
              </w:rPr>
            </w:pPr>
            <w:r w:rsidRPr="007012D5">
              <w:rPr>
                <w:b/>
                <w:sz w:val="20"/>
                <w:szCs w:val="20"/>
                <w:lang w:val="fr-CA"/>
              </w:rPr>
              <w:t>Frank Antoine Joseph</w:t>
            </w:r>
          </w:p>
          <w:p w:rsidR="00D84417" w:rsidRPr="007012D5" w:rsidRDefault="00D84417" w:rsidP="00D84417">
            <w:pPr>
              <w:tabs>
                <w:tab w:val="left" w:pos="-1440"/>
                <w:tab w:val="left" w:pos="-720"/>
              </w:tabs>
              <w:rPr>
                <w:sz w:val="20"/>
                <w:szCs w:val="20"/>
                <w:lang w:val="fr-CA"/>
              </w:rPr>
            </w:pPr>
            <w:r w:rsidRPr="007012D5">
              <w:rPr>
                <w:sz w:val="20"/>
                <w:szCs w:val="20"/>
                <w:lang w:val="fr-CA"/>
              </w:rPr>
              <w:tab/>
            </w:r>
            <w:r w:rsidR="007012D5">
              <w:rPr>
                <w:sz w:val="20"/>
                <w:szCs w:val="20"/>
                <w:lang w:val="fr-CA"/>
              </w:rPr>
              <w:t>Rita Magloé Francis</w:t>
            </w:r>
          </w:p>
          <w:p w:rsidR="00D84417" w:rsidRPr="007012D5" w:rsidRDefault="00D84417" w:rsidP="00D84417">
            <w:pPr>
              <w:tabs>
                <w:tab w:val="left" w:pos="-1440"/>
                <w:tab w:val="left" w:pos="-720"/>
              </w:tabs>
              <w:rPr>
                <w:sz w:val="20"/>
                <w:szCs w:val="20"/>
                <w:lang w:val="fr-CA"/>
              </w:rPr>
            </w:pPr>
            <w:r w:rsidRPr="007012D5">
              <w:rPr>
                <w:sz w:val="20"/>
                <w:szCs w:val="20"/>
                <w:lang w:val="fr-CA"/>
              </w:rPr>
              <w:tab/>
            </w:r>
            <w:r w:rsidR="007012D5">
              <w:rPr>
                <w:sz w:val="20"/>
                <w:szCs w:val="20"/>
                <w:lang w:val="fr-CA"/>
              </w:rPr>
              <w:t>Surprenant Magloé Glomier, Avocats</w:t>
            </w:r>
          </w:p>
          <w:p w:rsidR="00D84417" w:rsidRPr="007012D5" w:rsidRDefault="00D84417" w:rsidP="00D84417">
            <w:pPr>
              <w:tabs>
                <w:tab w:val="left" w:pos="-1440"/>
                <w:tab w:val="left" w:pos="-720"/>
              </w:tabs>
              <w:rPr>
                <w:sz w:val="20"/>
                <w:szCs w:val="20"/>
                <w:lang w:val="fr-CA"/>
              </w:rPr>
            </w:pPr>
          </w:p>
          <w:p w:rsidR="00D84417" w:rsidRPr="007012D5" w:rsidRDefault="00D84417" w:rsidP="00D84417">
            <w:pPr>
              <w:tabs>
                <w:tab w:val="left" w:pos="-1440"/>
                <w:tab w:val="left" w:pos="-720"/>
              </w:tabs>
              <w:rPr>
                <w:sz w:val="20"/>
                <w:szCs w:val="20"/>
                <w:lang w:val="fr-CA"/>
              </w:rPr>
            </w:pPr>
            <w:r w:rsidRPr="007012D5">
              <w:rPr>
                <w:sz w:val="20"/>
                <w:szCs w:val="20"/>
                <w:lang w:val="fr-CA"/>
              </w:rPr>
              <w:tab/>
            </w:r>
            <w:r w:rsidR="0061271E" w:rsidRPr="007012D5">
              <w:rPr>
                <w:sz w:val="20"/>
                <w:szCs w:val="20"/>
                <w:lang w:val="fr-CA"/>
              </w:rPr>
              <w:t>c</w:t>
            </w:r>
            <w:r w:rsidRPr="007012D5">
              <w:rPr>
                <w:sz w:val="20"/>
                <w:szCs w:val="20"/>
                <w:lang w:val="fr-CA"/>
              </w:rPr>
              <w:t>. (3</w:t>
            </w:r>
            <w:r w:rsidR="007012D5">
              <w:rPr>
                <w:sz w:val="20"/>
                <w:szCs w:val="20"/>
                <w:lang w:val="fr-CA"/>
              </w:rPr>
              <w:t>6286</w:t>
            </w:r>
            <w:r w:rsidRPr="007012D5">
              <w:rPr>
                <w:sz w:val="20"/>
                <w:szCs w:val="20"/>
                <w:lang w:val="fr-CA"/>
              </w:rPr>
              <w:t>)</w:t>
            </w:r>
          </w:p>
          <w:p w:rsidR="00D84417" w:rsidRPr="007012D5" w:rsidRDefault="00D84417" w:rsidP="00D84417">
            <w:pPr>
              <w:tabs>
                <w:tab w:val="left" w:pos="-1440"/>
                <w:tab w:val="left" w:pos="-720"/>
              </w:tabs>
              <w:rPr>
                <w:sz w:val="20"/>
                <w:szCs w:val="20"/>
                <w:lang w:val="fr-CA"/>
              </w:rPr>
            </w:pPr>
          </w:p>
          <w:p w:rsidR="00D84417" w:rsidRPr="007012D5" w:rsidRDefault="007012D5" w:rsidP="00D84417">
            <w:pPr>
              <w:tabs>
                <w:tab w:val="left" w:pos="-1440"/>
                <w:tab w:val="left" w:pos="-720"/>
              </w:tabs>
              <w:rPr>
                <w:b/>
                <w:sz w:val="20"/>
                <w:szCs w:val="20"/>
                <w:lang w:val="fr-CA"/>
              </w:rPr>
            </w:pPr>
            <w:r w:rsidRPr="007012D5">
              <w:rPr>
                <w:b/>
                <w:sz w:val="20"/>
                <w:szCs w:val="20"/>
                <w:lang w:val="fr-CA"/>
              </w:rPr>
              <w:t xml:space="preserve">Sa Majesté la Reine </w:t>
            </w:r>
            <w:r w:rsidR="00D84417" w:rsidRPr="007012D5">
              <w:rPr>
                <w:b/>
                <w:sz w:val="20"/>
                <w:szCs w:val="20"/>
                <w:lang w:val="fr-CA"/>
              </w:rPr>
              <w:t>(</w:t>
            </w:r>
            <w:r w:rsidRPr="007012D5">
              <w:rPr>
                <w:b/>
                <w:sz w:val="20"/>
                <w:szCs w:val="20"/>
                <w:lang w:val="fr-CA"/>
              </w:rPr>
              <w:t>Qc</w:t>
            </w:r>
            <w:r w:rsidR="00D84417" w:rsidRPr="007012D5">
              <w:rPr>
                <w:b/>
                <w:sz w:val="20"/>
                <w:szCs w:val="20"/>
                <w:lang w:val="fr-CA"/>
              </w:rPr>
              <w:t>)</w:t>
            </w:r>
          </w:p>
          <w:p w:rsidR="00D84417" w:rsidRPr="007012D5" w:rsidRDefault="00D84417" w:rsidP="00D84417">
            <w:pPr>
              <w:tabs>
                <w:tab w:val="left" w:pos="-1440"/>
                <w:tab w:val="left" w:pos="-720"/>
              </w:tabs>
              <w:rPr>
                <w:sz w:val="20"/>
                <w:szCs w:val="20"/>
                <w:lang w:val="fr-CA"/>
              </w:rPr>
            </w:pPr>
            <w:r w:rsidRPr="007012D5">
              <w:rPr>
                <w:sz w:val="20"/>
                <w:szCs w:val="20"/>
                <w:lang w:val="fr-CA"/>
              </w:rPr>
              <w:tab/>
            </w:r>
            <w:r w:rsidR="007012D5">
              <w:rPr>
                <w:sz w:val="20"/>
                <w:szCs w:val="20"/>
                <w:lang w:val="fr-CA"/>
              </w:rPr>
              <w:t>Dennis Galiastatos</w:t>
            </w:r>
          </w:p>
          <w:p w:rsidR="00D84417" w:rsidRPr="007012D5" w:rsidRDefault="00D84417" w:rsidP="00D84417">
            <w:pPr>
              <w:tabs>
                <w:tab w:val="left" w:pos="-1440"/>
                <w:tab w:val="left" w:pos="-720"/>
              </w:tabs>
              <w:rPr>
                <w:sz w:val="20"/>
                <w:szCs w:val="20"/>
                <w:lang w:val="fr-CA"/>
              </w:rPr>
            </w:pPr>
            <w:r w:rsidRPr="007012D5">
              <w:rPr>
                <w:sz w:val="20"/>
                <w:szCs w:val="20"/>
                <w:lang w:val="fr-CA"/>
              </w:rPr>
              <w:tab/>
            </w:r>
            <w:r w:rsidR="007012D5">
              <w:rPr>
                <w:sz w:val="20"/>
                <w:szCs w:val="20"/>
                <w:lang w:val="fr-CA"/>
              </w:rPr>
              <w:t xml:space="preserve">Directeur aux poursuites criminelles et </w:t>
            </w:r>
            <w:r w:rsidR="007012D5">
              <w:rPr>
                <w:sz w:val="20"/>
                <w:szCs w:val="20"/>
                <w:lang w:val="fr-CA"/>
              </w:rPr>
              <w:tab/>
              <w:t>pénales du Québec</w:t>
            </w:r>
          </w:p>
          <w:p w:rsidR="00D84417" w:rsidRPr="007012D5" w:rsidRDefault="00D84417" w:rsidP="00D84417">
            <w:pPr>
              <w:tabs>
                <w:tab w:val="left" w:pos="-1440"/>
                <w:tab w:val="left" w:pos="-720"/>
              </w:tabs>
              <w:rPr>
                <w:sz w:val="20"/>
                <w:szCs w:val="20"/>
                <w:lang w:val="fr-CA"/>
              </w:rPr>
            </w:pPr>
          </w:p>
          <w:p w:rsidR="00D84417" w:rsidRPr="00A935AA" w:rsidRDefault="0061271E" w:rsidP="007012D5">
            <w:pPr>
              <w:rPr>
                <w:sz w:val="20"/>
                <w:szCs w:val="20"/>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sidR="007012D5">
              <w:rPr>
                <w:sz w:val="20"/>
                <w:szCs w:val="20"/>
                <w:lang w:val="fr-CA"/>
              </w:rPr>
              <w:t>0</w:t>
            </w:r>
            <w:r>
              <w:rPr>
                <w:sz w:val="20"/>
                <w:szCs w:val="20"/>
                <w:lang w:val="fr-CA"/>
              </w:rPr>
              <w:t>2</w:t>
            </w:r>
            <w:r w:rsidRPr="00806A5B">
              <w:rPr>
                <w:sz w:val="20"/>
                <w:szCs w:val="20"/>
                <w:lang w:val="fr-CA"/>
              </w:rPr>
              <w:t>.0</w:t>
            </w:r>
            <w:r w:rsidR="007012D5">
              <w:rPr>
                <w:sz w:val="20"/>
                <w:szCs w:val="20"/>
                <w:lang w:val="fr-CA"/>
              </w:rPr>
              <w:t>2</w:t>
            </w:r>
            <w:r w:rsidRPr="00806A5B">
              <w:rPr>
                <w:sz w:val="20"/>
                <w:szCs w:val="20"/>
                <w:lang w:val="fr-CA"/>
              </w:rPr>
              <w:t>.201</w:t>
            </w:r>
            <w:r>
              <w:rPr>
                <w:sz w:val="20"/>
                <w:szCs w:val="20"/>
                <w:lang w:val="fr-CA"/>
              </w:rPr>
              <w:t>5</w:t>
            </w:r>
            <w:r w:rsidR="005A3634">
              <w:rPr>
                <w:sz w:val="20"/>
                <w:szCs w:val="20"/>
                <w:lang w:val="fr-CA"/>
              </w:rPr>
              <w:pict>
                <v:rect id="_x0000_i1039" style="width:108pt;height:1pt" o:hrpct="0" o:hralign="center" o:hrstd="t" o:hrnoshade="t" o:hr="t" fillcolor="black [3213]" stroked="f"/>
              </w:pict>
            </w:r>
          </w:p>
        </w:tc>
      </w:tr>
      <w:tr w:rsidR="00F80E5D" w:rsidRPr="007012D5" w:rsidTr="003B3977">
        <w:trPr>
          <w:cantSplit/>
        </w:trPr>
        <w:tc>
          <w:tcPr>
            <w:tcW w:w="4320" w:type="dxa"/>
            <w:shd w:val="clear" w:color="auto" w:fill="auto"/>
          </w:tcPr>
          <w:p w:rsidR="00F80E5D" w:rsidRPr="00A935AA" w:rsidRDefault="007012D5" w:rsidP="00F80E5D">
            <w:pPr>
              <w:rPr>
                <w:b/>
                <w:sz w:val="20"/>
                <w:szCs w:val="20"/>
              </w:rPr>
            </w:pPr>
            <w:r>
              <w:rPr>
                <w:b/>
                <w:sz w:val="20"/>
                <w:szCs w:val="20"/>
              </w:rPr>
              <w:lastRenderedPageBreak/>
              <w:t>1298417 Ontario Ltd.</w:t>
            </w:r>
          </w:p>
          <w:p w:rsidR="00F80E5D" w:rsidRPr="00A935AA" w:rsidRDefault="00F80E5D" w:rsidP="00F80E5D">
            <w:pPr>
              <w:tabs>
                <w:tab w:val="left" w:pos="-1440"/>
                <w:tab w:val="left" w:pos="-720"/>
              </w:tabs>
              <w:rPr>
                <w:sz w:val="20"/>
                <w:szCs w:val="20"/>
              </w:rPr>
            </w:pPr>
            <w:r w:rsidRPr="00A935AA">
              <w:rPr>
                <w:sz w:val="20"/>
                <w:szCs w:val="20"/>
              </w:rPr>
              <w:tab/>
            </w:r>
            <w:r w:rsidR="007012D5">
              <w:rPr>
                <w:sz w:val="20"/>
                <w:szCs w:val="20"/>
              </w:rPr>
              <w:t>S</w:t>
            </w:r>
            <w:r>
              <w:rPr>
                <w:sz w:val="20"/>
                <w:szCs w:val="20"/>
              </w:rPr>
              <w:t>a</w:t>
            </w:r>
            <w:r w:rsidR="007012D5">
              <w:rPr>
                <w:sz w:val="20"/>
                <w:szCs w:val="20"/>
              </w:rPr>
              <w:t>mu</w:t>
            </w:r>
            <w:r>
              <w:rPr>
                <w:sz w:val="20"/>
                <w:szCs w:val="20"/>
              </w:rPr>
              <w:t xml:space="preserve">el </w:t>
            </w:r>
            <w:r w:rsidR="007012D5">
              <w:rPr>
                <w:sz w:val="20"/>
                <w:szCs w:val="20"/>
              </w:rPr>
              <w:t>M</w:t>
            </w:r>
            <w:r>
              <w:rPr>
                <w:sz w:val="20"/>
                <w:szCs w:val="20"/>
              </w:rPr>
              <w:t xml:space="preserve">. </w:t>
            </w:r>
            <w:r w:rsidR="007012D5">
              <w:rPr>
                <w:sz w:val="20"/>
                <w:szCs w:val="20"/>
              </w:rPr>
              <w:t>Robinson</w:t>
            </w:r>
          </w:p>
          <w:p w:rsidR="00F80E5D" w:rsidRPr="00A935AA" w:rsidRDefault="00F80E5D" w:rsidP="00F80E5D">
            <w:pPr>
              <w:tabs>
                <w:tab w:val="left" w:pos="-1440"/>
                <w:tab w:val="left" w:pos="-720"/>
              </w:tabs>
              <w:rPr>
                <w:sz w:val="20"/>
                <w:szCs w:val="20"/>
              </w:rPr>
            </w:pPr>
            <w:r w:rsidRPr="00A935AA">
              <w:rPr>
                <w:sz w:val="20"/>
                <w:szCs w:val="20"/>
              </w:rPr>
              <w:tab/>
            </w:r>
            <w:r>
              <w:rPr>
                <w:sz w:val="20"/>
                <w:szCs w:val="20"/>
              </w:rPr>
              <w:t>S</w:t>
            </w:r>
            <w:r w:rsidR="007012D5">
              <w:rPr>
                <w:sz w:val="20"/>
                <w:szCs w:val="20"/>
              </w:rPr>
              <w:t>tockwood</w:t>
            </w:r>
            <w:r>
              <w:rPr>
                <w:sz w:val="20"/>
                <w:szCs w:val="20"/>
              </w:rPr>
              <w:t>s</w:t>
            </w:r>
            <w:r w:rsidR="007012D5">
              <w:rPr>
                <w:sz w:val="20"/>
                <w:szCs w:val="20"/>
              </w:rPr>
              <w:t xml:space="preserve"> </w:t>
            </w:r>
            <w:r>
              <w:rPr>
                <w:sz w:val="20"/>
                <w:szCs w:val="20"/>
              </w:rPr>
              <w:t>LLP</w:t>
            </w:r>
          </w:p>
          <w:p w:rsidR="00F80E5D" w:rsidRPr="00A935AA" w:rsidRDefault="00F80E5D" w:rsidP="00F80E5D">
            <w:pPr>
              <w:tabs>
                <w:tab w:val="left" w:pos="-1440"/>
                <w:tab w:val="left" w:pos="-720"/>
              </w:tabs>
              <w:rPr>
                <w:sz w:val="20"/>
                <w:szCs w:val="20"/>
              </w:rPr>
            </w:pPr>
          </w:p>
          <w:p w:rsidR="00F80E5D" w:rsidRPr="00A935AA" w:rsidRDefault="00F80E5D" w:rsidP="00F80E5D">
            <w:pPr>
              <w:tabs>
                <w:tab w:val="left" w:pos="-1440"/>
                <w:tab w:val="left" w:pos="-720"/>
              </w:tabs>
              <w:rPr>
                <w:sz w:val="20"/>
                <w:szCs w:val="20"/>
              </w:rPr>
            </w:pPr>
            <w:r w:rsidRPr="00A935AA">
              <w:rPr>
                <w:sz w:val="20"/>
                <w:szCs w:val="20"/>
              </w:rPr>
              <w:tab/>
              <w:t>v. (3</w:t>
            </w:r>
            <w:r>
              <w:rPr>
                <w:sz w:val="20"/>
                <w:szCs w:val="20"/>
              </w:rPr>
              <w:t>628</w:t>
            </w:r>
            <w:r w:rsidR="007012D5">
              <w:rPr>
                <w:sz w:val="20"/>
                <w:szCs w:val="20"/>
              </w:rPr>
              <w:t>8</w:t>
            </w:r>
            <w:r w:rsidRPr="00A935AA">
              <w:rPr>
                <w:sz w:val="20"/>
                <w:szCs w:val="20"/>
              </w:rPr>
              <w:t>)</w:t>
            </w:r>
          </w:p>
          <w:p w:rsidR="00F80E5D" w:rsidRPr="00A935AA" w:rsidRDefault="00F80E5D" w:rsidP="00F80E5D">
            <w:pPr>
              <w:tabs>
                <w:tab w:val="left" w:pos="-1440"/>
                <w:tab w:val="left" w:pos="-720"/>
              </w:tabs>
              <w:rPr>
                <w:sz w:val="20"/>
                <w:szCs w:val="20"/>
              </w:rPr>
            </w:pPr>
          </w:p>
          <w:p w:rsidR="00F80E5D" w:rsidRPr="00A935AA" w:rsidRDefault="007012D5" w:rsidP="00F80E5D">
            <w:pPr>
              <w:tabs>
                <w:tab w:val="left" w:pos="-1440"/>
                <w:tab w:val="left" w:pos="-720"/>
              </w:tabs>
              <w:rPr>
                <w:b/>
                <w:sz w:val="20"/>
                <w:szCs w:val="20"/>
              </w:rPr>
            </w:pPr>
            <w:r>
              <w:rPr>
                <w:b/>
                <w:sz w:val="20"/>
                <w:szCs w:val="20"/>
              </w:rPr>
              <w:t>Corporation of the Town of Lak</w:t>
            </w:r>
            <w:r w:rsidR="00F80E5D">
              <w:rPr>
                <w:b/>
                <w:sz w:val="20"/>
                <w:szCs w:val="20"/>
              </w:rPr>
              <w:t>e</w:t>
            </w:r>
            <w:r>
              <w:rPr>
                <w:b/>
                <w:sz w:val="20"/>
                <w:szCs w:val="20"/>
              </w:rPr>
              <w:t>shore</w:t>
            </w:r>
            <w:r w:rsidR="00F80E5D">
              <w:rPr>
                <w:b/>
                <w:sz w:val="20"/>
                <w:szCs w:val="20"/>
              </w:rPr>
              <w:t xml:space="preserve"> </w:t>
            </w:r>
            <w:r w:rsidR="00F80E5D" w:rsidRPr="00A935AA">
              <w:rPr>
                <w:b/>
                <w:sz w:val="20"/>
                <w:szCs w:val="20"/>
              </w:rPr>
              <w:t>(</w:t>
            </w:r>
            <w:r>
              <w:rPr>
                <w:b/>
                <w:sz w:val="20"/>
                <w:szCs w:val="20"/>
              </w:rPr>
              <w:t>On</w:t>
            </w:r>
            <w:r w:rsidR="00F80E5D">
              <w:rPr>
                <w:b/>
                <w:sz w:val="20"/>
                <w:szCs w:val="20"/>
              </w:rPr>
              <w:t>t</w:t>
            </w:r>
            <w:r w:rsidR="00F80E5D" w:rsidRPr="00A935AA">
              <w:rPr>
                <w:b/>
                <w:sz w:val="20"/>
                <w:szCs w:val="20"/>
              </w:rPr>
              <w:t>.)</w:t>
            </w:r>
          </w:p>
          <w:p w:rsidR="00F80E5D" w:rsidRPr="00A935AA" w:rsidRDefault="00F80E5D" w:rsidP="00F80E5D">
            <w:pPr>
              <w:tabs>
                <w:tab w:val="left" w:pos="-1440"/>
                <w:tab w:val="left" w:pos="-720"/>
              </w:tabs>
              <w:rPr>
                <w:sz w:val="20"/>
                <w:szCs w:val="20"/>
              </w:rPr>
            </w:pPr>
            <w:r w:rsidRPr="00A935AA">
              <w:rPr>
                <w:sz w:val="20"/>
                <w:szCs w:val="20"/>
              </w:rPr>
              <w:tab/>
            </w:r>
            <w:r w:rsidR="007012D5">
              <w:rPr>
                <w:sz w:val="20"/>
                <w:szCs w:val="20"/>
              </w:rPr>
              <w:t>William V. Sasso</w:t>
            </w:r>
          </w:p>
          <w:p w:rsidR="00F80E5D" w:rsidRPr="00A935AA" w:rsidRDefault="00F80E5D" w:rsidP="00F80E5D">
            <w:pPr>
              <w:tabs>
                <w:tab w:val="left" w:pos="-1440"/>
                <w:tab w:val="left" w:pos="-720"/>
              </w:tabs>
              <w:rPr>
                <w:sz w:val="20"/>
                <w:szCs w:val="20"/>
              </w:rPr>
            </w:pPr>
            <w:r w:rsidRPr="00A935AA">
              <w:rPr>
                <w:sz w:val="20"/>
                <w:szCs w:val="20"/>
              </w:rPr>
              <w:tab/>
            </w:r>
            <w:r w:rsidR="007012D5">
              <w:rPr>
                <w:sz w:val="20"/>
                <w:szCs w:val="20"/>
              </w:rPr>
              <w:t>Sutts, Strosberg LLP</w:t>
            </w:r>
          </w:p>
          <w:p w:rsidR="00F80E5D" w:rsidRPr="00A935AA" w:rsidRDefault="00F80E5D" w:rsidP="00F80E5D">
            <w:pPr>
              <w:tabs>
                <w:tab w:val="left" w:pos="-1440"/>
                <w:tab w:val="left" w:pos="-720"/>
              </w:tabs>
              <w:rPr>
                <w:sz w:val="20"/>
                <w:szCs w:val="20"/>
              </w:rPr>
            </w:pPr>
          </w:p>
          <w:p w:rsidR="00F80E5D" w:rsidRPr="00A935AA" w:rsidRDefault="00F80E5D" w:rsidP="00F80E5D">
            <w:pPr>
              <w:rPr>
                <w:sz w:val="20"/>
                <w:szCs w:val="20"/>
              </w:rPr>
            </w:pPr>
            <w:r w:rsidRPr="00A935AA">
              <w:rPr>
                <w:sz w:val="20"/>
                <w:szCs w:val="20"/>
              </w:rPr>
              <w:t xml:space="preserve">FILING DATE: </w:t>
            </w:r>
            <w:r>
              <w:rPr>
                <w:sz w:val="20"/>
                <w:szCs w:val="20"/>
              </w:rPr>
              <w:t>02</w:t>
            </w:r>
            <w:r w:rsidRPr="00A935AA">
              <w:rPr>
                <w:sz w:val="20"/>
                <w:szCs w:val="20"/>
              </w:rPr>
              <w:t>.0</w:t>
            </w:r>
            <w:r>
              <w:rPr>
                <w:sz w:val="20"/>
                <w:szCs w:val="20"/>
              </w:rPr>
              <w:t>2</w:t>
            </w:r>
            <w:r w:rsidRPr="00A935AA">
              <w:rPr>
                <w:sz w:val="20"/>
                <w:szCs w:val="20"/>
              </w:rPr>
              <w:t>.201</w:t>
            </w:r>
            <w:r>
              <w:rPr>
                <w:sz w:val="20"/>
                <w:szCs w:val="20"/>
              </w:rPr>
              <w:t>5</w:t>
            </w:r>
            <w:r w:rsidR="005A3634">
              <w:rPr>
                <w:sz w:val="20"/>
                <w:szCs w:val="20"/>
                <w:lang w:val="fr-CA"/>
              </w:rPr>
              <w:pict>
                <v:rect id="_x0000_i1040" style="width:108pt;height:1pt" o:hrpct="0" o:hralign="center" o:hrstd="t" o:hrnoshade="t" o:hr="t" fillcolor="black [3213]" stroked="f"/>
              </w:pict>
            </w:r>
          </w:p>
        </w:tc>
        <w:tc>
          <w:tcPr>
            <w:tcW w:w="1181" w:type="dxa"/>
            <w:shd w:val="clear" w:color="auto" w:fill="auto"/>
          </w:tcPr>
          <w:p w:rsidR="00F80E5D" w:rsidRDefault="00F80E5D" w:rsidP="00242AEE">
            <w:pPr>
              <w:jc w:val="center"/>
              <w:rPr>
                <w:sz w:val="20"/>
                <w:szCs w:val="20"/>
              </w:rPr>
            </w:pPr>
          </w:p>
          <w:p w:rsidR="00F80E5D" w:rsidRDefault="00F80E5D" w:rsidP="00242AEE">
            <w:pPr>
              <w:jc w:val="center"/>
              <w:rPr>
                <w:sz w:val="20"/>
                <w:szCs w:val="20"/>
              </w:rPr>
            </w:pPr>
          </w:p>
          <w:p w:rsidR="00F80E5D" w:rsidRDefault="00F80E5D" w:rsidP="00242AEE">
            <w:pPr>
              <w:jc w:val="center"/>
              <w:rPr>
                <w:sz w:val="20"/>
                <w:szCs w:val="20"/>
              </w:rPr>
            </w:pPr>
          </w:p>
          <w:p w:rsidR="00F80E5D" w:rsidRDefault="00F80E5D" w:rsidP="00242AEE">
            <w:pPr>
              <w:jc w:val="center"/>
              <w:rPr>
                <w:sz w:val="20"/>
                <w:szCs w:val="20"/>
              </w:rPr>
            </w:pPr>
          </w:p>
          <w:p w:rsidR="00F80E5D" w:rsidRDefault="00F80E5D" w:rsidP="00242AEE">
            <w:pPr>
              <w:jc w:val="center"/>
              <w:rPr>
                <w:sz w:val="20"/>
                <w:szCs w:val="20"/>
              </w:rPr>
            </w:pPr>
          </w:p>
          <w:p w:rsidR="00F80E5D" w:rsidRDefault="00F80E5D" w:rsidP="00242AEE">
            <w:pPr>
              <w:jc w:val="center"/>
              <w:rPr>
                <w:sz w:val="20"/>
                <w:szCs w:val="20"/>
              </w:rPr>
            </w:pPr>
          </w:p>
          <w:p w:rsidR="00F80E5D" w:rsidRDefault="00F80E5D" w:rsidP="00242AEE">
            <w:pPr>
              <w:jc w:val="center"/>
              <w:rPr>
                <w:sz w:val="20"/>
                <w:szCs w:val="20"/>
              </w:rPr>
            </w:pPr>
          </w:p>
          <w:p w:rsidR="00F80E5D" w:rsidRDefault="00F80E5D" w:rsidP="00242AEE">
            <w:pPr>
              <w:jc w:val="center"/>
              <w:rPr>
                <w:sz w:val="20"/>
                <w:szCs w:val="20"/>
              </w:rPr>
            </w:pPr>
          </w:p>
          <w:p w:rsidR="00F80E5D" w:rsidRDefault="00F80E5D" w:rsidP="00242AEE">
            <w:pPr>
              <w:jc w:val="center"/>
              <w:rPr>
                <w:sz w:val="20"/>
                <w:szCs w:val="20"/>
              </w:rPr>
            </w:pPr>
          </w:p>
          <w:p w:rsidR="00F80E5D" w:rsidRDefault="00F80E5D" w:rsidP="00242AEE">
            <w:pPr>
              <w:jc w:val="center"/>
              <w:rPr>
                <w:sz w:val="20"/>
                <w:szCs w:val="20"/>
              </w:rPr>
            </w:pPr>
          </w:p>
          <w:p w:rsidR="00F80E5D" w:rsidRDefault="00F80E5D" w:rsidP="00242AEE">
            <w:pPr>
              <w:jc w:val="center"/>
              <w:rPr>
                <w:sz w:val="20"/>
                <w:szCs w:val="20"/>
              </w:rPr>
            </w:pPr>
          </w:p>
          <w:p w:rsidR="00F80E5D" w:rsidRDefault="00F80E5D" w:rsidP="00242AEE">
            <w:pPr>
              <w:jc w:val="center"/>
              <w:rPr>
                <w:sz w:val="20"/>
                <w:szCs w:val="20"/>
              </w:rPr>
            </w:pPr>
          </w:p>
          <w:p w:rsidR="00F80E5D" w:rsidRDefault="00F80E5D" w:rsidP="00242AEE">
            <w:pPr>
              <w:jc w:val="center"/>
              <w:rPr>
                <w:sz w:val="20"/>
                <w:szCs w:val="20"/>
              </w:rPr>
            </w:pPr>
          </w:p>
        </w:tc>
        <w:tc>
          <w:tcPr>
            <w:tcW w:w="4320" w:type="dxa"/>
            <w:shd w:val="clear" w:color="auto" w:fill="auto"/>
          </w:tcPr>
          <w:p w:rsidR="00F80E5D" w:rsidRPr="007012D5" w:rsidRDefault="007012D5" w:rsidP="00F80E5D">
            <w:pPr>
              <w:rPr>
                <w:b/>
                <w:sz w:val="20"/>
                <w:szCs w:val="20"/>
                <w:lang w:val="fr-CA"/>
              </w:rPr>
            </w:pPr>
            <w:r w:rsidRPr="007012D5">
              <w:rPr>
                <w:b/>
                <w:sz w:val="20"/>
                <w:szCs w:val="20"/>
                <w:lang w:val="fr-CA"/>
              </w:rPr>
              <w:t>Procureur général du Canada</w:t>
            </w:r>
          </w:p>
          <w:p w:rsidR="00F80E5D" w:rsidRPr="007012D5" w:rsidRDefault="00F80E5D" w:rsidP="00F80E5D">
            <w:pPr>
              <w:tabs>
                <w:tab w:val="left" w:pos="-1440"/>
                <w:tab w:val="left" w:pos="-720"/>
              </w:tabs>
              <w:rPr>
                <w:sz w:val="20"/>
                <w:szCs w:val="20"/>
                <w:lang w:val="fr-CA"/>
              </w:rPr>
            </w:pPr>
            <w:r w:rsidRPr="007012D5">
              <w:rPr>
                <w:sz w:val="20"/>
                <w:szCs w:val="20"/>
                <w:lang w:val="fr-CA"/>
              </w:rPr>
              <w:tab/>
            </w:r>
            <w:r w:rsidR="007012D5" w:rsidRPr="007012D5">
              <w:rPr>
                <w:sz w:val="20"/>
                <w:szCs w:val="20"/>
                <w:lang w:val="fr-CA"/>
              </w:rPr>
              <w:t>Marc Ribeiro</w:t>
            </w:r>
          </w:p>
          <w:p w:rsidR="00F80E5D" w:rsidRPr="007012D5" w:rsidRDefault="00F80E5D" w:rsidP="00F80E5D">
            <w:pPr>
              <w:tabs>
                <w:tab w:val="left" w:pos="-1440"/>
                <w:tab w:val="left" w:pos="-720"/>
              </w:tabs>
              <w:rPr>
                <w:sz w:val="20"/>
                <w:szCs w:val="20"/>
                <w:lang w:val="fr-CA"/>
              </w:rPr>
            </w:pPr>
            <w:r w:rsidRPr="007012D5">
              <w:rPr>
                <w:sz w:val="20"/>
                <w:szCs w:val="20"/>
                <w:lang w:val="fr-CA"/>
              </w:rPr>
              <w:tab/>
            </w:r>
            <w:r w:rsidR="007012D5">
              <w:rPr>
                <w:sz w:val="20"/>
                <w:szCs w:val="20"/>
                <w:lang w:val="fr-CA"/>
              </w:rPr>
              <w:t>P</w:t>
            </w:r>
            <w:r w:rsidR="00323578">
              <w:rPr>
                <w:sz w:val="20"/>
                <w:szCs w:val="20"/>
                <w:lang w:val="fr-CA"/>
              </w:rPr>
              <w:t>.G.</w:t>
            </w:r>
            <w:r w:rsidR="007012D5">
              <w:rPr>
                <w:sz w:val="20"/>
                <w:szCs w:val="20"/>
                <w:lang w:val="fr-CA"/>
              </w:rPr>
              <w:t xml:space="preserve"> du Canada</w:t>
            </w:r>
          </w:p>
          <w:p w:rsidR="00F80E5D" w:rsidRPr="007012D5" w:rsidRDefault="00F80E5D" w:rsidP="00F80E5D">
            <w:pPr>
              <w:tabs>
                <w:tab w:val="left" w:pos="-1440"/>
                <w:tab w:val="left" w:pos="-720"/>
              </w:tabs>
              <w:rPr>
                <w:sz w:val="20"/>
                <w:szCs w:val="20"/>
                <w:lang w:val="fr-CA"/>
              </w:rPr>
            </w:pPr>
          </w:p>
          <w:p w:rsidR="00F80E5D" w:rsidRPr="007012D5" w:rsidRDefault="00F80E5D" w:rsidP="00F80E5D">
            <w:pPr>
              <w:tabs>
                <w:tab w:val="left" w:pos="-1440"/>
                <w:tab w:val="left" w:pos="-720"/>
              </w:tabs>
              <w:rPr>
                <w:sz w:val="20"/>
                <w:szCs w:val="20"/>
                <w:lang w:val="fr-CA"/>
              </w:rPr>
            </w:pPr>
            <w:r w:rsidRPr="007012D5">
              <w:rPr>
                <w:sz w:val="20"/>
                <w:szCs w:val="20"/>
                <w:lang w:val="fr-CA"/>
              </w:rPr>
              <w:tab/>
            </w:r>
            <w:r w:rsidR="007012D5" w:rsidRPr="007012D5">
              <w:rPr>
                <w:sz w:val="20"/>
                <w:szCs w:val="20"/>
                <w:lang w:val="fr-CA"/>
              </w:rPr>
              <w:t>c</w:t>
            </w:r>
            <w:r w:rsidRPr="007012D5">
              <w:rPr>
                <w:sz w:val="20"/>
                <w:szCs w:val="20"/>
                <w:lang w:val="fr-CA"/>
              </w:rPr>
              <w:t>. (3</w:t>
            </w:r>
            <w:r w:rsidR="007012D5">
              <w:rPr>
                <w:sz w:val="20"/>
                <w:szCs w:val="20"/>
                <w:lang w:val="fr-CA"/>
              </w:rPr>
              <w:t>6290</w:t>
            </w:r>
            <w:r w:rsidRPr="007012D5">
              <w:rPr>
                <w:sz w:val="20"/>
                <w:szCs w:val="20"/>
                <w:lang w:val="fr-CA"/>
              </w:rPr>
              <w:t>)</w:t>
            </w:r>
          </w:p>
          <w:p w:rsidR="00F80E5D" w:rsidRPr="007012D5" w:rsidRDefault="00F80E5D" w:rsidP="00F80E5D">
            <w:pPr>
              <w:tabs>
                <w:tab w:val="left" w:pos="-1440"/>
                <w:tab w:val="left" w:pos="-720"/>
              </w:tabs>
              <w:rPr>
                <w:sz w:val="20"/>
                <w:szCs w:val="20"/>
                <w:lang w:val="fr-CA"/>
              </w:rPr>
            </w:pPr>
          </w:p>
          <w:p w:rsidR="00F80E5D" w:rsidRPr="007012D5" w:rsidRDefault="007012D5" w:rsidP="00F80E5D">
            <w:pPr>
              <w:tabs>
                <w:tab w:val="left" w:pos="-1440"/>
                <w:tab w:val="left" w:pos="-720"/>
              </w:tabs>
              <w:rPr>
                <w:b/>
                <w:sz w:val="20"/>
                <w:szCs w:val="20"/>
                <w:lang w:val="fr-CA"/>
              </w:rPr>
            </w:pPr>
            <w:r>
              <w:rPr>
                <w:b/>
                <w:sz w:val="20"/>
                <w:szCs w:val="20"/>
                <w:lang w:val="fr-CA"/>
              </w:rPr>
              <w:t xml:space="preserve">Barreau du Québec </w:t>
            </w:r>
            <w:r w:rsidR="00F80E5D" w:rsidRPr="007012D5">
              <w:rPr>
                <w:b/>
                <w:sz w:val="20"/>
                <w:szCs w:val="20"/>
                <w:lang w:val="fr-CA"/>
              </w:rPr>
              <w:t>(</w:t>
            </w:r>
            <w:r>
              <w:rPr>
                <w:b/>
                <w:sz w:val="20"/>
                <w:szCs w:val="20"/>
                <w:lang w:val="fr-CA"/>
              </w:rPr>
              <w:t>Qc</w:t>
            </w:r>
            <w:r w:rsidR="00F80E5D" w:rsidRPr="007012D5">
              <w:rPr>
                <w:b/>
                <w:sz w:val="20"/>
                <w:szCs w:val="20"/>
                <w:lang w:val="fr-CA"/>
              </w:rPr>
              <w:t>)</w:t>
            </w:r>
          </w:p>
          <w:p w:rsidR="00F80E5D" w:rsidRPr="007012D5" w:rsidRDefault="00F80E5D" w:rsidP="00F80E5D">
            <w:pPr>
              <w:tabs>
                <w:tab w:val="left" w:pos="-1440"/>
                <w:tab w:val="left" w:pos="-720"/>
              </w:tabs>
              <w:rPr>
                <w:sz w:val="20"/>
                <w:szCs w:val="20"/>
                <w:lang w:val="fr-CA"/>
              </w:rPr>
            </w:pPr>
            <w:r w:rsidRPr="007012D5">
              <w:rPr>
                <w:sz w:val="20"/>
                <w:szCs w:val="20"/>
                <w:lang w:val="fr-CA"/>
              </w:rPr>
              <w:tab/>
            </w:r>
            <w:r w:rsidR="007012D5">
              <w:rPr>
                <w:sz w:val="20"/>
                <w:szCs w:val="20"/>
                <w:lang w:val="fr-CA"/>
              </w:rPr>
              <w:t>Giuseppe Battista</w:t>
            </w:r>
          </w:p>
          <w:p w:rsidR="00F80E5D" w:rsidRPr="007012D5" w:rsidRDefault="00F80E5D" w:rsidP="00F80E5D">
            <w:pPr>
              <w:tabs>
                <w:tab w:val="left" w:pos="-1440"/>
                <w:tab w:val="left" w:pos="-720"/>
              </w:tabs>
              <w:rPr>
                <w:sz w:val="20"/>
                <w:szCs w:val="20"/>
                <w:lang w:val="fr-CA"/>
              </w:rPr>
            </w:pPr>
            <w:r w:rsidRPr="007012D5">
              <w:rPr>
                <w:sz w:val="20"/>
                <w:szCs w:val="20"/>
                <w:lang w:val="fr-CA"/>
              </w:rPr>
              <w:tab/>
            </w:r>
            <w:r w:rsidR="007012D5">
              <w:rPr>
                <w:sz w:val="20"/>
                <w:szCs w:val="20"/>
                <w:lang w:val="fr-CA"/>
              </w:rPr>
              <w:t>Shadley Battista</w:t>
            </w:r>
          </w:p>
          <w:p w:rsidR="00F80E5D" w:rsidRPr="007012D5" w:rsidRDefault="00F80E5D" w:rsidP="00F80E5D">
            <w:pPr>
              <w:tabs>
                <w:tab w:val="left" w:pos="-1440"/>
                <w:tab w:val="left" w:pos="-720"/>
              </w:tabs>
              <w:rPr>
                <w:sz w:val="20"/>
                <w:szCs w:val="20"/>
                <w:lang w:val="fr-CA"/>
              </w:rPr>
            </w:pPr>
          </w:p>
          <w:p w:rsidR="00F80E5D" w:rsidRPr="007012D5" w:rsidRDefault="007012D5" w:rsidP="00F80E5D">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xml:space="preserve">: </w:t>
            </w:r>
            <w:r>
              <w:rPr>
                <w:sz w:val="20"/>
                <w:szCs w:val="20"/>
                <w:lang w:val="fr-CA"/>
              </w:rPr>
              <w:t>02</w:t>
            </w:r>
            <w:r w:rsidRPr="00806A5B">
              <w:rPr>
                <w:sz w:val="20"/>
                <w:szCs w:val="20"/>
                <w:lang w:val="fr-CA"/>
              </w:rPr>
              <w:t>.0</w:t>
            </w:r>
            <w:r>
              <w:rPr>
                <w:sz w:val="20"/>
                <w:szCs w:val="20"/>
                <w:lang w:val="fr-CA"/>
              </w:rPr>
              <w:t>2</w:t>
            </w:r>
            <w:r w:rsidRPr="00806A5B">
              <w:rPr>
                <w:sz w:val="20"/>
                <w:szCs w:val="20"/>
                <w:lang w:val="fr-CA"/>
              </w:rPr>
              <w:t>.201</w:t>
            </w:r>
            <w:r>
              <w:rPr>
                <w:sz w:val="20"/>
                <w:szCs w:val="20"/>
                <w:lang w:val="fr-CA"/>
              </w:rPr>
              <w:t>5</w:t>
            </w:r>
            <w:r w:rsidR="005A3634">
              <w:rPr>
                <w:sz w:val="20"/>
                <w:szCs w:val="20"/>
                <w:lang w:val="fr-CA"/>
              </w:rPr>
              <w:pict>
                <v:rect id="_x0000_i1041" style="width:108pt;height:1pt" o:hrpct="0" o:hralign="center" o:hrstd="t" o:hrnoshade="t" o:hr="t" fillcolor="black [3213]" stroked="f"/>
              </w:pict>
            </w:r>
          </w:p>
        </w:tc>
      </w:tr>
      <w:tr w:rsidR="00693955" w:rsidRPr="00A935AA" w:rsidTr="003B3977">
        <w:trPr>
          <w:cantSplit/>
        </w:trPr>
        <w:tc>
          <w:tcPr>
            <w:tcW w:w="4320" w:type="dxa"/>
            <w:shd w:val="clear" w:color="auto" w:fill="auto"/>
          </w:tcPr>
          <w:p w:rsidR="00693955" w:rsidRPr="00A935AA" w:rsidRDefault="00693955" w:rsidP="00F80E5D">
            <w:pPr>
              <w:rPr>
                <w:b/>
                <w:sz w:val="20"/>
                <w:szCs w:val="20"/>
              </w:rPr>
            </w:pPr>
            <w:r w:rsidRPr="007012D5">
              <w:rPr>
                <w:b/>
                <w:sz w:val="20"/>
                <w:szCs w:val="20"/>
              </w:rPr>
              <w:t>G</w:t>
            </w:r>
            <w:r>
              <w:rPr>
                <w:b/>
                <w:sz w:val="20"/>
                <w:szCs w:val="20"/>
              </w:rPr>
              <w:t>abor Kadar</w:t>
            </w:r>
          </w:p>
          <w:p w:rsidR="00693955" w:rsidRPr="00A935AA" w:rsidRDefault="00693955" w:rsidP="00F80E5D">
            <w:pPr>
              <w:tabs>
                <w:tab w:val="left" w:pos="-1440"/>
                <w:tab w:val="left" w:pos="-720"/>
              </w:tabs>
              <w:rPr>
                <w:sz w:val="20"/>
                <w:szCs w:val="20"/>
              </w:rPr>
            </w:pPr>
            <w:r w:rsidRPr="00A935AA">
              <w:rPr>
                <w:sz w:val="20"/>
                <w:szCs w:val="20"/>
              </w:rPr>
              <w:tab/>
            </w:r>
            <w:r>
              <w:rPr>
                <w:sz w:val="20"/>
                <w:szCs w:val="20"/>
              </w:rPr>
              <w:t>Barry Landy</w:t>
            </w:r>
          </w:p>
          <w:p w:rsidR="00693955" w:rsidRPr="00A935AA" w:rsidRDefault="00693955" w:rsidP="00F80E5D">
            <w:pPr>
              <w:tabs>
                <w:tab w:val="left" w:pos="-1440"/>
                <w:tab w:val="left" w:pos="-720"/>
              </w:tabs>
              <w:rPr>
                <w:sz w:val="20"/>
                <w:szCs w:val="20"/>
              </w:rPr>
            </w:pPr>
            <w:r w:rsidRPr="00A935AA">
              <w:rPr>
                <w:sz w:val="20"/>
                <w:szCs w:val="20"/>
              </w:rPr>
              <w:tab/>
            </w:r>
            <w:r>
              <w:rPr>
                <w:sz w:val="20"/>
                <w:szCs w:val="20"/>
              </w:rPr>
              <w:t>Spiegel Sohmer</w:t>
            </w:r>
          </w:p>
          <w:p w:rsidR="00693955" w:rsidRPr="00A935AA" w:rsidRDefault="00693955" w:rsidP="00F80E5D">
            <w:pPr>
              <w:tabs>
                <w:tab w:val="left" w:pos="-1440"/>
                <w:tab w:val="left" w:pos="-720"/>
              </w:tabs>
              <w:rPr>
                <w:sz w:val="20"/>
                <w:szCs w:val="20"/>
              </w:rPr>
            </w:pPr>
          </w:p>
          <w:p w:rsidR="00693955" w:rsidRPr="00A935AA" w:rsidRDefault="00693955" w:rsidP="00F80E5D">
            <w:pPr>
              <w:tabs>
                <w:tab w:val="left" w:pos="-1440"/>
                <w:tab w:val="left" w:pos="-720"/>
              </w:tabs>
              <w:rPr>
                <w:sz w:val="20"/>
                <w:szCs w:val="20"/>
              </w:rPr>
            </w:pPr>
            <w:r w:rsidRPr="00A935AA">
              <w:rPr>
                <w:sz w:val="20"/>
                <w:szCs w:val="20"/>
              </w:rPr>
              <w:tab/>
              <w:t>v. (3</w:t>
            </w:r>
            <w:r>
              <w:rPr>
                <w:sz w:val="20"/>
                <w:szCs w:val="20"/>
              </w:rPr>
              <w:t>6292</w:t>
            </w:r>
            <w:r w:rsidRPr="00A935AA">
              <w:rPr>
                <w:sz w:val="20"/>
                <w:szCs w:val="20"/>
              </w:rPr>
              <w:t>)</w:t>
            </w:r>
          </w:p>
          <w:p w:rsidR="00693955" w:rsidRPr="00A935AA" w:rsidRDefault="00693955" w:rsidP="00F80E5D">
            <w:pPr>
              <w:tabs>
                <w:tab w:val="left" w:pos="-1440"/>
                <w:tab w:val="left" w:pos="-720"/>
              </w:tabs>
              <w:rPr>
                <w:sz w:val="20"/>
                <w:szCs w:val="20"/>
              </w:rPr>
            </w:pPr>
          </w:p>
          <w:p w:rsidR="00693955" w:rsidRPr="00A935AA" w:rsidRDefault="00693955" w:rsidP="00F80E5D">
            <w:pPr>
              <w:tabs>
                <w:tab w:val="left" w:pos="-1440"/>
                <w:tab w:val="left" w:pos="-720"/>
              </w:tabs>
              <w:rPr>
                <w:b/>
                <w:sz w:val="20"/>
                <w:szCs w:val="20"/>
              </w:rPr>
            </w:pPr>
            <w:r>
              <w:rPr>
                <w:b/>
                <w:sz w:val="20"/>
                <w:szCs w:val="20"/>
              </w:rPr>
              <w:t xml:space="preserve">Susan Reichman personally and in her capacity as liquidator and trustee of the Estate of the late Edith Kadar </w:t>
            </w:r>
            <w:r w:rsidRPr="00A935AA">
              <w:rPr>
                <w:b/>
                <w:sz w:val="20"/>
                <w:szCs w:val="20"/>
              </w:rPr>
              <w:t>(</w:t>
            </w:r>
            <w:r>
              <w:rPr>
                <w:b/>
                <w:sz w:val="20"/>
                <w:szCs w:val="20"/>
              </w:rPr>
              <w:t>Que</w:t>
            </w:r>
            <w:r w:rsidRPr="00A935AA">
              <w:rPr>
                <w:b/>
                <w:sz w:val="20"/>
                <w:szCs w:val="20"/>
              </w:rPr>
              <w:t>.)</w:t>
            </w:r>
          </w:p>
          <w:p w:rsidR="00693955" w:rsidRPr="007012D5" w:rsidRDefault="00693955" w:rsidP="00F80E5D">
            <w:pPr>
              <w:tabs>
                <w:tab w:val="left" w:pos="-1440"/>
                <w:tab w:val="left" w:pos="-720"/>
              </w:tabs>
              <w:rPr>
                <w:sz w:val="20"/>
                <w:szCs w:val="20"/>
                <w:lang w:val="fr-CA"/>
              </w:rPr>
            </w:pPr>
            <w:r w:rsidRPr="00A935AA">
              <w:rPr>
                <w:sz w:val="20"/>
                <w:szCs w:val="20"/>
              </w:rPr>
              <w:tab/>
            </w:r>
            <w:r w:rsidRPr="007012D5">
              <w:rPr>
                <w:sz w:val="20"/>
                <w:szCs w:val="20"/>
                <w:lang w:val="fr-CA"/>
              </w:rPr>
              <w:t>Jacques S. Darche</w:t>
            </w:r>
          </w:p>
          <w:p w:rsidR="00693955" w:rsidRPr="007012D5" w:rsidRDefault="00693955" w:rsidP="00F80E5D">
            <w:pPr>
              <w:tabs>
                <w:tab w:val="left" w:pos="-1440"/>
                <w:tab w:val="left" w:pos="-720"/>
              </w:tabs>
              <w:rPr>
                <w:sz w:val="20"/>
                <w:szCs w:val="20"/>
                <w:lang w:val="fr-CA"/>
              </w:rPr>
            </w:pPr>
            <w:r w:rsidRPr="007012D5">
              <w:rPr>
                <w:sz w:val="20"/>
                <w:szCs w:val="20"/>
                <w:lang w:val="fr-CA"/>
              </w:rPr>
              <w:tab/>
              <w:t>Borden Ladner Gervais LLP</w:t>
            </w:r>
          </w:p>
          <w:p w:rsidR="00693955" w:rsidRPr="007012D5" w:rsidRDefault="00693955" w:rsidP="00F80E5D">
            <w:pPr>
              <w:tabs>
                <w:tab w:val="left" w:pos="-1440"/>
                <w:tab w:val="left" w:pos="-720"/>
              </w:tabs>
              <w:rPr>
                <w:sz w:val="20"/>
                <w:szCs w:val="20"/>
                <w:lang w:val="fr-CA"/>
              </w:rPr>
            </w:pPr>
          </w:p>
          <w:p w:rsidR="00693955" w:rsidRPr="00A935AA" w:rsidRDefault="00693955" w:rsidP="007012D5">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2</w:t>
            </w:r>
            <w:r w:rsidRPr="00A935AA">
              <w:rPr>
                <w:sz w:val="20"/>
                <w:szCs w:val="20"/>
              </w:rPr>
              <w:t>.201</w:t>
            </w:r>
            <w:r>
              <w:rPr>
                <w:sz w:val="20"/>
                <w:szCs w:val="20"/>
              </w:rPr>
              <w:t>5</w:t>
            </w:r>
            <w:r w:rsidR="005A3634">
              <w:rPr>
                <w:sz w:val="20"/>
                <w:szCs w:val="20"/>
                <w:lang w:val="fr-CA"/>
              </w:rPr>
              <w:pict>
                <v:rect id="_x0000_i1042" style="width:108pt;height:1pt" o:hrpct="0" o:hralign="center" o:hrstd="t" o:hrnoshade="t" o:hr="t" fillcolor="black [3213]" stroked="f"/>
              </w:pict>
            </w:r>
          </w:p>
        </w:tc>
        <w:tc>
          <w:tcPr>
            <w:tcW w:w="1181" w:type="dxa"/>
            <w:shd w:val="clear" w:color="auto" w:fill="auto"/>
          </w:tcPr>
          <w:p w:rsidR="00693955" w:rsidRDefault="00693955" w:rsidP="00242AEE">
            <w:pPr>
              <w:jc w:val="center"/>
              <w:rPr>
                <w:sz w:val="20"/>
                <w:szCs w:val="20"/>
              </w:rPr>
            </w:pPr>
          </w:p>
          <w:p w:rsidR="00693955" w:rsidRDefault="00693955" w:rsidP="00242AEE">
            <w:pPr>
              <w:jc w:val="center"/>
              <w:rPr>
                <w:sz w:val="20"/>
                <w:szCs w:val="20"/>
              </w:rPr>
            </w:pPr>
          </w:p>
          <w:p w:rsidR="00693955" w:rsidRDefault="00693955" w:rsidP="00242AEE">
            <w:pPr>
              <w:jc w:val="center"/>
              <w:rPr>
                <w:sz w:val="20"/>
                <w:szCs w:val="20"/>
              </w:rPr>
            </w:pPr>
          </w:p>
          <w:p w:rsidR="00693955" w:rsidRDefault="00693955" w:rsidP="00242AEE">
            <w:pPr>
              <w:jc w:val="center"/>
              <w:rPr>
                <w:sz w:val="20"/>
                <w:szCs w:val="20"/>
              </w:rPr>
            </w:pPr>
          </w:p>
          <w:p w:rsidR="00693955" w:rsidRDefault="00693955" w:rsidP="00242AEE">
            <w:pPr>
              <w:jc w:val="center"/>
              <w:rPr>
                <w:sz w:val="20"/>
                <w:szCs w:val="20"/>
              </w:rPr>
            </w:pPr>
          </w:p>
          <w:p w:rsidR="00693955" w:rsidRDefault="00693955" w:rsidP="00242AEE">
            <w:pPr>
              <w:jc w:val="center"/>
              <w:rPr>
                <w:sz w:val="20"/>
                <w:szCs w:val="20"/>
              </w:rPr>
            </w:pPr>
          </w:p>
          <w:p w:rsidR="00693955" w:rsidRDefault="00693955" w:rsidP="00242AEE">
            <w:pPr>
              <w:jc w:val="center"/>
              <w:rPr>
                <w:sz w:val="20"/>
                <w:szCs w:val="20"/>
              </w:rPr>
            </w:pPr>
          </w:p>
          <w:p w:rsidR="00693955" w:rsidRDefault="00693955" w:rsidP="00242AEE">
            <w:pPr>
              <w:jc w:val="center"/>
              <w:rPr>
                <w:sz w:val="20"/>
                <w:szCs w:val="20"/>
              </w:rPr>
            </w:pPr>
          </w:p>
          <w:p w:rsidR="00693955" w:rsidRDefault="00693955" w:rsidP="00242AEE">
            <w:pPr>
              <w:jc w:val="center"/>
              <w:rPr>
                <w:sz w:val="20"/>
                <w:szCs w:val="20"/>
              </w:rPr>
            </w:pPr>
          </w:p>
          <w:p w:rsidR="00693955" w:rsidRDefault="00693955" w:rsidP="00242AEE">
            <w:pPr>
              <w:jc w:val="center"/>
              <w:rPr>
                <w:sz w:val="20"/>
                <w:szCs w:val="20"/>
              </w:rPr>
            </w:pPr>
          </w:p>
          <w:p w:rsidR="00693955" w:rsidRDefault="00693955" w:rsidP="00242AEE">
            <w:pPr>
              <w:jc w:val="center"/>
              <w:rPr>
                <w:sz w:val="20"/>
                <w:szCs w:val="20"/>
              </w:rPr>
            </w:pPr>
          </w:p>
          <w:p w:rsidR="00693955" w:rsidRDefault="00693955" w:rsidP="00242AEE">
            <w:pPr>
              <w:jc w:val="center"/>
              <w:rPr>
                <w:sz w:val="20"/>
                <w:szCs w:val="20"/>
              </w:rPr>
            </w:pPr>
          </w:p>
          <w:p w:rsidR="00693955" w:rsidRDefault="00693955" w:rsidP="00242AEE">
            <w:pPr>
              <w:jc w:val="center"/>
              <w:rPr>
                <w:sz w:val="20"/>
                <w:szCs w:val="20"/>
              </w:rPr>
            </w:pPr>
          </w:p>
          <w:p w:rsidR="00693955" w:rsidRDefault="00693955" w:rsidP="00242AEE">
            <w:pPr>
              <w:jc w:val="center"/>
              <w:rPr>
                <w:sz w:val="20"/>
                <w:szCs w:val="20"/>
              </w:rPr>
            </w:pPr>
          </w:p>
        </w:tc>
        <w:tc>
          <w:tcPr>
            <w:tcW w:w="4320" w:type="dxa"/>
            <w:shd w:val="clear" w:color="auto" w:fill="auto"/>
          </w:tcPr>
          <w:p w:rsidR="00693955" w:rsidRPr="00A935AA" w:rsidRDefault="00693955" w:rsidP="0097546B">
            <w:pPr>
              <w:rPr>
                <w:b/>
                <w:sz w:val="20"/>
                <w:szCs w:val="20"/>
              </w:rPr>
            </w:pPr>
            <w:r>
              <w:rPr>
                <w:b/>
                <w:sz w:val="20"/>
                <w:szCs w:val="20"/>
              </w:rPr>
              <w:t>Conrad M. Black</w:t>
            </w:r>
          </w:p>
          <w:p w:rsidR="00693955" w:rsidRPr="00A3387E" w:rsidRDefault="00693955" w:rsidP="0097546B">
            <w:pPr>
              <w:tabs>
                <w:tab w:val="left" w:pos="-1440"/>
                <w:tab w:val="left" w:pos="-720"/>
              </w:tabs>
              <w:rPr>
                <w:sz w:val="20"/>
                <w:szCs w:val="20"/>
              </w:rPr>
            </w:pPr>
            <w:r w:rsidRPr="00A935AA">
              <w:rPr>
                <w:sz w:val="20"/>
                <w:szCs w:val="20"/>
              </w:rPr>
              <w:tab/>
            </w:r>
            <w:r w:rsidRPr="00A3387E">
              <w:rPr>
                <w:sz w:val="20"/>
                <w:szCs w:val="20"/>
              </w:rPr>
              <w:t>David C. Nathanson, Q.C.</w:t>
            </w:r>
          </w:p>
          <w:p w:rsidR="00693955" w:rsidRPr="00693955" w:rsidRDefault="00693955" w:rsidP="0097546B">
            <w:pPr>
              <w:tabs>
                <w:tab w:val="left" w:pos="-1440"/>
                <w:tab w:val="left" w:pos="-720"/>
              </w:tabs>
              <w:rPr>
                <w:sz w:val="20"/>
                <w:szCs w:val="20"/>
              </w:rPr>
            </w:pPr>
            <w:r w:rsidRPr="00A3387E">
              <w:rPr>
                <w:sz w:val="20"/>
                <w:szCs w:val="20"/>
              </w:rPr>
              <w:tab/>
            </w:r>
            <w:r w:rsidRPr="00693955">
              <w:rPr>
                <w:sz w:val="20"/>
                <w:szCs w:val="20"/>
              </w:rPr>
              <w:t>Davis LLP</w:t>
            </w:r>
          </w:p>
          <w:p w:rsidR="00693955" w:rsidRPr="00693955" w:rsidRDefault="00693955" w:rsidP="0097546B">
            <w:pPr>
              <w:tabs>
                <w:tab w:val="left" w:pos="-1440"/>
                <w:tab w:val="left" w:pos="-720"/>
              </w:tabs>
              <w:rPr>
                <w:sz w:val="20"/>
                <w:szCs w:val="20"/>
              </w:rPr>
            </w:pPr>
          </w:p>
          <w:p w:rsidR="00693955" w:rsidRPr="00A935AA" w:rsidRDefault="00693955" w:rsidP="0097546B">
            <w:pPr>
              <w:tabs>
                <w:tab w:val="left" w:pos="-1440"/>
                <w:tab w:val="left" w:pos="-720"/>
              </w:tabs>
              <w:rPr>
                <w:sz w:val="20"/>
                <w:szCs w:val="20"/>
              </w:rPr>
            </w:pPr>
            <w:r w:rsidRPr="00693955">
              <w:rPr>
                <w:sz w:val="20"/>
                <w:szCs w:val="20"/>
              </w:rPr>
              <w:tab/>
            </w:r>
            <w:r w:rsidRPr="00A935AA">
              <w:rPr>
                <w:sz w:val="20"/>
                <w:szCs w:val="20"/>
              </w:rPr>
              <w:t>v. (3</w:t>
            </w:r>
            <w:r>
              <w:rPr>
                <w:sz w:val="20"/>
                <w:szCs w:val="20"/>
              </w:rPr>
              <w:t>6293</w:t>
            </w:r>
            <w:r w:rsidRPr="00A935AA">
              <w:rPr>
                <w:sz w:val="20"/>
                <w:szCs w:val="20"/>
              </w:rPr>
              <w:t>)</w:t>
            </w:r>
          </w:p>
          <w:p w:rsidR="00693955" w:rsidRPr="00A935AA" w:rsidRDefault="00693955" w:rsidP="0097546B">
            <w:pPr>
              <w:tabs>
                <w:tab w:val="left" w:pos="-1440"/>
                <w:tab w:val="left" w:pos="-720"/>
              </w:tabs>
              <w:rPr>
                <w:sz w:val="20"/>
                <w:szCs w:val="20"/>
              </w:rPr>
            </w:pPr>
          </w:p>
          <w:p w:rsidR="00693955" w:rsidRPr="00A935AA" w:rsidRDefault="00693955" w:rsidP="0097546B">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F.C</w:t>
            </w:r>
            <w:r w:rsidRPr="00A935AA">
              <w:rPr>
                <w:b/>
                <w:sz w:val="20"/>
                <w:szCs w:val="20"/>
              </w:rPr>
              <w:t>.)</w:t>
            </w:r>
          </w:p>
          <w:p w:rsidR="00693955" w:rsidRPr="00A935AA" w:rsidRDefault="00693955" w:rsidP="0097546B">
            <w:pPr>
              <w:tabs>
                <w:tab w:val="left" w:pos="-1440"/>
                <w:tab w:val="left" w:pos="-720"/>
              </w:tabs>
              <w:rPr>
                <w:sz w:val="20"/>
                <w:szCs w:val="20"/>
              </w:rPr>
            </w:pPr>
            <w:r w:rsidRPr="00A935AA">
              <w:rPr>
                <w:sz w:val="20"/>
                <w:szCs w:val="20"/>
              </w:rPr>
              <w:tab/>
            </w:r>
            <w:r>
              <w:rPr>
                <w:sz w:val="20"/>
                <w:szCs w:val="20"/>
              </w:rPr>
              <w:t>Arnold H. Bornstein</w:t>
            </w:r>
          </w:p>
          <w:p w:rsidR="00693955" w:rsidRPr="00A935AA" w:rsidRDefault="00693955" w:rsidP="0097546B">
            <w:pPr>
              <w:tabs>
                <w:tab w:val="left" w:pos="-1440"/>
                <w:tab w:val="left" w:pos="-720"/>
              </w:tabs>
              <w:rPr>
                <w:sz w:val="20"/>
                <w:szCs w:val="20"/>
              </w:rPr>
            </w:pPr>
            <w:r w:rsidRPr="00A935AA">
              <w:rPr>
                <w:sz w:val="20"/>
                <w:szCs w:val="20"/>
              </w:rPr>
              <w:tab/>
            </w:r>
            <w:r>
              <w:rPr>
                <w:sz w:val="20"/>
                <w:szCs w:val="20"/>
              </w:rPr>
              <w:t>A.G. of Canada</w:t>
            </w:r>
          </w:p>
          <w:p w:rsidR="00693955" w:rsidRPr="00A935AA" w:rsidRDefault="00693955" w:rsidP="0097546B">
            <w:pPr>
              <w:tabs>
                <w:tab w:val="left" w:pos="-1440"/>
                <w:tab w:val="left" w:pos="-720"/>
              </w:tabs>
              <w:rPr>
                <w:sz w:val="20"/>
                <w:szCs w:val="20"/>
              </w:rPr>
            </w:pPr>
          </w:p>
          <w:p w:rsidR="00693955" w:rsidRPr="00A935AA" w:rsidRDefault="00693955" w:rsidP="00693955">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2</w:t>
            </w:r>
            <w:r w:rsidRPr="00A935AA">
              <w:rPr>
                <w:sz w:val="20"/>
                <w:szCs w:val="20"/>
              </w:rPr>
              <w:t>.201</w:t>
            </w:r>
            <w:r>
              <w:rPr>
                <w:sz w:val="20"/>
                <w:szCs w:val="20"/>
              </w:rPr>
              <w:t>5</w:t>
            </w:r>
            <w:r w:rsidR="005A3634">
              <w:rPr>
                <w:sz w:val="20"/>
                <w:szCs w:val="20"/>
                <w:lang w:val="fr-CA"/>
              </w:rPr>
              <w:pict>
                <v:rect id="_x0000_i1043"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15A28">
          <w:headerReference w:type="default" r:id="rId17"/>
          <w:footerReference w:type="default" r:id="rId18"/>
          <w:headerReference w:type="first" r:id="rId19"/>
          <w:footerReference w:type="first" r:id="rId20"/>
          <w:pgSz w:w="12240" w:h="15840"/>
          <w:pgMar w:top="720" w:right="965" w:bottom="1080" w:left="1656" w:header="706" w:footer="706" w:gutter="0"/>
          <w:pgNumType w:start="31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5A363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0C2280" w:rsidP="00CB3520">
      <w:pPr>
        <w:widowControl w:val="0"/>
        <w:rPr>
          <w:b/>
          <w:sz w:val="20"/>
          <w:szCs w:val="20"/>
        </w:rPr>
      </w:pPr>
      <w:r>
        <w:rPr>
          <w:b/>
          <w:sz w:val="20"/>
          <w:szCs w:val="20"/>
        </w:rPr>
        <w:t>FEBR</w:t>
      </w:r>
      <w:r w:rsidR="00CB3520">
        <w:rPr>
          <w:b/>
          <w:sz w:val="20"/>
          <w:szCs w:val="20"/>
        </w:rPr>
        <w:t xml:space="preserve">UARY </w:t>
      </w:r>
      <w:r w:rsidR="00020DC3">
        <w:rPr>
          <w:b/>
          <w:sz w:val="20"/>
          <w:szCs w:val="20"/>
        </w:rPr>
        <w:t>1</w:t>
      </w:r>
      <w:r>
        <w:rPr>
          <w:b/>
          <w:sz w:val="20"/>
          <w:szCs w:val="20"/>
        </w:rPr>
        <w:t>6</w:t>
      </w:r>
      <w:r w:rsidR="00CB3520" w:rsidRPr="00C50A5C">
        <w:rPr>
          <w:b/>
          <w:sz w:val="20"/>
          <w:szCs w:val="20"/>
        </w:rPr>
        <w:t>, 201</w:t>
      </w:r>
      <w:r w:rsidR="00020DC3">
        <w:rPr>
          <w:b/>
          <w:sz w:val="20"/>
          <w:szCs w:val="20"/>
        </w:rPr>
        <w:t>5</w:t>
      </w:r>
      <w:r w:rsidR="00CB3520" w:rsidRPr="00C50A5C">
        <w:rPr>
          <w:b/>
          <w:sz w:val="20"/>
          <w:szCs w:val="20"/>
        </w:rPr>
        <w:t xml:space="preserve"> / LE </w:t>
      </w:r>
      <w:r w:rsidR="00020DC3">
        <w:rPr>
          <w:b/>
          <w:sz w:val="20"/>
          <w:szCs w:val="20"/>
        </w:rPr>
        <w:t>1</w:t>
      </w:r>
      <w:r>
        <w:rPr>
          <w:b/>
          <w:sz w:val="20"/>
          <w:szCs w:val="20"/>
        </w:rPr>
        <w:t>6</w:t>
      </w:r>
      <w:r w:rsidR="00CB3520">
        <w:rPr>
          <w:b/>
          <w:sz w:val="20"/>
          <w:szCs w:val="20"/>
        </w:rPr>
        <w:t xml:space="preserve"> </w:t>
      </w:r>
      <w:r>
        <w:rPr>
          <w:b/>
          <w:sz w:val="20"/>
          <w:szCs w:val="20"/>
        </w:rPr>
        <w:t>FÉ</w:t>
      </w:r>
      <w:r w:rsidR="00CB3520">
        <w:rPr>
          <w:b/>
          <w:sz w:val="20"/>
          <w:szCs w:val="20"/>
        </w:rPr>
        <w:t>V</w:t>
      </w:r>
      <w:r>
        <w:rPr>
          <w:b/>
          <w:sz w:val="20"/>
          <w:szCs w:val="20"/>
        </w:rPr>
        <w:t>R</w:t>
      </w:r>
      <w:r w:rsidR="00CB3520">
        <w:rPr>
          <w:b/>
          <w:sz w:val="20"/>
          <w:szCs w:val="20"/>
        </w:rPr>
        <w:t>IER</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35378F" w:rsidP="00CB3520">
      <w:pPr>
        <w:pStyle w:val="ListParagraph"/>
        <w:widowControl w:val="0"/>
        <w:numPr>
          <w:ilvl w:val="0"/>
          <w:numId w:val="1"/>
        </w:numPr>
        <w:ind w:hanging="720"/>
        <w:jc w:val="both"/>
        <w:rPr>
          <w:sz w:val="20"/>
          <w:szCs w:val="20"/>
        </w:rPr>
      </w:pPr>
      <w:r w:rsidRPr="0035378F">
        <w:rPr>
          <w:i/>
          <w:sz w:val="20"/>
          <w:szCs w:val="20"/>
        </w:rPr>
        <w:t>Derek Riesberry v. Her Majesty the Queen</w:t>
      </w:r>
      <w:r w:rsidRPr="0035378F">
        <w:rPr>
          <w:sz w:val="20"/>
          <w:szCs w:val="20"/>
        </w:rPr>
        <w:t xml:space="preserve"> (Ont.) (Crim.) (As of Right / By Leave)</w:t>
      </w:r>
      <w:r w:rsidRPr="00C50A5C">
        <w:rPr>
          <w:sz w:val="20"/>
          <w:szCs w:val="20"/>
        </w:rPr>
        <w:t xml:space="preserve"> </w:t>
      </w:r>
      <w:r w:rsidR="00CB3520" w:rsidRPr="00C50A5C">
        <w:rPr>
          <w:sz w:val="20"/>
          <w:szCs w:val="20"/>
        </w:rPr>
        <w:t>(3</w:t>
      </w:r>
      <w:r w:rsidR="00CB3520">
        <w:rPr>
          <w:sz w:val="20"/>
          <w:szCs w:val="20"/>
        </w:rPr>
        <w:t>6</w:t>
      </w:r>
      <w:r w:rsidR="0097546B">
        <w:rPr>
          <w:sz w:val="20"/>
          <w:szCs w:val="20"/>
        </w:rPr>
        <w:t>179</w:t>
      </w:r>
      <w:r w:rsidR="00CB3520" w:rsidRPr="00C50A5C">
        <w:rPr>
          <w:sz w:val="20"/>
          <w:szCs w:val="20"/>
        </w:rPr>
        <w:t>)</w:t>
      </w:r>
    </w:p>
    <w:p w:rsidR="00CB3520" w:rsidRPr="00C50A5C" w:rsidRDefault="00CB3520" w:rsidP="00CB3520">
      <w:pPr>
        <w:widowControl w:val="0"/>
        <w:jc w:val="both"/>
        <w:rPr>
          <w:sz w:val="20"/>
          <w:szCs w:val="20"/>
        </w:rPr>
      </w:pPr>
    </w:p>
    <w:p w:rsidR="00CB3520" w:rsidRPr="0035378F" w:rsidRDefault="0035378F" w:rsidP="00CB3520">
      <w:pPr>
        <w:pStyle w:val="ListParagraph"/>
        <w:widowControl w:val="0"/>
        <w:numPr>
          <w:ilvl w:val="0"/>
          <w:numId w:val="1"/>
        </w:numPr>
        <w:ind w:hanging="720"/>
        <w:jc w:val="both"/>
        <w:rPr>
          <w:sz w:val="20"/>
          <w:szCs w:val="20"/>
          <w:lang w:val="fr-CA"/>
        </w:rPr>
      </w:pPr>
      <w:r w:rsidRPr="0035378F">
        <w:rPr>
          <w:i/>
          <w:sz w:val="20"/>
          <w:szCs w:val="20"/>
          <w:lang w:val="fr-CA"/>
        </w:rPr>
        <w:t>Serge Banville et autres c. Sa Majesté la Reine</w:t>
      </w:r>
      <w:r w:rsidRPr="0035378F">
        <w:rPr>
          <w:sz w:val="20"/>
          <w:szCs w:val="20"/>
          <w:lang w:val="fr-CA"/>
        </w:rPr>
        <w:t xml:space="preserve"> (Qc) (Crim.) (Autorisation) </w:t>
      </w:r>
      <w:r w:rsidR="00CB3520" w:rsidRPr="0035378F">
        <w:rPr>
          <w:sz w:val="20"/>
          <w:szCs w:val="20"/>
          <w:lang w:val="fr-CA"/>
        </w:rPr>
        <w:t>(36</w:t>
      </w:r>
      <w:r w:rsidR="0097546B" w:rsidRPr="0035378F">
        <w:rPr>
          <w:sz w:val="20"/>
          <w:szCs w:val="20"/>
          <w:lang w:val="fr-CA"/>
        </w:rPr>
        <w:t>197</w:t>
      </w:r>
      <w:r w:rsidR="00CB3520" w:rsidRPr="0035378F">
        <w:rPr>
          <w:sz w:val="20"/>
          <w:szCs w:val="20"/>
          <w:lang w:val="fr-CA"/>
        </w:rPr>
        <w:t>)</w:t>
      </w:r>
    </w:p>
    <w:p w:rsidR="00CB3520" w:rsidRPr="0035378F" w:rsidRDefault="00CB3520" w:rsidP="00CB3520">
      <w:pPr>
        <w:widowControl w:val="0"/>
        <w:jc w:val="both"/>
        <w:rPr>
          <w:sz w:val="20"/>
          <w:szCs w:val="20"/>
          <w:lang w:val="fr-CA"/>
        </w:rPr>
      </w:pPr>
    </w:p>
    <w:p w:rsidR="00CB3520" w:rsidRPr="00C50A5C" w:rsidRDefault="0035378F" w:rsidP="00CB3520">
      <w:pPr>
        <w:pStyle w:val="ListParagraph"/>
        <w:widowControl w:val="0"/>
        <w:numPr>
          <w:ilvl w:val="0"/>
          <w:numId w:val="1"/>
        </w:numPr>
        <w:ind w:hanging="720"/>
        <w:jc w:val="both"/>
        <w:rPr>
          <w:sz w:val="20"/>
          <w:szCs w:val="20"/>
        </w:rPr>
      </w:pPr>
      <w:r w:rsidRPr="0035378F">
        <w:rPr>
          <w:i/>
          <w:sz w:val="20"/>
          <w:szCs w:val="20"/>
          <w:lang w:val="fr-CA"/>
        </w:rPr>
        <w:t>Conseil des Innus de Ekuanitshit c. Procureur général du Canada, en sa qualité de jurisconsulte du Conseil privé de Sa Majesté pour le Canada et autres</w:t>
      </w:r>
      <w:r w:rsidRPr="0035378F">
        <w:rPr>
          <w:sz w:val="20"/>
          <w:szCs w:val="20"/>
          <w:lang w:val="fr-CA"/>
        </w:rPr>
        <w:t xml:space="preserve"> (C.F.) (Civile) (Autorisation)</w:t>
      </w:r>
      <w:r w:rsidRPr="00940CAD">
        <w:rPr>
          <w:sz w:val="20"/>
          <w:szCs w:val="20"/>
        </w:rPr>
        <w:t xml:space="preserve"> </w:t>
      </w:r>
      <w:r w:rsidR="00CB3520" w:rsidRPr="00940CAD">
        <w:rPr>
          <w:sz w:val="20"/>
          <w:szCs w:val="20"/>
        </w:rPr>
        <w:t>(3</w:t>
      </w:r>
      <w:r w:rsidR="0097546B">
        <w:rPr>
          <w:sz w:val="20"/>
          <w:szCs w:val="20"/>
        </w:rPr>
        <w:t>6136</w:t>
      </w:r>
      <w:r w:rsidR="00CB3520" w:rsidRPr="00940CAD">
        <w:rPr>
          <w:sz w:val="20"/>
          <w:szCs w:val="20"/>
        </w:rPr>
        <w:t>)</w:t>
      </w:r>
    </w:p>
    <w:p w:rsidR="00CB3520" w:rsidRPr="00C50A5C" w:rsidRDefault="00CB3520" w:rsidP="00CB3520">
      <w:pPr>
        <w:widowControl w:val="0"/>
        <w:rPr>
          <w:sz w:val="20"/>
          <w:szCs w:val="20"/>
        </w:rPr>
      </w:pPr>
    </w:p>
    <w:p w:rsidR="00CB3520" w:rsidRPr="00C50A5C" w:rsidRDefault="0035378F" w:rsidP="00CB3520">
      <w:pPr>
        <w:pStyle w:val="ListParagraph"/>
        <w:widowControl w:val="0"/>
        <w:numPr>
          <w:ilvl w:val="0"/>
          <w:numId w:val="1"/>
        </w:numPr>
        <w:ind w:hanging="720"/>
        <w:jc w:val="both"/>
        <w:rPr>
          <w:sz w:val="20"/>
          <w:szCs w:val="20"/>
        </w:rPr>
      </w:pPr>
      <w:r w:rsidRPr="0035378F">
        <w:rPr>
          <w:i/>
          <w:sz w:val="20"/>
          <w:szCs w:val="20"/>
        </w:rPr>
        <w:t>Michael Peter Lorintt, named executor of the will of Ferenc Mihaly Boda, also known as Frank Boda, also known as Frank Mihaly Boda v. Lajos Ferenc Boda</w:t>
      </w:r>
      <w:r w:rsidRPr="0035378F">
        <w:rPr>
          <w:sz w:val="20"/>
          <w:szCs w:val="20"/>
        </w:rPr>
        <w:t xml:space="preserve"> (B.C.) (Civil) (By Leave)</w:t>
      </w:r>
      <w:r w:rsidRPr="00C50A5C">
        <w:rPr>
          <w:sz w:val="20"/>
          <w:szCs w:val="20"/>
        </w:rPr>
        <w:t xml:space="preserve"> </w:t>
      </w:r>
      <w:r w:rsidR="00CB3520" w:rsidRPr="00C50A5C">
        <w:rPr>
          <w:sz w:val="20"/>
          <w:szCs w:val="20"/>
        </w:rPr>
        <w:t>(3</w:t>
      </w:r>
      <w:r w:rsidR="00CB3520">
        <w:rPr>
          <w:sz w:val="20"/>
          <w:szCs w:val="20"/>
        </w:rPr>
        <w:t>61</w:t>
      </w:r>
      <w:r w:rsidR="0097546B">
        <w:rPr>
          <w:sz w:val="20"/>
          <w:szCs w:val="20"/>
        </w:rPr>
        <w:t>76</w:t>
      </w:r>
      <w:r w:rsidR="00CB3520" w:rsidRPr="00C50A5C">
        <w:rPr>
          <w:sz w:val="20"/>
          <w:szCs w:val="20"/>
        </w:rPr>
        <w:t>)</w:t>
      </w:r>
    </w:p>
    <w:p w:rsidR="00CB3520" w:rsidRDefault="00CB3520" w:rsidP="00CB3520">
      <w:pPr>
        <w:widowControl w:val="0"/>
        <w:jc w:val="both"/>
        <w:rPr>
          <w:sz w:val="20"/>
          <w:szCs w:val="20"/>
        </w:rPr>
      </w:pPr>
    </w:p>
    <w:p w:rsidR="0097546B" w:rsidRDefault="0097546B" w:rsidP="00CB3520">
      <w:pPr>
        <w:widowControl w:val="0"/>
        <w:jc w:val="both"/>
        <w:rPr>
          <w:sz w:val="20"/>
          <w:szCs w:val="20"/>
        </w:rPr>
      </w:pPr>
    </w:p>
    <w:p w:rsidR="0097546B" w:rsidRPr="0097546B" w:rsidRDefault="0097546B" w:rsidP="0097546B">
      <w:pPr>
        <w:widowControl w:val="0"/>
        <w:jc w:val="center"/>
        <w:rPr>
          <w:b/>
          <w:sz w:val="20"/>
          <w:szCs w:val="20"/>
          <w:lang w:val="fr-CA"/>
        </w:rPr>
      </w:pPr>
      <w:r w:rsidRPr="0097546B">
        <w:rPr>
          <w:b/>
          <w:sz w:val="20"/>
          <w:szCs w:val="20"/>
          <w:lang w:val="fr-CA"/>
        </w:rPr>
        <w:t>CORAM: Abella, Karakatsanis and Côté JJ.</w:t>
      </w:r>
    </w:p>
    <w:p w:rsidR="0097546B" w:rsidRPr="00C50A5C" w:rsidRDefault="0097546B" w:rsidP="0097546B">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97546B" w:rsidRPr="0035378F" w:rsidRDefault="0097546B" w:rsidP="00CB3520">
      <w:pPr>
        <w:widowControl w:val="0"/>
        <w:jc w:val="both"/>
        <w:rPr>
          <w:i/>
          <w:sz w:val="20"/>
          <w:szCs w:val="20"/>
          <w:lang w:val="fr-CA"/>
        </w:rPr>
      </w:pPr>
    </w:p>
    <w:p w:rsidR="00CB3520" w:rsidRPr="009C5D38" w:rsidRDefault="0035378F" w:rsidP="00CB3520">
      <w:pPr>
        <w:pStyle w:val="ListParagraph"/>
        <w:widowControl w:val="0"/>
        <w:numPr>
          <w:ilvl w:val="0"/>
          <w:numId w:val="1"/>
        </w:numPr>
        <w:ind w:hanging="720"/>
        <w:jc w:val="both"/>
        <w:rPr>
          <w:sz w:val="20"/>
          <w:szCs w:val="20"/>
        </w:rPr>
      </w:pPr>
      <w:r w:rsidRPr="0035378F">
        <w:rPr>
          <w:i/>
          <w:sz w:val="20"/>
          <w:szCs w:val="20"/>
        </w:rPr>
        <w:t>Albert George Muckle v. Her Majesty the Queen</w:t>
      </w:r>
      <w:r w:rsidRPr="0035378F">
        <w:rPr>
          <w:sz w:val="20"/>
          <w:szCs w:val="20"/>
        </w:rPr>
        <w:t xml:space="preserve"> (Alta.) (Crim.) (By Leave)</w:t>
      </w:r>
      <w:r w:rsidRPr="009C5D38">
        <w:rPr>
          <w:sz w:val="20"/>
          <w:szCs w:val="20"/>
        </w:rPr>
        <w:t xml:space="preserve"> </w:t>
      </w:r>
      <w:r w:rsidR="00CB3520" w:rsidRPr="009C5D38">
        <w:rPr>
          <w:sz w:val="20"/>
          <w:szCs w:val="20"/>
        </w:rPr>
        <w:t>(361</w:t>
      </w:r>
      <w:r w:rsidR="0097546B">
        <w:rPr>
          <w:sz w:val="20"/>
          <w:szCs w:val="20"/>
        </w:rPr>
        <w:t>21</w:t>
      </w:r>
      <w:r w:rsidR="00CB3520" w:rsidRPr="009C5D38">
        <w:rPr>
          <w:sz w:val="20"/>
          <w:szCs w:val="20"/>
        </w:rPr>
        <w:t>)</w:t>
      </w:r>
    </w:p>
    <w:p w:rsidR="00CB3520" w:rsidRPr="00C16CB3" w:rsidRDefault="00CB3520" w:rsidP="00CB3520">
      <w:pPr>
        <w:widowControl w:val="0"/>
        <w:jc w:val="both"/>
        <w:rPr>
          <w:sz w:val="20"/>
          <w:szCs w:val="20"/>
          <w:lang w:val="fr-CA"/>
        </w:rPr>
      </w:pPr>
    </w:p>
    <w:p w:rsidR="00CB3520" w:rsidRPr="00115C9E" w:rsidRDefault="0035378F" w:rsidP="00CB3520">
      <w:pPr>
        <w:pStyle w:val="ListParagraph"/>
        <w:widowControl w:val="0"/>
        <w:numPr>
          <w:ilvl w:val="0"/>
          <w:numId w:val="1"/>
        </w:numPr>
        <w:ind w:hanging="720"/>
        <w:jc w:val="both"/>
        <w:rPr>
          <w:sz w:val="20"/>
          <w:szCs w:val="20"/>
          <w:lang w:val="fr-CA"/>
        </w:rPr>
      </w:pPr>
      <w:r w:rsidRPr="0035378F">
        <w:rPr>
          <w:i/>
          <w:sz w:val="20"/>
          <w:szCs w:val="20"/>
          <w:lang w:val="fr-CA"/>
        </w:rPr>
        <w:t>D. P. c. A. F.</w:t>
      </w:r>
      <w:r w:rsidRPr="0035378F">
        <w:rPr>
          <w:sz w:val="20"/>
          <w:szCs w:val="20"/>
          <w:lang w:val="fr-CA"/>
        </w:rPr>
        <w:t xml:space="preserve"> (Qc) (Civile) (Autorisation)</w:t>
      </w:r>
      <w:r w:rsidRPr="00115C9E">
        <w:rPr>
          <w:sz w:val="20"/>
          <w:szCs w:val="20"/>
          <w:lang w:val="fr-CA"/>
        </w:rPr>
        <w:t xml:space="preserve"> </w:t>
      </w:r>
      <w:r w:rsidR="00CB3520" w:rsidRPr="00115C9E">
        <w:rPr>
          <w:sz w:val="20"/>
          <w:szCs w:val="20"/>
          <w:lang w:val="fr-CA"/>
        </w:rPr>
        <w:t>(3</w:t>
      </w:r>
      <w:r w:rsidR="00CB3520">
        <w:rPr>
          <w:sz w:val="20"/>
          <w:szCs w:val="20"/>
          <w:lang w:val="fr-CA"/>
        </w:rPr>
        <w:t>6</w:t>
      </w:r>
      <w:r w:rsidR="0097546B">
        <w:rPr>
          <w:sz w:val="20"/>
          <w:szCs w:val="20"/>
          <w:lang w:val="fr-CA"/>
        </w:rPr>
        <w:t>10</w:t>
      </w:r>
      <w:r w:rsidR="00CB3520">
        <w:rPr>
          <w:sz w:val="20"/>
          <w:szCs w:val="20"/>
          <w:lang w:val="fr-CA"/>
        </w:rPr>
        <w:t>4</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9C5D38" w:rsidRDefault="0035378F" w:rsidP="00CB3520">
      <w:pPr>
        <w:pStyle w:val="ListParagraph"/>
        <w:widowControl w:val="0"/>
        <w:numPr>
          <w:ilvl w:val="0"/>
          <w:numId w:val="1"/>
        </w:numPr>
        <w:ind w:hanging="720"/>
        <w:jc w:val="both"/>
        <w:rPr>
          <w:sz w:val="20"/>
          <w:szCs w:val="20"/>
        </w:rPr>
      </w:pPr>
      <w:r w:rsidRPr="0035378F">
        <w:rPr>
          <w:i/>
          <w:sz w:val="20"/>
          <w:szCs w:val="20"/>
        </w:rPr>
        <w:t>Larry Peter Klippenstein v. Her Majesty the Queen</w:t>
      </w:r>
      <w:r w:rsidRPr="0035378F">
        <w:rPr>
          <w:sz w:val="20"/>
          <w:szCs w:val="20"/>
        </w:rPr>
        <w:t xml:space="preserve"> (F.C.) (Civil) (By Leave)</w:t>
      </w:r>
      <w:r w:rsidRPr="009C5D38">
        <w:rPr>
          <w:sz w:val="20"/>
          <w:szCs w:val="20"/>
        </w:rPr>
        <w:t xml:space="preserve"> </w:t>
      </w:r>
      <w:r w:rsidR="00CB3520" w:rsidRPr="009C5D38">
        <w:rPr>
          <w:sz w:val="20"/>
          <w:szCs w:val="20"/>
        </w:rPr>
        <w:t>(36</w:t>
      </w:r>
      <w:r w:rsidR="0097546B">
        <w:rPr>
          <w:sz w:val="20"/>
          <w:szCs w:val="20"/>
        </w:rPr>
        <w:t>219</w:t>
      </w:r>
      <w:r w:rsidR="00CB3520" w:rsidRPr="009C5D38">
        <w:rPr>
          <w:sz w:val="20"/>
          <w:szCs w:val="20"/>
        </w:rPr>
        <w:t>)</w:t>
      </w:r>
    </w:p>
    <w:p w:rsidR="00CB3520" w:rsidRPr="0035378F" w:rsidRDefault="00CB3520" w:rsidP="00CB3520">
      <w:pPr>
        <w:widowControl w:val="0"/>
        <w:jc w:val="both"/>
        <w:rPr>
          <w:i/>
          <w:sz w:val="20"/>
          <w:szCs w:val="20"/>
        </w:rPr>
      </w:pPr>
    </w:p>
    <w:p w:rsidR="00CB3520" w:rsidRPr="00C50A5C" w:rsidRDefault="0035378F" w:rsidP="00CB3520">
      <w:pPr>
        <w:pStyle w:val="ListParagraph"/>
        <w:widowControl w:val="0"/>
        <w:numPr>
          <w:ilvl w:val="0"/>
          <w:numId w:val="1"/>
        </w:numPr>
        <w:ind w:hanging="720"/>
        <w:jc w:val="both"/>
        <w:rPr>
          <w:sz w:val="20"/>
          <w:szCs w:val="20"/>
          <w:lang w:val="fr-CA"/>
        </w:rPr>
      </w:pPr>
      <w:r w:rsidRPr="0035378F">
        <w:rPr>
          <w:i/>
          <w:sz w:val="20"/>
          <w:szCs w:val="20"/>
        </w:rPr>
        <w:t>Workers</w:t>
      </w:r>
      <w:r w:rsidR="002560CC">
        <w:rPr>
          <w:i/>
          <w:sz w:val="20"/>
          <w:szCs w:val="20"/>
        </w:rPr>
        <w:t>’</w:t>
      </w:r>
      <w:r w:rsidRPr="0035378F">
        <w:rPr>
          <w:i/>
          <w:sz w:val="20"/>
          <w:szCs w:val="20"/>
        </w:rPr>
        <w:t xml:space="preserve"> Compensation Board of British Columbia v. British Columbia Hydro and Power Authority</w:t>
      </w:r>
      <w:r w:rsidRPr="0035378F">
        <w:rPr>
          <w:sz w:val="20"/>
          <w:szCs w:val="20"/>
        </w:rPr>
        <w:t xml:space="preserve"> (B.C.) (Civil) (By Leave)</w:t>
      </w:r>
      <w:r w:rsidRPr="00C50A5C">
        <w:rPr>
          <w:sz w:val="20"/>
          <w:szCs w:val="20"/>
          <w:lang w:val="fr-CA"/>
        </w:rPr>
        <w:t xml:space="preserve"> </w:t>
      </w:r>
      <w:r w:rsidR="00CB3520" w:rsidRPr="00C50A5C">
        <w:rPr>
          <w:sz w:val="20"/>
          <w:szCs w:val="20"/>
          <w:lang w:val="fr-CA"/>
        </w:rPr>
        <w:t>(3</w:t>
      </w:r>
      <w:r w:rsidR="00CB3520">
        <w:rPr>
          <w:sz w:val="20"/>
          <w:szCs w:val="20"/>
          <w:lang w:val="fr-CA"/>
        </w:rPr>
        <w:t>6</w:t>
      </w:r>
      <w:r w:rsidR="0097546B">
        <w:rPr>
          <w:sz w:val="20"/>
          <w:szCs w:val="20"/>
          <w:lang w:val="fr-CA"/>
        </w:rPr>
        <w:t>168</w:t>
      </w:r>
      <w:r w:rsidR="00CB3520" w:rsidRPr="00C50A5C">
        <w:rPr>
          <w:sz w:val="20"/>
          <w:szCs w:val="20"/>
          <w:lang w:val="fr-CA"/>
        </w:rPr>
        <w:t>)</w:t>
      </w:r>
    </w:p>
    <w:p w:rsidR="00CB3520" w:rsidRDefault="00CB3520" w:rsidP="00CB3520">
      <w:pPr>
        <w:widowControl w:val="0"/>
        <w:rPr>
          <w:sz w:val="20"/>
          <w:szCs w:val="20"/>
          <w:lang w:val="fr-CA"/>
        </w:rPr>
      </w:pPr>
    </w:p>
    <w:p w:rsidR="0097546B" w:rsidRDefault="0097546B" w:rsidP="00CB3520">
      <w:pPr>
        <w:widowControl w:val="0"/>
        <w:rPr>
          <w:sz w:val="20"/>
          <w:szCs w:val="20"/>
          <w:lang w:val="fr-CA"/>
        </w:rPr>
      </w:pPr>
    </w:p>
    <w:p w:rsidR="0097546B" w:rsidRPr="00C50A5C" w:rsidRDefault="0097546B" w:rsidP="0097546B">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97546B" w:rsidRPr="00C50A5C" w:rsidRDefault="0097546B" w:rsidP="0097546B">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97546B" w:rsidRDefault="0097546B" w:rsidP="00CB3520">
      <w:pPr>
        <w:widowControl w:val="0"/>
        <w:rPr>
          <w:sz w:val="20"/>
          <w:szCs w:val="20"/>
          <w:lang w:val="fr-CA"/>
        </w:rPr>
      </w:pPr>
    </w:p>
    <w:p w:rsidR="00CB3520" w:rsidRPr="0035378F" w:rsidRDefault="0035378F" w:rsidP="00CB3520">
      <w:pPr>
        <w:pStyle w:val="ListParagraph"/>
        <w:widowControl w:val="0"/>
        <w:numPr>
          <w:ilvl w:val="0"/>
          <w:numId w:val="1"/>
        </w:numPr>
        <w:ind w:hanging="720"/>
        <w:jc w:val="both"/>
        <w:rPr>
          <w:sz w:val="20"/>
          <w:szCs w:val="20"/>
        </w:rPr>
      </w:pPr>
      <w:r w:rsidRPr="0035378F">
        <w:rPr>
          <w:i/>
          <w:sz w:val="20"/>
          <w:szCs w:val="20"/>
        </w:rPr>
        <w:t>Gaetan Dinelle v. Attorney General of Canada on behalf of the United States of America and The Minister of Justice</w:t>
      </w:r>
      <w:r w:rsidRPr="0035378F">
        <w:rPr>
          <w:sz w:val="20"/>
          <w:szCs w:val="20"/>
        </w:rPr>
        <w:t xml:space="preserve"> (Ont.) (Crim.) (By Leave) </w:t>
      </w:r>
      <w:r w:rsidR="00CB3520" w:rsidRPr="0035378F">
        <w:rPr>
          <w:sz w:val="20"/>
          <w:szCs w:val="20"/>
        </w:rPr>
        <w:t>(360</w:t>
      </w:r>
      <w:r w:rsidR="0097546B" w:rsidRPr="0035378F">
        <w:rPr>
          <w:sz w:val="20"/>
          <w:szCs w:val="20"/>
        </w:rPr>
        <w:t>78)</w:t>
      </w:r>
    </w:p>
    <w:p w:rsidR="00CB3520" w:rsidRPr="0035378F" w:rsidRDefault="00CB3520" w:rsidP="00CB3520">
      <w:pPr>
        <w:widowControl w:val="0"/>
        <w:jc w:val="both"/>
        <w:rPr>
          <w:sz w:val="20"/>
          <w:szCs w:val="20"/>
        </w:rPr>
      </w:pPr>
    </w:p>
    <w:p w:rsidR="00CB3520" w:rsidRPr="00115C9E" w:rsidRDefault="0035378F" w:rsidP="00CB3520">
      <w:pPr>
        <w:pStyle w:val="ListParagraph"/>
        <w:widowControl w:val="0"/>
        <w:numPr>
          <w:ilvl w:val="0"/>
          <w:numId w:val="1"/>
        </w:numPr>
        <w:ind w:hanging="720"/>
        <w:jc w:val="both"/>
        <w:rPr>
          <w:sz w:val="20"/>
          <w:szCs w:val="20"/>
        </w:rPr>
      </w:pPr>
      <w:r w:rsidRPr="0035378F">
        <w:rPr>
          <w:i/>
          <w:sz w:val="20"/>
          <w:szCs w:val="20"/>
        </w:rPr>
        <w:t>David Prabakar Jayaraj v. His Excellency the Right Honorable Governor General et al.</w:t>
      </w:r>
      <w:r w:rsidRPr="0035378F">
        <w:rPr>
          <w:sz w:val="20"/>
          <w:szCs w:val="20"/>
        </w:rPr>
        <w:t xml:space="preserve"> </w:t>
      </w:r>
      <w:r w:rsidR="00A124D9">
        <w:rPr>
          <w:sz w:val="20"/>
          <w:szCs w:val="20"/>
        </w:rPr>
        <w:t>(F.C.) (Civil) (By </w:t>
      </w:r>
      <w:r w:rsidRPr="0035378F">
        <w:rPr>
          <w:sz w:val="20"/>
          <w:szCs w:val="20"/>
        </w:rPr>
        <w:t>Leave)</w:t>
      </w:r>
      <w:r w:rsidRPr="00115C9E">
        <w:rPr>
          <w:sz w:val="20"/>
          <w:szCs w:val="20"/>
        </w:rPr>
        <w:t xml:space="preserve"> </w:t>
      </w:r>
      <w:r w:rsidR="00CB3520" w:rsidRPr="00115C9E">
        <w:rPr>
          <w:sz w:val="20"/>
          <w:szCs w:val="20"/>
        </w:rPr>
        <w:t>(3</w:t>
      </w:r>
      <w:r w:rsidR="0097546B">
        <w:rPr>
          <w:sz w:val="20"/>
          <w:szCs w:val="20"/>
        </w:rPr>
        <w:t>6209</w:t>
      </w:r>
      <w:r w:rsidR="00CB3520" w:rsidRPr="00115C9E">
        <w:rPr>
          <w:sz w:val="20"/>
          <w:szCs w:val="20"/>
        </w:rPr>
        <w:t>)</w:t>
      </w:r>
    </w:p>
    <w:p w:rsidR="00CB3520" w:rsidRPr="0035378F" w:rsidRDefault="00CB3520" w:rsidP="00CB3520">
      <w:pPr>
        <w:widowControl w:val="0"/>
        <w:jc w:val="both"/>
        <w:rPr>
          <w:i/>
          <w:sz w:val="20"/>
          <w:szCs w:val="20"/>
        </w:rPr>
      </w:pPr>
    </w:p>
    <w:p w:rsidR="00CB3520" w:rsidRPr="00115C9E" w:rsidRDefault="0035378F" w:rsidP="00CB3520">
      <w:pPr>
        <w:pStyle w:val="ListParagraph"/>
        <w:widowControl w:val="0"/>
        <w:numPr>
          <w:ilvl w:val="0"/>
          <w:numId w:val="1"/>
        </w:numPr>
        <w:ind w:hanging="720"/>
        <w:jc w:val="both"/>
        <w:rPr>
          <w:sz w:val="20"/>
          <w:szCs w:val="20"/>
        </w:rPr>
      </w:pPr>
      <w:r w:rsidRPr="0035378F">
        <w:rPr>
          <w:i/>
          <w:sz w:val="20"/>
          <w:szCs w:val="20"/>
        </w:rPr>
        <w:t>Jennifer Lynne Dundas v. Arthur Melvin Schafer</w:t>
      </w:r>
      <w:r w:rsidRPr="0035378F">
        <w:rPr>
          <w:sz w:val="20"/>
          <w:szCs w:val="20"/>
        </w:rPr>
        <w:t xml:space="preserve"> (Man.) (Civil) (By Leave)</w:t>
      </w:r>
      <w:r w:rsidRPr="00115C9E">
        <w:rPr>
          <w:sz w:val="20"/>
          <w:szCs w:val="20"/>
        </w:rPr>
        <w:t xml:space="preserve"> </w:t>
      </w:r>
      <w:r w:rsidR="00CB3520" w:rsidRPr="00115C9E">
        <w:rPr>
          <w:sz w:val="20"/>
          <w:szCs w:val="20"/>
        </w:rPr>
        <w:t>(3</w:t>
      </w:r>
      <w:r w:rsidR="00CB3520">
        <w:rPr>
          <w:sz w:val="20"/>
          <w:szCs w:val="20"/>
        </w:rPr>
        <w:t>6</w:t>
      </w:r>
      <w:r w:rsidR="0097546B">
        <w:rPr>
          <w:sz w:val="20"/>
          <w:szCs w:val="20"/>
        </w:rPr>
        <w:t>198</w:t>
      </w:r>
      <w:r w:rsidR="00CB3520" w:rsidRPr="00115C9E">
        <w:rPr>
          <w:sz w:val="20"/>
          <w:szCs w:val="20"/>
        </w:rPr>
        <w:t>)</w:t>
      </w:r>
    </w:p>
    <w:p w:rsidR="00CB3520" w:rsidRPr="00115C9E" w:rsidRDefault="00CB3520" w:rsidP="00CB3520">
      <w:pPr>
        <w:widowControl w:val="0"/>
        <w:jc w:val="both"/>
        <w:rPr>
          <w:sz w:val="20"/>
          <w:szCs w:val="20"/>
        </w:rPr>
      </w:pPr>
    </w:p>
    <w:p w:rsidR="00CB3520" w:rsidRDefault="0035378F" w:rsidP="00CB3520">
      <w:pPr>
        <w:pStyle w:val="ListParagraph"/>
        <w:widowControl w:val="0"/>
        <w:numPr>
          <w:ilvl w:val="0"/>
          <w:numId w:val="1"/>
        </w:numPr>
        <w:ind w:hanging="720"/>
        <w:jc w:val="both"/>
        <w:rPr>
          <w:sz w:val="20"/>
          <w:szCs w:val="20"/>
        </w:rPr>
      </w:pPr>
      <w:r w:rsidRPr="0035378F">
        <w:rPr>
          <w:i/>
          <w:sz w:val="20"/>
          <w:szCs w:val="20"/>
          <w:lang w:val="fr-CA"/>
        </w:rPr>
        <w:t>Mark Harris et al. v. Lorne Levine</w:t>
      </w:r>
      <w:r w:rsidRPr="0035378F">
        <w:rPr>
          <w:sz w:val="20"/>
          <w:szCs w:val="20"/>
          <w:lang w:val="fr-CA"/>
        </w:rPr>
        <w:t xml:space="preserve"> (Ont.) </w:t>
      </w:r>
      <w:r w:rsidRPr="0035378F">
        <w:rPr>
          <w:sz w:val="20"/>
          <w:szCs w:val="20"/>
        </w:rPr>
        <w:t>(Civil) (By Leave)</w:t>
      </w:r>
      <w:r w:rsidRPr="00C50A5C">
        <w:rPr>
          <w:sz w:val="20"/>
          <w:szCs w:val="20"/>
        </w:rPr>
        <w:t xml:space="preserve"> </w:t>
      </w:r>
      <w:r w:rsidR="00CB3520" w:rsidRPr="00C50A5C">
        <w:rPr>
          <w:sz w:val="20"/>
          <w:szCs w:val="20"/>
        </w:rPr>
        <w:t>(3</w:t>
      </w:r>
      <w:r w:rsidR="00CB3520">
        <w:rPr>
          <w:sz w:val="20"/>
          <w:szCs w:val="20"/>
        </w:rPr>
        <w:t>6</w:t>
      </w:r>
      <w:r w:rsidR="0097546B">
        <w:rPr>
          <w:sz w:val="20"/>
          <w:szCs w:val="20"/>
        </w:rPr>
        <w:t>1</w:t>
      </w:r>
      <w:r w:rsidR="00CB3520">
        <w:rPr>
          <w:sz w:val="20"/>
          <w:szCs w:val="20"/>
        </w:rPr>
        <w:t>3</w:t>
      </w:r>
      <w:r w:rsidR="0097546B">
        <w:rPr>
          <w:sz w:val="20"/>
          <w:szCs w:val="20"/>
        </w:rPr>
        <w:t>4</w:t>
      </w:r>
      <w:r w:rsidR="00CB3520" w:rsidRPr="00C50A5C">
        <w:rPr>
          <w:sz w:val="20"/>
          <w:szCs w:val="20"/>
        </w:rPr>
        <w:t>)</w:t>
      </w:r>
    </w:p>
    <w:p w:rsidR="002E2327" w:rsidRPr="00CB3520" w:rsidRDefault="002E2327" w:rsidP="002E2327">
      <w:pPr>
        <w:widowControl w:val="0"/>
        <w:rPr>
          <w:sz w:val="20"/>
          <w:szCs w:val="20"/>
        </w:rPr>
      </w:pPr>
    </w:p>
    <w:p w:rsidR="002E2327" w:rsidRDefault="005A3634" w:rsidP="002E2327">
      <w:pPr>
        <w:widowControl w:val="0"/>
        <w:rPr>
          <w:sz w:val="20"/>
          <w:szCs w:val="20"/>
        </w:rPr>
      </w:pPr>
      <w:r>
        <w:rPr>
          <w:sz w:val="20"/>
          <w:szCs w:val="20"/>
        </w:rPr>
        <w:pict>
          <v:rect id="_x0000_i1046"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5A3634"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7934D0" w:rsidP="000E2959">
      <w:pPr>
        <w:rPr>
          <w:b/>
          <w:sz w:val="20"/>
          <w:szCs w:val="20"/>
        </w:rPr>
      </w:pPr>
      <w:r>
        <w:rPr>
          <w:b/>
          <w:sz w:val="20"/>
          <w:szCs w:val="20"/>
        </w:rPr>
        <w:t>FEBR</w:t>
      </w:r>
      <w:r w:rsidR="00681F61">
        <w:rPr>
          <w:b/>
          <w:sz w:val="20"/>
          <w:szCs w:val="20"/>
        </w:rPr>
        <w:t>UAR</w:t>
      </w:r>
      <w:r w:rsidR="000E2959">
        <w:rPr>
          <w:b/>
          <w:sz w:val="20"/>
          <w:szCs w:val="20"/>
        </w:rPr>
        <w:t>Y</w:t>
      </w:r>
      <w:r w:rsidR="000E2959" w:rsidRPr="00C50A5C">
        <w:rPr>
          <w:b/>
          <w:sz w:val="20"/>
          <w:szCs w:val="20"/>
        </w:rPr>
        <w:t xml:space="preserve"> </w:t>
      </w:r>
      <w:r>
        <w:rPr>
          <w:b/>
          <w:sz w:val="20"/>
          <w:szCs w:val="20"/>
        </w:rPr>
        <w:t>19</w:t>
      </w:r>
      <w:r w:rsidR="000E2959" w:rsidRPr="00C50A5C">
        <w:rPr>
          <w:b/>
          <w:sz w:val="20"/>
          <w:szCs w:val="20"/>
        </w:rPr>
        <w:t>, 201</w:t>
      </w:r>
      <w:r w:rsidR="00681F61">
        <w:rPr>
          <w:b/>
          <w:sz w:val="20"/>
          <w:szCs w:val="20"/>
        </w:rPr>
        <w:t>5</w:t>
      </w:r>
      <w:r w:rsidR="000E2959" w:rsidRPr="00C50A5C">
        <w:rPr>
          <w:b/>
          <w:sz w:val="20"/>
          <w:szCs w:val="20"/>
        </w:rPr>
        <w:t xml:space="preserve"> / LE </w:t>
      </w:r>
      <w:r>
        <w:rPr>
          <w:b/>
          <w:sz w:val="20"/>
          <w:szCs w:val="20"/>
        </w:rPr>
        <w:t>19</w:t>
      </w:r>
      <w:r w:rsidR="000E2959" w:rsidRPr="00C50A5C">
        <w:rPr>
          <w:b/>
          <w:sz w:val="20"/>
          <w:szCs w:val="20"/>
        </w:rPr>
        <w:t xml:space="preserve"> </w:t>
      </w:r>
      <w:r>
        <w:rPr>
          <w:b/>
          <w:sz w:val="20"/>
          <w:szCs w:val="20"/>
        </w:rPr>
        <w:t>FÉ</w:t>
      </w:r>
      <w:r w:rsidR="00681F61">
        <w:rPr>
          <w:b/>
          <w:sz w:val="20"/>
          <w:szCs w:val="20"/>
        </w:rPr>
        <w:t>V</w:t>
      </w:r>
      <w:r>
        <w:rPr>
          <w:b/>
          <w:sz w:val="20"/>
          <w:szCs w:val="20"/>
        </w:rPr>
        <w:t>R</w:t>
      </w:r>
      <w:r w:rsidR="000E2959" w:rsidRPr="00C50A5C">
        <w:rPr>
          <w:b/>
          <w:sz w:val="20"/>
          <w:szCs w:val="20"/>
        </w:rPr>
        <w:t>I</w:t>
      </w:r>
      <w:r w:rsidR="00681F61">
        <w:rPr>
          <w:b/>
          <w:sz w:val="20"/>
          <w:szCs w:val="20"/>
        </w:rPr>
        <w:t>ER</w:t>
      </w:r>
      <w:r w:rsidR="000E2959"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976F4" w:rsidRPr="00E62B49" w:rsidTr="006544D2">
        <w:trPr>
          <w:cantSplit/>
        </w:trPr>
        <w:tc>
          <w:tcPr>
            <w:tcW w:w="1458" w:type="dxa"/>
          </w:tcPr>
          <w:p w:rsidR="005976F4" w:rsidRPr="00E62B49" w:rsidRDefault="005976F4" w:rsidP="006544D2">
            <w:pPr>
              <w:rPr>
                <w:sz w:val="20"/>
                <w:szCs w:val="20"/>
              </w:rPr>
            </w:pPr>
            <w:r w:rsidRPr="00E62B49">
              <w:rPr>
                <w:rStyle w:val="SCCFileNumberChar"/>
                <w:sz w:val="20"/>
                <w:szCs w:val="20"/>
              </w:rPr>
              <w:t>35989</w:t>
            </w:r>
          </w:p>
          <w:p w:rsidR="005976F4" w:rsidRPr="00E62B49" w:rsidRDefault="005976F4" w:rsidP="006544D2">
            <w:pPr>
              <w:rPr>
                <w:b/>
                <w:sz w:val="20"/>
                <w:szCs w:val="20"/>
                <w:lang w:val="fr-CA"/>
              </w:rPr>
            </w:pPr>
          </w:p>
        </w:tc>
        <w:tc>
          <w:tcPr>
            <w:tcW w:w="8118" w:type="dxa"/>
          </w:tcPr>
          <w:p w:rsidR="005976F4" w:rsidRPr="00E62B49" w:rsidRDefault="005976F4" w:rsidP="006544D2">
            <w:pPr>
              <w:jc w:val="both"/>
              <w:rPr>
                <w:sz w:val="20"/>
                <w:szCs w:val="20"/>
              </w:rPr>
            </w:pPr>
            <w:r w:rsidRPr="005976F4">
              <w:rPr>
                <w:rStyle w:val="SCCLsocChar"/>
                <w:sz w:val="20"/>
                <w:szCs w:val="20"/>
                <w:lang w:val="en-CA"/>
              </w:rPr>
              <w:t>Nisichawayasihk Cree Nation Family and Community Wellness Centre Inc. v. First Nations of Northern Manitoba Child and Family Services Authority AND BETWEEN Nisichawayasihk Cree Nation Family and Community Wellness Centre Inc. v. First Nations of Northern Manitoba Child and Family Services Authority, Government of Manitoba as represented by the Minister of Family Services and Housing, M.S., N.H., R.E.F., J.A.M., and R.E.F. and J.A.M. as the Litigation Guardians of R.S.S.M. (an infant) and A.I.F. (an infant)</w:t>
            </w:r>
            <w:r w:rsidRPr="00E62B49">
              <w:rPr>
                <w:sz w:val="20"/>
                <w:szCs w:val="20"/>
              </w:rPr>
              <w:t xml:space="preserve"> (Man.) (Civil) (By Leave)</w:t>
            </w:r>
          </w:p>
          <w:p w:rsidR="005976F4" w:rsidRPr="00E62B49" w:rsidRDefault="005976F4" w:rsidP="006544D2">
            <w:pPr>
              <w:jc w:val="both"/>
              <w:rPr>
                <w:sz w:val="20"/>
                <w:szCs w:val="20"/>
              </w:rPr>
            </w:pPr>
          </w:p>
        </w:tc>
      </w:tr>
      <w:tr w:rsidR="005976F4" w:rsidRPr="00E62B49" w:rsidTr="006544D2">
        <w:trPr>
          <w:cantSplit/>
        </w:trPr>
        <w:tc>
          <w:tcPr>
            <w:tcW w:w="1458" w:type="dxa"/>
          </w:tcPr>
          <w:p w:rsidR="005976F4" w:rsidRPr="00E62B49" w:rsidRDefault="005976F4" w:rsidP="006544D2">
            <w:pPr>
              <w:rPr>
                <w:sz w:val="20"/>
                <w:szCs w:val="20"/>
              </w:rPr>
            </w:pPr>
            <w:r w:rsidRPr="00E62B49">
              <w:rPr>
                <w:sz w:val="20"/>
                <w:szCs w:val="20"/>
              </w:rPr>
              <w:t>Coram :</w:t>
            </w:r>
          </w:p>
        </w:tc>
        <w:tc>
          <w:tcPr>
            <w:tcW w:w="8118" w:type="dxa"/>
          </w:tcPr>
          <w:p w:rsidR="005976F4" w:rsidRPr="00E62B49" w:rsidRDefault="005976F4" w:rsidP="006544D2">
            <w:pPr>
              <w:rPr>
                <w:sz w:val="20"/>
                <w:szCs w:val="20"/>
              </w:rPr>
            </w:pPr>
            <w:r w:rsidRPr="005976F4">
              <w:rPr>
                <w:rStyle w:val="SCCCoramChar"/>
                <w:sz w:val="20"/>
                <w:szCs w:val="20"/>
                <w:lang w:val="en-CA"/>
              </w:rPr>
              <w:t>Abella, Rothstein and Moldaver JJ.</w:t>
            </w:r>
          </w:p>
          <w:p w:rsidR="005976F4" w:rsidRPr="00E62B49" w:rsidRDefault="005976F4" w:rsidP="006544D2">
            <w:pPr>
              <w:rPr>
                <w:sz w:val="20"/>
                <w:szCs w:val="20"/>
                <w:u w:val="single"/>
              </w:rPr>
            </w:pPr>
          </w:p>
        </w:tc>
      </w:tr>
      <w:tr w:rsidR="005976F4" w:rsidRPr="008B79EB" w:rsidTr="006544D2">
        <w:trPr>
          <w:cantSplit/>
        </w:trPr>
        <w:tc>
          <w:tcPr>
            <w:tcW w:w="9576" w:type="dxa"/>
            <w:gridSpan w:val="2"/>
          </w:tcPr>
          <w:p w:rsidR="005976F4" w:rsidRPr="00E62B49" w:rsidRDefault="005976F4" w:rsidP="006544D2">
            <w:pPr>
              <w:pStyle w:val="SCCShortJudgment"/>
              <w:rPr>
                <w:szCs w:val="20"/>
              </w:rPr>
            </w:pPr>
            <w:r w:rsidRPr="00E62B49">
              <w:rPr>
                <w:szCs w:val="20"/>
              </w:rPr>
              <w:t>The application for leave to appeal from the judgment of the Court of Appeal of Manitoba, Numbers AH 12-30-07855, AH 12-30-07857, 2014 MBCA 42, dated May 6, 2014, is dismissed without costs.</w:t>
            </w:r>
          </w:p>
          <w:p w:rsidR="005976F4" w:rsidRPr="00E62B49" w:rsidRDefault="005976F4" w:rsidP="006544D2">
            <w:pPr>
              <w:pStyle w:val="SCCShortJudgment"/>
              <w:ind w:firstLine="0"/>
              <w:rPr>
                <w:szCs w:val="20"/>
              </w:rPr>
            </w:pPr>
          </w:p>
          <w:p w:rsidR="005976F4" w:rsidRPr="00E62B49" w:rsidRDefault="005976F4" w:rsidP="006544D2">
            <w:pPr>
              <w:pStyle w:val="SCCShortJudgment"/>
              <w:rPr>
                <w:szCs w:val="20"/>
                <w:lang w:val="fr-CA"/>
              </w:rPr>
            </w:pPr>
            <w:r w:rsidRPr="00E62B49">
              <w:rPr>
                <w:szCs w:val="20"/>
                <w:lang w:val="fr-CA"/>
              </w:rPr>
              <w:t>La demande d’autorisation d’appel de l’arrêt de la Cour d’appel du Manitoba, numéros AH 12-30-07855, AH 12-30-07857, 2014 MBCA 42, daté du 6 mai 2014, est rejetée sans dépens.</w:t>
            </w:r>
          </w:p>
        </w:tc>
      </w:tr>
    </w:tbl>
    <w:p w:rsidR="007934D0" w:rsidRPr="005976F4" w:rsidRDefault="007934D0" w:rsidP="000E2959">
      <w:pPr>
        <w:rPr>
          <w:sz w:val="20"/>
          <w:szCs w:val="20"/>
          <w:lang w:val="fr-CA"/>
        </w:rPr>
      </w:pPr>
    </w:p>
    <w:p w:rsidR="007934D0" w:rsidRPr="001B157C" w:rsidRDefault="007934D0" w:rsidP="007934D0">
      <w:pPr>
        <w:rPr>
          <w:sz w:val="20"/>
          <w:szCs w:val="20"/>
          <w:u w:val="single"/>
        </w:rPr>
      </w:pPr>
      <w:r w:rsidRPr="001B157C">
        <w:rPr>
          <w:sz w:val="20"/>
          <w:szCs w:val="20"/>
          <w:u w:val="single"/>
        </w:rPr>
        <w:t>CASE SUMMARY</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C693A" w:rsidTr="006544D2">
        <w:tc>
          <w:tcPr>
            <w:tcW w:w="5000" w:type="pct"/>
            <w:gridSpan w:val="3"/>
          </w:tcPr>
          <w:p w:rsidR="006544D2" w:rsidRPr="008C693A" w:rsidRDefault="006544D2" w:rsidP="006544D2">
            <w:pPr>
              <w:jc w:val="both"/>
              <w:rPr>
                <w:rFonts w:eastAsia="Calibri"/>
                <w:smallCaps/>
                <w:sz w:val="20"/>
                <w:szCs w:val="20"/>
              </w:rPr>
            </w:pPr>
            <w:r w:rsidRPr="008C693A">
              <w:rPr>
                <w:rFonts w:eastAsia="Calibri"/>
                <w:smallCaps/>
                <w:sz w:val="20"/>
                <w:szCs w:val="20"/>
              </w:rPr>
              <w:t>(Publication Ban in Case) (Court File Contains Information that is not Available for Inspection by the Public)</w:t>
            </w:r>
          </w:p>
          <w:p w:rsidR="006544D2" w:rsidRPr="008C693A" w:rsidRDefault="006544D2" w:rsidP="006544D2">
            <w:pPr>
              <w:jc w:val="both"/>
              <w:rPr>
                <w:rFonts w:eastAsia="Calibri"/>
                <w:sz w:val="20"/>
                <w:szCs w:val="20"/>
              </w:rPr>
            </w:pPr>
          </w:p>
          <w:p w:rsidR="006544D2" w:rsidRPr="008C693A" w:rsidRDefault="006544D2" w:rsidP="006544D2">
            <w:pPr>
              <w:jc w:val="both"/>
              <w:rPr>
                <w:rFonts w:eastAsia="Calibri"/>
                <w:sz w:val="20"/>
                <w:szCs w:val="20"/>
              </w:rPr>
            </w:pPr>
            <w:r w:rsidRPr="008C693A">
              <w:rPr>
                <w:rFonts w:eastAsia="Calibri"/>
                <w:sz w:val="20"/>
                <w:szCs w:val="20"/>
              </w:rPr>
              <w:t xml:space="preserve">Family law — Child and family services systems — Foster parents — Aboriginal foster children — Family reunification — Foster parents’ appeal process — Right of foster parents to appeal decision to remove children for family reunification purposes — Whether the court correctly identified the purpose of </w:t>
            </w:r>
            <w:r w:rsidRPr="008C693A">
              <w:rPr>
                <w:rFonts w:eastAsia="Calibri"/>
                <w:i/>
                <w:sz w:val="20"/>
                <w:szCs w:val="20"/>
              </w:rPr>
              <w:t>The Child and Family Services Act</w:t>
            </w:r>
            <w:r w:rsidRPr="008C693A">
              <w:rPr>
                <w:rFonts w:eastAsia="Calibri"/>
                <w:sz w:val="20"/>
                <w:szCs w:val="20"/>
              </w:rPr>
              <w:t xml:space="preserve">, C.C.S.M., c. C80, s. 51, and the </w:t>
            </w:r>
            <w:r w:rsidRPr="008C693A">
              <w:rPr>
                <w:rFonts w:eastAsia="Calibri"/>
                <w:i/>
                <w:sz w:val="20"/>
                <w:szCs w:val="20"/>
              </w:rPr>
              <w:t>Foster Parent Appeals Regulation</w:t>
            </w:r>
            <w:r w:rsidRPr="008C693A">
              <w:rPr>
                <w:rFonts w:eastAsia="Calibri"/>
                <w:sz w:val="20"/>
                <w:szCs w:val="20"/>
              </w:rPr>
              <w:t>, Man. Reg. 185/2003, s. 7, when it found that the best interests of the child and due process for foster parents are dual purposes — Should foster parent appeal rights erode the best interests of the child test — Whether the court gave proper effect to the purpose of the legislation in adopting an interpretation that ignored principles of Aboriginal community integrity and family reunification?</w:t>
            </w:r>
          </w:p>
        </w:tc>
      </w:tr>
      <w:tr w:rsidR="006544D2" w:rsidRPr="008C693A" w:rsidTr="006544D2">
        <w:tc>
          <w:tcPr>
            <w:tcW w:w="5000" w:type="pct"/>
            <w:gridSpan w:val="3"/>
          </w:tcPr>
          <w:p w:rsidR="006544D2" w:rsidRPr="008C693A" w:rsidRDefault="006544D2" w:rsidP="006544D2">
            <w:pPr>
              <w:jc w:val="both"/>
              <w:rPr>
                <w:rFonts w:eastAsia="Calibri"/>
                <w:sz w:val="20"/>
                <w:szCs w:val="20"/>
              </w:rPr>
            </w:pPr>
          </w:p>
        </w:tc>
      </w:tr>
      <w:tr w:rsidR="006544D2" w:rsidRPr="008C693A" w:rsidTr="006544D2">
        <w:tc>
          <w:tcPr>
            <w:tcW w:w="5000" w:type="pct"/>
            <w:gridSpan w:val="3"/>
          </w:tcPr>
          <w:p w:rsidR="006544D2" w:rsidRPr="008C693A" w:rsidRDefault="006544D2" w:rsidP="006544D2">
            <w:pPr>
              <w:jc w:val="both"/>
              <w:rPr>
                <w:rFonts w:eastAsia="Calibri"/>
                <w:sz w:val="20"/>
                <w:szCs w:val="20"/>
              </w:rPr>
            </w:pPr>
            <w:r w:rsidRPr="008C693A">
              <w:rPr>
                <w:rFonts w:eastAsia="Calibri"/>
                <w:sz w:val="20"/>
                <w:szCs w:val="20"/>
              </w:rPr>
              <w:t xml:space="preserve">The youngest children of R.E.F. and J.A.M., were placed with foster parents in 2008 and 2009.  In late 2010 and early 2011, the children had two family visits with R.E.F. and J.A.M.  In January 2011, the Agency removed the children from the foster home in the guise of another family visit, placing them with their parents the following day.  On the same day, the foster parents were notified of the removal and of their right to appeal the decision using the three-step process in </w:t>
            </w:r>
            <w:r w:rsidRPr="008C693A">
              <w:rPr>
                <w:rFonts w:eastAsia="Calibri"/>
                <w:i/>
                <w:sz w:val="20"/>
                <w:szCs w:val="20"/>
              </w:rPr>
              <w:t>The Child and Family Services Act</w:t>
            </w:r>
            <w:r w:rsidRPr="008C693A">
              <w:rPr>
                <w:rFonts w:eastAsia="Calibri"/>
                <w:sz w:val="20"/>
                <w:szCs w:val="20"/>
              </w:rPr>
              <w:t>, C.C.S.M., c. C80, s. 51.  However, when the foster parents took the first and second steps of the s. 51 process, they were told that the appeal process was not available when children were placed with their natural parents.  When they proceeded to the third step, the Minister of Family Services and Housing ordered that an independent adjudicator be appointed.  The Agency and the Authority then applied for a declaration that foster parents are not entitled to an independent appeal when children were returned to their natural parents.</w:t>
            </w:r>
          </w:p>
          <w:p w:rsidR="006544D2" w:rsidRPr="008C693A" w:rsidRDefault="006544D2" w:rsidP="006544D2">
            <w:pPr>
              <w:jc w:val="both"/>
              <w:rPr>
                <w:rFonts w:eastAsia="Calibri"/>
                <w:sz w:val="20"/>
                <w:szCs w:val="20"/>
              </w:rPr>
            </w:pPr>
          </w:p>
          <w:p w:rsidR="006544D2" w:rsidRPr="008C693A" w:rsidRDefault="006544D2" w:rsidP="006544D2">
            <w:pPr>
              <w:jc w:val="both"/>
              <w:rPr>
                <w:rFonts w:eastAsia="Calibri"/>
                <w:sz w:val="20"/>
                <w:szCs w:val="20"/>
              </w:rPr>
            </w:pPr>
            <w:r w:rsidRPr="008C693A">
              <w:rPr>
                <w:rFonts w:eastAsia="Calibri"/>
                <w:sz w:val="20"/>
                <w:szCs w:val="20"/>
              </w:rPr>
              <w:t xml:space="preserve">The application judge declared that s. 51(5) of the Act and s. 7 of the </w:t>
            </w:r>
            <w:r w:rsidRPr="008C693A">
              <w:rPr>
                <w:rFonts w:eastAsia="Calibri"/>
                <w:i/>
                <w:sz w:val="20"/>
                <w:szCs w:val="20"/>
              </w:rPr>
              <w:t>Foster Parent Appeals Regulation</w:t>
            </w:r>
            <w:r w:rsidRPr="008C693A">
              <w:rPr>
                <w:rFonts w:eastAsia="Calibri"/>
                <w:sz w:val="20"/>
                <w:szCs w:val="20"/>
              </w:rPr>
              <w:t xml:space="preserve">, Man. Reg. 185/2003, gave the foster parents an independent appeal of the Authority’s decision not to proceed with a reconsideration under s. 51(4) of the Act and s. 6 of the Regulation, in respect of the Agency’s decision to remove the children from the foster home, under s. 51(1) of the Act.  He indicated that he expected that an independent adjudicator would be appointed as soon as reasonably possible.  The Court of Appeal allowed an appeal in part, holding that the declaration with respect to the applicability of the appeal process where the children are removed from a foster home to be returned to their natural parents should stand. </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lastRenderedPageBreak/>
              <w:t>September 12, 2012</w:t>
            </w:r>
          </w:p>
          <w:p w:rsidR="006544D2" w:rsidRPr="008C693A" w:rsidRDefault="006544D2" w:rsidP="006544D2">
            <w:pPr>
              <w:jc w:val="both"/>
              <w:rPr>
                <w:rFonts w:eastAsia="Calibri"/>
                <w:sz w:val="20"/>
                <w:szCs w:val="20"/>
              </w:rPr>
            </w:pPr>
            <w:r w:rsidRPr="008C693A">
              <w:rPr>
                <w:rFonts w:eastAsia="Calibri"/>
                <w:sz w:val="20"/>
                <w:szCs w:val="20"/>
              </w:rPr>
              <w:t>Court of Queen’s Bench of Manitoba</w:t>
            </w:r>
          </w:p>
          <w:p w:rsidR="006544D2" w:rsidRPr="008C693A" w:rsidRDefault="006544D2" w:rsidP="006544D2">
            <w:pPr>
              <w:jc w:val="both"/>
              <w:rPr>
                <w:rFonts w:eastAsia="Calibri"/>
                <w:sz w:val="20"/>
                <w:szCs w:val="20"/>
              </w:rPr>
            </w:pPr>
            <w:r w:rsidRPr="008C693A">
              <w:rPr>
                <w:rFonts w:eastAsia="Calibri"/>
                <w:sz w:val="20"/>
                <w:szCs w:val="20"/>
              </w:rPr>
              <w:t>(Thomson J.)</w:t>
            </w:r>
          </w:p>
          <w:p w:rsidR="006544D2" w:rsidRPr="008C693A" w:rsidRDefault="005A3634" w:rsidP="006544D2">
            <w:pPr>
              <w:jc w:val="both"/>
              <w:rPr>
                <w:rFonts w:eastAsia="Calibri"/>
                <w:sz w:val="20"/>
                <w:szCs w:val="20"/>
              </w:rPr>
            </w:pPr>
            <w:hyperlink r:id="rId25" w:history="1">
              <w:r w:rsidR="006544D2" w:rsidRPr="008C693A">
                <w:rPr>
                  <w:rFonts w:eastAsia="Calibri"/>
                  <w:color w:val="0000FF"/>
                  <w:sz w:val="20"/>
                  <w:szCs w:val="20"/>
                  <w:u w:val="single"/>
                </w:rPr>
                <w:t xml:space="preserve">2012 MBQB 253 </w:t>
              </w:r>
            </w:hyperlink>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 xml:space="preserve">Declaration that the foster parents are entitled to an independent appeal pursuant to s. 51(5) of </w:t>
            </w:r>
            <w:r w:rsidRPr="008C693A">
              <w:rPr>
                <w:rFonts w:eastAsia="Calibri"/>
                <w:i/>
                <w:sz w:val="20"/>
                <w:szCs w:val="20"/>
              </w:rPr>
              <w:t>The Child and Family Services Act</w:t>
            </w:r>
            <w:r w:rsidRPr="008C693A">
              <w:rPr>
                <w:rFonts w:eastAsia="Calibri"/>
                <w:sz w:val="20"/>
                <w:szCs w:val="20"/>
              </w:rPr>
              <w:t xml:space="preserve">, C.C.S.M., c. C80, and s. 7 of the </w:t>
            </w:r>
            <w:r w:rsidRPr="008C693A">
              <w:rPr>
                <w:rFonts w:eastAsia="Calibri"/>
                <w:i/>
                <w:sz w:val="20"/>
                <w:szCs w:val="20"/>
              </w:rPr>
              <w:t>Foster Parent Appeals Regulation</w:t>
            </w:r>
            <w:r w:rsidRPr="008C693A">
              <w:rPr>
                <w:rFonts w:eastAsia="Calibri"/>
                <w:sz w:val="20"/>
                <w:szCs w:val="20"/>
              </w:rPr>
              <w:t xml:space="preserve">, M.R. 185/2003, of the Authority’s decision (May 20, 2011) not to proceed with a reconsideration in respect of the Agency’s decision to remove the children from the home of the foster parents </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May 6, 2014</w:t>
            </w:r>
          </w:p>
          <w:p w:rsidR="006544D2" w:rsidRPr="008C693A" w:rsidRDefault="006544D2" w:rsidP="006544D2">
            <w:pPr>
              <w:jc w:val="both"/>
              <w:rPr>
                <w:rFonts w:eastAsia="Calibri"/>
                <w:sz w:val="20"/>
                <w:szCs w:val="20"/>
              </w:rPr>
            </w:pPr>
            <w:r w:rsidRPr="008C693A">
              <w:rPr>
                <w:rFonts w:eastAsia="Calibri"/>
                <w:sz w:val="20"/>
                <w:szCs w:val="20"/>
              </w:rPr>
              <w:t>Court of Appeal of Manitoba</w:t>
            </w:r>
          </w:p>
          <w:p w:rsidR="006544D2" w:rsidRPr="008C693A" w:rsidRDefault="006544D2" w:rsidP="006544D2">
            <w:pPr>
              <w:jc w:val="both"/>
              <w:rPr>
                <w:rFonts w:eastAsia="Calibri"/>
                <w:sz w:val="20"/>
                <w:szCs w:val="20"/>
              </w:rPr>
            </w:pPr>
            <w:r w:rsidRPr="008C693A">
              <w:rPr>
                <w:rFonts w:eastAsia="Calibri"/>
                <w:sz w:val="20"/>
                <w:szCs w:val="20"/>
              </w:rPr>
              <w:t>(Steel, Monnin, Cameron JJ.A.)</w:t>
            </w:r>
          </w:p>
          <w:bookmarkStart w:id="2" w:name="reflex-caselaw-26068098"/>
          <w:bookmarkEnd w:id="2"/>
          <w:p w:rsidR="006544D2" w:rsidRPr="008C693A" w:rsidRDefault="00286B88" w:rsidP="006544D2">
            <w:pPr>
              <w:jc w:val="both"/>
              <w:rPr>
                <w:rFonts w:eastAsia="Calibri"/>
                <w:sz w:val="20"/>
                <w:szCs w:val="20"/>
              </w:rPr>
            </w:pPr>
            <w:r w:rsidRPr="008C693A">
              <w:rPr>
                <w:rFonts w:eastAsia="Calibri"/>
                <w:sz w:val="20"/>
                <w:szCs w:val="20"/>
              </w:rPr>
              <w:fldChar w:fldCharType="begin"/>
            </w:r>
            <w:r w:rsidR="006544D2" w:rsidRPr="008C693A">
              <w:rPr>
                <w:rFonts w:eastAsia="Calibri"/>
                <w:sz w:val="20"/>
                <w:szCs w:val="20"/>
              </w:rPr>
              <w:instrText xml:space="preserve"> HYPERLINK "http://www.canlii.org/en/mb/mbca/doc/2014/2014mbca42/2014mbca42.html" </w:instrText>
            </w:r>
            <w:r w:rsidRPr="008C693A">
              <w:rPr>
                <w:rFonts w:eastAsia="Calibri"/>
                <w:sz w:val="20"/>
                <w:szCs w:val="20"/>
              </w:rPr>
              <w:fldChar w:fldCharType="separate"/>
            </w:r>
            <w:r w:rsidR="006544D2" w:rsidRPr="008C693A">
              <w:rPr>
                <w:rFonts w:eastAsia="Calibri"/>
                <w:color w:val="0000FF"/>
                <w:sz w:val="20"/>
                <w:szCs w:val="20"/>
                <w:u w:val="single"/>
              </w:rPr>
              <w:t>2014 MBCA 42</w:t>
            </w:r>
            <w:r w:rsidRPr="008C693A">
              <w:rPr>
                <w:rFonts w:eastAsia="Calibri"/>
                <w:sz w:val="20"/>
                <w:szCs w:val="20"/>
              </w:rPr>
              <w:fldChar w:fldCharType="end"/>
            </w:r>
            <w:r w:rsidR="006544D2" w:rsidRPr="008C693A">
              <w:rPr>
                <w:rFonts w:eastAsia="Calibri"/>
                <w:sz w:val="20"/>
                <w:szCs w:val="20"/>
              </w:rPr>
              <w:t>; Docket Nos. AH 12-30-07855 and AH 12-30-07857</w:t>
            </w:r>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Appeal allowed in part</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August 1, 2014</w:t>
            </w:r>
          </w:p>
          <w:p w:rsidR="006544D2" w:rsidRPr="008C693A" w:rsidRDefault="006544D2" w:rsidP="006544D2">
            <w:pPr>
              <w:jc w:val="both"/>
              <w:rPr>
                <w:rFonts w:eastAsia="Calibri"/>
                <w:sz w:val="20"/>
                <w:szCs w:val="20"/>
              </w:rPr>
            </w:pPr>
            <w:r w:rsidRPr="008C693A">
              <w:rPr>
                <w:rFonts w:eastAsia="Calibri"/>
                <w:sz w:val="20"/>
                <w:szCs w:val="20"/>
              </w:rPr>
              <w:t>Supreme Court of Canada</w:t>
            </w: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Application for leave to appeal filed</w:t>
            </w:r>
          </w:p>
        </w:tc>
      </w:tr>
    </w:tbl>
    <w:p w:rsidR="007934D0" w:rsidRDefault="007934D0" w:rsidP="000E2959">
      <w:pPr>
        <w:rPr>
          <w:sz w:val="20"/>
          <w:szCs w:val="20"/>
        </w:rPr>
      </w:pPr>
    </w:p>
    <w:p w:rsidR="007934D0" w:rsidRPr="00C50A5C" w:rsidRDefault="005A3634" w:rsidP="007934D0">
      <w:pPr>
        <w:rPr>
          <w:sz w:val="20"/>
          <w:szCs w:val="20"/>
        </w:rPr>
      </w:pPr>
      <w:r>
        <w:rPr>
          <w:sz w:val="20"/>
          <w:szCs w:val="20"/>
          <w:lang w:val="fr-CA"/>
        </w:rPr>
        <w:pict>
          <v:rect id="_x0000_i1049" style="width:2in;height:1pt" o:hrpct="0" o:hralign="center" o:hrstd="t" o:hrnoshade="t" o:hr="t" fillcolor="black [3213]" stroked="f"/>
        </w:pict>
      </w:r>
    </w:p>
    <w:p w:rsidR="007934D0" w:rsidRDefault="007934D0" w:rsidP="007934D0">
      <w:pPr>
        <w:rPr>
          <w:sz w:val="20"/>
          <w:szCs w:val="20"/>
        </w:rPr>
      </w:pPr>
    </w:p>
    <w:p w:rsidR="007934D0" w:rsidRPr="001B157C" w:rsidRDefault="007934D0" w:rsidP="007934D0">
      <w:pPr>
        <w:rPr>
          <w:sz w:val="20"/>
          <w:szCs w:val="20"/>
          <w:u w:val="single"/>
          <w:lang w:val="fr-CA"/>
        </w:rPr>
      </w:pPr>
      <w:r w:rsidRPr="001B157C">
        <w:rPr>
          <w:sz w:val="20"/>
          <w:szCs w:val="20"/>
          <w:u w:val="single"/>
          <w:lang w:val="fr-CA"/>
        </w:rPr>
        <w:t>RÉSUMÉ DE L’AFFAIRE</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B79EB" w:rsidTr="006544D2">
        <w:tc>
          <w:tcPr>
            <w:tcW w:w="5000" w:type="pct"/>
            <w:gridSpan w:val="3"/>
          </w:tcPr>
          <w:p w:rsidR="006544D2" w:rsidRPr="008C693A" w:rsidRDefault="006544D2" w:rsidP="006544D2">
            <w:pPr>
              <w:jc w:val="both"/>
              <w:rPr>
                <w:rFonts w:eastAsia="Calibri"/>
                <w:smallCaps/>
                <w:sz w:val="20"/>
                <w:szCs w:val="20"/>
                <w:lang w:val="fr-CA"/>
              </w:rPr>
            </w:pPr>
            <w:r w:rsidRPr="008C693A">
              <w:rPr>
                <w:rFonts w:eastAsia="Calibri"/>
                <w:smallCaps/>
                <w:sz w:val="20"/>
                <w:szCs w:val="20"/>
                <w:lang w:val="fr-CA"/>
              </w:rPr>
              <w:t xml:space="preserve">(Ordonnance de non-publication dans le dossier) </w:t>
            </w:r>
            <w:r w:rsidRPr="008C693A">
              <w:rPr>
                <w:rFonts w:eastAsia="Calibri"/>
                <w:bCs/>
                <w:smallCaps/>
                <w:sz w:val="20"/>
                <w:szCs w:val="20"/>
                <w:lang w:val="fr-FR"/>
              </w:rPr>
              <w:t>(Le dossier de la Cour renferme des données que le public n'est pas autorisé à consulter)</w:t>
            </w:r>
            <w:r w:rsidRPr="008C693A">
              <w:rPr>
                <w:rFonts w:eastAsia="Calibri"/>
                <w:smallCaps/>
                <w:sz w:val="20"/>
                <w:szCs w:val="20"/>
                <w:lang w:val="fr-CA"/>
              </w:rPr>
              <w:t xml:space="preserve"> </w:t>
            </w:r>
          </w:p>
          <w:p w:rsidR="006544D2" w:rsidRPr="008C693A" w:rsidRDefault="006544D2" w:rsidP="006544D2">
            <w:pPr>
              <w:jc w:val="both"/>
              <w:rPr>
                <w:rFonts w:eastAsia="Calibri"/>
                <w:sz w:val="20"/>
                <w:szCs w:val="20"/>
                <w:lang w:val="fr-CA"/>
              </w:rPr>
            </w:pPr>
          </w:p>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Droit de la famille — Systèmes de services à l’enfant et à la famille — Parents nourriciers — Enfant autochtone en foyer nourricier — Réunification des familles — Processus d’appel pour les parents nourriciers — Le droit des parents nourriciers d’interjeter appel d’une décision de retirer les enfants aux fins d’une réunification de famille — Est-ce que le tribunal a correctement identifié l’objet de la </w:t>
            </w:r>
            <w:r w:rsidRPr="008C693A">
              <w:rPr>
                <w:rFonts w:eastAsia="Calibri"/>
                <w:i/>
                <w:sz w:val="20"/>
                <w:szCs w:val="20"/>
                <w:lang w:val="fr-CA"/>
              </w:rPr>
              <w:t>Loi sur les services à l’enfant et à la famille</w:t>
            </w:r>
            <w:r w:rsidRPr="008C693A">
              <w:rPr>
                <w:rFonts w:eastAsia="Calibri"/>
                <w:sz w:val="20"/>
                <w:szCs w:val="20"/>
                <w:lang w:val="fr-CA"/>
              </w:rPr>
              <w:t xml:space="preserve">, C.P.L.M., c. C80, art. 51, et du </w:t>
            </w:r>
            <w:r w:rsidRPr="008C693A">
              <w:rPr>
                <w:rFonts w:eastAsia="Calibri"/>
                <w:i/>
                <w:sz w:val="20"/>
                <w:szCs w:val="20"/>
                <w:lang w:val="fr-CA"/>
              </w:rPr>
              <w:t>Règlement sur les appels interjetés par les parents nourriciers</w:t>
            </w:r>
            <w:r w:rsidRPr="008C693A">
              <w:rPr>
                <w:rFonts w:eastAsia="Calibri"/>
                <w:sz w:val="20"/>
                <w:szCs w:val="20"/>
                <w:lang w:val="fr-CA"/>
              </w:rPr>
              <w:t xml:space="preserve">, Reg. Man. 185/2003, art. 7, lorsqu’il a déterminé que l’intérêt de l’enfant et l’application régulière de la loi pour les parents nourriciers constituaient le double objet de la loi ? — Est-ce que les droits des parents nourriciers devraient éroder le critère de l’intérêt de l’enfant? — Est-ce que le tribunal a donné l’effet approprié à l’objet de la loi en adoptant une interprétation qui ignorait les principes d’intégrité de la communauté autochtone et de la réunification des familles? </w:t>
            </w:r>
          </w:p>
        </w:tc>
      </w:tr>
      <w:tr w:rsidR="006544D2" w:rsidRPr="008B79EB" w:rsidTr="006544D2">
        <w:tc>
          <w:tcPr>
            <w:tcW w:w="5000" w:type="pct"/>
            <w:gridSpan w:val="3"/>
          </w:tcPr>
          <w:p w:rsidR="006544D2" w:rsidRPr="008C693A" w:rsidRDefault="006544D2" w:rsidP="006544D2">
            <w:pPr>
              <w:jc w:val="both"/>
              <w:rPr>
                <w:rFonts w:eastAsia="Calibri"/>
                <w:sz w:val="20"/>
                <w:szCs w:val="20"/>
                <w:lang w:val="fr-CA"/>
              </w:rPr>
            </w:pPr>
          </w:p>
        </w:tc>
      </w:tr>
      <w:tr w:rsidR="006544D2" w:rsidRPr="008B79EB" w:rsidTr="006544D2">
        <w:tc>
          <w:tcPr>
            <w:tcW w:w="5000" w:type="pct"/>
            <w:gridSpan w:val="3"/>
          </w:tcPr>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Les plus jeunes enfants de R.E.F. et J.A.M., ont été placés avec des parents nourriciers en 2008 et 2009.   À la fin de 2010 et au début de 2011, les enfants ont eu deux visites familiales avec R.E.F. et J.A.M.  En janvier 2011, l’office a retiré les enfants du foyer nourricier sous le couvert d’une autre visite familiale et a placé les enfants avec leurs parents naturels le lendemain.  Le même jour, les parents nourriciers ont été avisés du retrait des enfants et de leur droit d’interjeter appel de la décision en utilisant le processus en trois étapes qui se trouve dans la </w:t>
            </w:r>
            <w:r w:rsidRPr="008C693A">
              <w:rPr>
                <w:rFonts w:eastAsia="Calibri"/>
                <w:i/>
                <w:sz w:val="20"/>
                <w:szCs w:val="20"/>
                <w:lang w:val="fr-CA"/>
              </w:rPr>
              <w:t>Loi sur les services à l’enfant et à la famille</w:t>
            </w:r>
            <w:r w:rsidRPr="008C693A">
              <w:rPr>
                <w:rFonts w:eastAsia="Calibri"/>
                <w:sz w:val="20"/>
                <w:szCs w:val="20"/>
                <w:lang w:val="fr-CA"/>
              </w:rPr>
              <w:t xml:space="preserve">, C.P.L.M., c. C80, art. 51.  Toutefois, lorsque les parents nourriciers ont entrepris les première et deuxième étapes du processus de l’art. 51, on leur a dit que le processus d’appel n’était pas accessible dans le cas où les enfants étaient placés avec leurs parents naturels.  Lorsqu’ils ont entrepris la troisième étape, le ministre des Services à la famille et du logement a ordonné la nomination d’un arbitre indépendant.  L’office et la régie ont alors présenté une demande de déclaration à l’effet que les parents nourriciers n’avaient pas droit à un appel indépendant lorsque les enfants étaient retournés avec leurs parents naturels. </w:t>
            </w:r>
          </w:p>
          <w:p w:rsidR="006544D2" w:rsidRPr="008C693A" w:rsidRDefault="006544D2" w:rsidP="006544D2">
            <w:pPr>
              <w:jc w:val="both"/>
              <w:rPr>
                <w:rFonts w:eastAsia="Calibri"/>
                <w:sz w:val="20"/>
                <w:szCs w:val="20"/>
                <w:lang w:val="fr-CA"/>
              </w:rPr>
            </w:pPr>
          </w:p>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Le juge des requêtes a déclaré que l’art.  51(5) de la Loi et l’art. 7 du </w:t>
            </w:r>
            <w:r w:rsidRPr="008C693A">
              <w:rPr>
                <w:rFonts w:eastAsia="Calibri"/>
                <w:i/>
                <w:sz w:val="20"/>
                <w:szCs w:val="20"/>
                <w:lang w:val="fr-CA"/>
              </w:rPr>
              <w:t>Règlement sur les appels interjetés par les parents nourriciers</w:t>
            </w:r>
            <w:r w:rsidRPr="008C693A">
              <w:rPr>
                <w:rFonts w:eastAsia="Calibri"/>
                <w:sz w:val="20"/>
                <w:szCs w:val="20"/>
                <w:lang w:val="fr-CA"/>
              </w:rPr>
              <w:t xml:space="preserve">, Reg. Man. 185/2003, donnait le droit aux parents nourriciers à un appel indépendant de la décision de la régie de ne pas réexaminer, en vertu de l’art. 51(4) de la Loi et de l’art. 6 du règlement, la décision de l’office de retirer les enfants du foyer nourricier, en vertu de l’art. 51(1) de la Loi.  Le juge a indiqué qu’il s’attendant à ce qu’un arbitre indépendant soit nommé dès que possible.  La Cour d’appel a accueilli l’appel en partie, en décidant </w:t>
            </w:r>
            <w:r w:rsidRPr="008C693A">
              <w:rPr>
                <w:rFonts w:eastAsia="Calibri"/>
                <w:sz w:val="20"/>
                <w:szCs w:val="20"/>
                <w:lang w:val="fr-CA"/>
              </w:rPr>
              <w:lastRenderedPageBreak/>
              <w:t xml:space="preserve">que la déclaration relativement à l’accessibilité au processus d’appel lorsque les enfants sont retirés du foyer nourricier pour être retournés avec leurs parents naturels, devrait être maintenue. </w:t>
            </w:r>
          </w:p>
          <w:p w:rsidR="006544D2" w:rsidRPr="008C693A" w:rsidRDefault="006544D2" w:rsidP="006544D2">
            <w:pPr>
              <w:jc w:val="both"/>
              <w:rPr>
                <w:rFonts w:eastAsia="Calibri"/>
                <w:sz w:val="20"/>
                <w:szCs w:val="20"/>
                <w:lang w:val="fr-CA"/>
              </w:rPr>
            </w:pPr>
          </w:p>
        </w:tc>
      </w:tr>
      <w:tr w:rsidR="006544D2" w:rsidRPr="008B79EB"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lastRenderedPageBreak/>
              <w:t>12 septembre 2012</w:t>
            </w:r>
          </w:p>
          <w:p w:rsidR="006544D2" w:rsidRPr="008C693A" w:rsidRDefault="006544D2" w:rsidP="006544D2">
            <w:pPr>
              <w:jc w:val="both"/>
              <w:rPr>
                <w:rFonts w:eastAsia="Calibri"/>
                <w:sz w:val="20"/>
                <w:szCs w:val="20"/>
                <w:lang w:val="fr-CA"/>
              </w:rPr>
            </w:pPr>
            <w:r w:rsidRPr="008C693A">
              <w:rPr>
                <w:rFonts w:eastAsia="Calibri"/>
                <w:sz w:val="20"/>
                <w:szCs w:val="20"/>
                <w:lang w:val="fr-CA"/>
              </w:rPr>
              <w:t>Cour du Banc de la Reine du Manitoba</w:t>
            </w:r>
          </w:p>
          <w:p w:rsidR="006544D2" w:rsidRPr="008C693A" w:rsidRDefault="006544D2" w:rsidP="006544D2">
            <w:pPr>
              <w:jc w:val="both"/>
              <w:rPr>
                <w:rFonts w:eastAsia="Calibri"/>
                <w:sz w:val="20"/>
                <w:szCs w:val="20"/>
              </w:rPr>
            </w:pPr>
            <w:r w:rsidRPr="008C693A">
              <w:rPr>
                <w:rFonts w:eastAsia="Calibri"/>
                <w:sz w:val="20"/>
                <w:szCs w:val="20"/>
              </w:rPr>
              <w:t>(Juge Thomson)</w:t>
            </w:r>
          </w:p>
          <w:p w:rsidR="006544D2" w:rsidRPr="008C693A" w:rsidRDefault="005A3634" w:rsidP="006544D2">
            <w:pPr>
              <w:jc w:val="both"/>
              <w:rPr>
                <w:rFonts w:eastAsia="Calibri"/>
                <w:sz w:val="20"/>
                <w:szCs w:val="20"/>
              </w:rPr>
            </w:pPr>
            <w:hyperlink r:id="rId26" w:history="1">
              <w:r w:rsidR="006544D2" w:rsidRPr="008C693A">
                <w:rPr>
                  <w:rFonts w:eastAsia="Calibri"/>
                  <w:color w:val="0000FF"/>
                  <w:sz w:val="20"/>
                  <w:szCs w:val="20"/>
                  <w:u w:val="single"/>
                </w:rPr>
                <w:t xml:space="preserve">2012 MBQB 253 </w:t>
              </w:r>
            </w:hyperlink>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Déclaration à l’effet que les parents nourriciers ont droit à un appel indépendant en vertu de l’art. 51(5) de la </w:t>
            </w:r>
            <w:r w:rsidRPr="008C693A">
              <w:rPr>
                <w:rFonts w:eastAsia="Calibri"/>
                <w:i/>
                <w:sz w:val="20"/>
                <w:szCs w:val="20"/>
                <w:lang w:val="fr-CA"/>
              </w:rPr>
              <w:t>Loi sur les services à l’enfant et à la famille</w:t>
            </w:r>
            <w:r w:rsidRPr="008C693A">
              <w:rPr>
                <w:rFonts w:eastAsia="Calibri"/>
                <w:sz w:val="20"/>
                <w:szCs w:val="20"/>
                <w:lang w:val="fr-CA"/>
              </w:rPr>
              <w:t xml:space="preserve">, C.P.L.M., c. C80, et l’art. 7 du </w:t>
            </w:r>
            <w:r w:rsidRPr="008C693A">
              <w:rPr>
                <w:rFonts w:eastAsia="Calibri"/>
                <w:i/>
                <w:sz w:val="20"/>
                <w:szCs w:val="20"/>
                <w:lang w:val="fr-CA"/>
              </w:rPr>
              <w:t>Règlement sur les appels interjetés par les parents nourriciers</w:t>
            </w:r>
            <w:r w:rsidRPr="008C693A">
              <w:rPr>
                <w:rFonts w:eastAsia="Calibri"/>
                <w:sz w:val="20"/>
                <w:szCs w:val="20"/>
                <w:lang w:val="fr-CA"/>
              </w:rPr>
              <w:t xml:space="preserve">, à l’égard de la décision de la régie (du 20 mai 2011) de ne pas réexaminer la décision de l’office de retirer les enfants du foyer des parents nourriciers  </w:t>
            </w:r>
          </w:p>
          <w:p w:rsidR="006544D2" w:rsidRPr="008C693A" w:rsidRDefault="006544D2" w:rsidP="006544D2">
            <w:pPr>
              <w:jc w:val="both"/>
              <w:rPr>
                <w:rFonts w:eastAsia="Calibri"/>
                <w:sz w:val="20"/>
                <w:szCs w:val="20"/>
                <w:lang w:val="fr-CA"/>
              </w:rPr>
            </w:pPr>
          </w:p>
        </w:tc>
      </w:tr>
      <w:tr w:rsidR="006544D2" w:rsidRPr="008C693A"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6 mai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d’appel du Manitoba</w:t>
            </w:r>
          </w:p>
          <w:p w:rsidR="006544D2" w:rsidRPr="008C693A" w:rsidRDefault="006544D2" w:rsidP="006544D2">
            <w:pPr>
              <w:jc w:val="both"/>
              <w:rPr>
                <w:rFonts w:eastAsia="Calibri"/>
                <w:sz w:val="20"/>
                <w:szCs w:val="20"/>
                <w:lang w:val="fr-CA"/>
              </w:rPr>
            </w:pPr>
            <w:r w:rsidRPr="008C693A">
              <w:rPr>
                <w:rFonts w:eastAsia="Calibri"/>
                <w:sz w:val="20"/>
                <w:szCs w:val="20"/>
                <w:lang w:val="fr-CA"/>
              </w:rPr>
              <w:t>(Juges Steel, Monnin et Cameron)</w:t>
            </w:r>
          </w:p>
          <w:p w:rsidR="006544D2" w:rsidRPr="008C693A" w:rsidRDefault="005A3634" w:rsidP="006544D2">
            <w:pPr>
              <w:jc w:val="both"/>
              <w:rPr>
                <w:rFonts w:eastAsia="Calibri"/>
                <w:sz w:val="20"/>
                <w:szCs w:val="20"/>
                <w:lang w:val="fr-CA"/>
              </w:rPr>
            </w:pPr>
            <w:hyperlink r:id="rId27" w:history="1">
              <w:r w:rsidR="006544D2" w:rsidRPr="008C693A">
                <w:rPr>
                  <w:rFonts w:eastAsia="Calibri"/>
                  <w:color w:val="0000FF"/>
                  <w:sz w:val="20"/>
                  <w:szCs w:val="20"/>
                  <w:u w:val="single"/>
                  <w:lang w:val="fr-CA"/>
                </w:rPr>
                <w:t>2014 MBCA 42</w:t>
              </w:r>
            </w:hyperlink>
            <w:r w:rsidR="006544D2" w:rsidRPr="008C693A">
              <w:rPr>
                <w:rFonts w:eastAsia="Calibri"/>
                <w:sz w:val="20"/>
                <w:szCs w:val="20"/>
                <w:lang w:val="fr-CA"/>
              </w:rPr>
              <w:t>; Dossiers AH 12-30-07855 et AH 12-30-07857</w:t>
            </w:r>
          </w:p>
          <w:p w:rsidR="006544D2" w:rsidRPr="008C693A" w:rsidRDefault="006544D2" w:rsidP="006544D2">
            <w:pPr>
              <w:jc w:val="both"/>
              <w:rPr>
                <w:rFonts w:eastAsia="Calibri"/>
                <w:sz w:val="20"/>
                <w:szCs w:val="20"/>
                <w:lang w:val="fr-CA"/>
              </w:rPr>
            </w:pP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Appel accueilli en partie</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1</w:t>
            </w:r>
            <w:r w:rsidRPr="008C693A">
              <w:rPr>
                <w:rFonts w:eastAsia="Calibri"/>
                <w:sz w:val="20"/>
                <w:szCs w:val="20"/>
                <w:vertAlign w:val="superscript"/>
                <w:lang w:val="fr-CA"/>
              </w:rPr>
              <w:t>er</w:t>
            </w:r>
            <w:r w:rsidRPr="008C693A">
              <w:rPr>
                <w:rFonts w:eastAsia="Calibri"/>
                <w:sz w:val="20"/>
                <w:szCs w:val="20"/>
                <w:lang w:val="fr-CA"/>
              </w:rPr>
              <w:t xml:space="preserve"> août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suprême du Canada</w:t>
            </w: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lang w:val="fr-CA"/>
              </w:rPr>
              <w:t xml:space="preserve">Demande d’autorisation d’appel déposée </w:t>
            </w:r>
          </w:p>
        </w:tc>
      </w:tr>
    </w:tbl>
    <w:p w:rsidR="007934D0" w:rsidRDefault="007934D0" w:rsidP="000E2959">
      <w:pPr>
        <w:rPr>
          <w:sz w:val="20"/>
          <w:szCs w:val="20"/>
        </w:rPr>
      </w:pPr>
    </w:p>
    <w:p w:rsidR="007934D0" w:rsidRDefault="005A3634" w:rsidP="000E2959">
      <w:pPr>
        <w:rPr>
          <w:sz w:val="20"/>
          <w:szCs w:val="20"/>
          <w:lang w:val="fr-CA"/>
        </w:rPr>
      </w:pPr>
      <w:r>
        <w:rPr>
          <w:sz w:val="20"/>
          <w:szCs w:val="20"/>
          <w:lang w:val="fr-CA"/>
        </w:rPr>
        <w:pict>
          <v:rect id="_x0000_i1050" style="width:2in;height:1pt" o:hrpct="0" o:hralign="center" o:hrstd="t" o:hrnoshade="t" o:hr="t" fillcolor="black [3213]" stroked="f"/>
        </w:pict>
      </w:r>
    </w:p>
    <w:p w:rsidR="007934D0" w:rsidRDefault="007934D0" w:rsidP="000E2959">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976F4" w:rsidRPr="00E62B49" w:rsidTr="006544D2">
        <w:trPr>
          <w:cantSplit/>
        </w:trPr>
        <w:tc>
          <w:tcPr>
            <w:tcW w:w="1458" w:type="dxa"/>
          </w:tcPr>
          <w:p w:rsidR="005976F4" w:rsidRPr="00E62B49" w:rsidRDefault="005976F4" w:rsidP="006544D2">
            <w:pPr>
              <w:rPr>
                <w:sz w:val="20"/>
                <w:szCs w:val="20"/>
              </w:rPr>
            </w:pPr>
            <w:r w:rsidRPr="00E62B49">
              <w:rPr>
                <w:rStyle w:val="SCCFileNumberChar"/>
                <w:sz w:val="20"/>
                <w:szCs w:val="20"/>
              </w:rPr>
              <w:t>35994</w:t>
            </w:r>
          </w:p>
          <w:p w:rsidR="005976F4" w:rsidRPr="00E62B49" w:rsidRDefault="005976F4" w:rsidP="006544D2">
            <w:pPr>
              <w:rPr>
                <w:b/>
                <w:sz w:val="20"/>
                <w:szCs w:val="20"/>
                <w:lang w:val="fr-CA"/>
              </w:rPr>
            </w:pPr>
          </w:p>
        </w:tc>
        <w:tc>
          <w:tcPr>
            <w:tcW w:w="8118" w:type="dxa"/>
          </w:tcPr>
          <w:p w:rsidR="005976F4" w:rsidRPr="00E62B49" w:rsidRDefault="005976F4" w:rsidP="006544D2">
            <w:pPr>
              <w:rPr>
                <w:sz w:val="20"/>
                <w:szCs w:val="20"/>
              </w:rPr>
            </w:pPr>
            <w:r w:rsidRPr="005976F4">
              <w:rPr>
                <w:rStyle w:val="SCCLsocChar"/>
                <w:sz w:val="20"/>
                <w:szCs w:val="20"/>
                <w:lang w:val="en-CA"/>
              </w:rPr>
              <w:t>Caroline Louise Denby Mclean v. Clarence Ross Yaremko</w:t>
            </w:r>
            <w:r w:rsidRPr="00E62B49">
              <w:rPr>
                <w:sz w:val="20"/>
                <w:szCs w:val="20"/>
              </w:rPr>
              <w:t xml:space="preserve"> (Man.) (Civil) (By Leave)</w:t>
            </w:r>
          </w:p>
          <w:p w:rsidR="005976F4" w:rsidRPr="00E62B49" w:rsidRDefault="005976F4" w:rsidP="006544D2">
            <w:pPr>
              <w:rPr>
                <w:sz w:val="20"/>
                <w:szCs w:val="20"/>
              </w:rPr>
            </w:pPr>
          </w:p>
        </w:tc>
      </w:tr>
      <w:tr w:rsidR="005976F4" w:rsidRPr="00E62B49" w:rsidTr="006544D2">
        <w:trPr>
          <w:cantSplit/>
        </w:trPr>
        <w:tc>
          <w:tcPr>
            <w:tcW w:w="1458" w:type="dxa"/>
          </w:tcPr>
          <w:p w:rsidR="005976F4" w:rsidRPr="00E62B49" w:rsidRDefault="005976F4" w:rsidP="006544D2">
            <w:pPr>
              <w:rPr>
                <w:sz w:val="20"/>
                <w:szCs w:val="20"/>
              </w:rPr>
            </w:pPr>
            <w:r w:rsidRPr="00E62B49">
              <w:rPr>
                <w:sz w:val="20"/>
                <w:szCs w:val="20"/>
              </w:rPr>
              <w:t>Coram :</w:t>
            </w:r>
          </w:p>
        </w:tc>
        <w:tc>
          <w:tcPr>
            <w:tcW w:w="8118" w:type="dxa"/>
          </w:tcPr>
          <w:p w:rsidR="005976F4" w:rsidRPr="00E62B49" w:rsidRDefault="005976F4" w:rsidP="006544D2">
            <w:pPr>
              <w:rPr>
                <w:sz w:val="20"/>
                <w:szCs w:val="20"/>
              </w:rPr>
            </w:pPr>
            <w:r w:rsidRPr="005976F4">
              <w:rPr>
                <w:rStyle w:val="SCCCoramChar"/>
                <w:sz w:val="20"/>
                <w:szCs w:val="20"/>
                <w:lang w:val="en-CA"/>
              </w:rPr>
              <w:t>McLachlin C.J. and Wagner and Gascon JJ.</w:t>
            </w:r>
          </w:p>
          <w:p w:rsidR="005976F4" w:rsidRPr="00E62B49" w:rsidRDefault="005976F4" w:rsidP="006544D2">
            <w:pPr>
              <w:rPr>
                <w:sz w:val="20"/>
                <w:szCs w:val="20"/>
                <w:u w:val="single"/>
              </w:rPr>
            </w:pPr>
          </w:p>
        </w:tc>
      </w:tr>
      <w:tr w:rsidR="005976F4" w:rsidRPr="008B79EB" w:rsidTr="006544D2">
        <w:trPr>
          <w:cantSplit/>
        </w:trPr>
        <w:tc>
          <w:tcPr>
            <w:tcW w:w="9576" w:type="dxa"/>
            <w:gridSpan w:val="2"/>
          </w:tcPr>
          <w:p w:rsidR="005976F4" w:rsidRPr="00E62B49" w:rsidRDefault="005976F4" w:rsidP="006544D2">
            <w:pPr>
              <w:pStyle w:val="SCCShortJudgment"/>
              <w:rPr>
                <w:szCs w:val="20"/>
              </w:rPr>
            </w:pPr>
            <w:r w:rsidRPr="00E62B49">
              <w:rPr>
                <w:szCs w:val="20"/>
              </w:rPr>
              <w:t>The application for leave to appeal from the judgment of the Court of Appeal of Manitoba, Number AF 13-30-08083, 2014 MBCA 56, dated June 4, 2014, is dismissed without costs.</w:t>
            </w:r>
          </w:p>
          <w:p w:rsidR="005976F4" w:rsidRPr="00E62B49" w:rsidRDefault="005976F4" w:rsidP="006544D2">
            <w:pPr>
              <w:pStyle w:val="SCCShortJudgment"/>
              <w:ind w:firstLine="0"/>
              <w:rPr>
                <w:szCs w:val="20"/>
              </w:rPr>
            </w:pPr>
          </w:p>
          <w:p w:rsidR="005976F4" w:rsidRPr="00E62B49" w:rsidRDefault="005976F4" w:rsidP="006544D2">
            <w:pPr>
              <w:pStyle w:val="SCCShortJudgment"/>
              <w:rPr>
                <w:szCs w:val="20"/>
                <w:lang w:val="fr-CA"/>
              </w:rPr>
            </w:pPr>
            <w:r w:rsidRPr="00E62B49">
              <w:rPr>
                <w:szCs w:val="20"/>
                <w:lang w:val="fr-CA"/>
              </w:rPr>
              <w:t>La demande d’autorisation d’appel de l’arrêt de la Cour d’appel du Manitoba, numéro AF 13-30-08083, 2014 MBCA 56, daté du 4 juin 2014, est rejetée sans dépens.</w:t>
            </w:r>
          </w:p>
        </w:tc>
      </w:tr>
    </w:tbl>
    <w:p w:rsidR="007934D0" w:rsidRPr="005976F4" w:rsidRDefault="007934D0" w:rsidP="007934D0">
      <w:pPr>
        <w:rPr>
          <w:sz w:val="20"/>
          <w:szCs w:val="20"/>
          <w:lang w:val="fr-CA"/>
        </w:rPr>
      </w:pPr>
    </w:p>
    <w:p w:rsidR="007934D0" w:rsidRPr="001B157C" w:rsidRDefault="007934D0" w:rsidP="007934D0">
      <w:pPr>
        <w:rPr>
          <w:sz w:val="20"/>
          <w:szCs w:val="20"/>
          <w:u w:val="single"/>
        </w:rPr>
      </w:pPr>
      <w:r w:rsidRPr="001B157C">
        <w:rPr>
          <w:sz w:val="20"/>
          <w:szCs w:val="20"/>
          <w:u w:val="single"/>
        </w:rPr>
        <w:t>CASE SUMMARY</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C693A" w:rsidTr="006544D2">
        <w:tc>
          <w:tcPr>
            <w:tcW w:w="5000" w:type="pct"/>
            <w:gridSpan w:val="3"/>
          </w:tcPr>
          <w:p w:rsidR="006544D2" w:rsidRPr="008C693A" w:rsidRDefault="006544D2" w:rsidP="006544D2">
            <w:pPr>
              <w:jc w:val="both"/>
              <w:rPr>
                <w:rFonts w:eastAsia="Calibri"/>
                <w:sz w:val="20"/>
                <w:szCs w:val="20"/>
              </w:rPr>
            </w:pPr>
            <w:r w:rsidRPr="008C693A">
              <w:rPr>
                <w:rFonts w:eastAsia="Calibri"/>
                <w:sz w:val="20"/>
                <w:szCs w:val="20"/>
              </w:rPr>
              <w:t>Family law – Leave to appeal – Whether application for leave to appeal raises an issue of public importance.</w:t>
            </w:r>
          </w:p>
        </w:tc>
      </w:tr>
      <w:tr w:rsidR="006544D2" w:rsidRPr="008C693A" w:rsidTr="006544D2">
        <w:tc>
          <w:tcPr>
            <w:tcW w:w="5000" w:type="pct"/>
            <w:gridSpan w:val="3"/>
          </w:tcPr>
          <w:p w:rsidR="006544D2" w:rsidRPr="008C693A" w:rsidRDefault="006544D2" w:rsidP="006544D2">
            <w:pPr>
              <w:jc w:val="both"/>
              <w:rPr>
                <w:rFonts w:eastAsia="Calibri"/>
                <w:sz w:val="20"/>
                <w:szCs w:val="20"/>
              </w:rPr>
            </w:pPr>
          </w:p>
        </w:tc>
      </w:tr>
      <w:tr w:rsidR="006544D2" w:rsidRPr="008C693A" w:rsidTr="006544D2">
        <w:tc>
          <w:tcPr>
            <w:tcW w:w="5000" w:type="pct"/>
            <w:gridSpan w:val="3"/>
          </w:tcPr>
          <w:p w:rsidR="006544D2" w:rsidRPr="008C693A" w:rsidRDefault="006544D2" w:rsidP="006544D2">
            <w:pPr>
              <w:jc w:val="both"/>
              <w:rPr>
                <w:rFonts w:eastAsia="Calibri"/>
                <w:sz w:val="20"/>
                <w:szCs w:val="20"/>
              </w:rPr>
            </w:pPr>
            <w:r w:rsidRPr="008C693A">
              <w:rPr>
                <w:rFonts w:eastAsia="Calibri"/>
                <w:sz w:val="20"/>
                <w:szCs w:val="20"/>
              </w:rPr>
              <w:t>According to the applicant, she was involved in a common law relationship with the respondent for five and a half years, during which they acquired a home and a business.  She applied to the Court of Queen’s Bench (Family Division) for division of property following separation.</w:t>
            </w:r>
          </w:p>
          <w:p w:rsidR="006544D2" w:rsidRPr="008C693A" w:rsidRDefault="006544D2" w:rsidP="006544D2">
            <w:pPr>
              <w:jc w:val="both"/>
              <w:rPr>
                <w:rFonts w:eastAsia="Calibri"/>
                <w:sz w:val="20"/>
                <w:szCs w:val="20"/>
              </w:rPr>
            </w:pPr>
          </w:p>
          <w:p w:rsidR="006544D2" w:rsidRPr="008C693A" w:rsidRDefault="006544D2" w:rsidP="006544D2">
            <w:pPr>
              <w:jc w:val="both"/>
              <w:rPr>
                <w:rFonts w:eastAsia="Calibri"/>
                <w:sz w:val="20"/>
                <w:szCs w:val="20"/>
              </w:rPr>
            </w:pPr>
            <w:r w:rsidRPr="008C693A">
              <w:rPr>
                <w:rFonts w:eastAsia="Calibri"/>
                <w:sz w:val="20"/>
                <w:szCs w:val="20"/>
              </w:rPr>
              <w:t xml:space="preserve">The Court of Queen’s Bench found that the applicant and the respondent were not involved in a common law relationship with each other, and therefore that the applicant was not entitled to share in any assets of the respondent nor in any increase in value of the assets of the respondent. </w:t>
            </w:r>
          </w:p>
          <w:p w:rsidR="006544D2" w:rsidRPr="008C693A" w:rsidRDefault="006544D2" w:rsidP="006544D2">
            <w:pPr>
              <w:jc w:val="both"/>
              <w:rPr>
                <w:rFonts w:eastAsia="Calibri"/>
                <w:sz w:val="20"/>
                <w:szCs w:val="20"/>
              </w:rPr>
            </w:pPr>
          </w:p>
          <w:p w:rsidR="006544D2" w:rsidRPr="008C693A" w:rsidRDefault="006544D2" w:rsidP="006544D2">
            <w:pPr>
              <w:jc w:val="both"/>
              <w:rPr>
                <w:rFonts w:eastAsia="Calibri"/>
                <w:sz w:val="20"/>
                <w:szCs w:val="20"/>
              </w:rPr>
            </w:pPr>
            <w:r w:rsidRPr="008C693A">
              <w:rPr>
                <w:rFonts w:eastAsia="Calibri"/>
                <w:sz w:val="20"/>
                <w:szCs w:val="20"/>
              </w:rPr>
              <w:t>The Court of Appeal dismissed the applicant’s appeal.  It held that the trial judge’s findings were entitled to deference and that the hearing was fair.  The court concluded that the applicant had not established that the trial judge made any errors of fact or law in reaching the conclusion that he did.</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lastRenderedPageBreak/>
              <w:t>September 25, 2013</w:t>
            </w:r>
          </w:p>
          <w:p w:rsidR="006544D2" w:rsidRPr="008C693A" w:rsidRDefault="006544D2" w:rsidP="006544D2">
            <w:pPr>
              <w:jc w:val="both"/>
              <w:rPr>
                <w:rFonts w:eastAsia="Calibri"/>
                <w:sz w:val="20"/>
                <w:szCs w:val="20"/>
              </w:rPr>
            </w:pPr>
            <w:r w:rsidRPr="008C693A">
              <w:rPr>
                <w:rFonts w:eastAsia="Calibri"/>
                <w:sz w:val="20"/>
                <w:szCs w:val="20"/>
              </w:rPr>
              <w:t>Court of Queen’s Bench of Manitoba</w:t>
            </w:r>
          </w:p>
          <w:p w:rsidR="006544D2" w:rsidRPr="008C693A" w:rsidRDefault="006544D2" w:rsidP="006544D2">
            <w:pPr>
              <w:jc w:val="both"/>
              <w:rPr>
                <w:rFonts w:eastAsia="Calibri"/>
                <w:sz w:val="20"/>
                <w:szCs w:val="20"/>
              </w:rPr>
            </w:pPr>
            <w:r w:rsidRPr="008C693A">
              <w:rPr>
                <w:rFonts w:eastAsia="Calibri"/>
                <w:sz w:val="20"/>
                <w:szCs w:val="20"/>
              </w:rPr>
              <w:t>(Aquila J.)</w:t>
            </w:r>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Applicant’s petition for division of property dismissed</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June 4, 2014</w:t>
            </w:r>
          </w:p>
          <w:p w:rsidR="006544D2" w:rsidRPr="008C693A" w:rsidRDefault="006544D2" w:rsidP="006544D2">
            <w:pPr>
              <w:jc w:val="both"/>
              <w:rPr>
                <w:rFonts w:eastAsia="Calibri"/>
                <w:sz w:val="20"/>
                <w:szCs w:val="20"/>
              </w:rPr>
            </w:pPr>
            <w:r w:rsidRPr="008C693A">
              <w:rPr>
                <w:rFonts w:eastAsia="Calibri"/>
                <w:sz w:val="20"/>
                <w:szCs w:val="20"/>
              </w:rPr>
              <w:t>Court of Appeal of Manitoba</w:t>
            </w:r>
          </w:p>
          <w:p w:rsidR="006544D2" w:rsidRPr="008C693A" w:rsidRDefault="006544D2" w:rsidP="006544D2">
            <w:pPr>
              <w:jc w:val="both"/>
              <w:rPr>
                <w:rFonts w:eastAsia="Calibri"/>
                <w:sz w:val="20"/>
                <w:szCs w:val="20"/>
              </w:rPr>
            </w:pPr>
            <w:r w:rsidRPr="008C693A">
              <w:rPr>
                <w:rFonts w:eastAsia="Calibri"/>
                <w:sz w:val="20"/>
                <w:szCs w:val="20"/>
              </w:rPr>
              <w:t>(Hamilton, Cameron and Burnett JJ.A.)</w:t>
            </w:r>
          </w:p>
          <w:p w:rsidR="006544D2" w:rsidRPr="008C693A" w:rsidRDefault="005A3634" w:rsidP="006544D2">
            <w:pPr>
              <w:jc w:val="both"/>
              <w:rPr>
                <w:rFonts w:eastAsia="Calibri"/>
                <w:sz w:val="20"/>
                <w:szCs w:val="20"/>
              </w:rPr>
            </w:pPr>
            <w:hyperlink r:id="rId28" w:history="1">
              <w:r w:rsidR="006544D2" w:rsidRPr="008C693A">
                <w:rPr>
                  <w:rFonts w:eastAsia="Calibri"/>
                  <w:color w:val="0000FF"/>
                  <w:sz w:val="20"/>
                  <w:szCs w:val="20"/>
                  <w:u w:val="single"/>
                </w:rPr>
                <w:t>2014 MBCA 56</w:t>
              </w:r>
            </w:hyperlink>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Appeal dismissed</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August 5, 2014</w:t>
            </w:r>
          </w:p>
          <w:p w:rsidR="006544D2" w:rsidRPr="008C693A" w:rsidRDefault="006544D2" w:rsidP="006544D2">
            <w:pPr>
              <w:jc w:val="both"/>
              <w:rPr>
                <w:rFonts w:eastAsia="Calibri"/>
                <w:sz w:val="20"/>
                <w:szCs w:val="20"/>
              </w:rPr>
            </w:pPr>
            <w:r w:rsidRPr="008C693A">
              <w:rPr>
                <w:rFonts w:eastAsia="Calibri"/>
                <w:sz w:val="20"/>
                <w:szCs w:val="20"/>
              </w:rPr>
              <w:t>Supreme Court of Canada</w:t>
            </w: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Application for leave to appeal filed</w:t>
            </w:r>
          </w:p>
          <w:p w:rsidR="006544D2" w:rsidRPr="008C693A" w:rsidRDefault="006544D2" w:rsidP="006544D2">
            <w:pPr>
              <w:jc w:val="both"/>
              <w:rPr>
                <w:rFonts w:eastAsia="Calibri"/>
                <w:sz w:val="20"/>
                <w:szCs w:val="20"/>
              </w:rPr>
            </w:pPr>
          </w:p>
        </w:tc>
      </w:tr>
    </w:tbl>
    <w:p w:rsidR="007934D0" w:rsidRDefault="007934D0" w:rsidP="007934D0">
      <w:pPr>
        <w:rPr>
          <w:sz w:val="20"/>
          <w:szCs w:val="20"/>
        </w:rPr>
      </w:pPr>
    </w:p>
    <w:p w:rsidR="007934D0" w:rsidRPr="00C50A5C" w:rsidRDefault="005A3634" w:rsidP="007934D0">
      <w:pPr>
        <w:rPr>
          <w:sz w:val="20"/>
          <w:szCs w:val="20"/>
        </w:rPr>
      </w:pPr>
      <w:r>
        <w:rPr>
          <w:sz w:val="20"/>
          <w:szCs w:val="20"/>
          <w:lang w:val="fr-CA"/>
        </w:rPr>
        <w:pict>
          <v:rect id="_x0000_i1051" style="width:2in;height:1pt" o:hrpct="0" o:hralign="center" o:hrstd="t" o:hrnoshade="t" o:hr="t" fillcolor="black [3213]" stroked="f"/>
        </w:pict>
      </w:r>
    </w:p>
    <w:p w:rsidR="007934D0" w:rsidRDefault="007934D0" w:rsidP="007934D0">
      <w:pPr>
        <w:rPr>
          <w:sz w:val="20"/>
          <w:szCs w:val="20"/>
        </w:rPr>
      </w:pPr>
    </w:p>
    <w:p w:rsidR="007934D0" w:rsidRPr="001B157C" w:rsidRDefault="007934D0" w:rsidP="007934D0">
      <w:pPr>
        <w:rPr>
          <w:sz w:val="20"/>
          <w:szCs w:val="20"/>
          <w:u w:val="single"/>
          <w:lang w:val="fr-CA"/>
        </w:rPr>
      </w:pPr>
      <w:r w:rsidRPr="001B157C">
        <w:rPr>
          <w:sz w:val="20"/>
          <w:szCs w:val="20"/>
          <w:u w:val="single"/>
          <w:lang w:val="fr-CA"/>
        </w:rPr>
        <w:t>RÉSUMÉ DE L’AFFAIRE</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B79EB" w:rsidTr="006544D2">
        <w:tc>
          <w:tcPr>
            <w:tcW w:w="5000" w:type="pct"/>
            <w:gridSpan w:val="3"/>
          </w:tcPr>
          <w:p w:rsidR="006544D2" w:rsidRPr="008C693A" w:rsidRDefault="006544D2" w:rsidP="006544D2">
            <w:pPr>
              <w:jc w:val="both"/>
              <w:rPr>
                <w:rFonts w:eastAsia="Calibri"/>
                <w:sz w:val="20"/>
                <w:szCs w:val="20"/>
                <w:lang w:val="fr-CA"/>
              </w:rPr>
            </w:pPr>
            <w:r w:rsidRPr="008C693A">
              <w:rPr>
                <w:rFonts w:eastAsia="Calibri"/>
                <w:sz w:val="20"/>
                <w:szCs w:val="20"/>
                <w:lang w:val="fr-CA"/>
              </w:rPr>
              <w:t>Droit de la famille – Autorisation d’appel – La demande d’autorisation d’appel soulève-t-elle des questions d’importance pour le public?</w:t>
            </w:r>
          </w:p>
        </w:tc>
      </w:tr>
      <w:tr w:rsidR="006544D2" w:rsidRPr="008B79EB" w:rsidTr="006544D2">
        <w:tc>
          <w:tcPr>
            <w:tcW w:w="5000" w:type="pct"/>
            <w:gridSpan w:val="3"/>
          </w:tcPr>
          <w:p w:rsidR="006544D2" w:rsidRPr="008C693A" w:rsidRDefault="006544D2" w:rsidP="006544D2">
            <w:pPr>
              <w:jc w:val="both"/>
              <w:rPr>
                <w:rFonts w:eastAsia="Calibri"/>
                <w:sz w:val="20"/>
                <w:szCs w:val="20"/>
                <w:lang w:val="fr-CA"/>
              </w:rPr>
            </w:pPr>
          </w:p>
        </w:tc>
      </w:tr>
      <w:tr w:rsidR="006544D2" w:rsidRPr="008B79EB" w:rsidTr="006544D2">
        <w:tc>
          <w:tcPr>
            <w:tcW w:w="5000" w:type="pct"/>
            <w:gridSpan w:val="3"/>
          </w:tcPr>
          <w:p w:rsidR="006544D2" w:rsidRPr="008C693A" w:rsidRDefault="006544D2" w:rsidP="006544D2">
            <w:pPr>
              <w:jc w:val="both"/>
              <w:rPr>
                <w:rFonts w:eastAsia="Calibri"/>
                <w:sz w:val="20"/>
                <w:szCs w:val="20"/>
                <w:lang w:val="fr-CA"/>
              </w:rPr>
            </w:pPr>
            <w:r w:rsidRPr="008C693A">
              <w:rPr>
                <w:rFonts w:eastAsia="Calibri"/>
                <w:sz w:val="20"/>
                <w:szCs w:val="20"/>
                <w:lang w:val="fr-CA"/>
              </w:rPr>
              <w:t>La demanderesse allègue avoir été en union de fait avec l’intimé pendant cinq ans et demi, période au cours de laquelle ils auraient acquis une demeure et une entreprise.  Elle s’est adressée au Cour du Banc de la Reine (Division de la famille) pour obtenir le partage des biens après leur séparation.</w:t>
            </w:r>
          </w:p>
          <w:p w:rsidR="006544D2" w:rsidRPr="008C693A" w:rsidRDefault="006544D2" w:rsidP="006544D2">
            <w:pPr>
              <w:jc w:val="both"/>
              <w:rPr>
                <w:rFonts w:eastAsia="Calibri"/>
                <w:sz w:val="20"/>
                <w:szCs w:val="20"/>
                <w:lang w:val="fr-CA"/>
              </w:rPr>
            </w:pPr>
          </w:p>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La Cour du Banc de la Reine a conclu qu’il n’y avait pas eu d’union de fait entre la demanderesse et l’intimé, si bien que la demanderesse n’avait pas droit à une part des biens de l’intimé ou de leur plus-value. </w:t>
            </w:r>
          </w:p>
          <w:p w:rsidR="006544D2" w:rsidRPr="008C693A" w:rsidRDefault="006544D2" w:rsidP="006544D2">
            <w:pPr>
              <w:jc w:val="both"/>
              <w:rPr>
                <w:rFonts w:eastAsia="Calibri"/>
                <w:sz w:val="20"/>
                <w:szCs w:val="20"/>
                <w:lang w:val="fr-CA"/>
              </w:rPr>
            </w:pPr>
          </w:p>
          <w:p w:rsidR="006544D2" w:rsidRPr="008C693A" w:rsidRDefault="006544D2" w:rsidP="006544D2">
            <w:pPr>
              <w:jc w:val="both"/>
              <w:rPr>
                <w:rFonts w:eastAsia="Calibri"/>
                <w:sz w:val="20"/>
                <w:szCs w:val="20"/>
                <w:lang w:val="fr-CA"/>
              </w:rPr>
            </w:pPr>
            <w:r w:rsidRPr="008C693A">
              <w:rPr>
                <w:rFonts w:eastAsia="Calibri"/>
                <w:sz w:val="20"/>
                <w:szCs w:val="20"/>
                <w:lang w:val="fr-CA"/>
              </w:rPr>
              <w:t>La Cour d’appel a rejeté l’appel de la demanderesse.  Elle a conclu que la déférence était de mise à l’égard des conclusions du juge de première instance et que l’audience avait été équitable.  La Cour a conclu que la demanderesse n’avait pas établi que le juge de première instance avait commis des erreurs de fait ou de droit en tirant sa conclusion.</w:t>
            </w:r>
          </w:p>
          <w:p w:rsidR="006544D2" w:rsidRPr="008C693A" w:rsidRDefault="006544D2" w:rsidP="006544D2">
            <w:pPr>
              <w:jc w:val="both"/>
              <w:rPr>
                <w:rFonts w:eastAsia="Calibri"/>
                <w:sz w:val="20"/>
                <w:szCs w:val="20"/>
                <w:lang w:val="fr-CA"/>
              </w:rPr>
            </w:pPr>
          </w:p>
        </w:tc>
      </w:tr>
      <w:tr w:rsidR="006544D2" w:rsidRPr="00C622BC"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25 septembre 2013</w:t>
            </w:r>
          </w:p>
          <w:p w:rsidR="006544D2" w:rsidRPr="008C693A" w:rsidRDefault="006544D2" w:rsidP="006544D2">
            <w:pPr>
              <w:jc w:val="both"/>
              <w:rPr>
                <w:rFonts w:eastAsia="Calibri"/>
                <w:sz w:val="20"/>
                <w:szCs w:val="20"/>
                <w:lang w:val="fr-CA"/>
              </w:rPr>
            </w:pPr>
            <w:r w:rsidRPr="008C693A">
              <w:rPr>
                <w:rFonts w:eastAsia="Calibri"/>
                <w:sz w:val="20"/>
                <w:szCs w:val="20"/>
                <w:lang w:val="fr-CA"/>
              </w:rPr>
              <w:t>Cour du Banc de la Reine du Manitoba</w:t>
            </w:r>
          </w:p>
          <w:p w:rsidR="006544D2" w:rsidRPr="008C693A" w:rsidRDefault="006544D2" w:rsidP="006544D2">
            <w:pPr>
              <w:jc w:val="both"/>
              <w:rPr>
                <w:rFonts w:eastAsia="Calibri"/>
                <w:sz w:val="20"/>
                <w:szCs w:val="20"/>
                <w:lang w:val="fr-CA"/>
              </w:rPr>
            </w:pPr>
            <w:r w:rsidRPr="008C693A">
              <w:rPr>
                <w:rFonts w:eastAsia="Calibri"/>
                <w:sz w:val="20"/>
                <w:szCs w:val="20"/>
                <w:lang w:val="fr-CA"/>
              </w:rPr>
              <w:t>(Juge Aquila)</w:t>
            </w:r>
          </w:p>
          <w:p w:rsidR="006544D2" w:rsidRPr="008C693A" w:rsidRDefault="006544D2" w:rsidP="006544D2">
            <w:pPr>
              <w:jc w:val="both"/>
              <w:rPr>
                <w:rFonts w:eastAsia="Calibri"/>
                <w:sz w:val="20"/>
                <w:szCs w:val="20"/>
                <w:lang w:val="fr-CA"/>
              </w:rPr>
            </w:pP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Rejet de la requête en partage des biens présentée par la demanderesse</w:t>
            </w:r>
          </w:p>
          <w:p w:rsidR="006544D2" w:rsidRPr="008C693A" w:rsidRDefault="006544D2" w:rsidP="006544D2">
            <w:pPr>
              <w:jc w:val="both"/>
              <w:rPr>
                <w:rFonts w:eastAsia="Calibri"/>
                <w:sz w:val="20"/>
                <w:szCs w:val="20"/>
                <w:lang w:val="fr-CA"/>
              </w:rPr>
            </w:pPr>
          </w:p>
        </w:tc>
      </w:tr>
      <w:tr w:rsidR="006544D2" w:rsidRPr="008C693A"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4 juin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d’appel du Manitoba</w:t>
            </w:r>
          </w:p>
          <w:p w:rsidR="006544D2" w:rsidRPr="008C693A" w:rsidRDefault="006544D2" w:rsidP="006544D2">
            <w:pPr>
              <w:jc w:val="both"/>
              <w:rPr>
                <w:rFonts w:eastAsia="Calibri"/>
                <w:sz w:val="20"/>
                <w:szCs w:val="20"/>
                <w:lang w:val="fr-CA"/>
              </w:rPr>
            </w:pPr>
            <w:r w:rsidRPr="008C693A">
              <w:rPr>
                <w:rFonts w:eastAsia="Calibri"/>
                <w:sz w:val="20"/>
                <w:szCs w:val="20"/>
                <w:lang w:val="fr-CA"/>
              </w:rPr>
              <w:t>(Juges Hamilton, Cameron et Burnett)</w:t>
            </w:r>
          </w:p>
          <w:p w:rsidR="006544D2" w:rsidRPr="008C693A" w:rsidRDefault="005A3634" w:rsidP="006544D2">
            <w:pPr>
              <w:jc w:val="both"/>
              <w:rPr>
                <w:rFonts w:eastAsia="Calibri"/>
                <w:sz w:val="20"/>
                <w:szCs w:val="20"/>
                <w:lang w:val="fr-CA"/>
              </w:rPr>
            </w:pPr>
            <w:hyperlink r:id="rId29" w:history="1">
              <w:r w:rsidR="006544D2" w:rsidRPr="008C693A">
                <w:rPr>
                  <w:rFonts w:eastAsia="Calibri"/>
                  <w:color w:val="0000FF"/>
                  <w:sz w:val="20"/>
                  <w:szCs w:val="20"/>
                  <w:u w:val="single"/>
                  <w:lang w:val="fr-CA"/>
                </w:rPr>
                <w:t>2014 MBCA 56</w:t>
              </w:r>
            </w:hyperlink>
          </w:p>
          <w:p w:rsidR="006544D2" w:rsidRPr="008C693A" w:rsidRDefault="006544D2" w:rsidP="006544D2">
            <w:pPr>
              <w:jc w:val="both"/>
              <w:rPr>
                <w:rFonts w:eastAsia="Calibri"/>
                <w:sz w:val="20"/>
                <w:szCs w:val="20"/>
                <w:lang w:val="fr-CA"/>
              </w:rPr>
            </w:pP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Rejet de l’appel</w:t>
            </w:r>
          </w:p>
          <w:p w:rsidR="006544D2" w:rsidRPr="008C693A" w:rsidRDefault="006544D2" w:rsidP="006544D2">
            <w:pPr>
              <w:jc w:val="both"/>
              <w:rPr>
                <w:rFonts w:eastAsia="Calibri"/>
                <w:sz w:val="20"/>
                <w:szCs w:val="20"/>
                <w:lang w:val="fr-CA"/>
              </w:rPr>
            </w:pPr>
          </w:p>
        </w:tc>
      </w:tr>
      <w:tr w:rsidR="006544D2" w:rsidRPr="008B79EB"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5 août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suprême du Canada</w:t>
            </w: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Dépôt de la demande d’autorisation d’appel</w:t>
            </w:r>
          </w:p>
          <w:p w:rsidR="006544D2" w:rsidRPr="008C693A" w:rsidRDefault="006544D2" w:rsidP="006544D2">
            <w:pPr>
              <w:jc w:val="both"/>
              <w:rPr>
                <w:rFonts w:eastAsia="Calibri"/>
                <w:sz w:val="20"/>
                <w:szCs w:val="20"/>
                <w:lang w:val="fr-CA"/>
              </w:rPr>
            </w:pPr>
          </w:p>
        </w:tc>
      </w:tr>
    </w:tbl>
    <w:p w:rsidR="007934D0" w:rsidRPr="006544D2" w:rsidRDefault="007934D0" w:rsidP="007934D0">
      <w:pPr>
        <w:rPr>
          <w:sz w:val="20"/>
          <w:szCs w:val="20"/>
          <w:lang w:val="fr-CA"/>
        </w:rPr>
      </w:pPr>
    </w:p>
    <w:p w:rsidR="007934D0" w:rsidRDefault="005A3634" w:rsidP="007934D0">
      <w:pPr>
        <w:rPr>
          <w:sz w:val="20"/>
          <w:szCs w:val="20"/>
          <w:lang w:val="fr-CA"/>
        </w:rPr>
      </w:pPr>
      <w:r>
        <w:rPr>
          <w:sz w:val="20"/>
          <w:szCs w:val="20"/>
          <w:lang w:val="fr-CA"/>
        </w:rPr>
        <w:pict>
          <v:rect id="_x0000_i1052" style="width:2in;height:1pt" o:hrpct="0" o:hralign="center" o:hrstd="t" o:hrnoshade="t" o:hr="t" fillcolor="black [3213]" stroked="f"/>
        </w:pict>
      </w:r>
    </w:p>
    <w:p w:rsidR="007934D0" w:rsidRDefault="007934D0" w:rsidP="007934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976F4" w:rsidRPr="008B79EB" w:rsidTr="006544D2">
        <w:trPr>
          <w:cantSplit/>
        </w:trPr>
        <w:tc>
          <w:tcPr>
            <w:tcW w:w="1458" w:type="dxa"/>
          </w:tcPr>
          <w:p w:rsidR="005976F4" w:rsidRPr="00E62B49" w:rsidRDefault="005976F4" w:rsidP="006544D2">
            <w:pPr>
              <w:rPr>
                <w:sz w:val="20"/>
                <w:szCs w:val="20"/>
              </w:rPr>
            </w:pPr>
            <w:r w:rsidRPr="00E62B49">
              <w:rPr>
                <w:rStyle w:val="SCCFileNumberChar"/>
                <w:sz w:val="20"/>
                <w:szCs w:val="20"/>
              </w:rPr>
              <w:t>36024</w:t>
            </w:r>
          </w:p>
          <w:p w:rsidR="005976F4" w:rsidRPr="00E62B49" w:rsidRDefault="005976F4" w:rsidP="006544D2">
            <w:pPr>
              <w:rPr>
                <w:b/>
                <w:sz w:val="20"/>
                <w:szCs w:val="20"/>
                <w:lang w:val="fr-CA"/>
              </w:rPr>
            </w:pPr>
          </w:p>
        </w:tc>
        <w:tc>
          <w:tcPr>
            <w:tcW w:w="8118" w:type="dxa"/>
          </w:tcPr>
          <w:p w:rsidR="005976F4" w:rsidRPr="00E62B49" w:rsidRDefault="005976F4" w:rsidP="006544D2">
            <w:pPr>
              <w:jc w:val="both"/>
              <w:rPr>
                <w:sz w:val="20"/>
                <w:szCs w:val="20"/>
                <w:lang w:val="fr-CA"/>
              </w:rPr>
            </w:pPr>
            <w:r w:rsidRPr="00E62B49">
              <w:rPr>
                <w:rStyle w:val="SCCLsocChar"/>
                <w:sz w:val="20"/>
                <w:szCs w:val="20"/>
              </w:rPr>
              <w:t>Provigo Québec inc. c. Syndicat des travailleurs et travailleuses de Provigo, Entrepôt Armand-Viau</w:t>
            </w:r>
            <w:r w:rsidR="002A5A73">
              <w:rPr>
                <w:rStyle w:val="SCCLsocChar"/>
                <w:sz w:val="20"/>
                <w:szCs w:val="20"/>
              </w:rPr>
              <w:t xml:space="preserve"> et</w:t>
            </w:r>
            <w:r w:rsidRPr="00E62B49">
              <w:rPr>
                <w:rStyle w:val="SCCLsocChar"/>
                <w:sz w:val="20"/>
                <w:szCs w:val="20"/>
              </w:rPr>
              <w:t xml:space="preserve"> Côme Poulin, ès qualités d</w:t>
            </w:r>
            <w:r w:rsidR="002A5A73">
              <w:rPr>
                <w:rStyle w:val="SCCLsocChar"/>
                <w:sz w:val="20"/>
                <w:szCs w:val="20"/>
              </w:rPr>
              <w:t>’</w:t>
            </w:r>
            <w:r w:rsidRPr="00E62B49">
              <w:rPr>
                <w:rStyle w:val="SCCLsocChar"/>
                <w:sz w:val="20"/>
                <w:szCs w:val="20"/>
              </w:rPr>
              <w:t>arbitre de griefs</w:t>
            </w:r>
            <w:r w:rsidRPr="00E62B49">
              <w:rPr>
                <w:sz w:val="20"/>
                <w:szCs w:val="20"/>
                <w:lang w:val="fr-CA"/>
              </w:rPr>
              <w:t xml:space="preserve"> (Qc) (Civile) (Autorisation)</w:t>
            </w:r>
          </w:p>
          <w:p w:rsidR="005976F4" w:rsidRPr="00E62B49" w:rsidRDefault="005976F4" w:rsidP="006544D2">
            <w:pPr>
              <w:jc w:val="both"/>
              <w:rPr>
                <w:sz w:val="20"/>
                <w:szCs w:val="20"/>
                <w:lang w:val="fr-CA"/>
              </w:rPr>
            </w:pPr>
          </w:p>
        </w:tc>
      </w:tr>
      <w:tr w:rsidR="005976F4" w:rsidRPr="008B79EB" w:rsidTr="006544D2">
        <w:trPr>
          <w:cantSplit/>
        </w:trPr>
        <w:tc>
          <w:tcPr>
            <w:tcW w:w="1458" w:type="dxa"/>
          </w:tcPr>
          <w:p w:rsidR="005976F4" w:rsidRPr="00E62B49" w:rsidRDefault="005976F4" w:rsidP="006544D2">
            <w:pPr>
              <w:rPr>
                <w:sz w:val="20"/>
                <w:szCs w:val="20"/>
              </w:rPr>
            </w:pPr>
            <w:r w:rsidRPr="00E62B49">
              <w:rPr>
                <w:sz w:val="20"/>
                <w:szCs w:val="20"/>
              </w:rPr>
              <w:t>Coram :</w:t>
            </w:r>
          </w:p>
        </w:tc>
        <w:tc>
          <w:tcPr>
            <w:tcW w:w="8118" w:type="dxa"/>
          </w:tcPr>
          <w:p w:rsidR="005976F4" w:rsidRPr="00E62B49" w:rsidRDefault="005976F4" w:rsidP="006544D2">
            <w:pPr>
              <w:rPr>
                <w:sz w:val="20"/>
                <w:szCs w:val="20"/>
                <w:lang w:val="fr-CA"/>
              </w:rPr>
            </w:pPr>
            <w:r w:rsidRPr="00E62B49">
              <w:rPr>
                <w:rStyle w:val="SCCCoramChar"/>
                <w:sz w:val="20"/>
                <w:szCs w:val="20"/>
              </w:rPr>
              <w:t>La juge en chef McLachlin et les juges Wagner et Gascon</w:t>
            </w:r>
          </w:p>
          <w:p w:rsidR="005976F4" w:rsidRPr="00E62B49" w:rsidRDefault="005976F4" w:rsidP="006544D2">
            <w:pPr>
              <w:rPr>
                <w:sz w:val="20"/>
                <w:szCs w:val="20"/>
                <w:u w:val="single"/>
                <w:lang w:val="fr-CA"/>
              </w:rPr>
            </w:pPr>
          </w:p>
        </w:tc>
      </w:tr>
      <w:tr w:rsidR="005976F4" w:rsidRPr="00E62B49" w:rsidTr="006544D2">
        <w:trPr>
          <w:cantSplit/>
        </w:trPr>
        <w:tc>
          <w:tcPr>
            <w:tcW w:w="9576" w:type="dxa"/>
            <w:gridSpan w:val="2"/>
          </w:tcPr>
          <w:p w:rsidR="005976F4" w:rsidRPr="00E62B49" w:rsidRDefault="005976F4" w:rsidP="006544D2">
            <w:pPr>
              <w:pStyle w:val="SCCShortJudgment"/>
              <w:rPr>
                <w:szCs w:val="20"/>
                <w:lang w:val="fr-CA"/>
              </w:rPr>
            </w:pPr>
            <w:r w:rsidRPr="00E62B49">
              <w:rPr>
                <w:szCs w:val="20"/>
                <w:lang w:val="fr-CA"/>
              </w:rPr>
              <w:lastRenderedPageBreak/>
              <w:t>La demande d’autorisation d’appel de l’arrêt de la Cour d’appel du Québec (Québec), numéro 200-09-007711-127, 2014 QCCA 1106, daté du 29 mai 2014, est rejetée avec dépens.</w:t>
            </w:r>
          </w:p>
          <w:p w:rsidR="005976F4" w:rsidRPr="00E62B49" w:rsidRDefault="005976F4" w:rsidP="006544D2">
            <w:pPr>
              <w:pStyle w:val="SCCShortJudgment"/>
              <w:ind w:firstLine="0"/>
              <w:rPr>
                <w:szCs w:val="20"/>
                <w:lang w:val="fr-CA"/>
              </w:rPr>
            </w:pPr>
          </w:p>
          <w:p w:rsidR="005976F4" w:rsidRPr="00E62B49" w:rsidRDefault="005976F4" w:rsidP="006544D2">
            <w:pPr>
              <w:pStyle w:val="SCCShortJudgment"/>
              <w:rPr>
                <w:szCs w:val="20"/>
              </w:rPr>
            </w:pPr>
            <w:r w:rsidRPr="00E62B49">
              <w:rPr>
                <w:szCs w:val="20"/>
              </w:rPr>
              <w:t>The application for leave to appeal from the judgment of the Court of Appeal of Quebec (Québec), Number 200-09-007711-127, 2014 QCCA 1106, dated May 29, 2014, is dismissed with costs.</w:t>
            </w:r>
          </w:p>
        </w:tc>
      </w:tr>
    </w:tbl>
    <w:p w:rsidR="007934D0" w:rsidRDefault="007934D0" w:rsidP="007934D0">
      <w:pPr>
        <w:rPr>
          <w:sz w:val="20"/>
          <w:szCs w:val="20"/>
        </w:rPr>
      </w:pPr>
    </w:p>
    <w:p w:rsidR="007934D0" w:rsidRPr="001B157C" w:rsidRDefault="007934D0" w:rsidP="007934D0">
      <w:pPr>
        <w:rPr>
          <w:sz w:val="20"/>
          <w:szCs w:val="20"/>
          <w:u w:val="single"/>
        </w:rPr>
      </w:pPr>
      <w:r w:rsidRPr="001B157C">
        <w:rPr>
          <w:sz w:val="20"/>
          <w:szCs w:val="20"/>
          <w:u w:val="single"/>
        </w:rPr>
        <w:t>CASE SUMMARY</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C693A" w:rsidTr="006544D2">
        <w:tc>
          <w:tcPr>
            <w:tcW w:w="5000" w:type="pct"/>
            <w:gridSpan w:val="3"/>
          </w:tcPr>
          <w:p w:rsidR="006544D2" w:rsidRPr="008C693A" w:rsidRDefault="006544D2" w:rsidP="006544D2">
            <w:pPr>
              <w:jc w:val="both"/>
              <w:rPr>
                <w:rFonts w:eastAsia="Calibri"/>
                <w:sz w:val="20"/>
                <w:szCs w:val="20"/>
              </w:rPr>
            </w:pPr>
            <w:r w:rsidRPr="008C693A">
              <w:rPr>
                <w:rFonts w:eastAsia="Calibri"/>
                <w:sz w:val="20"/>
                <w:szCs w:val="20"/>
              </w:rPr>
              <w:t xml:space="preserve">Labour relations – Grievances – Jurisdiction of arbitrator – Judicial review – Whether announcement by employer that it will be closing its establishment has effect of automatically terminating lockout imposed in conformity with </w:t>
            </w:r>
            <w:r w:rsidRPr="008C693A">
              <w:rPr>
                <w:rFonts w:eastAsia="Calibri"/>
                <w:i/>
                <w:sz w:val="20"/>
                <w:szCs w:val="20"/>
              </w:rPr>
              <w:t xml:space="preserve">Labour </w:t>
            </w:r>
            <w:r w:rsidRPr="008C693A">
              <w:rPr>
                <w:rFonts w:eastAsia="Calibri"/>
                <w:i/>
                <w:iCs/>
                <w:sz w:val="20"/>
                <w:szCs w:val="20"/>
              </w:rPr>
              <w:t>Code</w:t>
            </w:r>
            <w:r w:rsidRPr="008C693A">
              <w:rPr>
                <w:rFonts w:eastAsia="Calibri"/>
                <w:iCs/>
                <w:sz w:val="20"/>
                <w:szCs w:val="20"/>
              </w:rPr>
              <w:t xml:space="preserve">, </w:t>
            </w:r>
            <w:r w:rsidRPr="008C693A">
              <w:rPr>
                <w:rFonts w:eastAsia="Calibri"/>
                <w:sz w:val="20"/>
                <w:szCs w:val="20"/>
              </w:rPr>
              <w:t>CQLR, c. C-27 – Whether collective agreement is source of rights and obligations while right to strike or to lock out being exercised – Whether, where grievance arbitrator has interpreted statutory provisions that define bases of collective labour relations system in order to rule on very existence of his or her power to resolve dispute, there true question of jurisdiction requiring application of standard of review of correctness.</w:t>
            </w:r>
          </w:p>
        </w:tc>
      </w:tr>
      <w:tr w:rsidR="006544D2" w:rsidRPr="008C693A" w:rsidTr="006544D2">
        <w:tc>
          <w:tcPr>
            <w:tcW w:w="5000" w:type="pct"/>
            <w:gridSpan w:val="3"/>
          </w:tcPr>
          <w:p w:rsidR="006544D2" w:rsidRPr="008C693A" w:rsidRDefault="006544D2" w:rsidP="006544D2">
            <w:pPr>
              <w:jc w:val="both"/>
              <w:rPr>
                <w:rFonts w:eastAsia="Calibri"/>
                <w:sz w:val="20"/>
                <w:szCs w:val="20"/>
              </w:rPr>
            </w:pPr>
          </w:p>
        </w:tc>
      </w:tr>
      <w:tr w:rsidR="006544D2" w:rsidRPr="008C693A" w:rsidTr="006544D2">
        <w:tc>
          <w:tcPr>
            <w:tcW w:w="5000" w:type="pct"/>
            <w:gridSpan w:val="3"/>
          </w:tcPr>
          <w:p w:rsidR="006544D2" w:rsidRPr="008C693A" w:rsidRDefault="006544D2" w:rsidP="006544D2">
            <w:pPr>
              <w:autoSpaceDE w:val="0"/>
              <w:autoSpaceDN w:val="0"/>
              <w:adjustRightInd w:val="0"/>
              <w:jc w:val="both"/>
              <w:rPr>
                <w:rFonts w:eastAsia="Calibri"/>
                <w:sz w:val="20"/>
                <w:szCs w:val="20"/>
              </w:rPr>
            </w:pPr>
            <w:r w:rsidRPr="008C693A">
              <w:rPr>
                <w:rFonts w:eastAsia="Calibri"/>
                <w:sz w:val="20"/>
                <w:szCs w:val="20"/>
              </w:rPr>
              <w:t>The applicant is a food distribution and retail business, and 450 of its employees were represented by the respondent Syndicat des travailleurs et travailleuses de Provigo, Entrepôt Armand-Viau (“the Syndicat”).  The two parties were bound by a collective agreement for the period from February 2, 2005 to March 31, 2010, but were unable to agree on the renewal of that agreement.  The agreement contained the following clause:  [</w:t>
            </w:r>
            <w:r w:rsidRPr="008C693A">
              <w:rPr>
                <w:rFonts w:eastAsia="Calibri"/>
                <w:smallCaps/>
                <w:sz w:val="20"/>
                <w:szCs w:val="20"/>
              </w:rPr>
              <w:t>translation</w:t>
            </w:r>
            <w:r w:rsidRPr="008C693A">
              <w:rPr>
                <w:rFonts w:eastAsia="Calibri"/>
                <w:sz w:val="20"/>
                <w:szCs w:val="20"/>
              </w:rPr>
              <w:t>] “28.02  This agreement, upon expiring, becomes an interim agreement subject to the rights of the parties until the signing of a new collective agreement.”</w:t>
            </w:r>
          </w:p>
          <w:p w:rsidR="006544D2" w:rsidRPr="008C693A" w:rsidRDefault="006544D2" w:rsidP="006544D2">
            <w:pPr>
              <w:autoSpaceDE w:val="0"/>
              <w:autoSpaceDN w:val="0"/>
              <w:adjustRightInd w:val="0"/>
              <w:jc w:val="both"/>
              <w:rPr>
                <w:rFonts w:eastAsia="Calibri"/>
                <w:sz w:val="20"/>
                <w:szCs w:val="20"/>
              </w:rPr>
            </w:pPr>
          </w:p>
          <w:p w:rsidR="006544D2" w:rsidRPr="008C693A" w:rsidRDefault="006544D2" w:rsidP="006544D2">
            <w:pPr>
              <w:autoSpaceDE w:val="0"/>
              <w:autoSpaceDN w:val="0"/>
              <w:adjustRightInd w:val="0"/>
              <w:jc w:val="both"/>
              <w:rPr>
                <w:rFonts w:eastAsia="Calibri"/>
                <w:sz w:val="20"/>
                <w:szCs w:val="20"/>
              </w:rPr>
            </w:pPr>
            <w:r w:rsidRPr="008C693A">
              <w:rPr>
                <w:rFonts w:eastAsia="Calibri"/>
                <w:sz w:val="20"/>
                <w:szCs w:val="20"/>
              </w:rPr>
              <w:t>The following chain of events then took place.  The applicant exercised its right to lock the employees out on April 2, 2010.  The Syndicat called a strike against the applicant on April 8, 2010.  On April 27, 2010, the applicant sent a notice of termination of employment to all the employees in question, and a notice of collective dismissal to the Minister of Employment and Social Solidarity.  The Syndicat sent a return-to-work notice on May 12, 2010, after which it filed grievances on May 18 and June 7, 2010.  On June 22, 2010, the applicant closed the establishment in question.</w:t>
            </w:r>
          </w:p>
          <w:p w:rsidR="006544D2" w:rsidRPr="008C693A" w:rsidRDefault="006544D2" w:rsidP="006544D2">
            <w:pPr>
              <w:autoSpaceDE w:val="0"/>
              <w:autoSpaceDN w:val="0"/>
              <w:adjustRightInd w:val="0"/>
              <w:jc w:val="both"/>
              <w:rPr>
                <w:rFonts w:eastAsia="Calibri"/>
                <w:sz w:val="20"/>
                <w:szCs w:val="20"/>
              </w:rPr>
            </w:pPr>
          </w:p>
          <w:p w:rsidR="006544D2" w:rsidRPr="008C693A" w:rsidRDefault="006544D2" w:rsidP="006544D2">
            <w:pPr>
              <w:jc w:val="both"/>
              <w:rPr>
                <w:rFonts w:eastAsia="Calibri"/>
                <w:sz w:val="20"/>
                <w:szCs w:val="20"/>
              </w:rPr>
            </w:pPr>
            <w:r w:rsidRPr="008C693A">
              <w:rPr>
                <w:rFonts w:eastAsia="Calibri"/>
                <w:sz w:val="20"/>
                <w:szCs w:val="20"/>
              </w:rPr>
              <w:t>The grievances were submitted to arbitrator Côme Poulin, after which the applicant filed a preliminary objection to the arbitrator’s jurisdiction.  The basis for the objection was that the collective agreement between the parties had ceased to be in effect as of the start of the lockout, and that the arbitrator consequently lacked jurisdiction over the Syndicat’s grievances.  The arbitrator concluded that the notice of collective dismissal and the notice of termination constituted a unilateral act on the applicant’s part.  This unilateral act had the effect of putting an end to the lockout, which meant that the provisions of the collective agreement were applicable by virtue of the maintenance clause (art. 28.02 reproduced above).  The arbitrator accordingly held that he had jurisdiction over the grievances.</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April 16, 2012</w:t>
            </w:r>
          </w:p>
          <w:p w:rsidR="006544D2" w:rsidRPr="008C693A" w:rsidRDefault="006544D2" w:rsidP="006544D2">
            <w:pPr>
              <w:jc w:val="both"/>
              <w:rPr>
                <w:rFonts w:eastAsia="Calibri"/>
                <w:sz w:val="20"/>
                <w:szCs w:val="20"/>
              </w:rPr>
            </w:pPr>
            <w:r w:rsidRPr="008C693A">
              <w:rPr>
                <w:rFonts w:eastAsia="Calibri"/>
                <w:sz w:val="20"/>
                <w:szCs w:val="20"/>
              </w:rPr>
              <w:t>Quebec Superior Court</w:t>
            </w:r>
          </w:p>
          <w:p w:rsidR="006544D2" w:rsidRPr="008C693A" w:rsidRDefault="006544D2" w:rsidP="006544D2">
            <w:pPr>
              <w:jc w:val="both"/>
              <w:rPr>
                <w:rFonts w:eastAsia="Calibri"/>
                <w:sz w:val="20"/>
                <w:szCs w:val="20"/>
              </w:rPr>
            </w:pPr>
            <w:r w:rsidRPr="008C693A">
              <w:rPr>
                <w:rFonts w:eastAsia="Calibri"/>
                <w:sz w:val="20"/>
                <w:szCs w:val="20"/>
              </w:rPr>
              <w:t>(Caron J.)</w:t>
            </w:r>
          </w:p>
          <w:p w:rsidR="006544D2" w:rsidRPr="008C693A" w:rsidRDefault="006544D2" w:rsidP="006544D2">
            <w:pPr>
              <w:jc w:val="both"/>
              <w:rPr>
                <w:rFonts w:eastAsia="Calibri"/>
                <w:sz w:val="20"/>
                <w:szCs w:val="20"/>
              </w:rPr>
            </w:pPr>
            <w:r w:rsidRPr="008C693A">
              <w:rPr>
                <w:rFonts w:eastAsia="Calibri"/>
                <w:sz w:val="20"/>
                <w:szCs w:val="20"/>
              </w:rPr>
              <w:t>No. 200-17-014859-110</w:t>
            </w:r>
          </w:p>
          <w:p w:rsidR="006544D2" w:rsidRPr="008C693A" w:rsidRDefault="005A3634" w:rsidP="006544D2">
            <w:pPr>
              <w:jc w:val="both"/>
              <w:rPr>
                <w:rFonts w:eastAsia="Calibri"/>
                <w:sz w:val="20"/>
                <w:szCs w:val="20"/>
              </w:rPr>
            </w:pPr>
            <w:hyperlink r:id="rId30" w:history="1">
              <w:r w:rsidR="006544D2" w:rsidRPr="008C693A">
                <w:rPr>
                  <w:rFonts w:eastAsia="Calibri"/>
                  <w:color w:val="0000FF"/>
                  <w:sz w:val="20"/>
                  <w:szCs w:val="20"/>
                  <w:u w:val="single"/>
                </w:rPr>
                <w:t>2012 QCCS 1564</w:t>
              </w:r>
            </w:hyperlink>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Motion for judicial review dismissed</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May 29, 2014</w:t>
            </w:r>
          </w:p>
          <w:p w:rsidR="006544D2" w:rsidRPr="008C693A" w:rsidRDefault="006544D2" w:rsidP="006544D2">
            <w:pPr>
              <w:jc w:val="both"/>
              <w:rPr>
                <w:rFonts w:eastAsia="Calibri"/>
                <w:sz w:val="20"/>
                <w:szCs w:val="20"/>
              </w:rPr>
            </w:pPr>
            <w:r w:rsidRPr="008C693A">
              <w:rPr>
                <w:rFonts w:eastAsia="Calibri"/>
                <w:sz w:val="20"/>
                <w:szCs w:val="20"/>
              </w:rPr>
              <w:t>Quebec Court of Appeal (Québec)</w:t>
            </w:r>
          </w:p>
          <w:p w:rsidR="006544D2" w:rsidRPr="008C693A" w:rsidRDefault="006544D2" w:rsidP="006544D2">
            <w:pPr>
              <w:jc w:val="both"/>
              <w:rPr>
                <w:rFonts w:eastAsia="Calibri"/>
                <w:sz w:val="20"/>
                <w:szCs w:val="20"/>
              </w:rPr>
            </w:pPr>
            <w:r w:rsidRPr="008C693A">
              <w:rPr>
                <w:rFonts w:eastAsia="Calibri"/>
                <w:sz w:val="20"/>
                <w:szCs w:val="20"/>
              </w:rPr>
              <w:t>(Rochette, Vézina and Soldevila JJ.A.)</w:t>
            </w:r>
          </w:p>
          <w:p w:rsidR="006544D2" w:rsidRPr="008C693A" w:rsidRDefault="006544D2" w:rsidP="006544D2">
            <w:pPr>
              <w:jc w:val="both"/>
              <w:rPr>
                <w:rFonts w:eastAsia="Calibri"/>
                <w:sz w:val="20"/>
                <w:szCs w:val="20"/>
              </w:rPr>
            </w:pPr>
            <w:r w:rsidRPr="008C693A">
              <w:rPr>
                <w:rFonts w:eastAsia="Calibri"/>
                <w:sz w:val="20"/>
                <w:szCs w:val="20"/>
              </w:rPr>
              <w:t xml:space="preserve">No. </w:t>
            </w:r>
            <w:bookmarkStart w:id="3" w:name="NoDossier"/>
            <w:r w:rsidRPr="008C693A">
              <w:rPr>
                <w:rFonts w:eastAsia="Calibri"/>
                <w:sz w:val="20"/>
                <w:szCs w:val="20"/>
              </w:rPr>
              <w:t>200-09-007711-127</w:t>
            </w:r>
            <w:bookmarkEnd w:id="3"/>
          </w:p>
          <w:p w:rsidR="006544D2" w:rsidRPr="008C693A" w:rsidRDefault="005A3634" w:rsidP="006544D2">
            <w:pPr>
              <w:jc w:val="both"/>
              <w:rPr>
                <w:rFonts w:eastAsia="Calibri"/>
                <w:sz w:val="20"/>
                <w:szCs w:val="20"/>
              </w:rPr>
            </w:pPr>
            <w:hyperlink r:id="rId31" w:history="1">
              <w:r w:rsidR="006544D2" w:rsidRPr="008C693A">
                <w:rPr>
                  <w:rFonts w:eastAsia="Calibri"/>
                  <w:color w:val="0000FF"/>
                  <w:sz w:val="20"/>
                  <w:szCs w:val="20"/>
                  <w:u w:val="single"/>
                </w:rPr>
                <w:t>2014 QCCA 1106</w:t>
              </w:r>
            </w:hyperlink>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Appeal dismissed</w:t>
            </w:r>
          </w:p>
          <w:p w:rsidR="006544D2" w:rsidRPr="008C693A" w:rsidRDefault="006544D2" w:rsidP="006544D2">
            <w:pPr>
              <w:jc w:val="both"/>
              <w:rPr>
                <w:rFonts w:eastAsia="Calibri"/>
                <w:sz w:val="20"/>
                <w:szCs w:val="20"/>
              </w:rPr>
            </w:pPr>
          </w:p>
        </w:tc>
      </w:tr>
    </w:tbl>
    <w:p w:rsidR="005E636C" w:rsidRDefault="005E636C">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C693A" w:rsidTr="005E636C">
        <w:trPr>
          <w:cantSplit/>
        </w:trPr>
        <w:tc>
          <w:tcPr>
            <w:tcW w:w="2427" w:type="pct"/>
          </w:tcPr>
          <w:p w:rsidR="006544D2" w:rsidRPr="008C693A" w:rsidRDefault="006544D2" w:rsidP="006544D2">
            <w:pPr>
              <w:jc w:val="both"/>
              <w:rPr>
                <w:rFonts w:eastAsia="Calibri"/>
                <w:sz w:val="20"/>
                <w:szCs w:val="20"/>
              </w:rPr>
            </w:pPr>
            <w:r w:rsidRPr="008C693A">
              <w:rPr>
                <w:rFonts w:eastAsia="Calibri"/>
                <w:sz w:val="20"/>
                <w:szCs w:val="20"/>
              </w:rPr>
              <w:lastRenderedPageBreak/>
              <w:t>August 27, 2014</w:t>
            </w:r>
          </w:p>
          <w:p w:rsidR="006544D2" w:rsidRPr="008C693A" w:rsidRDefault="006544D2" w:rsidP="006544D2">
            <w:pPr>
              <w:jc w:val="both"/>
              <w:rPr>
                <w:rFonts w:eastAsia="Calibri"/>
                <w:sz w:val="20"/>
                <w:szCs w:val="20"/>
              </w:rPr>
            </w:pPr>
            <w:r w:rsidRPr="008C693A">
              <w:rPr>
                <w:rFonts w:eastAsia="Calibri"/>
                <w:sz w:val="20"/>
                <w:szCs w:val="20"/>
              </w:rPr>
              <w:t>Supreme Court of Canada</w:t>
            </w: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Application for leave to appeal filed</w:t>
            </w:r>
          </w:p>
        </w:tc>
      </w:tr>
    </w:tbl>
    <w:p w:rsidR="007934D0" w:rsidRDefault="007934D0" w:rsidP="007934D0">
      <w:pPr>
        <w:rPr>
          <w:sz w:val="20"/>
          <w:szCs w:val="20"/>
        </w:rPr>
      </w:pPr>
    </w:p>
    <w:p w:rsidR="007934D0" w:rsidRPr="00C50A5C" w:rsidRDefault="005A3634" w:rsidP="007934D0">
      <w:pPr>
        <w:rPr>
          <w:sz w:val="20"/>
          <w:szCs w:val="20"/>
        </w:rPr>
      </w:pPr>
      <w:r>
        <w:rPr>
          <w:sz w:val="20"/>
          <w:szCs w:val="20"/>
          <w:lang w:val="fr-CA"/>
        </w:rPr>
        <w:pict>
          <v:rect id="_x0000_i1053" style="width:2in;height:1pt" o:hrpct="0" o:hralign="center" o:hrstd="t" o:hrnoshade="t" o:hr="t" fillcolor="black [3213]" stroked="f"/>
        </w:pict>
      </w:r>
    </w:p>
    <w:p w:rsidR="007934D0" w:rsidRDefault="007934D0" w:rsidP="007934D0">
      <w:pPr>
        <w:rPr>
          <w:sz w:val="20"/>
          <w:szCs w:val="20"/>
        </w:rPr>
      </w:pPr>
    </w:p>
    <w:p w:rsidR="007934D0" w:rsidRPr="001B157C" w:rsidRDefault="007934D0" w:rsidP="007934D0">
      <w:pPr>
        <w:rPr>
          <w:sz w:val="20"/>
          <w:szCs w:val="20"/>
          <w:u w:val="single"/>
          <w:lang w:val="fr-CA"/>
        </w:rPr>
      </w:pPr>
      <w:r w:rsidRPr="001B157C">
        <w:rPr>
          <w:sz w:val="20"/>
          <w:szCs w:val="20"/>
          <w:u w:val="single"/>
          <w:lang w:val="fr-CA"/>
        </w:rPr>
        <w:t>RÉSUMÉ DE L’AFFAIRE</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B79EB" w:rsidTr="006544D2">
        <w:tc>
          <w:tcPr>
            <w:tcW w:w="5000" w:type="pct"/>
            <w:gridSpan w:val="3"/>
          </w:tcPr>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Relations de travail – Griefs – Compétence de l’arbitre – Révision judiciaire – L’annonce par un employeur de la fermeture éventuelle de son établissement a-t-elle pour effet de mettre fin automatiquement au lock-out déclenché conformément au </w:t>
            </w:r>
            <w:r w:rsidRPr="008C693A">
              <w:rPr>
                <w:rFonts w:eastAsia="Calibri"/>
                <w:i/>
                <w:iCs/>
                <w:sz w:val="20"/>
                <w:szCs w:val="20"/>
                <w:lang w:val="fr-CA"/>
              </w:rPr>
              <w:t>Code du travail</w:t>
            </w:r>
            <w:r w:rsidRPr="008C693A">
              <w:rPr>
                <w:rFonts w:eastAsia="Calibri"/>
                <w:iCs/>
                <w:sz w:val="20"/>
                <w:szCs w:val="20"/>
                <w:lang w:val="fr-CA"/>
              </w:rPr>
              <w:t xml:space="preserve">, </w:t>
            </w:r>
            <w:r w:rsidRPr="008C693A">
              <w:rPr>
                <w:rFonts w:eastAsia="Calibri"/>
                <w:sz w:val="20"/>
                <w:szCs w:val="20"/>
                <w:lang w:val="fr-CA"/>
              </w:rPr>
              <w:t>RLRQ, ch. C-27? – La convention collective est-elle une source de droits et d’obligations pendant l’exercice du droit de grève ou de lock-out? – Lorsque l’arbitre de grief interprète des dispositions législatives qui définissent les fondements du régime des rapports collectifs de travail afin de statuer sur l’existence même de son pouvoir de se saisir d’un litige, sommes-nous en présence d’une véritable question de compétence nécessitant l’application de la norme de contrôle de la décision correcte?</w:t>
            </w:r>
          </w:p>
        </w:tc>
      </w:tr>
      <w:tr w:rsidR="006544D2" w:rsidRPr="008B79EB" w:rsidTr="006544D2">
        <w:tc>
          <w:tcPr>
            <w:tcW w:w="5000" w:type="pct"/>
            <w:gridSpan w:val="3"/>
          </w:tcPr>
          <w:p w:rsidR="006544D2" w:rsidRPr="008C693A" w:rsidRDefault="006544D2" w:rsidP="006544D2">
            <w:pPr>
              <w:jc w:val="both"/>
              <w:rPr>
                <w:rFonts w:eastAsia="Calibri"/>
                <w:sz w:val="20"/>
                <w:szCs w:val="20"/>
                <w:lang w:val="fr-CA"/>
              </w:rPr>
            </w:pPr>
          </w:p>
        </w:tc>
      </w:tr>
      <w:tr w:rsidR="006544D2" w:rsidRPr="008B79EB" w:rsidTr="006544D2">
        <w:tc>
          <w:tcPr>
            <w:tcW w:w="5000" w:type="pct"/>
            <w:gridSpan w:val="3"/>
          </w:tcPr>
          <w:p w:rsidR="006544D2" w:rsidRPr="008C693A" w:rsidRDefault="006544D2" w:rsidP="006544D2">
            <w:pPr>
              <w:autoSpaceDE w:val="0"/>
              <w:autoSpaceDN w:val="0"/>
              <w:adjustRightInd w:val="0"/>
              <w:jc w:val="both"/>
              <w:rPr>
                <w:rFonts w:eastAsia="Calibri"/>
                <w:sz w:val="20"/>
                <w:szCs w:val="20"/>
                <w:lang w:val="fr-CA"/>
              </w:rPr>
            </w:pPr>
            <w:r w:rsidRPr="008C693A">
              <w:rPr>
                <w:rFonts w:eastAsia="Calibri"/>
                <w:sz w:val="20"/>
                <w:szCs w:val="20"/>
                <w:lang w:val="fr-CA"/>
              </w:rPr>
              <w:t>La demanderesse est une entreprise de distribution et de vente au détail dans le secteur de l’alimentation et comptait notamment 450 salariés représentés par l’intimé, à savoir le Syndicat des travailleurs et travailleuses de Provigo, entrepôt Armand-Viau (« le Syndicat »).  Les parties étaient assujetties à une convention collective couvrant la période du 2 février 2005 au 31 mars 2010, et elles n’ont pu en venir à un accord quant au renouvellement de cette convention collective.  Celle-ci comportait la clause suivante : « 28.02  Cette convention, à son expiration, devient une convention intérimaire sous réserve des droits des parties jusqu’à la signature d’une nouvelle convention collective de travail. »</w:t>
            </w:r>
          </w:p>
          <w:p w:rsidR="006544D2" w:rsidRPr="008C693A" w:rsidRDefault="006544D2" w:rsidP="006544D2">
            <w:pPr>
              <w:autoSpaceDE w:val="0"/>
              <w:autoSpaceDN w:val="0"/>
              <w:adjustRightInd w:val="0"/>
              <w:jc w:val="both"/>
              <w:rPr>
                <w:rFonts w:eastAsia="Calibri"/>
                <w:sz w:val="20"/>
                <w:szCs w:val="20"/>
                <w:lang w:val="fr-CA"/>
              </w:rPr>
            </w:pPr>
          </w:p>
          <w:p w:rsidR="006544D2" w:rsidRPr="008C693A" w:rsidRDefault="006544D2" w:rsidP="006544D2">
            <w:pPr>
              <w:autoSpaceDE w:val="0"/>
              <w:autoSpaceDN w:val="0"/>
              <w:adjustRightInd w:val="0"/>
              <w:jc w:val="both"/>
              <w:rPr>
                <w:rFonts w:eastAsia="Calibri"/>
                <w:sz w:val="20"/>
                <w:szCs w:val="20"/>
                <w:lang w:val="fr-CA"/>
              </w:rPr>
            </w:pPr>
            <w:r w:rsidRPr="008C693A">
              <w:rPr>
                <w:rFonts w:eastAsia="Calibri"/>
                <w:sz w:val="20"/>
                <w:szCs w:val="20"/>
                <w:lang w:val="fr-CA"/>
              </w:rPr>
              <w:t>Les événements se sont par la suite succédés ainsi.  Le 2 avril 2010, la demanderesse exerce son droit au lock-out.  Le 8 avril 2010, le Syndicat déclare la grève à la demanderesse.  Le 27 avril 2010, la demanderesse transmet un avis de cessation d’emploi à tous les salariés en cause ainsi qu’un avis de licenciement collectif au ministre de l’Emploi et de la Solidarité sociale.  Le 12 mai 2010, le Syndicat produit un avis de fin de grève.  Les 18 mai 2010 et 7 juin 2010, le Syndicat dépose des griefs.  Le 22 juin 2010, la demanderesse ferme l’établissement de travail en cause.</w:t>
            </w:r>
          </w:p>
          <w:p w:rsidR="006544D2" w:rsidRPr="008C693A" w:rsidRDefault="006544D2" w:rsidP="006544D2">
            <w:pPr>
              <w:autoSpaceDE w:val="0"/>
              <w:autoSpaceDN w:val="0"/>
              <w:adjustRightInd w:val="0"/>
              <w:jc w:val="both"/>
              <w:rPr>
                <w:rFonts w:eastAsia="Calibri"/>
                <w:sz w:val="20"/>
                <w:szCs w:val="20"/>
                <w:lang w:val="fr-CA"/>
              </w:rPr>
            </w:pPr>
          </w:p>
          <w:p w:rsidR="006544D2" w:rsidRPr="008C693A" w:rsidRDefault="006544D2" w:rsidP="006544D2">
            <w:pPr>
              <w:jc w:val="both"/>
              <w:rPr>
                <w:rFonts w:eastAsia="Calibri"/>
                <w:sz w:val="20"/>
                <w:szCs w:val="20"/>
                <w:lang w:val="fr-CA"/>
              </w:rPr>
            </w:pPr>
            <w:r w:rsidRPr="008C693A">
              <w:rPr>
                <w:rFonts w:eastAsia="Calibri"/>
                <w:sz w:val="20"/>
                <w:szCs w:val="20"/>
                <w:lang w:val="fr-CA"/>
              </w:rPr>
              <w:t>Les griefs sont soumis à l’arbitre Côme Poulin, lequel est saisi d’une objection préliminaire formulée par la demanderesse quant à la compétence de ce dernier.  Ladite objection est amenée au motif que la convention collective liant les parties a cessé d’avoir effet dès le déclenchement du lock-out et que, par conséquent, l’arbitre n’a pas compétence relativement aux griefs déposés par le Syndicat.  L’arbitre en arrive à la conclusion que l’avis de licenciement collectif ainsi que les avis de cessation constituent un geste unilatéral de la demanderesse.  Ce geste unilatéral a eu comme effet de mettre fin au lock-out, rendant ainsi applicables les dispositions de la convention collective en vertu de la clause de maintien (art. 28.02 reproduit ci-dessus).  L’arbitre est donc d’avis qu’il a compétence eu égard aux griefs en cause.</w:t>
            </w:r>
          </w:p>
          <w:p w:rsidR="006544D2" w:rsidRPr="008C693A" w:rsidRDefault="006544D2" w:rsidP="006544D2">
            <w:pPr>
              <w:jc w:val="both"/>
              <w:rPr>
                <w:rFonts w:eastAsia="Calibri"/>
                <w:sz w:val="20"/>
                <w:szCs w:val="20"/>
                <w:lang w:val="fr-CA"/>
              </w:rPr>
            </w:pPr>
          </w:p>
        </w:tc>
      </w:tr>
      <w:tr w:rsidR="006544D2" w:rsidRPr="008B79EB"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Le 16 avril 2012</w:t>
            </w:r>
          </w:p>
          <w:p w:rsidR="006544D2" w:rsidRPr="008C693A" w:rsidRDefault="006544D2" w:rsidP="006544D2">
            <w:pPr>
              <w:jc w:val="both"/>
              <w:rPr>
                <w:rFonts w:eastAsia="Calibri"/>
                <w:sz w:val="20"/>
                <w:szCs w:val="20"/>
                <w:lang w:val="fr-CA"/>
              </w:rPr>
            </w:pPr>
            <w:r w:rsidRPr="008C693A">
              <w:rPr>
                <w:rFonts w:eastAsia="Calibri"/>
                <w:sz w:val="20"/>
                <w:szCs w:val="20"/>
                <w:lang w:val="fr-CA"/>
              </w:rPr>
              <w:t>Cour supérieure du Québec</w:t>
            </w:r>
          </w:p>
          <w:p w:rsidR="006544D2" w:rsidRPr="008C693A" w:rsidRDefault="006544D2" w:rsidP="006544D2">
            <w:pPr>
              <w:jc w:val="both"/>
              <w:rPr>
                <w:rFonts w:eastAsia="Calibri"/>
                <w:sz w:val="20"/>
                <w:szCs w:val="20"/>
                <w:lang w:val="fr-CA"/>
              </w:rPr>
            </w:pPr>
            <w:r w:rsidRPr="008C693A">
              <w:rPr>
                <w:rFonts w:eastAsia="Calibri"/>
                <w:sz w:val="20"/>
                <w:szCs w:val="20"/>
                <w:lang w:val="fr-CA"/>
              </w:rPr>
              <w:t>(Le juge Caron)</w:t>
            </w:r>
          </w:p>
          <w:p w:rsidR="006544D2" w:rsidRPr="008C693A" w:rsidRDefault="006544D2" w:rsidP="006544D2">
            <w:pPr>
              <w:jc w:val="both"/>
              <w:rPr>
                <w:rFonts w:eastAsia="Calibri"/>
                <w:sz w:val="20"/>
                <w:szCs w:val="20"/>
                <w:lang w:val="fr-CA"/>
              </w:rPr>
            </w:pPr>
            <w:r w:rsidRPr="008C693A">
              <w:rPr>
                <w:rFonts w:eastAsia="Calibri"/>
                <w:sz w:val="20"/>
                <w:szCs w:val="20"/>
                <w:lang w:val="fr-CA"/>
              </w:rPr>
              <w:t>No. 200-17-014859-110</w:t>
            </w:r>
          </w:p>
          <w:p w:rsidR="006544D2" w:rsidRPr="008C693A" w:rsidRDefault="005A3634" w:rsidP="006544D2">
            <w:pPr>
              <w:jc w:val="both"/>
              <w:rPr>
                <w:rFonts w:eastAsia="Calibri"/>
                <w:sz w:val="20"/>
                <w:szCs w:val="20"/>
                <w:lang w:val="fr-CA"/>
              </w:rPr>
            </w:pPr>
            <w:hyperlink r:id="rId32" w:history="1">
              <w:r w:rsidR="006544D2" w:rsidRPr="008C693A">
                <w:rPr>
                  <w:rFonts w:eastAsia="Calibri"/>
                  <w:color w:val="0000FF"/>
                  <w:sz w:val="20"/>
                  <w:szCs w:val="20"/>
                  <w:u w:val="single"/>
                  <w:lang w:val="fr-CA"/>
                </w:rPr>
                <w:t>2012 QCCS 1564</w:t>
              </w:r>
            </w:hyperlink>
          </w:p>
          <w:p w:rsidR="006544D2" w:rsidRPr="008C693A" w:rsidRDefault="006544D2" w:rsidP="006544D2">
            <w:pPr>
              <w:jc w:val="both"/>
              <w:rPr>
                <w:rFonts w:eastAsia="Calibri"/>
                <w:sz w:val="20"/>
                <w:szCs w:val="20"/>
                <w:lang w:val="fr-CA"/>
              </w:rPr>
            </w:pP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Requête en révision judiciaire rejetée.</w:t>
            </w:r>
          </w:p>
          <w:p w:rsidR="006544D2" w:rsidRPr="008C693A" w:rsidRDefault="006544D2" w:rsidP="006544D2">
            <w:pPr>
              <w:jc w:val="both"/>
              <w:rPr>
                <w:rFonts w:eastAsia="Calibri"/>
                <w:sz w:val="20"/>
                <w:szCs w:val="20"/>
                <w:lang w:val="fr-CA"/>
              </w:rPr>
            </w:pPr>
          </w:p>
        </w:tc>
      </w:tr>
      <w:tr w:rsidR="006544D2" w:rsidRPr="008C693A"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Le 29 mai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d’appel du Québec (Québec)</w:t>
            </w:r>
          </w:p>
          <w:p w:rsidR="006544D2" w:rsidRPr="008C693A" w:rsidRDefault="006544D2" w:rsidP="006544D2">
            <w:pPr>
              <w:jc w:val="both"/>
              <w:rPr>
                <w:rFonts w:eastAsia="Calibri"/>
                <w:sz w:val="20"/>
                <w:szCs w:val="20"/>
                <w:lang w:val="fr-CA"/>
              </w:rPr>
            </w:pPr>
            <w:r w:rsidRPr="008C693A">
              <w:rPr>
                <w:rFonts w:eastAsia="Calibri"/>
                <w:sz w:val="20"/>
                <w:szCs w:val="20"/>
                <w:lang w:val="fr-CA"/>
              </w:rPr>
              <w:t>(Les juges Rochette, Vézina et Soldevila)</w:t>
            </w:r>
          </w:p>
          <w:p w:rsidR="006544D2" w:rsidRPr="008C693A" w:rsidRDefault="006544D2" w:rsidP="006544D2">
            <w:pPr>
              <w:jc w:val="both"/>
              <w:rPr>
                <w:rFonts w:eastAsia="Calibri"/>
                <w:sz w:val="20"/>
                <w:szCs w:val="20"/>
                <w:lang w:val="fr-CA"/>
              </w:rPr>
            </w:pPr>
            <w:r w:rsidRPr="008C693A">
              <w:rPr>
                <w:rFonts w:eastAsia="Calibri"/>
                <w:sz w:val="20"/>
                <w:szCs w:val="20"/>
                <w:lang w:val="fr-CA"/>
              </w:rPr>
              <w:t>No. 200-09-007711-127</w:t>
            </w:r>
          </w:p>
          <w:p w:rsidR="006544D2" w:rsidRPr="008C693A" w:rsidRDefault="005A3634" w:rsidP="006544D2">
            <w:pPr>
              <w:jc w:val="both"/>
              <w:rPr>
                <w:rFonts w:eastAsia="Calibri"/>
                <w:sz w:val="20"/>
                <w:szCs w:val="20"/>
                <w:lang w:val="fr-CA"/>
              </w:rPr>
            </w:pPr>
            <w:hyperlink r:id="rId33" w:history="1">
              <w:r w:rsidR="006544D2" w:rsidRPr="008C693A">
                <w:rPr>
                  <w:rFonts w:eastAsia="Calibri"/>
                  <w:color w:val="0000FF"/>
                  <w:sz w:val="20"/>
                  <w:szCs w:val="20"/>
                  <w:u w:val="single"/>
                  <w:lang w:val="fr-CA"/>
                </w:rPr>
                <w:t>2014 QCCA 1106</w:t>
              </w:r>
            </w:hyperlink>
          </w:p>
          <w:p w:rsidR="006544D2" w:rsidRPr="008C693A" w:rsidRDefault="006544D2" w:rsidP="006544D2">
            <w:pPr>
              <w:jc w:val="both"/>
              <w:rPr>
                <w:rFonts w:eastAsia="Calibri"/>
                <w:sz w:val="20"/>
                <w:szCs w:val="20"/>
                <w:lang w:val="fr-CA"/>
              </w:rPr>
            </w:pP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Appel rejeté.</w:t>
            </w:r>
          </w:p>
          <w:p w:rsidR="006544D2" w:rsidRPr="008C693A" w:rsidRDefault="006544D2" w:rsidP="006544D2">
            <w:pPr>
              <w:jc w:val="both"/>
              <w:rPr>
                <w:rFonts w:eastAsia="Calibri"/>
                <w:sz w:val="20"/>
                <w:szCs w:val="20"/>
                <w:lang w:val="fr-CA"/>
              </w:rPr>
            </w:pPr>
          </w:p>
        </w:tc>
      </w:tr>
    </w:tbl>
    <w:p w:rsidR="005E636C" w:rsidRDefault="005E636C">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C693A"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lastRenderedPageBreak/>
              <w:t>Le 27 août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suprême du Canada</w:t>
            </w: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Demande d'autorisation d'appel déposée.</w:t>
            </w:r>
          </w:p>
          <w:p w:rsidR="006544D2" w:rsidRPr="008C693A" w:rsidRDefault="006544D2" w:rsidP="006544D2">
            <w:pPr>
              <w:jc w:val="both"/>
              <w:rPr>
                <w:rFonts w:eastAsia="Calibri"/>
                <w:sz w:val="20"/>
                <w:szCs w:val="20"/>
                <w:lang w:val="fr-CA"/>
              </w:rPr>
            </w:pPr>
          </w:p>
        </w:tc>
      </w:tr>
    </w:tbl>
    <w:p w:rsidR="007934D0" w:rsidRDefault="007934D0" w:rsidP="007934D0">
      <w:pPr>
        <w:rPr>
          <w:sz w:val="20"/>
          <w:szCs w:val="20"/>
        </w:rPr>
      </w:pPr>
    </w:p>
    <w:p w:rsidR="007934D0" w:rsidRDefault="005A3634" w:rsidP="007934D0">
      <w:pPr>
        <w:rPr>
          <w:sz w:val="20"/>
          <w:szCs w:val="20"/>
          <w:lang w:val="fr-CA"/>
        </w:rPr>
      </w:pPr>
      <w:r>
        <w:rPr>
          <w:sz w:val="20"/>
          <w:szCs w:val="20"/>
          <w:lang w:val="fr-CA"/>
        </w:rPr>
        <w:pict>
          <v:rect id="_x0000_i1054" style="width:2in;height:1pt" o:hrpct="0" o:hralign="center" o:hrstd="t" o:hrnoshade="t" o:hr="t" fillcolor="black [3213]" stroked="f"/>
        </w:pict>
      </w:r>
    </w:p>
    <w:p w:rsidR="007934D0" w:rsidRDefault="007934D0" w:rsidP="007934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976F4" w:rsidRPr="00E62B49" w:rsidTr="006544D2">
        <w:trPr>
          <w:cantSplit/>
        </w:trPr>
        <w:tc>
          <w:tcPr>
            <w:tcW w:w="1458" w:type="dxa"/>
          </w:tcPr>
          <w:p w:rsidR="005976F4" w:rsidRPr="00E62B49" w:rsidRDefault="005976F4" w:rsidP="006544D2">
            <w:pPr>
              <w:rPr>
                <w:sz w:val="20"/>
                <w:szCs w:val="20"/>
              </w:rPr>
            </w:pPr>
            <w:r w:rsidRPr="00E62B49">
              <w:rPr>
                <w:rStyle w:val="SCCFileNumberChar"/>
                <w:sz w:val="20"/>
                <w:szCs w:val="20"/>
              </w:rPr>
              <w:t>36033</w:t>
            </w:r>
          </w:p>
          <w:p w:rsidR="005976F4" w:rsidRPr="00E62B49" w:rsidRDefault="005976F4" w:rsidP="006544D2">
            <w:pPr>
              <w:rPr>
                <w:b/>
                <w:sz w:val="20"/>
                <w:szCs w:val="20"/>
                <w:lang w:val="fr-CA"/>
              </w:rPr>
            </w:pPr>
          </w:p>
        </w:tc>
        <w:tc>
          <w:tcPr>
            <w:tcW w:w="8118" w:type="dxa"/>
          </w:tcPr>
          <w:p w:rsidR="005976F4" w:rsidRPr="00E62B49" w:rsidRDefault="005976F4" w:rsidP="006544D2">
            <w:pPr>
              <w:rPr>
                <w:sz w:val="20"/>
                <w:szCs w:val="20"/>
              </w:rPr>
            </w:pPr>
            <w:r w:rsidRPr="00E62B49">
              <w:rPr>
                <w:rStyle w:val="SCCLsocChar"/>
                <w:sz w:val="20"/>
                <w:szCs w:val="20"/>
              </w:rPr>
              <w:t>Osmose-Pentox Inc. v. Société Laurentide inc.</w:t>
            </w:r>
            <w:r w:rsidRPr="00E62B49">
              <w:rPr>
                <w:sz w:val="20"/>
                <w:szCs w:val="20"/>
                <w:lang w:val="fr-CA"/>
              </w:rPr>
              <w:t xml:space="preserve"> </w:t>
            </w:r>
            <w:r w:rsidRPr="00E62B49">
              <w:rPr>
                <w:sz w:val="20"/>
                <w:szCs w:val="20"/>
              </w:rPr>
              <w:t>(F</w:t>
            </w:r>
            <w:r>
              <w:rPr>
                <w:szCs w:val="20"/>
              </w:rPr>
              <w:t>.</w:t>
            </w:r>
            <w:r w:rsidRPr="00E62B49">
              <w:rPr>
                <w:sz w:val="20"/>
                <w:szCs w:val="20"/>
              </w:rPr>
              <w:t>C</w:t>
            </w:r>
            <w:r>
              <w:rPr>
                <w:szCs w:val="20"/>
              </w:rPr>
              <w:t>.</w:t>
            </w:r>
            <w:r w:rsidRPr="00E62B49">
              <w:rPr>
                <w:sz w:val="20"/>
                <w:szCs w:val="20"/>
              </w:rPr>
              <w:t>) (Civil) (By Leave)</w:t>
            </w:r>
          </w:p>
          <w:p w:rsidR="005976F4" w:rsidRPr="00E62B49" w:rsidRDefault="005976F4" w:rsidP="006544D2">
            <w:pPr>
              <w:rPr>
                <w:sz w:val="20"/>
                <w:szCs w:val="20"/>
              </w:rPr>
            </w:pPr>
          </w:p>
        </w:tc>
      </w:tr>
      <w:tr w:rsidR="005976F4" w:rsidRPr="00E62B49" w:rsidTr="006544D2">
        <w:trPr>
          <w:cantSplit/>
        </w:trPr>
        <w:tc>
          <w:tcPr>
            <w:tcW w:w="1458" w:type="dxa"/>
          </w:tcPr>
          <w:p w:rsidR="005976F4" w:rsidRPr="00E62B49" w:rsidRDefault="005976F4" w:rsidP="006544D2">
            <w:pPr>
              <w:rPr>
                <w:sz w:val="20"/>
                <w:szCs w:val="20"/>
              </w:rPr>
            </w:pPr>
            <w:r w:rsidRPr="00E62B49">
              <w:rPr>
                <w:sz w:val="20"/>
                <w:szCs w:val="20"/>
              </w:rPr>
              <w:t>Coram :</w:t>
            </w:r>
          </w:p>
        </w:tc>
        <w:tc>
          <w:tcPr>
            <w:tcW w:w="8118" w:type="dxa"/>
          </w:tcPr>
          <w:p w:rsidR="005976F4" w:rsidRPr="00E62B49" w:rsidRDefault="005976F4" w:rsidP="006544D2">
            <w:pPr>
              <w:rPr>
                <w:sz w:val="20"/>
                <w:szCs w:val="20"/>
              </w:rPr>
            </w:pPr>
            <w:r w:rsidRPr="005976F4">
              <w:rPr>
                <w:rStyle w:val="SCCCoramChar"/>
                <w:sz w:val="20"/>
                <w:szCs w:val="20"/>
                <w:lang w:val="en-CA"/>
              </w:rPr>
              <w:t>McLachlin C.J. and Wagner and Gascon JJ.</w:t>
            </w:r>
          </w:p>
          <w:p w:rsidR="005976F4" w:rsidRPr="00E62B49" w:rsidRDefault="005976F4" w:rsidP="006544D2">
            <w:pPr>
              <w:rPr>
                <w:sz w:val="20"/>
                <w:szCs w:val="20"/>
                <w:u w:val="single"/>
              </w:rPr>
            </w:pPr>
          </w:p>
        </w:tc>
      </w:tr>
      <w:tr w:rsidR="005976F4" w:rsidRPr="008B79EB" w:rsidTr="006544D2">
        <w:trPr>
          <w:cantSplit/>
        </w:trPr>
        <w:tc>
          <w:tcPr>
            <w:tcW w:w="9576" w:type="dxa"/>
            <w:gridSpan w:val="2"/>
          </w:tcPr>
          <w:p w:rsidR="005976F4" w:rsidRPr="00E62B49" w:rsidRDefault="005976F4" w:rsidP="006544D2">
            <w:pPr>
              <w:pStyle w:val="SCCShortJudgment"/>
              <w:rPr>
                <w:szCs w:val="20"/>
              </w:rPr>
            </w:pPr>
            <w:r w:rsidRPr="00E62B49">
              <w:rPr>
                <w:szCs w:val="20"/>
              </w:rPr>
              <w:t>The application for leave to appeal from the judgment of the Federal Court of Appeal, Number  A-300-13, 2014 FCA 146, dated June 3, 2014, is dismissed with costs.</w:t>
            </w:r>
          </w:p>
          <w:p w:rsidR="005976F4" w:rsidRPr="00E62B49" w:rsidRDefault="005976F4" w:rsidP="006544D2">
            <w:pPr>
              <w:pStyle w:val="SCCShortJudgment"/>
              <w:ind w:firstLine="0"/>
              <w:rPr>
                <w:szCs w:val="20"/>
              </w:rPr>
            </w:pPr>
          </w:p>
          <w:p w:rsidR="005976F4" w:rsidRPr="00E62B49" w:rsidRDefault="005976F4" w:rsidP="006544D2">
            <w:pPr>
              <w:pStyle w:val="SCCShortJudgment"/>
              <w:rPr>
                <w:szCs w:val="20"/>
                <w:lang w:val="fr-CA"/>
              </w:rPr>
            </w:pPr>
            <w:r w:rsidRPr="00E62B49">
              <w:rPr>
                <w:szCs w:val="20"/>
                <w:lang w:val="fr-CA"/>
              </w:rPr>
              <w:t>La demande d’autorisation d’appel de l’arrêt de la Cour d’appel fédérale, numéro  A-300-13, 2014 FCA 146, daté du 3 juin 2014, est rejetée avec dépens.</w:t>
            </w:r>
          </w:p>
        </w:tc>
      </w:tr>
    </w:tbl>
    <w:p w:rsidR="007934D0" w:rsidRPr="005976F4" w:rsidRDefault="007934D0" w:rsidP="007934D0">
      <w:pPr>
        <w:rPr>
          <w:sz w:val="20"/>
          <w:szCs w:val="20"/>
          <w:lang w:val="fr-CA"/>
        </w:rPr>
      </w:pPr>
    </w:p>
    <w:p w:rsidR="007934D0" w:rsidRPr="001B157C" w:rsidRDefault="007934D0" w:rsidP="007934D0">
      <w:pPr>
        <w:rPr>
          <w:sz w:val="20"/>
          <w:szCs w:val="20"/>
          <w:u w:val="single"/>
        </w:rPr>
      </w:pPr>
      <w:r w:rsidRPr="001B157C">
        <w:rPr>
          <w:sz w:val="20"/>
          <w:szCs w:val="20"/>
          <w:u w:val="single"/>
        </w:rPr>
        <w:t>CASE SUMMARY</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C693A" w:rsidTr="006544D2">
        <w:tc>
          <w:tcPr>
            <w:tcW w:w="5000" w:type="pct"/>
            <w:gridSpan w:val="3"/>
          </w:tcPr>
          <w:p w:rsidR="006544D2" w:rsidRPr="008C693A" w:rsidRDefault="006544D2" w:rsidP="006544D2">
            <w:pPr>
              <w:jc w:val="both"/>
              <w:rPr>
                <w:rFonts w:eastAsia="Calibri"/>
                <w:sz w:val="20"/>
                <w:szCs w:val="20"/>
              </w:rPr>
            </w:pPr>
            <w:r w:rsidRPr="008C693A">
              <w:rPr>
                <w:rFonts w:eastAsia="Calibri"/>
                <w:sz w:val="20"/>
                <w:szCs w:val="20"/>
              </w:rPr>
              <w:t xml:space="preserve">Intellectual property – Trademarks – Scope of trade-mark protection for registered design marks that include words conferred by </w:t>
            </w:r>
            <w:r w:rsidRPr="008C693A">
              <w:rPr>
                <w:rFonts w:eastAsia="Calibri"/>
                <w:i/>
                <w:sz w:val="20"/>
                <w:szCs w:val="20"/>
              </w:rPr>
              <w:t>Trade-marks Act</w:t>
            </w:r>
            <w:r w:rsidRPr="008C693A">
              <w:rPr>
                <w:rFonts w:eastAsia="Calibri"/>
                <w:sz w:val="20"/>
                <w:szCs w:val="20"/>
              </w:rPr>
              <w:t>, R.S.C. 1985, c. T-13 – Whether the trial judge erred in his interpretation and application of the concept of use of a trade-mark as set out in s. 20(1) of the Act, and in his interpretation of the limited “accurate description” defence provided for in s. 20(1)(b)(ii) of the Act – Whether the trial judge erred in finding that the use of the words “</w:t>
            </w:r>
            <w:r w:rsidRPr="008C693A">
              <w:rPr>
                <w:rFonts w:eastAsia="Calibri"/>
                <w:i/>
                <w:sz w:val="20"/>
                <w:szCs w:val="20"/>
              </w:rPr>
              <w:t>Wood</w:t>
            </w:r>
            <w:r w:rsidRPr="008C693A">
              <w:rPr>
                <w:rFonts w:eastAsia="Calibri"/>
                <w:sz w:val="20"/>
                <w:szCs w:val="20"/>
              </w:rPr>
              <w:t xml:space="preserve"> CONSERVATOR” and “CONSERVATEUR </w:t>
            </w:r>
            <w:r w:rsidRPr="008C693A">
              <w:rPr>
                <w:rFonts w:eastAsia="Calibri"/>
                <w:i/>
                <w:sz w:val="20"/>
                <w:szCs w:val="20"/>
              </w:rPr>
              <w:t>pour bois</w:t>
            </w:r>
            <w:r w:rsidRPr="008C693A">
              <w:rPr>
                <w:rFonts w:eastAsia="Calibri"/>
                <w:sz w:val="20"/>
                <w:szCs w:val="20"/>
              </w:rPr>
              <w:t>” were not confusing within the meaning of s. 6(5) of the Act.</w:t>
            </w:r>
          </w:p>
        </w:tc>
      </w:tr>
      <w:tr w:rsidR="006544D2" w:rsidRPr="008C693A" w:rsidTr="006544D2">
        <w:tc>
          <w:tcPr>
            <w:tcW w:w="5000" w:type="pct"/>
            <w:gridSpan w:val="3"/>
          </w:tcPr>
          <w:p w:rsidR="006544D2" w:rsidRPr="008C693A" w:rsidRDefault="006544D2" w:rsidP="006544D2">
            <w:pPr>
              <w:jc w:val="both"/>
              <w:rPr>
                <w:rFonts w:eastAsia="Calibri"/>
                <w:sz w:val="20"/>
                <w:szCs w:val="20"/>
              </w:rPr>
            </w:pPr>
          </w:p>
        </w:tc>
      </w:tr>
      <w:tr w:rsidR="006544D2" w:rsidRPr="008C693A" w:rsidTr="006544D2">
        <w:tc>
          <w:tcPr>
            <w:tcW w:w="5000" w:type="pct"/>
            <w:gridSpan w:val="3"/>
          </w:tcPr>
          <w:p w:rsidR="006544D2" w:rsidRPr="008C693A" w:rsidRDefault="006544D2" w:rsidP="006544D2">
            <w:pPr>
              <w:jc w:val="both"/>
              <w:rPr>
                <w:rFonts w:eastAsia="Calibri"/>
                <w:sz w:val="20"/>
                <w:szCs w:val="20"/>
              </w:rPr>
            </w:pPr>
            <w:r w:rsidRPr="008C693A">
              <w:rPr>
                <w:rFonts w:eastAsia="Calibri"/>
                <w:sz w:val="20"/>
                <w:szCs w:val="20"/>
              </w:rPr>
              <w:t xml:space="preserve">The applicant, Osmose-Pentox, manufactures and sells wood coatings and wood preservatives under various trade-marks.  One of the products it produces is a wood primer sealer sold in containers bearing a label with the design mark </w:t>
            </w:r>
            <w:r w:rsidRPr="008C693A">
              <w:rPr>
                <w:rFonts w:eastAsia="Calibri"/>
                <w:noProof/>
                <w:sz w:val="20"/>
                <w:szCs w:val="20"/>
                <w:lang w:val="en-US"/>
              </w:rPr>
              <w:drawing>
                <wp:inline distT="0" distB="0" distL="0" distR="0">
                  <wp:extent cx="1323975" cy="177165"/>
                  <wp:effectExtent l="19050" t="0" r="9525" b="0"/>
                  <wp:docPr id="1" name="Picture 10" descr="CONSERVATOR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ERVATOR DESIGN"/>
                          <pic:cNvPicPr>
                            <a:picLocks noChangeAspect="1" noChangeArrowheads="1"/>
                          </pic:cNvPicPr>
                        </pic:nvPicPr>
                        <pic:blipFill>
                          <a:blip r:embed="rId34" cstate="print"/>
                          <a:srcRect/>
                          <a:stretch>
                            <a:fillRect/>
                          </a:stretch>
                        </pic:blipFill>
                        <pic:spPr bwMode="auto">
                          <a:xfrm>
                            <a:off x="0" y="0"/>
                            <a:ext cx="1323975" cy="177165"/>
                          </a:xfrm>
                          <a:prstGeom prst="rect">
                            <a:avLst/>
                          </a:prstGeom>
                          <a:noFill/>
                          <a:ln w="9525">
                            <a:noFill/>
                            <a:miter lim="800000"/>
                            <a:headEnd/>
                            <a:tailEnd/>
                          </a:ln>
                        </pic:spPr>
                      </pic:pic>
                    </a:graphicData>
                  </a:graphic>
                </wp:inline>
              </w:drawing>
            </w:r>
            <w:r w:rsidRPr="008C693A">
              <w:rPr>
                <w:rFonts w:eastAsia="Calibri"/>
                <w:sz w:val="20"/>
                <w:szCs w:val="20"/>
              </w:rPr>
              <w:t xml:space="preserve">. In 2002, Osmose-Pentox instituted proceedings against the respondent, Société Laurentides, for infringement of its right to the exclusive use of its registered trade-mark </w:t>
            </w:r>
            <w:r w:rsidRPr="008C693A">
              <w:rPr>
                <w:rFonts w:eastAsia="Calibri"/>
                <w:noProof/>
                <w:sz w:val="20"/>
                <w:szCs w:val="20"/>
                <w:lang w:val="en-US"/>
              </w:rPr>
              <w:drawing>
                <wp:inline distT="0" distB="0" distL="0" distR="0">
                  <wp:extent cx="1323975" cy="177165"/>
                  <wp:effectExtent l="19050" t="0" r="9525" b="0"/>
                  <wp:docPr id="3" name="Picture 10" descr="CONSERVATOR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ERVATOR DESIGN"/>
                          <pic:cNvPicPr>
                            <a:picLocks noChangeAspect="1" noChangeArrowheads="1"/>
                          </pic:cNvPicPr>
                        </pic:nvPicPr>
                        <pic:blipFill>
                          <a:blip r:embed="rId34" cstate="print"/>
                          <a:srcRect/>
                          <a:stretch>
                            <a:fillRect/>
                          </a:stretch>
                        </pic:blipFill>
                        <pic:spPr bwMode="auto">
                          <a:xfrm>
                            <a:off x="0" y="0"/>
                            <a:ext cx="1323975" cy="177165"/>
                          </a:xfrm>
                          <a:prstGeom prst="rect">
                            <a:avLst/>
                          </a:prstGeom>
                          <a:noFill/>
                          <a:ln w="9525">
                            <a:noFill/>
                            <a:miter lim="800000"/>
                            <a:headEnd/>
                            <a:tailEnd/>
                          </a:ln>
                        </pic:spPr>
                      </pic:pic>
                    </a:graphicData>
                  </a:graphic>
                </wp:inline>
              </w:drawing>
            </w:r>
            <w:r w:rsidRPr="008C693A">
              <w:rPr>
                <w:rFonts w:eastAsia="Calibri"/>
                <w:sz w:val="20"/>
                <w:szCs w:val="20"/>
              </w:rPr>
              <w:t>.  Société Laurentides had been producing a wood primer sealer with a label on which it was written “</w:t>
            </w:r>
            <w:r w:rsidRPr="008C693A">
              <w:rPr>
                <w:rFonts w:eastAsia="Calibri"/>
                <w:i/>
                <w:sz w:val="20"/>
                <w:szCs w:val="20"/>
              </w:rPr>
              <w:t>Wood</w:t>
            </w:r>
            <w:r w:rsidRPr="008C693A">
              <w:rPr>
                <w:rFonts w:eastAsia="Calibri"/>
                <w:sz w:val="20"/>
                <w:szCs w:val="20"/>
              </w:rPr>
              <w:t xml:space="preserve"> CONSERVATOR” and “CONSERVATEUR </w:t>
            </w:r>
            <w:r w:rsidRPr="008C693A">
              <w:rPr>
                <w:rFonts w:eastAsia="Calibri"/>
                <w:i/>
                <w:sz w:val="20"/>
                <w:szCs w:val="20"/>
              </w:rPr>
              <w:t>pour bois</w:t>
            </w:r>
            <w:r w:rsidRPr="008C693A">
              <w:rPr>
                <w:rFonts w:eastAsia="Calibri"/>
                <w:sz w:val="20"/>
                <w:szCs w:val="20"/>
              </w:rPr>
              <w:t xml:space="preserve">”.  The Federal Court found that there was no trade-mark infringement within the meaning of s. 20(1) of the </w:t>
            </w:r>
            <w:r w:rsidRPr="008C693A">
              <w:rPr>
                <w:rFonts w:eastAsia="Calibri"/>
                <w:i/>
                <w:sz w:val="20"/>
                <w:szCs w:val="20"/>
              </w:rPr>
              <w:t>Trade-marks Act</w:t>
            </w:r>
            <w:r w:rsidRPr="008C693A">
              <w:rPr>
                <w:rFonts w:eastAsia="Calibri"/>
                <w:sz w:val="20"/>
                <w:szCs w:val="20"/>
              </w:rPr>
              <w:t>, R.S.C. 1985, c. T-13 (the “Act”), and dismissed the action.  The Court also dismissed Osmose-Pentox’s arguments with respect to confusion and passing-off.  The Federal Court of Appeal dismissed the appeal.</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June 11, 2013</w:t>
            </w:r>
          </w:p>
          <w:p w:rsidR="006544D2" w:rsidRPr="008C693A" w:rsidRDefault="006544D2" w:rsidP="006544D2">
            <w:pPr>
              <w:jc w:val="both"/>
              <w:rPr>
                <w:rFonts w:eastAsia="Calibri"/>
                <w:sz w:val="20"/>
                <w:szCs w:val="20"/>
              </w:rPr>
            </w:pPr>
            <w:r w:rsidRPr="008C693A">
              <w:rPr>
                <w:rFonts w:eastAsia="Calibri"/>
                <w:sz w:val="20"/>
                <w:szCs w:val="20"/>
              </w:rPr>
              <w:t>Federal Court</w:t>
            </w:r>
          </w:p>
          <w:p w:rsidR="006544D2" w:rsidRPr="008C693A" w:rsidRDefault="006544D2" w:rsidP="006544D2">
            <w:pPr>
              <w:jc w:val="both"/>
              <w:rPr>
                <w:rFonts w:eastAsia="Calibri"/>
                <w:sz w:val="20"/>
                <w:szCs w:val="20"/>
              </w:rPr>
            </w:pPr>
            <w:r w:rsidRPr="008C693A">
              <w:rPr>
                <w:rFonts w:eastAsia="Calibri"/>
                <w:sz w:val="20"/>
                <w:szCs w:val="20"/>
              </w:rPr>
              <w:t>(Martineau J.)</w:t>
            </w:r>
          </w:p>
          <w:p w:rsidR="006544D2" w:rsidRPr="008C693A" w:rsidRDefault="005A3634" w:rsidP="006544D2">
            <w:pPr>
              <w:jc w:val="both"/>
              <w:rPr>
                <w:rFonts w:eastAsia="Calibri"/>
                <w:sz w:val="20"/>
                <w:szCs w:val="20"/>
              </w:rPr>
            </w:pPr>
            <w:hyperlink r:id="rId35" w:history="1">
              <w:r w:rsidR="006544D2" w:rsidRPr="008C693A">
                <w:rPr>
                  <w:rFonts w:eastAsia="Calibri"/>
                  <w:color w:val="0000FF"/>
                  <w:sz w:val="20"/>
                  <w:szCs w:val="20"/>
                  <w:u w:val="single"/>
                </w:rPr>
                <w:t>2013 FC 626</w:t>
              </w:r>
            </w:hyperlink>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Applicant’s action for trade-mark infringement dismissed</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June 3, 2014</w:t>
            </w:r>
          </w:p>
          <w:p w:rsidR="006544D2" w:rsidRPr="008C693A" w:rsidRDefault="006544D2" w:rsidP="006544D2">
            <w:pPr>
              <w:jc w:val="both"/>
              <w:rPr>
                <w:rFonts w:eastAsia="Calibri"/>
                <w:sz w:val="20"/>
                <w:szCs w:val="20"/>
              </w:rPr>
            </w:pPr>
            <w:r w:rsidRPr="008C693A">
              <w:rPr>
                <w:rFonts w:eastAsia="Calibri"/>
                <w:sz w:val="20"/>
                <w:szCs w:val="20"/>
              </w:rPr>
              <w:t>Federal Court of Appeal</w:t>
            </w:r>
          </w:p>
          <w:p w:rsidR="006544D2" w:rsidRPr="008C693A" w:rsidRDefault="006544D2" w:rsidP="006544D2">
            <w:pPr>
              <w:jc w:val="both"/>
              <w:rPr>
                <w:rFonts w:eastAsia="Calibri"/>
                <w:sz w:val="20"/>
                <w:szCs w:val="20"/>
              </w:rPr>
            </w:pPr>
            <w:r w:rsidRPr="008C693A">
              <w:rPr>
                <w:rFonts w:eastAsia="Calibri"/>
                <w:sz w:val="20"/>
                <w:szCs w:val="20"/>
              </w:rPr>
              <w:t>(Mainville, Scott and Boivin JJ.A.)</w:t>
            </w:r>
          </w:p>
          <w:p w:rsidR="006544D2" w:rsidRPr="008C693A" w:rsidRDefault="005A3634" w:rsidP="006544D2">
            <w:pPr>
              <w:jc w:val="both"/>
              <w:rPr>
                <w:rFonts w:eastAsia="Calibri"/>
                <w:sz w:val="20"/>
                <w:szCs w:val="20"/>
              </w:rPr>
            </w:pPr>
            <w:hyperlink r:id="rId36" w:history="1">
              <w:r w:rsidR="006544D2" w:rsidRPr="008C693A">
                <w:rPr>
                  <w:rFonts w:eastAsia="Calibri"/>
                  <w:color w:val="0000FF"/>
                  <w:sz w:val="20"/>
                  <w:szCs w:val="20"/>
                  <w:u w:val="single"/>
                </w:rPr>
                <w:t>2014 FCA 146</w:t>
              </w:r>
            </w:hyperlink>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Appeal dismissed</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September 2, 2014</w:t>
            </w:r>
          </w:p>
          <w:p w:rsidR="006544D2" w:rsidRPr="008C693A" w:rsidRDefault="006544D2" w:rsidP="006544D2">
            <w:pPr>
              <w:jc w:val="both"/>
              <w:rPr>
                <w:rFonts w:eastAsia="Calibri"/>
                <w:sz w:val="20"/>
                <w:szCs w:val="20"/>
              </w:rPr>
            </w:pPr>
            <w:r w:rsidRPr="008C693A">
              <w:rPr>
                <w:rFonts w:eastAsia="Calibri"/>
                <w:sz w:val="20"/>
                <w:szCs w:val="20"/>
              </w:rPr>
              <w:t>Supreme Court of Canada</w:t>
            </w: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Application for leave to appeal filed</w:t>
            </w:r>
          </w:p>
          <w:p w:rsidR="006544D2" w:rsidRPr="008C693A" w:rsidRDefault="006544D2" w:rsidP="006544D2">
            <w:pPr>
              <w:jc w:val="both"/>
              <w:rPr>
                <w:rFonts w:eastAsia="Calibri"/>
                <w:sz w:val="20"/>
                <w:szCs w:val="20"/>
              </w:rPr>
            </w:pPr>
          </w:p>
        </w:tc>
      </w:tr>
    </w:tbl>
    <w:p w:rsidR="007934D0" w:rsidRDefault="007934D0" w:rsidP="007934D0">
      <w:pPr>
        <w:rPr>
          <w:sz w:val="20"/>
          <w:szCs w:val="20"/>
        </w:rPr>
      </w:pPr>
    </w:p>
    <w:p w:rsidR="007934D0" w:rsidRPr="00C50A5C" w:rsidRDefault="005A3634" w:rsidP="007934D0">
      <w:pPr>
        <w:rPr>
          <w:sz w:val="20"/>
          <w:szCs w:val="20"/>
        </w:rPr>
      </w:pPr>
      <w:r>
        <w:rPr>
          <w:sz w:val="20"/>
          <w:szCs w:val="20"/>
          <w:lang w:val="fr-CA"/>
        </w:rPr>
        <w:pict>
          <v:rect id="_x0000_i1055" style="width:2in;height:1pt" o:hrpct="0" o:hralign="center" o:hrstd="t" o:hrnoshade="t" o:hr="t" fillcolor="black [3213]" stroked="f"/>
        </w:pict>
      </w:r>
    </w:p>
    <w:p w:rsidR="007934D0" w:rsidRDefault="007934D0" w:rsidP="007934D0">
      <w:pPr>
        <w:rPr>
          <w:sz w:val="20"/>
          <w:szCs w:val="20"/>
        </w:rPr>
      </w:pPr>
    </w:p>
    <w:p w:rsidR="007934D0" w:rsidRPr="001B157C" w:rsidRDefault="007934D0" w:rsidP="007934D0">
      <w:pPr>
        <w:rPr>
          <w:sz w:val="20"/>
          <w:szCs w:val="20"/>
          <w:u w:val="single"/>
          <w:lang w:val="fr-CA"/>
        </w:rPr>
      </w:pPr>
      <w:r w:rsidRPr="001B157C">
        <w:rPr>
          <w:sz w:val="20"/>
          <w:szCs w:val="20"/>
          <w:u w:val="single"/>
          <w:lang w:val="fr-CA"/>
        </w:rPr>
        <w:lastRenderedPageBreak/>
        <w:t>RÉSUMÉ DE L’AFFAIRE</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C622BC" w:rsidTr="006544D2">
        <w:tc>
          <w:tcPr>
            <w:tcW w:w="5000" w:type="pct"/>
            <w:gridSpan w:val="3"/>
          </w:tcPr>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Propriété intellectuelle — Marques de commerce — Teneur de la protection que confère la </w:t>
            </w:r>
            <w:r w:rsidRPr="008C693A">
              <w:rPr>
                <w:rFonts w:eastAsia="Calibri"/>
                <w:i/>
                <w:sz w:val="20"/>
                <w:szCs w:val="20"/>
                <w:lang w:val="fr-CA"/>
              </w:rPr>
              <w:t>Loi sur les marques de commerce</w:t>
            </w:r>
            <w:r w:rsidRPr="008C693A">
              <w:rPr>
                <w:rFonts w:eastAsia="Calibri"/>
                <w:sz w:val="20"/>
                <w:szCs w:val="20"/>
                <w:lang w:val="fr-CA"/>
              </w:rPr>
              <w:t>, L.R.C. 1985, c. T-13, à un dessin-marque déposé comprenant des mots — L’interprétation et l’application du concept d’emploi d’une marque de commerce visé au par. 20(1) de la Loi et l’interprétation du moyen de défense limité dit de la « description exacte » prévu au sous-al. 20(1)</w:t>
            </w:r>
            <w:r w:rsidRPr="008C693A">
              <w:rPr>
                <w:rFonts w:eastAsia="Calibri"/>
                <w:i/>
                <w:sz w:val="20"/>
                <w:szCs w:val="20"/>
                <w:lang w:val="fr-CA"/>
              </w:rPr>
              <w:t>b</w:t>
            </w:r>
            <w:r w:rsidRPr="008C693A">
              <w:rPr>
                <w:rFonts w:eastAsia="Calibri"/>
                <w:sz w:val="20"/>
                <w:szCs w:val="20"/>
                <w:lang w:val="fr-CA"/>
              </w:rPr>
              <w:t>)(ii) par la juridiction de première instance étaient-elles erronées? — Sa conclusion selon laquelle l’emploi des mots « </w:t>
            </w:r>
            <w:r w:rsidRPr="008C693A">
              <w:rPr>
                <w:rFonts w:eastAsia="Calibri"/>
                <w:i/>
                <w:sz w:val="20"/>
                <w:szCs w:val="20"/>
                <w:lang w:val="fr-CA"/>
              </w:rPr>
              <w:t>Wood</w:t>
            </w:r>
            <w:r w:rsidRPr="008C693A">
              <w:rPr>
                <w:rFonts w:eastAsia="Calibri"/>
                <w:sz w:val="20"/>
                <w:szCs w:val="20"/>
                <w:lang w:val="fr-CA"/>
              </w:rPr>
              <w:t xml:space="preserve"> CONSERVATOR » et « CONSERVATEUR </w:t>
            </w:r>
            <w:r w:rsidRPr="008C693A">
              <w:rPr>
                <w:rFonts w:eastAsia="Calibri"/>
                <w:i/>
                <w:sz w:val="20"/>
                <w:szCs w:val="20"/>
                <w:lang w:val="fr-CA"/>
              </w:rPr>
              <w:t>pour bois</w:t>
            </w:r>
            <w:r w:rsidRPr="008C693A">
              <w:rPr>
                <w:rFonts w:eastAsia="Calibri"/>
                <w:sz w:val="20"/>
                <w:szCs w:val="20"/>
                <w:lang w:val="fr-CA"/>
              </w:rPr>
              <w:t xml:space="preserve"> » ne créaient pas de la confusion au sens du par. 6(5) de la Loi était-elle erronée?  </w:t>
            </w:r>
          </w:p>
        </w:tc>
      </w:tr>
      <w:tr w:rsidR="006544D2" w:rsidRPr="00C622BC" w:rsidTr="006544D2">
        <w:tc>
          <w:tcPr>
            <w:tcW w:w="5000" w:type="pct"/>
            <w:gridSpan w:val="3"/>
          </w:tcPr>
          <w:p w:rsidR="006544D2" w:rsidRPr="008C693A" w:rsidRDefault="006544D2" w:rsidP="006544D2">
            <w:pPr>
              <w:jc w:val="both"/>
              <w:rPr>
                <w:rFonts w:eastAsia="Calibri"/>
                <w:sz w:val="20"/>
                <w:szCs w:val="20"/>
                <w:lang w:val="fr-CA"/>
              </w:rPr>
            </w:pPr>
          </w:p>
        </w:tc>
      </w:tr>
      <w:tr w:rsidR="006544D2" w:rsidRPr="008C693A" w:rsidTr="006544D2">
        <w:tc>
          <w:tcPr>
            <w:tcW w:w="5000" w:type="pct"/>
            <w:gridSpan w:val="3"/>
          </w:tcPr>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La demanderesse, Osmose-Pentox, fabrique et vend des revêtements et produits de préservation du bois sous diverses marques de commerce, dont un produit bouche-pores vendu dans un contenant dont l’étiquette présente le dessin-marque </w:t>
            </w:r>
            <w:r w:rsidRPr="008C693A">
              <w:rPr>
                <w:rFonts w:eastAsia="Calibri"/>
                <w:noProof/>
                <w:sz w:val="20"/>
                <w:szCs w:val="20"/>
                <w:lang w:val="en-US"/>
              </w:rPr>
              <w:drawing>
                <wp:inline distT="0" distB="0" distL="0" distR="0">
                  <wp:extent cx="1323975" cy="177165"/>
                  <wp:effectExtent l="19050" t="0" r="9525" b="0"/>
                  <wp:docPr id="4" name="Picture 10" descr="CONSERVATOR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ERVATOR DESIGN"/>
                          <pic:cNvPicPr>
                            <a:picLocks noChangeAspect="1" noChangeArrowheads="1"/>
                          </pic:cNvPicPr>
                        </pic:nvPicPr>
                        <pic:blipFill>
                          <a:blip r:embed="rId34" cstate="print"/>
                          <a:srcRect/>
                          <a:stretch>
                            <a:fillRect/>
                          </a:stretch>
                        </pic:blipFill>
                        <pic:spPr bwMode="auto">
                          <a:xfrm>
                            <a:off x="0" y="0"/>
                            <a:ext cx="1323975" cy="177165"/>
                          </a:xfrm>
                          <a:prstGeom prst="rect">
                            <a:avLst/>
                          </a:prstGeom>
                          <a:noFill/>
                          <a:ln w="9525">
                            <a:noFill/>
                            <a:miter lim="800000"/>
                            <a:headEnd/>
                            <a:tailEnd/>
                          </a:ln>
                        </pic:spPr>
                      </pic:pic>
                    </a:graphicData>
                  </a:graphic>
                </wp:inline>
              </w:drawing>
            </w:r>
            <w:r w:rsidRPr="008C693A">
              <w:rPr>
                <w:rFonts w:eastAsia="Calibri"/>
                <w:sz w:val="20"/>
                <w:szCs w:val="20"/>
                <w:lang w:val="fr-CA"/>
              </w:rPr>
              <w:t xml:space="preserve">.  En 2002, Osmose-Pentox a intenté une action contre l’intimée, la Société Laurentides, pour violation de son droit à l’emploi exclusif de sa marque de commerce déposée </w:t>
            </w:r>
            <w:r w:rsidRPr="008C693A">
              <w:rPr>
                <w:rFonts w:eastAsia="Calibri"/>
                <w:noProof/>
                <w:sz w:val="20"/>
                <w:szCs w:val="20"/>
                <w:lang w:val="en-US"/>
              </w:rPr>
              <w:drawing>
                <wp:inline distT="0" distB="0" distL="0" distR="0">
                  <wp:extent cx="1323975" cy="177165"/>
                  <wp:effectExtent l="19050" t="0" r="9525" b="0"/>
                  <wp:docPr id="5" name="Picture 10" descr="CONSERVATOR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ERVATOR DESIGN"/>
                          <pic:cNvPicPr>
                            <a:picLocks noChangeAspect="1" noChangeArrowheads="1"/>
                          </pic:cNvPicPr>
                        </pic:nvPicPr>
                        <pic:blipFill>
                          <a:blip r:embed="rId34" cstate="print"/>
                          <a:srcRect/>
                          <a:stretch>
                            <a:fillRect/>
                          </a:stretch>
                        </pic:blipFill>
                        <pic:spPr bwMode="auto">
                          <a:xfrm>
                            <a:off x="0" y="0"/>
                            <a:ext cx="1323975" cy="177165"/>
                          </a:xfrm>
                          <a:prstGeom prst="rect">
                            <a:avLst/>
                          </a:prstGeom>
                          <a:noFill/>
                          <a:ln w="9525">
                            <a:noFill/>
                            <a:miter lim="800000"/>
                            <a:headEnd/>
                            <a:tailEnd/>
                          </a:ln>
                        </pic:spPr>
                      </pic:pic>
                    </a:graphicData>
                  </a:graphic>
                </wp:inline>
              </w:drawing>
            </w:r>
            <w:r w:rsidRPr="008C693A">
              <w:rPr>
                <w:rFonts w:eastAsia="Calibri"/>
                <w:sz w:val="20"/>
                <w:szCs w:val="20"/>
                <w:lang w:val="fr-CA"/>
              </w:rPr>
              <w:t>.  La Société Laurentides avait commencé à fabriquer un produit bouche-pores dont l’étiquette indiquait « </w:t>
            </w:r>
            <w:r w:rsidRPr="008C693A">
              <w:rPr>
                <w:rFonts w:eastAsia="Calibri"/>
                <w:i/>
                <w:sz w:val="20"/>
                <w:szCs w:val="20"/>
                <w:lang w:val="fr-CA"/>
              </w:rPr>
              <w:t>Wood</w:t>
            </w:r>
            <w:r w:rsidRPr="008C693A">
              <w:rPr>
                <w:rFonts w:eastAsia="Calibri"/>
                <w:sz w:val="20"/>
                <w:szCs w:val="20"/>
                <w:lang w:val="fr-CA"/>
              </w:rPr>
              <w:t xml:space="preserve"> CONSERVATOR » et « CONSERVATEUR </w:t>
            </w:r>
            <w:r w:rsidRPr="008C693A">
              <w:rPr>
                <w:rFonts w:eastAsia="Calibri"/>
                <w:i/>
                <w:sz w:val="20"/>
                <w:szCs w:val="20"/>
                <w:lang w:val="fr-CA"/>
              </w:rPr>
              <w:t>pour bois</w:t>
            </w:r>
            <w:r w:rsidRPr="008C693A">
              <w:rPr>
                <w:rFonts w:eastAsia="Calibri"/>
                <w:sz w:val="20"/>
                <w:szCs w:val="20"/>
                <w:lang w:val="fr-CA"/>
              </w:rPr>
              <w:t xml:space="preserve"> ».  La Cour fédérale n’a pas conclu à une violation d’une marque de commerce au sens où il faut l’entendre pour l’application du par. 20(1) de la </w:t>
            </w:r>
            <w:r w:rsidRPr="008C693A">
              <w:rPr>
                <w:rFonts w:eastAsia="Calibri"/>
                <w:i/>
                <w:sz w:val="20"/>
                <w:szCs w:val="20"/>
                <w:lang w:val="fr-CA"/>
              </w:rPr>
              <w:t>Loi sur les marques de commerce</w:t>
            </w:r>
            <w:r w:rsidRPr="008C693A">
              <w:rPr>
                <w:rFonts w:eastAsia="Calibri"/>
                <w:sz w:val="20"/>
                <w:szCs w:val="20"/>
                <w:lang w:val="fr-CA"/>
              </w:rPr>
              <w:t>, L.R.C. 1985, c. T-13 (la « Loi ») et a rejeté l’action.  La Cour a également rejeté les arguments de la demanderesse quant à la confusion et à l’interdiction de faire passer un produit pour un autre.  La Cour d’appel fédérale a rejeté l’appel.</w:t>
            </w:r>
          </w:p>
          <w:p w:rsidR="006544D2" w:rsidRPr="008C693A" w:rsidRDefault="006544D2" w:rsidP="006544D2">
            <w:pPr>
              <w:jc w:val="both"/>
              <w:rPr>
                <w:rFonts w:eastAsia="Calibri"/>
                <w:sz w:val="20"/>
                <w:szCs w:val="20"/>
                <w:lang w:val="fr-CA"/>
              </w:rPr>
            </w:pPr>
          </w:p>
        </w:tc>
      </w:tr>
      <w:tr w:rsidR="006544D2" w:rsidRPr="008B79EB"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11 juin 2013</w:t>
            </w:r>
          </w:p>
          <w:p w:rsidR="006544D2" w:rsidRPr="008C693A" w:rsidRDefault="006544D2" w:rsidP="006544D2">
            <w:pPr>
              <w:jc w:val="both"/>
              <w:rPr>
                <w:rFonts w:eastAsia="Calibri"/>
                <w:sz w:val="20"/>
                <w:szCs w:val="20"/>
                <w:lang w:val="fr-CA"/>
              </w:rPr>
            </w:pPr>
            <w:r w:rsidRPr="008C693A">
              <w:rPr>
                <w:rFonts w:eastAsia="Calibri"/>
                <w:sz w:val="20"/>
                <w:szCs w:val="20"/>
                <w:lang w:val="fr-CA"/>
              </w:rPr>
              <w:t>Cour fédérale</w:t>
            </w:r>
          </w:p>
          <w:p w:rsidR="006544D2" w:rsidRPr="008C693A" w:rsidRDefault="006544D2" w:rsidP="006544D2">
            <w:pPr>
              <w:jc w:val="both"/>
              <w:rPr>
                <w:rFonts w:eastAsia="Calibri"/>
                <w:sz w:val="20"/>
                <w:szCs w:val="20"/>
                <w:lang w:val="fr-CA"/>
              </w:rPr>
            </w:pPr>
            <w:r w:rsidRPr="008C693A">
              <w:rPr>
                <w:rFonts w:eastAsia="Calibri"/>
                <w:sz w:val="20"/>
                <w:szCs w:val="20"/>
                <w:lang w:val="fr-CA"/>
              </w:rPr>
              <w:t>(Juge Martineau)</w:t>
            </w:r>
          </w:p>
          <w:p w:rsidR="006544D2" w:rsidRPr="008C693A" w:rsidRDefault="005A3634" w:rsidP="006544D2">
            <w:pPr>
              <w:jc w:val="both"/>
              <w:rPr>
                <w:rFonts w:eastAsia="Calibri"/>
                <w:sz w:val="20"/>
                <w:szCs w:val="20"/>
                <w:lang w:val="fr-CA"/>
              </w:rPr>
            </w:pPr>
            <w:hyperlink r:id="rId37" w:history="1">
              <w:r w:rsidR="006544D2" w:rsidRPr="008C693A">
                <w:rPr>
                  <w:rFonts w:eastAsia="Calibri"/>
                  <w:color w:val="0000FF"/>
                  <w:sz w:val="20"/>
                  <w:szCs w:val="20"/>
                  <w:u w:val="single"/>
                  <w:lang w:val="fr-CA"/>
                </w:rPr>
                <w:t>2013 CF 626</w:t>
              </w:r>
            </w:hyperlink>
          </w:p>
          <w:p w:rsidR="006544D2" w:rsidRPr="008C693A" w:rsidRDefault="006544D2" w:rsidP="006544D2">
            <w:pPr>
              <w:jc w:val="both"/>
              <w:rPr>
                <w:rFonts w:eastAsia="Calibri"/>
                <w:sz w:val="20"/>
                <w:szCs w:val="20"/>
                <w:lang w:val="fr-CA"/>
              </w:rPr>
            </w:pP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Rejet de l’action pour violation d’une marque de commerce intentée par la demanderesse </w:t>
            </w:r>
          </w:p>
          <w:p w:rsidR="006544D2" w:rsidRPr="008C693A" w:rsidRDefault="006544D2" w:rsidP="006544D2">
            <w:pPr>
              <w:jc w:val="both"/>
              <w:rPr>
                <w:rFonts w:eastAsia="Calibri"/>
                <w:sz w:val="20"/>
                <w:szCs w:val="20"/>
                <w:lang w:val="fr-CA"/>
              </w:rPr>
            </w:pPr>
          </w:p>
        </w:tc>
      </w:tr>
      <w:tr w:rsidR="006544D2" w:rsidRPr="008C693A"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3 juin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d’appel fédérale</w:t>
            </w:r>
          </w:p>
          <w:p w:rsidR="006544D2" w:rsidRPr="008C693A" w:rsidRDefault="006544D2" w:rsidP="006544D2">
            <w:pPr>
              <w:jc w:val="both"/>
              <w:rPr>
                <w:rFonts w:eastAsia="Calibri"/>
                <w:sz w:val="20"/>
                <w:szCs w:val="20"/>
                <w:lang w:val="fr-CA"/>
              </w:rPr>
            </w:pPr>
            <w:r w:rsidRPr="008C693A">
              <w:rPr>
                <w:rFonts w:eastAsia="Calibri"/>
                <w:sz w:val="20"/>
                <w:szCs w:val="20"/>
                <w:lang w:val="fr-CA"/>
              </w:rPr>
              <w:t>(Juges Mainville, Scott et Boivin)</w:t>
            </w:r>
          </w:p>
          <w:p w:rsidR="006544D2" w:rsidRPr="008C693A" w:rsidRDefault="005A3634" w:rsidP="006544D2">
            <w:pPr>
              <w:jc w:val="both"/>
              <w:rPr>
                <w:rFonts w:eastAsia="Calibri"/>
                <w:sz w:val="20"/>
                <w:szCs w:val="20"/>
                <w:lang w:val="fr-CA"/>
              </w:rPr>
            </w:pPr>
            <w:hyperlink r:id="rId38" w:history="1">
              <w:r w:rsidR="006544D2" w:rsidRPr="008C693A">
                <w:rPr>
                  <w:rFonts w:eastAsia="Calibri"/>
                  <w:color w:val="0000FF"/>
                  <w:sz w:val="20"/>
                  <w:szCs w:val="20"/>
                  <w:u w:val="single"/>
                  <w:lang w:val="fr-CA"/>
                </w:rPr>
                <w:t>2014 CAF 146</w:t>
              </w:r>
            </w:hyperlink>
          </w:p>
          <w:p w:rsidR="006544D2" w:rsidRPr="008C693A" w:rsidRDefault="006544D2" w:rsidP="006544D2">
            <w:pPr>
              <w:jc w:val="both"/>
              <w:rPr>
                <w:rFonts w:eastAsia="Calibri"/>
                <w:sz w:val="20"/>
                <w:szCs w:val="20"/>
                <w:lang w:val="fr-CA"/>
              </w:rPr>
            </w:pP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Rejet de l’appel</w:t>
            </w:r>
          </w:p>
          <w:p w:rsidR="006544D2" w:rsidRPr="008C693A" w:rsidRDefault="006544D2" w:rsidP="006544D2">
            <w:pPr>
              <w:jc w:val="both"/>
              <w:rPr>
                <w:rFonts w:eastAsia="Calibri"/>
                <w:sz w:val="20"/>
                <w:szCs w:val="20"/>
                <w:lang w:val="fr-CA"/>
              </w:rPr>
            </w:pPr>
          </w:p>
        </w:tc>
      </w:tr>
      <w:tr w:rsidR="006544D2" w:rsidRPr="008B79EB"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2 septembre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suprême du Canada</w:t>
            </w: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Dépôt de la demande d’autorisation d’appel </w:t>
            </w:r>
          </w:p>
          <w:p w:rsidR="006544D2" w:rsidRPr="008C693A" w:rsidRDefault="006544D2" w:rsidP="006544D2">
            <w:pPr>
              <w:jc w:val="both"/>
              <w:rPr>
                <w:rFonts w:eastAsia="Calibri"/>
                <w:sz w:val="20"/>
                <w:szCs w:val="20"/>
                <w:lang w:val="fr-CA"/>
              </w:rPr>
            </w:pPr>
          </w:p>
        </w:tc>
      </w:tr>
    </w:tbl>
    <w:p w:rsidR="007934D0" w:rsidRPr="006544D2" w:rsidRDefault="007934D0" w:rsidP="007934D0">
      <w:pPr>
        <w:rPr>
          <w:sz w:val="20"/>
          <w:szCs w:val="20"/>
          <w:lang w:val="fr-CA"/>
        </w:rPr>
      </w:pPr>
    </w:p>
    <w:p w:rsidR="007934D0" w:rsidRDefault="005A3634" w:rsidP="007934D0">
      <w:pPr>
        <w:rPr>
          <w:sz w:val="20"/>
          <w:szCs w:val="20"/>
          <w:lang w:val="fr-CA"/>
        </w:rPr>
      </w:pPr>
      <w:r>
        <w:rPr>
          <w:sz w:val="20"/>
          <w:szCs w:val="20"/>
          <w:lang w:val="fr-CA"/>
        </w:rPr>
        <w:pict>
          <v:rect id="_x0000_i1056" style="width:2in;height:1pt" o:hrpct="0" o:hralign="center" o:hrstd="t" o:hrnoshade="t" o:hr="t" fillcolor="black [3213]" stroked="f"/>
        </w:pict>
      </w:r>
    </w:p>
    <w:p w:rsidR="007934D0" w:rsidRDefault="007934D0" w:rsidP="007934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976F4" w:rsidRPr="00E62B49" w:rsidTr="006544D2">
        <w:trPr>
          <w:cantSplit/>
        </w:trPr>
        <w:tc>
          <w:tcPr>
            <w:tcW w:w="1458" w:type="dxa"/>
          </w:tcPr>
          <w:p w:rsidR="005976F4" w:rsidRPr="00E62B49" w:rsidRDefault="005976F4" w:rsidP="006544D2">
            <w:pPr>
              <w:rPr>
                <w:sz w:val="20"/>
                <w:szCs w:val="20"/>
              </w:rPr>
            </w:pPr>
            <w:r w:rsidRPr="00E62B49">
              <w:rPr>
                <w:rStyle w:val="SCCFileNumberChar"/>
                <w:sz w:val="20"/>
                <w:szCs w:val="20"/>
              </w:rPr>
              <w:t>36093</w:t>
            </w:r>
          </w:p>
          <w:p w:rsidR="005976F4" w:rsidRPr="00E62B49" w:rsidRDefault="005976F4" w:rsidP="006544D2">
            <w:pPr>
              <w:rPr>
                <w:b/>
                <w:sz w:val="20"/>
                <w:szCs w:val="20"/>
                <w:lang w:val="fr-CA"/>
              </w:rPr>
            </w:pPr>
          </w:p>
        </w:tc>
        <w:tc>
          <w:tcPr>
            <w:tcW w:w="8118" w:type="dxa"/>
          </w:tcPr>
          <w:p w:rsidR="005976F4" w:rsidRPr="00E62B49" w:rsidRDefault="005976F4" w:rsidP="006544D2">
            <w:pPr>
              <w:jc w:val="both"/>
              <w:rPr>
                <w:sz w:val="20"/>
                <w:szCs w:val="20"/>
              </w:rPr>
            </w:pPr>
            <w:r w:rsidRPr="005976F4">
              <w:rPr>
                <w:rStyle w:val="SCCLsocChar"/>
                <w:sz w:val="20"/>
                <w:szCs w:val="20"/>
                <w:lang w:val="en-CA"/>
              </w:rPr>
              <w:t>John Andrew McCombie, Stephen Nadori</w:t>
            </w:r>
            <w:r w:rsidR="009A103A">
              <w:rPr>
                <w:rStyle w:val="SCCLsocChar"/>
                <w:sz w:val="20"/>
                <w:szCs w:val="20"/>
                <w:lang w:val="en-CA"/>
              </w:rPr>
              <w:t xml:space="preserve"> and</w:t>
            </w:r>
            <w:r w:rsidRPr="005976F4">
              <w:rPr>
                <w:rStyle w:val="SCCLsocChar"/>
                <w:sz w:val="20"/>
                <w:szCs w:val="20"/>
                <w:lang w:val="en-CA"/>
              </w:rPr>
              <w:t xml:space="preserve"> Ottawa Police Services Board v. Romeo Joseph Phillion AND BETWEEN Attorney General of Ontario v. Romeo Joseph Phillion</w:t>
            </w:r>
            <w:r w:rsidRPr="00E62B49">
              <w:rPr>
                <w:sz w:val="20"/>
                <w:szCs w:val="20"/>
              </w:rPr>
              <w:t xml:space="preserve"> (Ont.) (Civil) (By Leave)</w:t>
            </w:r>
          </w:p>
          <w:p w:rsidR="005976F4" w:rsidRPr="00E62B49" w:rsidRDefault="005976F4" w:rsidP="006544D2">
            <w:pPr>
              <w:jc w:val="both"/>
              <w:rPr>
                <w:sz w:val="20"/>
                <w:szCs w:val="20"/>
              </w:rPr>
            </w:pPr>
          </w:p>
        </w:tc>
      </w:tr>
      <w:tr w:rsidR="005976F4" w:rsidRPr="008B79EB" w:rsidTr="006544D2">
        <w:trPr>
          <w:cantSplit/>
        </w:trPr>
        <w:tc>
          <w:tcPr>
            <w:tcW w:w="1458" w:type="dxa"/>
          </w:tcPr>
          <w:p w:rsidR="005976F4" w:rsidRPr="00E62B49" w:rsidRDefault="005976F4" w:rsidP="006544D2">
            <w:pPr>
              <w:rPr>
                <w:sz w:val="20"/>
                <w:szCs w:val="20"/>
              </w:rPr>
            </w:pPr>
            <w:r w:rsidRPr="00E62B49">
              <w:rPr>
                <w:sz w:val="20"/>
                <w:szCs w:val="20"/>
              </w:rPr>
              <w:t>Coram :</w:t>
            </w:r>
          </w:p>
        </w:tc>
        <w:tc>
          <w:tcPr>
            <w:tcW w:w="8118" w:type="dxa"/>
          </w:tcPr>
          <w:p w:rsidR="005976F4" w:rsidRPr="00E62B49" w:rsidRDefault="005976F4" w:rsidP="006544D2">
            <w:pPr>
              <w:rPr>
                <w:sz w:val="20"/>
                <w:szCs w:val="20"/>
                <w:lang w:val="fr-CA"/>
              </w:rPr>
            </w:pPr>
            <w:r w:rsidRPr="00E62B49">
              <w:rPr>
                <w:rStyle w:val="SCCCoramChar"/>
                <w:sz w:val="20"/>
                <w:szCs w:val="20"/>
              </w:rPr>
              <w:t>Abella, Karakatsanis and Côté JJ.</w:t>
            </w:r>
          </w:p>
          <w:p w:rsidR="005976F4" w:rsidRPr="00E62B49" w:rsidRDefault="005976F4" w:rsidP="006544D2">
            <w:pPr>
              <w:rPr>
                <w:sz w:val="20"/>
                <w:szCs w:val="20"/>
                <w:u w:val="single"/>
                <w:lang w:val="fr-CA"/>
              </w:rPr>
            </w:pPr>
          </w:p>
        </w:tc>
      </w:tr>
      <w:tr w:rsidR="005976F4" w:rsidRPr="008B79EB" w:rsidTr="006544D2">
        <w:trPr>
          <w:cantSplit/>
        </w:trPr>
        <w:tc>
          <w:tcPr>
            <w:tcW w:w="9576" w:type="dxa"/>
            <w:gridSpan w:val="2"/>
          </w:tcPr>
          <w:p w:rsidR="005976F4" w:rsidRPr="00E62B49" w:rsidRDefault="005976F4" w:rsidP="006544D2">
            <w:pPr>
              <w:pStyle w:val="SCCShortJudgment"/>
              <w:rPr>
                <w:szCs w:val="20"/>
              </w:rPr>
            </w:pPr>
            <w:r w:rsidRPr="00E62B49">
              <w:rPr>
                <w:szCs w:val="20"/>
              </w:rPr>
              <w:t>The applications for leave to appeal from the judgment of the Court of Appeal for Ontario, Number C57043, 2014 ONCA 567, dated July 31, 2014, are dismissed with costs.</w:t>
            </w:r>
          </w:p>
          <w:p w:rsidR="005976F4" w:rsidRPr="00E62B49" w:rsidRDefault="005976F4" w:rsidP="006544D2">
            <w:pPr>
              <w:pStyle w:val="SCCShortJudgment"/>
              <w:ind w:firstLine="0"/>
              <w:rPr>
                <w:szCs w:val="20"/>
              </w:rPr>
            </w:pPr>
          </w:p>
          <w:p w:rsidR="005976F4" w:rsidRPr="00E62B49" w:rsidRDefault="005976F4" w:rsidP="006544D2">
            <w:pPr>
              <w:pStyle w:val="SCCShortJudgment"/>
              <w:rPr>
                <w:szCs w:val="20"/>
                <w:lang w:val="fr-CA"/>
              </w:rPr>
            </w:pPr>
            <w:r w:rsidRPr="00E62B49">
              <w:rPr>
                <w:szCs w:val="20"/>
                <w:lang w:val="fr-CA"/>
              </w:rPr>
              <w:t>Les demandes d’autorisation d’appel de l’arrêt de la Cour d’appel de l’Ontario, numéro C57043, 2014 ONCA 567, daté du 31 juillet 2014, sont rejetées avec dépens.</w:t>
            </w:r>
          </w:p>
        </w:tc>
      </w:tr>
    </w:tbl>
    <w:p w:rsidR="005E636C" w:rsidRDefault="005E636C" w:rsidP="007934D0">
      <w:pPr>
        <w:rPr>
          <w:sz w:val="20"/>
          <w:szCs w:val="20"/>
          <w:lang w:val="fr-CA"/>
        </w:rPr>
      </w:pPr>
    </w:p>
    <w:p w:rsidR="005E636C" w:rsidRDefault="005E636C">
      <w:pPr>
        <w:rPr>
          <w:sz w:val="20"/>
          <w:szCs w:val="20"/>
          <w:lang w:val="fr-CA"/>
        </w:rPr>
      </w:pPr>
      <w:r>
        <w:rPr>
          <w:sz w:val="20"/>
          <w:szCs w:val="20"/>
          <w:lang w:val="fr-CA"/>
        </w:rPr>
        <w:br w:type="page"/>
      </w:r>
    </w:p>
    <w:p w:rsidR="007934D0" w:rsidRPr="001B157C" w:rsidRDefault="007934D0" w:rsidP="007934D0">
      <w:pPr>
        <w:rPr>
          <w:sz w:val="20"/>
          <w:szCs w:val="20"/>
          <w:u w:val="single"/>
        </w:rPr>
      </w:pPr>
      <w:r w:rsidRPr="001B157C">
        <w:rPr>
          <w:sz w:val="20"/>
          <w:szCs w:val="20"/>
          <w:u w:val="single"/>
        </w:rPr>
        <w:lastRenderedPageBreak/>
        <w:t>CASE SUMMARY</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C693A" w:rsidTr="006544D2">
        <w:tc>
          <w:tcPr>
            <w:tcW w:w="5000" w:type="pct"/>
            <w:gridSpan w:val="3"/>
          </w:tcPr>
          <w:p w:rsidR="006544D2" w:rsidRPr="008C693A" w:rsidRDefault="006544D2" w:rsidP="006544D2">
            <w:pPr>
              <w:jc w:val="both"/>
              <w:rPr>
                <w:rFonts w:eastAsia="Calibri"/>
                <w:sz w:val="20"/>
                <w:szCs w:val="20"/>
              </w:rPr>
            </w:pPr>
            <w:r w:rsidRPr="008C693A">
              <w:rPr>
                <w:rFonts w:eastAsia="Calibri"/>
                <w:sz w:val="20"/>
                <w:szCs w:val="20"/>
              </w:rPr>
              <w:t>Civil procedure – Abuse of process – Scope of the doctrine of abuse of process – Does it apply to findings that underlie an order or only to the terms of the order itself – Relevance of intention of the original court to its application? – Use to be made in civil proceedings of the findings of a criminal court reviewing the conviction of someone alleged to be wrongfully convicted years after the conviction? – Does a police officer owe a duty of care in negligence where a criminal court has found that the impugned conduct of the officer did not give rise to a duty? – Does a Crown Attorney owe a duty of care in negligence to an accused person in a civil action arising out of a prior prosecution – Whether abuse of process through re-litigation is not available unless the prior court decision makes clear that it intended to foreclose further proceedings and the legal question was the same in both proceedings.</w:t>
            </w:r>
          </w:p>
          <w:p w:rsidR="006544D2" w:rsidRPr="008C693A" w:rsidRDefault="006544D2" w:rsidP="006544D2">
            <w:pPr>
              <w:jc w:val="both"/>
              <w:rPr>
                <w:rFonts w:eastAsia="Calibri"/>
                <w:sz w:val="20"/>
                <w:szCs w:val="20"/>
              </w:rPr>
            </w:pPr>
          </w:p>
        </w:tc>
      </w:tr>
      <w:tr w:rsidR="006544D2" w:rsidRPr="008C693A" w:rsidTr="006544D2">
        <w:tc>
          <w:tcPr>
            <w:tcW w:w="5000" w:type="pct"/>
            <w:gridSpan w:val="3"/>
          </w:tcPr>
          <w:p w:rsidR="006544D2" w:rsidRPr="008C693A" w:rsidRDefault="006544D2" w:rsidP="006544D2">
            <w:pPr>
              <w:jc w:val="both"/>
              <w:rPr>
                <w:rFonts w:eastAsia="Calibri"/>
                <w:sz w:val="20"/>
                <w:szCs w:val="20"/>
              </w:rPr>
            </w:pPr>
            <w:r w:rsidRPr="008C693A">
              <w:rPr>
                <w:rFonts w:eastAsia="Calibri"/>
                <w:sz w:val="20"/>
                <w:szCs w:val="20"/>
              </w:rPr>
              <w:t>In 1972, a jury convicted Romeo Joseph Phillion of the 1967 murder of Leopold Roy.  Phillion had confessed to the murder, but retracted his confession soon after making it.  He maintained his innocence throughout his 31 year incarceration.  In 1998, he received disclosure of information that supported his alibi.  With the assistance of the Innocence Project, Phillion was able to get the matter of his conviction referred to the Court of Appeal for Ontario.  In 2009, the Court of Appeal admitted new evidence relating to the non-disclosure of alibi evidence and certain witness statements, quashed the conviction and ordered a new trial.  In 2010, the Crown announced it would not proceed with a new trial given the passage of time.  In 2012, Phillion brought an action in damages against the police and the Crown.  The applicants brought motions to have the action struck.  These were allowed.  Phillion appealed, and the Court of Appeal overturned the ruling.</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April 24, 2013</w:t>
            </w:r>
          </w:p>
          <w:p w:rsidR="006544D2" w:rsidRPr="008C693A" w:rsidRDefault="006544D2" w:rsidP="006544D2">
            <w:pPr>
              <w:jc w:val="both"/>
              <w:rPr>
                <w:rFonts w:eastAsia="Calibri"/>
                <w:sz w:val="20"/>
                <w:szCs w:val="20"/>
              </w:rPr>
            </w:pPr>
            <w:r w:rsidRPr="008C693A">
              <w:rPr>
                <w:rFonts w:eastAsia="Calibri"/>
                <w:sz w:val="20"/>
                <w:szCs w:val="20"/>
              </w:rPr>
              <w:t>Ontario Superior Court of Justice</w:t>
            </w:r>
          </w:p>
          <w:p w:rsidR="006544D2" w:rsidRPr="008C693A" w:rsidRDefault="006544D2" w:rsidP="006544D2">
            <w:pPr>
              <w:jc w:val="both"/>
              <w:rPr>
                <w:rFonts w:eastAsia="Calibri"/>
                <w:sz w:val="20"/>
                <w:szCs w:val="20"/>
              </w:rPr>
            </w:pPr>
            <w:r w:rsidRPr="008C693A">
              <w:rPr>
                <w:rFonts w:eastAsia="Calibri"/>
                <w:sz w:val="20"/>
                <w:szCs w:val="20"/>
              </w:rPr>
              <w:t>(Frank J.)</w:t>
            </w:r>
          </w:p>
          <w:p w:rsidR="006544D2" w:rsidRPr="008C693A" w:rsidRDefault="006544D2" w:rsidP="006544D2">
            <w:pPr>
              <w:jc w:val="both"/>
              <w:rPr>
                <w:rFonts w:eastAsia="Calibri"/>
                <w:sz w:val="20"/>
                <w:szCs w:val="20"/>
              </w:rPr>
            </w:pPr>
            <w:r w:rsidRPr="008C693A">
              <w:rPr>
                <w:rFonts w:eastAsia="Calibri"/>
                <w:sz w:val="20"/>
                <w:szCs w:val="20"/>
              </w:rPr>
              <w:t xml:space="preserve">Neutral citation: </w:t>
            </w:r>
            <w:hyperlink r:id="rId39" w:history="1">
              <w:r w:rsidRPr="008C693A">
                <w:rPr>
                  <w:rFonts w:eastAsia="Calibri"/>
                  <w:color w:val="0000FF"/>
                  <w:sz w:val="20"/>
                  <w:szCs w:val="20"/>
                  <w:u w:val="single"/>
                </w:rPr>
                <w:t>2013 ONSC 2426</w:t>
              </w:r>
            </w:hyperlink>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Motion to dismiss action granted; respondent’s action dismissed</w:t>
            </w: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July 31, 2014</w:t>
            </w:r>
          </w:p>
          <w:p w:rsidR="006544D2" w:rsidRPr="008C693A" w:rsidRDefault="006544D2" w:rsidP="006544D2">
            <w:pPr>
              <w:jc w:val="both"/>
              <w:rPr>
                <w:rFonts w:eastAsia="Calibri"/>
                <w:sz w:val="20"/>
                <w:szCs w:val="20"/>
              </w:rPr>
            </w:pPr>
            <w:r w:rsidRPr="008C693A">
              <w:rPr>
                <w:rFonts w:eastAsia="Calibri"/>
                <w:sz w:val="20"/>
                <w:szCs w:val="20"/>
              </w:rPr>
              <w:t>Court of Appeal for Ontario</w:t>
            </w:r>
          </w:p>
          <w:p w:rsidR="006544D2" w:rsidRPr="008C693A" w:rsidRDefault="006544D2" w:rsidP="006544D2">
            <w:pPr>
              <w:jc w:val="both"/>
              <w:rPr>
                <w:rFonts w:eastAsia="Calibri"/>
                <w:sz w:val="20"/>
                <w:szCs w:val="20"/>
              </w:rPr>
            </w:pPr>
            <w:r w:rsidRPr="008C693A">
              <w:rPr>
                <w:rFonts w:eastAsia="Calibri"/>
                <w:sz w:val="20"/>
                <w:szCs w:val="20"/>
              </w:rPr>
              <w:t>(Goudge, Feldman and MacFarland JJ.A.)</w:t>
            </w:r>
          </w:p>
          <w:p w:rsidR="006544D2" w:rsidRPr="008C693A" w:rsidRDefault="006544D2" w:rsidP="006544D2">
            <w:pPr>
              <w:jc w:val="both"/>
              <w:rPr>
                <w:rFonts w:eastAsia="Calibri"/>
                <w:sz w:val="20"/>
                <w:szCs w:val="20"/>
              </w:rPr>
            </w:pPr>
            <w:r w:rsidRPr="008C693A">
              <w:rPr>
                <w:rFonts w:eastAsia="Calibri"/>
                <w:sz w:val="20"/>
                <w:szCs w:val="20"/>
              </w:rPr>
              <w:t xml:space="preserve">Neutral citation: </w:t>
            </w:r>
            <w:hyperlink r:id="rId40" w:history="1">
              <w:r w:rsidRPr="008C693A">
                <w:rPr>
                  <w:rFonts w:eastAsia="Calibri"/>
                  <w:color w:val="0000FF"/>
                  <w:sz w:val="20"/>
                  <w:szCs w:val="20"/>
                  <w:u w:val="single"/>
                </w:rPr>
                <w:t>2014 ONCA 567</w:t>
              </w:r>
            </w:hyperlink>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Appeal allowed</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September 29, 2014</w:t>
            </w:r>
          </w:p>
          <w:p w:rsidR="006544D2" w:rsidRPr="008C693A" w:rsidRDefault="006544D2" w:rsidP="006544D2">
            <w:pPr>
              <w:jc w:val="both"/>
              <w:rPr>
                <w:rFonts w:eastAsia="Calibri"/>
                <w:sz w:val="20"/>
                <w:szCs w:val="20"/>
              </w:rPr>
            </w:pPr>
            <w:r w:rsidRPr="008C693A">
              <w:rPr>
                <w:rFonts w:eastAsia="Calibri"/>
                <w:sz w:val="20"/>
                <w:szCs w:val="20"/>
              </w:rPr>
              <w:t>Supreme Court of Canada</w:t>
            </w: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 xml:space="preserve">Applications for leave to appeal filed </w:t>
            </w:r>
          </w:p>
        </w:tc>
      </w:tr>
    </w:tbl>
    <w:p w:rsidR="007934D0" w:rsidRDefault="007934D0" w:rsidP="007934D0">
      <w:pPr>
        <w:rPr>
          <w:sz w:val="20"/>
          <w:szCs w:val="20"/>
        </w:rPr>
      </w:pPr>
    </w:p>
    <w:p w:rsidR="007934D0" w:rsidRPr="00C50A5C" w:rsidRDefault="005A3634" w:rsidP="007934D0">
      <w:pPr>
        <w:rPr>
          <w:sz w:val="20"/>
          <w:szCs w:val="20"/>
        </w:rPr>
      </w:pPr>
      <w:r>
        <w:rPr>
          <w:sz w:val="20"/>
          <w:szCs w:val="20"/>
          <w:lang w:val="fr-CA"/>
        </w:rPr>
        <w:pict>
          <v:rect id="_x0000_i1057" style="width:2in;height:1pt" o:hrpct="0" o:hralign="center" o:hrstd="t" o:hrnoshade="t" o:hr="t" fillcolor="black [3213]" stroked="f"/>
        </w:pict>
      </w:r>
    </w:p>
    <w:p w:rsidR="007934D0" w:rsidRDefault="007934D0" w:rsidP="007934D0">
      <w:pPr>
        <w:rPr>
          <w:sz w:val="20"/>
          <w:szCs w:val="20"/>
        </w:rPr>
      </w:pPr>
    </w:p>
    <w:p w:rsidR="007934D0" w:rsidRPr="001B157C" w:rsidRDefault="007934D0" w:rsidP="007934D0">
      <w:pPr>
        <w:rPr>
          <w:sz w:val="20"/>
          <w:szCs w:val="20"/>
          <w:u w:val="single"/>
          <w:lang w:val="fr-CA"/>
        </w:rPr>
      </w:pPr>
      <w:r w:rsidRPr="001B157C">
        <w:rPr>
          <w:sz w:val="20"/>
          <w:szCs w:val="20"/>
          <w:u w:val="single"/>
          <w:lang w:val="fr-CA"/>
        </w:rPr>
        <w:t>RÉSUMÉ DE L’AFFAIRE</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B79EB" w:rsidTr="006544D2">
        <w:tc>
          <w:tcPr>
            <w:tcW w:w="5000" w:type="pct"/>
            <w:gridSpan w:val="3"/>
          </w:tcPr>
          <w:p w:rsidR="006544D2" w:rsidRPr="008C693A" w:rsidRDefault="006544D2" w:rsidP="006544D2">
            <w:pPr>
              <w:jc w:val="both"/>
              <w:rPr>
                <w:rFonts w:eastAsia="Calibri"/>
                <w:sz w:val="20"/>
                <w:szCs w:val="20"/>
                <w:lang w:val="fr-CA"/>
              </w:rPr>
            </w:pPr>
            <w:r w:rsidRPr="008C693A">
              <w:rPr>
                <w:rFonts w:eastAsia="Calibri"/>
                <w:sz w:val="20"/>
                <w:szCs w:val="20"/>
                <w:lang w:val="fr-CA"/>
              </w:rPr>
              <w:t>Procédure civile – Abus de procédure – Portée de la doctrine de l’abus de procédure – La doctrine s’applique-t-elle aux conclusions qui sous-tendent une ordonnance ou seulement aux dispositions de l’ordonnance elle-même? – Pertinence de l’intention du premier tribunal pour l’application de cette doctrine – Utilisation pouvant être faite dans une instance civile des conclusions d’une cour criminelle ayant examiné la condamnation d’une personne qui, prétend-on, de nombreuses années après le procès aurait été injustement déclarée coupable? – Un policier a-t-il une obligation de diligence lorsqu’une cour criminelle a conclu que la conduite attaquée du policier ne faisait pas naître d’obligation? – Les procureurs de la Couronne ont-ils  envers les personnes accusées une obligation de diligence susceptible d’être invoquée dans une action civile découlant de poursuites pénales antérieures? – Est-il impossible de plaider l’abus de procédure en vue d’empêcher l’engagement d’une nouvelle instance, sauf dans les cas où il ressort clairement de la décision judiciaire antérieure que la cour qui l’a rendue entendait prohiber toute procédure ultérieure et que la question de droit serait la même dans la nouvelle instance?</w:t>
            </w:r>
          </w:p>
          <w:p w:rsidR="006544D2" w:rsidRPr="008C693A" w:rsidRDefault="006544D2" w:rsidP="006544D2">
            <w:pPr>
              <w:jc w:val="both"/>
              <w:rPr>
                <w:rFonts w:eastAsia="Calibri"/>
                <w:sz w:val="20"/>
                <w:szCs w:val="20"/>
                <w:lang w:val="fr-CA"/>
              </w:rPr>
            </w:pPr>
          </w:p>
        </w:tc>
      </w:tr>
      <w:tr w:rsidR="006544D2" w:rsidRPr="008B79EB" w:rsidTr="006544D2">
        <w:tc>
          <w:tcPr>
            <w:tcW w:w="5000" w:type="pct"/>
            <w:gridSpan w:val="3"/>
          </w:tcPr>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En 1972, Romeo Joseph Phillion a été déclaré coupable par un jury du meurtre de Leopold Roy en 1967.  Il avait </w:t>
            </w:r>
            <w:r w:rsidRPr="008C693A">
              <w:rPr>
                <w:rFonts w:eastAsia="Calibri"/>
                <w:sz w:val="20"/>
                <w:szCs w:val="20"/>
                <w:lang w:val="fr-CA"/>
              </w:rPr>
              <w:lastRenderedPageBreak/>
              <w:t xml:space="preserve">d’abord confessé être l’auteur du meurtre, mais s’était rétracté peu de temps après.  Il n’a jamais cessé de clamer son innocence pendant les 31 années de sa détention.  En 1998, des renseignements appuyant son alibi lui ont été communiqués.  Avec l’aide du </w:t>
            </w:r>
            <w:r w:rsidRPr="008C693A">
              <w:rPr>
                <w:rFonts w:eastAsia="Calibri"/>
                <w:i/>
                <w:sz w:val="20"/>
                <w:szCs w:val="20"/>
                <w:lang w:val="fr-CA"/>
              </w:rPr>
              <w:t>Innocence Project</w:t>
            </w:r>
            <w:r w:rsidRPr="008C693A">
              <w:rPr>
                <w:rFonts w:eastAsia="Calibri"/>
                <w:sz w:val="20"/>
                <w:szCs w:val="20"/>
                <w:lang w:val="fr-CA"/>
              </w:rPr>
              <w:t>, M. Phillion a pu faire renvoyer la question de sa déclaration de culpabilité à la Cour d’appel de l’Ontario.  En 2009, cette dernière a admis de nouvelles preuves concernant la non-communication de la preuve d’alibi et de certaines déclarations de témoins, annulé la condamnation et ordonné un nouveau procès.  En 2010, la Couronne a annoncé qu’en raison du temps qui s’était écoulé elle n’ouvrirait pas de nouveau procès.  En 2012, M. Phillion a intenté une action en dommages-intérêts contre la police et la Couronne.  Les demandeurs ont sollicité par voie de motion le rejet de l’action.  Ils ont obtenu gain de cause.  Monsieur Phillion a fait appel de cette décision et la Cour d’appel lui a donné raison.</w:t>
            </w:r>
          </w:p>
          <w:p w:rsidR="006544D2" w:rsidRPr="008C693A" w:rsidRDefault="006544D2" w:rsidP="006544D2">
            <w:pPr>
              <w:jc w:val="both"/>
              <w:rPr>
                <w:rFonts w:eastAsia="Calibri"/>
                <w:sz w:val="20"/>
                <w:szCs w:val="20"/>
                <w:lang w:val="fr-CA"/>
              </w:rPr>
            </w:pPr>
          </w:p>
        </w:tc>
      </w:tr>
      <w:tr w:rsidR="006544D2" w:rsidRPr="008B79EB"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lastRenderedPageBreak/>
              <w:t>24 avril 2013</w:t>
            </w:r>
          </w:p>
          <w:p w:rsidR="006544D2" w:rsidRPr="008C693A" w:rsidRDefault="006544D2" w:rsidP="006544D2">
            <w:pPr>
              <w:jc w:val="both"/>
              <w:rPr>
                <w:rFonts w:eastAsia="Calibri"/>
                <w:sz w:val="20"/>
                <w:szCs w:val="20"/>
                <w:lang w:val="fr-CA"/>
              </w:rPr>
            </w:pPr>
            <w:r w:rsidRPr="008C693A">
              <w:rPr>
                <w:rFonts w:eastAsia="Calibri"/>
                <w:sz w:val="20"/>
                <w:szCs w:val="20"/>
                <w:lang w:val="fr-CA"/>
              </w:rPr>
              <w:t>Cour supérieure de justice de l’Ontario</w:t>
            </w:r>
          </w:p>
          <w:p w:rsidR="006544D2" w:rsidRPr="008C693A" w:rsidRDefault="006544D2" w:rsidP="006544D2">
            <w:pPr>
              <w:jc w:val="both"/>
              <w:rPr>
                <w:rFonts w:eastAsia="Calibri"/>
                <w:sz w:val="20"/>
                <w:szCs w:val="20"/>
                <w:lang w:val="fr-CA"/>
              </w:rPr>
            </w:pPr>
            <w:r w:rsidRPr="008C693A">
              <w:rPr>
                <w:rFonts w:eastAsia="Calibri"/>
                <w:sz w:val="20"/>
                <w:szCs w:val="20"/>
                <w:lang w:val="fr-CA"/>
              </w:rPr>
              <w:t>(Juge Frank)</w:t>
            </w:r>
          </w:p>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Référence neutre : </w:t>
            </w:r>
            <w:hyperlink r:id="rId41" w:history="1">
              <w:r w:rsidRPr="008C693A">
                <w:rPr>
                  <w:rFonts w:eastAsia="Calibri"/>
                  <w:color w:val="0000FF"/>
                  <w:sz w:val="20"/>
                  <w:szCs w:val="20"/>
                  <w:u w:val="single"/>
                  <w:lang w:val="fr-CA"/>
                </w:rPr>
                <w:t>2013 ONSC 2426</w:t>
              </w:r>
            </w:hyperlink>
          </w:p>
          <w:p w:rsidR="006544D2" w:rsidRPr="008C693A" w:rsidRDefault="006544D2" w:rsidP="006544D2">
            <w:pPr>
              <w:jc w:val="both"/>
              <w:rPr>
                <w:rFonts w:eastAsia="Calibri"/>
                <w:sz w:val="20"/>
                <w:szCs w:val="20"/>
                <w:lang w:val="fr-CA"/>
              </w:rPr>
            </w:pP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Décision accueillant la motion en rejet de l’action; rejet de l’action de l’intimé</w:t>
            </w:r>
          </w:p>
        </w:tc>
      </w:tr>
      <w:tr w:rsidR="006544D2" w:rsidRPr="008C693A"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31 juillet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d’appel de l’Ontario</w:t>
            </w:r>
          </w:p>
          <w:p w:rsidR="006544D2" w:rsidRPr="008C693A" w:rsidRDefault="006544D2" w:rsidP="006544D2">
            <w:pPr>
              <w:jc w:val="both"/>
              <w:rPr>
                <w:rFonts w:eastAsia="Calibri"/>
                <w:sz w:val="20"/>
                <w:szCs w:val="20"/>
                <w:lang w:val="fr-CA"/>
              </w:rPr>
            </w:pPr>
            <w:r w:rsidRPr="008C693A">
              <w:rPr>
                <w:rFonts w:eastAsia="Calibri"/>
                <w:sz w:val="20"/>
                <w:szCs w:val="20"/>
                <w:lang w:val="fr-CA"/>
              </w:rPr>
              <w:t>(Juges Goudge, Feldman et MacFarland)</w:t>
            </w:r>
          </w:p>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Référence neutre : </w:t>
            </w:r>
            <w:hyperlink r:id="rId42" w:history="1">
              <w:r w:rsidRPr="008C693A">
                <w:rPr>
                  <w:rFonts w:eastAsia="Calibri"/>
                  <w:color w:val="0000FF"/>
                  <w:sz w:val="20"/>
                  <w:szCs w:val="20"/>
                  <w:u w:val="single"/>
                  <w:lang w:val="fr-CA"/>
                </w:rPr>
                <w:t>2014 ONCA 567</w:t>
              </w:r>
            </w:hyperlink>
          </w:p>
          <w:p w:rsidR="006544D2" w:rsidRPr="008C693A" w:rsidRDefault="006544D2" w:rsidP="006544D2">
            <w:pPr>
              <w:jc w:val="both"/>
              <w:rPr>
                <w:rFonts w:eastAsia="Calibri"/>
                <w:sz w:val="20"/>
                <w:szCs w:val="20"/>
                <w:lang w:val="fr-CA"/>
              </w:rPr>
            </w:pP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Arrêt faisant droit à l’appel</w:t>
            </w:r>
          </w:p>
          <w:p w:rsidR="006544D2" w:rsidRPr="008C693A" w:rsidRDefault="006544D2" w:rsidP="006544D2">
            <w:pPr>
              <w:jc w:val="both"/>
              <w:rPr>
                <w:rFonts w:eastAsia="Calibri"/>
                <w:sz w:val="20"/>
                <w:szCs w:val="20"/>
                <w:lang w:val="fr-CA"/>
              </w:rPr>
            </w:pPr>
          </w:p>
        </w:tc>
      </w:tr>
      <w:tr w:rsidR="006544D2" w:rsidRPr="008B79EB"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29 septembre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suprême du Canada</w:t>
            </w: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Dépôt de la demande d’autorisation d’appel </w:t>
            </w:r>
          </w:p>
        </w:tc>
      </w:tr>
    </w:tbl>
    <w:p w:rsidR="007934D0" w:rsidRPr="006544D2" w:rsidRDefault="007934D0" w:rsidP="007934D0">
      <w:pPr>
        <w:rPr>
          <w:sz w:val="20"/>
          <w:szCs w:val="20"/>
          <w:lang w:val="fr-CA"/>
        </w:rPr>
      </w:pPr>
    </w:p>
    <w:p w:rsidR="007934D0" w:rsidRDefault="005A3634" w:rsidP="007934D0">
      <w:pPr>
        <w:rPr>
          <w:sz w:val="20"/>
          <w:szCs w:val="20"/>
          <w:lang w:val="fr-CA"/>
        </w:rPr>
      </w:pPr>
      <w:r>
        <w:rPr>
          <w:sz w:val="20"/>
          <w:szCs w:val="20"/>
          <w:lang w:val="fr-CA"/>
        </w:rPr>
        <w:pict>
          <v:rect id="_x0000_i1058" style="width:2in;height:1pt" o:hrpct="0" o:hralign="center" o:hrstd="t" o:hrnoshade="t" o:hr="t" fillcolor="black [3213]" stroked="f"/>
        </w:pict>
      </w:r>
    </w:p>
    <w:p w:rsidR="007934D0" w:rsidRDefault="007934D0" w:rsidP="007934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976F4" w:rsidRPr="00E62B49" w:rsidTr="006544D2">
        <w:trPr>
          <w:cantSplit/>
        </w:trPr>
        <w:tc>
          <w:tcPr>
            <w:tcW w:w="1458" w:type="dxa"/>
          </w:tcPr>
          <w:p w:rsidR="005976F4" w:rsidRPr="00E62B49" w:rsidRDefault="005976F4" w:rsidP="006544D2">
            <w:pPr>
              <w:rPr>
                <w:sz w:val="20"/>
                <w:szCs w:val="20"/>
              </w:rPr>
            </w:pPr>
            <w:r w:rsidRPr="00E62B49">
              <w:rPr>
                <w:rStyle w:val="SCCFileNumberChar"/>
                <w:sz w:val="20"/>
                <w:szCs w:val="20"/>
              </w:rPr>
              <w:t>36098</w:t>
            </w:r>
          </w:p>
          <w:p w:rsidR="005976F4" w:rsidRPr="00E62B49" w:rsidRDefault="005976F4" w:rsidP="006544D2">
            <w:pPr>
              <w:rPr>
                <w:b/>
                <w:sz w:val="20"/>
                <w:szCs w:val="20"/>
                <w:lang w:val="fr-CA"/>
              </w:rPr>
            </w:pPr>
          </w:p>
        </w:tc>
        <w:tc>
          <w:tcPr>
            <w:tcW w:w="8118" w:type="dxa"/>
          </w:tcPr>
          <w:p w:rsidR="005976F4" w:rsidRPr="00E62B49" w:rsidRDefault="005976F4" w:rsidP="006544D2">
            <w:pPr>
              <w:jc w:val="both"/>
              <w:rPr>
                <w:sz w:val="20"/>
                <w:szCs w:val="20"/>
              </w:rPr>
            </w:pPr>
            <w:r w:rsidRPr="005976F4">
              <w:rPr>
                <w:rStyle w:val="SCCLsocChar"/>
                <w:sz w:val="20"/>
                <w:szCs w:val="20"/>
                <w:lang w:val="en-CA"/>
              </w:rPr>
              <w:t>Information and Privacy Commissioner of Alberta v. Imperial Oil Limited, City of Calgary, Her Majesty the Queen in Right of the Province of Alberta, as represented by the Minister of Environment</w:t>
            </w:r>
            <w:r w:rsidR="00EF0FCA">
              <w:rPr>
                <w:rStyle w:val="SCCLsocChar"/>
                <w:sz w:val="20"/>
                <w:szCs w:val="20"/>
                <w:lang w:val="en-CA"/>
              </w:rPr>
              <w:t xml:space="preserve"> and</w:t>
            </w:r>
            <w:r w:rsidRPr="005976F4">
              <w:rPr>
                <w:rStyle w:val="SCCLsocChar"/>
                <w:sz w:val="20"/>
                <w:szCs w:val="20"/>
                <w:lang w:val="en-CA"/>
              </w:rPr>
              <w:t xml:space="preserve"> Environmental Appeals Board</w:t>
            </w:r>
            <w:r w:rsidRPr="00E62B49">
              <w:rPr>
                <w:sz w:val="20"/>
                <w:szCs w:val="20"/>
              </w:rPr>
              <w:t xml:space="preserve"> (Alta.) (Civil) (By Leave)</w:t>
            </w:r>
          </w:p>
          <w:p w:rsidR="005976F4" w:rsidRPr="00E62B49" w:rsidRDefault="005976F4" w:rsidP="006544D2">
            <w:pPr>
              <w:jc w:val="both"/>
              <w:rPr>
                <w:sz w:val="20"/>
                <w:szCs w:val="20"/>
              </w:rPr>
            </w:pPr>
          </w:p>
        </w:tc>
      </w:tr>
      <w:tr w:rsidR="005976F4" w:rsidRPr="008B79EB" w:rsidTr="006544D2">
        <w:trPr>
          <w:cantSplit/>
        </w:trPr>
        <w:tc>
          <w:tcPr>
            <w:tcW w:w="1458" w:type="dxa"/>
          </w:tcPr>
          <w:p w:rsidR="005976F4" w:rsidRPr="00E62B49" w:rsidRDefault="005976F4" w:rsidP="006544D2">
            <w:pPr>
              <w:rPr>
                <w:sz w:val="20"/>
                <w:szCs w:val="20"/>
              </w:rPr>
            </w:pPr>
            <w:r w:rsidRPr="00E62B49">
              <w:rPr>
                <w:sz w:val="20"/>
                <w:szCs w:val="20"/>
              </w:rPr>
              <w:t>Coram :</w:t>
            </w:r>
          </w:p>
        </w:tc>
        <w:tc>
          <w:tcPr>
            <w:tcW w:w="8118" w:type="dxa"/>
          </w:tcPr>
          <w:p w:rsidR="005976F4" w:rsidRPr="00E62B49" w:rsidRDefault="005976F4" w:rsidP="006544D2">
            <w:pPr>
              <w:rPr>
                <w:sz w:val="20"/>
                <w:szCs w:val="20"/>
                <w:lang w:val="fr-CA"/>
              </w:rPr>
            </w:pPr>
            <w:r w:rsidRPr="00E62B49">
              <w:rPr>
                <w:rStyle w:val="SCCCoramChar"/>
                <w:sz w:val="20"/>
                <w:szCs w:val="20"/>
              </w:rPr>
              <w:t>Abella, Karakatsanis and Côté JJ.</w:t>
            </w:r>
          </w:p>
          <w:p w:rsidR="005976F4" w:rsidRPr="00E62B49" w:rsidRDefault="005976F4" w:rsidP="006544D2">
            <w:pPr>
              <w:rPr>
                <w:sz w:val="20"/>
                <w:szCs w:val="20"/>
                <w:u w:val="single"/>
                <w:lang w:val="fr-CA"/>
              </w:rPr>
            </w:pPr>
          </w:p>
        </w:tc>
      </w:tr>
      <w:tr w:rsidR="005976F4" w:rsidRPr="008B79EB" w:rsidTr="006544D2">
        <w:trPr>
          <w:cantSplit/>
        </w:trPr>
        <w:tc>
          <w:tcPr>
            <w:tcW w:w="9576" w:type="dxa"/>
            <w:gridSpan w:val="2"/>
          </w:tcPr>
          <w:p w:rsidR="005976F4" w:rsidRPr="00E62B49" w:rsidRDefault="005976F4" w:rsidP="006544D2">
            <w:pPr>
              <w:pStyle w:val="SCCShortJudgment"/>
              <w:rPr>
                <w:szCs w:val="20"/>
              </w:rPr>
            </w:pPr>
            <w:r w:rsidRPr="00E62B49">
              <w:rPr>
                <w:szCs w:val="20"/>
              </w:rPr>
              <w:t>The application for leave to appeal from the judgment of the Court of Appeal of Alberta (Calgary), Number 1301-0250-AC, 2014 ABCA 231, dated July 16, 2014, is dismissed with costs to the respondent, Her Majesty the Queen in Right of the Province of Alberta, as represented by the Minister of Environment.</w:t>
            </w:r>
          </w:p>
          <w:p w:rsidR="005976F4" w:rsidRPr="00E62B49" w:rsidRDefault="005976F4" w:rsidP="006544D2">
            <w:pPr>
              <w:pStyle w:val="SCCShortJudgment"/>
              <w:ind w:firstLine="0"/>
              <w:rPr>
                <w:szCs w:val="20"/>
              </w:rPr>
            </w:pPr>
          </w:p>
          <w:p w:rsidR="005976F4" w:rsidRPr="00E62B49" w:rsidRDefault="005976F4" w:rsidP="006544D2">
            <w:pPr>
              <w:pStyle w:val="SCCShortJudgment"/>
              <w:rPr>
                <w:szCs w:val="20"/>
                <w:lang w:val="fr-CA"/>
              </w:rPr>
            </w:pPr>
            <w:r w:rsidRPr="00E62B49">
              <w:rPr>
                <w:szCs w:val="20"/>
                <w:lang w:val="fr-CA"/>
              </w:rPr>
              <w:t>La demande d’autorisation d’appel de l’arrêt de la Cour d'appel de l’Alberta (Calgary), numéro 1301-0250-AC, 2014 ABCA 231, daté du 16 juillet 2014, est rejetée avec dépens en faveur de l’intimée Sa Majesté la Reine du chef de la province de l’Alberta, représentée par le ministre de l’Environnement.</w:t>
            </w:r>
          </w:p>
        </w:tc>
      </w:tr>
    </w:tbl>
    <w:p w:rsidR="007934D0" w:rsidRPr="005976F4" w:rsidRDefault="007934D0" w:rsidP="007934D0">
      <w:pPr>
        <w:rPr>
          <w:sz w:val="20"/>
          <w:szCs w:val="20"/>
          <w:lang w:val="fr-CA"/>
        </w:rPr>
      </w:pPr>
    </w:p>
    <w:p w:rsidR="007934D0" w:rsidRPr="001B157C" w:rsidRDefault="007934D0" w:rsidP="007934D0">
      <w:pPr>
        <w:rPr>
          <w:sz w:val="20"/>
          <w:szCs w:val="20"/>
          <w:u w:val="single"/>
        </w:rPr>
      </w:pPr>
      <w:r w:rsidRPr="001B157C">
        <w:rPr>
          <w:sz w:val="20"/>
          <w:szCs w:val="20"/>
          <w:u w:val="single"/>
        </w:rPr>
        <w:t>CASE SUMMARY</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C693A" w:rsidTr="006544D2">
        <w:tc>
          <w:tcPr>
            <w:tcW w:w="5000" w:type="pct"/>
            <w:gridSpan w:val="3"/>
          </w:tcPr>
          <w:p w:rsidR="006544D2" w:rsidRPr="008C693A" w:rsidRDefault="006544D2" w:rsidP="006544D2">
            <w:pPr>
              <w:jc w:val="both"/>
              <w:rPr>
                <w:rFonts w:eastAsia="Calibri"/>
                <w:smallCaps/>
                <w:sz w:val="20"/>
                <w:szCs w:val="20"/>
              </w:rPr>
            </w:pPr>
            <w:r w:rsidRPr="008C693A">
              <w:rPr>
                <w:rFonts w:eastAsia="Calibri"/>
                <w:smallCaps/>
                <w:sz w:val="20"/>
                <w:szCs w:val="20"/>
              </w:rPr>
              <w:t>(Sealing Order)</w:t>
            </w:r>
          </w:p>
          <w:p w:rsidR="006544D2" w:rsidRPr="008C693A" w:rsidRDefault="006544D2" w:rsidP="006544D2">
            <w:pPr>
              <w:jc w:val="both"/>
              <w:rPr>
                <w:rFonts w:eastAsia="Calibri"/>
                <w:sz w:val="20"/>
                <w:szCs w:val="20"/>
              </w:rPr>
            </w:pPr>
          </w:p>
          <w:p w:rsidR="006544D2" w:rsidRPr="008C693A" w:rsidRDefault="006544D2" w:rsidP="006544D2">
            <w:pPr>
              <w:jc w:val="both"/>
              <w:rPr>
                <w:rFonts w:eastAsia="Calibri"/>
                <w:sz w:val="20"/>
                <w:szCs w:val="20"/>
              </w:rPr>
            </w:pPr>
            <w:r w:rsidRPr="008C693A">
              <w:rPr>
                <w:rFonts w:eastAsia="Calibri"/>
                <w:sz w:val="20"/>
                <w:szCs w:val="20"/>
              </w:rPr>
              <w:t xml:space="preserve">Administrative law — Boards and tribunals — Information and Privacy Commission — Standing — Access to information — Chambers judge quashing Commissioner’s decision to release requested Agreement — Commissioner appealing to Court of Appeal — Whether the Commissioner has standing to launch appeal in the Court of Appeal — Whether settlement privilege attaches to a concluded agreement in context of regulatory proceedings brought in protection of public interest — Whether a public body can avoid terms of privacy and access legislation by negotiating a resolution to regulatory proceedings and agreeing to keep that resolution confidential — Whether the Commissioner unreasonably interpreted test for “harm to business interests” exception to access articulated in </w:t>
            </w:r>
            <w:r w:rsidRPr="008C693A">
              <w:rPr>
                <w:rFonts w:eastAsia="Calibri"/>
                <w:i/>
                <w:iCs/>
                <w:color w:val="000000"/>
                <w:sz w:val="20"/>
                <w:szCs w:val="20"/>
              </w:rPr>
              <w:t>Freedom of Information and Protection of Privacy Act</w:t>
            </w:r>
            <w:r w:rsidRPr="008C693A">
              <w:rPr>
                <w:rFonts w:eastAsia="Calibri"/>
                <w:color w:val="000000"/>
                <w:sz w:val="20"/>
                <w:szCs w:val="20"/>
              </w:rPr>
              <w:t>, R.S.A. 2000, c. F-25.</w:t>
            </w:r>
          </w:p>
        </w:tc>
      </w:tr>
      <w:tr w:rsidR="006544D2" w:rsidRPr="008C693A" w:rsidTr="006544D2">
        <w:tc>
          <w:tcPr>
            <w:tcW w:w="5000" w:type="pct"/>
            <w:gridSpan w:val="3"/>
          </w:tcPr>
          <w:p w:rsidR="006544D2" w:rsidRPr="008C693A" w:rsidRDefault="006544D2" w:rsidP="006544D2">
            <w:pPr>
              <w:jc w:val="both"/>
              <w:rPr>
                <w:rFonts w:eastAsia="Calibri"/>
                <w:sz w:val="20"/>
                <w:szCs w:val="20"/>
              </w:rPr>
            </w:pPr>
          </w:p>
        </w:tc>
      </w:tr>
      <w:tr w:rsidR="006544D2" w:rsidRPr="008C693A" w:rsidTr="006544D2">
        <w:tc>
          <w:tcPr>
            <w:tcW w:w="5000" w:type="pct"/>
            <w:gridSpan w:val="3"/>
          </w:tcPr>
          <w:p w:rsidR="006544D2" w:rsidRPr="008C693A" w:rsidRDefault="006544D2" w:rsidP="006544D2">
            <w:pPr>
              <w:jc w:val="both"/>
              <w:rPr>
                <w:rFonts w:eastAsia="Calibri"/>
                <w:color w:val="000000"/>
                <w:sz w:val="20"/>
                <w:szCs w:val="20"/>
              </w:rPr>
            </w:pPr>
            <w:r w:rsidRPr="008C693A">
              <w:rPr>
                <w:rFonts w:eastAsia="Calibri"/>
                <w:color w:val="000000"/>
                <w:sz w:val="20"/>
                <w:szCs w:val="20"/>
              </w:rPr>
              <w:t>The applicant, the Information and Privacy Commissioner of Alberta asks for leave to appeal the Court of Appeal’s decision quashing its appeal from the chambers judge.  The chambers judge had set aside the Commissioner’s order that required Alberta Environment to disclose to the City of Calgary a Remediation Agreement entered into between Imperial Oil, a Director of Environment, and others.</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December 18, 2007</w:t>
            </w:r>
          </w:p>
          <w:p w:rsidR="006544D2" w:rsidRPr="008C693A" w:rsidRDefault="006544D2" w:rsidP="006544D2">
            <w:pPr>
              <w:jc w:val="both"/>
              <w:rPr>
                <w:rFonts w:eastAsia="Calibri"/>
                <w:sz w:val="20"/>
                <w:szCs w:val="20"/>
              </w:rPr>
            </w:pPr>
            <w:r w:rsidRPr="008C693A">
              <w:rPr>
                <w:rFonts w:eastAsia="Calibri"/>
                <w:sz w:val="20"/>
                <w:szCs w:val="20"/>
              </w:rPr>
              <w:t xml:space="preserve">Information and Privacy Commissioner </w:t>
            </w:r>
          </w:p>
          <w:p w:rsidR="006544D2" w:rsidRPr="008C693A" w:rsidRDefault="006544D2" w:rsidP="006544D2">
            <w:pPr>
              <w:jc w:val="both"/>
              <w:rPr>
                <w:rFonts w:eastAsia="Calibri"/>
                <w:sz w:val="20"/>
                <w:szCs w:val="20"/>
              </w:rPr>
            </w:pPr>
            <w:r w:rsidRPr="008C693A">
              <w:rPr>
                <w:rFonts w:eastAsia="Calibri"/>
                <w:sz w:val="20"/>
                <w:szCs w:val="20"/>
              </w:rPr>
              <w:t>Alberta</w:t>
            </w:r>
          </w:p>
          <w:p w:rsidR="006544D2" w:rsidRPr="008C693A" w:rsidRDefault="006544D2" w:rsidP="006544D2">
            <w:pPr>
              <w:jc w:val="both"/>
              <w:rPr>
                <w:rFonts w:eastAsia="Calibri"/>
                <w:sz w:val="20"/>
                <w:szCs w:val="20"/>
              </w:rPr>
            </w:pPr>
            <w:r w:rsidRPr="008C693A">
              <w:rPr>
                <w:rFonts w:eastAsia="Calibri"/>
                <w:sz w:val="20"/>
                <w:szCs w:val="20"/>
              </w:rPr>
              <w:t>Order F2005-030</w:t>
            </w:r>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Remediation Agreement should be disclosed to the City of Calgary with some minor exceptions.</w:t>
            </w: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July 12, 2013</w:t>
            </w:r>
          </w:p>
          <w:p w:rsidR="006544D2" w:rsidRPr="008C693A" w:rsidRDefault="006544D2" w:rsidP="006544D2">
            <w:pPr>
              <w:jc w:val="both"/>
              <w:rPr>
                <w:rFonts w:eastAsia="Calibri"/>
                <w:sz w:val="20"/>
                <w:szCs w:val="20"/>
              </w:rPr>
            </w:pPr>
            <w:r w:rsidRPr="008C693A">
              <w:rPr>
                <w:rFonts w:eastAsia="Calibri"/>
                <w:sz w:val="20"/>
                <w:szCs w:val="20"/>
              </w:rPr>
              <w:t>Court of Queen’s Bench of Alberta</w:t>
            </w:r>
          </w:p>
          <w:p w:rsidR="006544D2" w:rsidRPr="008C693A" w:rsidRDefault="006544D2" w:rsidP="006544D2">
            <w:pPr>
              <w:jc w:val="both"/>
              <w:rPr>
                <w:rFonts w:eastAsia="Calibri"/>
                <w:sz w:val="20"/>
                <w:szCs w:val="20"/>
              </w:rPr>
            </w:pPr>
            <w:r w:rsidRPr="008C693A">
              <w:rPr>
                <w:rFonts w:eastAsia="Calibri"/>
                <w:sz w:val="20"/>
                <w:szCs w:val="20"/>
              </w:rPr>
              <w:t>(Stevens J.)</w:t>
            </w:r>
          </w:p>
          <w:p w:rsidR="006544D2" w:rsidRPr="008C693A" w:rsidRDefault="005A3634" w:rsidP="006544D2">
            <w:pPr>
              <w:jc w:val="both"/>
              <w:rPr>
                <w:rFonts w:eastAsia="Calibri"/>
                <w:sz w:val="20"/>
                <w:szCs w:val="20"/>
              </w:rPr>
            </w:pPr>
            <w:hyperlink r:id="rId43" w:history="1">
              <w:r w:rsidR="006544D2" w:rsidRPr="008C693A">
                <w:rPr>
                  <w:rFonts w:eastAsia="Calibri"/>
                  <w:color w:val="0000FF"/>
                  <w:sz w:val="20"/>
                  <w:szCs w:val="20"/>
                  <w:u w:val="single"/>
                </w:rPr>
                <w:t>2013 ABQB 393</w:t>
              </w:r>
            </w:hyperlink>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Order issued by office of Information and Privacy Commissioner quashed.</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July 16, 2014</w:t>
            </w:r>
          </w:p>
          <w:p w:rsidR="006544D2" w:rsidRPr="008C693A" w:rsidRDefault="006544D2" w:rsidP="006544D2">
            <w:pPr>
              <w:jc w:val="both"/>
              <w:rPr>
                <w:rFonts w:eastAsia="Calibri"/>
                <w:sz w:val="20"/>
                <w:szCs w:val="20"/>
              </w:rPr>
            </w:pPr>
            <w:r w:rsidRPr="008C693A">
              <w:rPr>
                <w:rFonts w:eastAsia="Calibri"/>
                <w:sz w:val="20"/>
                <w:szCs w:val="20"/>
              </w:rPr>
              <w:t>Court of Appeal of Alberta (Calgary)</w:t>
            </w:r>
          </w:p>
          <w:p w:rsidR="006544D2" w:rsidRPr="008C693A" w:rsidRDefault="006544D2" w:rsidP="006544D2">
            <w:pPr>
              <w:jc w:val="both"/>
              <w:rPr>
                <w:rFonts w:eastAsia="Calibri"/>
                <w:sz w:val="20"/>
                <w:szCs w:val="20"/>
              </w:rPr>
            </w:pPr>
            <w:r w:rsidRPr="008C693A">
              <w:rPr>
                <w:rFonts w:eastAsia="Calibri"/>
                <w:sz w:val="20"/>
                <w:szCs w:val="20"/>
              </w:rPr>
              <w:t>(Conrad, Slatter and Rowbotham JJ.A.)</w:t>
            </w:r>
          </w:p>
          <w:p w:rsidR="006544D2" w:rsidRPr="008C693A" w:rsidRDefault="005A3634" w:rsidP="006544D2">
            <w:pPr>
              <w:jc w:val="both"/>
              <w:rPr>
                <w:rFonts w:eastAsia="Calibri"/>
                <w:sz w:val="20"/>
                <w:szCs w:val="20"/>
              </w:rPr>
            </w:pPr>
            <w:hyperlink r:id="rId44" w:history="1">
              <w:r w:rsidR="006544D2" w:rsidRPr="008C693A">
                <w:rPr>
                  <w:rFonts w:eastAsia="Calibri"/>
                  <w:color w:val="0000FF"/>
                  <w:sz w:val="20"/>
                  <w:szCs w:val="20"/>
                  <w:u w:val="single"/>
                </w:rPr>
                <w:t>2014 ABCA 231</w:t>
              </w:r>
            </w:hyperlink>
          </w:p>
          <w:p w:rsidR="006544D2" w:rsidRPr="008C693A" w:rsidRDefault="006544D2" w:rsidP="006544D2">
            <w:pPr>
              <w:jc w:val="both"/>
              <w:rPr>
                <w:rFonts w:eastAsia="Calibri"/>
                <w:sz w:val="20"/>
                <w:szCs w:val="20"/>
              </w:rPr>
            </w:pPr>
            <w:r w:rsidRPr="008C693A">
              <w:rPr>
                <w:rFonts w:eastAsia="Calibri"/>
                <w:sz w:val="20"/>
                <w:szCs w:val="20"/>
              </w:rPr>
              <w:t>File No.: 1301-0250-AC</w:t>
            </w:r>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Appeal by Alberta information and Privacy Commissioner struck and dismissed.</w:t>
            </w: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September 29, 2014</w:t>
            </w:r>
          </w:p>
          <w:p w:rsidR="006544D2" w:rsidRPr="008C693A" w:rsidRDefault="006544D2" w:rsidP="006544D2">
            <w:pPr>
              <w:jc w:val="both"/>
              <w:rPr>
                <w:rFonts w:eastAsia="Calibri"/>
                <w:sz w:val="20"/>
                <w:szCs w:val="20"/>
              </w:rPr>
            </w:pPr>
            <w:r w:rsidRPr="008C693A">
              <w:rPr>
                <w:rFonts w:eastAsia="Calibri"/>
                <w:sz w:val="20"/>
                <w:szCs w:val="20"/>
              </w:rPr>
              <w:t>Supreme Court of Canada</w:t>
            </w: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Application for leave to appeal filed.</w:t>
            </w:r>
          </w:p>
          <w:p w:rsidR="006544D2" w:rsidRPr="008C693A" w:rsidRDefault="006544D2" w:rsidP="006544D2">
            <w:pPr>
              <w:jc w:val="both"/>
              <w:rPr>
                <w:rFonts w:eastAsia="Calibri"/>
                <w:sz w:val="20"/>
                <w:szCs w:val="20"/>
              </w:rPr>
            </w:pPr>
          </w:p>
        </w:tc>
      </w:tr>
    </w:tbl>
    <w:p w:rsidR="007934D0" w:rsidRDefault="007934D0" w:rsidP="007934D0">
      <w:pPr>
        <w:rPr>
          <w:sz w:val="20"/>
          <w:szCs w:val="20"/>
        </w:rPr>
      </w:pPr>
    </w:p>
    <w:p w:rsidR="007934D0" w:rsidRPr="00C50A5C" w:rsidRDefault="005A3634" w:rsidP="007934D0">
      <w:pPr>
        <w:rPr>
          <w:sz w:val="20"/>
          <w:szCs w:val="20"/>
        </w:rPr>
      </w:pPr>
      <w:r>
        <w:rPr>
          <w:sz w:val="20"/>
          <w:szCs w:val="20"/>
          <w:lang w:val="fr-CA"/>
        </w:rPr>
        <w:pict>
          <v:rect id="_x0000_i1059" style="width:2in;height:1pt" o:hrpct="0" o:hralign="center" o:hrstd="t" o:hrnoshade="t" o:hr="t" fillcolor="black [3213]" stroked="f"/>
        </w:pict>
      </w:r>
    </w:p>
    <w:p w:rsidR="007934D0" w:rsidRDefault="007934D0" w:rsidP="007934D0">
      <w:pPr>
        <w:rPr>
          <w:sz w:val="20"/>
          <w:szCs w:val="20"/>
        </w:rPr>
      </w:pPr>
    </w:p>
    <w:p w:rsidR="007934D0" w:rsidRPr="001B157C" w:rsidRDefault="007934D0" w:rsidP="007934D0">
      <w:pPr>
        <w:rPr>
          <w:sz w:val="20"/>
          <w:szCs w:val="20"/>
          <w:u w:val="single"/>
          <w:lang w:val="fr-CA"/>
        </w:rPr>
      </w:pPr>
      <w:r w:rsidRPr="001B157C">
        <w:rPr>
          <w:sz w:val="20"/>
          <w:szCs w:val="20"/>
          <w:u w:val="single"/>
          <w:lang w:val="fr-CA"/>
        </w:rPr>
        <w:t>RÉSUMÉ DE L’AFFAIRE</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B79EB" w:rsidTr="006544D2">
        <w:tc>
          <w:tcPr>
            <w:tcW w:w="5000" w:type="pct"/>
            <w:gridSpan w:val="3"/>
          </w:tcPr>
          <w:p w:rsidR="006544D2" w:rsidRPr="008C693A" w:rsidRDefault="006544D2" w:rsidP="006544D2">
            <w:pPr>
              <w:jc w:val="both"/>
              <w:rPr>
                <w:rFonts w:eastAsia="Calibri"/>
                <w:smallCaps/>
                <w:sz w:val="20"/>
                <w:szCs w:val="20"/>
                <w:lang w:val="fr-CA"/>
              </w:rPr>
            </w:pPr>
            <w:r w:rsidRPr="008C693A">
              <w:rPr>
                <w:rFonts w:eastAsia="Calibri"/>
                <w:smallCaps/>
                <w:sz w:val="20"/>
                <w:szCs w:val="20"/>
                <w:lang w:val="fr-CA"/>
              </w:rPr>
              <w:t>(Ordonnance de mise sous scellés)</w:t>
            </w:r>
          </w:p>
          <w:p w:rsidR="006544D2" w:rsidRPr="008C693A" w:rsidRDefault="006544D2" w:rsidP="006544D2">
            <w:pPr>
              <w:jc w:val="both"/>
              <w:rPr>
                <w:rFonts w:eastAsia="Calibri"/>
                <w:sz w:val="20"/>
                <w:szCs w:val="20"/>
                <w:lang w:val="fr-CA"/>
              </w:rPr>
            </w:pPr>
          </w:p>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Droit administratif — Organismes et tribunaux administratifs — Commissaire à l’information et à la vie privée — Qualité pour agir — Accès à l’information — Annulation par le juge en chambre de la décision du commissaire intimant de communiquer l’entente demandée — Appel interjeté par le commissaire devant la Cour d’appel — Le commissaire a-t-il qualité pour interjeter appel devant la Cour d’appel? — Le privilège relatif aux règlements s’applique-t-il à une entente conclue dans le contexte d’une procédure réglementaire visant à protéger l’intérêt public? — Un organisme public peut-il se soustraire aux dispositions des lois en matière de protection des renseignements personnels et d’accès à l’information en négociant le règlement d’une procédure réglementaire et en convenant de garder celui-ci confidentiel? — Le commissaire a-t-il interprété déraisonnablement le critère d’application de l’exception fondée sur la « communication préjudiciable à des intérêts commerciaux » prévue par la </w:t>
            </w:r>
            <w:r w:rsidRPr="008C693A">
              <w:rPr>
                <w:rFonts w:eastAsia="Calibri"/>
                <w:i/>
                <w:iCs/>
                <w:color w:val="000000"/>
                <w:sz w:val="20"/>
                <w:szCs w:val="20"/>
                <w:lang w:val="fr-CA"/>
              </w:rPr>
              <w:t>Freedom of Information and Protection of Privacy Act</w:t>
            </w:r>
            <w:r w:rsidRPr="008C693A">
              <w:rPr>
                <w:rFonts w:eastAsia="Calibri"/>
                <w:color w:val="000000"/>
                <w:sz w:val="20"/>
                <w:szCs w:val="20"/>
                <w:lang w:val="fr-CA"/>
              </w:rPr>
              <w:t>, R.S.A. 2000, c. F-25?</w:t>
            </w:r>
          </w:p>
        </w:tc>
      </w:tr>
      <w:tr w:rsidR="006544D2" w:rsidRPr="008B79EB" w:rsidTr="006544D2">
        <w:tc>
          <w:tcPr>
            <w:tcW w:w="5000" w:type="pct"/>
            <w:gridSpan w:val="3"/>
          </w:tcPr>
          <w:p w:rsidR="006544D2" w:rsidRPr="008C693A" w:rsidRDefault="006544D2" w:rsidP="006544D2">
            <w:pPr>
              <w:jc w:val="both"/>
              <w:rPr>
                <w:rFonts w:eastAsia="Calibri"/>
                <w:sz w:val="20"/>
                <w:szCs w:val="20"/>
                <w:lang w:val="fr-CA"/>
              </w:rPr>
            </w:pPr>
          </w:p>
        </w:tc>
      </w:tr>
      <w:tr w:rsidR="006544D2" w:rsidRPr="008B79EB" w:rsidTr="006544D2">
        <w:tc>
          <w:tcPr>
            <w:tcW w:w="5000" w:type="pct"/>
            <w:gridSpan w:val="3"/>
          </w:tcPr>
          <w:p w:rsidR="006544D2" w:rsidRPr="008C693A" w:rsidRDefault="006544D2" w:rsidP="006544D2">
            <w:pPr>
              <w:jc w:val="both"/>
              <w:rPr>
                <w:rFonts w:eastAsia="Calibri"/>
                <w:color w:val="000000"/>
                <w:sz w:val="20"/>
                <w:szCs w:val="20"/>
                <w:lang w:val="fr-CA"/>
              </w:rPr>
            </w:pPr>
            <w:r w:rsidRPr="008C693A">
              <w:rPr>
                <w:rFonts w:eastAsia="Calibri"/>
                <w:color w:val="000000"/>
                <w:sz w:val="20"/>
                <w:szCs w:val="20"/>
                <w:lang w:val="fr-CA"/>
              </w:rPr>
              <w:t>Le demandeur, l’Information and Privacy Commissioner of l’Alberta (le commissaire), sollicite l’autorisation d’interjeter appel de la décision de la Cour d’appel d’annuler son appel de la décision du juge en chambre, lequel a annulé l’ordonnance du commissaire intimant au ministère de l’environnement de l’Alberta de communiquer à la ville de Calgary une entente de remédiation conclue entre la Compagnie Pétrolière Impériale, un directeur du ministère de l’environnement et d’autres parties.</w:t>
            </w:r>
          </w:p>
          <w:p w:rsidR="006544D2" w:rsidRPr="008C693A" w:rsidRDefault="006544D2" w:rsidP="006544D2">
            <w:pPr>
              <w:jc w:val="both"/>
              <w:rPr>
                <w:rFonts w:eastAsia="Calibri"/>
                <w:sz w:val="20"/>
                <w:szCs w:val="20"/>
                <w:lang w:val="fr-CA"/>
              </w:rPr>
            </w:pPr>
          </w:p>
        </w:tc>
      </w:tr>
      <w:tr w:rsidR="006544D2" w:rsidRPr="008B79EB" w:rsidTr="00861DE3">
        <w:trPr>
          <w:cantSplit/>
        </w:trPr>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lastRenderedPageBreak/>
              <w:t>18 décembre 2007</w:t>
            </w:r>
          </w:p>
          <w:p w:rsidR="006544D2" w:rsidRPr="008C693A" w:rsidRDefault="006544D2" w:rsidP="006544D2">
            <w:pPr>
              <w:jc w:val="both"/>
              <w:rPr>
                <w:rFonts w:eastAsia="Calibri"/>
                <w:sz w:val="20"/>
                <w:szCs w:val="20"/>
                <w:lang w:val="fr-CA"/>
              </w:rPr>
            </w:pPr>
            <w:r w:rsidRPr="008C693A">
              <w:rPr>
                <w:rFonts w:eastAsia="Calibri"/>
                <w:sz w:val="20"/>
                <w:szCs w:val="20"/>
                <w:lang w:val="fr-CA"/>
              </w:rPr>
              <w:t xml:space="preserve">Information and Privacy Commissioner </w:t>
            </w:r>
          </w:p>
          <w:p w:rsidR="006544D2" w:rsidRPr="008C693A" w:rsidRDefault="006544D2" w:rsidP="006544D2">
            <w:pPr>
              <w:jc w:val="both"/>
              <w:rPr>
                <w:rFonts w:eastAsia="Calibri"/>
                <w:sz w:val="20"/>
                <w:szCs w:val="20"/>
                <w:lang w:val="fr-CA"/>
              </w:rPr>
            </w:pPr>
            <w:r w:rsidRPr="008C693A">
              <w:rPr>
                <w:rFonts w:eastAsia="Calibri"/>
                <w:sz w:val="20"/>
                <w:szCs w:val="20"/>
                <w:lang w:val="fr-CA"/>
              </w:rPr>
              <w:t>Alberta</w:t>
            </w:r>
          </w:p>
          <w:p w:rsidR="006544D2" w:rsidRPr="008C693A" w:rsidRDefault="006544D2" w:rsidP="006544D2">
            <w:pPr>
              <w:jc w:val="both"/>
              <w:rPr>
                <w:rFonts w:eastAsia="Calibri"/>
                <w:sz w:val="20"/>
                <w:szCs w:val="20"/>
                <w:lang w:val="fr-CA"/>
              </w:rPr>
            </w:pPr>
            <w:r w:rsidRPr="008C693A">
              <w:rPr>
                <w:rFonts w:eastAsia="Calibri"/>
                <w:sz w:val="20"/>
                <w:szCs w:val="20"/>
                <w:lang w:val="fr-CA"/>
              </w:rPr>
              <w:t>Ordonnance F2005-030</w:t>
            </w:r>
          </w:p>
          <w:p w:rsidR="006544D2" w:rsidRPr="008C693A" w:rsidRDefault="006544D2" w:rsidP="006544D2">
            <w:pPr>
              <w:jc w:val="both"/>
              <w:rPr>
                <w:rFonts w:eastAsia="Calibri"/>
                <w:sz w:val="20"/>
                <w:szCs w:val="20"/>
                <w:lang w:val="fr-CA"/>
              </w:rPr>
            </w:pP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Ordonnance intimant de communiquer à la ville de Calgary l’entente de remédiation sous réserve de certaines exceptions mineures.</w:t>
            </w:r>
          </w:p>
        </w:tc>
      </w:tr>
      <w:tr w:rsidR="006544D2" w:rsidRPr="008B79EB" w:rsidTr="00861DE3">
        <w:trPr>
          <w:cantSplit/>
        </w:trPr>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12 juillet 2013</w:t>
            </w:r>
          </w:p>
          <w:p w:rsidR="006544D2" w:rsidRPr="008C693A" w:rsidRDefault="006544D2" w:rsidP="006544D2">
            <w:pPr>
              <w:jc w:val="both"/>
              <w:rPr>
                <w:rFonts w:eastAsia="Calibri"/>
                <w:sz w:val="20"/>
                <w:szCs w:val="20"/>
                <w:lang w:val="fr-CA"/>
              </w:rPr>
            </w:pPr>
            <w:r w:rsidRPr="008C693A">
              <w:rPr>
                <w:rFonts w:eastAsia="Calibri"/>
                <w:sz w:val="20"/>
                <w:szCs w:val="20"/>
                <w:lang w:val="fr-CA"/>
              </w:rPr>
              <w:t>Cour du Banc de la Reine de l’Alberta</w:t>
            </w:r>
          </w:p>
          <w:p w:rsidR="006544D2" w:rsidRPr="008C693A" w:rsidRDefault="006544D2" w:rsidP="006544D2">
            <w:pPr>
              <w:jc w:val="both"/>
              <w:rPr>
                <w:rFonts w:eastAsia="Calibri"/>
                <w:sz w:val="20"/>
                <w:szCs w:val="20"/>
                <w:lang w:val="fr-CA"/>
              </w:rPr>
            </w:pPr>
            <w:r w:rsidRPr="008C693A">
              <w:rPr>
                <w:rFonts w:eastAsia="Calibri"/>
                <w:sz w:val="20"/>
                <w:szCs w:val="20"/>
                <w:lang w:val="fr-CA"/>
              </w:rPr>
              <w:t>(Juge Stevens)</w:t>
            </w:r>
          </w:p>
          <w:p w:rsidR="006544D2" w:rsidRPr="008C693A" w:rsidRDefault="005A3634" w:rsidP="006544D2">
            <w:pPr>
              <w:jc w:val="both"/>
              <w:rPr>
                <w:rFonts w:eastAsia="Calibri"/>
                <w:sz w:val="20"/>
                <w:szCs w:val="20"/>
                <w:lang w:val="fr-CA"/>
              </w:rPr>
            </w:pPr>
            <w:hyperlink r:id="rId45" w:history="1">
              <w:r w:rsidR="006544D2" w:rsidRPr="008C693A">
                <w:rPr>
                  <w:rFonts w:eastAsia="Calibri"/>
                  <w:color w:val="0000FF"/>
                  <w:sz w:val="20"/>
                  <w:szCs w:val="20"/>
                  <w:u w:val="single"/>
                  <w:lang w:val="fr-CA"/>
                </w:rPr>
                <w:t>2013 ABQB 393</w:t>
              </w:r>
            </w:hyperlink>
          </w:p>
          <w:p w:rsidR="006544D2" w:rsidRPr="008C693A" w:rsidRDefault="006544D2" w:rsidP="006544D2">
            <w:pPr>
              <w:jc w:val="both"/>
              <w:rPr>
                <w:rFonts w:eastAsia="Calibri"/>
                <w:sz w:val="20"/>
                <w:szCs w:val="20"/>
                <w:lang w:val="fr-CA"/>
              </w:rPr>
            </w:pP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Annulation de l’ordonnance prononcée par le bureau du commissaire.</w:t>
            </w:r>
          </w:p>
          <w:p w:rsidR="006544D2" w:rsidRPr="008C693A" w:rsidRDefault="006544D2" w:rsidP="006544D2">
            <w:pPr>
              <w:jc w:val="both"/>
              <w:rPr>
                <w:rFonts w:eastAsia="Calibri"/>
                <w:sz w:val="20"/>
                <w:szCs w:val="20"/>
                <w:lang w:val="fr-CA"/>
              </w:rPr>
            </w:pPr>
          </w:p>
        </w:tc>
      </w:tr>
      <w:tr w:rsidR="006544D2" w:rsidRPr="008B79EB" w:rsidTr="00861DE3">
        <w:trPr>
          <w:cantSplit/>
        </w:trPr>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16 juillet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d’appel de l’Alberta (Calgary)</w:t>
            </w:r>
          </w:p>
          <w:p w:rsidR="006544D2" w:rsidRPr="008C693A" w:rsidRDefault="006544D2" w:rsidP="006544D2">
            <w:pPr>
              <w:jc w:val="both"/>
              <w:rPr>
                <w:rFonts w:eastAsia="Calibri"/>
                <w:sz w:val="20"/>
                <w:szCs w:val="20"/>
                <w:lang w:val="fr-CA"/>
              </w:rPr>
            </w:pPr>
            <w:r w:rsidRPr="008C693A">
              <w:rPr>
                <w:rFonts w:eastAsia="Calibri"/>
                <w:sz w:val="20"/>
                <w:szCs w:val="20"/>
                <w:lang w:val="fr-CA"/>
              </w:rPr>
              <w:t>(Juges Conrad, Slatter et Rowbotham)</w:t>
            </w:r>
          </w:p>
          <w:p w:rsidR="006544D2" w:rsidRPr="008C693A" w:rsidRDefault="005A3634" w:rsidP="006544D2">
            <w:pPr>
              <w:jc w:val="both"/>
              <w:rPr>
                <w:rFonts w:eastAsia="Calibri"/>
                <w:sz w:val="20"/>
                <w:szCs w:val="20"/>
                <w:lang w:val="fr-CA"/>
              </w:rPr>
            </w:pPr>
            <w:hyperlink r:id="rId46" w:history="1">
              <w:r w:rsidR="006544D2" w:rsidRPr="008C693A">
                <w:rPr>
                  <w:rFonts w:eastAsia="Calibri"/>
                  <w:color w:val="0000FF"/>
                  <w:sz w:val="20"/>
                  <w:szCs w:val="20"/>
                  <w:u w:val="single"/>
                  <w:lang w:val="fr-CA"/>
                </w:rPr>
                <w:t>2014 ABCA 231</w:t>
              </w:r>
            </w:hyperlink>
          </w:p>
          <w:p w:rsidR="006544D2" w:rsidRPr="008C693A" w:rsidRDefault="006544D2" w:rsidP="006544D2">
            <w:pPr>
              <w:jc w:val="both"/>
              <w:rPr>
                <w:rFonts w:eastAsia="Calibri"/>
                <w:sz w:val="20"/>
                <w:szCs w:val="20"/>
                <w:lang w:val="fr-CA"/>
              </w:rPr>
            </w:pPr>
            <w:r w:rsidRPr="008C693A">
              <w:rPr>
                <w:rFonts w:eastAsia="Calibri"/>
                <w:sz w:val="20"/>
                <w:szCs w:val="20"/>
                <w:lang w:val="fr-CA"/>
              </w:rPr>
              <w:t>N</w:t>
            </w:r>
            <w:r w:rsidRPr="008C693A">
              <w:rPr>
                <w:rFonts w:eastAsia="Calibri"/>
                <w:sz w:val="20"/>
                <w:szCs w:val="20"/>
                <w:vertAlign w:val="superscript"/>
                <w:lang w:val="fr-CA"/>
              </w:rPr>
              <w:t>o</w:t>
            </w:r>
            <w:r w:rsidRPr="008C693A">
              <w:rPr>
                <w:rFonts w:eastAsia="Calibri"/>
                <w:sz w:val="20"/>
                <w:szCs w:val="20"/>
                <w:lang w:val="fr-CA"/>
              </w:rPr>
              <w:t xml:space="preserve"> du greffe : 1301-0250-AC</w:t>
            </w:r>
          </w:p>
          <w:p w:rsidR="006544D2" w:rsidRPr="008C693A" w:rsidRDefault="006544D2" w:rsidP="006544D2">
            <w:pPr>
              <w:jc w:val="both"/>
              <w:rPr>
                <w:rFonts w:eastAsia="Calibri"/>
                <w:sz w:val="20"/>
                <w:szCs w:val="20"/>
                <w:lang w:val="fr-CA"/>
              </w:rPr>
            </w:pP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Radiation et rejet de l’appel interjeté par le commissaire.</w:t>
            </w:r>
          </w:p>
        </w:tc>
      </w:tr>
      <w:tr w:rsidR="006544D2" w:rsidRPr="008B79EB" w:rsidTr="00861DE3">
        <w:trPr>
          <w:cantSplit/>
        </w:trPr>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29 septembre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suprême du Canada</w:t>
            </w: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Dépôt de la demande d’autorisation d’appel.</w:t>
            </w:r>
          </w:p>
          <w:p w:rsidR="006544D2" w:rsidRPr="008C693A" w:rsidRDefault="006544D2" w:rsidP="006544D2">
            <w:pPr>
              <w:jc w:val="both"/>
              <w:rPr>
                <w:rFonts w:eastAsia="Calibri"/>
                <w:sz w:val="20"/>
                <w:szCs w:val="20"/>
                <w:lang w:val="fr-CA"/>
              </w:rPr>
            </w:pPr>
          </w:p>
        </w:tc>
      </w:tr>
    </w:tbl>
    <w:p w:rsidR="007934D0" w:rsidRPr="006544D2" w:rsidRDefault="007934D0" w:rsidP="007934D0">
      <w:pPr>
        <w:rPr>
          <w:sz w:val="20"/>
          <w:szCs w:val="20"/>
          <w:lang w:val="fr-CA"/>
        </w:rPr>
      </w:pPr>
    </w:p>
    <w:p w:rsidR="007934D0" w:rsidRDefault="005A3634" w:rsidP="007934D0">
      <w:pPr>
        <w:rPr>
          <w:sz w:val="20"/>
          <w:szCs w:val="20"/>
          <w:lang w:val="fr-CA"/>
        </w:rPr>
      </w:pPr>
      <w:r>
        <w:rPr>
          <w:sz w:val="20"/>
          <w:szCs w:val="20"/>
          <w:lang w:val="fr-CA"/>
        </w:rPr>
        <w:pict>
          <v:rect id="_x0000_i1060" style="width:2in;height:1pt" o:hrpct="0" o:hralign="center" o:hrstd="t" o:hrnoshade="t" o:hr="t" fillcolor="black [3213]" stroked="f"/>
        </w:pict>
      </w:r>
    </w:p>
    <w:p w:rsidR="007934D0" w:rsidRDefault="007934D0" w:rsidP="007934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976F4" w:rsidRPr="008B79EB" w:rsidTr="006544D2">
        <w:trPr>
          <w:cantSplit/>
        </w:trPr>
        <w:tc>
          <w:tcPr>
            <w:tcW w:w="1458" w:type="dxa"/>
          </w:tcPr>
          <w:p w:rsidR="005976F4" w:rsidRPr="00E62B49" w:rsidRDefault="005976F4" w:rsidP="006544D2">
            <w:pPr>
              <w:rPr>
                <w:sz w:val="20"/>
                <w:szCs w:val="20"/>
              </w:rPr>
            </w:pPr>
            <w:r w:rsidRPr="00E62B49">
              <w:rPr>
                <w:rStyle w:val="SCCFileNumberChar"/>
                <w:sz w:val="20"/>
                <w:szCs w:val="20"/>
              </w:rPr>
              <w:t>36109</w:t>
            </w:r>
          </w:p>
          <w:p w:rsidR="005976F4" w:rsidRPr="00E62B49" w:rsidRDefault="005976F4" w:rsidP="006544D2">
            <w:pPr>
              <w:rPr>
                <w:b/>
                <w:sz w:val="20"/>
                <w:szCs w:val="20"/>
                <w:lang w:val="fr-CA"/>
              </w:rPr>
            </w:pPr>
          </w:p>
        </w:tc>
        <w:tc>
          <w:tcPr>
            <w:tcW w:w="8118" w:type="dxa"/>
          </w:tcPr>
          <w:p w:rsidR="005976F4" w:rsidRPr="00E62B49" w:rsidRDefault="005976F4" w:rsidP="006544D2">
            <w:pPr>
              <w:rPr>
                <w:sz w:val="20"/>
                <w:szCs w:val="20"/>
                <w:lang w:val="fr-CA"/>
              </w:rPr>
            </w:pPr>
            <w:r w:rsidRPr="00E62B49">
              <w:rPr>
                <w:rStyle w:val="SCCLsocChar"/>
                <w:sz w:val="20"/>
                <w:szCs w:val="20"/>
              </w:rPr>
              <w:t>Pascal Beaudoin c. Sa Majesté la Reine</w:t>
            </w:r>
            <w:r w:rsidRPr="00E62B49">
              <w:rPr>
                <w:sz w:val="20"/>
                <w:szCs w:val="20"/>
                <w:lang w:val="fr-CA"/>
              </w:rPr>
              <w:t xml:space="preserve"> (Qc) (Criminelle) (Autorisation)</w:t>
            </w:r>
          </w:p>
          <w:p w:rsidR="005976F4" w:rsidRPr="00E62B49" w:rsidRDefault="005976F4" w:rsidP="006544D2">
            <w:pPr>
              <w:rPr>
                <w:sz w:val="20"/>
                <w:szCs w:val="20"/>
                <w:lang w:val="fr-CA"/>
              </w:rPr>
            </w:pPr>
          </w:p>
        </w:tc>
      </w:tr>
      <w:tr w:rsidR="005976F4" w:rsidRPr="008B79EB" w:rsidTr="006544D2">
        <w:trPr>
          <w:cantSplit/>
        </w:trPr>
        <w:tc>
          <w:tcPr>
            <w:tcW w:w="1458" w:type="dxa"/>
          </w:tcPr>
          <w:p w:rsidR="005976F4" w:rsidRPr="00E62B49" w:rsidRDefault="005976F4" w:rsidP="006544D2">
            <w:pPr>
              <w:rPr>
                <w:sz w:val="20"/>
                <w:szCs w:val="20"/>
              </w:rPr>
            </w:pPr>
            <w:r w:rsidRPr="00E62B49">
              <w:rPr>
                <w:sz w:val="20"/>
                <w:szCs w:val="20"/>
              </w:rPr>
              <w:t>Coram :</w:t>
            </w:r>
          </w:p>
        </w:tc>
        <w:tc>
          <w:tcPr>
            <w:tcW w:w="8118" w:type="dxa"/>
          </w:tcPr>
          <w:p w:rsidR="005976F4" w:rsidRPr="00E62B49" w:rsidRDefault="005976F4" w:rsidP="006544D2">
            <w:pPr>
              <w:rPr>
                <w:sz w:val="20"/>
                <w:szCs w:val="20"/>
                <w:lang w:val="fr-CA"/>
              </w:rPr>
            </w:pPr>
            <w:r w:rsidRPr="00E62B49">
              <w:rPr>
                <w:rStyle w:val="SCCCoramChar"/>
                <w:sz w:val="20"/>
                <w:szCs w:val="20"/>
              </w:rPr>
              <w:t>Les juges Abella, Karakatsanis et Côté</w:t>
            </w:r>
          </w:p>
          <w:p w:rsidR="005976F4" w:rsidRPr="00E62B49" w:rsidRDefault="005976F4" w:rsidP="006544D2">
            <w:pPr>
              <w:rPr>
                <w:sz w:val="20"/>
                <w:szCs w:val="20"/>
                <w:u w:val="single"/>
                <w:lang w:val="fr-CA"/>
              </w:rPr>
            </w:pPr>
          </w:p>
        </w:tc>
      </w:tr>
      <w:tr w:rsidR="005976F4" w:rsidRPr="00E62B49" w:rsidTr="006544D2">
        <w:trPr>
          <w:cantSplit/>
        </w:trPr>
        <w:tc>
          <w:tcPr>
            <w:tcW w:w="9576" w:type="dxa"/>
            <w:gridSpan w:val="2"/>
          </w:tcPr>
          <w:p w:rsidR="005976F4" w:rsidRPr="00E62B49" w:rsidRDefault="005976F4" w:rsidP="006544D2">
            <w:pPr>
              <w:pStyle w:val="SCCShortJudgment"/>
              <w:rPr>
                <w:szCs w:val="20"/>
                <w:lang w:val="fr-CA"/>
              </w:rPr>
            </w:pPr>
            <w:r w:rsidRPr="00E62B49">
              <w:rPr>
                <w:szCs w:val="20"/>
                <w:lang w:val="fr-CA"/>
              </w:rPr>
              <w:t>La requête en prorogation du délai de signification et de dépôt de la demande d’autorisation d’appel est accueillie. La demande d’autorisation d’appel de l’arrêt de la Cour d’appel du Québec (Montréal), numéro 500-10-004788-103, 2014 QCCA 250, daté du 7 février 2014, est rejetée.</w:t>
            </w:r>
          </w:p>
          <w:p w:rsidR="005976F4" w:rsidRPr="00E62B49" w:rsidRDefault="005976F4" w:rsidP="006544D2">
            <w:pPr>
              <w:pStyle w:val="SCCShortJudgment"/>
              <w:ind w:firstLine="0"/>
              <w:rPr>
                <w:szCs w:val="20"/>
                <w:lang w:val="fr-CA"/>
              </w:rPr>
            </w:pPr>
          </w:p>
          <w:p w:rsidR="005976F4" w:rsidRPr="00E62B49" w:rsidRDefault="005976F4" w:rsidP="006544D2">
            <w:pPr>
              <w:pStyle w:val="SCCShortJudgment"/>
              <w:rPr>
                <w:szCs w:val="20"/>
              </w:rPr>
            </w:pPr>
            <w:r w:rsidRPr="00E62B49">
              <w:rPr>
                <w:szCs w:val="20"/>
              </w:rPr>
              <w:t>The motion for an extension of time to serve and file the application for leave to appeal is granted. The application for leave to appeal from the judgment of the Court of Appeal of Quebec (Montréal), Number 500-10-004788-103, 2014 QCCA 250, dated February 7, 2014, is dismissed.</w:t>
            </w:r>
          </w:p>
        </w:tc>
      </w:tr>
    </w:tbl>
    <w:p w:rsidR="007934D0" w:rsidRDefault="007934D0" w:rsidP="007934D0">
      <w:pPr>
        <w:rPr>
          <w:sz w:val="20"/>
          <w:szCs w:val="20"/>
        </w:rPr>
      </w:pPr>
    </w:p>
    <w:p w:rsidR="007934D0" w:rsidRPr="001B157C" w:rsidRDefault="007934D0" w:rsidP="007934D0">
      <w:pPr>
        <w:rPr>
          <w:sz w:val="20"/>
          <w:szCs w:val="20"/>
          <w:u w:val="single"/>
        </w:rPr>
      </w:pPr>
      <w:r w:rsidRPr="001B157C">
        <w:rPr>
          <w:sz w:val="20"/>
          <w:szCs w:val="20"/>
          <w:u w:val="single"/>
        </w:rPr>
        <w:t>CASE SUMMARY</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C693A" w:rsidTr="006544D2">
        <w:tc>
          <w:tcPr>
            <w:tcW w:w="5000" w:type="pct"/>
            <w:gridSpan w:val="3"/>
          </w:tcPr>
          <w:p w:rsidR="006544D2" w:rsidRPr="008C693A" w:rsidRDefault="006544D2" w:rsidP="006544D2">
            <w:pPr>
              <w:jc w:val="both"/>
              <w:rPr>
                <w:rFonts w:eastAsia="Calibri"/>
                <w:sz w:val="20"/>
                <w:szCs w:val="20"/>
              </w:rPr>
            </w:pPr>
            <w:r w:rsidRPr="008C693A">
              <w:rPr>
                <w:rFonts w:eastAsia="Calibri"/>
                <w:sz w:val="20"/>
                <w:szCs w:val="20"/>
              </w:rPr>
              <w:t>Criminal law – Second degree murder – Charge to jury – Doctrine of recent possession of stolen property – Whether presiding judge erred in law in instructing jury on doctrine of recent possession – Whether Quebec Court of Appeal erred in law in affirming guilty verdict on basis of doctrine of recent possession.</w:t>
            </w:r>
          </w:p>
        </w:tc>
      </w:tr>
      <w:tr w:rsidR="006544D2" w:rsidRPr="008C693A" w:rsidTr="006544D2">
        <w:tc>
          <w:tcPr>
            <w:tcW w:w="5000" w:type="pct"/>
            <w:gridSpan w:val="3"/>
          </w:tcPr>
          <w:p w:rsidR="006544D2" w:rsidRPr="008C693A" w:rsidRDefault="006544D2" w:rsidP="006544D2">
            <w:pPr>
              <w:jc w:val="both"/>
              <w:rPr>
                <w:rFonts w:eastAsia="Calibri"/>
                <w:sz w:val="20"/>
                <w:szCs w:val="20"/>
              </w:rPr>
            </w:pPr>
          </w:p>
        </w:tc>
      </w:tr>
      <w:tr w:rsidR="006544D2" w:rsidRPr="008C693A" w:rsidTr="006544D2">
        <w:tc>
          <w:tcPr>
            <w:tcW w:w="5000" w:type="pct"/>
            <w:gridSpan w:val="3"/>
          </w:tcPr>
          <w:p w:rsidR="006544D2" w:rsidRPr="008C693A" w:rsidRDefault="006544D2" w:rsidP="006544D2">
            <w:pPr>
              <w:jc w:val="both"/>
              <w:rPr>
                <w:rFonts w:eastAsia="Calibri"/>
                <w:sz w:val="20"/>
                <w:szCs w:val="20"/>
              </w:rPr>
            </w:pPr>
            <w:r w:rsidRPr="008C693A">
              <w:rPr>
                <w:rFonts w:eastAsia="Calibri"/>
                <w:sz w:val="20"/>
                <w:szCs w:val="20"/>
              </w:rPr>
              <w:t>A jury found the applicant guilty of the second degree murder of Robert B. Ness.  Mr. Ness died in his home on the night of October 15 to 16, 2007.  The cause of death was smothering resulting from adhesive tape on his face, and his tongue being squeezed in the back of his throat.  DNA evidence, eyewitness identification evidence and evidence of possession of property stolen from the victim led to the applicant.  The applicant called no witnesses in his defence.</w:t>
            </w:r>
          </w:p>
          <w:p w:rsidR="006544D2" w:rsidRPr="008C693A" w:rsidRDefault="006544D2" w:rsidP="006544D2">
            <w:pPr>
              <w:jc w:val="both"/>
              <w:rPr>
                <w:rFonts w:eastAsia="Calibri"/>
                <w:sz w:val="20"/>
                <w:szCs w:val="20"/>
              </w:rPr>
            </w:pPr>
          </w:p>
          <w:p w:rsidR="006544D2" w:rsidRPr="008C693A" w:rsidRDefault="006544D2" w:rsidP="006544D2">
            <w:pPr>
              <w:jc w:val="both"/>
              <w:rPr>
                <w:rFonts w:eastAsia="Calibri"/>
                <w:sz w:val="20"/>
                <w:szCs w:val="20"/>
              </w:rPr>
            </w:pPr>
            <w:r w:rsidRPr="008C693A">
              <w:rPr>
                <w:rFonts w:eastAsia="Calibri"/>
                <w:sz w:val="20"/>
                <w:szCs w:val="20"/>
              </w:rPr>
              <w:t xml:space="preserve">The Quebec Court of Appeal dismissed an appeal by the applicant.  It held, </w:t>
            </w:r>
            <w:r w:rsidRPr="008C693A">
              <w:rPr>
                <w:rFonts w:eastAsia="Calibri"/>
                <w:i/>
                <w:sz w:val="20"/>
                <w:szCs w:val="20"/>
              </w:rPr>
              <w:t>inter alia</w:t>
            </w:r>
            <w:r w:rsidRPr="008C693A">
              <w:rPr>
                <w:rFonts w:eastAsia="Calibri"/>
                <w:sz w:val="20"/>
                <w:szCs w:val="20"/>
              </w:rPr>
              <w:t>, that the doctrine of recent possession of stolen property was clearly applicable to the offence of murder if the jury concluded that the applicant was in recent possession of the stolen property.  The court found that the judge’s instructions in this regard were beyond reproach.</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lastRenderedPageBreak/>
              <w:t>October 2, 2010</w:t>
            </w:r>
          </w:p>
          <w:p w:rsidR="006544D2" w:rsidRPr="008C693A" w:rsidRDefault="006544D2" w:rsidP="006544D2">
            <w:pPr>
              <w:jc w:val="both"/>
              <w:rPr>
                <w:rFonts w:eastAsia="Calibri"/>
                <w:sz w:val="20"/>
                <w:szCs w:val="20"/>
              </w:rPr>
            </w:pPr>
            <w:r w:rsidRPr="008C693A">
              <w:rPr>
                <w:rFonts w:eastAsia="Calibri"/>
                <w:sz w:val="20"/>
                <w:szCs w:val="20"/>
              </w:rPr>
              <w:t>Quebec Superior Court</w:t>
            </w:r>
          </w:p>
          <w:p w:rsidR="006544D2" w:rsidRPr="008C693A" w:rsidRDefault="006544D2" w:rsidP="006544D2">
            <w:pPr>
              <w:jc w:val="both"/>
              <w:rPr>
                <w:rFonts w:eastAsia="Calibri"/>
                <w:sz w:val="20"/>
                <w:szCs w:val="20"/>
              </w:rPr>
            </w:pPr>
            <w:r w:rsidRPr="008C693A">
              <w:rPr>
                <w:rFonts w:eastAsia="Calibri"/>
                <w:sz w:val="20"/>
                <w:szCs w:val="20"/>
              </w:rPr>
              <w:t>(Zigman J.)</w:t>
            </w:r>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Verdict of guilty of second degree murder</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February 7, 2014</w:t>
            </w:r>
          </w:p>
          <w:p w:rsidR="006544D2" w:rsidRPr="008C693A" w:rsidRDefault="006544D2" w:rsidP="006544D2">
            <w:pPr>
              <w:jc w:val="both"/>
              <w:rPr>
                <w:rFonts w:eastAsia="Calibri"/>
                <w:sz w:val="20"/>
                <w:szCs w:val="20"/>
              </w:rPr>
            </w:pPr>
            <w:r w:rsidRPr="008C693A">
              <w:rPr>
                <w:rFonts w:eastAsia="Calibri"/>
                <w:sz w:val="20"/>
                <w:szCs w:val="20"/>
              </w:rPr>
              <w:t>Quebec Court of Appeal (Montréal)</w:t>
            </w:r>
          </w:p>
          <w:p w:rsidR="006544D2" w:rsidRPr="008C693A" w:rsidRDefault="006544D2" w:rsidP="006544D2">
            <w:pPr>
              <w:jc w:val="both"/>
              <w:rPr>
                <w:rFonts w:eastAsia="Calibri"/>
                <w:sz w:val="20"/>
                <w:szCs w:val="20"/>
              </w:rPr>
            </w:pPr>
            <w:r w:rsidRPr="008C693A">
              <w:rPr>
                <w:rFonts w:eastAsia="Calibri"/>
                <w:sz w:val="20"/>
                <w:szCs w:val="20"/>
              </w:rPr>
              <w:t>(Hilton, Doyon and Bich JJ.A.)</w:t>
            </w:r>
          </w:p>
          <w:p w:rsidR="006544D2" w:rsidRPr="008C693A" w:rsidRDefault="005A3634" w:rsidP="006544D2">
            <w:pPr>
              <w:jc w:val="both"/>
              <w:rPr>
                <w:rFonts w:eastAsia="Calibri"/>
                <w:sz w:val="20"/>
                <w:szCs w:val="20"/>
              </w:rPr>
            </w:pPr>
            <w:hyperlink r:id="rId47" w:history="1">
              <w:r w:rsidR="006544D2" w:rsidRPr="008C693A">
                <w:rPr>
                  <w:rFonts w:eastAsia="Calibri"/>
                  <w:color w:val="0000FF"/>
                  <w:sz w:val="20"/>
                  <w:szCs w:val="20"/>
                  <w:u w:val="single"/>
                </w:rPr>
                <w:t>2014 QCCA 250</w:t>
              </w:r>
            </w:hyperlink>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Appeal dismissed</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October 1, 2014</w:t>
            </w:r>
          </w:p>
          <w:p w:rsidR="006544D2" w:rsidRPr="008C693A" w:rsidRDefault="006544D2" w:rsidP="006544D2">
            <w:pPr>
              <w:jc w:val="both"/>
              <w:rPr>
                <w:rFonts w:eastAsia="Calibri"/>
                <w:sz w:val="20"/>
                <w:szCs w:val="20"/>
              </w:rPr>
            </w:pPr>
            <w:r w:rsidRPr="008C693A">
              <w:rPr>
                <w:rFonts w:eastAsia="Calibri"/>
                <w:sz w:val="20"/>
                <w:szCs w:val="20"/>
              </w:rPr>
              <w:t>Supreme Court of Canada</w:t>
            </w: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Application for extension of time to serve and file application for leave to appeal and application for leave to appeal filed</w:t>
            </w:r>
          </w:p>
        </w:tc>
      </w:tr>
    </w:tbl>
    <w:p w:rsidR="007934D0" w:rsidRDefault="007934D0" w:rsidP="007934D0">
      <w:pPr>
        <w:rPr>
          <w:sz w:val="20"/>
          <w:szCs w:val="20"/>
        </w:rPr>
      </w:pPr>
    </w:p>
    <w:p w:rsidR="007934D0" w:rsidRPr="00C50A5C" w:rsidRDefault="005A3634" w:rsidP="007934D0">
      <w:pPr>
        <w:rPr>
          <w:sz w:val="20"/>
          <w:szCs w:val="20"/>
        </w:rPr>
      </w:pPr>
      <w:r>
        <w:rPr>
          <w:sz w:val="20"/>
          <w:szCs w:val="20"/>
          <w:lang w:val="fr-CA"/>
        </w:rPr>
        <w:pict>
          <v:rect id="_x0000_i1061" style="width:2in;height:1pt" o:hrpct="0" o:hralign="center" o:hrstd="t" o:hrnoshade="t" o:hr="t" fillcolor="black [3213]" stroked="f"/>
        </w:pict>
      </w:r>
    </w:p>
    <w:p w:rsidR="007934D0" w:rsidRDefault="007934D0" w:rsidP="007934D0">
      <w:pPr>
        <w:rPr>
          <w:sz w:val="20"/>
          <w:szCs w:val="20"/>
        </w:rPr>
      </w:pPr>
    </w:p>
    <w:p w:rsidR="007934D0" w:rsidRPr="001B157C" w:rsidRDefault="007934D0" w:rsidP="007934D0">
      <w:pPr>
        <w:rPr>
          <w:sz w:val="20"/>
          <w:szCs w:val="20"/>
          <w:u w:val="single"/>
          <w:lang w:val="fr-CA"/>
        </w:rPr>
      </w:pPr>
      <w:r w:rsidRPr="001B157C">
        <w:rPr>
          <w:sz w:val="20"/>
          <w:szCs w:val="20"/>
          <w:u w:val="single"/>
          <w:lang w:val="fr-CA"/>
        </w:rPr>
        <w:t>RÉSUMÉ DE L’AFFAIRE</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B79EB" w:rsidTr="006544D2">
        <w:tc>
          <w:tcPr>
            <w:tcW w:w="5000" w:type="pct"/>
            <w:gridSpan w:val="3"/>
          </w:tcPr>
          <w:p w:rsidR="006544D2" w:rsidRPr="008C693A" w:rsidRDefault="006544D2" w:rsidP="006544D2">
            <w:pPr>
              <w:jc w:val="both"/>
              <w:rPr>
                <w:rFonts w:eastAsia="Calibri"/>
                <w:sz w:val="20"/>
                <w:szCs w:val="20"/>
                <w:lang w:val="fr-CA"/>
              </w:rPr>
            </w:pPr>
            <w:r w:rsidRPr="008C693A">
              <w:rPr>
                <w:rFonts w:eastAsia="Calibri"/>
                <w:sz w:val="20"/>
                <w:szCs w:val="20"/>
                <w:lang w:val="fr-CA"/>
              </w:rPr>
              <w:t>Droit criminel – Meurtre au deuxième degré – Directives au jury – Théorie de la possession récente d’objets volés – Le juge présidant le procès a-t-il erré en droit en instruisant le jury sur la théorie de la possession récente? – La Cour d’appel du Québec a-t-elle erré en droit en utilisant la théorie de la possession récente pour confirmer le verdict de culpabilité?</w:t>
            </w:r>
          </w:p>
        </w:tc>
      </w:tr>
      <w:tr w:rsidR="006544D2" w:rsidRPr="008B79EB" w:rsidTr="006544D2">
        <w:tc>
          <w:tcPr>
            <w:tcW w:w="5000" w:type="pct"/>
            <w:gridSpan w:val="3"/>
          </w:tcPr>
          <w:p w:rsidR="006544D2" w:rsidRPr="008C693A" w:rsidRDefault="006544D2" w:rsidP="006544D2">
            <w:pPr>
              <w:jc w:val="both"/>
              <w:rPr>
                <w:rFonts w:eastAsia="Calibri"/>
                <w:sz w:val="20"/>
                <w:szCs w:val="20"/>
                <w:lang w:val="fr-CA"/>
              </w:rPr>
            </w:pPr>
          </w:p>
        </w:tc>
      </w:tr>
      <w:tr w:rsidR="006544D2" w:rsidRPr="008B79EB" w:rsidTr="006544D2">
        <w:tc>
          <w:tcPr>
            <w:tcW w:w="5000" w:type="pct"/>
            <w:gridSpan w:val="3"/>
          </w:tcPr>
          <w:p w:rsidR="006544D2" w:rsidRPr="008C693A" w:rsidRDefault="006544D2" w:rsidP="006544D2">
            <w:pPr>
              <w:jc w:val="both"/>
              <w:rPr>
                <w:rFonts w:eastAsia="Calibri"/>
                <w:sz w:val="20"/>
                <w:szCs w:val="20"/>
                <w:lang w:val="fr-CA"/>
              </w:rPr>
            </w:pPr>
            <w:r w:rsidRPr="008C693A">
              <w:rPr>
                <w:rFonts w:eastAsia="Calibri"/>
                <w:sz w:val="20"/>
                <w:szCs w:val="20"/>
                <w:lang w:val="fr-CA"/>
              </w:rPr>
              <w:t>Le demandeur a été déclaré coupable par un jury du meurtre au deuxième degré de Robert B. Ness.  M. Ness est décédé dans sa résidence dans la nuit du 15 au 16 octobre 2007.  La cause du décès est la suffocation externe en raison de la présence de ruban adhésif au visage avec écrasement de la langue à l’arrière-gorge.  La preuve d’ADN, la preuve d’identification par témoins oculaires et la preuve de possession d’objets dérobés à la victime mènent au demandeur.  Celui-ci n’a pas présenté de témoins en défense.</w:t>
            </w:r>
          </w:p>
          <w:p w:rsidR="006544D2" w:rsidRPr="008C693A" w:rsidRDefault="006544D2" w:rsidP="006544D2">
            <w:pPr>
              <w:jc w:val="both"/>
              <w:rPr>
                <w:rFonts w:eastAsia="Calibri"/>
                <w:sz w:val="20"/>
                <w:szCs w:val="20"/>
                <w:lang w:val="fr-CA"/>
              </w:rPr>
            </w:pPr>
          </w:p>
          <w:p w:rsidR="006544D2" w:rsidRPr="008C693A" w:rsidRDefault="006544D2" w:rsidP="006544D2">
            <w:pPr>
              <w:jc w:val="both"/>
              <w:rPr>
                <w:rFonts w:eastAsia="Calibri"/>
                <w:sz w:val="20"/>
                <w:szCs w:val="20"/>
                <w:lang w:val="fr-CA"/>
              </w:rPr>
            </w:pPr>
            <w:r w:rsidRPr="008C693A">
              <w:rPr>
                <w:rFonts w:eastAsia="Calibri"/>
                <w:sz w:val="20"/>
                <w:szCs w:val="20"/>
                <w:lang w:val="fr-CA"/>
              </w:rPr>
              <w:t>La Cour d’appel du Québec rejette l’appel du demandeur.  La cour est d’avis, entre autres, que la doctrine de la possession récente d’objets volés était évidemment applicable à l’infraction de meurtre si le jury concluait que le demandeur était en possession récente des objets volés.  La cour conclut que les directives du juge à cet égard sont sans reproche.</w:t>
            </w:r>
          </w:p>
          <w:p w:rsidR="006544D2" w:rsidRPr="008C693A" w:rsidRDefault="006544D2" w:rsidP="006544D2">
            <w:pPr>
              <w:jc w:val="both"/>
              <w:rPr>
                <w:rFonts w:eastAsia="Calibri"/>
                <w:sz w:val="20"/>
                <w:szCs w:val="20"/>
                <w:lang w:val="fr-CA"/>
              </w:rPr>
            </w:pPr>
          </w:p>
        </w:tc>
      </w:tr>
      <w:tr w:rsidR="006544D2" w:rsidRPr="008B79EB"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Le 2 octobre 2010</w:t>
            </w:r>
          </w:p>
          <w:p w:rsidR="006544D2" w:rsidRPr="008C693A" w:rsidRDefault="006544D2" w:rsidP="006544D2">
            <w:pPr>
              <w:jc w:val="both"/>
              <w:rPr>
                <w:rFonts w:eastAsia="Calibri"/>
                <w:sz w:val="20"/>
                <w:szCs w:val="20"/>
                <w:lang w:val="fr-CA"/>
              </w:rPr>
            </w:pPr>
            <w:r w:rsidRPr="008C693A">
              <w:rPr>
                <w:rFonts w:eastAsia="Calibri"/>
                <w:sz w:val="20"/>
                <w:szCs w:val="20"/>
                <w:lang w:val="fr-CA"/>
              </w:rPr>
              <w:t>Cour supérieure du Québec</w:t>
            </w:r>
          </w:p>
          <w:p w:rsidR="006544D2" w:rsidRPr="008C693A" w:rsidRDefault="006544D2" w:rsidP="006544D2">
            <w:pPr>
              <w:jc w:val="both"/>
              <w:rPr>
                <w:rFonts w:eastAsia="Calibri"/>
                <w:sz w:val="20"/>
                <w:szCs w:val="20"/>
              </w:rPr>
            </w:pPr>
            <w:r w:rsidRPr="008C693A">
              <w:rPr>
                <w:rFonts w:eastAsia="Calibri"/>
                <w:sz w:val="20"/>
                <w:szCs w:val="20"/>
              </w:rPr>
              <w:t>(Le juge Zigman)</w:t>
            </w:r>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Verdict de culpabilité de meurtre au deuxième degré</w:t>
            </w:r>
          </w:p>
          <w:p w:rsidR="006544D2" w:rsidRPr="008C693A" w:rsidRDefault="006544D2" w:rsidP="006544D2">
            <w:pPr>
              <w:jc w:val="both"/>
              <w:rPr>
                <w:rFonts w:eastAsia="Calibri"/>
                <w:sz w:val="20"/>
                <w:szCs w:val="20"/>
                <w:lang w:val="fr-CA"/>
              </w:rPr>
            </w:pPr>
          </w:p>
        </w:tc>
      </w:tr>
      <w:tr w:rsidR="006544D2" w:rsidRPr="008C693A"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Le 7 février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d’appel du Québec (Montréal)</w:t>
            </w:r>
          </w:p>
          <w:p w:rsidR="006544D2" w:rsidRPr="008C693A" w:rsidRDefault="006544D2" w:rsidP="006544D2">
            <w:pPr>
              <w:jc w:val="both"/>
              <w:rPr>
                <w:rFonts w:eastAsia="Calibri"/>
                <w:sz w:val="20"/>
                <w:szCs w:val="20"/>
                <w:lang w:val="fr-CA"/>
              </w:rPr>
            </w:pPr>
            <w:r w:rsidRPr="008C693A">
              <w:rPr>
                <w:rFonts w:eastAsia="Calibri"/>
                <w:sz w:val="20"/>
                <w:szCs w:val="20"/>
                <w:lang w:val="fr-CA"/>
              </w:rPr>
              <w:t>(Les juges Hilton, Doyon et Bich)</w:t>
            </w:r>
          </w:p>
          <w:p w:rsidR="006544D2" w:rsidRPr="008C693A" w:rsidRDefault="005A3634" w:rsidP="006544D2">
            <w:pPr>
              <w:jc w:val="both"/>
              <w:rPr>
                <w:rFonts w:eastAsia="Calibri"/>
                <w:sz w:val="20"/>
                <w:szCs w:val="20"/>
              </w:rPr>
            </w:pPr>
            <w:hyperlink r:id="rId48" w:history="1">
              <w:r w:rsidR="006544D2" w:rsidRPr="008C693A">
                <w:rPr>
                  <w:rFonts w:eastAsia="Calibri"/>
                  <w:color w:val="0000FF"/>
                  <w:sz w:val="20"/>
                  <w:szCs w:val="20"/>
                  <w:u w:val="single"/>
                </w:rPr>
                <w:t>2014 QCCA 250</w:t>
              </w:r>
            </w:hyperlink>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Appel rejeté</w:t>
            </w:r>
          </w:p>
          <w:p w:rsidR="006544D2" w:rsidRPr="008C693A" w:rsidRDefault="006544D2" w:rsidP="006544D2">
            <w:pPr>
              <w:jc w:val="both"/>
              <w:rPr>
                <w:rFonts w:eastAsia="Calibri"/>
                <w:sz w:val="20"/>
                <w:szCs w:val="20"/>
              </w:rPr>
            </w:pPr>
          </w:p>
        </w:tc>
      </w:tr>
      <w:tr w:rsidR="006544D2" w:rsidRPr="00C622BC"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Le 1</w:t>
            </w:r>
            <w:r w:rsidRPr="008C693A">
              <w:rPr>
                <w:rFonts w:eastAsia="Calibri"/>
                <w:sz w:val="20"/>
                <w:szCs w:val="20"/>
                <w:vertAlign w:val="superscript"/>
                <w:lang w:val="fr-CA"/>
              </w:rPr>
              <w:t>er</w:t>
            </w:r>
            <w:r w:rsidRPr="008C693A">
              <w:rPr>
                <w:rFonts w:eastAsia="Calibri"/>
                <w:sz w:val="20"/>
                <w:szCs w:val="20"/>
                <w:lang w:val="fr-CA"/>
              </w:rPr>
              <w:t xml:space="preserve"> octobre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suprême du Canada</w:t>
            </w: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Demande de prorogation de délai pour la signification et le dépôt de la demande d’autorisation d’appel et demande d’autorisation d’appel déposées</w:t>
            </w:r>
          </w:p>
        </w:tc>
      </w:tr>
    </w:tbl>
    <w:p w:rsidR="007934D0" w:rsidRPr="006544D2" w:rsidRDefault="007934D0" w:rsidP="007934D0">
      <w:pPr>
        <w:rPr>
          <w:sz w:val="20"/>
          <w:szCs w:val="20"/>
          <w:lang w:val="fr-CA"/>
        </w:rPr>
      </w:pPr>
    </w:p>
    <w:p w:rsidR="007934D0" w:rsidRDefault="005A3634" w:rsidP="007934D0">
      <w:pPr>
        <w:rPr>
          <w:sz w:val="20"/>
          <w:szCs w:val="20"/>
          <w:lang w:val="fr-CA"/>
        </w:rPr>
      </w:pPr>
      <w:r>
        <w:rPr>
          <w:sz w:val="20"/>
          <w:szCs w:val="20"/>
          <w:lang w:val="fr-CA"/>
        </w:rPr>
        <w:pict>
          <v:rect id="_x0000_i1062" style="width:2in;height:1pt" o:hrpct="0" o:hralign="center" o:hrstd="t" o:hrnoshade="t" o:hr="t" fillcolor="black [3213]" stroked="f"/>
        </w:pict>
      </w:r>
    </w:p>
    <w:p w:rsidR="007934D0" w:rsidRDefault="007934D0" w:rsidP="007934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976F4" w:rsidRPr="00E62B49" w:rsidTr="006544D2">
        <w:trPr>
          <w:cantSplit/>
        </w:trPr>
        <w:tc>
          <w:tcPr>
            <w:tcW w:w="1458" w:type="dxa"/>
          </w:tcPr>
          <w:p w:rsidR="005976F4" w:rsidRPr="00E62B49" w:rsidRDefault="005976F4" w:rsidP="006544D2">
            <w:pPr>
              <w:rPr>
                <w:sz w:val="20"/>
                <w:szCs w:val="20"/>
              </w:rPr>
            </w:pPr>
            <w:r w:rsidRPr="00E62B49">
              <w:rPr>
                <w:rStyle w:val="SCCFileNumberChar"/>
                <w:sz w:val="20"/>
                <w:szCs w:val="20"/>
              </w:rPr>
              <w:lastRenderedPageBreak/>
              <w:t>36133</w:t>
            </w:r>
          </w:p>
          <w:p w:rsidR="005976F4" w:rsidRPr="00E62B49" w:rsidRDefault="005976F4" w:rsidP="006544D2">
            <w:pPr>
              <w:rPr>
                <w:b/>
                <w:sz w:val="20"/>
                <w:szCs w:val="20"/>
                <w:lang w:val="fr-CA"/>
              </w:rPr>
            </w:pPr>
          </w:p>
        </w:tc>
        <w:tc>
          <w:tcPr>
            <w:tcW w:w="8118" w:type="dxa"/>
          </w:tcPr>
          <w:p w:rsidR="005976F4" w:rsidRPr="00E62B49" w:rsidRDefault="005976F4" w:rsidP="006544D2">
            <w:pPr>
              <w:jc w:val="both"/>
              <w:rPr>
                <w:sz w:val="20"/>
                <w:szCs w:val="20"/>
              </w:rPr>
            </w:pPr>
            <w:r w:rsidRPr="005976F4">
              <w:rPr>
                <w:rStyle w:val="SCCLsocChar"/>
                <w:sz w:val="20"/>
                <w:szCs w:val="20"/>
                <w:lang w:val="en-CA"/>
              </w:rPr>
              <w:t>Cowichan Valley Regional District v. Paldi Khalsa Diwan Society, Lake Cowichan Khalsa Diwan Society, Vancouver Island Khalsa Diwan Society, Vancouver Island Sikh Cultural Society</w:t>
            </w:r>
            <w:r w:rsidR="00AF5F6A">
              <w:rPr>
                <w:rStyle w:val="SCCLsocChar"/>
                <w:sz w:val="20"/>
                <w:szCs w:val="20"/>
                <w:lang w:val="en-CA"/>
              </w:rPr>
              <w:t xml:space="preserve"> and </w:t>
            </w:r>
            <w:r w:rsidRPr="005976F4">
              <w:rPr>
                <w:rStyle w:val="SCCLsocChar"/>
                <w:sz w:val="20"/>
                <w:szCs w:val="20"/>
                <w:lang w:val="en-CA"/>
              </w:rPr>
              <w:t>Cowichan Valley Crematorium Ltd.</w:t>
            </w:r>
            <w:r w:rsidRPr="00E62B49">
              <w:rPr>
                <w:sz w:val="20"/>
                <w:szCs w:val="20"/>
              </w:rPr>
              <w:t xml:space="preserve"> (B.C.) (Civil) (By Leave)</w:t>
            </w:r>
          </w:p>
          <w:p w:rsidR="005976F4" w:rsidRPr="00E62B49" w:rsidRDefault="005976F4" w:rsidP="006544D2">
            <w:pPr>
              <w:jc w:val="both"/>
              <w:rPr>
                <w:sz w:val="20"/>
                <w:szCs w:val="20"/>
              </w:rPr>
            </w:pPr>
          </w:p>
        </w:tc>
      </w:tr>
      <w:tr w:rsidR="005976F4" w:rsidRPr="008B79EB" w:rsidTr="006544D2">
        <w:trPr>
          <w:cantSplit/>
        </w:trPr>
        <w:tc>
          <w:tcPr>
            <w:tcW w:w="1458" w:type="dxa"/>
          </w:tcPr>
          <w:p w:rsidR="005976F4" w:rsidRPr="00E62B49" w:rsidRDefault="005976F4" w:rsidP="006544D2">
            <w:pPr>
              <w:rPr>
                <w:sz w:val="20"/>
                <w:szCs w:val="20"/>
              </w:rPr>
            </w:pPr>
            <w:r w:rsidRPr="00E62B49">
              <w:rPr>
                <w:sz w:val="20"/>
                <w:szCs w:val="20"/>
              </w:rPr>
              <w:t>Coram :</w:t>
            </w:r>
          </w:p>
        </w:tc>
        <w:tc>
          <w:tcPr>
            <w:tcW w:w="8118" w:type="dxa"/>
          </w:tcPr>
          <w:p w:rsidR="005976F4" w:rsidRPr="00E62B49" w:rsidRDefault="005976F4" w:rsidP="006544D2">
            <w:pPr>
              <w:rPr>
                <w:sz w:val="20"/>
                <w:szCs w:val="20"/>
                <w:lang w:val="fr-CA"/>
              </w:rPr>
            </w:pPr>
            <w:r w:rsidRPr="00E62B49">
              <w:rPr>
                <w:rStyle w:val="SCCCoramChar"/>
                <w:sz w:val="20"/>
                <w:szCs w:val="20"/>
              </w:rPr>
              <w:t>Abella, Karakatsanis and Côté JJ.</w:t>
            </w:r>
          </w:p>
          <w:p w:rsidR="005976F4" w:rsidRPr="00E62B49" w:rsidRDefault="005976F4" w:rsidP="006544D2">
            <w:pPr>
              <w:rPr>
                <w:sz w:val="20"/>
                <w:szCs w:val="20"/>
                <w:u w:val="single"/>
                <w:lang w:val="fr-CA"/>
              </w:rPr>
            </w:pPr>
          </w:p>
        </w:tc>
      </w:tr>
      <w:tr w:rsidR="005976F4" w:rsidRPr="008B79EB" w:rsidTr="006544D2">
        <w:trPr>
          <w:cantSplit/>
        </w:trPr>
        <w:tc>
          <w:tcPr>
            <w:tcW w:w="9576" w:type="dxa"/>
            <w:gridSpan w:val="2"/>
          </w:tcPr>
          <w:p w:rsidR="005976F4" w:rsidRPr="00E62B49" w:rsidRDefault="005976F4" w:rsidP="006544D2">
            <w:pPr>
              <w:pStyle w:val="SCCShortJudgment"/>
              <w:rPr>
                <w:szCs w:val="20"/>
              </w:rPr>
            </w:pPr>
            <w:r w:rsidRPr="00E62B49">
              <w:rPr>
                <w:szCs w:val="20"/>
              </w:rPr>
              <w:t>The application for leave to appeal from the judgment of the Court of Appeal for British Columbia (Vancouver), Number CA041318, 2014 BCCA 335, dated August 26, 2014, is dismissed with costs.</w:t>
            </w:r>
          </w:p>
          <w:p w:rsidR="005976F4" w:rsidRPr="00E62B49" w:rsidRDefault="005976F4" w:rsidP="006544D2">
            <w:pPr>
              <w:pStyle w:val="SCCShortJudgment"/>
              <w:ind w:firstLine="0"/>
              <w:rPr>
                <w:szCs w:val="20"/>
              </w:rPr>
            </w:pPr>
          </w:p>
          <w:p w:rsidR="005976F4" w:rsidRPr="00E62B49" w:rsidRDefault="005976F4" w:rsidP="006544D2">
            <w:pPr>
              <w:pStyle w:val="SCCShortJudgment"/>
              <w:rPr>
                <w:szCs w:val="20"/>
                <w:lang w:val="fr-CA"/>
              </w:rPr>
            </w:pPr>
            <w:r w:rsidRPr="00E62B49">
              <w:rPr>
                <w:szCs w:val="20"/>
                <w:lang w:val="fr-CA"/>
              </w:rPr>
              <w:t>La demande d’autorisation d’appel de l’arrêt de la Cour d’appel de la Colombie-Britannique (Vancouver), numéro CA041318, 2014 BCCA 335, daté du 26 août 2014, est rejetée avec dépens.</w:t>
            </w:r>
          </w:p>
        </w:tc>
      </w:tr>
    </w:tbl>
    <w:p w:rsidR="007934D0" w:rsidRPr="005976F4" w:rsidRDefault="007934D0" w:rsidP="007934D0">
      <w:pPr>
        <w:rPr>
          <w:sz w:val="20"/>
          <w:szCs w:val="20"/>
          <w:lang w:val="fr-CA"/>
        </w:rPr>
      </w:pPr>
    </w:p>
    <w:p w:rsidR="007934D0" w:rsidRPr="001B157C" w:rsidRDefault="007934D0" w:rsidP="007934D0">
      <w:pPr>
        <w:rPr>
          <w:sz w:val="20"/>
          <w:szCs w:val="20"/>
          <w:u w:val="single"/>
        </w:rPr>
      </w:pPr>
      <w:r w:rsidRPr="001B157C">
        <w:rPr>
          <w:sz w:val="20"/>
          <w:szCs w:val="20"/>
          <w:u w:val="single"/>
        </w:rPr>
        <w:t>CASE SUMMARY</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C693A" w:rsidTr="006544D2">
        <w:tc>
          <w:tcPr>
            <w:tcW w:w="5000" w:type="pct"/>
            <w:gridSpan w:val="3"/>
          </w:tcPr>
          <w:p w:rsidR="006544D2" w:rsidRPr="008C693A" w:rsidRDefault="006544D2" w:rsidP="00EB5111">
            <w:pPr>
              <w:jc w:val="both"/>
              <w:rPr>
                <w:rFonts w:eastAsia="Calibri"/>
                <w:sz w:val="20"/>
                <w:szCs w:val="20"/>
              </w:rPr>
            </w:pPr>
            <w:r w:rsidRPr="008C693A">
              <w:rPr>
                <w:rFonts w:eastAsia="Calibri"/>
                <w:sz w:val="20"/>
                <w:szCs w:val="20"/>
              </w:rPr>
              <w:t>Municipal law – By-laws – Zoning – Interpretation – Whether a crematorium is a permitted use within the applicable zoning by-law – Whether a crematorium comes under the definition of “institution” – Whether a crematorium in the P</w:t>
            </w:r>
            <w:r w:rsidR="00EB5111">
              <w:rPr>
                <w:rFonts w:eastAsia="Calibri"/>
                <w:sz w:val="20"/>
                <w:szCs w:val="20"/>
              </w:rPr>
              <w:noBreakHyphen/>
            </w:r>
            <w:r w:rsidRPr="008C693A">
              <w:rPr>
                <w:rFonts w:eastAsia="Calibri"/>
                <w:sz w:val="20"/>
                <w:szCs w:val="20"/>
              </w:rPr>
              <w:t>1 Zone can be operated as a commercial enterprise – What approach should be applied in interpreting zoning by-laws.</w:t>
            </w:r>
          </w:p>
        </w:tc>
      </w:tr>
      <w:tr w:rsidR="006544D2" w:rsidRPr="008C693A" w:rsidTr="006544D2">
        <w:tc>
          <w:tcPr>
            <w:tcW w:w="5000" w:type="pct"/>
            <w:gridSpan w:val="3"/>
          </w:tcPr>
          <w:p w:rsidR="006544D2" w:rsidRPr="008C693A" w:rsidRDefault="006544D2" w:rsidP="006544D2">
            <w:pPr>
              <w:jc w:val="both"/>
              <w:rPr>
                <w:rFonts w:eastAsia="Calibri"/>
                <w:sz w:val="20"/>
                <w:szCs w:val="20"/>
              </w:rPr>
            </w:pPr>
          </w:p>
        </w:tc>
      </w:tr>
      <w:tr w:rsidR="006544D2" w:rsidRPr="008C693A" w:rsidTr="006544D2">
        <w:tc>
          <w:tcPr>
            <w:tcW w:w="5000" w:type="pct"/>
            <w:gridSpan w:val="3"/>
          </w:tcPr>
          <w:p w:rsidR="006544D2" w:rsidRPr="008C693A" w:rsidRDefault="006544D2" w:rsidP="006544D2">
            <w:pPr>
              <w:jc w:val="both"/>
              <w:rPr>
                <w:rFonts w:eastAsia="Calibri"/>
                <w:sz w:val="20"/>
                <w:szCs w:val="20"/>
              </w:rPr>
            </w:pPr>
            <w:r w:rsidRPr="008C693A">
              <w:rPr>
                <w:rFonts w:eastAsia="Calibri"/>
                <w:sz w:val="20"/>
                <w:szCs w:val="20"/>
              </w:rPr>
              <w:t xml:space="preserve">The first four respondents own property in the applicant District (the “owners”).  A wood-fuelled crematorium was built on the property before there were zoning bylaws in effect, and was used by the South Asian community for traditional final rites. In 1998, the District passed a zoning bylaw which classified the Property as “P–1 Zone – Parks and Institutional”.  In 2010, the owners obtained a building permit to construct a gas-fuelled crematorium on the property and leased the new crematorium to the fifth respondent (“CVCL”).  CVCL obtained a licence from Consumer Protection B.C. to operate a commercial crematorium on the basis of the building permit.  When the District later notified the owners that a commercially operated crematorium was not a permitted use for the property and refused to provide documentation required for a licence under the regulations, the respondents brought a petition seeking a declaration that a commercial crematorium is a permitted use in the P–1 Zone, and an order in the nature of </w:t>
            </w:r>
            <w:r w:rsidRPr="008C693A">
              <w:rPr>
                <w:rFonts w:eastAsia="Calibri"/>
                <w:i/>
                <w:sz w:val="20"/>
                <w:szCs w:val="20"/>
              </w:rPr>
              <w:t>mandamus</w:t>
            </w:r>
            <w:r w:rsidRPr="008C693A">
              <w:rPr>
                <w:rFonts w:eastAsia="Calibri"/>
                <w:sz w:val="20"/>
                <w:szCs w:val="20"/>
              </w:rPr>
              <w:t xml:space="preserve"> compelling the District to provide the required documentation.</w:t>
            </w:r>
          </w:p>
          <w:p w:rsidR="006544D2" w:rsidRPr="008C693A" w:rsidRDefault="006544D2" w:rsidP="006544D2">
            <w:pPr>
              <w:jc w:val="both"/>
              <w:rPr>
                <w:rFonts w:eastAsia="Calibri"/>
                <w:sz w:val="20"/>
                <w:szCs w:val="20"/>
              </w:rPr>
            </w:pPr>
          </w:p>
          <w:p w:rsidR="006544D2" w:rsidRPr="008C693A" w:rsidRDefault="006544D2" w:rsidP="006544D2">
            <w:pPr>
              <w:jc w:val="both"/>
              <w:rPr>
                <w:rFonts w:eastAsia="Calibri"/>
                <w:sz w:val="20"/>
                <w:szCs w:val="20"/>
              </w:rPr>
            </w:pPr>
            <w:r w:rsidRPr="008C693A">
              <w:rPr>
                <w:rFonts w:eastAsia="Calibri"/>
                <w:sz w:val="20"/>
                <w:szCs w:val="20"/>
              </w:rPr>
              <w:t xml:space="preserve">The Supreme Court of British Columbia dismissed the petition, finding that a crematorium does not come within the ordinary meaning of “institution” and, in any event, a commercial crematorium was not a permitted use under P–1 zone.  The Court of Appeal for British Columbia allowed the appeal, set aside the lower court order, and granted the declaration and order in the nature of </w:t>
            </w:r>
            <w:r w:rsidRPr="008C693A">
              <w:rPr>
                <w:rFonts w:eastAsia="Calibri"/>
                <w:i/>
                <w:sz w:val="20"/>
                <w:szCs w:val="20"/>
              </w:rPr>
              <w:t>mandamus</w:t>
            </w:r>
            <w:r w:rsidRPr="008C693A">
              <w:rPr>
                <w:rFonts w:eastAsia="Calibri"/>
                <w:sz w:val="20"/>
                <w:szCs w:val="20"/>
              </w:rPr>
              <w:t xml:space="preserve">.  </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September 26, 2013</w:t>
            </w:r>
          </w:p>
          <w:p w:rsidR="006544D2" w:rsidRPr="008C693A" w:rsidRDefault="006544D2" w:rsidP="006544D2">
            <w:pPr>
              <w:jc w:val="both"/>
              <w:rPr>
                <w:rFonts w:eastAsia="Calibri"/>
                <w:sz w:val="20"/>
                <w:szCs w:val="20"/>
              </w:rPr>
            </w:pPr>
            <w:r w:rsidRPr="008C693A">
              <w:rPr>
                <w:rFonts w:eastAsia="Calibri"/>
                <w:sz w:val="20"/>
                <w:szCs w:val="20"/>
              </w:rPr>
              <w:t>Supreme Court of British Columbia</w:t>
            </w:r>
          </w:p>
          <w:p w:rsidR="006544D2" w:rsidRPr="008C693A" w:rsidRDefault="006544D2" w:rsidP="006544D2">
            <w:pPr>
              <w:jc w:val="both"/>
              <w:rPr>
                <w:rFonts w:eastAsia="Calibri"/>
                <w:sz w:val="20"/>
                <w:szCs w:val="20"/>
              </w:rPr>
            </w:pPr>
            <w:r w:rsidRPr="008C693A">
              <w:rPr>
                <w:rFonts w:eastAsia="Calibri"/>
                <w:sz w:val="20"/>
                <w:szCs w:val="20"/>
              </w:rPr>
              <w:t>(Bernard J.)</w:t>
            </w:r>
          </w:p>
          <w:p w:rsidR="006544D2" w:rsidRPr="008C693A" w:rsidRDefault="005A3634" w:rsidP="006544D2">
            <w:pPr>
              <w:jc w:val="both"/>
              <w:rPr>
                <w:rFonts w:eastAsia="Calibri"/>
                <w:sz w:val="20"/>
                <w:szCs w:val="20"/>
              </w:rPr>
            </w:pPr>
            <w:hyperlink r:id="rId49" w:history="1">
              <w:r w:rsidR="006544D2" w:rsidRPr="008C693A">
                <w:rPr>
                  <w:rFonts w:eastAsia="Calibri"/>
                  <w:color w:val="0000FF"/>
                  <w:sz w:val="20"/>
                  <w:szCs w:val="20"/>
                  <w:u w:val="single"/>
                </w:rPr>
                <w:t>2013 BCSC 1773</w:t>
              </w:r>
            </w:hyperlink>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Respondents’ petition for a declaration that a commercial crematorium is a permitted use and for an order compelling the applicant to provide required documentation, dismissed</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August 26, 2014</w:t>
            </w:r>
          </w:p>
          <w:p w:rsidR="006544D2" w:rsidRPr="008C693A" w:rsidRDefault="006544D2" w:rsidP="006544D2">
            <w:pPr>
              <w:jc w:val="both"/>
              <w:rPr>
                <w:rFonts w:eastAsia="Calibri"/>
                <w:sz w:val="20"/>
                <w:szCs w:val="20"/>
              </w:rPr>
            </w:pPr>
            <w:r w:rsidRPr="008C693A">
              <w:rPr>
                <w:rFonts w:eastAsia="Calibri"/>
                <w:sz w:val="20"/>
                <w:szCs w:val="20"/>
              </w:rPr>
              <w:t xml:space="preserve">Court of Appeal for British Columbia </w:t>
            </w:r>
          </w:p>
          <w:p w:rsidR="006544D2" w:rsidRPr="008C693A" w:rsidRDefault="006544D2" w:rsidP="006544D2">
            <w:pPr>
              <w:jc w:val="both"/>
              <w:rPr>
                <w:rFonts w:eastAsia="Calibri"/>
                <w:sz w:val="20"/>
                <w:szCs w:val="20"/>
              </w:rPr>
            </w:pPr>
            <w:r w:rsidRPr="008C693A">
              <w:rPr>
                <w:rFonts w:eastAsia="Calibri"/>
                <w:sz w:val="20"/>
                <w:szCs w:val="20"/>
              </w:rPr>
              <w:t>(Victoria)</w:t>
            </w:r>
          </w:p>
          <w:p w:rsidR="006544D2" w:rsidRPr="008C693A" w:rsidRDefault="006544D2" w:rsidP="006544D2">
            <w:pPr>
              <w:jc w:val="both"/>
              <w:rPr>
                <w:rFonts w:eastAsia="Calibri"/>
                <w:sz w:val="20"/>
                <w:szCs w:val="20"/>
              </w:rPr>
            </w:pPr>
            <w:r w:rsidRPr="008C693A">
              <w:rPr>
                <w:rFonts w:eastAsia="Calibri"/>
                <w:sz w:val="20"/>
                <w:szCs w:val="20"/>
              </w:rPr>
              <w:t>(Levine, Garson and Stromberg-Stein JJ.A.)</w:t>
            </w:r>
          </w:p>
          <w:p w:rsidR="006544D2" w:rsidRPr="008C693A" w:rsidRDefault="005A3634" w:rsidP="006544D2">
            <w:pPr>
              <w:jc w:val="both"/>
              <w:rPr>
                <w:rFonts w:eastAsia="Calibri"/>
                <w:sz w:val="20"/>
                <w:szCs w:val="20"/>
              </w:rPr>
            </w:pPr>
            <w:hyperlink r:id="rId50" w:history="1">
              <w:r w:rsidR="006544D2" w:rsidRPr="008C693A">
                <w:rPr>
                  <w:rFonts w:eastAsia="Calibri"/>
                  <w:color w:val="0000FF"/>
                  <w:sz w:val="20"/>
                  <w:szCs w:val="20"/>
                  <w:u w:val="single"/>
                </w:rPr>
                <w:t>2014 BCCA 335</w:t>
              </w:r>
            </w:hyperlink>
            <w:r w:rsidR="006544D2" w:rsidRPr="008C693A">
              <w:rPr>
                <w:rFonts w:eastAsia="Calibri"/>
                <w:sz w:val="20"/>
                <w:szCs w:val="20"/>
              </w:rPr>
              <w:t xml:space="preserve">; </w:t>
            </w:r>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Appeal allowed, lower court order set aside, respondents’ requested relief granted</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October 20, 2014</w:t>
            </w:r>
          </w:p>
          <w:p w:rsidR="006544D2" w:rsidRPr="008C693A" w:rsidRDefault="006544D2" w:rsidP="006544D2">
            <w:pPr>
              <w:jc w:val="both"/>
              <w:rPr>
                <w:rFonts w:eastAsia="Calibri"/>
                <w:sz w:val="20"/>
                <w:szCs w:val="20"/>
              </w:rPr>
            </w:pPr>
            <w:r w:rsidRPr="008C693A">
              <w:rPr>
                <w:rFonts w:eastAsia="Calibri"/>
                <w:sz w:val="20"/>
                <w:szCs w:val="20"/>
              </w:rPr>
              <w:t>Supreme Court of Canada</w:t>
            </w: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Application for leave to appeal filed</w:t>
            </w:r>
          </w:p>
          <w:p w:rsidR="006544D2" w:rsidRPr="008C693A" w:rsidRDefault="006544D2" w:rsidP="006544D2">
            <w:pPr>
              <w:jc w:val="both"/>
              <w:rPr>
                <w:rFonts w:eastAsia="Calibri"/>
                <w:sz w:val="20"/>
                <w:szCs w:val="20"/>
              </w:rPr>
            </w:pPr>
          </w:p>
        </w:tc>
      </w:tr>
    </w:tbl>
    <w:p w:rsidR="007934D0" w:rsidRDefault="007934D0" w:rsidP="007934D0">
      <w:pPr>
        <w:rPr>
          <w:sz w:val="20"/>
          <w:szCs w:val="20"/>
        </w:rPr>
      </w:pPr>
    </w:p>
    <w:p w:rsidR="007934D0" w:rsidRPr="00C50A5C" w:rsidRDefault="005A3634" w:rsidP="007934D0">
      <w:pPr>
        <w:rPr>
          <w:sz w:val="20"/>
          <w:szCs w:val="20"/>
        </w:rPr>
      </w:pPr>
      <w:r>
        <w:rPr>
          <w:sz w:val="20"/>
          <w:szCs w:val="20"/>
          <w:lang w:val="fr-CA"/>
        </w:rPr>
        <w:pict>
          <v:rect id="_x0000_i1063" style="width:2in;height:1pt" o:hrpct="0" o:hralign="center" o:hrstd="t" o:hrnoshade="t" o:hr="t" fillcolor="black [3213]" stroked="f"/>
        </w:pict>
      </w:r>
    </w:p>
    <w:p w:rsidR="007934D0" w:rsidRDefault="007934D0" w:rsidP="007934D0">
      <w:pPr>
        <w:rPr>
          <w:sz w:val="20"/>
          <w:szCs w:val="20"/>
        </w:rPr>
      </w:pPr>
    </w:p>
    <w:p w:rsidR="007934D0" w:rsidRPr="001B157C" w:rsidRDefault="007934D0" w:rsidP="007934D0">
      <w:pPr>
        <w:rPr>
          <w:sz w:val="20"/>
          <w:szCs w:val="20"/>
          <w:u w:val="single"/>
          <w:lang w:val="fr-CA"/>
        </w:rPr>
      </w:pPr>
      <w:r w:rsidRPr="001B157C">
        <w:rPr>
          <w:sz w:val="20"/>
          <w:szCs w:val="20"/>
          <w:u w:val="single"/>
          <w:lang w:val="fr-CA"/>
        </w:rPr>
        <w:t>RÉSUMÉ DE L’AFFAIRE</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B79EB" w:rsidTr="006544D2">
        <w:tc>
          <w:tcPr>
            <w:tcW w:w="5000" w:type="pct"/>
            <w:gridSpan w:val="3"/>
          </w:tcPr>
          <w:p w:rsidR="006544D2" w:rsidRPr="008C693A" w:rsidRDefault="006544D2" w:rsidP="006544D2">
            <w:pPr>
              <w:jc w:val="both"/>
              <w:rPr>
                <w:rFonts w:eastAsia="Calibri"/>
                <w:sz w:val="20"/>
                <w:szCs w:val="20"/>
                <w:lang w:val="fr-CA"/>
              </w:rPr>
            </w:pPr>
            <w:r w:rsidRPr="008C693A">
              <w:rPr>
                <w:rFonts w:eastAsia="Calibri"/>
                <w:sz w:val="20"/>
                <w:szCs w:val="20"/>
                <w:lang w:val="fr-CA"/>
              </w:rPr>
              <w:t>Droit municipal – Règlements – Zonage – Interprétation – Un crématorium constitue-t-il une utilisation autorisée au sens du règlement de zonage applicable? – Un crématorium est-il compris dans la définition [</w:t>
            </w:r>
            <w:r w:rsidRPr="008C693A">
              <w:rPr>
                <w:rFonts w:eastAsia="Calibri"/>
                <w:smallCaps/>
                <w:sz w:val="20"/>
                <w:szCs w:val="20"/>
                <w:lang w:val="fr-CA"/>
              </w:rPr>
              <w:t>traduction</w:t>
            </w:r>
            <w:r w:rsidRPr="008C693A">
              <w:rPr>
                <w:rFonts w:eastAsia="Calibri"/>
                <w:sz w:val="20"/>
                <w:szCs w:val="20"/>
                <w:lang w:val="fr-CA"/>
              </w:rPr>
              <w:t>] d’« équipement collectif » (« </w:t>
            </w:r>
            <w:r w:rsidRPr="008C693A">
              <w:rPr>
                <w:rFonts w:eastAsia="Calibri"/>
                <w:i/>
                <w:sz w:val="20"/>
                <w:szCs w:val="20"/>
                <w:lang w:val="fr-CA"/>
              </w:rPr>
              <w:t>institution</w:t>
            </w:r>
            <w:r w:rsidRPr="008C693A">
              <w:rPr>
                <w:rFonts w:eastAsia="Calibri"/>
                <w:sz w:val="20"/>
                <w:szCs w:val="20"/>
                <w:lang w:val="fr-CA"/>
              </w:rPr>
              <w:t> »)? – Un crématorium situé dans la zone P-1 peut-il être exploité comme entreprise commerciale? – Quelle approche doit-on appliquer dans l’interprétation des règlements de zonage?</w:t>
            </w:r>
          </w:p>
        </w:tc>
      </w:tr>
      <w:tr w:rsidR="006544D2" w:rsidRPr="008B79EB" w:rsidTr="006544D2">
        <w:tc>
          <w:tcPr>
            <w:tcW w:w="5000" w:type="pct"/>
            <w:gridSpan w:val="3"/>
          </w:tcPr>
          <w:p w:rsidR="006544D2" w:rsidRPr="008C693A" w:rsidRDefault="006544D2" w:rsidP="006544D2">
            <w:pPr>
              <w:jc w:val="both"/>
              <w:rPr>
                <w:rFonts w:eastAsia="Calibri"/>
                <w:sz w:val="20"/>
                <w:szCs w:val="20"/>
                <w:lang w:val="fr-CA"/>
              </w:rPr>
            </w:pPr>
          </w:p>
        </w:tc>
      </w:tr>
      <w:tr w:rsidR="006544D2" w:rsidRPr="008B79EB" w:rsidTr="006544D2">
        <w:tc>
          <w:tcPr>
            <w:tcW w:w="5000" w:type="pct"/>
            <w:gridSpan w:val="3"/>
          </w:tcPr>
          <w:p w:rsidR="006544D2" w:rsidRPr="008C693A" w:rsidRDefault="006544D2" w:rsidP="006544D2">
            <w:pPr>
              <w:jc w:val="both"/>
              <w:rPr>
                <w:rFonts w:eastAsia="Calibri"/>
                <w:sz w:val="20"/>
                <w:szCs w:val="20"/>
                <w:lang w:val="fr-CA"/>
              </w:rPr>
            </w:pPr>
            <w:r w:rsidRPr="008C693A">
              <w:rPr>
                <w:rFonts w:eastAsia="Calibri"/>
                <w:sz w:val="20"/>
                <w:szCs w:val="20"/>
                <w:lang w:val="fr-CA"/>
              </w:rPr>
              <w:t>Les quatre premières intimées sont propriétaires d’un bien-fonds dans le district demandeur (les « propriétaires »).  Un crématorium alimenté au bois a été construit sur le bien-fonds avant l’entrée en vigueur de règlements de zonage et la communauté sud-asiatique l’utilisait pour des rites funéraires traditionnels.  En 1998, le District a adopté un règlement de zonage en vertu duquel le bien-fonds était désigné [</w:t>
            </w:r>
            <w:r w:rsidRPr="008C693A">
              <w:rPr>
                <w:rFonts w:eastAsia="Calibri"/>
                <w:smallCaps/>
                <w:sz w:val="20"/>
                <w:szCs w:val="20"/>
                <w:lang w:val="fr-CA"/>
              </w:rPr>
              <w:t>traduction</w:t>
            </w:r>
            <w:r w:rsidRPr="008C693A">
              <w:rPr>
                <w:rFonts w:eastAsia="Calibri"/>
                <w:sz w:val="20"/>
                <w:szCs w:val="20"/>
                <w:lang w:val="fr-CA"/>
              </w:rPr>
              <w:t>] « zone P</w:t>
            </w:r>
            <w:r w:rsidR="00275F75">
              <w:rPr>
                <w:rFonts w:eastAsia="Calibri"/>
                <w:sz w:val="20"/>
                <w:szCs w:val="20"/>
                <w:lang w:val="fr-CA"/>
              </w:rPr>
              <w:t>-</w:t>
            </w:r>
            <w:r w:rsidRPr="008C693A">
              <w:rPr>
                <w:rFonts w:eastAsia="Calibri"/>
                <w:sz w:val="20"/>
                <w:szCs w:val="20"/>
                <w:lang w:val="fr-CA"/>
              </w:rPr>
              <w:t xml:space="preserve">1 – parcs et équipements collectifs ».  En  2010, les propriétaires ont obtenu un permis pour la construction d’un crématorium au gaz sur le bien-fonds et elles ont loué le nouveau crématorium à la cinquième intimée (« CVCL »).  CVCL a obtenu un permis de Consumer Protection B.C. pour l’exploitation d’un crématorium commercial sur le fondement du permis de construire.  Lorsque le District a subséquemment informé les propriétaires qu’un crématorium exploité commercialement n’était pas une utilisation autorisée du bien-fonds et a refusé de fournir les documents nécessaires pour obtenir un permis en application du règlement, les intimées ont présenté une requête en vue d’obtenir un jugement déclarant qu’un crématorium commercial était une utilisation autorisée dans la zone P-1 et une ordonnance de </w:t>
            </w:r>
            <w:r w:rsidRPr="008C693A">
              <w:rPr>
                <w:rFonts w:eastAsia="Calibri"/>
                <w:i/>
                <w:sz w:val="20"/>
                <w:szCs w:val="20"/>
                <w:lang w:val="fr-CA"/>
              </w:rPr>
              <w:t>mandamus</w:t>
            </w:r>
            <w:r w:rsidRPr="008C693A">
              <w:rPr>
                <w:rFonts w:eastAsia="Calibri"/>
                <w:sz w:val="20"/>
                <w:szCs w:val="20"/>
                <w:lang w:val="fr-CA"/>
              </w:rPr>
              <w:t xml:space="preserve"> pour obliger le District à fournir les documents nécessaires.</w:t>
            </w:r>
          </w:p>
          <w:p w:rsidR="006544D2" w:rsidRPr="008C693A" w:rsidRDefault="006544D2" w:rsidP="006544D2">
            <w:pPr>
              <w:jc w:val="both"/>
              <w:rPr>
                <w:rFonts w:eastAsia="Calibri"/>
                <w:sz w:val="20"/>
                <w:szCs w:val="20"/>
                <w:lang w:val="fr-CA"/>
              </w:rPr>
            </w:pPr>
          </w:p>
          <w:p w:rsidR="006544D2" w:rsidRPr="008C693A" w:rsidRDefault="006544D2" w:rsidP="006544D2">
            <w:pPr>
              <w:jc w:val="both"/>
              <w:rPr>
                <w:rFonts w:eastAsia="Calibri"/>
                <w:sz w:val="20"/>
                <w:szCs w:val="20"/>
                <w:lang w:val="fr-CA"/>
              </w:rPr>
            </w:pPr>
            <w:r w:rsidRPr="008C693A">
              <w:rPr>
                <w:rFonts w:eastAsia="Calibri"/>
                <w:sz w:val="20"/>
                <w:szCs w:val="20"/>
                <w:lang w:val="fr-CA"/>
              </w:rPr>
              <w:t>La Cour suprême de la Colombie-Britannique a rejeté la requête, concluant qu’un crématorium n’entrait pas dans le sens courant du terme [</w:t>
            </w:r>
            <w:r w:rsidRPr="008C693A">
              <w:rPr>
                <w:rFonts w:eastAsia="Calibri"/>
                <w:smallCaps/>
                <w:sz w:val="20"/>
                <w:szCs w:val="20"/>
                <w:lang w:val="fr-CA"/>
              </w:rPr>
              <w:t>traduction</w:t>
            </w:r>
            <w:r w:rsidRPr="008C693A">
              <w:rPr>
                <w:rFonts w:eastAsia="Calibri"/>
                <w:sz w:val="20"/>
                <w:szCs w:val="20"/>
                <w:lang w:val="fr-CA"/>
              </w:rPr>
              <w:t>] « équipement collectif » (« </w:t>
            </w:r>
            <w:r w:rsidRPr="008C693A">
              <w:rPr>
                <w:rFonts w:eastAsia="Calibri"/>
                <w:i/>
                <w:sz w:val="20"/>
                <w:szCs w:val="20"/>
                <w:lang w:val="fr-CA"/>
              </w:rPr>
              <w:t>institution</w:t>
            </w:r>
            <w:r w:rsidRPr="008C693A">
              <w:rPr>
                <w:rFonts w:eastAsia="Calibri"/>
                <w:sz w:val="20"/>
                <w:szCs w:val="20"/>
                <w:lang w:val="fr-CA"/>
              </w:rPr>
              <w:t xml:space="preserve"> ») et que, de toute façon, un crématorium commercial n’était pas une utilisation autorisée dans une zone P-1.  La Cour d’appel de la Colombie-Britannique a accueilli l’appel, annulé l’ordonnance de la juridiction inférieure, rendu le jugement déclaratoire et prononcé l’ordonnance de </w:t>
            </w:r>
            <w:r w:rsidRPr="008C693A">
              <w:rPr>
                <w:rFonts w:eastAsia="Calibri"/>
                <w:i/>
                <w:sz w:val="20"/>
                <w:szCs w:val="20"/>
                <w:lang w:val="fr-CA"/>
              </w:rPr>
              <w:t>mandamus</w:t>
            </w:r>
            <w:r w:rsidRPr="008C693A">
              <w:rPr>
                <w:rFonts w:eastAsia="Calibri"/>
                <w:sz w:val="20"/>
                <w:szCs w:val="20"/>
                <w:lang w:val="fr-CA"/>
              </w:rPr>
              <w:t xml:space="preserve">.  </w:t>
            </w:r>
          </w:p>
          <w:p w:rsidR="006544D2" w:rsidRPr="008C693A" w:rsidRDefault="006544D2" w:rsidP="006544D2">
            <w:pPr>
              <w:jc w:val="both"/>
              <w:rPr>
                <w:rFonts w:eastAsia="Calibri"/>
                <w:sz w:val="20"/>
                <w:szCs w:val="20"/>
                <w:lang w:val="fr-CA"/>
              </w:rPr>
            </w:pPr>
          </w:p>
        </w:tc>
      </w:tr>
      <w:tr w:rsidR="006544D2" w:rsidRPr="008B79EB"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26 septembre 2013</w:t>
            </w:r>
          </w:p>
          <w:p w:rsidR="006544D2" w:rsidRPr="008C693A" w:rsidRDefault="006544D2" w:rsidP="006544D2">
            <w:pPr>
              <w:jc w:val="both"/>
              <w:rPr>
                <w:rFonts w:eastAsia="Calibri"/>
                <w:sz w:val="20"/>
                <w:szCs w:val="20"/>
                <w:lang w:val="fr-CA"/>
              </w:rPr>
            </w:pPr>
            <w:r w:rsidRPr="008C693A">
              <w:rPr>
                <w:rFonts w:eastAsia="Calibri"/>
                <w:sz w:val="20"/>
                <w:szCs w:val="20"/>
                <w:lang w:val="fr-CA"/>
              </w:rPr>
              <w:t>Cour suprême de la Colombie-Britannique</w:t>
            </w:r>
          </w:p>
          <w:p w:rsidR="006544D2" w:rsidRPr="008C693A" w:rsidRDefault="006544D2" w:rsidP="006544D2">
            <w:pPr>
              <w:jc w:val="both"/>
              <w:rPr>
                <w:rFonts w:eastAsia="Calibri"/>
                <w:sz w:val="20"/>
                <w:szCs w:val="20"/>
                <w:lang w:val="fr-CA"/>
              </w:rPr>
            </w:pPr>
            <w:r w:rsidRPr="008C693A">
              <w:rPr>
                <w:rFonts w:eastAsia="Calibri"/>
                <w:sz w:val="20"/>
                <w:szCs w:val="20"/>
                <w:lang w:val="fr-CA"/>
              </w:rPr>
              <w:t>(Juge Bernard)</w:t>
            </w:r>
          </w:p>
          <w:p w:rsidR="006544D2" w:rsidRPr="008C693A" w:rsidRDefault="005A3634" w:rsidP="006544D2">
            <w:pPr>
              <w:jc w:val="both"/>
              <w:rPr>
                <w:rFonts w:eastAsia="Calibri"/>
                <w:sz w:val="20"/>
                <w:szCs w:val="20"/>
                <w:lang w:val="fr-CA"/>
              </w:rPr>
            </w:pPr>
            <w:hyperlink r:id="rId51" w:history="1">
              <w:r w:rsidR="006544D2" w:rsidRPr="008C693A">
                <w:rPr>
                  <w:rFonts w:eastAsia="Calibri"/>
                  <w:color w:val="0000FF"/>
                  <w:sz w:val="20"/>
                  <w:szCs w:val="20"/>
                  <w:u w:val="single"/>
                  <w:lang w:val="fr-CA"/>
                </w:rPr>
                <w:t>2013 BCSC 1773</w:t>
              </w:r>
            </w:hyperlink>
          </w:p>
          <w:p w:rsidR="006544D2" w:rsidRPr="008C693A" w:rsidRDefault="006544D2" w:rsidP="006544D2">
            <w:pPr>
              <w:jc w:val="both"/>
              <w:rPr>
                <w:rFonts w:eastAsia="Calibri"/>
                <w:sz w:val="20"/>
                <w:szCs w:val="20"/>
                <w:lang w:val="fr-CA"/>
              </w:rPr>
            </w:pP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Rejet de la requête des intimées en vue d’obtenir un jugement déclarant qu’un crématorium commercial est une utilisation autorisée et une ordonnance pour obliger le demandeur à fournir les documents nécessaires</w:t>
            </w:r>
          </w:p>
          <w:p w:rsidR="006544D2" w:rsidRPr="008C693A" w:rsidRDefault="006544D2" w:rsidP="006544D2">
            <w:pPr>
              <w:jc w:val="both"/>
              <w:rPr>
                <w:rFonts w:eastAsia="Calibri"/>
                <w:sz w:val="20"/>
                <w:szCs w:val="20"/>
                <w:lang w:val="fr-CA"/>
              </w:rPr>
            </w:pPr>
          </w:p>
        </w:tc>
      </w:tr>
      <w:tr w:rsidR="006544D2" w:rsidRPr="008B79EB"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26 août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d’appel de la Colombie-Britannique</w:t>
            </w:r>
          </w:p>
          <w:p w:rsidR="006544D2" w:rsidRPr="008C693A" w:rsidRDefault="006544D2" w:rsidP="006544D2">
            <w:pPr>
              <w:jc w:val="both"/>
              <w:rPr>
                <w:rFonts w:eastAsia="Calibri"/>
                <w:sz w:val="20"/>
                <w:szCs w:val="20"/>
                <w:lang w:val="fr-CA"/>
              </w:rPr>
            </w:pPr>
            <w:r w:rsidRPr="008C693A">
              <w:rPr>
                <w:rFonts w:eastAsia="Calibri"/>
                <w:sz w:val="20"/>
                <w:szCs w:val="20"/>
                <w:lang w:val="fr-CA"/>
              </w:rPr>
              <w:t>(Victoria)</w:t>
            </w:r>
          </w:p>
          <w:p w:rsidR="006544D2" w:rsidRPr="008C693A" w:rsidRDefault="006544D2" w:rsidP="006544D2">
            <w:pPr>
              <w:jc w:val="both"/>
              <w:rPr>
                <w:rFonts w:eastAsia="Calibri"/>
                <w:sz w:val="20"/>
                <w:szCs w:val="20"/>
                <w:lang w:val="fr-CA"/>
              </w:rPr>
            </w:pPr>
            <w:r w:rsidRPr="008C693A">
              <w:rPr>
                <w:rFonts w:eastAsia="Calibri"/>
                <w:sz w:val="20"/>
                <w:szCs w:val="20"/>
                <w:lang w:val="fr-CA"/>
              </w:rPr>
              <w:t>(Juges Levine, Garson et Stromberg-Stein)</w:t>
            </w:r>
          </w:p>
          <w:p w:rsidR="006544D2" w:rsidRPr="008C693A" w:rsidRDefault="005A3634" w:rsidP="006544D2">
            <w:pPr>
              <w:jc w:val="both"/>
              <w:rPr>
                <w:rFonts w:eastAsia="Calibri"/>
                <w:sz w:val="20"/>
                <w:szCs w:val="20"/>
                <w:lang w:val="fr-CA"/>
              </w:rPr>
            </w:pPr>
            <w:hyperlink r:id="rId52" w:history="1">
              <w:r w:rsidR="006544D2" w:rsidRPr="008C693A">
                <w:rPr>
                  <w:rFonts w:eastAsia="Calibri"/>
                  <w:color w:val="0000FF"/>
                  <w:sz w:val="20"/>
                  <w:szCs w:val="20"/>
                  <w:u w:val="single"/>
                  <w:lang w:val="fr-CA"/>
                </w:rPr>
                <w:t>2014 BCCA 335</w:t>
              </w:r>
            </w:hyperlink>
            <w:r w:rsidR="006544D2" w:rsidRPr="008C693A">
              <w:rPr>
                <w:rFonts w:eastAsia="Calibri"/>
                <w:sz w:val="20"/>
                <w:szCs w:val="20"/>
                <w:lang w:val="fr-CA"/>
              </w:rPr>
              <w:t xml:space="preserve">; </w:t>
            </w:r>
          </w:p>
          <w:p w:rsidR="006544D2" w:rsidRPr="008C693A" w:rsidRDefault="006544D2" w:rsidP="006544D2">
            <w:pPr>
              <w:jc w:val="both"/>
              <w:rPr>
                <w:rFonts w:eastAsia="Calibri"/>
                <w:sz w:val="20"/>
                <w:szCs w:val="20"/>
                <w:lang w:val="fr-CA"/>
              </w:rPr>
            </w:pP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Jugement accueillant l’appel, annulant l’ordonnance de la juridiction inférieure et accordant la réparation demandée par les intimées</w:t>
            </w:r>
          </w:p>
          <w:p w:rsidR="006544D2" w:rsidRPr="008C693A" w:rsidRDefault="006544D2" w:rsidP="006544D2">
            <w:pPr>
              <w:jc w:val="both"/>
              <w:rPr>
                <w:rFonts w:eastAsia="Calibri"/>
                <w:sz w:val="20"/>
                <w:szCs w:val="20"/>
                <w:lang w:val="fr-CA"/>
              </w:rPr>
            </w:pPr>
          </w:p>
        </w:tc>
      </w:tr>
      <w:tr w:rsidR="006544D2" w:rsidRPr="008B79EB" w:rsidTr="006544D2">
        <w:tc>
          <w:tcPr>
            <w:tcW w:w="2427"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20 octobre 2014</w:t>
            </w:r>
          </w:p>
          <w:p w:rsidR="006544D2" w:rsidRPr="008C693A" w:rsidRDefault="006544D2" w:rsidP="006544D2">
            <w:pPr>
              <w:jc w:val="both"/>
              <w:rPr>
                <w:rFonts w:eastAsia="Calibri"/>
                <w:sz w:val="20"/>
                <w:szCs w:val="20"/>
                <w:lang w:val="fr-CA"/>
              </w:rPr>
            </w:pPr>
            <w:r w:rsidRPr="008C693A">
              <w:rPr>
                <w:rFonts w:eastAsia="Calibri"/>
                <w:sz w:val="20"/>
                <w:szCs w:val="20"/>
                <w:lang w:val="fr-CA"/>
              </w:rPr>
              <w:t>Cour suprême du Canada</w:t>
            </w:r>
          </w:p>
        </w:tc>
        <w:tc>
          <w:tcPr>
            <w:tcW w:w="243" w:type="pct"/>
          </w:tcPr>
          <w:p w:rsidR="006544D2" w:rsidRPr="008C693A" w:rsidRDefault="006544D2" w:rsidP="006544D2">
            <w:pPr>
              <w:jc w:val="both"/>
              <w:rPr>
                <w:rFonts w:eastAsia="Calibri"/>
                <w:sz w:val="20"/>
                <w:szCs w:val="20"/>
                <w:lang w:val="fr-CA"/>
              </w:rPr>
            </w:pPr>
          </w:p>
        </w:tc>
        <w:tc>
          <w:tcPr>
            <w:tcW w:w="2330" w:type="pct"/>
          </w:tcPr>
          <w:p w:rsidR="006544D2" w:rsidRPr="008C693A" w:rsidRDefault="006544D2" w:rsidP="006544D2">
            <w:pPr>
              <w:jc w:val="both"/>
              <w:rPr>
                <w:rFonts w:eastAsia="Calibri"/>
                <w:sz w:val="20"/>
                <w:szCs w:val="20"/>
                <w:lang w:val="fr-CA"/>
              </w:rPr>
            </w:pPr>
            <w:r w:rsidRPr="008C693A">
              <w:rPr>
                <w:rFonts w:eastAsia="Calibri"/>
                <w:sz w:val="20"/>
                <w:szCs w:val="20"/>
                <w:lang w:val="fr-CA"/>
              </w:rPr>
              <w:t>Dépôt de la demande d’autorisation d’appel</w:t>
            </w:r>
          </w:p>
          <w:p w:rsidR="006544D2" w:rsidRPr="008C693A" w:rsidRDefault="006544D2" w:rsidP="006544D2">
            <w:pPr>
              <w:jc w:val="both"/>
              <w:rPr>
                <w:rFonts w:eastAsia="Calibri"/>
                <w:sz w:val="20"/>
                <w:szCs w:val="20"/>
                <w:lang w:val="fr-CA"/>
              </w:rPr>
            </w:pPr>
          </w:p>
        </w:tc>
      </w:tr>
    </w:tbl>
    <w:p w:rsidR="007934D0" w:rsidRPr="006544D2" w:rsidRDefault="007934D0" w:rsidP="007934D0">
      <w:pPr>
        <w:rPr>
          <w:sz w:val="20"/>
          <w:szCs w:val="20"/>
          <w:lang w:val="fr-CA"/>
        </w:rPr>
      </w:pPr>
    </w:p>
    <w:p w:rsidR="007934D0" w:rsidRDefault="005A3634" w:rsidP="007934D0">
      <w:pPr>
        <w:rPr>
          <w:sz w:val="20"/>
          <w:szCs w:val="20"/>
          <w:lang w:val="fr-CA"/>
        </w:rPr>
      </w:pPr>
      <w:r>
        <w:rPr>
          <w:sz w:val="20"/>
          <w:szCs w:val="20"/>
          <w:lang w:val="fr-CA"/>
        </w:rPr>
        <w:pict>
          <v:rect id="_x0000_i1064" style="width:2in;height:1pt" o:hrpct="0" o:hralign="center" o:hrstd="t" o:hrnoshade="t" o:hr="t" fillcolor="black [3213]" stroked="f"/>
        </w:pict>
      </w:r>
    </w:p>
    <w:p w:rsidR="007934D0" w:rsidRDefault="007934D0" w:rsidP="007934D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976F4" w:rsidRPr="00E62B49" w:rsidTr="00861DE3">
        <w:tc>
          <w:tcPr>
            <w:tcW w:w="1458" w:type="dxa"/>
          </w:tcPr>
          <w:p w:rsidR="005976F4" w:rsidRPr="00E62B49" w:rsidRDefault="005976F4" w:rsidP="006544D2">
            <w:pPr>
              <w:rPr>
                <w:sz w:val="20"/>
                <w:szCs w:val="20"/>
              </w:rPr>
            </w:pPr>
            <w:r w:rsidRPr="00E62B49">
              <w:rPr>
                <w:rStyle w:val="SCCFileNumberChar"/>
                <w:sz w:val="20"/>
                <w:szCs w:val="20"/>
              </w:rPr>
              <w:t>36137</w:t>
            </w:r>
          </w:p>
          <w:p w:rsidR="005976F4" w:rsidRPr="00E62B49" w:rsidRDefault="005976F4" w:rsidP="006544D2">
            <w:pPr>
              <w:rPr>
                <w:b/>
                <w:sz w:val="20"/>
                <w:szCs w:val="20"/>
                <w:lang w:val="fr-CA"/>
              </w:rPr>
            </w:pPr>
          </w:p>
        </w:tc>
        <w:tc>
          <w:tcPr>
            <w:tcW w:w="8118" w:type="dxa"/>
          </w:tcPr>
          <w:p w:rsidR="005976F4" w:rsidRPr="00E62B49" w:rsidRDefault="005976F4" w:rsidP="006544D2">
            <w:pPr>
              <w:rPr>
                <w:sz w:val="20"/>
                <w:szCs w:val="20"/>
              </w:rPr>
            </w:pPr>
            <w:r w:rsidRPr="005976F4">
              <w:rPr>
                <w:rStyle w:val="SCCLsocChar"/>
                <w:sz w:val="20"/>
                <w:szCs w:val="20"/>
                <w:lang w:val="en-CA"/>
              </w:rPr>
              <w:t>Bryan Teskey v. Attorney General of Canada</w:t>
            </w:r>
            <w:r w:rsidRPr="00E62B49">
              <w:rPr>
                <w:sz w:val="20"/>
                <w:szCs w:val="20"/>
              </w:rPr>
              <w:t xml:space="preserve"> (Ont.) (Civil) (By Leave)</w:t>
            </w:r>
          </w:p>
          <w:p w:rsidR="005976F4" w:rsidRPr="00E62B49" w:rsidRDefault="005976F4" w:rsidP="006544D2">
            <w:pPr>
              <w:rPr>
                <w:sz w:val="20"/>
                <w:szCs w:val="20"/>
              </w:rPr>
            </w:pPr>
          </w:p>
        </w:tc>
      </w:tr>
      <w:tr w:rsidR="005976F4" w:rsidRPr="008B79EB" w:rsidTr="00861DE3">
        <w:tc>
          <w:tcPr>
            <w:tcW w:w="1458" w:type="dxa"/>
          </w:tcPr>
          <w:p w:rsidR="005976F4" w:rsidRPr="00E62B49" w:rsidRDefault="005976F4" w:rsidP="006544D2">
            <w:pPr>
              <w:rPr>
                <w:sz w:val="20"/>
                <w:szCs w:val="20"/>
              </w:rPr>
            </w:pPr>
            <w:r w:rsidRPr="00E62B49">
              <w:rPr>
                <w:sz w:val="20"/>
                <w:szCs w:val="20"/>
              </w:rPr>
              <w:t>Coram :</w:t>
            </w:r>
          </w:p>
        </w:tc>
        <w:tc>
          <w:tcPr>
            <w:tcW w:w="8118" w:type="dxa"/>
          </w:tcPr>
          <w:p w:rsidR="005976F4" w:rsidRPr="00E62B49" w:rsidRDefault="005976F4" w:rsidP="006544D2">
            <w:pPr>
              <w:rPr>
                <w:sz w:val="20"/>
                <w:szCs w:val="20"/>
                <w:lang w:val="fr-CA"/>
              </w:rPr>
            </w:pPr>
            <w:r w:rsidRPr="00E62B49">
              <w:rPr>
                <w:rStyle w:val="SCCCoramChar"/>
                <w:sz w:val="20"/>
                <w:szCs w:val="20"/>
              </w:rPr>
              <w:t>Abella, Karakatsanis and Côté JJ.</w:t>
            </w:r>
          </w:p>
          <w:p w:rsidR="005976F4" w:rsidRPr="00E62B49" w:rsidRDefault="005976F4" w:rsidP="006544D2">
            <w:pPr>
              <w:rPr>
                <w:sz w:val="20"/>
                <w:szCs w:val="20"/>
                <w:u w:val="single"/>
                <w:lang w:val="fr-CA"/>
              </w:rPr>
            </w:pPr>
          </w:p>
        </w:tc>
      </w:tr>
      <w:tr w:rsidR="005976F4" w:rsidRPr="008B79EB" w:rsidTr="00861DE3">
        <w:tc>
          <w:tcPr>
            <w:tcW w:w="9576" w:type="dxa"/>
            <w:gridSpan w:val="2"/>
          </w:tcPr>
          <w:p w:rsidR="005976F4" w:rsidRPr="00E62B49" w:rsidRDefault="005976F4" w:rsidP="006544D2">
            <w:pPr>
              <w:pStyle w:val="SCCShortJudgment"/>
              <w:rPr>
                <w:szCs w:val="20"/>
              </w:rPr>
            </w:pPr>
            <w:r w:rsidRPr="00E62B49">
              <w:rPr>
                <w:szCs w:val="20"/>
              </w:rPr>
              <w:t>The application for leave to appeal from the judgment of the Court of Appeal for Ontario, Number C57588, 2014 ONCA 612, dated August 22, 2014 is dismissed with costs.</w:t>
            </w:r>
          </w:p>
          <w:p w:rsidR="005976F4" w:rsidRPr="00E62B49" w:rsidRDefault="005976F4" w:rsidP="006544D2">
            <w:pPr>
              <w:pStyle w:val="SCCShortJudgment"/>
              <w:ind w:firstLine="0"/>
              <w:rPr>
                <w:szCs w:val="20"/>
              </w:rPr>
            </w:pPr>
          </w:p>
          <w:p w:rsidR="005976F4" w:rsidRPr="00E62B49" w:rsidRDefault="005976F4" w:rsidP="006544D2">
            <w:pPr>
              <w:pStyle w:val="SCCShortJudgment"/>
              <w:rPr>
                <w:szCs w:val="20"/>
                <w:lang w:val="fr-CA"/>
              </w:rPr>
            </w:pPr>
            <w:r w:rsidRPr="00E62B49">
              <w:rPr>
                <w:szCs w:val="20"/>
                <w:lang w:val="fr-CA"/>
              </w:rPr>
              <w:t>La demande d’autorisation d’appel de l’arrêt de la Cour d’appel de l’Ontario, numéro C57588, 2014 ONCA 612, daté du 22 août 2014, est rejetée avec dépens.</w:t>
            </w:r>
          </w:p>
        </w:tc>
      </w:tr>
    </w:tbl>
    <w:p w:rsidR="007934D0" w:rsidRPr="005976F4" w:rsidRDefault="007934D0" w:rsidP="007934D0">
      <w:pPr>
        <w:rPr>
          <w:sz w:val="20"/>
          <w:szCs w:val="20"/>
          <w:lang w:val="fr-CA"/>
        </w:rPr>
      </w:pPr>
    </w:p>
    <w:p w:rsidR="007934D0" w:rsidRPr="001B157C" w:rsidRDefault="007934D0" w:rsidP="007934D0">
      <w:pPr>
        <w:rPr>
          <w:sz w:val="20"/>
          <w:szCs w:val="20"/>
          <w:u w:val="single"/>
        </w:rPr>
      </w:pPr>
      <w:r w:rsidRPr="001B157C">
        <w:rPr>
          <w:sz w:val="20"/>
          <w:szCs w:val="20"/>
          <w:u w:val="single"/>
        </w:rPr>
        <w:t>CASE SUMMARY</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C693A" w:rsidTr="006544D2">
        <w:tc>
          <w:tcPr>
            <w:tcW w:w="5000" w:type="pct"/>
            <w:gridSpan w:val="3"/>
          </w:tcPr>
          <w:p w:rsidR="006544D2" w:rsidRPr="008C693A" w:rsidRDefault="006544D2" w:rsidP="006544D2">
            <w:pPr>
              <w:jc w:val="both"/>
              <w:rPr>
                <w:rFonts w:eastAsia="Calibri"/>
                <w:sz w:val="20"/>
                <w:szCs w:val="20"/>
              </w:rPr>
            </w:pPr>
            <w:r w:rsidRPr="008C693A">
              <w:rPr>
                <w:rFonts w:eastAsia="Calibri"/>
                <w:i/>
                <w:sz w:val="20"/>
                <w:szCs w:val="20"/>
              </w:rPr>
              <w:t xml:space="preserve">Charter of Rights – </w:t>
            </w:r>
            <w:r w:rsidRPr="008C693A">
              <w:rPr>
                <w:rFonts w:eastAsia="Calibri"/>
                <w:sz w:val="20"/>
                <w:szCs w:val="20"/>
              </w:rPr>
              <w:t xml:space="preserve">Right to equality </w:t>
            </w:r>
            <w:r w:rsidRPr="008C693A">
              <w:rPr>
                <w:rFonts w:eastAsia="Calibri"/>
                <w:i/>
                <w:sz w:val="20"/>
                <w:szCs w:val="20"/>
              </w:rPr>
              <w:t>–</w:t>
            </w:r>
            <w:r w:rsidRPr="008C693A">
              <w:rPr>
                <w:rFonts w:eastAsia="Calibri"/>
                <w:sz w:val="20"/>
                <w:szCs w:val="20"/>
              </w:rPr>
              <w:t xml:space="preserve"> Enforcement </w:t>
            </w:r>
            <w:r w:rsidRPr="008C693A">
              <w:rPr>
                <w:rFonts w:eastAsia="Calibri"/>
                <w:i/>
                <w:sz w:val="20"/>
                <w:szCs w:val="20"/>
              </w:rPr>
              <w:t xml:space="preserve">– </w:t>
            </w:r>
            <w:r w:rsidRPr="008C693A">
              <w:rPr>
                <w:rFonts w:eastAsia="Calibri"/>
                <w:sz w:val="20"/>
                <w:szCs w:val="20"/>
              </w:rPr>
              <w:t xml:space="preserve">Constitutional law </w:t>
            </w:r>
            <w:r w:rsidRPr="008C693A">
              <w:rPr>
                <w:rFonts w:eastAsia="Calibri"/>
                <w:i/>
                <w:sz w:val="20"/>
                <w:szCs w:val="20"/>
              </w:rPr>
              <w:t xml:space="preserve">– </w:t>
            </w:r>
            <w:r w:rsidRPr="008C693A">
              <w:rPr>
                <w:rFonts w:eastAsia="Calibri"/>
                <w:sz w:val="20"/>
                <w:szCs w:val="20"/>
              </w:rPr>
              <w:t xml:space="preserve">Conventions </w:t>
            </w:r>
            <w:r w:rsidRPr="008C693A">
              <w:rPr>
                <w:rFonts w:eastAsia="Calibri"/>
                <w:i/>
                <w:sz w:val="20"/>
                <w:szCs w:val="20"/>
              </w:rPr>
              <w:t xml:space="preserve">– </w:t>
            </w:r>
            <w:r w:rsidRPr="008C693A">
              <w:rPr>
                <w:rFonts w:eastAsia="Calibri"/>
                <w:sz w:val="20"/>
                <w:szCs w:val="20"/>
              </w:rPr>
              <w:t xml:space="preserve">Civil procedure </w:t>
            </w:r>
            <w:r w:rsidRPr="008C693A">
              <w:rPr>
                <w:rFonts w:eastAsia="Calibri"/>
                <w:i/>
                <w:sz w:val="20"/>
                <w:szCs w:val="20"/>
              </w:rPr>
              <w:t>–</w:t>
            </w:r>
            <w:r w:rsidRPr="008C693A">
              <w:rPr>
                <w:rFonts w:eastAsia="Calibri"/>
                <w:sz w:val="20"/>
                <w:szCs w:val="20"/>
              </w:rPr>
              <w:t xml:space="preserve"> Standing</w:t>
            </w:r>
            <w:r w:rsidRPr="008C693A">
              <w:rPr>
                <w:rFonts w:eastAsia="Calibri"/>
                <w:i/>
                <w:sz w:val="20"/>
                <w:szCs w:val="20"/>
              </w:rPr>
              <w:t xml:space="preserve"> –</w:t>
            </w:r>
            <w:r w:rsidRPr="008C693A">
              <w:rPr>
                <w:rFonts w:eastAsia="Calibri"/>
                <w:sz w:val="20"/>
                <w:szCs w:val="20"/>
              </w:rPr>
              <w:t xml:space="preserve"> Have the rules governing the Royal Succession been received into the law of Canada</w:t>
            </w:r>
            <w:r w:rsidRPr="008C693A">
              <w:rPr>
                <w:rFonts w:eastAsia="Calibri"/>
                <w:i/>
                <w:sz w:val="20"/>
                <w:szCs w:val="20"/>
              </w:rPr>
              <w:t xml:space="preserve"> – </w:t>
            </w:r>
            <w:r w:rsidRPr="008C693A">
              <w:rPr>
                <w:rFonts w:eastAsia="Calibri"/>
                <w:sz w:val="20"/>
                <w:szCs w:val="20"/>
              </w:rPr>
              <w:t>Can the Parliament of Canada revise Canada’s Royal Succession regime by assenting to the contents of a Bill presented before the Parliament of the U.K.</w:t>
            </w:r>
            <w:r w:rsidRPr="008C693A">
              <w:rPr>
                <w:rFonts w:eastAsia="Calibri"/>
                <w:i/>
                <w:sz w:val="20"/>
                <w:szCs w:val="20"/>
              </w:rPr>
              <w:t xml:space="preserve"> – </w:t>
            </w:r>
            <w:r w:rsidRPr="008C693A">
              <w:rPr>
                <w:rFonts w:eastAsia="Calibri"/>
                <w:sz w:val="20"/>
                <w:szCs w:val="20"/>
              </w:rPr>
              <w:t xml:space="preserve">Is the preamble contained in the </w:t>
            </w:r>
            <w:r w:rsidRPr="008C693A">
              <w:rPr>
                <w:rFonts w:eastAsia="Calibri"/>
                <w:i/>
                <w:sz w:val="20"/>
                <w:szCs w:val="20"/>
              </w:rPr>
              <w:t>Statute of Westminster, 1931</w:t>
            </w:r>
            <w:r w:rsidRPr="008C693A">
              <w:rPr>
                <w:rFonts w:eastAsia="Calibri"/>
                <w:sz w:val="20"/>
                <w:szCs w:val="20"/>
              </w:rPr>
              <w:t xml:space="preserve"> legally binding and does it have the effect of immunizing the rules governing the Royal Succession from scrutiny under section 15 of the </w:t>
            </w:r>
            <w:r w:rsidRPr="008C693A">
              <w:rPr>
                <w:rFonts w:eastAsia="Calibri"/>
                <w:i/>
                <w:sz w:val="20"/>
                <w:szCs w:val="20"/>
              </w:rPr>
              <w:t xml:space="preserve"> Charter</w:t>
            </w:r>
            <w:r w:rsidRPr="008C693A">
              <w:rPr>
                <w:rFonts w:eastAsia="Calibri"/>
                <w:sz w:val="20"/>
                <w:szCs w:val="20"/>
              </w:rPr>
              <w:t xml:space="preserve"> or section 2 of the </w:t>
            </w:r>
            <w:r w:rsidRPr="008C693A">
              <w:rPr>
                <w:rFonts w:eastAsia="Calibri"/>
                <w:i/>
                <w:sz w:val="20"/>
                <w:szCs w:val="20"/>
              </w:rPr>
              <w:t xml:space="preserve">Canada Act, 1982 – </w:t>
            </w:r>
            <w:r w:rsidRPr="008C693A">
              <w:rPr>
                <w:rFonts w:eastAsia="Calibri"/>
                <w:sz w:val="20"/>
                <w:szCs w:val="20"/>
              </w:rPr>
              <w:t xml:space="preserve">Are sex and religious-based restrictions contained in Canada’s Royal succession regime already of no force and effect as a result of s. 15 of the </w:t>
            </w:r>
            <w:r w:rsidRPr="008C693A">
              <w:rPr>
                <w:rFonts w:eastAsia="Calibri"/>
                <w:i/>
                <w:sz w:val="20"/>
                <w:szCs w:val="20"/>
              </w:rPr>
              <w:t xml:space="preserve">Charter – </w:t>
            </w:r>
            <w:r w:rsidRPr="008C693A">
              <w:rPr>
                <w:rFonts w:eastAsia="Calibri"/>
                <w:sz w:val="20"/>
                <w:szCs w:val="20"/>
              </w:rPr>
              <w:t xml:space="preserve">What is the test for standing for an alleged violation of s. 2 of the </w:t>
            </w:r>
            <w:r w:rsidRPr="008C693A">
              <w:rPr>
                <w:rFonts w:eastAsia="Calibri"/>
                <w:i/>
                <w:sz w:val="20"/>
                <w:szCs w:val="20"/>
              </w:rPr>
              <w:t>Canada Act, 1982</w:t>
            </w:r>
            <w:r w:rsidRPr="008C693A">
              <w:rPr>
                <w:rFonts w:eastAsia="Calibri"/>
                <w:sz w:val="20"/>
                <w:szCs w:val="20"/>
              </w:rPr>
              <w:t xml:space="preserve"> and does a Canadian citizen have that standing</w:t>
            </w:r>
            <w:r w:rsidRPr="008C693A">
              <w:rPr>
                <w:rFonts w:eastAsia="Calibri"/>
                <w:i/>
                <w:sz w:val="20"/>
                <w:szCs w:val="20"/>
              </w:rPr>
              <w:t xml:space="preserve"> – </w:t>
            </w:r>
            <w:r w:rsidRPr="008C693A">
              <w:rPr>
                <w:rFonts w:eastAsia="Calibri"/>
                <w:sz w:val="20"/>
                <w:szCs w:val="20"/>
              </w:rPr>
              <w:t xml:space="preserve">What is the test for standing for an alleged violation of s. 15 of the </w:t>
            </w:r>
            <w:r w:rsidRPr="008C693A">
              <w:rPr>
                <w:rFonts w:eastAsia="Calibri"/>
                <w:i/>
                <w:sz w:val="20"/>
                <w:szCs w:val="20"/>
              </w:rPr>
              <w:t>Charter</w:t>
            </w:r>
            <w:r w:rsidRPr="008C693A">
              <w:rPr>
                <w:rFonts w:eastAsia="Calibri"/>
                <w:sz w:val="20"/>
                <w:szCs w:val="20"/>
              </w:rPr>
              <w:t xml:space="preserve"> and are Roman Catholics “exceptionally prejudiced” by an attempt to revise Canada’s Royal Succession Regime in a way that removes partial sex-based discrimination but preserves a total prohibition against Roman Catholics </w:t>
            </w:r>
            <w:r w:rsidRPr="008C693A">
              <w:rPr>
                <w:rFonts w:eastAsia="Calibri"/>
                <w:i/>
                <w:sz w:val="20"/>
                <w:szCs w:val="20"/>
              </w:rPr>
              <w:t xml:space="preserve">– </w:t>
            </w:r>
            <w:r w:rsidRPr="008C693A">
              <w:rPr>
                <w:rFonts w:eastAsia="Calibri"/>
                <w:sz w:val="20"/>
                <w:szCs w:val="20"/>
              </w:rPr>
              <w:t xml:space="preserve">Who is better positioned than a Roman Catholic to challenge statutory language that deems all Roman Catholics, regardless of their relationship to current members of the Royal Family, “dead” for the purposes of the Royal Succession </w:t>
            </w:r>
            <w:r w:rsidRPr="008C693A">
              <w:rPr>
                <w:rFonts w:eastAsia="Calibri"/>
                <w:i/>
                <w:sz w:val="20"/>
                <w:szCs w:val="20"/>
              </w:rPr>
              <w:t>–</w:t>
            </w:r>
            <w:r w:rsidRPr="008C693A">
              <w:rPr>
                <w:rFonts w:eastAsia="Calibri"/>
                <w:sz w:val="20"/>
                <w:szCs w:val="20"/>
              </w:rPr>
              <w:t xml:space="preserve"> </w:t>
            </w:r>
            <w:r w:rsidRPr="008C693A">
              <w:rPr>
                <w:rFonts w:eastAsia="Calibri"/>
                <w:i/>
                <w:sz w:val="20"/>
                <w:szCs w:val="20"/>
              </w:rPr>
              <w:t>Succession to the Throne Act, 2013</w:t>
            </w:r>
            <w:r w:rsidRPr="008C693A">
              <w:rPr>
                <w:rFonts w:eastAsia="Calibri"/>
                <w:sz w:val="20"/>
                <w:szCs w:val="20"/>
              </w:rPr>
              <w:t>, S.C. 2013, c. 6.</w:t>
            </w:r>
          </w:p>
        </w:tc>
      </w:tr>
      <w:tr w:rsidR="006544D2" w:rsidRPr="008C693A" w:rsidTr="006544D2">
        <w:tc>
          <w:tcPr>
            <w:tcW w:w="5000" w:type="pct"/>
            <w:gridSpan w:val="3"/>
          </w:tcPr>
          <w:p w:rsidR="006544D2" w:rsidRPr="008C693A" w:rsidRDefault="006544D2" w:rsidP="006544D2">
            <w:pPr>
              <w:jc w:val="both"/>
              <w:rPr>
                <w:rFonts w:eastAsia="Calibri"/>
                <w:sz w:val="20"/>
                <w:szCs w:val="20"/>
              </w:rPr>
            </w:pPr>
          </w:p>
        </w:tc>
      </w:tr>
      <w:tr w:rsidR="006544D2" w:rsidRPr="008C693A" w:rsidTr="006544D2">
        <w:tc>
          <w:tcPr>
            <w:tcW w:w="5000" w:type="pct"/>
            <w:gridSpan w:val="3"/>
          </w:tcPr>
          <w:p w:rsidR="006544D2" w:rsidRPr="008C693A" w:rsidRDefault="006544D2" w:rsidP="006544D2">
            <w:pPr>
              <w:shd w:val="clear" w:color="auto" w:fill="FFFFFF"/>
              <w:jc w:val="both"/>
              <w:rPr>
                <w:rFonts w:eastAsia="Calibri"/>
                <w:sz w:val="20"/>
                <w:szCs w:val="20"/>
              </w:rPr>
            </w:pPr>
            <w:r w:rsidRPr="008C693A">
              <w:rPr>
                <w:rFonts w:eastAsia="Calibri"/>
                <w:sz w:val="20"/>
                <w:szCs w:val="20"/>
              </w:rPr>
              <w:t xml:space="preserve">The applicant, a Roman Catholic, objects to Canada’s participation in a Commonwealth agreement assenting to changes in the rules of royal succession proposed by the United Kingdom.  The changes abolish the system of male preference primogeniture and remove the provision rendering anyone who marries a Roman Catholic ineligible for succession. He argues that the changes should also have permitted Roman Catholics to succeed to the throne and their failure to do so renders the legislation discriminatory and contrary to s. 15 of the </w:t>
            </w:r>
            <w:r w:rsidRPr="008C693A">
              <w:rPr>
                <w:rFonts w:eastAsia="Calibri"/>
                <w:i/>
                <w:sz w:val="20"/>
                <w:szCs w:val="20"/>
              </w:rPr>
              <w:t>Charter</w:t>
            </w:r>
            <w:r w:rsidRPr="008C693A">
              <w:rPr>
                <w:rFonts w:eastAsia="Calibri"/>
                <w:sz w:val="20"/>
                <w:szCs w:val="20"/>
              </w:rPr>
              <w:t xml:space="preserve">.  He brought an application requesting, </w:t>
            </w:r>
            <w:r w:rsidRPr="008C693A">
              <w:rPr>
                <w:rFonts w:eastAsia="Calibri"/>
                <w:i/>
                <w:sz w:val="20"/>
                <w:szCs w:val="20"/>
              </w:rPr>
              <w:t>inter alia</w:t>
            </w:r>
            <w:r w:rsidRPr="008C693A">
              <w:rPr>
                <w:rFonts w:eastAsia="Calibri"/>
                <w:sz w:val="20"/>
                <w:szCs w:val="20"/>
              </w:rPr>
              <w:t xml:space="preserve">, a declaration that </w:t>
            </w:r>
            <w:r w:rsidRPr="008C693A">
              <w:rPr>
                <w:rFonts w:eastAsia="Calibri"/>
                <w:i/>
                <w:sz w:val="20"/>
                <w:szCs w:val="20"/>
              </w:rPr>
              <w:t>The Canada Act</w:t>
            </w:r>
            <w:r w:rsidRPr="008C693A">
              <w:rPr>
                <w:rFonts w:eastAsia="Calibri"/>
                <w:sz w:val="20"/>
                <w:szCs w:val="20"/>
              </w:rPr>
              <w:t>, 1982, (U.K.) 1982, c. 11 prevents Canada from consenting to legislation passed by the Parliament of the United Kingdom to change the rules of succession for the Crown and for a declaration that all legislative provisions prohibiting Catholics from ascending to the Crown of Canada are of no force and effect.  The Ontario Superior Court of Justice dismissed the application on the basis that it did not raise a justiciable issue and the applicant does not have standing and the Court of Appeal for Ontario dismissed the appeal.</w:t>
            </w:r>
          </w:p>
          <w:p w:rsidR="006544D2" w:rsidRPr="008C693A" w:rsidRDefault="006544D2" w:rsidP="006544D2">
            <w:pPr>
              <w:shd w:val="clear" w:color="auto" w:fill="FFFFFF"/>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August 9, 2013</w:t>
            </w:r>
          </w:p>
          <w:p w:rsidR="006544D2" w:rsidRPr="008C693A" w:rsidRDefault="006544D2" w:rsidP="006544D2">
            <w:pPr>
              <w:jc w:val="both"/>
              <w:rPr>
                <w:rFonts w:eastAsia="Calibri"/>
                <w:sz w:val="20"/>
                <w:szCs w:val="20"/>
              </w:rPr>
            </w:pPr>
            <w:r w:rsidRPr="008C693A">
              <w:rPr>
                <w:rFonts w:eastAsia="Calibri"/>
                <w:sz w:val="20"/>
                <w:szCs w:val="20"/>
              </w:rPr>
              <w:t>Ontario Superior Court of Justice</w:t>
            </w:r>
          </w:p>
          <w:p w:rsidR="006544D2" w:rsidRPr="008C693A" w:rsidRDefault="006544D2" w:rsidP="006544D2">
            <w:pPr>
              <w:jc w:val="both"/>
              <w:rPr>
                <w:rFonts w:eastAsia="Calibri"/>
                <w:sz w:val="20"/>
                <w:szCs w:val="20"/>
              </w:rPr>
            </w:pPr>
            <w:r w:rsidRPr="008C693A">
              <w:rPr>
                <w:rFonts w:eastAsia="Calibri"/>
                <w:sz w:val="20"/>
                <w:szCs w:val="20"/>
              </w:rPr>
              <w:t>(Hackland R.S.J.)</w:t>
            </w:r>
          </w:p>
          <w:p w:rsidR="006544D2" w:rsidRPr="008C693A" w:rsidRDefault="005A3634" w:rsidP="006544D2">
            <w:pPr>
              <w:jc w:val="both"/>
              <w:rPr>
                <w:rFonts w:eastAsia="Calibri"/>
                <w:sz w:val="20"/>
                <w:szCs w:val="20"/>
              </w:rPr>
            </w:pPr>
            <w:hyperlink r:id="rId53" w:history="1">
              <w:r w:rsidR="006544D2" w:rsidRPr="008C693A">
                <w:rPr>
                  <w:rFonts w:eastAsia="Calibri"/>
                  <w:color w:val="0000FF"/>
                  <w:sz w:val="20"/>
                  <w:szCs w:val="20"/>
                  <w:u w:val="single"/>
                </w:rPr>
                <w:t>2013 ONSC 5046</w:t>
              </w:r>
            </w:hyperlink>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Application for declaratory relief dismissed</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August 22, 2014</w:t>
            </w:r>
          </w:p>
          <w:p w:rsidR="006544D2" w:rsidRPr="008C693A" w:rsidRDefault="006544D2" w:rsidP="006544D2">
            <w:pPr>
              <w:jc w:val="both"/>
              <w:rPr>
                <w:rFonts w:eastAsia="Calibri"/>
                <w:sz w:val="20"/>
                <w:szCs w:val="20"/>
              </w:rPr>
            </w:pPr>
            <w:r w:rsidRPr="008C693A">
              <w:rPr>
                <w:rFonts w:eastAsia="Calibri"/>
                <w:sz w:val="20"/>
                <w:szCs w:val="20"/>
              </w:rPr>
              <w:t>Court of Appeal for Ontario</w:t>
            </w:r>
          </w:p>
          <w:p w:rsidR="006544D2" w:rsidRPr="008C693A" w:rsidRDefault="006544D2" w:rsidP="006544D2">
            <w:pPr>
              <w:jc w:val="both"/>
              <w:rPr>
                <w:rFonts w:eastAsia="Calibri"/>
                <w:sz w:val="20"/>
                <w:szCs w:val="20"/>
              </w:rPr>
            </w:pPr>
            <w:r w:rsidRPr="008C693A">
              <w:rPr>
                <w:rFonts w:eastAsia="Calibri"/>
                <w:sz w:val="20"/>
                <w:szCs w:val="20"/>
              </w:rPr>
              <w:t>(Blair, Pepall and Hourigan JJ.A.)</w:t>
            </w:r>
          </w:p>
          <w:p w:rsidR="006544D2" w:rsidRPr="008C693A" w:rsidRDefault="005A3634" w:rsidP="006544D2">
            <w:pPr>
              <w:jc w:val="both"/>
              <w:rPr>
                <w:rFonts w:eastAsia="Calibri"/>
                <w:sz w:val="20"/>
                <w:szCs w:val="20"/>
              </w:rPr>
            </w:pPr>
            <w:hyperlink r:id="rId54" w:history="1">
              <w:r w:rsidR="006544D2" w:rsidRPr="008C693A">
                <w:rPr>
                  <w:rFonts w:eastAsia="Calibri"/>
                  <w:color w:val="0000FF"/>
                  <w:sz w:val="20"/>
                  <w:szCs w:val="20"/>
                  <w:u w:val="single"/>
                </w:rPr>
                <w:t>2014 ONCA 612</w:t>
              </w:r>
            </w:hyperlink>
            <w:r w:rsidR="006544D2" w:rsidRPr="008C693A">
              <w:rPr>
                <w:rFonts w:eastAsia="Calibri"/>
                <w:sz w:val="20"/>
                <w:szCs w:val="20"/>
              </w:rPr>
              <w:t xml:space="preserve"> </w:t>
            </w:r>
          </w:p>
          <w:p w:rsidR="006544D2" w:rsidRPr="008C693A" w:rsidRDefault="006544D2" w:rsidP="006544D2">
            <w:pPr>
              <w:jc w:val="both"/>
              <w:rPr>
                <w:rFonts w:eastAsia="Calibri"/>
                <w:sz w:val="20"/>
                <w:szCs w:val="20"/>
              </w:rPr>
            </w:pP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Appeal dismissed</w:t>
            </w:r>
          </w:p>
          <w:p w:rsidR="006544D2" w:rsidRPr="008C693A" w:rsidRDefault="006544D2" w:rsidP="006544D2">
            <w:pPr>
              <w:jc w:val="both"/>
              <w:rPr>
                <w:rFonts w:eastAsia="Calibri"/>
                <w:sz w:val="20"/>
                <w:szCs w:val="20"/>
              </w:rPr>
            </w:pPr>
          </w:p>
        </w:tc>
      </w:tr>
      <w:tr w:rsidR="006544D2" w:rsidRPr="008C693A" w:rsidTr="006544D2">
        <w:tc>
          <w:tcPr>
            <w:tcW w:w="2427" w:type="pct"/>
          </w:tcPr>
          <w:p w:rsidR="006544D2" w:rsidRPr="008C693A" w:rsidRDefault="006544D2" w:rsidP="006544D2">
            <w:pPr>
              <w:jc w:val="both"/>
              <w:rPr>
                <w:rFonts w:eastAsia="Calibri"/>
                <w:sz w:val="20"/>
                <w:szCs w:val="20"/>
              </w:rPr>
            </w:pPr>
            <w:r w:rsidRPr="008C693A">
              <w:rPr>
                <w:rFonts w:eastAsia="Calibri"/>
                <w:sz w:val="20"/>
                <w:szCs w:val="20"/>
              </w:rPr>
              <w:t>October 21, 2014</w:t>
            </w:r>
          </w:p>
          <w:p w:rsidR="006544D2" w:rsidRPr="008C693A" w:rsidRDefault="006544D2" w:rsidP="006544D2">
            <w:pPr>
              <w:jc w:val="both"/>
              <w:rPr>
                <w:rFonts w:eastAsia="Calibri"/>
                <w:sz w:val="20"/>
                <w:szCs w:val="20"/>
              </w:rPr>
            </w:pPr>
            <w:r w:rsidRPr="008C693A">
              <w:rPr>
                <w:rFonts w:eastAsia="Calibri"/>
                <w:sz w:val="20"/>
                <w:szCs w:val="20"/>
              </w:rPr>
              <w:t>Supreme Court of Canada</w:t>
            </w:r>
          </w:p>
        </w:tc>
        <w:tc>
          <w:tcPr>
            <w:tcW w:w="243" w:type="pct"/>
          </w:tcPr>
          <w:p w:rsidR="006544D2" w:rsidRPr="008C693A" w:rsidRDefault="006544D2" w:rsidP="006544D2">
            <w:pPr>
              <w:jc w:val="both"/>
              <w:rPr>
                <w:rFonts w:eastAsia="Calibri"/>
                <w:sz w:val="20"/>
                <w:szCs w:val="20"/>
              </w:rPr>
            </w:pPr>
          </w:p>
        </w:tc>
        <w:tc>
          <w:tcPr>
            <w:tcW w:w="2330" w:type="pct"/>
          </w:tcPr>
          <w:p w:rsidR="006544D2" w:rsidRPr="008C693A" w:rsidRDefault="006544D2" w:rsidP="006544D2">
            <w:pPr>
              <w:jc w:val="both"/>
              <w:rPr>
                <w:rFonts w:eastAsia="Calibri"/>
                <w:sz w:val="20"/>
                <w:szCs w:val="20"/>
              </w:rPr>
            </w:pPr>
            <w:r w:rsidRPr="008C693A">
              <w:rPr>
                <w:rFonts w:eastAsia="Calibri"/>
                <w:sz w:val="20"/>
                <w:szCs w:val="20"/>
              </w:rPr>
              <w:t>Application for leave to appeal filed</w:t>
            </w:r>
          </w:p>
        </w:tc>
      </w:tr>
    </w:tbl>
    <w:p w:rsidR="007934D0" w:rsidRDefault="007934D0" w:rsidP="007934D0">
      <w:pPr>
        <w:rPr>
          <w:sz w:val="20"/>
          <w:szCs w:val="20"/>
        </w:rPr>
      </w:pPr>
    </w:p>
    <w:p w:rsidR="007934D0" w:rsidRPr="00C50A5C" w:rsidRDefault="005A3634" w:rsidP="007934D0">
      <w:pPr>
        <w:rPr>
          <w:sz w:val="20"/>
          <w:szCs w:val="20"/>
        </w:rPr>
      </w:pPr>
      <w:r>
        <w:rPr>
          <w:sz w:val="20"/>
          <w:szCs w:val="20"/>
          <w:lang w:val="fr-CA"/>
        </w:rPr>
        <w:pict>
          <v:rect id="_x0000_i1065" style="width:2in;height:1pt" o:hrpct="0" o:hralign="center" o:hrstd="t" o:hrnoshade="t" o:hr="t" fillcolor="black [3213]" stroked="f"/>
        </w:pict>
      </w:r>
    </w:p>
    <w:p w:rsidR="007934D0" w:rsidRDefault="007934D0" w:rsidP="007934D0">
      <w:pPr>
        <w:rPr>
          <w:sz w:val="20"/>
          <w:szCs w:val="20"/>
        </w:rPr>
      </w:pPr>
    </w:p>
    <w:p w:rsidR="007934D0" w:rsidRPr="001B157C" w:rsidRDefault="007934D0" w:rsidP="007934D0">
      <w:pPr>
        <w:rPr>
          <w:sz w:val="20"/>
          <w:szCs w:val="20"/>
          <w:u w:val="single"/>
          <w:lang w:val="fr-CA"/>
        </w:rPr>
      </w:pPr>
      <w:r w:rsidRPr="001B157C">
        <w:rPr>
          <w:sz w:val="20"/>
          <w:szCs w:val="20"/>
          <w:u w:val="single"/>
          <w:lang w:val="fr-CA"/>
        </w:rPr>
        <w:t>RÉSUMÉ DE L’AFFAIRE</w:t>
      </w:r>
    </w:p>
    <w:p w:rsidR="007934D0" w:rsidRDefault="007934D0" w:rsidP="007934D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544D2" w:rsidRPr="008B79EB" w:rsidTr="00275F75">
        <w:tc>
          <w:tcPr>
            <w:tcW w:w="5000" w:type="pct"/>
            <w:gridSpan w:val="3"/>
          </w:tcPr>
          <w:p w:rsidR="006544D2" w:rsidRPr="008C693A" w:rsidRDefault="006544D2" w:rsidP="00275F75">
            <w:pPr>
              <w:jc w:val="both"/>
              <w:rPr>
                <w:rFonts w:eastAsia="Calibri"/>
                <w:sz w:val="20"/>
                <w:szCs w:val="20"/>
                <w:lang w:val="fr-CA"/>
              </w:rPr>
            </w:pPr>
            <w:r w:rsidRPr="008C693A">
              <w:rPr>
                <w:rFonts w:eastAsia="Calibri"/>
                <w:i/>
                <w:sz w:val="20"/>
                <w:szCs w:val="20"/>
                <w:lang w:val="fr-CA"/>
              </w:rPr>
              <w:t xml:space="preserve">Charte des droits – </w:t>
            </w:r>
            <w:r w:rsidRPr="008C693A">
              <w:rPr>
                <w:rFonts w:eastAsia="Calibri"/>
                <w:sz w:val="20"/>
                <w:szCs w:val="20"/>
                <w:lang w:val="fr-CA"/>
              </w:rPr>
              <w:t xml:space="preserve">Droit à l’égalité </w:t>
            </w:r>
            <w:r w:rsidRPr="008C693A">
              <w:rPr>
                <w:rFonts w:eastAsia="Calibri"/>
                <w:i/>
                <w:sz w:val="20"/>
                <w:szCs w:val="20"/>
                <w:lang w:val="fr-CA"/>
              </w:rPr>
              <w:t>–</w:t>
            </w:r>
            <w:r w:rsidRPr="008C693A">
              <w:rPr>
                <w:rFonts w:eastAsia="Calibri"/>
                <w:sz w:val="20"/>
                <w:szCs w:val="20"/>
                <w:lang w:val="fr-CA"/>
              </w:rPr>
              <w:t xml:space="preserve"> Exécution </w:t>
            </w:r>
            <w:r w:rsidRPr="008C693A">
              <w:rPr>
                <w:rFonts w:eastAsia="Calibri"/>
                <w:i/>
                <w:sz w:val="20"/>
                <w:szCs w:val="20"/>
                <w:lang w:val="fr-CA"/>
              </w:rPr>
              <w:t xml:space="preserve">– </w:t>
            </w:r>
            <w:r w:rsidRPr="008C693A">
              <w:rPr>
                <w:rFonts w:eastAsia="Calibri"/>
                <w:sz w:val="20"/>
                <w:szCs w:val="20"/>
                <w:lang w:val="fr-CA"/>
              </w:rPr>
              <w:t xml:space="preserve">Droit constitutionnel </w:t>
            </w:r>
            <w:r w:rsidRPr="008C693A">
              <w:rPr>
                <w:rFonts w:eastAsia="Calibri"/>
                <w:i/>
                <w:sz w:val="20"/>
                <w:szCs w:val="20"/>
                <w:lang w:val="fr-CA"/>
              </w:rPr>
              <w:t xml:space="preserve">– </w:t>
            </w:r>
            <w:r w:rsidRPr="008C693A">
              <w:rPr>
                <w:rFonts w:eastAsia="Calibri"/>
                <w:sz w:val="20"/>
                <w:szCs w:val="20"/>
                <w:lang w:val="fr-CA"/>
              </w:rPr>
              <w:t xml:space="preserve">Conventions </w:t>
            </w:r>
            <w:r w:rsidRPr="008C693A">
              <w:rPr>
                <w:rFonts w:eastAsia="Calibri"/>
                <w:i/>
                <w:sz w:val="20"/>
                <w:szCs w:val="20"/>
                <w:lang w:val="fr-CA"/>
              </w:rPr>
              <w:t xml:space="preserve">– </w:t>
            </w:r>
            <w:r w:rsidRPr="008C693A">
              <w:rPr>
                <w:rFonts w:eastAsia="Calibri"/>
                <w:sz w:val="20"/>
                <w:szCs w:val="20"/>
                <w:lang w:val="fr-CA"/>
              </w:rPr>
              <w:t xml:space="preserve">Procédure civile </w:t>
            </w:r>
            <w:r w:rsidRPr="008C693A">
              <w:rPr>
                <w:rFonts w:eastAsia="Calibri"/>
                <w:i/>
                <w:sz w:val="20"/>
                <w:szCs w:val="20"/>
                <w:lang w:val="fr-CA"/>
              </w:rPr>
              <w:t>–</w:t>
            </w:r>
            <w:r w:rsidRPr="008C693A">
              <w:rPr>
                <w:rFonts w:eastAsia="Calibri"/>
                <w:sz w:val="20"/>
                <w:szCs w:val="20"/>
                <w:lang w:val="fr-CA"/>
              </w:rPr>
              <w:t xml:space="preserve"> Qualité pour agir</w:t>
            </w:r>
            <w:r w:rsidRPr="008C693A">
              <w:rPr>
                <w:rFonts w:eastAsia="Calibri"/>
                <w:i/>
                <w:sz w:val="20"/>
                <w:szCs w:val="20"/>
                <w:lang w:val="fr-CA"/>
              </w:rPr>
              <w:t xml:space="preserve"> –</w:t>
            </w:r>
            <w:r w:rsidRPr="008C693A">
              <w:rPr>
                <w:rFonts w:eastAsia="Calibri"/>
                <w:sz w:val="20"/>
                <w:szCs w:val="20"/>
                <w:lang w:val="fr-CA"/>
              </w:rPr>
              <w:t xml:space="preserve"> Les règles régissant la succession royale ont-elles été reçues en droit canadien?</w:t>
            </w:r>
            <w:r w:rsidRPr="008C693A">
              <w:rPr>
                <w:rFonts w:eastAsia="Calibri"/>
                <w:i/>
                <w:sz w:val="20"/>
                <w:szCs w:val="20"/>
                <w:lang w:val="fr-CA"/>
              </w:rPr>
              <w:t xml:space="preserve"> – </w:t>
            </w:r>
            <w:r w:rsidRPr="008C693A">
              <w:rPr>
                <w:rFonts w:eastAsia="Calibri"/>
                <w:sz w:val="20"/>
                <w:szCs w:val="20"/>
                <w:lang w:val="fr-CA"/>
              </w:rPr>
              <w:t xml:space="preserve">Le Parlement du Canada peut-il réviser le régime canadien de succession royale en donnant son assentiment au contenu d’un projet de loi </w:t>
            </w:r>
            <w:r w:rsidRPr="008C693A">
              <w:rPr>
                <w:rFonts w:eastAsia="Calibri"/>
                <w:sz w:val="20"/>
                <w:szCs w:val="20"/>
                <w:lang w:val="fr-CA"/>
              </w:rPr>
              <w:lastRenderedPageBreak/>
              <w:t>présenté au Parlement du Royaume-Uni?</w:t>
            </w:r>
            <w:r w:rsidRPr="008C693A">
              <w:rPr>
                <w:rFonts w:eastAsia="Calibri"/>
                <w:i/>
                <w:sz w:val="20"/>
                <w:szCs w:val="20"/>
                <w:lang w:val="fr-CA"/>
              </w:rPr>
              <w:t xml:space="preserve"> – </w:t>
            </w:r>
            <w:r w:rsidRPr="008C693A">
              <w:rPr>
                <w:rFonts w:eastAsia="Calibri"/>
                <w:sz w:val="20"/>
                <w:szCs w:val="20"/>
                <w:lang w:val="fr-CA"/>
              </w:rPr>
              <w:t xml:space="preserve">Le préambule du </w:t>
            </w:r>
            <w:r w:rsidRPr="008C693A">
              <w:rPr>
                <w:rFonts w:eastAsia="Calibri"/>
                <w:i/>
                <w:sz w:val="20"/>
                <w:szCs w:val="20"/>
                <w:lang w:val="fr-CA"/>
              </w:rPr>
              <w:t>Statut de Westminster de 1931</w:t>
            </w:r>
            <w:r w:rsidRPr="008C693A">
              <w:rPr>
                <w:rFonts w:eastAsia="Calibri"/>
                <w:sz w:val="20"/>
                <w:szCs w:val="20"/>
                <w:lang w:val="fr-CA"/>
              </w:rPr>
              <w:t xml:space="preserve"> est-il juridiquement contraignant et a-t-il pour effet de soustraire les règles de la succession royale à un examen fondé sur l’article 15 de la </w:t>
            </w:r>
            <w:r w:rsidRPr="008C693A">
              <w:rPr>
                <w:rFonts w:eastAsia="Calibri"/>
                <w:i/>
                <w:sz w:val="20"/>
                <w:szCs w:val="20"/>
                <w:lang w:val="fr-CA"/>
              </w:rPr>
              <w:t>Charte</w:t>
            </w:r>
            <w:r w:rsidRPr="008C693A">
              <w:rPr>
                <w:rFonts w:eastAsia="Calibri"/>
                <w:sz w:val="20"/>
                <w:szCs w:val="20"/>
                <w:lang w:val="fr-CA"/>
              </w:rPr>
              <w:t xml:space="preserve"> ou sur l’article 2 de la </w:t>
            </w:r>
            <w:r w:rsidRPr="008C693A">
              <w:rPr>
                <w:rFonts w:eastAsia="Calibri"/>
                <w:i/>
                <w:sz w:val="20"/>
                <w:szCs w:val="20"/>
                <w:lang w:val="fr-CA"/>
              </w:rPr>
              <w:t>Loi de 1982 sur le Canada</w:t>
            </w:r>
            <w:r w:rsidRPr="008C693A">
              <w:rPr>
                <w:rFonts w:eastAsia="Calibri"/>
                <w:sz w:val="20"/>
                <w:szCs w:val="20"/>
                <w:lang w:val="fr-CA"/>
              </w:rPr>
              <w:t>?</w:t>
            </w:r>
            <w:r w:rsidRPr="008C693A">
              <w:rPr>
                <w:rFonts w:eastAsia="Calibri"/>
                <w:i/>
                <w:sz w:val="20"/>
                <w:szCs w:val="20"/>
                <w:lang w:val="fr-CA"/>
              </w:rPr>
              <w:t xml:space="preserve"> – </w:t>
            </w:r>
            <w:r w:rsidRPr="008C693A">
              <w:rPr>
                <w:rFonts w:eastAsia="Calibri"/>
                <w:sz w:val="20"/>
                <w:szCs w:val="20"/>
                <w:lang w:val="fr-CA"/>
              </w:rPr>
              <w:t xml:space="preserve">Les restrictions fondées sur le sexe et la religion contenues dans le régime canadien de succession royale sont-elles déjà inopérantes en raison de l’art. 15 de la </w:t>
            </w:r>
            <w:r w:rsidRPr="008C693A">
              <w:rPr>
                <w:rFonts w:eastAsia="Calibri"/>
                <w:i/>
                <w:sz w:val="20"/>
                <w:szCs w:val="20"/>
                <w:lang w:val="fr-CA"/>
              </w:rPr>
              <w:t>Charte</w:t>
            </w:r>
            <w:r w:rsidRPr="008C693A">
              <w:rPr>
                <w:rFonts w:eastAsia="Calibri"/>
                <w:sz w:val="20"/>
                <w:szCs w:val="20"/>
                <w:lang w:val="fr-CA"/>
              </w:rPr>
              <w:t>?</w:t>
            </w:r>
            <w:r w:rsidRPr="008C693A">
              <w:rPr>
                <w:rFonts w:eastAsia="Calibri"/>
                <w:i/>
                <w:sz w:val="20"/>
                <w:szCs w:val="20"/>
                <w:lang w:val="fr-CA"/>
              </w:rPr>
              <w:t xml:space="preserve"> – </w:t>
            </w:r>
            <w:r w:rsidRPr="008C693A">
              <w:rPr>
                <w:rFonts w:eastAsia="Calibri"/>
                <w:sz w:val="20"/>
                <w:szCs w:val="20"/>
                <w:lang w:val="fr-CA"/>
              </w:rPr>
              <w:t xml:space="preserve">Quel est le critère applicable à la qualité pour agir à l’égard d’une violation présumée de l’art. 2 de la </w:t>
            </w:r>
            <w:r w:rsidRPr="008C693A">
              <w:rPr>
                <w:rFonts w:eastAsia="Calibri"/>
                <w:i/>
                <w:sz w:val="20"/>
                <w:szCs w:val="20"/>
                <w:lang w:val="fr-CA"/>
              </w:rPr>
              <w:t>Loi de 1982 sur le Canada</w:t>
            </w:r>
            <w:r w:rsidRPr="008C693A">
              <w:rPr>
                <w:rFonts w:eastAsia="Calibri"/>
                <w:sz w:val="20"/>
                <w:szCs w:val="20"/>
                <w:lang w:val="fr-CA"/>
              </w:rPr>
              <w:t xml:space="preserve"> et un citoyen canadien a-t-il qualité pour agir? </w:t>
            </w:r>
            <w:r w:rsidRPr="008C693A">
              <w:rPr>
                <w:rFonts w:eastAsia="Calibri"/>
                <w:i/>
                <w:sz w:val="20"/>
                <w:szCs w:val="20"/>
                <w:lang w:val="fr-CA"/>
              </w:rPr>
              <w:t xml:space="preserve">– </w:t>
            </w:r>
            <w:r w:rsidRPr="008C693A">
              <w:rPr>
                <w:rFonts w:eastAsia="Calibri"/>
                <w:sz w:val="20"/>
                <w:szCs w:val="20"/>
                <w:lang w:val="fr-CA"/>
              </w:rPr>
              <w:t xml:space="preserve">Quel est le critère applicable à la qualité pour agir à l’égard d’une violation présumée de l’art. 15 de la </w:t>
            </w:r>
            <w:r w:rsidRPr="008C693A">
              <w:rPr>
                <w:rFonts w:eastAsia="Calibri"/>
                <w:i/>
                <w:sz w:val="20"/>
                <w:szCs w:val="20"/>
                <w:lang w:val="fr-CA"/>
              </w:rPr>
              <w:t>Charte</w:t>
            </w:r>
            <w:r w:rsidRPr="008C693A">
              <w:rPr>
                <w:rFonts w:eastAsia="Calibri"/>
                <w:sz w:val="20"/>
                <w:szCs w:val="20"/>
                <w:lang w:val="fr-CA"/>
              </w:rPr>
              <w:t xml:space="preserve"> et les catholiques romains subissent-ils un « grave préjudice » par une tentative de réviser le régime canadien de succession royale d’une façon qui élimine une discrimination fondée en partie sur le sexe, tout en conservant l’interdiction totale à l’égard des catholiques romains? </w:t>
            </w:r>
            <w:r w:rsidRPr="008C693A">
              <w:rPr>
                <w:rFonts w:eastAsia="Calibri"/>
                <w:i/>
                <w:sz w:val="20"/>
                <w:szCs w:val="20"/>
                <w:lang w:val="fr-CA"/>
              </w:rPr>
              <w:t xml:space="preserve">– </w:t>
            </w:r>
            <w:r w:rsidRPr="008C693A">
              <w:rPr>
                <w:rFonts w:eastAsia="Calibri"/>
                <w:sz w:val="20"/>
                <w:szCs w:val="20"/>
                <w:lang w:val="fr-CA"/>
              </w:rPr>
              <w:t xml:space="preserve">Qui est mieux placé qu’un catholique romain pour contester un texte de loi en vertu duquel tous les catholiques romains, sans égard à leur relation aux membres actuels de la famille royale, sont présumés « décédés » aux fins de la succession royale? </w:t>
            </w:r>
            <w:r w:rsidRPr="008C693A">
              <w:rPr>
                <w:rFonts w:eastAsia="Calibri"/>
                <w:i/>
                <w:sz w:val="20"/>
                <w:szCs w:val="20"/>
                <w:lang w:val="fr-CA"/>
              </w:rPr>
              <w:t>–</w:t>
            </w:r>
            <w:r w:rsidRPr="008C693A">
              <w:rPr>
                <w:rFonts w:eastAsia="Calibri"/>
                <w:sz w:val="20"/>
                <w:szCs w:val="20"/>
                <w:lang w:val="fr-CA"/>
              </w:rPr>
              <w:t xml:space="preserve"> </w:t>
            </w:r>
            <w:r w:rsidRPr="008C693A">
              <w:rPr>
                <w:rFonts w:eastAsia="Calibri"/>
                <w:i/>
                <w:sz w:val="20"/>
                <w:szCs w:val="20"/>
                <w:lang w:val="fr-CA"/>
              </w:rPr>
              <w:t>Loi de 2013 sur la succession au trône</w:t>
            </w:r>
            <w:r w:rsidRPr="008C693A">
              <w:rPr>
                <w:rFonts w:eastAsia="Calibri"/>
                <w:sz w:val="20"/>
                <w:szCs w:val="20"/>
                <w:lang w:val="fr-CA"/>
              </w:rPr>
              <w:t>, L.C. 2013, ch. 6.</w:t>
            </w:r>
          </w:p>
        </w:tc>
      </w:tr>
      <w:tr w:rsidR="006544D2" w:rsidRPr="008B79EB" w:rsidTr="00275F75">
        <w:tc>
          <w:tcPr>
            <w:tcW w:w="5000" w:type="pct"/>
            <w:gridSpan w:val="3"/>
          </w:tcPr>
          <w:p w:rsidR="006544D2" w:rsidRPr="008C693A" w:rsidRDefault="006544D2" w:rsidP="00275F75">
            <w:pPr>
              <w:jc w:val="both"/>
              <w:rPr>
                <w:rFonts w:eastAsia="Calibri"/>
                <w:sz w:val="20"/>
                <w:szCs w:val="20"/>
                <w:lang w:val="fr-CA"/>
              </w:rPr>
            </w:pPr>
          </w:p>
        </w:tc>
      </w:tr>
      <w:tr w:rsidR="006544D2" w:rsidRPr="008C693A" w:rsidTr="00275F75">
        <w:tc>
          <w:tcPr>
            <w:tcW w:w="5000" w:type="pct"/>
            <w:gridSpan w:val="3"/>
          </w:tcPr>
          <w:p w:rsidR="006544D2" w:rsidRPr="008C693A" w:rsidRDefault="006544D2" w:rsidP="00275F75">
            <w:pPr>
              <w:shd w:val="clear" w:color="auto" w:fill="FFFFFF"/>
              <w:jc w:val="both"/>
              <w:rPr>
                <w:rFonts w:eastAsia="Calibri"/>
                <w:sz w:val="20"/>
                <w:szCs w:val="20"/>
                <w:lang w:val="fr-CA"/>
              </w:rPr>
            </w:pPr>
            <w:r w:rsidRPr="008C693A">
              <w:rPr>
                <w:rFonts w:eastAsia="Calibri"/>
                <w:sz w:val="20"/>
                <w:szCs w:val="20"/>
                <w:lang w:val="fr-CA"/>
              </w:rPr>
              <w:t xml:space="preserve">Le demandeur, un catholique romain, s’oppose à ce que le Canada participe à un accord du Commonwealth donnant son assentiment à des modifications apportées aux règles de la succession royale proposées par le Royaume-Uni.  Les modifications ont pour effet d’abolir le système de primogéniture donnant préséance aux descendants de sexe masculin et de supprimer la disposition qui rend quiconque épouse un catholique romain inadmissible à la succession.  Il plaide que les modifications auraient dû également permettre aux catholiques romains de succéder au trône et qu’à défaut de l’avoir fait, la législation est discriminatoire et contraire à l’art. 15 de la </w:t>
            </w:r>
            <w:r w:rsidRPr="008C693A">
              <w:rPr>
                <w:rFonts w:eastAsia="Calibri"/>
                <w:i/>
                <w:sz w:val="20"/>
                <w:szCs w:val="20"/>
                <w:lang w:val="fr-CA"/>
              </w:rPr>
              <w:t>Charte</w:t>
            </w:r>
            <w:r w:rsidRPr="008C693A">
              <w:rPr>
                <w:rFonts w:eastAsia="Calibri"/>
                <w:sz w:val="20"/>
                <w:szCs w:val="20"/>
                <w:lang w:val="fr-CA"/>
              </w:rPr>
              <w:t xml:space="preserve">.  Il a introduit une demande de jugement déclaratoire, portant notamment que la </w:t>
            </w:r>
            <w:r w:rsidRPr="008C693A">
              <w:rPr>
                <w:rFonts w:eastAsia="Calibri"/>
                <w:i/>
                <w:sz w:val="20"/>
                <w:szCs w:val="20"/>
                <w:lang w:val="fr-CA"/>
              </w:rPr>
              <w:t>Loi de 1982 sur le Canada</w:t>
            </w:r>
            <w:r w:rsidRPr="008C693A">
              <w:rPr>
                <w:rFonts w:eastAsia="Calibri"/>
                <w:sz w:val="20"/>
                <w:szCs w:val="20"/>
                <w:lang w:val="fr-CA"/>
              </w:rPr>
              <w:t>, (R.-U.) 1982, ch. 11 empêchait le Canada de consentir à une loi adoptée par le Parlement du Royaume-Uni pour modifier les règles de succession royale et que toutes les dispositions législatives qui interdisaient aux catholiques d’accéder à la Couronne du Canada étaient inopérantes.  La Cour supérieure de l’Ontario a rejeté la demande au motif qu’elle ne soulevait aucune question relevant de la compétence des tribunaux et que le demandeur n’avait pas qualité pour agir.  La Cour d’appel de l’Ontario a rejeté l’appel.</w:t>
            </w:r>
          </w:p>
          <w:p w:rsidR="006544D2" w:rsidRPr="008C693A" w:rsidRDefault="006544D2" w:rsidP="00275F75">
            <w:pPr>
              <w:shd w:val="clear" w:color="auto" w:fill="FFFFFF"/>
              <w:jc w:val="both"/>
              <w:rPr>
                <w:rFonts w:eastAsia="Calibri"/>
                <w:sz w:val="20"/>
                <w:szCs w:val="20"/>
                <w:lang w:val="fr-CA"/>
              </w:rPr>
            </w:pPr>
          </w:p>
        </w:tc>
      </w:tr>
      <w:tr w:rsidR="006544D2" w:rsidRPr="008B79EB" w:rsidTr="00275F75">
        <w:tc>
          <w:tcPr>
            <w:tcW w:w="2427" w:type="pct"/>
          </w:tcPr>
          <w:p w:rsidR="006544D2" w:rsidRPr="008C693A" w:rsidRDefault="006544D2" w:rsidP="00275F75">
            <w:pPr>
              <w:jc w:val="both"/>
              <w:rPr>
                <w:rFonts w:eastAsia="Calibri"/>
                <w:sz w:val="20"/>
                <w:szCs w:val="20"/>
                <w:lang w:val="fr-CA"/>
              </w:rPr>
            </w:pPr>
            <w:r w:rsidRPr="008C693A">
              <w:rPr>
                <w:rFonts w:eastAsia="Calibri"/>
                <w:sz w:val="20"/>
                <w:szCs w:val="20"/>
                <w:lang w:val="fr-CA"/>
              </w:rPr>
              <w:t>9 août 2013</w:t>
            </w:r>
          </w:p>
          <w:p w:rsidR="006544D2" w:rsidRPr="008C693A" w:rsidRDefault="006544D2" w:rsidP="00275F75">
            <w:pPr>
              <w:jc w:val="both"/>
              <w:rPr>
                <w:rFonts w:eastAsia="Calibri"/>
                <w:sz w:val="20"/>
                <w:szCs w:val="20"/>
                <w:lang w:val="fr-CA"/>
              </w:rPr>
            </w:pPr>
            <w:r w:rsidRPr="008C693A">
              <w:rPr>
                <w:rFonts w:eastAsia="Calibri"/>
                <w:sz w:val="20"/>
                <w:szCs w:val="20"/>
                <w:lang w:val="fr-CA"/>
              </w:rPr>
              <w:t>Cour supérieure de justice de l’Ontario</w:t>
            </w:r>
          </w:p>
          <w:p w:rsidR="006544D2" w:rsidRPr="008C693A" w:rsidRDefault="006544D2" w:rsidP="00275F75">
            <w:pPr>
              <w:jc w:val="both"/>
              <w:rPr>
                <w:rFonts w:eastAsia="Calibri"/>
                <w:sz w:val="20"/>
                <w:szCs w:val="20"/>
                <w:lang w:val="fr-CA"/>
              </w:rPr>
            </w:pPr>
            <w:r w:rsidRPr="008C693A">
              <w:rPr>
                <w:rFonts w:eastAsia="Calibri"/>
                <w:sz w:val="20"/>
                <w:szCs w:val="20"/>
                <w:lang w:val="fr-CA"/>
              </w:rPr>
              <w:t>(Juge principal régional Hackland)</w:t>
            </w:r>
          </w:p>
          <w:p w:rsidR="006544D2" w:rsidRPr="008C693A" w:rsidRDefault="005A3634" w:rsidP="00275F75">
            <w:pPr>
              <w:jc w:val="both"/>
              <w:rPr>
                <w:rFonts w:eastAsia="Calibri"/>
                <w:sz w:val="20"/>
                <w:szCs w:val="20"/>
                <w:lang w:val="fr-CA"/>
              </w:rPr>
            </w:pPr>
            <w:hyperlink r:id="rId55" w:history="1">
              <w:r w:rsidR="006544D2" w:rsidRPr="008C693A">
                <w:rPr>
                  <w:rFonts w:eastAsia="Calibri"/>
                  <w:color w:val="0000FF"/>
                  <w:sz w:val="20"/>
                  <w:szCs w:val="20"/>
                  <w:u w:val="single"/>
                  <w:lang w:val="fr-CA"/>
                </w:rPr>
                <w:t>2013 ONSC 5046</w:t>
              </w:r>
            </w:hyperlink>
          </w:p>
          <w:p w:rsidR="006544D2" w:rsidRPr="008C693A" w:rsidRDefault="006544D2" w:rsidP="00275F75">
            <w:pPr>
              <w:jc w:val="both"/>
              <w:rPr>
                <w:rFonts w:eastAsia="Calibri"/>
                <w:sz w:val="20"/>
                <w:szCs w:val="20"/>
                <w:lang w:val="fr-CA"/>
              </w:rPr>
            </w:pPr>
          </w:p>
        </w:tc>
        <w:tc>
          <w:tcPr>
            <w:tcW w:w="243" w:type="pct"/>
          </w:tcPr>
          <w:p w:rsidR="006544D2" w:rsidRPr="008C693A" w:rsidRDefault="006544D2" w:rsidP="00275F75">
            <w:pPr>
              <w:jc w:val="both"/>
              <w:rPr>
                <w:rFonts w:eastAsia="Calibri"/>
                <w:sz w:val="20"/>
                <w:szCs w:val="20"/>
                <w:lang w:val="fr-CA"/>
              </w:rPr>
            </w:pPr>
          </w:p>
        </w:tc>
        <w:tc>
          <w:tcPr>
            <w:tcW w:w="2330" w:type="pct"/>
          </w:tcPr>
          <w:p w:rsidR="006544D2" w:rsidRPr="008C693A" w:rsidRDefault="006544D2" w:rsidP="00275F75">
            <w:pPr>
              <w:jc w:val="both"/>
              <w:rPr>
                <w:rFonts w:eastAsia="Calibri"/>
                <w:sz w:val="20"/>
                <w:szCs w:val="20"/>
                <w:lang w:val="fr-CA"/>
              </w:rPr>
            </w:pPr>
            <w:r w:rsidRPr="008C693A">
              <w:rPr>
                <w:rFonts w:eastAsia="Calibri"/>
                <w:sz w:val="20"/>
                <w:szCs w:val="20"/>
                <w:lang w:val="fr-CA"/>
              </w:rPr>
              <w:t>Rejet de la demande de jugement déclaratoire</w:t>
            </w:r>
          </w:p>
          <w:p w:rsidR="006544D2" w:rsidRPr="008C693A" w:rsidRDefault="006544D2" w:rsidP="00275F75">
            <w:pPr>
              <w:jc w:val="both"/>
              <w:rPr>
                <w:rFonts w:eastAsia="Calibri"/>
                <w:sz w:val="20"/>
                <w:szCs w:val="20"/>
                <w:lang w:val="fr-CA"/>
              </w:rPr>
            </w:pPr>
          </w:p>
        </w:tc>
      </w:tr>
      <w:tr w:rsidR="006544D2" w:rsidRPr="008C693A" w:rsidTr="00275F75">
        <w:tc>
          <w:tcPr>
            <w:tcW w:w="2427" w:type="pct"/>
          </w:tcPr>
          <w:p w:rsidR="006544D2" w:rsidRPr="008C693A" w:rsidRDefault="006544D2" w:rsidP="00275F75">
            <w:pPr>
              <w:jc w:val="both"/>
              <w:rPr>
                <w:rFonts w:eastAsia="Calibri"/>
                <w:sz w:val="20"/>
                <w:szCs w:val="20"/>
                <w:lang w:val="fr-CA"/>
              </w:rPr>
            </w:pPr>
            <w:r w:rsidRPr="008C693A">
              <w:rPr>
                <w:rFonts w:eastAsia="Calibri"/>
                <w:sz w:val="20"/>
                <w:szCs w:val="20"/>
                <w:lang w:val="fr-CA"/>
              </w:rPr>
              <w:t>22 août 2014</w:t>
            </w:r>
          </w:p>
          <w:p w:rsidR="006544D2" w:rsidRPr="008C693A" w:rsidRDefault="006544D2" w:rsidP="00275F75">
            <w:pPr>
              <w:jc w:val="both"/>
              <w:rPr>
                <w:rFonts w:eastAsia="Calibri"/>
                <w:sz w:val="20"/>
                <w:szCs w:val="20"/>
                <w:lang w:val="fr-CA"/>
              </w:rPr>
            </w:pPr>
            <w:r w:rsidRPr="008C693A">
              <w:rPr>
                <w:rFonts w:eastAsia="Calibri"/>
                <w:sz w:val="20"/>
                <w:szCs w:val="20"/>
                <w:lang w:val="fr-CA"/>
              </w:rPr>
              <w:t>Cour d’appel de l’Ontario</w:t>
            </w:r>
          </w:p>
          <w:p w:rsidR="006544D2" w:rsidRPr="008C693A" w:rsidRDefault="006544D2" w:rsidP="00275F75">
            <w:pPr>
              <w:jc w:val="both"/>
              <w:rPr>
                <w:rFonts w:eastAsia="Calibri"/>
                <w:sz w:val="20"/>
                <w:szCs w:val="20"/>
                <w:lang w:val="fr-CA"/>
              </w:rPr>
            </w:pPr>
            <w:r w:rsidRPr="008C693A">
              <w:rPr>
                <w:rFonts w:eastAsia="Calibri"/>
                <w:sz w:val="20"/>
                <w:szCs w:val="20"/>
                <w:lang w:val="fr-CA"/>
              </w:rPr>
              <w:t>(Juges Blair, Pepall et Hourigan)</w:t>
            </w:r>
          </w:p>
          <w:p w:rsidR="006544D2" w:rsidRPr="008C693A" w:rsidRDefault="005A3634" w:rsidP="00275F75">
            <w:pPr>
              <w:jc w:val="both"/>
              <w:rPr>
                <w:rFonts w:eastAsia="Calibri"/>
                <w:sz w:val="20"/>
                <w:szCs w:val="20"/>
                <w:lang w:val="fr-CA"/>
              </w:rPr>
            </w:pPr>
            <w:hyperlink r:id="rId56" w:history="1">
              <w:r w:rsidR="006544D2" w:rsidRPr="008C693A">
                <w:rPr>
                  <w:rFonts w:eastAsia="Calibri"/>
                  <w:color w:val="0000FF"/>
                  <w:sz w:val="20"/>
                  <w:szCs w:val="20"/>
                  <w:u w:val="single"/>
                  <w:lang w:val="fr-CA"/>
                </w:rPr>
                <w:t>2014 ONCA 612</w:t>
              </w:r>
            </w:hyperlink>
            <w:r w:rsidR="006544D2" w:rsidRPr="008C693A">
              <w:rPr>
                <w:rFonts w:eastAsia="Calibri"/>
                <w:sz w:val="20"/>
                <w:szCs w:val="20"/>
                <w:lang w:val="fr-CA"/>
              </w:rPr>
              <w:t xml:space="preserve"> </w:t>
            </w:r>
          </w:p>
          <w:p w:rsidR="006544D2" w:rsidRPr="008C693A" w:rsidRDefault="006544D2" w:rsidP="00275F75">
            <w:pPr>
              <w:jc w:val="both"/>
              <w:rPr>
                <w:rFonts w:eastAsia="Calibri"/>
                <w:sz w:val="20"/>
                <w:szCs w:val="20"/>
                <w:lang w:val="fr-CA"/>
              </w:rPr>
            </w:pPr>
          </w:p>
        </w:tc>
        <w:tc>
          <w:tcPr>
            <w:tcW w:w="243" w:type="pct"/>
          </w:tcPr>
          <w:p w:rsidR="006544D2" w:rsidRPr="008C693A" w:rsidRDefault="006544D2" w:rsidP="00275F75">
            <w:pPr>
              <w:jc w:val="both"/>
              <w:rPr>
                <w:rFonts w:eastAsia="Calibri"/>
                <w:sz w:val="20"/>
                <w:szCs w:val="20"/>
                <w:lang w:val="fr-CA"/>
              </w:rPr>
            </w:pPr>
          </w:p>
        </w:tc>
        <w:tc>
          <w:tcPr>
            <w:tcW w:w="2330" w:type="pct"/>
          </w:tcPr>
          <w:p w:rsidR="006544D2" w:rsidRPr="008C693A" w:rsidRDefault="006544D2" w:rsidP="00275F75">
            <w:pPr>
              <w:jc w:val="both"/>
              <w:rPr>
                <w:rFonts w:eastAsia="Calibri"/>
                <w:sz w:val="20"/>
                <w:szCs w:val="20"/>
                <w:lang w:val="fr-CA"/>
              </w:rPr>
            </w:pPr>
            <w:r w:rsidRPr="008C693A">
              <w:rPr>
                <w:rFonts w:eastAsia="Calibri"/>
                <w:sz w:val="20"/>
                <w:szCs w:val="20"/>
                <w:lang w:val="fr-CA"/>
              </w:rPr>
              <w:t>Rejet de l’appel</w:t>
            </w:r>
          </w:p>
          <w:p w:rsidR="006544D2" w:rsidRPr="008C693A" w:rsidRDefault="006544D2" w:rsidP="00275F75">
            <w:pPr>
              <w:jc w:val="both"/>
              <w:rPr>
                <w:rFonts w:eastAsia="Calibri"/>
                <w:sz w:val="20"/>
                <w:szCs w:val="20"/>
                <w:lang w:val="fr-CA"/>
              </w:rPr>
            </w:pPr>
          </w:p>
        </w:tc>
      </w:tr>
      <w:tr w:rsidR="006544D2" w:rsidRPr="008B79EB" w:rsidTr="00275F75">
        <w:tc>
          <w:tcPr>
            <w:tcW w:w="2427" w:type="pct"/>
          </w:tcPr>
          <w:p w:rsidR="006544D2" w:rsidRPr="008C693A" w:rsidRDefault="006544D2" w:rsidP="00275F75">
            <w:pPr>
              <w:jc w:val="both"/>
              <w:rPr>
                <w:rFonts w:eastAsia="Calibri"/>
                <w:sz w:val="20"/>
                <w:szCs w:val="20"/>
                <w:lang w:val="fr-CA"/>
              </w:rPr>
            </w:pPr>
            <w:r w:rsidRPr="008C693A">
              <w:rPr>
                <w:rFonts w:eastAsia="Calibri"/>
                <w:sz w:val="20"/>
                <w:szCs w:val="20"/>
                <w:lang w:val="fr-CA"/>
              </w:rPr>
              <w:t>21 octobre 2014</w:t>
            </w:r>
          </w:p>
          <w:p w:rsidR="006544D2" w:rsidRPr="008C693A" w:rsidRDefault="006544D2" w:rsidP="00275F75">
            <w:pPr>
              <w:jc w:val="both"/>
              <w:rPr>
                <w:rFonts w:eastAsia="Calibri"/>
                <w:sz w:val="20"/>
                <w:szCs w:val="20"/>
                <w:lang w:val="fr-CA"/>
              </w:rPr>
            </w:pPr>
            <w:r w:rsidRPr="008C693A">
              <w:rPr>
                <w:rFonts w:eastAsia="Calibri"/>
                <w:sz w:val="20"/>
                <w:szCs w:val="20"/>
                <w:lang w:val="fr-CA"/>
              </w:rPr>
              <w:t>Cour suprême du Canada</w:t>
            </w:r>
          </w:p>
        </w:tc>
        <w:tc>
          <w:tcPr>
            <w:tcW w:w="243" w:type="pct"/>
          </w:tcPr>
          <w:p w:rsidR="006544D2" w:rsidRPr="008C693A" w:rsidRDefault="006544D2" w:rsidP="00275F75">
            <w:pPr>
              <w:jc w:val="both"/>
              <w:rPr>
                <w:rFonts w:eastAsia="Calibri"/>
                <w:sz w:val="20"/>
                <w:szCs w:val="20"/>
                <w:lang w:val="fr-CA"/>
              </w:rPr>
            </w:pPr>
          </w:p>
        </w:tc>
        <w:tc>
          <w:tcPr>
            <w:tcW w:w="2330" w:type="pct"/>
          </w:tcPr>
          <w:p w:rsidR="006544D2" w:rsidRPr="008C693A" w:rsidRDefault="006544D2" w:rsidP="00275F75">
            <w:pPr>
              <w:jc w:val="both"/>
              <w:rPr>
                <w:rFonts w:eastAsia="Calibri"/>
                <w:sz w:val="20"/>
                <w:szCs w:val="20"/>
                <w:lang w:val="fr-CA"/>
              </w:rPr>
            </w:pPr>
            <w:r w:rsidRPr="008C693A">
              <w:rPr>
                <w:rFonts w:eastAsia="Calibri"/>
                <w:sz w:val="20"/>
                <w:szCs w:val="20"/>
                <w:lang w:val="fr-CA"/>
              </w:rPr>
              <w:t>Dépôt de la demande d’autorisation d’appel</w:t>
            </w:r>
          </w:p>
        </w:tc>
      </w:tr>
    </w:tbl>
    <w:p w:rsidR="007934D0" w:rsidRPr="006544D2" w:rsidRDefault="007934D0" w:rsidP="007934D0">
      <w:pPr>
        <w:rPr>
          <w:sz w:val="20"/>
          <w:szCs w:val="20"/>
          <w:lang w:val="fr-CA"/>
        </w:rPr>
      </w:pPr>
    </w:p>
    <w:p w:rsidR="007934D0" w:rsidRDefault="005A3634" w:rsidP="007934D0">
      <w:pPr>
        <w:rPr>
          <w:sz w:val="20"/>
          <w:szCs w:val="20"/>
          <w:lang w:val="fr-CA"/>
        </w:rPr>
      </w:pPr>
      <w:r>
        <w:rPr>
          <w:sz w:val="20"/>
          <w:szCs w:val="20"/>
          <w:lang w:val="fr-CA"/>
        </w:rPr>
        <w:pict>
          <v:rect id="_x0000_i1066" style="width:2in;height:1pt" o:hrpct="0" o:hralign="center" o:hrstd="t" o:hrnoshade="t" o:hr="t" fillcolor="black [3213]" stroked="f"/>
        </w:pict>
      </w:r>
    </w:p>
    <w:p w:rsidR="000E2959" w:rsidRPr="00D84417"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2F2423" w:rsidRPr="002F2423" w:rsidRDefault="002F2423" w:rsidP="002F2423">
      <w:pPr>
        <w:tabs>
          <w:tab w:val="left" w:pos="-1440"/>
          <w:tab w:val="left" w:pos="-720"/>
        </w:tabs>
        <w:jc w:val="both"/>
        <w:rPr>
          <w:rFonts w:eastAsia="Times New Roman" w:cs="Times New Roman"/>
          <w:sz w:val="20"/>
          <w:szCs w:val="20"/>
          <w:lang w:val="fr-CA" w:eastAsia="en-CA"/>
        </w:rPr>
      </w:pPr>
      <w:r w:rsidRPr="002F2423">
        <w:rPr>
          <w:rFonts w:eastAsia="Times New Roman" w:cs="Times New Roman"/>
          <w:sz w:val="20"/>
          <w:szCs w:val="20"/>
          <w:lang w:val="fr-CA" w:eastAsia="en-CA"/>
        </w:rPr>
        <w:t>30.01.2015</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sz w:val="20"/>
          <w:szCs w:val="20"/>
          <w:lang w:val="fr-CA" w:eastAsia="en-CA"/>
        </w:rPr>
      </w:pPr>
      <w:r w:rsidRPr="002F2423">
        <w:rPr>
          <w:rFonts w:eastAsia="Times New Roman" w:cs="Times New Roman"/>
          <w:sz w:val="20"/>
          <w:szCs w:val="20"/>
          <w:lang w:val="fr-CA" w:eastAsia="en-CA"/>
        </w:rPr>
        <w:t>Before / Devant :   ROTHSTEIN J. / LE JUGE ROTHSTEIN</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F2423" w:rsidRPr="002F2423" w:rsidTr="002F2423">
        <w:trPr>
          <w:trHeight w:val="151"/>
        </w:trPr>
        <w:tc>
          <w:tcPr>
            <w:tcW w:w="4338" w:type="dxa"/>
          </w:tcPr>
          <w:p w:rsidR="002F2423" w:rsidRPr="002F2423" w:rsidRDefault="00286B88" w:rsidP="002F2423">
            <w:pPr>
              <w:tabs>
                <w:tab w:val="left" w:pos="-1440"/>
                <w:tab w:val="left" w:pos="-720"/>
              </w:tabs>
              <w:jc w:val="both"/>
              <w:rPr>
                <w:lang w:val="fr-CA"/>
              </w:rPr>
            </w:pPr>
            <w:r w:rsidRPr="002F2423">
              <w:rPr>
                <w:lang w:val="en-US"/>
              </w:rPr>
              <w:fldChar w:fldCharType="begin"/>
            </w:r>
            <w:r w:rsidR="002F2423" w:rsidRPr="002F2423">
              <w:rPr>
                <w:lang w:val="fr-CA"/>
              </w:rPr>
              <w:instrText xml:space="preserve"> SEQ CHAPTER \h \r 1</w:instrText>
            </w:r>
            <w:r w:rsidRPr="002F2423">
              <w:rPr>
                <w:lang w:val="en-US"/>
              </w:rPr>
              <w:fldChar w:fldCharType="end"/>
            </w:r>
            <w:r w:rsidR="002F2423" w:rsidRPr="002F2423">
              <w:rPr>
                <w:b/>
                <w:bCs/>
                <w:lang w:val="fr-CA"/>
              </w:rPr>
              <w:t>Miscellaneous motion</w:t>
            </w:r>
          </w:p>
          <w:p w:rsidR="002F2423" w:rsidRPr="002F2423" w:rsidRDefault="00286B88" w:rsidP="002F2423">
            <w:pPr>
              <w:tabs>
                <w:tab w:val="left" w:pos="-1440"/>
                <w:tab w:val="left" w:pos="-720"/>
              </w:tabs>
              <w:jc w:val="both"/>
              <w:rPr>
                <w:lang w:val="fr-CA"/>
              </w:rPr>
            </w:pPr>
            <w:r w:rsidRPr="002F2423">
              <w:rPr>
                <w:lang w:val="en-US"/>
              </w:rPr>
              <w:fldChar w:fldCharType="begin"/>
            </w:r>
            <w:r w:rsidR="002F2423" w:rsidRPr="002F2423">
              <w:rPr>
                <w:lang w:val="fr-CA"/>
              </w:rPr>
              <w:instrText xml:space="preserve"> SEQ CHAPTER \h \r 1</w:instrText>
            </w:r>
            <w:r w:rsidRPr="002F2423">
              <w:rPr>
                <w:lang w:val="en-US"/>
              </w:rPr>
              <w:fldChar w:fldCharType="end"/>
            </w:r>
          </w:p>
        </w:tc>
        <w:tc>
          <w:tcPr>
            <w:tcW w:w="1170" w:type="dxa"/>
          </w:tcPr>
          <w:p w:rsidR="002F2423" w:rsidRPr="002F2423" w:rsidRDefault="002F2423" w:rsidP="002F2423">
            <w:pPr>
              <w:jc w:val="both"/>
              <w:rPr>
                <w:lang w:val="fr-CA"/>
              </w:rPr>
            </w:pPr>
          </w:p>
          <w:p w:rsidR="002F2423" w:rsidRPr="002F2423" w:rsidRDefault="002F2423" w:rsidP="002F2423">
            <w:pPr>
              <w:jc w:val="both"/>
              <w:rPr>
                <w:lang w:val="fr-CA"/>
              </w:rPr>
            </w:pPr>
          </w:p>
        </w:tc>
        <w:tc>
          <w:tcPr>
            <w:tcW w:w="4327" w:type="dxa"/>
          </w:tcPr>
          <w:p w:rsidR="002F2423" w:rsidRPr="002F2423" w:rsidRDefault="00286B88" w:rsidP="002F2423">
            <w:pPr>
              <w:jc w:val="both"/>
              <w:rPr>
                <w:b/>
                <w:lang w:val="fr-CA"/>
              </w:rPr>
            </w:pPr>
            <w:r w:rsidRPr="002F2423">
              <w:rPr>
                <w:lang w:val="en-US"/>
              </w:rPr>
              <w:fldChar w:fldCharType="begin"/>
            </w:r>
            <w:r w:rsidR="002F2423" w:rsidRPr="002F2423">
              <w:rPr>
                <w:lang w:val="fr-CA"/>
              </w:rPr>
              <w:instrText xml:space="preserve"> SEQ CHAPTER \h \r 1</w:instrText>
            </w:r>
            <w:r w:rsidRPr="002F2423">
              <w:rPr>
                <w:lang w:val="en-US"/>
              </w:rPr>
              <w:fldChar w:fldCharType="end"/>
            </w:r>
            <w:r w:rsidR="002F2423" w:rsidRPr="002F2423">
              <w:rPr>
                <w:b/>
                <w:bCs/>
                <w:lang w:val="fr-CA"/>
              </w:rPr>
              <w:t>Requête diverse</w:t>
            </w:r>
          </w:p>
          <w:p w:rsidR="002F2423" w:rsidRPr="002F2423" w:rsidRDefault="00286B88" w:rsidP="002F2423">
            <w:pPr>
              <w:jc w:val="both"/>
              <w:rPr>
                <w:b/>
                <w:lang w:val="fr-CA"/>
              </w:rPr>
            </w:pPr>
            <w:r w:rsidRPr="002F2423">
              <w:rPr>
                <w:b/>
                <w:lang w:val="en-US"/>
              </w:rPr>
              <w:fldChar w:fldCharType="begin"/>
            </w:r>
            <w:r w:rsidR="002F2423" w:rsidRPr="002F2423">
              <w:rPr>
                <w:b/>
                <w:lang w:val="fr-CA"/>
              </w:rPr>
              <w:instrText xml:space="preserve"> SEQ CHAPTER \h \r 1</w:instrText>
            </w:r>
            <w:r w:rsidRPr="002F2423">
              <w:rPr>
                <w:b/>
                <w:lang w:val="en-US"/>
              </w:rPr>
              <w:fldChar w:fldCharType="end"/>
            </w:r>
            <w:r w:rsidRPr="002F2423">
              <w:rPr>
                <w:b/>
                <w:lang w:val="en-US"/>
              </w:rPr>
              <w:fldChar w:fldCharType="begin"/>
            </w:r>
            <w:r w:rsidR="002F2423" w:rsidRPr="002F2423">
              <w:rPr>
                <w:b/>
                <w:lang w:val="fr-CA"/>
              </w:rPr>
              <w:instrText xml:space="preserve"> SEQ CHAPTER \h \r 1</w:instrText>
            </w:r>
            <w:r w:rsidRPr="002F2423">
              <w:rPr>
                <w:b/>
                <w:lang w:val="en-US"/>
              </w:rPr>
              <w:fldChar w:fldCharType="end"/>
            </w:r>
          </w:p>
        </w:tc>
      </w:tr>
      <w:tr w:rsidR="002F2423" w:rsidRPr="008B79EB" w:rsidTr="002F2423">
        <w:trPr>
          <w:trHeight w:val="150"/>
        </w:trPr>
        <w:tc>
          <w:tcPr>
            <w:tcW w:w="4338" w:type="dxa"/>
          </w:tcPr>
          <w:p w:rsidR="002F2423" w:rsidRPr="002F2423" w:rsidRDefault="002F2423" w:rsidP="002F2423">
            <w:pPr>
              <w:tabs>
                <w:tab w:val="left" w:pos="-1440"/>
                <w:tab w:val="left" w:pos="-720"/>
              </w:tabs>
              <w:jc w:val="both"/>
              <w:rPr>
                <w:lang w:val="fr-CA"/>
              </w:rPr>
            </w:pPr>
            <w:r w:rsidRPr="002F2423">
              <w:rPr>
                <w:lang w:val="fr-CA"/>
              </w:rPr>
              <w:t>Construction C.N.C. Inc.</w:t>
            </w:r>
          </w:p>
          <w:p w:rsidR="002F2423" w:rsidRPr="002F2423" w:rsidRDefault="002F2423" w:rsidP="002F2423">
            <w:pPr>
              <w:tabs>
                <w:tab w:val="left" w:pos="-1440"/>
                <w:tab w:val="left" w:pos="-720"/>
              </w:tabs>
              <w:jc w:val="both"/>
              <w:rPr>
                <w:lang w:val="fr-CA"/>
              </w:rPr>
            </w:pPr>
          </w:p>
          <w:p w:rsidR="002F2423" w:rsidRPr="002F2423" w:rsidRDefault="002F2423" w:rsidP="002F2423">
            <w:pPr>
              <w:tabs>
                <w:tab w:val="left" w:pos="-1440"/>
                <w:tab w:val="left" w:pos="-720"/>
              </w:tabs>
              <w:jc w:val="both"/>
              <w:rPr>
                <w:lang w:val="fr-CA"/>
              </w:rPr>
            </w:pPr>
            <w:r w:rsidRPr="002F2423">
              <w:rPr>
                <w:lang w:val="fr-CA"/>
              </w:rPr>
              <w:tab/>
              <w:t>v. (36222)</w:t>
            </w:r>
          </w:p>
          <w:p w:rsidR="002F2423" w:rsidRPr="002F2423" w:rsidRDefault="002F2423" w:rsidP="002F2423">
            <w:pPr>
              <w:tabs>
                <w:tab w:val="left" w:pos="-1440"/>
                <w:tab w:val="left" w:pos="-720"/>
              </w:tabs>
              <w:jc w:val="both"/>
              <w:rPr>
                <w:lang w:val="fr-CA"/>
              </w:rPr>
            </w:pPr>
          </w:p>
          <w:p w:rsidR="002F2423" w:rsidRPr="002F2423" w:rsidRDefault="002F2423" w:rsidP="002F2423">
            <w:pPr>
              <w:tabs>
                <w:tab w:val="left" w:pos="-1440"/>
                <w:tab w:val="left" w:pos="-720"/>
              </w:tabs>
              <w:jc w:val="both"/>
              <w:rPr>
                <w:lang w:val="fr-CA"/>
              </w:rPr>
            </w:pPr>
            <w:r w:rsidRPr="002F2423">
              <w:rPr>
                <w:lang w:val="fr-CA"/>
              </w:rPr>
              <w:t>Stephen St-Louis et al. (Que.)</w:t>
            </w:r>
          </w:p>
        </w:tc>
        <w:tc>
          <w:tcPr>
            <w:tcW w:w="1170" w:type="dxa"/>
          </w:tcPr>
          <w:p w:rsidR="002F2423" w:rsidRPr="002F2423" w:rsidRDefault="002F2423" w:rsidP="002F2423">
            <w:pPr>
              <w:jc w:val="both"/>
              <w:rPr>
                <w:lang w:val="fr-CA"/>
              </w:rPr>
            </w:pPr>
          </w:p>
        </w:tc>
        <w:tc>
          <w:tcPr>
            <w:tcW w:w="4327" w:type="dxa"/>
          </w:tcPr>
          <w:p w:rsidR="002F2423" w:rsidRPr="002F2423" w:rsidRDefault="002F2423" w:rsidP="002F2423">
            <w:pPr>
              <w:jc w:val="both"/>
              <w:rPr>
                <w:lang w:val="fr-CA"/>
              </w:rPr>
            </w:pPr>
          </w:p>
        </w:tc>
      </w:tr>
    </w:tbl>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sz w:val="20"/>
          <w:szCs w:val="20"/>
          <w:lang w:eastAsia="en-CA"/>
        </w:rPr>
      </w:pPr>
      <w:r w:rsidRPr="002F2423">
        <w:rPr>
          <w:rFonts w:eastAsia="Times New Roman" w:cs="Times New Roman"/>
          <w:b/>
          <w:sz w:val="20"/>
          <w:szCs w:val="20"/>
          <w:lang w:eastAsia="en-CA"/>
        </w:rPr>
        <w:t>DISMISSED / REJETÉE</w:t>
      </w:r>
    </w:p>
    <w:p w:rsidR="002F2423" w:rsidRPr="002F2423" w:rsidRDefault="002F2423" w:rsidP="002F2423">
      <w:pPr>
        <w:tabs>
          <w:tab w:val="left" w:pos="-1440"/>
          <w:tab w:val="left" w:pos="-720"/>
        </w:tabs>
        <w:jc w:val="both"/>
        <w:rPr>
          <w:rFonts w:eastAsia="Times New Roman" w:cs="Times New Roman"/>
          <w:sz w:val="20"/>
          <w:szCs w:val="20"/>
          <w:lang w:eastAsia="en-CA"/>
        </w:rPr>
      </w:pPr>
    </w:p>
    <w:p w:rsidR="002F2423" w:rsidRPr="002F2423" w:rsidRDefault="002F2423" w:rsidP="002F2423">
      <w:pPr>
        <w:jc w:val="both"/>
        <w:rPr>
          <w:rFonts w:eastAsia="Times New Roman" w:cs="Times New Roman"/>
          <w:sz w:val="20"/>
          <w:szCs w:val="20"/>
          <w:lang w:val="en-US" w:eastAsia="en-CA"/>
        </w:rPr>
      </w:pPr>
      <w:r w:rsidRPr="002F2423">
        <w:rPr>
          <w:rFonts w:eastAsia="Times New Roman" w:cs="Times New Roman"/>
          <w:b/>
          <w:sz w:val="20"/>
          <w:szCs w:val="20"/>
          <w:lang w:val="en-US" w:eastAsia="en-CA"/>
        </w:rPr>
        <w:t>UPON APPLICATION</w:t>
      </w:r>
      <w:r w:rsidRPr="002F2423">
        <w:rPr>
          <w:rFonts w:eastAsia="Times New Roman" w:cs="Times New Roman"/>
          <w:sz w:val="20"/>
          <w:szCs w:val="20"/>
          <w:lang w:val="en-US" w:eastAsia="en-CA"/>
        </w:rPr>
        <w:t xml:space="preserve"> </w:t>
      </w:r>
      <w:r w:rsidR="00286B88" w:rsidRPr="002F2423">
        <w:rPr>
          <w:rFonts w:eastAsia="Times New Roman" w:cs="Times New Roman"/>
          <w:sz w:val="20"/>
          <w:szCs w:val="20"/>
          <w:lang w:val="en-US" w:eastAsia="en-CA"/>
        </w:rPr>
        <w:fldChar w:fldCharType="begin"/>
      </w:r>
      <w:r w:rsidRPr="002F2423">
        <w:rPr>
          <w:rFonts w:eastAsia="Times New Roman" w:cs="Times New Roman"/>
          <w:sz w:val="20"/>
          <w:szCs w:val="20"/>
          <w:lang w:val="en-US" w:eastAsia="en-CA"/>
        </w:rPr>
        <w:instrText xml:space="preserve"> SEQ CHAPTER \h \r 1</w:instrText>
      </w:r>
      <w:r w:rsidR="00286B88" w:rsidRPr="002F2423">
        <w:rPr>
          <w:rFonts w:eastAsia="Times New Roman" w:cs="Times New Roman"/>
          <w:sz w:val="20"/>
          <w:szCs w:val="20"/>
          <w:lang w:val="en-US" w:eastAsia="en-CA"/>
        </w:rPr>
        <w:fldChar w:fldCharType="end"/>
      </w:r>
      <w:r w:rsidRPr="002F2423">
        <w:rPr>
          <w:rFonts w:eastAsia="Times New Roman" w:cs="Times New Roman"/>
          <w:sz w:val="20"/>
          <w:szCs w:val="20"/>
          <w:lang w:val="en-US" w:eastAsia="en-CA"/>
        </w:rPr>
        <w:t xml:space="preserve">by Mr. Sava Vidanovic for an order granting leave to represent Construction C.N.C. Inc. and for leave to file an application for leave to appeal on its behalf; </w:t>
      </w:r>
    </w:p>
    <w:p w:rsidR="002F2423" w:rsidRPr="002F2423" w:rsidRDefault="002F2423" w:rsidP="002F2423">
      <w:pPr>
        <w:autoSpaceDE w:val="0"/>
        <w:autoSpaceDN w:val="0"/>
        <w:adjustRightInd w:val="0"/>
        <w:jc w:val="both"/>
        <w:rPr>
          <w:rFonts w:eastAsia="Times New Roman" w:cs="Times New Roman"/>
          <w:sz w:val="20"/>
          <w:szCs w:val="20"/>
          <w:lang w:val="en-US" w:eastAsia="en-CA"/>
        </w:rPr>
      </w:pPr>
    </w:p>
    <w:p w:rsidR="002F2423" w:rsidRPr="002F2423" w:rsidRDefault="00286B88" w:rsidP="002F2423">
      <w:pPr>
        <w:jc w:val="both"/>
        <w:rPr>
          <w:rFonts w:eastAsia="Times New Roman" w:cs="Times New Roman"/>
          <w:sz w:val="20"/>
          <w:szCs w:val="20"/>
          <w:lang w:val="en-US" w:eastAsia="en-CA"/>
        </w:rPr>
      </w:pPr>
      <w:r w:rsidRPr="002F2423">
        <w:rPr>
          <w:rFonts w:eastAsia="Times New Roman" w:cs="Times New Roman"/>
          <w:sz w:val="20"/>
          <w:szCs w:val="20"/>
          <w:lang w:val="en-US" w:eastAsia="en-CA"/>
        </w:rPr>
        <w:fldChar w:fldCharType="begin"/>
      </w:r>
      <w:r w:rsidR="002F2423" w:rsidRPr="002F2423">
        <w:rPr>
          <w:rFonts w:eastAsia="Times New Roman" w:cs="Times New Roman"/>
          <w:sz w:val="20"/>
          <w:szCs w:val="20"/>
          <w:lang w:val="en-US" w:eastAsia="en-CA"/>
        </w:rPr>
        <w:instrText xml:space="preserve"> SEQ CHAPTER \h \r 1</w:instrText>
      </w:r>
      <w:r w:rsidRPr="002F2423">
        <w:rPr>
          <w:rFonts w:eastAsia="Times New Roman" w:cs="Times New Roman"/>
          <w:sz w:val="20"/>
          <w:szCs w:val="20"/>
          <w:lang w:val="en-US" w:eastAsia="en-CA"/>
        </w:rPr>
        <w:fldChar w:fldCharType="end"/>
      </w:r>
      <w:r w:rsidR="002F2423" w:rsidRPr="002F2423">
        <w:rPr>
          <w:rFonts w:eastAsia="Times New Roman" w:cs="Times New Roman"/>
          <w:b/>
          <w:bCs/>
          <w:sz w:val="20"/>
          <w:szCs w:val="20"/>
          <w:lang w:val="en-US" w:eastAsia="en-CA"/>
        </w:rPr>
        <w:t xml:space="preserve">AND THE MATERIAL FILED </w:t>
      </w:r>
      <w:r w:rsidR="002F2423" w:rsidRPr="002F2423">
        <w:rPr>
          <w:rFonts w:eastAsia="Times New Roman" w:cs="Times New Roman"/>
          <w:bCs/>
          <w:sz w:val="20"/>
          <w:szCs w:val="20"/>
          <w:lang w:val="en-US" w:eastAsia="en-CA"/>
        </w:rPr>
        <w:t>having been read</w:t>
      </w:r>
      <w:r w:rsidR="002F2423" w:rsidRPr="002F2423">
        <w:rPr>
          <w:rFonts w:eastAsia="Times New Roman" w:cs="Times New Roman"/>
          <w:sz w:val="20"/>
          <w:szCs w:val="20"/>
          <w:lang w:val="en-US" w:eastAsia="en-CA"/>
        </w:rPr>
        <w:t>;</w:t>
      </w:r>
    </w:p>
    <w:p w:rsidR="002F2423" w:rsidRPr="002F2423" w:rsidRDefault="002F2423" w:rsidP="002F2423">
      <w:pPr>
        <w:jc w:val="both"/>
        <w:rPr>
          <w:rFonts w:eastAsia="Times New Roman" w:cs="Times New Roman"/>
          <w:sz w:val="20"/>
          <w:szCs w:val="20"/>
          <w:lang w:val="en-US" w:eastAsia="en-CA"/>
        </w:rPr>
      </w:pPr>
    </w:p>
    <w:p w:rsidR="002F2423" w:rsidRPr="002F2423" w:rsidRDefault="002F2423" w:rsidP="002F2423">
      <w:pPr>
        <w:jc w:val="both"/>
        <w:rPr>
          <w:rFonts w:eastAsia="Times New Roman" w:cs="Times New Roman"/>
          <w:sz w:val="20"/>
          <w:szCs w:val="20"/>
          <w:lang w:val="en-US" w:eastAsia="en-CA"/>
        </w:rPr>
      </w:pPr>
      <w:r w:rsidRPr="002F2423">
        <w:rPr>
          <w:rFonts w:eastAsia="Times New Roman" w:cs="Times New Roman"/>
          <w:b/>
          <w:sz w:val="20"/>
          <w:szCs w:val="20"/>
          <w:lang w:val="en-US" w:eastAsia="en-CA"/>
        </w:rPr>
        <w:t xml:space="preserve">AND </w:t>
      </w:r>
      <w:r w:rsidRPr="002F2423">
        <w:rPr>
          <w:rFonts w:eastAsia="Times New Roman" w:cs="Times New Roman"/>
          <w:sz w:val="20"/>
          <w:szCs w:val="20"/>
          <w:lang w:val="en-US" w:eastAsia="en-CA"/>
        </w:rPr>
        <w:t xml:space="preserve">Mr. Vidanovic not falling within the exceptions to the requirement that corporations be represented by counsel in Rule 15 (3) of the </w:t>
      </w:r>
      <w:r w:rsidRPr="002F2423">
        <w:rPr>
          <w:rFonts w:eastAsia="Times New Roman" w:cs="Times New Roman"/>
          <w:i/>
          <w:sz w:val="20"/>
          <w:szCs w:val="20"/>
          <w:lang w:val="en-US" w:eastAsia="en-CA"/>
        </w:rPr>
        <w:t>Rules of the Supreme Court of Canada</w:t>
      </w:r>
      <w:r w:rsidRPr="002F2423">
        <w:rPr>
          <w:rFonts w:eastAsia="Times New Roman" w:cs="Times New Roman"/>
          <w:sz w:val="20"/>
          <w:szCs w:val="20"/>
          <w:lang w:val="en-US" w:eastAsia="en-CA"/>
        </w:rPr>
        <w:t xml:space="preserve">; </w:t>
      </w:r>
    </w:p>
    <w:p w:rsidR="002F2423" w:rsidRPr="002F2423" w:rsidRDefault="002F2423" w:rsidP="002F2423">
      <w:pPr>
        <w:jc w:val="both"/>
        <w:rPr>
          <w:rFonts w:eastAsia="Times New Roman" w:cs="Times New Roman"/>
          <w:sz w:val="20"/>
          <w:szCs w:val="20"/>
          <w:lang w:val="en-US" w:eastAsia="en-CA"/>
        </w:rPr>
      </w:pPr>
    </w:p>
    <w:p w:rsidR="002F2423" w:rsidRPr="002F2423" w:rsidRDefault="002F2423" w:rsidP="002F2423">
      <w:pPr>
        <w:jc w:val="both"/>
        <w:rPr>
          <w:rFonts w:eastAsia="Times New Roman" w:cs="Times New Roman"/>
          <w:b/>
          <w:sz w:val="20"/>
          <w:szCs w:val="20"/>
          <w:lang w:val="en-US" w:eastAsia="en-CA"/>
        </w:rPr>
      </w:pPr>
      <w:r w:rsidRPr="002F2423">
        <w:rPr>
          <w:rFonts w:eastAsia="Times New Roman" w:cs="Times New Roman"/>
          <w:b/>
          <w:sz w:val="20"/>
          <w:szCs w:val="20"/>
          <w:lang w:val="en-US" w:eastAsia="en-CA"/>
        </w:rPr>
        <w:t>IT IS HEREBY ORDERED THAT:</w:t>
      </w:r>
    </w:p>
    <w:p w:rsidR="002F2423" w:rsidRPr="002F2423" w:rsidRDefault="002F2423" w:rsidP="002F2423">
      <w:pPr>
        <w:ind w:left="360"/>
        <w:contextualSpacing/>
        <w:jc w:val="both"/>
        <w:rPr>
          <w:sz w:val="20"/>
          <w:szCs w:val="20"/>
        </w:rPr>
      </w:pPr>
    </w:p>
    <w:p w:rsidR="002F2423" w:rsidRPr="002F2423" w:rsidRDefault="002F2423" w:rsidP="002F2423">
      <w:pPr>
        <w:ind w:firstLine="720"/>
        <w:jc w:val="both"/>
        <w:rPr>
          <w:rFonts w:eastAsia="Times New Roman" w:cs="Times New Roman"/>
          <w:sz w:val="20"/>
          <w:szCs w:val="20"/>
          <w:lang w:val="fr-CA" w:eastAsia="en-CA"/>
        </w:rPr>
      </w:pPr>
      <w:r w:rsidRPr="002F2423">
        <w:rPr>
          <w:rFonts w:eastAsia="Times New Roman" w:cs="Times New Roman"/>
          <w:sz w:val="20"/>
          <w:szCs w:val="20"/>
          <w:lang w:val="fr-CA" w:eastAsia="en-CA"/>
        </w:rPr>
        <w:t>The motion is dismissed.</w:t>
      </w:r>
    </w:p>
    <w:p w:rsidR="002F2423" w:rsidRPr="002F2423" w:rsidRDefault="002F2423" w:rsidP="002F2423">
      <w:pPr>
        <w:jc w:val="both"/>
        <w:rPr>
          <w:rFonts w:eastAsia="Times New Roman" w:cs="Times New Roman"/>
          <w:sz w:val="20"/>
          <w:szCs w:val="20"/>
          <w:lang w:val="fr-CA" w:eastAsia="en-CA"/>
        </w:rPr>
      </w:pPr>
    </w:p>
    <w:p w:rsidR="002F2423" w:rsidRPr="002F2423" w:rsidRDefault="002F2423" w:rsidP="002F2423">
      <w:pPr>
        <w:jc w:val="both"/>
        <w:rPr>
          <w:rFonts w:eastAsia="Times New Roman" w:cs="Times New Roman"/>
          <w:sz w:val="20"/>
          <w:szCs w:val="20"/>
          <w:lang w:val="fr-CA" w:eastAsia="en-CA"/>
        </w:rPr>
      </w:pPr>
    </w:p>
    <w:p w:rsidR="002F2423" w:rsidRPr="002F2423" w:rsidRDefault="002F2423" w:rsidP="002F2423">
      <w:pPr>
        <w:jc w:val="both"/>
        <w:rPr>
          <w:rFonts w:eastAsia="Times New Roman" w:cs="Times New Roman"/>
          <w:sz w:val="20"/>
          <w:szCs w:val="20"/>
          <w:lang w:val="fr-CA" w:eastAsia="en-CA"/>
        </w:rPr>
      </w:pPr>
    </w:p>
    <w:p w:rsidR="002F2423" w:rsidRPr="002F2423" w:rsidRDefault="002F2423" w:rsidP="002F2423">
      <w:pPr>
        <w:jc w:val="both"/>
        <w:rPr>
          <w:rFonts w:eastAsia="Times New Roman" w:cs="Times New Roman"/>
          <w:sz w:val="20"/>
          <w:szCs w:val="20"/>
          <w:lang w:val="fr-CA" w:eastAsia="en-CA"/>
        </w:rPr>
      </w:pPr>
      <w:r w:rsidRPr="002F2423">
        <w:rPr>
          <w:rFonts w:eastAsia="Times New Roman" w:cs="Times New Roman"/>
          <w:b/>
          <w:sz w:val="20"/>
          <w:szCs w:val="20"/>
          <w:lang w:val="fr-CA" w:eastAsia="en-CA"/>
        </w:rPr>
        <w:t>À LA SUITE DE LA REQUÊTE</w:t>
      </w:r>
      <w:r w:rsidRPr="002F2423">
        <w:rPr>
          <w:rFonts w:eastAsia="Times New Roman" w:cs="Times New Roman"/>
          <w:sz w:val="20"/>
          <w:szCs w:val="20"/>
          <w:lang w:val="fr-CA" w:eastAsia="en-CA"/>
        </w:rPr>
        <w:t xml:space="preserve"> présentée par monsieur Sava Vidanovic en vue d’obtenir l’autorisation de représenter Construction C.N.C. Inc. et de déposer une demande d’autorisation d’appel en son nom; </w:t>
      </w:r>
    </w:p>
    <w:p w:rsidR="002F2423" w:rsidRPr="002F2423" w:rsidRDefault="002F2423" w:rsidP="002F2423">
      <w:pPr>
        <w:jc w:val="both"/>
        <w:rPr>
          <w:rFonts w:eastAsia="Times New Roman" w:cs="Times New Roman"/>
          <w:sz w:val="20"/>
          <w:szCs w:val="20"/>
          <w:lang w:val="fr-CA" w:eastAsia="en-CA"/>
        </w:rPr>
      </w:pPr>
    </w:p>
    <w:p w:rsidR="002F2423" w:rsidRPr="002F2423" w:rsidRDefault="002F2423" w:rsidP="002F2423">
      <w:pPr>
        <w:jc w:val="both"/>
        <w:rPr>
          <w:rFonts w:eastAsia="Times New Roman" w:cs="Times New Roman"/>
          <w:sz w:val="20"/>
          <w:szCs w:val="20"/>
          <w:lang w:val="fr-CA" w:eastAsia="en-CA"/>
        </w:rPr>
      </w:pPr>
      <w:r w:rsidRPr="002F2423">
        <w:rPr>
          <w:rFonts w:eastAsia="Times New Roman" w:cs="Times New Roman"/>
          <w:b/>
          <w:sz w:val="20"/>
          <w:szCs w:val="20"/>
          <w:lang w:val="fr-CA" w:eastAsia="en-CA"/>
        </w:rPr>
        <w:t>ET APRÈS EXAMEN</w:t>
      </w:r>
      <w:r w:rsidRPr="002F2423">
        <w:rPr>
          <w:rFonts w:eastAsia="Times New Roman" w:cs="Times New Roman"/>
          <w:sz w:val="20"/>
          <w:szCs w:val="20"/>
          <w:lang w:val="fr-CA" w:eastAsia="en-CA"/>
        </w:rPr>
        <w:t xml:space="preserve"> des documents déposés;</w:t>
      </w:r>
    </w:p>
    <w:p w:rsidR="002F2423" w:rsidRPr="002F2423" w:rsidRDefault="002F2423" w:rsidP="002F2423">
      <w:pPr>
        <w:jc w:val="both"/>
        <w:rPr>
          <w:rFonts w:eastAsia="Times New Roman" w:cs="Times New Roman"/>
          <w:sz w:val="20"/>
          <w:szCs w:val="20"/>
          <w:lang w:val="fr-CA" w:eastAsia="en-CA"/>
        </w:rPr>
      </w:pPr>
    </w:p>
    <w:p w:rsidR="002F2423" w:rsidRPr="002F2423" w:rsidRDefault="002F2423" w:rsidP="002F2423">
      <w:pPr>
        <w:jc w:val="both"/>
        <w:rPr>
          <w:rFonts w:eastAsia="Times New Roman" w:cs="Times New Roman"/>
          <w:sz w:val="20"/>
          <w:szCs w:val="20"/>
          <w:lang w:val="fr-CA" w:eastAsia="en-CA"/>
        </w:rPr>
      </w:pPr>
      <w:r w:rsidRPr="002F2423">
        <w:rPr>
          <w:rFonts w:eastAsia="Times New Roman" w:cs="Times New Roman"/>
          <w:b/>
          <w:sz w:val="20"/>
          <w:szCs w:val="20"/>
          <w:lang w:val="fr-CA" w:eastAsia="en-CA"/>
        </w:rPr>
        <w:t xml:space="preserve">ET </w:t>
      </w:r>
      <w:r w:rsidRPr="002F2423">
        <w:rPr>
          <w:rFonts w:eastAsia="Times New Roman" w:cs="Times New Roman"/>
          <w:sz w:val="20"/>
          <w:szCs w:val="20"/>
          <w:lang w:val="fr-CA" w:eastAsia="en-CA"/>
        </w:rPr>
        <w:t>considérant que monsieur Vidanovic</w:t>
      </w:r>
      <w:r w:rsidRPr="002F2423">
        <w:rPr>
          <w:rFonts w:eastAsia="Times New Roman" w:cs="Times New Roman"/>
          <w:b/>
          <w:sz w:val="20"/>
          <w:szCs w:val="20"/>
          <w:lang w:val="fr-CA" w:eastAsia="en-CA"/>
        </w:rPr>
        <w:t xml:space="preserve"> </w:t>
      </w:r>
      <w:r w:rsidRPr="002F2423">
        <w:rPr>
          <w:rFonts w:eastAsia="Times New Roman" w:cs="Times New Roman"/>
          <w:sz w:val="20"/>
          <w:szCs w:val="20"/>
          <w:lang w:val="fr-CA" w:eastAsia="en-CA"/>
        </w:rPr>
        <w:t xml:space="preserve">n’est pas visé par les exceptions à l’exigence que les personnes morales soient représentées par procureur prévues au par. 15(3) des </w:t>
      </w:r>
      <w:r w:rsidRPr="002F2423">
        <w:rPr>
          <w:rFonts w:eastAsia="Times New Roman" w:cs="Times New Roman"/>
          <w:i/>
          <w:sz w:val="20"/>
          <w:szCs w:val="20"/>
          <w:lang w:val="fr-CA" w:eastAsia="en-CA"/>
        </w:rPr>
        <w:t>Règles de la Cour suprême du Canada</w:t>
      </w:r>
      <w:r w:rsidRPr="002F2423">
        <w:rPr>
          <w:rFonts w:eastAsia="Times New Roman" w:cs="Times New Roman"/>
          <w:sz w:val="20"/>
          <w:szCs w:val="20"/>
          <w:lang w:val="fr-CA" w:eastAsia="en-CA"/>
        </w:rPr>
        <w:t xml:space="preserve">; </w:t>
      </w:r>
    </w:p>
    <w:p w:rsidR="002F2423" w:rsidRPr="002F2423" w:rsidRDefault="002F2423" w:rsidP="002F2423">
      <w:pPr>
        <w:jc w:val="both"/>
        <w:rPr>
          <w:rFonts w:eastAsia="Times New Roman" w:cs="Times New Roman"/>
          <w:b/>
          <w:sz w:val="20"/>
          <w:szCs w:val="20"/>
          <w:lang w:val="fr-CA" w:eastAsia="en-CA"/>
        </w:rPr>
      </w:pPr>
    </w:p>
    <w:p w:rsidR="002F2423" w:rsidRPr="002F2423" w:rsidRDefault="002F2423" w:rsidP="002F2423">
      <w:pPr>
        <w:jc w:val="both"/>
        <w:rPr>
          <w:rFonts w:eastAsia="Times New Roman" w:cs="Times New Roman"/>
          <w:b/>
          <w:sz w:val="20"/>
          <w:szCs w:val="20"/>
          <w:lang w:val="fr-CA" w:eastAsia="en-CA"/>
        </w:rPr>
      </w:pPr>
      <w:r w:rsidRPr="002F2423">
        <w:rPr>
          <w:rFonts w:eastAsia="Times New Roman" w:cs="Times New Roman"/>
          <w:b/>
          <w:sz w:val="20"/>
          <w:szCs w:val="20"/>
          <w:lang w:val="fr-CA" w:eastAsia="en-CA"/>
        </w:rPr>
        <w:t>IL EST ORDONNÉ CE QUI SUIT :</w:t>
      </w:r>
    </w:p>
    <w:p w:rsidR="002F2423" w:rsidRPr="002F2423" w:rsidRDefault="002F2423" w:rsidP="002F2423">
      <w:pPr>
        <w:jc w:val="both"/>
        <w:rPr>
          <w:rFonts w:eastAsia="Times New Roman" w:cs="Times New Roman"/>
          <w:sz w:val="20"/>
          <w:szCs w:val="20"/>
          <w:lang w:val="fr-CA" w:eastAsia="en-CA"/>
        </w:rPr>
      </w:pPr>
    </w:p>
    <w:p w:rsidR="002F2423" w:rsidRPr="002F2423" w:rsidRDefault="002F2423" w:rsidP="002F2423">
      <w:pPr>
        <w:ind w:firstLine="720"/>
        <w:jc w:val="both"/>
        <w:rPr>
          <w:rFonts w:eastAsia="Times New Roman" w:cs="Times New Roman"/>
          <w:sz w:val="20"/>
          <w:szCs w:val="20"/>
          <w:lang w:val="fr-CA" w:eastAsia="en-CA"/>
        </w:rPr>
      </w:pPr>
      <w:r w:rsidRPr="002F2423">
        <w:rPr>
          <w:rFonts w:eastAsia="Times New Roman" w:cs="Times New Roman"/>
          <w:sz w:val="20"/>
          <w:szCs w:val="20"/>
          <w:lang w:val="fr-CA" w:eastAsia="en-CA"/>
        </w:rPr>
        <w:t xml:space="preserve">La requête est rejetée. </w:t>
      </w:r>
    </w:p>
    <w:p w:rsidR="002F2423" w:rsidRPr="002F2423" w:rsidRDefault="002F2423" w:rsidP="002F2423">
      <w:pPr>
        <w:ind w:firstLine="720"/>
        <w:jc w:val="both"/>
        <w:rPr>
          <w:rFonts w:eastAsia="Times New Roman" w:cs="Times New Roman"/>
          <w:sz w:val="20"/>
          <w:szCs w:val="20"/>
          <w:lang w:val="fr-CA" w:eastAsia="en-CA"/>
        </w:rPr>
      </w:pPr>
    </w:p>
    <w:p w:rsidR="002F2423" w:rsidRPr="002F2423" w:rsidRDefault="005A3634" w:rsidP="002F242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9" style="width:2in;height:1pt" o:hrpct="0" o:hralign="center" o:hrstd="t" o:hrnoshade="t" o:hr="t" fillcolor="black [3213]" stroked="f"/>
        </w:pict>
      </w:r>
    </w:p>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sz w:val="20"/>
          <w:szCs w:val="20"/>
          <w:lang w:val="fr-CA" w:eastAsia="en-CA"/>
        </w:rPr>
      </w:pPr>
      <w:r w:rsidRPr="002F2423">
        <w:rPr>
          <w:rFonts w:eastAsia="Times New Roman" w:cs="Times New Roman"/>
          <w:sz w:val="20"/>
          <w:szCs w:val="20"/>
          <w:lang w:val="fr-CA" w:eastAsia="en-CA"/>
        </w:rPr>
        <w:t>06.02.2015</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sz w:val="20"/>
          <w:szCs w:val="20"/>
          <w:lang w:val="fr-CA" w:eastAsia="en-CA"/>
        </w:rPr>
      </w:pPr>
      <w:r w:rsidRPr="002F2423">
        <w:rPr>
          <w:rFonts w:eastAsia="Times New Roman" w:cs="Times New Roman"/>
          <w:sz w:val="20"/>
          <w:szCs w:val="20"/>
          <w:lang w:val="fr-CA" w:eastAsia="en-CA"/>
        </w:rPr>
        <w:t>Before / Devant :   GASCON J. / LE JUGE GASCON</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2F2423" w:rsidRPr="008B79EB" w:rsidTr="002F2423">
        <w:tc>
          <w:tcPr>
            <w:tcW w:w="4338" w:type="dxa"/>
            <w:gridSpan w:val="2"/>
          </w:tcPr>
          <w:p w:rsidR="002F2423" w:rsidRPr="002F2423" w:rsidRDefault="002F2423" w:rsidP="002F2423">
            <w:pPr>
              <w:jc w:val="both"/>
              <w:rPr>
                <w:b/>
              </w:rPr>
            </w:pPr>
            <w:r w:rsidRPr="002F2423">
              <w:rPr>
                <w:b/>
                <w:lang w:val="en-US"/>
              </w:rPr>
              <w:t xml:space="preserve">Order on interventions with respect to oral argument </w:t>
            </w:r>
            <w:r w:rsidR="00286B88" w:rsidRPr="002F2423">
              <w:rPr>
                <w:szCs w:val="24"/>
                <w:lang w:val="en-US"/>
              </w:rPr>
              <w:fldChar w:fldCharType="begin"/>
            </w:r>
            <w:r w:rsidRPr="002F2423">
              <w:rPr>
                <w:szCs w:val="24"/>
              </w:rPr>
              <w:instrText xml:space="preserve"> SEQ CHAPTER \h \r 1</w:instrText>
            </w:r>
            <w:r w:rsidR="00286B88" w:rsidRPr="002F2423">
              <w:rPr>
                <w:szCs w:val="24"/>
                <w:lang w:val="en-US"/>
              </w:rPr>
              <w:fldChar w:fldCharType="end"/>
            </w:r>
          </w:p>
        </w:tc>
        <w:tc>
          <w:tcPr>
            <w:tcW w:w="1170" w:type="dxa"/>
          </w:tcPr>
          <w:p w:rsidR="002F2423" w:rsidRPr="002F2423" w:rsidRDefault="002F2423" w:rsidP="002F2423"/>
          <w:p w:rsidR="002F2423" w:rsidRPr="002F2423" w:rsidRDefault="002F2423" w:rsidP="002F2423"/>
          <w:p w:rsidR="002F2423" w:rsidRPr="002F2423" w:rsidRDefault="002F2423" w:rsidP="002F2423"/>
        </w:tc>
        <w:tc>
          <w:tcPr>
            <w:tcW w:w="4327" w:type="dxa"/>
          </w:tcPr>
          <w:p w:rsidR="002F2423" w:rsidRPr="002F2423" w:rsidRDefault="002F2423" w:rsidP="002F2423">
            <w:pPr>
              <w:jc w:val="both"/>
              <w:rPr>
                <w:b/>
                <w:lang w:val="fr-CA"/>
              </w:rPr>
            </w:pPr>
            <w:r w:rsidRPr="002F2423">
              <w:rPr>
                <w:b/>
                <w:lang w:val="fr-CA"/>
              </w:rPr>
              <w:t>Ordonnance relative à la présentation d’une plaidoirie orale par les intervenants</w:t>
            </w:r>
            <w:r w:rsidRPr="002F2423">
              <w:rPr>
                <w:szCs w:val="24"/>
                <w:lang w:val="fr-CA"/>
              </w:rPr>
              <w:t xml:space="preserve"> </w:t>
            </w:r>
            <w:r w:rsidR="00286B88" w:rsidRPr="002F2423">
              <w:rPr>
                <w:szCs w:val="24"/>
                <w:lang w:val="en-US"/>
              </w:rPr>
              <w:fldChar w:fldCharType="begin"/>
            </w:r>
            <w:r w:rsidRPr="002F2423">
              <w:rPr>
                <w:szCs w:val="24"/>
                <w:lang w:val="fr-CA"/>
              </w:rPr>
              <w:instrText xml:space="preserve"> SEQ CHAPTER \h \r 1</w:instrText>
            </w:r>
            <w:r w:rsidR="00286B88" w:rsidRPr="002F2423">
              <w:rPr>
                <w:szCs w:val="24"/>
                <w:lang w:val="en-US"/>
              </w:rPr>
              <w:fldChar w:fldCharType="end"/>
            </w:r>
          </w:p>
        </w:tc>
      </w:tr>
      <w:tr w:rsidR="002F2423" w:rsidRPr="002F2423" w:rsidTr="002F2423">
        <w:trPr>
          <w:trHeight w:hRule="exact" w:val="360"/>
        </w:trPr>
        <w:tc>
          <w:tcPr>
            <w:tcW w:w="1458" w:type="dxa"/>
          </w:tcPr>
          <w:p w:rsidR="002F2423" w:rsidRPr="002F2423" w:rsidRDefault="002F2423" w:rsidP="002F2423">
            <w:r w:rsidRPr="002F2423">
              <w:t>RE:</w:t>
            </w:r>
          </w:p>
        </w:tc>
        <w:tc>
          <w:tcPr>
            <w:tcW w:w="2880" w:type="dxa"/>
          </w:tcPr>
          <w:p w:rsidR="002F2423" w:rsidRPr="002F2423" w:rsidRDefault="002F2423" w:rsidP="002F2423">
            <w:r w:rsidRPr="002F2423">
              <w:t>Canadian Council for Refugees;</w:t>
            </w: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rPr>
          <w:trHeight w:hRule="exact" w:val="576"/>
        </w:trPr>
        <w:tc>
          <w:tcPr>
            <w:tcW w:w="1458" w:type="dxa"/>
          </w:tcPr>
          <w:p w:rsidR="002F2423" w:rsidRPr="002F2423" w:rsidRDefault="002F2423" w:rsidP="002F2423"/>
        </w:tc>
        <w:tc>
          <w:tcPr>
            <w:tcW w:w="2880" w:type="dxa"/>
          </w:tcPr>
          <w:p w:rsidR="002F2423" w:rsidRPr="002F2423" w:rsidRDefault="002F2423" w:rsidP="002F2423">
            <w:r w:rsidRPr="002F2423">
              <w:t>David Asper Centre for Constitutional Rights;</w:t>
            </w: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rPr>
          <w:trHeight w:hRule="exact" w:val="576"/>
        </w:trPr>
        <w:tc>
          <w:tcPr>
            <w:tcW w:w="1458" w:type="dxa"/>
          </w:tcPr>
          <w:p w:rsidR="002F2423" w:rsidRPr="002F2423" w:rsidRDefault="002F2423" w:rsidP="002F2423"/>
        </w:tc>
        <w:tc>
          <w:tcPr>
            <w:tcW w:w="2880" w:type="dxa"/>
          </w:tcPr>
          <w:p w:rsidR="002F2423" w:rsidRPr="002F2423" w:rsidRDefault="002F2423" w:rsidP="002F2423">
            <w:r w:rsidRPr="002F2423">
              <w:t>Canadian Association of Refugee Lawyers;</w:t>
            </w: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rPr>
          <w:trHeight w:hRule="exact" w:val="792"/>
        </w:trPr>
        <w:tc>
          <w:tcPr>
            <w:tcW w:w="1458" w:type="dxa"/>
          </w:tcPr>
          <w:p w:rsidR="002F2423" w:rsidRPr="002F2423" w:rsidRDefault="002F2423" w:rsidP="002F2423"/>
        </w:tc>
        <w:tc>
          <w:tcPr>
            <w:tcW w:w="2880" w:type="dxa"/>
          </w:tcPr>
          <w:p w:rsidR="002F2423" w:rsidRPr="002F2423" w:rsidRDefault="002F2423" w:rsidP="002F2423">
            <w:r w:rsidRPr="002F2423">
              <w:t>Amnesty International (Canadian Section, English Branch);</w:t>
            </w: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rPr>
          <w:trHeight w:hRule="exact" w:val="576"/>
        </w:trPr>
        <w:tc>
          <w:tcPr>
            <w:tcW w:w="1458" w:type="dxa"/>
          </w:tcPr>
          <w:p w:rsidR="002F2423" w:rsidRPr="002F2423" w:rsidRDefault="002F2423" w:rsidP="002F2423"/>
        </w:tc>
        <w:tc>
          <w:tcPr>
            <w:tcW w:w="2880" w:type="dxa"/>
          </w:tcPr>
          <w:p w:rsidR="002F2423" w:rsidRPr="002F2423" w:rsidRDefault="002F2423" w:rsidP="002F2423">
            <w:r w:rsidRPr="002F2423">
              <w:rPr>
                <w:bCs/>
                <w:lang w:val="en-US"/>
              </w:rPr>
              <w:t>United Nations High Commissioner for Refugees</w:t>
            </w:r>
            <w:r w:rsidRPr="002F2423">
              <w:t>;</w:t>
            </w: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rPr>
          <w:trHeight w:hRule="exact" w:val="504"/>
        </w:trPr>
        <w:tc>
          <w:tcPr>
            <w:tcW w:w="1458" w:type="dxa"/>
          </w:tcPr>
          <w:p w:rsidR="002F2423" w:rsidRPr="002F2423" w:rsidRDefault="002F2423" w:rsidP="002F2423"/>
        </w:tc>
        <w:tc>
          <w:tcPr>
            <w:tcW w:w="2880" w:type="dxa"/>
          </w:tcPr>
          <w:p w:rsidR="002F2423" w:rsidRPr="002F2423" w:rsidRDefault="002F2423" w:rsidP="002F2423">
            <w:r w:rsidRPr="002F2423">
              <w:t>Canadian Civil Liberties Association</w:t>
            </w: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c>
          <w:tcPr>
            <w:tcW w:w="1458" w:type="dxa"/>
          </w:tcPr>
          <w:p w:rsidR="002F2423" w:rsidRPr="002F2423" w:rsidRDefault="002F2423" w:rsidP="002F2423"/>
        </w:tc>
        <w:tc>
          <w:tcPr>
            <w:tcW w:w="2880" w:type="dxa"/>
          </w:tcPr>
          <w:p w:rsidR="002F2423" w:rsidRPr="002F2423" w:rsidRDefault="002F2423" w:rsidP="002F2423"/>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c>
          <w:tcPr>
            <w:tcW w:w="1458" w:type="dxa"/>
          </w:tcPr>
          <w:p w:rsidR="002F2423" w:rsidRPr="002F2423" w:rsidRDefault="002F2423" w:rsidP="002F2423">
            <w:r w:rsidRPr="002F2423">
              <w:t>IN / DANS :</w:t>
            </w:r>
          </w:p>
        </w:tc>
        <w:tc>
          <w:tcPr>
            <w:tcW w:w="2880" w:type="dxa"/>
          </w:tcPr>
          <w:p w:rsidR="002F2423" w:rsidRPr="002F2423" w:rsidRDefault="002F2423" w:rsidP="002F2423">
            <w:r w:rsidRPr="002F2423">
              <w:t xml:space="preserve">B010 </w:t>
            </w:r>
          </w:p>
          <w:p w:rsidR="002F2423" w:rsidRPr="002F2423" w:rsidRDefault="002F2423" w:rsidP="002F2423"/>
          <w:p w:rsidR="002F2423" w:rsidRPr="002F2423" w:rsidRDefault="002F2423" w:rsidP="002F2423">
            <w:r w:rsidRPr="002F2423">
              <w:tab/>
              <w:t>v. (35388)</w:t>
            </w:r>
          </w:p>
          <w:p w:rsidR="002F2423" w:rsidRPr="002F2423" w:rsidRDefault="002F2423" w:rsidP="002F2423"/>
          <w:p w:rsidR="002F2423" w:rsidRPr="002F2423" w:rsidRDefault="002F2423" w:rsidP="002F2423">
            <w:r w:rsidRPr="002F2423">
              <w:t>Minister of Citizenship and Immigration (F.C.)</w:t>
            </w:r>
          </w:p>
          <w:p w:rsidR="002F2423" w:rsidRPr="002F2423" w:rsidRDefault="002F2423" w:rsidP="002F2423"/>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c>
          <w:tcPr>
            <w:tcW w:w="1458" w:type="dxa"/>
          </w:tcPr>
          <w:p w:rsidR="002F2423" w:rsidRPr="002F2423" w:rsidRDefault="002F2423" w:rsidP="002F2423">
            <w:r w:rsidRPr="002F2423">
              <w:t>- and between -</w:t>
            </w:r>
          </w:p>
          <w:p w:rsidR="002F2423" w:rsidRPr="002F2423" w:rsidRDefault="002F2423" w:rsidP="002F2423"/>
        </w:tc>
        <w:tc>
          <w:tcPr>
            <w:tcW w:w="2880" w:type="dxa"/>
          </w:tcPr>
          <w:p w:rsidR="002F2423" w:rsidRPr="002F2423" w:rsidRDefault="002F2423" w:rsidP="002F2423"/>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c>
          <w:tcPr>
            <w:tcW w:w="1458" w:type="dxa"/>
          </w:tcPr>
          <w:p w:rsidR="002F2423" w:rsidRPr="002F2423" w:rsidRDefault="002F2423" w:rsidP="002F2423"/>
        </w:tc>
        <w:tc>
          <w:tcPr>
            <w:tcW w:w="2880" w:type="dxa"/>
          </w:tcPr>
          <w:p w:rsidR="002F2423" w:rsidRPr="002F2423" w:rsidRDefault="002F2423" w:rsidP="002F2423">
            <w:r w:rsidRPr="002F2423">
              <w:t>Jesus Rodriguez Hernandez</w:t>
            </w:r>
          </w:p>
          <w:p w:rsidR="002F2423" w:rsidRPr="002F2423" w:rsidRDefault="002F2423" w:rsidP="002F2423"/>
          <w:p w:rsidR="002F2423" w:rsidRPr="002F2423" w:rsidRDefault="002F2423" w:rsidP="002F2423">
            <w:r w:rsidRPr="002F2423">
              <w:tab/>
              <w:t>v. (35677)</w:t>
            </w:r>
          </w:p>
          <w:p w:rsidR="002F2423" w:rsidRPr="002F2423" w:rsidRDefault="002F2423" w:rsidP="002F2423"/>
          <w:p w:rsidR="002F2423" w:rsidRPr="002F2423" w:rsidRDefault="002F2423" w:rsidP="002F2423">
            <w:r w:rsidRPr="002F2423">
              <w:t>Minister of Public Safety and Emergency Preparedness (F.C.)</w:t>
            </w:r>
          </w:p>
          <w:p w:rsidR="002F2423" w:rsidRPr="002F2423" w:rsidRDefault="002F2423" w:rsidP="002F2423"/>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c>
          <w:tcPr>
            <w:tcW w:w="1458" w:type="dxa"/>
          </w:tcPr>
          <w:p w:rsidR="002F2423" w:rsidRPr="002F2423" w:rsidRDefault="002F2423" w:rsidP="002F2423">
            <w:r w:rsidRPr="002F2423">
              <w:t>- and between -</w:t>
            </w:r>
          </w:p>
          <w:p w:rsidR="002F2423" w:rsidRPr="002F2423" w:rsidRDefault="002F2423" w:rsidP="002F2423"/>
        </w:tc>
        <w:tc>
          <w:tcPr>
            <w:tcW w:w="2880" w:type="dxa"/>
          </w:tcPr>
          <w:p w:rsidR="002F2423" w:rsidRPr="002F2423" w:rsidRDefault="002F2423" w:rsidP="002F2423"/>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c>
          <w:tcPr>
            <w:tcW w:w="1458" w:type="dxa"/>
          </w:tcPr>
          <w:p w:rsidR="002F2423" w:rsidRPr="002F2423" w:rsidRDefault="002F2423" w:rsidP="002F2423"/>
        </w:tc>
        <w:tc>
          <w:tcPr>
            <w:tcW w:w="2880" w:type="dxa"/>
          </w:tcPr>
          <w:p w:rsidR="002F2423" w:rsidRPr="002F2423" w:rsidRDefault="002F2423" w:rsidP="002F2423">
            <w:r w:rsidRPr="002F2423">
              <w:t>B306</w:t>
            </w:r>
          </w:p>
          <w:p w:rsidR="002F2423" w:rsidRPr="002F2423" w:rsidRDefault="002F2423" w:rsidP="002F2423"/>
          <w:p w:rsidR="002F2423" w:rsidRPr="002F2423" w:rsidRDefault="002F2423" w:rsidP="002F2423">
            <w:r w:rsidRPr="002F2423">
              <w:tab/>
              <w:t>v. (35685)</w:t>
            </w:r>
          </w:p>
          <w:p w:rsidR="002F2423" w:rsidRPr="002F2423" w:rsidRDefault="002F2423" w:rsidP="002F2423"/>
          <w:p w:rsidR="002F2423" w:rsidRPr="002F2423" w:rsidRDefault="002F2423" w:rsidP="002F2423">
            <w:r w:rsidRPr="002F2423">
              <w:t>Minister of Public Safety and Emergency Preparedness (F.C.)</w:t>
            </w:r>
          </w:p>
          <w:p w:rsidR="002F2423" w:rsidRPr="002F2423" w:rsidRDefault="002F2423" w:rsidP="002F2423"/>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c>
          <w:tcPr>
            <w:tcW w:w="1458" w:type="dxa"/>
          </w:tcPr>
          <w:p w:rsidR="002F2423" w:rsidRPr="002F2423" w:rsidRDefault="002F2423" w:rsidP="002F2423">
            <w:r w:rsidRPr="002F2423">
              <w:t>- and between -</w:t>
            </w:r>
          </w:p>
          <w:p w:rsidR="002F2423" w:rsidRPr="002F2423" w:rsidRDefault="002F2423" w:rsidP="002F2423"/>
        </w:tc>
        <w:tc>
          <w:tcPr>
            <w:tcW w:w="2880" w:type="dxa"/>
          </w:tcPr>
          <w:p w:rsidR="002F2423" w:rsidRPr="002F2423" w:rsidRDefault="002F2423" w:rsidP="002F2423">
            <w:pPr>
              <w:jc w:val="both"/>
            </w:pP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c>
          <w:tcPr>
            <w:tcW w:w="1458" w:type="dxa"/>
          </w:tcPr>
          <w:p w:rsidR="002F2423" w:rsidRPr="002F2423" w:rsidRDefault="002F2423" w:rsidP="002F2423"/>
        </w:tc>
        <w:tc>
          <w:tcPr>
            <w:tcW w:w="2880" w:type="dxa"/>
          </w:tcPr>
          <w:p w:rsidR="002F2423" w:rsidRPr="002F2423" w:rsidRDefault="002F2423" w:rsidP="002F2423">
            <w:r w:rsidRPr="002F2423">
              <w:t>J.P. et al.</w:t>
            </w:r>
          </w:p>
          <w:p w:rsidR="002F2423" w:rsidRPr="002F2423" w:rsidRDefault="002F2423" w:rsidP="002F2423">
            <w:pPr>
              <w:jc w:val="both"/>
            </w:pPr>
          </w:p>
          <w:p w:rsidR="002F2423" w:rsidRPr="002F2423" w:rsidRDefault="002F2423" w:rsidP="002F2423">
            <w:pPr>
              <w:jc w:val="both"/>
            </w:pPr>
            <w:r w:rsidRPr="002F2423">
              <w:tab/>
              <w:t>v. (35688)</w:t>
            </w:r>
          </w:p>
          <w:p w:rsidR="002F2423" w:rsidRPr="002F2423" w:rsidRDefault="002F2423" w:rsidP="002F2423">
            <w:pPr>
              <w:jc w:val="both"/>
            </w:pPr>
          </w:p>
          <w:p w:rsidR="002F2423" w:rsidRPr="002F2423" w:rsidRDefault="002F2423" w:rsidP="002F2423">
            <w:pPr>
              <w:jc w:val="both"/>
            </w:pPr>
            <w:r w:rsidRPr="002F2423">
              <w:t>Minister of Public Safety and Emergency Preparedness (F.C.)</w:t>
            </w:r>
          </w:p>
        </w:tc>
        <w:tc>
          <w:tcPr>
            <w:tcW w:w="1170" w:type="dxa"/>
          </w:tcPr>
          <w:p w:rsidR="002F2423" w:rsidRPr="002F2423" w:rsidRDefault="002F2423" w:rsidP="002F2423"/>
        </w:tc>
        <w:tc>
          <w:tcPr>
            <w:tcW w:w="4327" w:type="dxa"/>
          </w:tcPr>
          <w:p w:rsidR="002F2423" w:rsidRPr="002F2423" w:rsidRDefault="002F2423" w:rsidP="002F2423"/>
        </w:tc>
      </w:tr>
    </w:tbl>
    <w:p w:rsidR="002F2423" w:rsidRPr="002F2423" w:rsidRDefault="002F2423" w:rsidP="002F2423">
      <w:pPr>
        <w:tabs>
          <w:tab w:val="left" w:pos="-1440"/>
          <w:tab w:val="left" w:pos="-720"/>
        </w:tabs>
        <w:jc w:val="both"/>
        <w:rPr>
          <w:rFonts w:eastAsia="Times New Roman" w:cs="Times New Roman"/>
          <w:sz w:val="20"/>
          <w:szCs w:val="20"/>
          <w:lang w:val="en-US" w:eastAsia="en-CA"/>
        </w:rPr>
      </w:pPr>
    </w:p>
    <w:p w:rsidR="002F2423" w:rsidRPr="002F2423" w:rsidRDefault="002F2423" w:rsidP="002F2423">
      <w:pPr>
        <w:spacing w:line="233" w:lineRule="auto"/>
        <w:jc w:val="both"/>
        <w:rPr>
          <w:rFonts w:eastAsia="Times New Roman" w:cs="Times New Roman"/>
          <w:sz w:val="20"/>
          <w:szCs w:val="20"/>
          <w:lang w:val="en-US" w:eastAsia="en-CA"/>
        </w:rPr>
      </w:pPr>
      <w:r w:rsidRPr="002F2423">
        <w:rPr>
          <w:rFonts w:eastAsia="Times New Roman" w:cs="Times New Roman"/>
          <w:b/>
          <w:sz w:val="20"/>
          <w:szCs w:val="20"/>
          <w:lang w:val="en-US" w:eastAsia="en-CA"/>
        </w:rPr>
        <w:t>FURTHER TO THE ORDER</w:t>
      </w:r>
      <w:r w:rsidRPr="002F2423">
        <w:rPr>
          <w:rFonts w:eastAsia="Times New Roman" w:cs="Times New Roman"/>
          <w:sz w:val="20"/>
          <w:szCs w:val="20"/>
          <w:lang w:val="en-US" w:eastAsia="en-CA"/>
        </w:rPr>
        <w:t xml:space="preserve"> dated November 27, 2014, granting leave to intervene to</w:t>
      </w:r>
      <w:r w:rsidRPr="002F2423">
        <w:rPr>
          <w:rFonts w:eastAsia="Times New Roman" w:cs="Times New Roman"/>
          <w:sz w:val="20"/>
          <w:szCs w:val="20"/>
          <w:lang w:eastAsia="en-CA"/>
        </w:rPr>
        <w:t xml:space="preserve"> the Canadian Council for Refugees, the David Asper Centre for Constitutional Rights, the Canadian Association of Refugee Lawyers, Amnesty International (Canadian Section, English Branch), the </w:t>
      </w:r>
      <w:r w:rsidRPr="002F2423">
        <w:rPr>
          <w:rFonts w:eastAsia="Times New Roman" w:cs="Times New Roman"/>
          <w:bCs/>
          <w:sz w:val="20"/>
          <w:szCs w:val="20"/>
          <w:lang w:val="en-US" w:eastAsia="en-CA"/>
        </w:rPr>
        <w:t>United Nations High Commissioner for Refugees</w:t>
      </w:r>
      <w:r w:rsidRPr="002F2423">
        <w:rPr>
          <w:rFonts w:eastAsia="Times New Roman" w:cs="Times New Roman"/>
          <w:sz w:val="20"/>
          <w:szCs w:val="20"/>
          <w:lang w:eastAsia="en-CA"/>
        </w:rPr>
        <w:t xml:space="preserve"> and the Canadian Civil Liberties Association</w:t>
      </w:r>
      <w:r w:rsidRPr="002F2423">
        <w:rPr>
          <w:rFonts w:eastAsia="Times New Roman" w:cs="Times New Roman"/>
          <w:sz w:val="20"/>
          <w:szCs w:val="20"/>
          <w:lang w:val="en-US" w:eastAsia="en-CA"/>
        </w:rPr>
        <w:t>;</w:t>
      </w:r>
    </w:p>
    <w:p w:rsidR="002F2423" w:rsidRPr="002F2423" w:rsidRDefault="002F2423" w:rsidP="002F2423">
      <w:pPr>
        <w:spacing w:line="233" w:lineRule="auto"/>
        <w:jc w:val="both"/>
        <w:rPr>
          <w:rFonts w:eastAsia="Times New Roman" w:cs="Times New Roman"/>
          <w:sz w:val="20"/>
          <w:szCs w:val="20"/>
          <w:lang w:val="en-US" w:eastAsia="en-CA"/>
        </w:rPr>
      </w:pPr>
    </w:p>
    <w:p w:rsidR="002F2423" w:rsidRPr="002F2423" w:rsidRDefault="002F2423" w:rsidP="002F2423">
      <w:pPr>
        <w:spacing w:line="233" w:lineRule="auto"/>
        <w:jc w:val="both"/>
        <w:rPr>
          <w:rFonts w:eastAsia="Times New Roman" w:cs="Times New Roman"/>
          <w:b/>
          <w:bCs/>
          <w:sz w:val="20"/>
          <w:szCs w:val="20"/>
          <w:lang w:val="en-US" w:eastAsia="en-CA"/>
        </w:rPr>
      </w:pPr>
      <w:r w:rsidRPr="002F2423">
        <w:rPr>
          <w:rFonts w:eastAsia="Times New Roman" w:cs="Times New Roman"/>
          <w:b/>
          <w:bCs/>
          <w:sz w:val="20"/>
          <w:szCs w:val="20"/>
          <w:lang w:val="en-US" w:eastAsia="en-CA"/>
        </w:rPr>
        <w:t xml:space="preserve">IT IS HEREBY FURTHER ORDERED THAT: </w:t>
      </w:r>
    </w:p>
    <w:p w:rsidR="002F2423" w:rsidRPr="002F2423" w:rsidRDefault="002F2423" w:rsidP="002F2423">
      <w:pPr>
        <w:spacing w:line="233" w:lineRule="auto"/>
        <w:jc w:val="both"/>
        <w:rPr>
          <w:rFonts w:eastAsia="Times New Roman" w:cs="Times New Roman"/>
          <w:b/>
          <w:bCs/>
          <w:sz w:val="20"/>
          <w:szCs w:val="20"/>
          <w:lang w:val="en-US" w:eastAsia="en-CA"/>
        </w:rPr>
      </w:pPr>
    </w:p>
    <w:p w:rsidR="002F2423" w:rsidRPr="002F2423" w:rsidRDefault="002F2423" w:rsidP="002F2423">
      <w:pPr>
        <w:widowControl w:val="0"/>
        <w:numPr>
          <w:ilvl w:val="0"/>
          <w:numId w:val="11"/>
        </w:numPr>
        <w:autoSpaceDE w:val="0"/>
        <w:autoSpaceDN w:val="0"/>
        <w:adjustRightInd w:val="0"/>
        <w:spacing w:line="233" w:lineRule="auto"/>
        <w:contextualSpacing/>
        <w:jc w:val="both"/>
        <w:rPr>
          <w:rFonts w:cs="Times New Roman"/>
          <w:sz w:val="20"/>
          <w:szCs w:val="20"/>
        </w:rPr>
      </w:pPr>
      <w:r w:rsidRPr="002F2423">
        <w:rPr>
          <w:rFonts w:cs="Times New Roman"/>
          <w:sz w:val="20"/>
          <w:szCs w:val="20"/>
        </w:rPr>
        <w:t>The Canadian Council for Refugees, the Canadian Association of Refugee Lawyers, Amnesty International (Canadian Section, English Branch) and the Canadian Civil Liberties Association are each granted permission to present oral argument not exceeding five (5) minutes at the hearing of the appeal.</w:t>
      </w:r>
    </w:p>
    <w:p w:rsidR="002F2423" w:rsidRPr="002F2423" w:rsidRDefault="002F2423" w:rsidP="002F2423">
      <w:pPr>
        <w:spacing w:line="233" w:lineRule="auto"/>
        <w:jc w:val="both"/>
        <w:rPr>
          <w:rFonts w:eastAsia="Times New Roman" w:cs="Times New Roman"/>
          <w:sz w:val="20"/>
          <w:szCs w:val="20"/>
          <w:lang w:val="en-US" w:eastAsia="en-CA"/>
        </w:rPr>
      </w:pPr>
    </w:p>
    <w:p w:rsidR="002F2423" w:rsidRPr="002F2423" w:rsidRDefault="002F2423" w:rsidP="002F2423">
      <w:pPr>
        <w:widowControl w:val="0"/>
        <w:numPr>
          <w:ilvl w:val="0"/>
          <w:numId w:val="11"/>
        </w:numPr>
        <w:autoSpaceDE w:val="0"/>
        <w:autoSpaceDN w:val="0"/>
        <w:adjustRightInd w:val="0"/>
        <w:spacing w:line="233" w:lineRule="auto"/>
        <w:contextualSpacing/>
        <w:jc w:val="both"/>
        <w:rPr>
          <w:rFonts w:cs="Times New Roman"/>
          <w:sz w:val="20"/>
          <w:szCs w:val="20"/>
        </w:rPr>
      </w:pPr>
      <w:r w:rsidRPr="002F2423">
        <w:rPr>
          <w:rFonts w:cs="Times New Roman"/>
          <w:sz w:val="20"/>
          <w:szCs w:val="20"/>
        </w:rPr>
        <w:t>The David Asper Centre for Constitutional Rights and the United Nations High Commissioner for Refugees are each granted permission to present oral argument not exceeding ten (10) minutes at the hearing of the appeal.</w:t>
      </w:r>
    </w:p>
    <w:p w:rsidR="002F2423" w:rsidRPr="002F2423" w:rsidRDefault="002F2423" w:rsidP="002F2423">
      <w:pPr>
        <w:spacing w:line="233" w:lineRule="auto"/>
        <w:ind w:left="360"/>
        <w:jc w:val="both"/>
        <w:rPr>
          <w:rFonts w:eastAsia="Times New Roman" w:cs="Times New Roman"/>
          <w:sz w:val="20"/>
          <w:szCs w:val="20"/>
          <w:lang w:val="en-US" w:eastAsia="en-CA"/>
        </w:rPr>
      </w:pPr>
    </w:p>
    <w:p w:rsidR="002F2423" w:rsidRPr="002F2423" w:rsidRDefault="002F2423" w:rsidP="002F2423">
      <w:pPr>
        <w:spacing w:line="233" w:lineRule="auto"/>
        <w:jc w:val="both"/>
        <w:rPr>
          <w:rFonts w:eastAsia="Times New Roman" w:cs="Times New Roman"/>
          <w:sz w:val="20"/>
          <w:szCs w:val="20"/>
          <w:lang w:val="en-US" w:eastAsia="en-CA"/>
        </w:rPr>
      </w:pPr>
    </w:p>
    <w:p w:rsidR="002F2423" w:rsidRPr="002F2423" w:rsidRDefault="002F2423" w:rsidP="002F2423">
      <w:pPr>
        <w:spacing w:line="233" w:lineRule="auto"/>
        <w:jc w:val="both"/>
        <w:rPr>
          <w:rFonts w:eastAsia="Times New Roman" w:cs="Times New Roman"/>
          <w:sz w:val="20"/>
          <w:szCs w:val="20"/>
          <w:lang w:eastAsia="en-CA"/>
        </w:rPr>
      </w:pPr>
    </w:p>
    <w:p w:rsidR="002F2423" w:rsidRPr="002F2423" w:rsidRDefault="002F2423" w:rsidP="002F2423">
      <w:pPr>
        <w:spacing w:line="233" w:lineRule="auto"/>
        <w:jc w:val="both"/>
        <w:rPr>
          <w:rFonts w:eastAsia="Times New Roman" w:cs="Times New Roman"/>
          <w:sz w:val="20"/>
          <w:szCs w:val="20"/>
          <w:lang w:val="fr-CA" w:eastAsia="en-CA"/>
        </w:rPr>
      </w:pPr>
      <w:r w:rsidRPr="002F2423">
        <w:rPr>
          <w:rFonts w:eastAsia="Times New Roman" w:cs="Times New Roman"/>
          <w:b/>
          <w:sz w:val="20"/>
          <w:szCs w:val="20"/>
          <w:lang w:val="fr-CA" w:eastAsia="en-CA"/>
        </w:rPr>
        <w:t>À LA SUITE DE L’ORDONNANCE</w:t>
      </w:r>
      <w:r w:rsidRPr="002F2423">
        <w:rPr>
          <w:rFonts w:eastAsia="Times New Roman" w:cs="Times New Roman"/>
          <w:sz w:val="20"/>
          <w:szCs w:val="20"/>
          <w:lang w:val="fr-CA" w:eastAsia="en-CA"/>
        </w:rPr>
        <w:t xml:space="preserve"> datée du 27 novembre 2014 autorisant le Conseil canadien pour les réfugiés, le David Asper Centre for Constitutional Rights, l’Association canadienne des avocats et avocates en droit des réfugiés, Amnistie internationale, Section canadienne (anglophone), le Haut Commissariat des Nations unies pour les réfugiés et l’Association canadienne des libertés civiles à intervenir;</w:t>
      </w:r>
    </w:p>
    <w:p w:rsidR="002F2423" w:rsidRPr="002F2423" w:rsidRDefault="002F2423" w:rsidP="002F2423">
      <w:pPr>
        <w:spacing w:line="233" w:lineRule="auto"/>
        <w:jc w:val="both"/>
        <w:rPr>
          <w:rFonts w:eastAsia="Times New Roman" w:cs="Times New Roman"/>
          <w:sz w:val="20"/>
          <w:szCs w:val="20"/>
          <w:lang w:val="fr-CA" w:eastAsia="en-CA"/>
        </w:rPr>
      </w:pPr>
    </w:p>
    <w:p w:rsidR="002F2423" w:rsidRPr="002F2423" w:rsidRDefault="002F2423" w:rsidP="002F2423">
      <w:pPr>
        <w:spacing w:line="233" w:lineRule="auto"/>
        <w:jc w:val="both"/>
        <w:rPr>
          <w:rFonts w:eastAsia="Times New Roman" w:cs="Times New Roman"/>
          <w:sz w:val="20"/>
          <w:szCs w:val="20"/>
          <w:lang w:val="fr-CA" w:eastAsia="en-CA"/>
        </w:rPr>
      </w:pPr>
      <w:r w:rsidRPr="002F2423">
        <w:rPr>
          <w:rFonts w:eastAsia="Times New Roman" w:cs="Times New Roman"/>
          <w:b/>
          <w:sz w:val="20"/>
          <w:szCs w:val="20"/>
          <w:lang w:val="fr-CA" w:eastAsia="en-CA"/>
        </w:rPr>
        <w:t>IL EST EN OUTRE ORDONNÉ CE QUI SUIT</w:t>
      </w:r>
      <w:r w:rsidRPr="002F2423">
        <w:rPr>
          <w:rFonts w:eastAsia="Times New Roman" w:cs="Times New Roman"/>
          <w:sz w:val="20"/>
          <w:szCs w:val="20"/>
          <w:lang w:val="fr-CA" w:eastAsia="en-CA"/>
        </w:rPr>
        <w:t xml:space="preserve"> : </w:t>
      </w:r>
    </w:p>
    <w:p w:rsidR="002F2423" w:rsidRPr="002F2423" w:rsidRDefault="002F2423" w:rsidP="002F2423">
      <w:pPr>
        <w:spacing w:line="233" w:lineRule="auto"/>
        <w:jc w:val="both"/>
        <w:rPr>
          <w:rFonts w:eastAsia="Times New Roman" w:cs="Times New Roman"/>
          <w:b/>
          <w:bCs/>
          <w:sz w:val="20"/>
          <w:szCs w:val="20"/>
          <w:lang w:val="fr-CA" w:eastAsia="en-CA"/>
        </w:rPr>
      </w:pPr>
    </w:p>
    <w:p w:rsidR="002F2423" w:rsidRPr="002F2423" w:rsidRDefault="002F2423" w:rsidP="002F2423">
      <w:pPr>
        <w:widowControl w:val="0"/>
        <w:numPr>
          <w:ilvl w:val="0"/>
          <w:numId w:val="10"/>
        </w:numPr>
        <w:autoSpaceDE w:val="0"/>
        <w:autoSpaceDN w:val="0"/>
        <w:adjustRightInd w:val="0"/>
        <w:spacing w:line="233" w:lineRule="auto"/>
        <w:contextualSpacing/>
        <w:jc w:val="both"/>
        <w:rPr>
          <w:rFonts w:cs="Times New Roman"/>
          <w:sz w:val="20"/>
          <w:szCs w:val="20"/>
          <w:lang w:val="fr-CA"/>
        </w:rPr>
      </w:pPr>
      <w:r w:rsidRPr="002F2423">
        <w:rPr>
          <w:rFonts w:cs="Times New Roman"/>
          <w:sz w:val="20"/>
          <w:szCs w:val="20"/>
          <w:lang w:val="fr-CA"/>
        </w:rPr>
        <w:t xml:space="preserve">Le Conseil canadien pour les réfugiés, l’Association canadienne des avocats et avocates en droit des réfugiés, Amnistie internationale, Section canadienne (anglophone) et l’Association canadienne des libertés civiles sont chacun autorisés à présenter une plaidoirie orale d’au plus cinq (5) minutes lors de l’audition de l’appel.  </w:t>
      </w:r>
    </w:p>
    <w:p w:rsidR="002F2423" w:rsidRPr="002F2423" w:rsidRDefault="002F2423" w:rsidP="002F2423">
      <w:pPr>
        <w:spacing w:line="233" w:lineRule="auto"/>
        <w:ind w:left="720"/>
        <w:contextualSpacing/>
        <w:jc w:val="both"/>
        <w:rPr>
          <w:rFonts w:cs="Times New Roman"/>
          <w:sz w:val="20"/>
          <w:szCs w:val="20"/>
          <w:lang w:val="fr-CA"/>
        </w:rPr>
      </w:pPr>
    </w:p>
    <w:p w:rsidR="002F2423" w:rsidRPr="002F2423" w:rsidRDefault="002F2423" w:rsidP="002F2423">
      <w:pPr>
        <w:widowControl w:val="0"/>
        <w:numPr>
          <w:ilvl w:val="0"/>
          <w:numId w:val="10"/>
        </w:numPr>
        <w:autoSpaceDE w:val="0"/>
        <w:autoSpaceDN w:val="0"/>
        <w:adjustRightInd w:val="0"/>
        <w:spacing w:line="233" w:lineRule="auto"/>
        <w:contextualSpacing/>
        <w:jc w:val="both"/>
        <w:rPr>
          <w:rFonts w:cs="Times New Roman"/>
          <w:sz w:val="20"/>
          <w:szCs w:val="20"/>
          <w:lang w:val="fr-CA"/>
        </w:rPr>
      </w:pPr>
      <w:r w:rsidRPr="002F2423">
        <w:rPr>
          <w:rFonts w:cs="Times New Roman"/>
          <w:sz w:val="20"/>
          <w:szCs w:val="20"/>
          <w:lang w:val="fr-CA"/>
        </w:rPr>
        <w:t>Le David Asper Centre for Constitutional Rights et le Haut Commissariat des Nations unies pour les réfugiés sont chacun autorisés à présenter une plaidoirie orale d’au plus dix (10) minutes lors de l’audition de l’appel.</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5A3634" w:rsidP="002F242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0" style="width:2in;height:1pt" o:hrpct="0" o:hralign="center" o:hrstd="t" o:hrnoshade="t" o:hr="t" fillcolor="black [3213]" stroked="f"/>
        </w:pict>
      </w:r>
    </w:p>
    <w:p w:rsidR="002F2423" w:rsidRDefault="002F2423" w:rsidP="002F2423">
      <w:pPr>
        <w:tabs>
          <w:tab w:val="left" w:pos="-1440"/>
          <w:tab w:val="left" w:pos="-720"/>
        </w:tabs>
        <w:jc w:val="both"/>
        <w:rPr>
          <w:rFonts w:eastAsia="Times New Roman" w:cs="Times New Roman"/>
          <w:sz w:val="20"/>
          <w:szCs w:val="20"/>
          <w:lang w:eastAsia="en-CA"/>
        </w:rPr>
      </w:pPr>
    </w:p>
    <w:p w:rsidR="008B79EB" w:rsidRPr="002F2423" w:rsidRDefault="008B79EB" w:rsidP="008B79EB">
      <w:pPr>
        <w:tabs>
          <w:tab w:val="left" w:pos="-1440"/>
          <w:tab w:val="left" w:pos="-720"/>
        </w:tabs>
        <w:jc w:val="both"/>
        <w:rPr>
          <w:rFonts w:eastAsia="Times New Roman" w:cs="Times New Roman"/>
          <w:sz w:val="20"/>
          <w:szCs w:val="20"/>
          <w:lang w:val="fr-CA" w:eastAsia="en-CA"/>
        </w:rPr>
      </w:pPr>
      <w:r w:rsidRPr="002F2423">
        <w:rPr>
          <w:rFonts w:eastAsia="Times New Roman" w:cs="Times New Roman"/>
          <w:sz w:val="20"/>
          <w:szCs w:val="20"/>
          <w:lang w:val="fr-CA" w:eastAsia="en-CA"/>
        </w:rPr>
        <w:t>06.02.2015</w:t>
      </w:r>
    </w:p>
    <w:p w:rsidR="008B79EB" w:rsidRPr="002F2423" w:rsidRDefault="008B79EB" w:rsidP="008B79EB">
      <w:pPr>
        <w:tabs>
          <w:tab w:val="left" w:pos="-1440"/>
          <w:tab w:val="left" w:pos="-720"/>
        </w:tabs>
        <w:jc w:val="both"/>
        <w:rPr>
          <w:rFonts w:eastAsia="Times New Roman" w:cs="Times New Roman"/>
          <w:sz w:val="20"/>
          <w:szCs w:val="20"/>
          <w:lang w:val="fr-CA" w:eastAsia="en-CA"/>
        </w:rPr>
      </w:pPr>
    </w:p>
    <w:p w:rsidR="008B79EB" w:rsidRPr="002F2423" w:rsidRDefault="008B79EB" w:rsidP="008B79EB">
      <w:pPr>
        <w:tabs>
          <w:tab w:val="left" w:pos="-1440"/>
          <w:tab w:val="left" w:pos="-720"/>
        </w:tabs>
        <w:jc w:val="both"/>
        <w:rPr>
          <w:rFonts w:eastAsia="Times New Roman" w:cs="Times New Roman"/>
          <w:sz w:val="20"/>
          <w:szCs w:val="20"/>
          <w:lang w:val="fr-CA" w:eastAsia="en-CA"/>
        </w:rPr>
      </w:pPr>
      <w:r w:rsidRPr="002F2423">
        <w:rPr>
          <w:rFonts w:eastAsia="Times New Roman" w:cs="Times New Roman"/>
          <w:sz w:val="20"/>
          <w:szCs w:val="20"/>
          <w:lang w:val="fr-CA" w:eastAsia="en-CA"/>
        </w:rPr>
        <w:t>Before / Devant :   GASCON J. / LE JUGE GASCON</w:t>
      </w:r>
    </w:p>
    <w:p w:rsidR="008B79EB" w:rsidRPr="002F2423" w:rsidRDefault="008B79EB" w:rsidP="008B79EB">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8B79EB" w:rsidRPr="008B79EB" w:rsidTr="00C71934">
        <w:tc>
          <w:tcPr>
            <w:tcW w:w="4338" w:type="dxa"/>
            <w:gridSpan w:val="2"/>
          </w:tcPr>
          <w:p w:rsidR="008B79EB" w:rsidRPr="002F2423" w:rsidRDefault="008B79EB" w:rsidP="00C71934">
            <w:pPr>
              <w:jc w:val="both"/>
              <w:rPr>
                <w:b/>
              </w:rPr>
            </w:pPr>
            <w:r w:rsidRPr="002F2423">
              <w:rPr>
                <w:b/>
                <w:lang w:val="en-US"/>
              </w:rPr>
              <w:t xml:space="preserve">Order on interventions with respect to oral argument </w:t>
            </w:r>
            <w:r w:rsidR="00286B88" w:rsidRPr="002F2423">
              <w:rPr>
                <w:b/>
                <w:lang w:val="en-US"/>
              </w:rPr>
              <w:fldChar w:fldCharType="begin"/>
            </w:r>
            <w:r w:rsidRPr="002F2423">
              <w:rPr>
                <w:b/>
              </w:rPr>
              <w:instrText xml:space="preserve"> SEQ CHAPTER \h \r 1</w:instrText>
            </w:r>
            <w:r w:rsidR="00286B88" w:rsidRPr="002F2423">
              <w:rPr>
                <w:b/>
                <w:lang w:val="en-US"/>
              </w:rPr>
              <w:fldChar w:fldCharType="end"/>
            </w:r>
          </w:p>
        </w:tc>
        <w:tc>
          <w:tcPr>
            <w:tcW w:w="1170" w:type="dxa"/>
          </w:tcPr>
          <w:p w:rsidR="008B79EB" w:rsidRPr="002F2423" w:rsidRDefault="008B79EB" w:rsidP="00C71934"/>
          <w:p w:rsidR="008B79EB" w:rsidRPr="002F2423" w:rsidRDefault="008B79EB" w:rsidP="00C71934"/>
          <w:p w:rsidR="008B79EB" w:rsidRPr="002F2423" w:rsidRDefault="008B79EB" w:rsidP="00C71934"/>
        </w:tc>
        <w:tc>
          <w:tcPr>
            <w:tcW w:w="4327" w:type="dxa"/>
          </w:tcPr>
          <w:p w:rsidR="008B79EB" w:rsidRPr="002F2423" w:rsidRDefault="008B79EB" w:rsidP="00C71934">
            <w:pPr>
              <w:jc w:val="both"/>
              <w:rPr>
                <w:b/>
                <w:lang w:val="fr-CA"/>
              </w:rPr>
            </w:pPr>
            <w:r w:rsidRPr="002F2423">
              <w:rPr>
                <w:b/>
                <w:lang w:val="fr-CA"/>
              </w:rPr>
              <w:t>Ordonnance relative à la présentation d’une plaidoirie orale par les intervenants</w:t>
            </w:r>
            <w:r w:rsidR="00286B88" w:rsidRPr="002F2423">
              <w:rPr>
                <w:b/>
                <w:lang w:val="en-US"/>
              </w:rPr>
              <w:fldChar w:fldCharType="begin"/>
            </w:r>
            <w:r w:rsidRPr="002F2423">
              <w:rPr>
                <w:b/>
                <w:lang w:val="fr-CA"/>
              </w:rPr>
              <w:instrText xml:space="preserve"> SEQ CHAPTER \h \r 1</w:instrText>
            </w:r>
            <w:r w:rsidR="00286B88" w:rsidRPr="002F2423">
              <w:rPr>
                <w:b/>
                <w:lang w:val="en-US"/>
              </w:rPr>
              <w:fldChar w:fldCharType="end"/>
            </w:r>
          </w:p>
        </w:tc>
      </w:tr>
      <w:tr w:rsidR="008B79EB" w:rsidRPr="002F2423" w:rsidTr="00C71934">
        <w:trPr>
          <w:trHeight w:hRule="exact" w:val="576"/>
        </w:trPr>
        <w:tc>
          <w:tcPr>
            <w:tcW w:w="1368" w:type="dxa"/>
          </w:tcPr>
          <w:p w:rsidR="008B79EB" w:rsidRPr="002F2423" w:rsidRDefault="008B79EB" w:rsidP="00C71934">
            <w:r w:rsidRPr="002F2423">
              <w:t>RE:</w:t>
            </w:r>
          </w:p>
        </w:tc>
        <w:tc>
          <w:tcPr>
            <w:tcW w:w="2970" w:type="dxa"/>
          </w:tcPr>
          <w:p w:rsidR="008B79EB" w:rsidRPr="002F2423" w:rsidRDefault="008B79EB" w:rsidP="00C71934">
            <w:r w:rsidRPr="002F2423">
              <w:t>Amnesty International (Canadian Section, English Branch);</w:t>
            </w:r>
          </w:p>
        </w:tc>
        <w:tc>
          <w:tcPr>
            <w:tcW w:w="1170" w:type="dxa"/>
          </w:tcPr>
          <w:p w:rsidR="008B79EB" w:rsidRPr="002F2423" w:rsidRDefault="008B79EB" w:rsidP="00C71934"/>
        </w:tc>
        <w:tc>
          <w:tcPr>
            <w:tcW w:w="4327" w:type="dxa"/>
          </w:tcPr>
          <w:p w:rsidR="008B79EB" w:rsidRPr="002F2423" w:rsidRDefault="008B79EB" w:rsidP="00C71934"/>
        </w:tc>
      </w:tr>
      <w:tr w:rsidR="008B79EB" w:rsidRPr="002F2423" w:rsidTr="00C71934">
        <w:trPr>
          <w:trHeight w:hRule="exact" w:val="576"/>
        </w:trPr>
        <w:tc>
          <w:tcPr>
            <w:tcW w:w="1368" w:type="dxa"/>
          </w:tcPr>
          <w:p w:rsidR="008B79EB" w:rsidRPr="002F2423" w:rsidRDefault="008B79EB" w:rsidP="00C71934"/>
        </w:tc>
        <w:tc>
          <w:tcPr>
            <w:tcW w:w="2970" w:type="dxa"/>
          </w:tcPr>
          <w:p w:rsidR="008B79EB" w:rsidRPr="002F2423" w:rsidRDefault="008B79EB" w:rsidP="00C71934">
            <w:r w:rsidRPr="002F2423">
              <w:rPr>
                <w:lang w:val="en-US"/>
              </w:rPr>
              <w:t>Canadian Civil Liberties Association;</w:t>
            </w:r>
          </w:p>
        </w:tc>
        <w:tc>
          <w:tcPr>
            <w:tcW w:w="1170" w:type="dxa"/>
          </w:tcPr>
          <w:p w:rsidR="008B79EB" w:rsidRPr="002F2423" w:rsidRDefault="008B79EB" w:rsidP="00C71934"/>
        </w:tc>
        <w:tc>
          <w:tcPr>
            <w:tcW w:w="4327" w:type="dxa"/>
          </w:tcPr>
          <w:p w:rsidR="008B79EB" w:rsidRPr="002F2423" w:rsidRDefault="008B79EB" w:rsidP="00C71934"/>
        </w:tc>
      </w:tr>
      <w:tr w:rsidR="008B79EB" w:rsidRPr="002F2423" w:rsidTr="00C71934">
        <w:trPr>
          <w:trHeight w:hRule="exact" w:val="576"/>
        </w:trPr>
        <w:tc>
          <w:tcPr>
            <w:tcW w:w="1368" w:type="dxa"/>
          </w:tcPr>
          <w:p w:rsidR="008B79EB" w:rsidRPr="002F2423" w:rsidRDefault="008B79EB" w:rsidP="00C71934"/>
        </w:tc>
        <w:tc>
          <w:tcPr>
            <w:tcW w:w="2970" w:type="dxa"/>
          </w:tcPr>
          <w:p w:rsidR="008B79EB" w:rsidRPr="002F2423" w:rsidRDefault="008B79EB" w:rsidP="00C71934">
            <w:pPr>
              <w:rPr>
                <w:lang w:val="en-US"/>
              </w:rPr>
            </w:pPr>
            <w:r w:rsidRPr="002F2423">
              <w:t>British Columbia Civil Liberties Association;</w:t>
            </w:r>
          </w:p>
        </w:tc>
        <w:tc>
          <w:tcPr>
            <w:tcW w:w="1170" w:type="dxa"/>
          </w:tcPr>
          <w:p w:rsidR="008B79EB" w:rsidRPr="002F2423" w:rsidRDefault="008B79EB" w:rsidP="00C71934"/>
        </w:tc>
        <w:tc>
          <w:tcPr>
            <w:tcW w:w="4327" w:type="dxa"/>
          </w:tcPr>
          <w:p w:rsidR="008B79EB" w:rsidRPr="002F2423" w:rsidRDefault="008B79EB" w:rsidP="00C71934"/>
        </w:tc>
      </w:tr>
      <w:tr w:rsidR="008B79EB" w:rsidRPr="002F2423" w:rsidTr="00C71934">
        <w:trPr>
          <w:trHeight w:hRule="exact" w:val="360"/>
        </w:trPr>
        <w:tc>
          <w:tcPr>
            <w:tcW w:w="1368" w:type="dxa"/>
          </w:tcPr>
          <w:p w:rsidR="008B79EB" w:rsidRPr="002F2423" w:rsidRDefault="008B79EB" w:rsidP="00C71934"/>
        </w:tc>
        <w:tc>
          <w:tcPr>
            <w:tcW w:w="2970" w:type="dxa"/>
          </w:tcPr>
          <w:p w:rsidR="008B79EB" w:rsidRPr="002F2423" w:rsidRDefault="008B79EB" w:rsidP="00C71934">
            <w:r w:rsidRPr="002F2423">
              <w:t>Canadian Council for Refugees;</w:t>
            </w:r>
          </w:p>
        </w:tc>
        <w:tc>
          <w:tcPr>
            <w:tcW w:w="1170" w:type="dxa"/>
          </w:tcPr>
          <w:p w:rsidR="008B79EB" w:rsidRPr="002F2423" w:rsidRDefault="008B79EB" w:rsidP="00C71934"/>
        </w:tc>
        <w:tc>
          <w:tcPr>
            <w:tcW w:w="4327" w:type="dxa"/>
          </w:tcPr>
          <w:p w:rsidR="008B79EB" w:rsidRPr="002F2423" w:rsidRDefault="008B79EB" w:rsidP="00C71934"/>
        </w:tc>
      </w:tr>
      <w:tr w:rsidR="008B79EB" w:rsidRPr="002F2423" w:rsidTr="00C71934">
        <w:trPr>
          <w:trHeight w:hRule="exact" w:val="576"/>
        </w:trPr>
        <w:tc>
          <w:tcPr>
            <w:tcW w:w="1368" w:type="dxa"/>
          </w:tcPr>
          <w:p w:rsidR="008B79EB" w:rsidRPr="002F2423" w:rsidRDefault="008B79EB" w:rsidP="00C71934"/>
        </w:tc>
        <w:tc>
          <w:tcPr>
            <w:tcW w:w="2970" w:type="dxa"/>
          </w:tcPr>
          <w:p w:rsidR="008B79EB" w:rsidRPr="002F2423" w:rsidRDefault="008B79EB" w:rsidP="00C71934">
            <w:r w:rsidRPr="002F2423">
              <w:t>Canadian Association of Refugee Lawyers</w:t>
            </w:r>
          </w:p>
        </w:tc>
        <w:tc>
          <w:tcPr>
            <w:tcW w:w="1170" w:type="dxa"/>
          </w:tcPr>
          <w:p w:rsidR="008B79EB" w:rsidRPr="002F2423" w:rsidRDefault="008B79EB" w:rsidP="00C71934"/>
        </w:tc>
        <w:tc>
          <w:tcPr>
            <w:tcW w:w="4327" w:type="dxa"/>
          </w:tcPr>
          <w:p w:rsidR="008B79EB" w:rsidRPr="002F2423" w:rsidRDefault="008B79EB" w:rsidP="00C71934"/>
        </w:tc>
      </w:tr>
      <w:tr w:rsidR="008B79EB" w:rsidRPr="002F2423" w:rsidTr="00C71934">
        <w:tc>
          <w:tcPr>
            <w:tcW w:w="1368" w:type="dxa"/>
          </w:tcPr>
          <w:p w:rsidR="008B79EB" w:rsidRPr="002F2423" w:rsidRDefault="008B79EB" w:rsidP="00C71934"/>
        </w:tc>
        <w:tc>
          <w:tcPr>
            <w:tcW w:w="2970" w:type="dxa"/>
          </w:tcPr>
          <w:p w:rsidR="008B79EB" w:rsidRPr="002F2423" w:rsidRDefault="008B79EB" w:rsidP="00C71934"/>
        </w:tc>
        <w:tc>
          <w:tcPr>
            <w:tcW w:w="1170" w:type="dxa"/>
          </w:tcPr>
          <w:p w:rsidR="008B79EB" w:rsidRPr="002F2423" w:rsidRDefault="008B79EB" w:rsidP="00C71934"/>
        </w:tc>
        <w:tc>
          <w:tcPr>
            <w:tcW w:w="4327" w:type="dxa"/>
          </w:tcPr>
          <w:p w:rsidR="008B79EB" w:rsidRPr="002F2423" w:rsidRDefault="008B79EB" w:rsidP="00C71934"/>
        </w:tc>
      </w:tr>
      <w:tr w:rsidR="008B79EB" w:rsidRPr="002F2423" w:rsidTr="00C71934">
        <w:tc>
          <w:tcPr>
            <w:tcW w:w="1368" w:type="dxa"/>
          </w:tcPr>
          <w:p w:rsidR="008B79EB" w:rsidRPr="002F2423" w:rsidRDefault="008B79EB" w:rsidP="00C71934">
            <w:r w:rsidRPr="002F2423">
              <w:t>IN / DANS :</w:t>
            </w:r>
          </w:p>
        </w:tc>
        <w:tc>
          <w:tcPr>
            <w:tcW w:w="2970" w:type="dxa"/>
          </w:tcPr>
          <w:p w:rsidR="008B79EB" w:rsidRPr="002F2423" w:rsidRDefault="008B79EB" w:rsidP="00C71934">
            <w:pPr>
              <w:rPr>
                <w:lang w:val="fr-CA"/>
              </w:rPr>
            </w:pPr>
            <w:r w:rsidRPr="002F2423">
              <w:rPr>
                <w:lang w:val="fr-CA"/>
              </w:rPr>
              <w:t>Francis Anthonimuthu Appulonappa et al.</w:t>
            </w:r>
          </w:p>
          <w:p w:rsidR="008B79EB" w:rsidRPr="002F2423" w:rsidRDefault="008B79EB" w:rsidP="00C71934">
            <w:pPr>
              <w:rPr>
                <w:lang w:val="fr-CA"/>
              </w:rPr>
            </w:pPr>
          </w:p>
          <w:p w:rsidR="008B79EB" w:rsidRPr="002F2423" w:rsidRDefault="008B79EB" w:rsidP="00C71934">
            <w:r w:rsidRPr="002F2423">
              <w:rPr>
                <w:lang w:val="fr-CA"/>
              </w:rPr>
              <w:tab/>
            </w:r>
            <w:r w:rsidRPr="002F2423">
              <w:t>v. (35958)</w:t>
            </w:r>
          </w:p>
          <w:p w:rsidR="008B79EB" w:rsidRPr="002F2423" w:rsidRDefault="008B79EB" w:rsidP="00C71934"/>
          <w:p w:rsidR="008B79EB" w:rsidRPr="002F2423" w:rsidRDefault="008B79EB" w:rsidP="00C71934">
            <w:r w:rsidRPr="002F2423">
              <w:t xml:space="preserve">Her Majesty the Queen et al. </w:t>
            </w:r>
            <w:r w:rsidRPr="002F2423">
              <w:rPr>
                <w:lang w:val="fr-CA"/>
              </w:rPr>
              <w:t>(Crim.) (B.C.)</w:t>
            </w:r>
          </w:p>
        </w:tc>
        <w:tc>
          <w:tcPr>
            <w:tcW w:w="1170" w:type="dxa"/>
          </w:tcPr>
          <w:p w:rsidR="008B79EB" w:rsidRPr="002F2423" w:rsidRDefault="008B79EB" w:rsidP="00C71934"/>
        </w:tc>
        <w:tc>
          <w:tcPr>
            <w:tcW w:w="4327" w:type="dxa"/>
          </w:tcPr>
          <w:p w:rsidR="008B79EB" w:rsidRPr="002F2423" w:rsidRDefault="008B79EB" w:rsidP="00C71934"/>
        </w:tc>
      </w:tr>
    </w:tbl>
    <w:p w:rsidR="008B79EB" w:rsidRPr="002F2423" w:rsidRDefault="008B79EB" w:rsidP="008B79EB">
      <w:pPr>
        <w:tabs>
          <w:tab w:val="left" w:pos="-1440"/>
          <w:tab w:val="left" w:pos="-720"/>
        </w:tabs>
        <w:jc w:val="both"/>
        <w:rPr>
          <w:rFonts w:eastAsia="Times New Roman" w:cs="Times New Roman"/>
          <w:sz w:val="20"/>
          <w:szCs w:val="20"/>
          <w:lang w:val="fr-CA" w:eastAsia="en-CA"/>
        </w:rPr>
      </w:pPr>
    </w:p>
    <w:p w:rsidR="008B79EB" w:rsidRPr="002F2423" w:rsidRDefault="008B79EB" w:rsidP="008B79EB">
      <w:pPr>
        <w:spacing w:line="233" w:lineRule="auto"/>
        <w:jc w:val="both"/>
        <w:rPr>
          <w:rFonts w:eastAsia="Times New Roman" w:cs="Times New Roman"/>
          <w:sz w:val="20"/>
          <w:szCs w:val="20"/>
          <w:lang w:val="en-US" w:eastAsia="en-CA"/>
        </w:rPr>
      </w:pPr>
      <w:r w:rsidRPr="002F2423">
        <w:rPr>
          <w:rFonts w:eastAsia="Times New Roman" w:cs="Times New Roman"/>
          <w:b/>
          <w:sz w:val="20"/>
          <w:szCs w:val="20"/>
          <w:lang w:val="en-US" w:eastAsia="en-CA"/>
        </w:rPr>
        <w:t>FURTHER TO THE ORDER</w:t>
      </w:r>
      <w:r w:rsidRPr="002F2423">
        <w:rPr>
          <w:rFonts w:eastAsia="Times New Roman" w:cs="Times New Roman"/>
          <w:sz w:val="20"/>
          <w:szCs w:val="20"/>
          <w:lang w:val="en-US" w:eastAsia="en-CA"/>
        </w:rPr>
        <w:t xml:space="preserve"> dated November 27, 2014, granting leave to intervene to</w:t>
      </w:r>
      <w:r w:rsidRPr="002F2423">
        <w:rPr>
          <w:rFonts w:eastAsia="Times New Roman" w:cs="Times New Roman"/>
          <w:sz w:val="20"/>
          <w:szCs w:val="20"/>
          <w:lang w:eastAsia="en-CA"/>
        </w:rPr>
        <w:t xml:space="preserve"> Amnesty International (Canadian Section, English Branch)</w:t>
      </w:r>
      <w:r w:rsidRPr="002F2423">
        <w:rPr>
          <w:rFonts w:eastAsia="Times New Roman" w:cs="Times New Roman"/>
          <w:sz w:val="20"/>
          <w:szCs w:val="20"/>
          <w:lang w:val="en-US" w:eastAsia="en-CA"/>
        </w:rPr>
        <w:t>;</w:t>
      </w:r>
    </w:p>
    <w:p w:rsidR="008B79EB" w:rsidRPr="002F2423" w:rsidRDefault="008B79EB" w:rsidP="008B79EB">
      <w:pPr>
        <w:spacing w:line="233" w:lineRule="auto"/>
        <w:jc w:val="both"/>
        <w:rPr>
          <w:rFonts w:eastAsia="Times New Roman" w:cs="Times New Roman"/>
          <w:sz w:val="20"/>
          <w:szCs w:val="20"/>
          <w:lang w:val="en-US" w:eastAsia="en-CA"/>
        </w:rPr>
      </w:pPr>
    </w:p>
    <w:p w:rsidR="008B79EB" w:rsidRPr="002F2423" w:rsidRDefault="008B79EB" w:rsidP="008B79EB">
      <w:pPr>
        <w:spacing w:line="233" w:lineRule="auto"/>
        <w:jc w:val="both"/>
        <w:rPr>
          <w:rFonts w:eastAsia="Times New Roman" w:cs="Times New Roman"/>
          <w:sz w:val="20"/>
          <w:szCs w:val="20"/>
          <w:lang w:val="en-US" w:eastAsia="en-CA"/>
        </w:rPr>
      </w:pPr>
      <w:r w:rsidRPr="002F2423">
        <w:rPr>
          <w:rFonts w:eastAsia="Times New Roman" w:cs="Times New Roman"/>
          <w:b/>
          <w:sz w:val="20"/>
          <w:szCs w:val="20"/>
          <w:lang w:val="en-US" w:eastAsia="en-CA"/>
        </w:rPr>
        <w:t xml:space="preserve">AND FURTHER TO THE ORDER </w:t>
      </w:r>
      <w:r w:rsidRPr="002F2423">
        <w:rPr>
          <w:rFonts w:eastAsia="Times New Roman" w:cs="Times New Roman"/>
          <w:sz w:val="20"/>
          <w:szCs w:val="20"/>
          <w:lang w:val="en-US" w:eastAsia="en-CA"/>
        </w:rPr>
        <w:t>dated</w:t>
      </w:r>
      <w:r w:rsidRPr="002F2423">
        <w:rPr>
          <w:rFonts w:eastAsia="Times New Roman" w:cs="Times New Roman"/>
          <w:b/>
          <w:sz w:val="20"/>
          <w:szCs w:val="20"/>
          <w:lang w:val="en-US" w:eastAsia="en-CA"/>
        </w:rPr>
        <w:t xml:space="preserve"> </w:t>
      </w:r>
      <w:r w:rsidRPr="002F2423">
        <w:rPr>
          <w:rFonts w:eastAsia="Times New Roman" w:cs="Times New Roman"/>
          <w:sz w:val="20"/>
          <w:szCs w:val="20"/>
          <w:lang w:val="en-US" w:eastAsia="en-CA"/>
        </w:rPr>
        <w:t>January 7, 2015, granting leave to intervene to</w:t>
      </w:r>
      <w:r w:rsidRPr="002F2423">
        <w:rPr>
          <w:rFonts w:eastAsia="Times New Roman" w:cs="Times New Roman"/>
          <w:sz w:val="20"/>
          <w:szCs w:val="20"/>
          <w:lang w:eastAsia="en-CA"/>
        </w:rPr>
        <w:t xml:space="preserve"> the Canadian Civil Liberties Association, the British Columbia Civil Liberties Association, the Canadian Council for Refugees and the Canadian Association of Refugee Lawyers</w:t>
      </w:r>
      <w:r w:rsidRPr="002F2423">
        <w:rPr>
          <w:rFonts w:eastAsia="Times New Roman" w:cs="Times New Roman"/>
          <w:sz w:val="20"/>
          <w:szCs w:val="20"/>
          <w:lang w:val="en-US" w:eastAsia="en-CA"/>
        </w:rPr>
        <w:t>;</w:t>
      </w:r>
    </w:p>
    <w:p w:rsidR="008B79EB" w:rsidRPr="002F2423" w:rsidRDefault="008B79EB" w:rsidP="008B79EB">
      <w:pPr>
        <w:spacing w:line="233" w:lineRule="auto"/>
        <w:jc w:val="both"/>
        <w:rPr>
          <w:rFonts w:eastAsia="Times New Roman" w:cs="Times New Roman"/>
          <w:b/>
          <w:bCs/>
          <w:sz w:val="20"/>
          <w:szCs w:val="20"/>
          <w:lang w:val="en-US" w:eastAsia="en-CA"/>
        </w:rPr>
      </w:pPr>
      <w:r w:rsidRPr="002F2423">
        <w:rPr>
          <w:rFonts w:eastAsia="Times New Roman" w:cs="Times New Roman"/>
          <w:b/>
          <w:bCs/>
          <w:sz w:val="20"/>
          <w:szCs w:val="20"/>
          <w:lang w:val="en-US" w:eastAsia="en-CA"/>
        </w:rPr>
        <w:lastRenderedPageBreak/>
        <w:t xml:space="preserve">IT IS HEREBY FURTHER ORDERED THAT: </w:t>
      </w:r>
    </w:p>
    <w:p w:rsidR="008B79EB" w:rsidRPr="002F2423" w:rsidRDefault="008B79EB" w:rsidP="008B79EB">
      <w:pPr>
        <w:spacing w:line="233" w:lineRule="auto"/>
        <w:jc w:val="both"/>
        <w:rPr>
          <w:rFonts w:eastAsia="Times New Roman" w:cs="Times New Roman"/>
          <w:b/>
          <w:bCs/>
          <w:sz w:val="20"/>
          <w:szCs w:val="20"/>
          <w:lang w:val="en-US" w:eastAsia="en-CA"/>
        </w:rPr>
      </w:pPr>
    </w:p>
    <w:p w:rsidR="008B79EB" w:rsidRPr="002F2423" w:rsidRDefault="008B79EB" w:rsidP="008B79EB">
      <w:pPr>
        <w:widowControl w:val="0"/>
        <w:numPr>
          <w:ilvl w:val="0"/>
          <w:numId w:val="7"/>
        </w:numPr>
        <w:autoSpaceDE w:val="0"/>
        <w:autoSpaceDN w:val="0"/>
        <w:adjustRightInd w:val="0"/>
        <w:spacing w:line="233" w:lineRule="auto"/>
        <w:contextualSpacing/>
        <w:jc w:val="both"/>
        <w:rPr>
          <w:rFonts w:cs="Times New Roman"/>
          <w:sz w:val="20"/>
          <w:szCs w:val="20"/>
        </w:rPr>
      </w:pPr>
      <w:r w:rsidRPr="002F2423">
        <w:rPr>
          <w:rFonts w:cs="Times New Roman"/>
          <w:sz w:val="20"/>
          <w:szCs w:val="20"/>
        </w:rPr>
        <w:t>Amnesty International (Canadian Section, English Branch), the Canadian Civil Liberties Association, the Canadian Council for Refugees and the Canadian Association of Refugee Lawyers are each granted permission to present oral argument not exceeding five (5) minutes at the hearing of the appeal.</w:t>
      </w:r>
    </w:p>
    <w:p w:rsidR="008B79EB" w:rsidRPr="002F2423" w:rsidRDefault="008B79EB" w:rsidP="008B79EB">
      <w:pPr>
        <w:spacing w:line="233" w:lineRule="auto"/>
        <w:jc w:val="both"/>
        <w:rPr>
          <w:rFonts w:eastAsia="Times New Roman" w:cs="Times New Roman"/>
          <w:sz w:val="20"/>
          <w:szCs w:val="20"/>
          <w:lang w:val="en-US" w:eastAsia="en-CA"/>
        </w:rPr>
      </w:pPr>
    </w:p>
    <w:p w:rsidR="008B79EB" w:rsidRPr="002F2423" w:rsidRDefault="008B79EB" w:rsidP="008B79EB">
      <w:pPr>
        <w:widowControl w:val="0"/>
        <w:numPr>
          <w:ilvl w:val="0"/>
          <w:numId w:val="7"/>
        </w:numPr>
        <w:autoSpaceDE w:val="0"/>
        <w:autoSpaceDN w:val="0"/>
        <w:adjustRightInd w:val="0"/>
        <w:spacing w:line="233" w:lineRule="auto"/>
        <w:contextualSpacing/>
        <w:jc w:val="both"/>
        <w:rPr>
          <w:rFonts w:cs="Times New Roman"/>
          <w:sz w:val="20"/>
          <w:szCs w:val="20"/>
        </w:rPr>
      </w:pPr>
      <w:r w:rsidRPr="002F2423">
        <w:rPr>
          <w:rFonts w:cs="Times New Roman"/>
          <w:sz w:val="20"/>
          <w:szCs w:val="20"/>
        </w:rPr>
        <w:t>The British Columbia Civil Liberties Association is granted permission to present oral argument not exceeding ten (10) minutes at the hearing of the appeal.</w:t>
      </w:r>
    </w:p>
    <w:p w:rsidR="008B79EB" w:rsidRPr="002F2423" w:rsidRDefault="008B79EB" w:rsidP="008B79EB">
      <w:pPr>
        <w:spacing w:line="233" w:lineRule="auto"/>
        <w:jc w:val="both"/>
        <w:rPr>
          <w:rFonts w:eastAsia="Times New Roman" w:cs="Times New Roman"/>
          <w:sz w:val="20"/>
          <w:szCs w:val="20"/>
          <w:lang w:val="en-US" w:eastAsia="en-CA"/>
        </w:rPr>
      </w:pPr>
    </w:p>
    <w:p w:rsidR="008B79EB" w:rsidRPr="002F2423" w:rsidRDefault="008B79EB" w:rsidP="008B79EB">
      <w:pPr>
        <w:spacing w:line="233" w:lineRule="auto"/>
        <w:jc w:val="both"/>
        <w:rPr>
          <w:rFonts w:eastAsia="Times New Roman" w:cs="Times New Roman"/>
          <w:sz w:val="20"/>
          <w:szCs w:val="20"/>
          <w:lang w:val="en-US" w:eastAsia="en-CA"/>
        </w:rPr>
      </w:pPr>
    </w:p>
    <w:p w:rsidR="008B79EB" w:rsidRPr="002F2423" w:rsidRDefault="008B79EB" w:rsidP="008B79EB">
      <w:pPr>
        <w:spacing w:line="233" w:lineRule="auto"/>
        <w:jc w:val="both"/>
        <w:rPr>
          <w:rFonts w:eastAsia="Times New Roman" w:cs="Times New Roman"/>
          <w:sz w:val="20"/>
          <w:szCs w:val="20"/>
          <w:lang w:val="en-US" w:eastAsia="en-CA"/>
        </w:rPr>
      </w:pPr>
    </w:p>
    <w:p w:rsidR="008B79EB" w:rsidRPr="002F2423" w:rsidRDefault="008B79EB" w:rsidP="008B79EB">
      <w:pPr>
        <w:spacing w:line="233" w:lineRule="auto"/>
        <w:jc w:val="both"/>
        <w:rPr>
          <w:rFonts w:eastAsia="Times New Roman" w:cs="Times New Roman"/>
          <w:sz w:val="20"/>
          <w:szCs w:val="20"/>
          <w:lang w:val="fr-CA" w:eastAsia="en-CA"/>
        </w:rPr>
      </w:pPr>
      <w:r w:rsidRPr="002F2423">
        <w:rPr>
          <w:rFonts w:eastAsia="Times New Roman" w:cs="Times New Roman"/>
          <w:b/>
          <w:sz w:val="20"/>
          <w:szCs w:val="20"/>
          <w:lang w:val="fr-CA" w:eastAsia="en-CA"/>
        </w:rPr>
        <w:t>À LA SUITE DE L’ORDONNANCE</w:t>
      </w:r>
      <w:r w:rsidRPr="002F2423">
        <w:rPr>
          <w:rFonts w:eastAsia="Times New Roman" w:cs="Times New Roman"/>
          <w:sz w:val="20"/>
          <w:szCs w:val="20"/>
          <w:lang w:val="fr-CA" w:eastAsia="en-CA"/>
        </w:rPr>
        <w:t xml:space="preserve"> datée du 27 novembre 2014 autorisant Amnistie internationale, Section canadienne (anglophone) à intervenir;</w:t>
      </w:r>
    </w:p>
    <w:p w:rsidR="008B79EB" w:rsidRPr="002F2423" w:rsidRDefault="008B79EB" w:rsidP="008B79EB">
      <w:pPr>
        <w:spacing w:line="233" w:lineRule="auto"/>
        <w:jc w:val="both"/>
        <w:rPr>
          <w:rFonts w:eastAsia="Times New Roman" w:cs="Times New Roman"/>
          <w:sz w:val="20"/>
          <w:szCs w:val="20"/>
          <w:lang w:val="fr-CA" w:eastAsia="en-CA"/>
        </w:rPr>
      </w:pPr>
    </w:p>
    <w:p w:rsidR="008B79EB" w:rsidRPr="002F2423" w:rsidRDefault="008B79EB" w:rsidP="008B79EB">
      <w:pPr>
        <w:spacing w:line="233" w:lineRule="auto"/>
        <w:jc w:val="both"/>
        <w:rPr>
          <w:rFonts w:eastAsia="Times New Roman" w:cs="Times New Roman"/>
          <w:sz w:val="20"/>
          <w:szCs w:val="20"/>
          <w:lang w:val="fr-CA" w:eastAsia="en-CA"/>
        </w:rPr>
      </w:pPr>
      <w:r w:rsidRPr="002F2423">
        <w:rPr>
          <w:rFonts w:eastAsia="Times New Roman" w:cs="Times New Roman"/>
          <w:b/>
          <w:sz w:val="20"/>
          <w:szCs w:val="20"/>
          <w:lang w:val="fr-CA" w:eastAsia="en-CA"/>
        </w:rPr>
        <w:t>ET À LA SUITE DE L’ORDONNANCE</w:t>
      </w:r>
      <w:r w:rsidRPr="002F2423">
        <w:rPr>
          <w:rFonts w:eastAsia="Times New Roman" w:cs="Times New Roman"/>
          <w:sz w:val="20"/>
          <w:szCs w:val="20"/>
          <w:lang w:val="fr-CA" w:eastAsia="en-CA"/>
        </w:rPr>
        <w:t xml:space="preserve"> datée du 7 janvier 2015 autorisant l’Association canadienne des libertés civiles, l’Association des libertés civiles de la Colombie-Britannique, le Conseil canadien pour les réfugiés et l’Association canadienne des avocats et avocates en droit des réfugiés à intervenir;</w:t>
      </w:r>
    </w:p>
    <w:p w:rsidR="008B79EB" w:rsidRPr="002F2423" w:rsidRDefault="008B79EB" w:rsidP="008B79EB">
      <w:pPr>
        <w:spacing w:line="233" w:lineRule="auto"/>
        <w:jc w:val="both"/>
        <w:rPr>
          <w:rFonts w:eastAsia="Times New Roman" w:cs="Times New Roman"/>
          <w:sz w:val="20"/>
          <w:szCs w:val="20"/>
          <w:lang w:val="fr-CA" w:eastAsia="en-CA"/>
        </w:rPr>
      </w:pPr>
    </w:p>
    <w:p w:rsidR="008B79EB" w:rsidRPr="002F2423" w:rsidRDefault="008B79EB" w:rsidP="008B79EB">
      <w:pPr>
        <w:spacing w:line="233" w:lineRule="auto"/>
        <w:jc w:val="both"/>
        <w:rPr>
          <w:rFonts w:eastAsia="Times New Roman" w:cs="Times New Roman"/>
          <w:sz w:val="20"/>
          <w:szCs w:val="20"/>
          <w:lang w:val="fr-CA" w:eastAsia="en-CA"/>
        </w:rPr>
      </w:pPr>
      <w:r w:rsidRPr="002F2423">
        <w:rPr>
          <w:rFonts w:eastAsia="Times New Roman" w:cs="Times New Roman"/>
          <w:b/>
          <w:sz w:val="20"/>
          <w:szCs w:val="20"/>
          <w:lang w:val="fr-CA" w:eastAsia="en-CA"/>
        </w:rPr>
        <w:t>IL EST EN OUTRE ORDONNÉ CE QUI SUIT</w:t>
      </w:r>
      <w:r w:rsidRPr="002F2423">
        <w:rPr>
          <w:rFonts w:eastAsia="Times New Roman" w:cs="Times New Roman"/>
          <w:sz w:val="20"/>
          <w:szCs w:val="20"/>
          <w:lang w:val="fr-CA" w:eastAsia="en-CA"/>
        </w:rPr>
        <w:t xml:space="preserve"> : </w:t>
      </w:r>
    </w:p>
    <w:p w:rsidR="008B79EB" w:rsidRPr="002F2423" w:rsidRDefault="008B79EB" w:rsidP="008B79EB">
      <w:pPr>
        <w:spacing w:line="233" w:lineRule="auto"/>
        <w:jc w:val="both"/>
        <w:rPr>
          <w:rFonts w:eastAsia="Times New Roman" w:cs="Times New Roman"/>
          <w:b/>
          <w:bCs/>
          <w:sz w:val="20"/>
          <w:szCs w:val="20"/>
          <w:lang w:val="fr-CA" w:eastAsia="en-CA"/>
        </w:rPr>
      </w:pPr>
    </w:p>
    <w:p w:rsidR="008B79EB" w:rsidRPr="002F2423" w:rsidRDefault="008B79EB" w:rsidP="00C622BC">
      <w:pPr>
        <w:widowControl w:val="0"/>
        <w:numPr>
          <w:ilvl w:val="0"/>
          <w:numId w:val="12"/>
        </w:numPr>
        <w:autoSpaceDE w:val="0"/>
        <w:autoSpaceDN w:val="0"/>
        <w:adjustRightInd w:val="0"/>
        <w:spacing w:line="233" w:lineRule="auto"/>
        <w:contextualSpacing/>
        <w:jc w:val="both"/>
        <w:rPr>
          <w:rFonts w:cs="Times New Roman"/>
          <w:sz w:val="20"/>
          <w:szCs w:val="20"/>
          <w:lang w:val="fr-CA"/>
        </w:rPr>
      </w:pPr>
      <w:r w:rsidRPr="002F2423">
        <w:rPr>
          <w:rFonts w:cs="Times New Roman"/>
          <w:sz w:val="20"/>
          <w:szCs w:val="20"/>
          <w:lang w:val="fr-CA"/>
        </w:rPr>
        <w:t xml:space="preserve">Amnistie internationale, Section canadienne (anglophone), l’Association canadienne des libertés civiles, le Conseil canadien pour les réfugiés et l’Association canadienne des avocats et avocates en droit des réfugiés sont chacune autorisée à présenter une plaidoirie orale d’au plus cinq (5) minutes lors de l’audition de l’appel.  </w:t>
      </w:r>
    </w:p>
    <w:p w:rsidR="008B79EB" w:rsidRPr="002F2423" w:rsidRDefault="008B79EB" w:rsidP="008B79EB">
      <w:pPr>
        <w:spacing w:line="233" w:lineRule="auto"/>
        <w:ind w:left="720"/>
        <w:contextualSpacing/>
        <w:jc w:val="both"/>
        <w:rPr>
          <w:rFonts w:cs="Times New Roman"/>
          <w:sz w:val="20"/>
          <w:szCs w:val="20"/>
          <w:lang w:val="fr-CA"/>
        </w:rPr>
      </w:pPr>
    </w:p>
    <w:p w:rsidR="008B79EB" w:rsidRPr="002F2423" w:rsidRDefault="008B79EB" w:rsidP="00C622BC">
      <w:pPr>
        <w:widowControl w:val="0"/>
        <w:numPr>
          <w:ilvl w:val="0"/>
          <w:numId w:val="12"/>
        </w:numPr>
        <w:autoSpaceDE w:val="0"/>
        <w:autoSpaceDN w:val="0"/>
        <w:adjustRightInd w:val="0"/>
        <w:spacing w:line="233" w:lineRule="auto"/>
        <w:contextualSpacing/>
        <w:jc w:val="both"/>
        <w:rPr>
          <w:rFonts w:cs="Times New Roman"/>
          <w:sz w:val="20"/>
          <w:szCs w:val="20"/>
          <w:lang w:val="fr-CA"/>
        </w:rPr>
      </w:pPr>
      <w:r w:rsidRPr="002F2423">
        <w:rPr>
          <w:rFonts w:cs="Times New Roman"/>
          <w:sz w:val="20"/>
          <w:szCs w:val="20"/>
          <w:lang w:val="fr-CA"/>
        </w:rPr>
        <w:t>L’Association des libertés civiles de la Colombie-Britannique est autorisée à présenter une plaidoirie orale d’au plus dix (10) minutes lors de l’audition de l’appel.</w:t>
      </w:r>
    </w:p>
    <w:p w:rsidR="008B79EB" w:rsidRPr="002F2423" w:rsidRDefault="008B79EB" w:rsidP="008B79EB">
      <w:pPr>
        <w:tabs>
          <w:tab w:val="left" w:pos="-1440"/>
          <w:tab w:val="left" w:pos="-720"/>
        </w:tabs>
        <w:jc w:val="both"/>
        <w:rPr>
          <w:rFonts w:eastAsia="Times New Roman" w:cs="Times New Roman"/>
          <w:sz w:val="20"/>
          <w:szCs w:val="20"/>
          <w:lang w:val="fr-CA" w:eastAsia="en-CA"/>
        </w:rPr>
      </w:pPr>
    </w:p>
    <w:p w:rsidR="008B79EB" w:rsidRPr="002F2423" w:rsidRDefault="005A3634" w:rsidP="008B79E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1" style="width:2in;height:1pt" o:hrpct="0" o:hralign="center" o:hrstd="t" o:hrnoshade="t" o:hr="t" fillcolor="black [3213]" stroked="f"/>
        </w:pict>
      </w:r>
    </w:p>
    <w:p w:rsidR="008B79EB" w:rsidRPr="002F2423" w:rsidRDefault="008B79EB" w:rsidP="008B79EB">
      <w:pPr>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sz w:val="20"/>
          <w:szCs w:val="20"/>
          <w:lang w:val="fr-CA" w:eastAsia="en-CA"/>
        </w:rPr>
      </w:pPr>
      <w:r w:rsidRPr="002F2423">
        <w:rPr>
          <w:rFonts w:eastAsia="Times New Roman" w:cs="Times New Roman"/>
          <w:sz w:val="20"/>
          <w:szCs w:val="20"/>
          <w:lang w:val="fr-CA" w:eastAsia="en-CA"/>
        </w:rPr>
        <w:t>09.02.2015</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sz w:val="20"/>
          <w:szCs w:val="20"/>
          <w:lang w:val="fr-CA" w:eastAsia="en-CA"/>
        </w:rPr>
      </w:pPr>
      <w:r w:rsidRPr="002F2423">
        <w:rPr>
          <w:rFonts w:eastAsia="Times New Roman" w:cs="Times New Roman"/>
          <w:sz w:val="20"/>
          <w:szCs w:val="20"/>
          <w:lang w:val="fr-CA" w:eastAsia="en-CA"/>
        </w:rPr>
        <w:t>Before / Devant :   THE CHIEF JUSTICE / LA JUGE EN CHEF</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F2423" w:rsidRPr="008B79EB" w:rsidTr="002F2423">
        <w:tc>
          <w:tcPr>
            <w:tcW w:w="4338" w:type="dxa"/>
          </w:tcPr>
          <w:p w:rsidR="002F2423" w:rsidRPr="002F2423" w:rsidRDefault="00286B88" w:rsidP="002F2423">
            <w:pPr>
              <w:tabs>
                <w:tab w:val="left" w:pos="-1440"/>
                <w:tab w:val="left" w:pos="-720"/>
              </w:tabs>
              <w:jc w:val="both"/>
              <w:rPr>
                <w:b/>
              </w:rPr>
            </w:pPr>
            <w:r w:rsidRPr="002F2423">
              <w:rPr>
                <w:lang w:val="en-US"/>
              </w:rPr>
              <w:fldChar w:fldCharType="begin"/>
            </w:r>
            <w:r w:rsidR="002F2423" w:rsidRPr="002F2423">
              <w:rPr>
                <w:lang w:val="en-US"/>
              </w:rPr>
              <w:instrText xml:space="preserve"> SEQ CHAPTER \h \r 1</w:instrText>
            </w:r>
            <w:r w:rsidRPr="002F2423">
              <w:rPr>
                <w:lang w:val="en-US"/>
              </w:rPr>
              <w:fldChar w:fldCharType="end"/>
            </w:r>
            <w:r w:rsidR="002F2423" w:rsidRPr="002F2423">
              <w:rPr>
                <w:b/>
                <w:bCs/>
                <w:lang w:val="en-US"/>
              </w:rPr>
              <w:t>Motion to state constitutional questions</w:t>
            </w:r>
          </w:p>
        </w:tc>
        <w:tc>
          <w:tcPr>
            <w:tcW w:w="1170" w:type="dxa"/>
          </w:tcPr>
          <w:p w:rsidR="002F2423" w:rsidRPr="002F2423" w:rsidRDefault="002F2423" w:rsidP="002F2423">
            <w:pPr>
              <w:tabs>
                <w:tab w:val="left" w:pos="-1440"/>
                <w:tab w:val="left" w:pos="-720"/>
              </w:tabs>
              <w:jc w:val="both"/>
            </w:pPr>
          </w:p>
          <w:p w:rsidR="002F2423" w:rsidRPr="002F2423" w:rsidRDefault="002F2423" w:rsidP="002F2423">
            <w:pPr>
              <w:tabs>
                <w:tab w:val="left" w:pos="-1440"/>
                <w:tab w:val="left" w:pos="-720"/>
              </w:tabs>
              <w:jc w:val="both"/>
            </w:pPr>
          </w:p>
          <w:p w:rsidR="002F2423" w:rsidRPr="002F2423" w:rsidRDefault="002F2423" w:rsidP="002F2423">
            <w:pPr>
              <w:tabs>
                <w:tab w:val="left" w:pos="-1440"/>
                <w:tab w:val="left" w:pos="-720"/>
              </w:tabs>
              <w:jc w:val="both"/>
            </w:pPr>
          </w:p>
        </w:tc>
        <w:tc>
          <w:tcPr>
            <w:tcW w:w="4327" w:type="dxa"/>
          </w:tcPr>
          <w:p w:rsidR="002F2423" w:rsidRPr="002F2423" w:rsidRDefault="00286B88" w:rsidP="002F2423">
            <w:pPr>
              <w:tabs>
                <w:tab w:val="left" w:pos="-1440"/>
                <w:tab w:val="left" w:pos="-720"/>
              </w:tabs>
              <w:jc w:val="both"/>
              <w:rPr>
                <w:lang w:val="fr-CA"/>
              </w:rPr>
            </w:pPr>
            <w:r w:rsidRPr="002F2423">
              <w:rPr>
                <w:lang w:val="en-US"/>
              </w:rPr>
              <w:fldChar w:fldCharType="begin"/>
            </w:r>
            <w:r w:rsidR="002F2423" w:rsidRPr="002F2423">
              <w:rPr>
                <w:lang w:val="fr-CA"/>
              </w:rPr>
              <w:instrText xml:space="preserve"> SEQ CHAPTER \h \r 1</w:instrText>
            </w:r>
            <w:r w:rsidRPr="002F2423">
              <w:rPr>
                <w:lang w:val="en-US"/>
              </w:rPr>
              <w:fldChar w:fldCharType="end"/>
            </w:r>
            <w:r w:rsidR="002F2423" w:rsidRPr="002F2423">
              <w:rPr>
                <w:b/>
                <w:bCs/>
                <w:lang w:val="fr-CA"/>
              </w:rPr>
              <w:t>Requête en formulation de questions constitutionnelles</w:t>
            </w:r>
            <w:r w:rsidRPr="002F2423">
              <w:rPr>
                <w:lang w:val="en-US"/>
              </w:rPr>
              <w:fldChar w:fldCharType="begin"/>
            </w:r>
            <w:r w:rsidR="002F2423" w:rsidRPr="002F2423">
              <w:rPr>
                <w:lang w:val="fr-CA"/>
              </w:rPr>
              <w:instrText xml:space="preserve"> SEQ CHAPTER \h \r 1</w:instrText>
            </w:r>
            <w:r w:rsidRPr="002F2423">
              <w:rPr>
                <w:lang w:val="en-US"/>
              </w:rPr>
              <w:fldChar w:fldCharType="end"/>
            </w:r>
            <w:r w:rsidRPr="002F2423">
              <w:rPr>
                <w:lang w:val="en-US"/>
              </w:rPr>
              <w:fldChar w:fldCharType="begin"/>
            </w:r>
            <w:r w:rsidR="002F2423" w:rsidRPr="002F2423">
              <w:rPr>
                <w:lang w:val="fr-CA"/>
              </w:rPr>
              <w:instrText xml:space="preserve"> SEQ CHAPTER \h \r 1</w:instrText>
            </w:r>
            <w:r w:rsidRPr="002F2423">
              <w:rPr>
                <w:lang w:val="en-US"/>
              </w:rPr>
              <w:fldChar w:fldCharType="end"/>
            </w:r>
            <w:r w:rsidRPr="002F2423">
              <w:rPr>
                <w:lang w:val="en-US"/>
              </w:rPr>
              <w:fldChar w:fldCharType="begin"/>
            </w:r>
            <w:r w:rsidR="002F2423" w:rsidRPr="002F2423">
              <w:rPr>
                <w:lang w:val="fr-CA"/>
              </w:rPr>
              <w:instrText xml:space="preserve"> SEQ CHAPTER \h \r 1</w:instrText>
            </w:r>
            <w:r w:rsidRPr="002F2423">
              <w:rPr>
                <w:lang w:val="en-US"/>
              </w:rPr>
              <w:fldChar w:fldCharType="end"/>
            </w:r>
          </w:p>
        </w:tc>
      </w:tr>
      <w:tr w:rsidR="002F2423" w:rsidRPr="008B79EB" w:rsidTr="002F2423">
        <w:tc>
          <w:tcPr>
            <w:tcW w:w="4338" w:type="dxa"/>
          </w:tcPr>
          <w:p w:rsidR="002F2423" w:rsidRPr="002F2423" w:rsidRDefault="002F2423" w:rsidP="002F2423">
            <w:pPr>
              <w:tabs>
                <w:tab w:val="left" w:pos="-1440"/>
                <w:tab w:val="left" w:pos="-720"/>
              </w:tabs>
              <w:jc w:val="both"/>
              <w:rPr>
                <w:lang w:val="fr-CA"/>
              </w:rPr>
            </w:pPr>
            <w:r w:rsidRPr="002F2423">
              <w:rPr>
                <w:lang w:val="fr-CA"/>
              </w:rPr>
              <w:t>Procureur général du Canada et autre</w:t>
            </w:r>
          </w:p>
          <w:p w:rsidR="002F2423" w:rsidRPr="002F2423" w:rsidRDefault="002F2423" w:rsidP="002F2423">
            <w:pPr>
              <w:tabs>
                <w:tab w:val="left" w:pos="-1440"/>
                <w:tab w:val="left" w:pos="-720"/>
              </w:tabs>
              <w:jc w:val="both"/>
              <w:rPr>
                <w:lang w:val="fr-CA"/>
              </w:rPr>
            </w:pPr>
          </w:p>
          <w:p w:rsidR="002F2423" w:rsidRPr="002F2423" w:rsidRDefault="002F2423" w:rsidP="002F2423">
            <w:pPr>
              <w:tabs>
                <w:tab w:val="left" w:pos="-1440"/>
                <w:tab w:val="left" w:pos="-720"/>
              </w:tabs>
              <w:jc w:val="both"/>
              <w:rPr>
                <w:lang w:val="fr-CA"/>
              </w:rPr>
            </w:pPr>
            <w:r w:rsidRPr="002F2423">
              <w:rPr>
                <w:lang w:val="fr-CA"/>
              </w:rPr>
              <w:tab/>
              <w:t>c. (35892)</w:t>
            </w:r>
          </w:p>
          <w:p w:rsidR="002F2423" w:rsidRPr="002F2423" w:rsidRDefault="002F2423" w:rsidP="002F2423">
            <w:pPr>
              <w:tabs>
                <w:tab w:val="left" w:pos="-1440"/>
                <w:tab w:val="left" w:pos="-720"/>
              </w:tabs>
              <w:jc w:val="both"/>
              <w:rPr>
                <w:lang w:val="fr-CA"/>
              </w:rPr>
            </w:pPr>
          </w:p>
          <w:p w:rsidR="002F2423" w:rsidRPr="002F2423" w:rsidRDefault="002F2423" w:rsidP="002F2423">
            <w:pPr>
              <w:tabs>
                <w:tab w:val="left" w:pos="-1440"/>
                <w:tab w:val="left" w:pos="-720"/>
              </w:tabs>
              <w:jc w:val="both"/>
              <w:rPr>
                <w:lang w:val="fr-CA"/>
              </w:rPr>
            </w:pPr>
            <w:r w:rsidRPr="002F2423">
              <w:rPr>
                <w:lang w:val="fr-CA"/>
              </w:rPr>
              <w:t>Chambre des notaires du Québec et autre (Qc)</w:t>
            </w:r>
          </w:p>
        </w:tc>
        <w:tc>
          <w:tcPr>
            <w:tcW w:w="1170" w:type="dxa"/>
          </w:tcPr>
          <w:p w:rsidR="002F2423" w:rsidRPr="002F2423" w:rsidRDefault="002F2423" w:rsidP="002F2423">
            <w:pPr>
              <w:tabs>
                <w:tab w:val="left" w:pos="-1440"/>
                <w:tab w:val="left" w:pos="-720"/>
              </w:tabs>
              <w:jc w:val="both"/>
              <w:rPr>
                <w:lang w:val="fr-CA"/>
              </w:rPr>
            </w:pPr>
          </w:p>
        </w:tc>
        <w:tc>
          <w:tcPr>
            <w:tcW w:w="4327" w:type="dxa"/>
          </w:tcPr>
          <w:p w:rsidR="002F2423" w:rsidRPr="002F2423" w:rsidRDefault="002F2423" w:rsidP="002F2423">
            <w:pPr>
              <w:tabs>
                <w:tab w:val="left" w:pos="-1440"/>
                <w:tab w:val="left" w:pos="-720"/>
              </w:tabs>
              <w:jc w:val="both"/>
              <w:rPr>
                <w:lang w:val="fr-CA"/>
              </w:rPr>
            </w:pPr>
          </w:p>
        </w:tc>
      </w:tr>
    </w:tbl>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sz w:val="20"/>
          <w:szCs w:val="20"/>
          <w:lang w:val="fr-CA" w:eastAsia="en-CA"/>
        </w:rPr>
      </w:pPr>
      <w:r w:rsidRPr="002F2423">
        <w:rPr>
          <w:rFonts w:eastAsia="Times New Roman" w:cs="Times New Roman"/>
          <w:b/>
          <w:sz w:val="20"/>
          <w:szCs w:val="20"/>
          <w:lang w:val="fr-CA" w:eastAsia="en-CA"/>
        </w:rPr>
        <w:t>GRANTED / ACCORDÉE</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jc w:val="both"/>
        <w:rPr>
          <w:rFonts w:eastAsia="Times New Roman" w:cs="Times New Roman"/>
          <w:sz w:val="20"/>
          <w:szCs w:val="20"/>
          <w:lang w:val="fr-CA" w:eastAsia="en-CA"/>
        </w:rPr>
      </w:pPr>
      <w:r w:rsidRPr="002F2423">
        <w:rPr>
          <w:rFonts w:eastAsia="Times New Roman" w:cs="Times New Roman"/>
          <w:b/>
          <w:bCs/>
          <w:sz w:val="20"/>
          <w:szCs w:val="20"/>
          <w:lang w:val="fr-CA" w:eastAsia="en-CA"/>
        </w:rPr>
        <w:t>À LA SUITE DE LA DEMANDE</w:t>
      </w:r>
      <w:r w:rsidRPr="002F2423">
        <w:rPr>
          <w:rFonts w:eastAsia="Times New Roman" w:cs="Times New Roman"/>
          <w:sz w:val="20"/>
          <w:szCs w:val="20"/>
          <w:lang w:val="fr-CA" w:eastAsia="en-CA"/>
        </w:rPr>
        <w:t xml:space="preserve"> de l’intimé, la Chambre des notaires du Québec, visant à obtenir la formulation des questions constitutionnelles dans l’appel susmentionné;</w:t>
      </w:r>
    </w:p>
    <w:p w:rsidR="002F2423" w:rsidRPr="002F2423" w:rsidRDefault="002F2423" w:rsidP="002F2423">
      <w:pPr>
        <w:jc w:val="both"/>
        <w:rPr>
          <w:rFonts w:eastAsia="Times New Roman" w:cs="Times New Roman"/>
          <w:sz w:val="20"/>
          <w:szCs w:val="20"/>
          <w:lang w:val="fr-CA" w:eastAsia="en-CA"/>
        </w:rPr>
      </w:pPr>
    </w:p>
    <w:p w:rsidR="002F2423" w:rsidRPr="002F2423" w:rsidRDefault="002F2423" w:rsidP="002F2423">
      <w:pPr>
        <w:jc w:val="both"/>
        <w:rPr>
          <w:rFonts w:eastAsia="Times New Roman" w:cs="Times New Roman"/>
          <w:sz w:val="20"/>
          <w:szCs w:val="20"/>
          <w:lang w:val="fr-CA" w:eastAsia="en-CA"/>
        </w:rPr>
      </w:pPr>
      <w:r w:rsidRPr="002F2423">
        <w:rPr>
          <w:rFonts w:eastAsia="Times New Roman" w:cs="Times New Roman"/>
          <w:b/>
          <w:bCs/>
          <w:sz w:val="20"/>
          <w:szCs w:val="20"/>
          <w:lang w:val="fr-CA" w:eastAsia="en-CA"/>
        </w:rPr>
        <w:t>ET APRÈS AVOIR LU</w:t>
      </w:r>
      <w:r w:rsidRPr="002F2423">
        <w:rPr>
          <w:rFonts w:eastAsia="Times New Roman" w:cs="Times New Roman"/>
          <w:sz w:val="20"/>
          <w:szCs w:val="20"/>
          <w:lang w:val="fr-CA" w:eastAsia="en-CA"/>
        </w:rPr>
        <w:t xml:space="preserve"> la documentation déposée,</w:t>
      </w:r>
    </w:p>
    <w:p w:rsidR="002F2423" w:rsidRDefault="002F2423">
      <w:pPr>
        <w:rPr>
          <w:rFonts w:eastAsia="Times New Roman" w:cs="Times New Roman"/>
          <w:sz w:val="20"/>
          <w:szCs w:val="20"/>
          <w:lang w:val="fr-CA" w:eastAsia="en-CA"/>
        </w:rPr>
      </w:pPr>
    </w:p>
    <w:p w:rsidR="002F2423" w:rsidRPr="002F2423" w:rsidRDefault="002F2423" w:rsidP="002F2423">
      <w:pPr>
        <w:jc w:val="both"/>
        <w:rPr>
          <w:rFonts w:eastAsia="Times New Roman" w:cs="Times New Roman"/>
          <w:b/>
          <w:bCs/>
          <w:sz w:val="20"/>
          <w:szCs w:val="20"/>
          <w:lang w:val="fr-CA" w:eastAsia="en-CA"/>
        </w:rPr>
      </w:pPr>
      <w:r w:rsidRPr="002F2423">
        <w:rPr>
          <w:rFonts w:eastAsia="Times New Roman" w:cs="Times New Roman"/>
          <w:b/>
          <w:bCs/>
          <w:sz w:val="20"/>
          <w:szCs w:val="20"/>
          <w:lang w:val="fr-CA" w:eastAsia="en-CA"/>
        </w:rPr>
        <w:t>LES QUESTIONS CONSTITUTIONNELLES SUIVANTES SONT FORMULÉES:</w:t>
      </w:r>
    </w:p>
    <w:p w:rsidR="002F2423" w:rsidRPr="002F2423" w:rsidRDefault="002F2423" w:rsidP="002F2423">
      <w:pPr>
        <w:jc w:val="both"/>
        <w:rPr>
          <w:rFonts w:eastAsia="Times New Roman" w:cs="Times New Roman"/>
          <w:b/>
          <w:bCs/>
          <w:sz w:val="20"/>
          <w:szCs w:val="20"/>
          <w:lang w:val="fr-CA" w:eastAsia="en-CA"/>
        </w:rPr>
      </w:pPr>
    </w:p>
    <w:p w:rsidR="002F2423" w:rsidRPr="002F2423" w:rsidRDefault="002F2423" w:rsidP="002F2423">
      <w:pPr>
        <w:ind w:left="1260" w:hanging="720"/>
        <w:jc w:val="both"/>
        <w:rPr>
          <w:rFonts w:eastAsia="Times New Roman" w:cs="Times New Roman"/>
          <w:color w:val="1A1A1A"/>
          <w:sz w:val="20"/>
          <w:szCs w:val="20"/>
          <w:lang w:val="fr-CA" w:eastAsia="en-CA"/>
        </w:rPr>
      </w:pPr>
      <w:r w:rsidRPr="002F2423">
        <w:rPr>
          <w:rFonts w:eastAsia="Times New Roman" w:cs="Times New Roman"/>
          <w:color w:val="1A1A1A"/>
          <w:sz w:val="20"/>
          <w:szCs w:val="20"/>
          <w:lang w:val="fr-CA" w:eastAsia="en-CA"/>
        </w:rPr>
        <w:t xml:space="preserve">1. </w:t>
      </w:r>
      <w:r w:rsidRPr="002F2423">
        <w:rPr>
          <w:rFonts w:eastAsia="Times New Roman" w:cs="Times New Roman"/>
          <w:color w:val="1A1A1A"/>
          <w:sz w:val="20"/>
          <w:szCs w:val="20"/>
          <w:lang w:val="fr-CA" w:eastAsia="en-CA"/>
        </w:rPr>
        <w:tab/>
        <w:t xml:space="preserve">Dans la mesure où le par. 231.2(1), l’art. 231.7 et la définition de « privilège des communications entre client et avocat » énoncée au par. 232(1) de la </w:t>
      </w:r>
      <w:r w:rsidRPr="002F2423">
        <w:rPr>
          <w:rFonts w:eastAsia="Times New Roman" w:cs="Times New Roman"/>
          <w:i/>
          <w:color w:val="1A1A1A"/>
          <w:sz w:val="20"/>
          <w:szCs w:val="20"/>
          <w:lang w:val="fr-CA" w:eastAsia="en-CA"/>
        </w:rPr>
        <w:t>Loi de l’impôt sur le revenu</w:t>
      </w:r>
      <w:r w:rsidRPr="002F2423">
        <w:rPr>
          <w:rFonts w:eastAsia="Times New Roman" w:cs="Times New Roman"/>
          <w:color w:val="1A1A1A"/>
          <w:sz w:val="20"/>
          <w:szCs w:val="20"/>
          <w:lang w:val="fr-CA" w:eastAsia="en-CA"/>
        </w:rPr>
        <w:t xml:space="preserve">, L.R.C. 1985, c. 1 (5e suppl.), visent un avocat ou un notaire, ces dispositions portent-elles atteinte à un droit garanti par l’art. 7 de la </w:t>
      </w:r>
      <w:r w:rsidRPr="002F2423">
        <w:rPr>
          <w:rFonts w:eastAsia="Times New Roman" w:cs="Times New Roman"/>
          <w:i/>
          <w:color w:val="1A1A1A"/>
          <w:sz w:val="20"/>
          <w:szCs w:val="20"/>
          <w:lang w:val="fr-CA" w:eastAsia="en-CA"/>
        </w:rPr>
        <w:t>Charte canadienne des droits et libertés</w:t>
      </w:r>
      <w:r w:rsidRPr="002F2423">
        <w:rPr>
          <w:rFonts w:eastAsia="Times New Roman" w:cs="Times New Roman"/>
          <w:color w:val="1A1A1A"/>
          <w:sz w:val="20"/>
          <w:szCs w:val="20"/>
          <w:lang w:val="fr-CA" w:eastAsia="en-CA"/>
        </w:rPr>
        <w:t>?</w:t>
      </w:r>
    </w:p>
    <w:p w:rsidR="002F2423" w:rsidRPr="002F2423" w:rsidRDefault="002F2423" w:rsidP="002F2423">
      <w:pPr>
        <w:ind w:left="1260" w:hanging="720"/>
        <w:jc w:val="both"/>
        <w:rPr>
          <w:rFonts w:eastAsia="Times New Roman" w:cs="Times New Roman"/>
          <w:color w:val="1A1A1A"/>
          <w:sz w:val="20"/>
          <w:szCs w:val="20"/>
          <w:lang w:val="fr-CA" w:eastAsia="en-CA"/>
        </w:rPr>
      </w:pPr>
    </w:p>
    <w:p w:rsidR="002F2423" w:rsidRPr="002F2423" w:rsidRDefault="002F2423" w:rsidP="002F2423">
      <w:pPr>
        <w:ind w:left="1260" w:hanging="720"/>
        <w:jc w:val="both"/>
        <w:rPr>
          <w:rFonts w:eastAsia="Times New Roman" w:cs="Times New Roman"/>
          <w:color w:val="1A1A1A"/>
          <w:sz w:val="20"/>
          <w:szCs w:val="20"/>
          <w:lang w:val="fr-CA" w:eastAsia="en-CA"/>
        </w:rPr>
      </w:pPr>
      <w:r w:rsidRPr="002F2423">
        <w:rPr>
          <w:rFonts w:eastAsia="Times New Roman" w:cs="Times New Roman"/>
          <w:color w:val="1A1A1A"/>
          <w:sz w:val="20"/>
          <w:szCs w:val="20"/>
          <w:lang w:val="fr-CA" w:eastAsia="en-CA"/>
        </w:rPr>
        <w:lastRenderedPageBreak/>
        <w:t xml:space="preserve">2. </w:t>
      </w:r>
      <w:r w:rsidRPr="002F2423">
        <w:rPr>
          <w:rFonts w:eastAsia="Times New Roman" w:cs="Times New Roman"/>
          <w:color w:val="1A1A1A"/>
          <w:sz w:val="20"/>
          <w:szCs w:val="20"/>
          <w:lang w:val="fr-CA" w:eastAsia="en-CA"/>
        </w:rPr>
        <w:tab/>
        <w:t xml:space="preserve">Dans l’affirmative, s’agit-il d’une atteinte portée par une règle de droit dans des limites qui sont raisonnables et dont la justification peut se démontrer dans le cadre d’une société libre et démocratique suivant l’article premier de la </w:t>
      </w:r>
      <w:r w:rsidRPr="002F2423">
        <w:rPr>
          <w:rFonts w:eastAsia="Times New Roman" w:cs="Times New Roman"/>
          <w:i/>
          <w:color w:val="1A1A1A"/>
          <w:sz w:val="20"/>
          <w:szCs w:val="20"/>
          <w:lang w:val="fr-CA" w:eastAsia="en-CA"/>
        </w:rPr>
        <w:t>Charte canadienne des droits et libertés</w:t>
      </w:r>
      <w:r w:rsidRPr="002F2423">
        <w:rPr>
          <w:rFonts w:eastAsia="Times New Roman" w:cs="Times New Roman"/>
          <w:color w:val="1A1A1A"/>
          <w:sz w:val="20"/>
          <w:szCs w:val="20"/>
          <w:lang w:val="fr-CA" w:eastAsia="en-CA"/>
        </w:rPr>
        <w:t>?</w:t>
      </w:r>
    </w:p>
    <w:p w:rsidR="002F2423" w:rsidRPr="002F2423" w:rsidRDefault="002F2423" w:rsidP="002F2423">
      <w:pPr>
        <w:ind w:left="1260" w:hanging="720"/>
        <w:jc w:val="both"/>
        <w:rPr>
          <w:rFonts w:eastAsia="Times New Roman" w:cs="Times New Roman"/>
          <w:color w:val="1A1A1A"/>
          <w:sz w:val="20"/>
          <w:szCs w:val="20"/>
          <w:lang w:val="fr-CA" w:eastAsia="en-CA"/>
        </w:rPr>
      </w:pPr>
    </w:p>
    <w:p w:rsidR="002F2423" w:rsidRPr="002F2423" w:rsidRDefault="002F2423" w:rsidP="002F2423">
      <w:pPr>
        <w:ind w:left="1260" w:hanging="720"/>
        <w:jc w:val="both"/>
        <w:rPr>
          <w:rFonts w:eastAsia="Times New Roman" w:cs="Times New Roman"/>
          <w:color w:val="1A1A1A"/>
          <w:sz w:val="20"/>
          <w:szCs w:val="20"/>
          <w:lang w:val="fr-CA" w:eastAsia="en-CA"/>
        </w:rPr>
      </w:pPr>
      <w:r w:rsidRPr="002F2423">
        <w:rPr>
          <w:rFonts w:eastAsia="Times New Roman" w:cs="Times New Roman"/>
          <w:color w:val="1A1A1A"/>
          <w:sz w:val="20"/>
          <w:szCs w:val="20"/>
          <w:lang w:val="fr-CA" w:eastAsia="en-CA"/>
        </w:rPr>
        <w:t xml:space="preserve">3. </w:t>
      </w:r>
      <w:r w:rsidRPr="002F2423">
        <w:rPr>
          <w:rFonts w:eastAsia="Times New Roman" w:cs="Times New Roman"/>
          <w:color w:val="1A1A1A"/>
          <w:sz w:val="20"/>
          <w:szCs w:val="20"/>
          <w:lang w:val="fr-CA" w:eastAsia="en-CA"/>
        </w:rPr>
        <w:tab/>
        <w:t xml:space="preserve">Dans la mesure où le par. 231.2(1), l’art. 231.7 et la définition de « privilège des communications entre client et avocat » énoncée au par. 232(1) de la </w:t>
      </w:r>
      <w:r w:rsidRPr="002F2423">
        <w:rPr>
          <w:rFonts w:eastAsia="Times New Roman" w:cs="Times New Roman"/>
          <w:i/>
          <w:color w:val="1A1A1A"/>
          <w:sz w:val="20"/>
          <w:szCs w:val="20"/>
          <w:lang w:val="fr-CA" w:eastAsia="en-CA"/>
        </w:rPr>
        <w:t>Loi de l’impôt sur le revenu</w:t>
      </w:r>
      <w:r w:rsidRPr="002F2423">
        <w:rPr>
          <w:rFonts w:eastAsia="Times New Roman" w:cs="Times New Roman"/>
          <w:color w:val="1A1A1A"/>
          <w:sz w:val="20"/>
          <w:szCs w:val="20"/>
          <w:lang w:val="fr-CA" w:eastAsia="en-CA"/>
        </w:rPr>
        <w:t xml:space="preserve">, L.R.C. 1985, c. 1 (5e suppl.), visent un avocat ou un notaire, ces dispositions portent-elles atteinte au droit garanti par l’art. 8 de la </w:t>
      </w:r>
      <w:r w:rsidRPr="002F2423">
        <w:rPr>
          <w:rFonts w:eastAsia="Times New Roman" w:cs="Times New Roman"/>
          <w:i/>
          <w:color w:val="1A1A1A"/>
          <w:sz w:val="20"/>
          <w:szCs w:val="20"/>
          <w:lang w:val="fr-CA" w:eastAsia="en-CA"/>
        </w:rPr>
        <w:t>Charte canadienne des droits et libertés</w:t>
      </w:r>
      <w:r w:rsidRPr="002F2423">
        <w:rPr>
          <w:rFonts w:eastAsia="Times New Roman" w:cs="Times New Roman"/>
          <w:color w:val="1A1A1A"/>
          <w:sz w:val="20"/>
          <w:szCs w:val="20"/>
          <w:lang w:val="fr-CA" w:eastAsia="en-CA"/>
        </w:rPr>
        <w:t>?</w:t>
      </w:r>
    </w:p>
    <w:p w:rsidR="002F2423" w:rsidRPr="002F2423" w:rsidRDefault="002F2423" w:rsidP="002F2423">
      <w:pPr>
        <w:ind w:left="1260" w:hanging="720"/>
        <w:jc w:val="both"/>
        <w:rPr>
          <w:rFonts w:eastAsia="Times New Roman" w:cs="Times New Roman"/>
          <w:color w:val="1A1A1A"/>
          <w:sz w:val="20"/>
          <w:szCs w:val="20"/>
          <w:lang w:val="fr-CA" w:eastAsia="en-CA"/>
        </w:rPr>
      </w:pPr>
    </w:p>
    <w:p w:rsidR="002F2423" w:rsidRPr="002F2423" w:rsidRDefault="002F2423" w:rsidP="002F2423">
      <w:pPr>
        <w:ind w:left="1260" w:hanging="720"/>
        <w:jc w:val="both"/>
        <w:rPr>
          <w:rFonts w:eastAsia="Times New Roman" w:cs="Times New Roman"/>
          <w:color w:val="1A1A1A"/>
          <w:sz w:val="20"/>
          <w:szCs w:val="20"/>
          <w:lang w:val="fr-CA" w:eastAsia="en-CA"/>
        </w:rPr>
      </w:pPr>
      <w:r w:rsidRPr="002F2423">
        <w:rPr>
          <w:rFonts w:eastAsia="Times New Roman" w:cs="Times New Roman"/>
          <w:color w:val="1A1A1A"/>
          <w:sz w:val="20"/>
          <w:szCs w:val="20"/>
          <w:lang w:val="fr-CA" w:eastAsia="en-CA"/>
        </w:rPr>
        <w:t xml:space="preserve">4. </w:t>
      </w:r>
      <w:r w:rsidRPr="002F2423">
        <w:rPr>
          <w:rFonts w:eastAsia="Times New Roman" w:cs="Times New Roman"/>
          <w:color w:val="1A1A1A"/>
          <w:sz w:val="20"/>
          <w:szCs w:val="20"/>
          <w:lang w:val="fr-CA" w:eastAsia="en-CA"/>
        </w:rPr>
        <w:tab/>
        <w:t xml:space="preserve">Dans l’affirmative, s’agit-il d’une atteinte portée par une règle de droit dans des limites qui sont raisonnables et dont la justification peut se démontrer dans le cadre d’une société libre et démocratique suivant l’article premier de la </w:t>
      </w:r>
      <w:r w:rsidRPr="002F2423">
        <w:rPr>
          <w:rFonts w:eastAsia="Times New Roman" w:cs="Times New Roman"/>
          <w:i/>
          <w:color w:val="1A1A1A"/>
          <w:sz w:val="20"/>
          <w:szCs w:val="20"/>
          <w:lang w:val="fr-CA" w:eastAsia="en-CA"/>
        </w:rPr>
        <w:t>Charte canadienne des droits et libertés</w:t>
      </w:r>
      <w:r w:rsidRPr="002F2423">
        <w:rPr>
          <w:rFonts w:eastAsia="Times New Roman" w:cs="Times New Roman"/>
          <w:color w:val="1A1A1A"/>
          <w:sz w:val="20"/>
          <w:szCs w:val="20"/>
          <w:lang w:val="fr-CA" w:eastAsia="en-CA"/>
        </w:rPr>
        <w:t>?</w:t>
      </w:r>
    </w:p>
    <w:p w:rsidR="002F2423" w:rsidRPr="002F2423" w:rsidRDefault="002F2423" w:rsidP="002F2423">
      <w:pPr>
        <w:ind w:left="720" w:hanging="720"/>
        <w:jc w:val="both"/>
        <w:rPr>
          <w:rFonts w:eastAsia="Times New Roman" w:cs="Times New Roman"/>
          <w:sz w:val="20"/>
          <w:szCs w:val="20"/>
          <w:lang w:val="fr-CA" w:eastAsia="en-CA"/>
        </w:rPr>
      </w:pPr>
    </w:p>
    <w:p w:rsidR="002F2423" w:rsidRPr="002F2423" w:rsidRDefault="002F2423" w:rsidP="002F2423">
      <w:pPr>
        <w:jc w:val="both"/>
        <w:rPr>
          <w:rFonts w:eastAsia="Times New Roman" w:cs="Times New Roman"/>
          <w:sz w:val="20"/>
          <w:szCs w:val="20"/>
          <w:lang w:val="fr-FR" w:eastAsia="en-CA"/>
        </w:rPr>
      </w:pPr>
      <w:r w:rsidRPr="002F2423">
        <w:rPr>
          <w:rFonts w:eastAsia="Times New Roman" w:cs="Times New Roman"/>
          <w:sz w:val="20"/>
          <w:szCs w:val="20"/>
          <w:lang w:val="fr-CA" w:eastAsia="en-CA"/>
        </w:rPr>
        <w:t>T</w:t>
      </w:r>
      <w:r w:rsidRPr="002F2423">
        <w:rPr>
          <w:rFonts w:eastAsia="Times New Roman" w:cs="Times New Roman"/>
          <w:sz w:val="20"/>
          <w:szCs w:val="20"/>
          <w:lang w:val="fr-FR" w:eastAsia="en-CA"/>
        </w:rPr>
        <w:t xml:space="preserve">out procureur général qui interviendra en vertu du par. 61(4) des </w:t>
      </w:r>
      <w:r w:rsidRPr="002F2423">
        <w:rPr>
          <w:rFonts w:eastAsia="Times New Roman" w:cs="Times New Roman"/>
          <w:i/>
          <w:iCs/>
          <w:sz w:val="20"/>
          <w:szCs w:val="20"/>
          <w:lang w:val="fr-FR" w:eastAsia="en-CA"/>
        </w:rPr>
        <w:t>Règles de la Cour suprême du Canada</w:t>
      </w:r>
      <w:r w:rsidRPr="002F2423">
        <w:rPr>
          <w:rFonts w:eastAsia="Times New Roman" w:cs="Times New Roman"/>
          <w:sz w:val="20"/>
          <w:szCs w:val="20"/>
          <w:lang w:val="fr-FR" w:eastAsia="en-CA"/>
        </w:rPr>
        <w:t xml:space="preserve"> sera tenu de payer aux appelants et aux intimés les dépens supplémentaires résultant de son intervention.</w:t>
      </w:r>
    </w:p>
    <w:p w:rsidR="002F2423" w:rsidRPr="002F2423" w:rsidRDefault="002F2423" w:rsidP="002F2423">
      <w:pPr>
        <w:jc w:val="both"/>
        <w:rPr>
          <w:rFonts w:eastAsia="Times New Roman" w:cs="Times New Roman"/>
          <w:bCs/>
          <w:sz w:val="20"/>
          <w:szCs w:val="20"/>
          <w:lang w:val="fr-CA" w:eastAsia="en-CA"/>
        </w:rPr>
      </w:pPr>
    </w:p>
    <w:p w:rsidR="002F2423" w:rsidRPr="002F2423" w:rsidRDefault="002F2423" w:rsidP="002F2423">
      <w:pPr>
        <w:jc w:val="both"/>
        <w:rPr>
          <w:rFonts w:eastAsia="Times New Roman" w:cs="Times New Roman"/>
          <w:bCs/>
          <w:sz w:val="20"/>
          <w:szCs w:val="20"/>
          <w:lang w:val="fr-CA" w:eastAsia="en-CA"/>
        </w:rPr>
      </w:pPr>
    </w:p>
    <w:p w:rsidR="002F2423" w:rsidRPr="002F2423" w:rsidRDefault="002F2423" w:rsidP="002F2423">
      <w:pPr>
        <w:jc w:val="both"/>
        <w:rPr>
          <w:rFonts w:eastAsia="Times New Roman" w:cs="Times New Roman"/>
          <w:bCs/>
          <w:sz w:val="20"/>
          <w:szCs w:val="20"/>
          <w:lang w:val="fr-CA" w:eastAsia="en-CA"/>
        </w:rPr>
      </w:pPr>
    </w:p>
    <w:p w:rsidR="002F2423" w:rsidRPr="002F2423" w:rsidRDefault="002F2423" w:rsidP="002F2423">
      <w:pPr>
        <w:jc w:val="both"/>
        <w:rPr>
          <w:rFonts w:eastAsia="Times New Roman" w:cs="Times New Roman"/>
          <w:sz w:val="20"/>
          <w:szCs w:val="20"/>
          <w:lang w:val="en-US" w:eastAsia="en-CA"/>
        </w:rPr>
      </w:pPr>
      <w:r w:rsidRPr="002F2423">
        <w:rPr>
          <w:rFonts w:eastAsia="Times New Roman" w:cs="Times New Roman"/>
          <w:b/>
          <w:bCs/>
          <w:sz w:val="20"/>
          <w:szCs w:val="20"/>
          <w:lang w:val="en-US" w:eastAsia="en-CA"/>
        </w:rPr>
        <w:t>UPON APPLICATION</w:t>
      </w:r>
      <w:r w:rsidRPr="002F2423">
        <w:rPr>
          <w:rFonts w:eastAsia="Times New Roman" w:cs="Times New Roman"/>
          <w:sz w:val="20"/>
          <w:szCs w:val="20"/>
          <w:lang w:val="en-US" w:eastAsia="en-CA"/>
        </w:rPr>
        <w:t xml:space="preserve"> by the respondent, the </w:t>
      </w:r>
      <w:r w:rsidRPr="002F2423">
        <w:rPr>
          <w:rFonts w:eastAsia="Times New Roman" w:cs="Times New Roman"/>
          <w:sz w:val="20"/>
          <w:szCs w:val="20"/>
          <w:lang w:eastAsia="en-CA"/>
        </w:rPr>
        <w:t>Chambre des notaires du Québec,</w:t>
      </w:r>
      <w:r w:rsidRPr="002F2423">
        <w:rPr>
          <w:rFonts w:eastAsia="Times New Roman" w:cs="Times New Roman"/>
          <w:sz w:val="20"/>
          <w:szCs w:val="20"/>
          <w:lang w:val="en-US" w:eastAsia="en-CA"/>
        </w:rPr>
        <w:t xml:space="preserve"> </w:t>
      </w:r>
      <w:r w:rsidR="00286B88" w:rsidRPr="002F2423">
        <w:rPr>
          <w:rFonts w:eastAsia="Times New Roman" w:cs="Times New Roman"/>
          <w:sz w:val="20"/>
          <w:szCs w:val="20"/>
          <w:lang w:eastAsia="en-CA"/>
        </w:rPr>
        <w:fldChar w:fldCharType="begin"/>
      </w:r>
      <w:r w:rsidRPr="002F2423">
        <w:rPr>
          <w:rFonts w:eastAsia="Times New Roman" w:cs="Times New Roman"/>
          <w:sz w:val="20"/>
          <w:szCs w:val="20"/>
          <w:lang w:eastAsia="en-CA"/>
        </w:rPr>
        <w:instrText xml:space="preserve"> SEQ CHAPTER \h \r 1</w:instrText>
      </w:r>
      <w:r w:rsidR="00286B88" w:rsidRPr="002F2423">
        <w:rPr>
          <w:rFonts w:eastAsia="Times New Roman" w:cs="Times New Roman"/>
          <w:sz w:val="20"/>
          <w:szCs w:val="20"/>
          <w:lang w:eastAsia="en-CA"/>
        </w:rPr>
        <w:fldChar w:fldCharType="end"/>
      </w:r>
      <w:r w:rsidRPr="002F2423">
        <w:rPr>
          <w:rFonts w:eastAsia="Times New Roman" w:cs="Times New Roman"/>
          <w:sz w:val="20"/>
          <w:szCs w:val="20"/>
          <w:lang w:eastAsia="en-CA"/>
        </w:rPr>
        <w:t xml:space="preserve">for an order stating constitutional questions </w:t>
      </w:r>
      <w:r w:rsidRPr="002F2423">
        <w:rPr>
          <w:rFonts w:eastAsia="Times New Roman" w:cs="Times New Roman"/>
          <w:sz w:val="20"/>
          <w:szCs w:val="20"/>
          <w:lang w:val="en-US" w:eastAsia="en-CA"/>
        </w:rPr>
        <w:t>in the above appeal;</w:t>
      </w:r>
    </w:p>
    <w:p w:rsidR="002F2423" w:rsidRPr="002F2423" w:rsidRDefault="002F2423" w:rsidP="002F2423">
      <w:pPr>
        <w:jc w:val="both"/>
        <w:rPr>
          <w:rFonts w:eastAsia="Times New Roman" w:cs="Times New Roman"/>
          <w:sz w:val="20"/>
          <w:szCs w:val="20"/>
          <w:lang w:val="en-US" w:eastAsia="en-CA"/>
        </w:rPr>
      </w:pPr>
    </w:p>
    <w:p w:rsidR="002F2423" w:rsidRPr="002F2423" w:rsidRDefault="002F2423" w:rsidP="002F2423">
      <w:pPr>
        <w:jc w:val="both"/>
        <w:rPr>
          <w:rFonts w:eastAsia="Times New Roman" w:cs="Times New Roman"/>
          <w:sz w:val="20"/>
          <w:szCs w:val="20"/>
          <w:lang w:val="en-US" w:eastAsia="en-CA"/>
        </w:rPr>
      </w:pPr>
      <w:r w:rsidRPr="002F2423">
        <w:rPr>
          <w:rFonts w:eastAsia="Times New Roman" w:cs="Times New Roman"/>
          <w:b/>
          <w:bCs/>
          <w:sz w:val="20"/>
          <w:szCs w:val="20"/>
          <w:lang w:val="en-US" w:eastAsia="en-CA"/>
        </w:rPr>
        <w:t>AND THE MATERIAL FILED</w:t>
      </w:r>
      <w:r w:rsidRPr="002F2423">
        <w:rPr>
          <w:rFonts w:eastAsia="Times New Roman" w:cs="Times New Roman"/>
          <w:sz w:val="20"/>
          <w:szCs w:val="20"/>
          <w:lang w:val="en-US" w:eastAsia="en-CA"/>
        </w:rPr>
        <w:t xml:space="preserve"> having been read;</w:t>
      </w:r>
    </w:p>
    <w:p w:rsidR="002F2423" w:rsidRPr="002F2423" w:rsidRDefault="002F2423" w:rsidP="002F2423">
      <w:pPr>
        <w:jc w:val="both"/>
        <w:rPr>
          <w:rFonts w:eastAsia="Times New Roman" w:cs="Times New Roman"/>
          <w:sz w:val="20"/>
          <w:szCs w:val="20"/>
          <w:lang w:val="en-US" w:eastAsia="en-CA"/>
        </w:rPr>
      </w:pPr>
    </w:p>
    <w:p w:rsidR="002F2423" w:rsidRPr="002F2423" w:rsidRDefault="002F2423" w:rsidP="002F2423">
      <w:pPr>
        <w:jc w:val="both"/>
        <w:rPr>
          <w:rFonts w:eastAsia="Times New Roman" w:cs="Times New Roman"/>
          <w:bCs/>
          <w:sz w:val="20"/>
          <w:szCs w:val="20"/>
          <w:lang w:val="en-US" w:eastAsia="en-CA"/>
        </w:rPr>
      </w:pPr>
      <w:r w:rsidRPr="002F2423">
        <w:rPr>
          <w:rFonts w:eastAsia="Times New Roman" w:cs="Times New Roman"/>
          <w:b/>
          <w:bCs/>
          <w:sz w:val="20"/>
          <w:szCs w:val="20"/>
          <w:lang w:val="en-US" w:eastAsia="en-CA"/>
        </w:rPr>
        <w:t>IT IS HEREBY ORDERED THAT THE CONSTITUTIONAL QUESTIONS BE STATED AS FOLLOWS:</w:t>
      </w:r>
    </w:p>
    <w:p w:rsidR="002F2423" w:rsidRPr="002F2423" w:rsidRDefault="002F2423" w:rsidP="002F2423">
      <w:pPr>
        <w:jc w:val="both"/>
        <w:rPr>
          <w:rFonts w:eastAsia="Times New Roman" w:cs="Times New Roman"/>
          <w:bCs/>
          <w:sz w:val="20"/>
          <w:szCs w:val="20"/>
          <w:lang w:val="en-US" w:eastAsia="en-CA"/>
        </w:rPr>
      </w:pPr>
    </w:p>
    <w:p w:rsidR="002F2423" w:rsidRPr="002F2423" w:rsidRDefault="002F2423" w:rsidP="002F2423">
      <w:pPr>
        <w:ind w:left="1260" w:hanging="720"/>
        <w:jc w:val="both"/>
        <w:rPr>
          <w:rFonts w:eastAsia="Times New Roman" w:cs="Times New Roman"/>
          <w:color w:val="1A1A1A"/>
          <w:sz w:val="20"/>
          <w:szCs w:val="20"/>
          <w:lang w:eastAsia="en-CA"/>
        </w:rPr>
      </w:pPr>
      <w:r w:rsidRPr="002F2423">
        <w:rPr>
          <w:rFonts w:eastAsia="Times New Roman" w:cs="Times New Roman"/>
          <w:color w:val="1A1A1A"/>
          <w:sz w:val="20"/>
          <w:szCs w:val="20"/>
          <w:lang w:eastAsia="en-CA"/>
        </w:rPr>
        <w:t xml:space="preserve">1. </w:t>
      </w:r>
      <w:r w:rsidRPr="002F2423">
        <w:rPr>
          <w:rFonts w:eastAsia="Times New Roman" w:cs="Times New Roman"/>
          <w:color w:val="1A1A1A"/>
          <w:sz w:val="20"/>
          <w:szCs w:val="20"/>
          <w:lang w:eastAsia="en-CA"/>
        </w:rPr>
        <w:tab/>
        <w:t xml:space="preserve">Do ss. 231.2(1) and 231.7 and the definition of “solicitor-client privilege” set out in s. 232(1) of the </w:t>
      </w:r>
      <w:r w:rsidRPr="002F2423">
        <w:rPr>
          <w:rFonts w:eastAsia="Times New Roman" w:cs="Times New Roman"/>
          <w:i/>
          <w:color w:val="1A1A1A"/>
          <w:sz w:val="20"/>
          <w:szCs w:val="20"/>
          <w:lang w:eastAsia="en-CA"/>
        </w:rPr>
        <w:t>Income Tax Act</w:t>
      </w:r>
      <w:r w:rsidRPr="002F2423">
        <w:rPr>
          <w:rFonts w:eastAsia="Times New Roman" w:cs="Times New Roman"/>
          <w:color w:val="1A1A1A"/>
          <w:sz w:val="20"/>
          <w:szCs w:val="20"/>
          <w:lang w:eastAsia="en-CA"/>
        </w:rPr>
        <w:t xml:space="preserve">, R.S.C. 1985, c. 1 (5th Supp.), infringe a right guaranteed by s. 7 of the </w:t>
      </w:r>
      <w:r w:rsidRPr="002F2423">
        <w:rPr>
          <w:rFonts w:eastAsia="Times New Roman" w:cs="Times New Roman"/>
          <w:i/>
          <w:color w:val="1A1A1A"/>
          <w:sz w:val="20"/>
          <w:szCs w:val="20"/>
          <w:lang w:eastAsia="en-CA"/>
        </w:rPr>
        <w:t>Canadian Charter of Rights and Freedoms</w:t>
      </w:r>
      <w:r w:rsidRPr="002F2423">
        <w:rPr>
          <w:rFonts w:eastAsia="Times New Roman" w:cs="Times New Roman"/>
          <w:color w:val="1A1A1A"/>
          <w:sz w:val="20"/>
          <w:szCs w:val="20"/>
          <w:lang w:eastAsia="en-CA"/>
        </w:rPr>
        <w:t xml:space="preserve"> insofar as they apply to a lawyer or a notary?</w:t>
      </w:r>
    </w:p>
    <w:p w:rsidR="002F2423" w:rsidRPr="002F2423" w:rsidRDefault="002F2423" w:rsidP="002F2423">
      <w:pPr>
        <w:ind w:left="1260" w:hanging="720"/>
        <w:jc w:val="both"/>
        <w:rPr>
          <w:rFonts w:eastAsia="Times New Roman" w:cs="Times New Roman"/>
          <w:color w:val="1A1A1A"/>
          <w:sz w:val="20"/>
          <w:szCs w:val="20"/>
          <w:lang w:eastAsia="en-CA"/>
        </w:rPr>
      </w:pPr>
    </w:p>
    <w:p w:rsidR="002F2423" w:rsidRPr="002F2423" w:rsidRDefault="002F2423" w:rsidP="002F2423">
      <w:pPr>
        <w:ind w:left="1260" w:hanging="720"/>
        <w:jc w:val="both"/>
        <w:rPr>
          <w:rFonts w:eastAsia="Times New Roman" w:cs="Times New Roman"/>
          <w:color w:val="1A1A1A"/>
          <w:sz w:val="20"/>
          <w:szCs w:val="20"/>
          <w:lang w:eastAsia="en-CA"/>
        </w:rPr>
      </w:pPr>
      <w:r w:rsidRPr="002F2423">
        <w:rPr>
          <w:rFonts w:eastAsia="Times New Roman" w:cs="Times New Roman"/>
          <w:color w:val="1A1A1A"/>
          <w:sz w:val="20"/>
          <w:szCs w:val="20"/>
          <w:lang w:eastAsia="en-CA"/>
        </w:rPr>
        <w:t xml:space="preserve">2. </w:t>
      </w:r>
      <w:r w:rsidRPr="002F2423">
        <w:rPr>
          <w:rFonts w:eastAsia="Times New Roman" w:cs="Times New Roman"/>
          <w:color w:val="1A1A1A"/>
          <w:sz w:val="20"/>
          <w:szCs w:val="20"/>
          <w:lang w:eastAsia="en-CA"/>
        </w:rPr>
        <w:tab/>
        <w:t xml:space="preserve">If so, is the infringement a reasonable limit prescribed by law that can be demonstrably justified in a free and democratic society under s. 1 of the </w:t>
      </w:r>
      <w:r w:rsidRPr="002F2423">
        <w:rPr>
          <w:rFonts w:eastAsia="Times New Roman" w:cs="Times New Roman"/>
          <w:i/>
          <w:color w:val="1A1A1A"/>
          <w:sz w:val="20"/>
          <w:szCs w:val="20"/>
          <w:lang w:eastAsia="en-CA"/>
        </w:rPr>
        <w:t>Canadian Charter of Rights and Freedoms</w:t>
      </w:r>
      <w:r w:rsidRPr="002F2423">
        <w:rPr>
          <w:rFonts w:eastAsia="Times New Roman" w:cs="Times New Roman"/>
          <w:color w:val="1A1A1A"/>
          <w:sz w:val="20"/>
          <w:szCs w:val="20"/>
          <w:lang w:eastAsia="en-CA"/>
        </w:rPr>
        <w:t>?</w:t>
      </w:r>
    </w:p>
    <w:p w:rsidR="002F2423" w:rsidRPr="002F2423" w:rsidRDefault="002F2423" w:rsidP="002F2423">
      <w:pPr>
        <w:ind w:left="1260" w:hanging="720"/>
        <w:jc w:val="both"/>
        <w:rPr>
          <w:rFonts w:eastAsia="Times New Roman" w:cs="Times New Roman"/>
          <w:color w:val="1A1A1A"/>
          <w:sz w:val="20"/>
          <w:szCs w:val="20"/>
          <w:lang w:eastAsia="en-CA"/>
        </w:rPr>
      </w:pPr>
    </w:p>
    <w:p w:rsidR="002F2423" w:rsidRPr="002F2423" w:rsidRDefault="002F2423" w:rsidP="002F2423">
      <w:pPr>
        <w:ind w:left="1260" w:hanging="720"/>
        <w:jc w:val="both"/>
        <w:rPr>
          <w:rFonts w:eastAsia="Times New Roman" w:cs="Times New Roman"/>
          <w:color w:val="1A1A1A"/>
          <w:sz w:val="20"/>
          <w:szCs w:val="20"/>
          <w:lang w:eastAsia="en-CA"/>
        </w:rPr>
      </w:pPr>
      <w:r w:rsidRPr="002F2423">
        <w:rPr>
          <w:rFonts w:eastAsia="Times New Roman" w:cs="Times New Roman"/>
          <w:color w:val="1A1A1A"/>
          <w:sz w:val="20"/>
          <w:szCs w:val="20"/>
          <w:lang w:eastAsia="en-CA"/>
        </w:rPr>
        <w:t xml:space="preserve">3. </w:t>
      </w:r>
      <w:r w:rsidRPr="002F2423">
        <w:rPr>
          <w:rFonts w:eastAsia="Times New Roman" w:cs="Times New Roman"/>
          <w:color w:val="1A1A1A"/>
          <w:sz w:val="20"/>
          <w:szCs w:val="20"/>
          <w:lang w:eastAsia="en-CA"/>
        </w:rPr>
        <w:tab/>
        <w:t xml:space="preserve">Do ss. 231.2(1) and 231.7 and the definition of “solicitor-client privilege” set out in s. 232(1) of the </w:t>
      </w:r>
      <w:r w:rsidRPr="002F2423">
        <w:rPr>
          <w:rFonts w:eastAsia="Times New Roman" w:cs="Times New Roman"/>
          <w:i/>
          <w:color w:val="1A1A1A"/>
          <w:sz w:val="20"/>
          <w:szCs w:val="20"/>
          <w:lang w:eastAsia="en-CA"/>
        </w:rPr>
        <w:t>Income Tax Act</w:t>
      </w:r>
      <w:r w:rsidRPr="002F2423">
        <w:rPr>
          <w:rFonts w:eastAsia="Times New Roman" w:cs="Times New Roman"/>
          <w:color w:val="1A1A1A"/>
          <w:sz w:val="20"/>
          <w:szCs w:val="20"/>
          <w:lang w:eastAsia="en-CA"/>
        </w:rPr>
        <w:t xml:space="preserve">, R.S.C. 1985, c. 1 (5th Supp.), infringe the right guaranteed by s. 8 of the </w:t>
      </w:r>
      <w:r w:rsidRPr="002F2423">
        <w:rPr>
          <w:rFonts w:eastAsia="Times New Roman" w:cs="Times New Roman"/>
          <w:i/>
          <w:color w:val="1A1A1A"/>
          <w:sz w:val="20"/>
          <w:szCs w:val="20"/>
          <w:lang w:eastAsia="en-CA"/>
        </w:rPr>
        <w:t>Canadian Charter of Rights and Freedoms</w:t>
      </w:r>
      <w:r w:rsidRPr="002F2423">
        <w:rPr>
          <w:rFonts w:eastAsia="Times New Roman" w:cs="Times New Roman"/>
          <w:color w:val="1A1A1A"/>
          <w:sz w:val="20"/>
          <w:szCs w:val="20"/>
          <w:lang w:eastAsia="en-CA"/>
        </w:rPr>
        <w:t xml:space="preserve"> insofar as they apply to a lawyer or a notary?</w:t>
      </w:r>
    </w:p>
    <w:p w:rsidR="002F2423" w:rsidRPr="002F2423" w:rsidRDefault="002F2423" w:rsidP="002F2423">
      <w:pPr>
        <w:ind w:left="1260" w:hanging="720"/>
        <w:jc w:val="both"/>
        <w:rPr>
          <w:rFonts w:eastAsia="Times New Roman" w:cs="Times New Roman"/>
          <w:color w:val="1A1A1A"/>
          <w:sz w:val="20"/>
          <w:szCs w:val="20"/>
          <w:lang w:eastAsia="en-CA"/>
        </w:rPr>
      </w:pPr>
    </w:p>
    <w:p w:rsidR="002F2423" w:rsidRPr="002F2423" w:rsidRDefault="002F2423" w:rsidP="002F2423">
      <w:pPr>
        <w:ind w:left="1260" w:hanging="720"/>
        <w:contextualSpacing/>
        <w:jc w:val="both"/>
        <w:rPr>
          <w:rFonts w:cs="Times New Roman"/>
          <w:b/>
          <w:bCs/>
          <w:sz w:val="20"/>
          <w:szCs w:val="20"/>
        </w:rPr>
      </w:pPr>
      <w:r w:rsidRPr="002F2423">
        <w:rPr>
          <w:rFonts w:cs="Times New Roman"/>
          <w:color w:val="1A1A1A"/>
          <w:sz w:val="20"/>
          <w:szCs w:val="20"/>
        </w:rPr>
        <w:t xml:space="preserve">4. </w:t>
      </w:r>
      <w:r w:rsidRPr="002F2423">
        <w:rPr>
          <w:rFonts w:cs="Times New Roman"/>
          <w:color w:val="1A1A1A"/>
          <w:sz w:val="20"/>
          <w:szCs w:val="20"/>
        </w:rPr>
        <w:tab/>
        <w:t xml:space="preserve">If so, is the infringement a reasonable limit prescribed by law that can be demonstrably justified in a free and democratic society under s. 1 of the </w:t>
      </w:r>
      <w:r w:rsidRPr="002F2423">
        <w:rPr>
          <w:rFonts w:cs="Times New Roman"/>
          <w:i/>
          <w:color w:val="1A1A1A"/>
          <w:sz w:val="20"/>
          <w:szCs w:val="20"/>
        </w:rPr>
        <w:t>Canadian Charter of Rights and Freedoms</w:t>
      </w:r>
      <w:r w:rsidRPr="002F2423">
        <w:rPr>
          <w:rFonts w:cs="Times New Roman"/>
          <w:color w:val="1A1A1A"/>
          <w:sz w:val="20"/>
          <w:szCs w:val="20"/>
        </w:rPr>
        <w:t>?</w:t>
      </w:r>
    </w:p>
    <w:p w:rsidR="002F2423" w:rsidRPr="002F2423" w:rsidRDefault="002F2423" w:rsidP="002F2423">
      <w:pPr>
        <w:ind w:left="720"/>
        <w:contextualSpacing/>
        <w:jc w:val="both"/>
        <w:rPr>
          <w:rFonts w:cs="Times New Roman"/>
          <w:b/>
          <w:bCs/>
          <w:sz w:val="20"/>
          <w:szCs w:val="20"/>
        </w:rPr>
      </w:pPr>
    </w:p>
    <w:p w:rsidR="002F2423" w:rsidRPr="002F2423" w:rsidRDefault="002F2423" w:rsidP="002F2423">
      <w:pPr>
        <w:jc w:val="both"/>
        <w:rPr>
          <w:rFonts w:eastAsia="Times New Roman" w:cs="Times New Roman"/>
          <w:sz w:val="20"/>
          <w:szCs w:val="20"/>
          <w:lang w:val="en-US" w:eastAsia="en-CA"/>
        </w:rPr>
      </w:pPr>
      <w:r w:rsidRPr="002F2423">
        <w:rPr>
          <w:rFonts w:eastAsia="Times New Roman" w:cs="Times New Roman"/>
          <w:sz w:val="20"/>
          <w:szCs w:val="20"/>
          <w:lang w:val="en-US" w:eastAsia="en-CA"/>
        </w:rPr>
        <w:t xml:space="preserve">Any attorney general who intervenes pursuant to par. 61(4) of the </w:t>
      </w:r>
      <w:r w:rsidRPr="002F2423">
        <w:rPr>
          <w:rFonts w:eastAsia="Times New Roman" w:cs="Times New Roman"/>
          <w:i/>
          <w:sz w:val="20"/>
          <w:szCs w:val="20"/>
          <w:lang w:val="en-US" w:eastAsia="en-CA"/>
        </w:rPr>
        <w:t>Rules of the Supreme Court of Canada</w:t>
      </w:r>
      <w:r w:rsidRPr="002F2423">
        <w:rPr>
          <w:rFonts w:eastAsia="Times New Roman" w:cs="Times New Roman"/>
          <w:sz w:val="20"/>
          <w:szCs w:val="20"/>
          <w:lang w:val="en-US" w:eastAsia="en-CA"/>
        </w:rPr>
        <w:t xml:space="preserve"> shall pay the appellants and respondents the costs of any additional disbursements they incur as a result of the intervention.</w:t>
      </w:r>
    </w:p>
    <w:p w:rsidR="002F2423" w:rsidRPr="002F2423" w:rsidRDefault="002F2423" w:rsidP="002F2423">
      <w:pPr>
        <w:tabs>
          <w:tab w:val="left" w:pos="-1440"/>
          <w:tab w:val="left" w:pos="-720"/>
        </w:tabs>
        <w:jc w:val="both"/>
        <w:rPr>
          <w:rFonts w:eastAsia="Times New Roman" w:cs="Times New Roman"/>
          <w:sz w:val="20"/>
          <w:szCs w:val="20"/>
          <w:lang w:val="en-US" w:eastAsia="en-CA"/>
        </w:rPr>
      </w:pPr>
    </w:p>
    <w:p w:rsidR="002F2423" w:rsidRPr="002F2423" w:rsidRDefault="005A3634" w:rsidP="002F242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2F2423" w:rsidRDefault="002F2423">
      <w:pPr>
        <w:rPr>
          <w:rFonts w:eastAsia="Times New Roman" w:cs="Times New Roman"/>
          <w:sz w:val="20"/>
          <w:szCs w:val="20"/>
          <w:lang w:eastAsia="en-CA"/>
        </w:rPr>
      </w:pPr>
    </w:p>
    <w:p w:rsidR="002F2423" w:rsidRPr="002F2423" w:rsidRDefault="002F2423" w:rsidP="002F2423">
      <w:pPr>
        <w:tabs>
          <w:tab w:val="left" w:pos="-1440"/>
          <w:tab w:val="left" w:pos="-720"/>
        </w:tabs>
        <w:jc w:val="both"/>
        <w:rPr>
          <w:rFonts w:eastAsia="Times New Roman" w:cs="Times New Roman"/>
          <w:sz w:val="20"/>
          <w:szCs w:val="20"/>
          <w:lang w:eastAsia="en-CA"/>
        </w:rPr>
      </w:pPr>
      <w:r w:rsidRPr="002F2423">
        <w:rPr>
          <w:rFonts w:eastAsia="Times New Roman" w:cs="Times New Roman"/>
          <w:sz w:val="20"/>
          <w:szCs w:val="20"/>
          <w:lang w:eastAsia="en-CA"/>
        </w:rPr>
        <w:t>10.02.2015</w:t>
      </w:r>
    </w:p>
    <w:p w:rsidR="002F2423" w:rsidRPr="002F2423" w:rsidRDefault="002F2423" w:rsidP="002F2423">
      <w:pPr>
        <w:tabs>
          <w:tab w:val="left" w:pos="-1440"/>
          <w:tab w:val="left" w:pos="-720"/>
        </w:tabs>
        <w:jc w:val="both"/>
        <w:rPr>
          <w:rFonts w:eastAsia="Times New Roman" w:cs="Times New Roman"/>
          <w:sz w:val="20"/>
          <w:szCs w:val="20"/>
          <w:lang w:eastAsia="en-CA"/>
        </w:rPr>
      </w:pPr>
    </w:p>
    <w:p w:rsidR="002F2423" w:rsidRPr="002F2423" w:rsidRDefault="002F2423" w:rsidP="002F2423">
      <w:pPr>
        <w:tabs>
          <w:tab w:val="left" w:pos="-1440"/>
          <w:tab w:val="left" w:pos="-720"/>
        </w:tabs>
        <w:jc w:val="both"/>
        <w:rPr>
          <w:rFonts w:eastAsia="Times New Roman" w:cs="Times New Roman"/>
          <w:sz w:val="20"/>
          <w:szCs w:val="20"/>
          <w:lang w:eastAsia="en-CA"/>
        </w:rPr>
      </w:pPr>
      <w:r w:rsidRPr="002F2423">
        <w:rPr>
          <w:rFonts w:eastAsia="Times New Roman" w:cs="Times New Roman"/>
          <w:sz w:val="20"/>
          <w:szCs w:val="20"/>
          <w:lang w:eastAsia="en-CA"/>
        </w:rPr>
        <w:t>Before / Devant:   THE COURT / LA COUR</w:t>
      </w:r>
    </w:p>
    <w:p w:rsidR="002F2423" w:rsidRPr="002F2423" w:rsidRDefault="002F2423" w:rsidP="002F2423">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F2423" w:rsidRPr="002F2423" w:rsidTr="002F2423">
        <w:trPr>
          <w:trHeight w:val="151"/>
        </w:trPr>
        <w:tc>
          <w:tcPr>
            <w:tcW w:w="4338" w:type="dxa"/>
          </w:tcPr>
          <w:p w:rsidR="002F2423" w:rsidRPr="002F2423" w:rsidRDefault="00286B88" w:rsidP="002F2423">
            <w:pPr>
              <w:tabs>
                <w:tab w:val="left" w:pos="-1440"/>
                <w:tab w:val="left" w:pos="-720"/>
              </w:tabs>
              <w:jc w:val="both"/>
              <w:rPr>
                <w:lang w:val="fr-CA"/>
              </w:rPr>
            </w:pPr>
            <w:r w:rsidRPr="002F2423">
              <w:rPr>
                <w:lang w:val="en-US"/>
              </w:rPr>
              <w:fldChar w:fldCharType="begin"/>
            </w:r>
            <w:r w:rsidR="002F2423" w:rsidRPr="002F2423">
              <w:rPr>
                <w:lang w:val="fr-CA"/>
              </w:rPr>
              <w:instrText xml:space="preserve"> SEQ CHAPTER \h \r 1</w:instrText>
            </w:r>
            <w:r w:rsidRPr="002F2423">
              <w:rPr>
                <w:lang w:val="en-US"/>
              </w:rPr>
              <w:fldChar w:fldCharType="end"/>
            </w:r>
            <w:r w:rsidR="002F2423" w:rsidRPr="002F2423">
              <w:rPr>
                <w:b/>
                <w:bCs/>
                <w:lang w:val="fr-CA"/>
              </w:rPr>
              <w:t>Motion to quash</w:t>
            </w:r>
          </w:p>
          <w:p w:rsidR="002F2423" w:rsidRPr="002F2423" w:rsidRDefault="00286B88" w:rsidP="002F2423">
            <w:pPr>
              <w:tabs>
                <w:tab w:val="left" w:pos="-1440"/>
                <w:tab w:val="left" w:pos="-720"/>
              </w:tabs>
              <w:jc w:val="both"/>
              <w:rPr>
                <w:lang w:val="fr-CA"/>
              </w:rPr>
            </w:pPr>
            <w:r w:rsidRPr="002F2423">
              <w:rPr>
                <w:lang w:val="en-US"/>
              </w:rPr>
              <w:fldChar w:fldCharType="begin"/>
            </w:r>
            <w:r w:rsidR="002F2423" w:rsidRPr="002F2423">
              <w:rPr>
                <w:lang w:val="fr-CA"/>
              </w:rPr>
              <w:instrText xml:space="preserve"> SEQ CHAPTER \h \r 1</w:instrText>
            </w:r>
            <w:r w:rsidRPr="002F2423">
              <w:rPr>
                <w:lang w:val="en-US"/>
              </w:rPr>
              <w:fldChar w:fldCharType="end"/>
            </w:r>
          </w:p>
        </w:tc>
        <w:tc>
          <w:tcPr>
            <w:tcW w:w="1170" w:type="dxa"/>
          </w:tcPr>
          <w:p w:rsidR="002F2423" w:rsidRPr="002F2423" w:rsidRDefault="002F2423" w:rsidP="002F2423">
            <w:pPr>
              <w:jc w:val="both"/>
              <w:rPr>
                <w:lang w:val="fr-CA"/>
              </w:rPr>
            </w:pPr>
          </w:p>
          <w:p w:rsidR="002F2423" w:rsidRPr="002F2423" w:rsidRDefault="002F2423" w:rsidP="002F2423">
            <w:pPr>
              <w:jc w:val="both"/>
              <w:rPr>
                <w:lang w:val="fr-CA"/>
              </w:rPr>
            </w:pPr>
          </w:p>
        </w:tc>
        <w:tc>
          <w:tcPr>
            <w:tcW w:w="4327" w:type="dxa"/>
          </w:tcPr>
          <w:p w:rsidR="002F2423" w:rsidRPr="002F2423" w:rsidRDefault="002F2423" w:rsidP="002F2423">
            <w:pPr>
              <w:jc w:val="both"/>
              <w:rPr>
                <w:b/>
                <w:lang w:val="fr-CA"/>
              </w:rPr>
            </w:pPr>
            <w:r w:rsidRPr="002F2423">
              <w:rPr>
                <w:b/>
                <w:bCs/>
                <w:lang w:val="fr-CA"/>
              </w:rPr>
              <w:t>Requête en cassation</w:t>
            </w:r>
            <w:r w:rsidRPr="002F2423">
              <w:rPr>
                <w:b/>
                <w:lang w:val="en-US"/>
              </w:rPr>
              <w:t xml:space="preserve"> </w:t>
            </w:r>
            <w:r w:rsidR="00286B88" w:rsidRPr="002F2423">
              <w:rPr>
                <w:b/>
                <w:lang w:val="en-US"/>
              </w:rPr>
              <w:fldChar w:fldCharType="begin"/>
            </w:r>
            <w:r w:rsidRPr="002F2423">
              <w:rPr>
                <w:b/>
                <w:lang w:val="fr-CA"/>
              </w:rPr>
              <w:instrText xml:space="preserve"> SEQ CHAPTER \h \r 1</w:instrText>
            </w:r>
            <w:r w:rsidR="00286B88" w:rsidRPr="002F2423">
              <w:rPr>
                <w:b/>
                <w:lang w:val="en-US"/>
              </w:rPr>
              <w:fldChar w:fldCharType="end"/>
            </w:r>
            <w:r w:rsidR="00286B88" w:rsidRPr="002F2423">
              <w:rPr>
                <w:b/>
                <w:lang w:val="en-US"/>
              </w:rPr>
              <w:fldChar w:fldCharType="begin"/>
            </w:r>
            <w:r w:rsidRPr="002F2423">
              <w:rPr>
                <w:b/>
                <w:lang w:val="fr-CA"/>
              </w:rPr>
              <w:instrText xml:space="preserve"> SEQ CHAPTER \h \r 1</w:instrText>
            </w:r>
            <w:r w:rsidR="00286B88" w:rsidRPr="002F2423">
              <w:rPr>
                <w:b/>
                <w:lang w:val="en-US"/>
              </w:rPr>
              <w:fldChar w:fldCharType="end"/>
            </w:r>
          </w:p>
        </w:tc>
      </w:tr>
      <w:tr w:rsidR="002F2423" w:rsidRPr="008B79EB" w:rsidTr="002F2423">
        <w:trPr>
          <w:trHeight w:val="150"/>
        </w:trPr>
        <w:tc>
          <w:tcPr>
            <w:tcW w:w="4338" w:type="dxa"/>
          </w:tcPr>
          <w:p w:rsidR="002F2423" w:rsidRPr="002F2423" w:rsidRDefault="002F2423" w:rsidP="002F2423">
            <w:pPr>
              <w:tabs>
                <w:tab w:val="left" w:pos="-1440"/>
                <w:tab w:val="left" w:pos="-720"/>
              </w:tabs>
              <w:jc w:val="both"/>
              <w:rPr>
                <w:lang w:val="fr-CA"/>
              </w:rPr>
            </w:pPr>
            <w:r w:rsidRPr="002F2423">
              <w:rPr>
                <w:lang w:val="fr-CA"/>
              </w:rPr>
              <w:t>Procureur générale du Québec et autres</w:t>
            </w:r>
          </w:p>
          <w:p w:rsidR="002F2423" w:rsidRPr="002F2423" w:rsidRDefault="002F2423" w:rsidP="002F2423">
            <w:pPr>
              <w:tabs>
                <w:tab w:val="left" w:pos="-1440"/>
                <w:tab w:val="left" w:pos="-720"/>
              </w:tabs>
              <w:jc w:val="both"/>
              <w:rPr>
                <w:lang w:val="fr-CA"/>
              </w:rPr>
            </w:pPr>
          </w:p>
          <w:p w:rsidR="002F2423" w:rsidRPr="002F2423" w:rsidRDefault="002F2423" w:rsidP="002F2423">
            <w:pPr>
              <w:tabs>
                <w:tab w:val="left" w:pos="-1440"/>
                <w:tab w:val="left" w:pos="-720"/>
              </w:tabs>
              <w:jc w:val="both"/>
              <w:rPr>
                <w:lang w:val="fr-CA"/>
              </w:rPr>
            </w:pPr>
            <w:r w:rsidRPr="002F2423">
              <w:rPr>
                <w:lang w:val="fr-CA"/>
              </w:rPr>
              <w:tab/>
              <w:t>c. (36231)</w:t>
            </w:r>
          </w:p>
          <w:p w:rsidR="002F2423" w:rsidRPr="002F2423" w:rsidRDefault="002F2423" w:rsidP="002F2423">
            <w:pPr>
              <w:tabs>
                <w:tab w:val="left" w:pos="-1440"/>
                <w:tab w:val="left" w:pos="-720"/>
              </w:tabs>
              <w:jc w:val="both"/>
              <w:rPr>
                <w:lang w:val="fr-CA"/>
              </w:rPr>
            </w:pPr>
          </w:p>
          <w:p w:rsidR="002F2423" w:rsidRPr="002F2423" w:rsidRDefault="002F2423" w:rsidP="002F2423">
            <w:pPr>
              <w:tabs>
                <w:tab w:val="left" w:pos="-1440"/>
                <w:tab w:val="left" w:pos="-720"/>
              </w:tabs>
              <w:jc w:val="both"/>
              <w:rPr>
                <w:lang w:val="fr-CA"/>
              </w:rPr>
            </w:pPr>
            <w:r w:rsidRPr="002F2423">
              <w:rPr>
                <w:lang w:val="fr-CA"/>
              </w:rPr>
              <w:t>Procureur général du Canada (Qc)</w:t>
            </w:r>
          </w:p>
        </w:tc>
        <w:tc>
          <w:tcPr>
            <w:tcW w:w="1170" w:type="dxa"/>
          </w:tcPr>
          <w:p w:rsidR="002F2423" w:rsidRPr="002F2423" w:rsidRDefault="002F2423" w:rsidP="002F2423">
            <w:pPr>
              <w:jc w:val="both"/>
              <w:rPr>
                <w:lang w:val="fr-CA"/>
              </w:rPr>
            </w:pPr>
          </w:p>
        </w:tc>
        <w:tc>
          <w:tcPr>
            <w:tcW w:w="4327" w:type="dxa"/>
          </w:tcPr>
          <w:p w:rsidR="002F2423" w:rsidRPr="002F2423" w:rsidRDefault="002F2423" w:rsidP="002F2423">
            <w:pPr>
              <w:jc w:val="both"/>
              <w:rPr>
                <w:lang w:val="fr-CA"/>
              </w:rPr>
            </w:pPr>
          </w:p>
        </w:tc>
      </w:tr>
    </w:tbl>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sz w:val="20"/>
          <w:szCs w:val="20"/>
          <w:lang w:eastAsia="en-CA"/>
        </w:rPr>
      </w:pPr>
      <w:r w:rsidRPr="002F2423">
        <w:rPr>
          <w:rFonts w:eastAsia="Times New Roman" w:cs="Times New Roman"/>
          <w:b/>
          <w:sz w:val="20"/>
          <w:szCs w:val="20"/>
          <w:lang w:eastAsia="en-CA"/>
        </w:rPr>
        <w:t>DISMISSED / REJETÉE</w:t>
      </w:r>
    </w:p>
    <w:p w:rsidR="002F2423" w:rsidRPr="002F2423" w:rsidRDefault="002F2423" w:rsidP="002F2423">
      <w:pPr>
        <w:tabs>
          <w:tab w:val="left" w:pos="-1440"/>
          <w:tab w:val="left" w:pos="-720"/>
        </w:tabs>
        <w:jc w:val="both"/>
        <w:rPr>
          <w:rFonts w:eastAsia="Times New Roman" w:cs="Times New Roman"/>
          <w:sz w:val="20"/>
          <w:szCs w:val="20"/>
          <w:lang w:eastAsia="en-CA"/>
        </w:rPr>
      </w:pPr>
    </w:p>
    <w:p w:rsidR="002F2423" w:rsidRPr="002F2423" w:rsidRDefault="002F2423" w:rsidP="002F2423">
      <w:pPr>
        <w:rPr>
          <w:rFonts w:eastAsia="Times New Roman" w:cs="Times New Roman"/>
          <w:b/>
          <w:sz w:val="20"/>
          <w:szCs w:val="20"/>
          <w:lang w:val="en-US" w:eastAsia="en-CA"/>
        </w:rPr>
      </w:pPr>
      <w:r w:rsidRPr="002F2423">
        <w:rPr>
          <w:rFonts w:eastAsia="Times New Roman" w:cs="Times New Roman"/>
          <w:b/>
          <w:sz w:val="20"/>
          <w:szCs w:val="20"/>
          <w:lang w:val="en-US" w:eastAsia="en-CA"/>
        </w:rPr>
        <w:t xml:space="preserve">UPON APPLICATION </w:t>
      </w:r>
      <w:r w:rsidRPr="002F2423">
        <w:rPr>
          <w:rFonts w:eastAsia="Times New Roman" w:cs="Times New Roman"/>
          <w:sz w:val="20"/>
          <w:szCs w:val="20"/>
          <w:lang w:val="en-US" w:eastAsia="en-CA"/>
        </w:rPr>
        <w:t>by the Attorney General of Canada to quash the Notice of Appeal filed by Rocco Galati and the Constitutional Rights Centre Inc. on December 24, 2014;</w:t>
      </w:r>
    </w:p>
    <w:p w:rsidR="002F2423" w:rsidRPr="002F2423" w:rsidRDefault="002F2423" w:rsidP="002F2423">
      <w:pPr>
        <w:rPr>
          <w:rFonts w:eastAsia="Times New Roman" w:cs="Times New Roman"/>
          <w:b/>
          <w:sz w:val="20"/>
          <w:szCs w:val="20"/>
          <w:lang w:val="en-US" w:eastAsia="en-CA"/>
        </w:rPr>
      </w:pPr>
    </w:p>
    <w:p w:rsidR="002F2423" w:rsidRPr="002F2423" w:rsidRDefault="002F2423" w:rsidP="002F2423">
      <w:pPr>
        <w:rPr>
          <w:rFonts w:eastAsia="Times New Roman" w:cs="Times New Roman"/>
          <w:b/>
          <w:sz w:val="20"/>
          <w:szCs w:val="20"/>
          <w:lang w:val="en-US" w:eastAsia="en-CA"/>
        </w:rPr>
      </w:pPr>
      <w:r w:rsidRPr="002F2423">
        <w:rPr>
          <w:rFonts w:eastAsia="Times New Roman" w:cs="Times New Roman"/>
          <w:b/>
          <w:sz w:val="20"/>
          <w:szCs w:val="20"/>
          <w:lang w:val="en-US" w:eastAsia="en-CA"/>
        </w:rPr>
        <w:t xml:space="preserve">AND THE MATERIAL FILED </w:t>
      </w:r>
      <w:r w:rsidRPr="002F2423">
        <w:rPr>
          <w:rFonts w:eastAsia="Times New Roman" w:cs="Times New Roman"/>
          <w:sz w:val="20"/>
          <w:szCs w:val="20"/>
          <w:lang w:val="en-US" w:eastAsia="en-CA"/>
        </w:rPr>
        <w:t>having been read;</w:t>
      </w:r>
      <w:r w:rsidRPr="002F2423">
        <w:rPr>
          <w:rFonts w:eastAsia="Times New Roman" w:cs="Times New Roman"/>
          <w:b/>
          <w:sz w:val="20"/>
          <w:szCs w:val="20"/>
          <w:lang w:val="en-US" w:eastAsia="en-CA"/>
        </w:rPr>
        <w:t xml:space="preserve"> </w:t>
      </w:r>
    </w:p>
    <w:p w:rsidR="002F2423" w:rsidRPr="002F2423" w:rsidRDefault="002F2423" w:rsidP="002F2423">
      <w:pPr>
        <w:rPr>
          <w:rFonts w:eastAsia="Times New Roman" w:cs="Times New Roman"/>
          <w:b/>
          <w:sz w:val="20"/>
          <w:szCs w:val="20"/>
          <w:lang w:val="en-US" w:eastAsia="en-CA"/>
        </w:rPr>
      </w:pPr>
    </w:p>
    <w:p w:rsidR="002F2423" w:rsidRPr="002F2423" w:rsidRDefault="002F2423" w:rsidP="002F2423">
      <w:pPr>
        <w:rPr>
          <w:rFonts w:eastAsia="Times New Roman" w:cs="Times New Roman"/>
          <w:sz w:val="20"/>
          <w:szCs w:val="20"/>
          <w:lang w:val="en-US" w:eastAsia="en-CA"/>
        </w:rPr>
      </w:pPr>
      <w:r w:rsidRPr="002F2423">
        <w:rPr>
          <w:rFonts w:eastAsia="Times New Roman" w:cs="Times New Roman"/>
          <w:b/>
          <w:sz w:val="20"/>
          <w:szCs w:val="20"/>
          <w:lang w:val="en-US" w:eastAsia="en-CA"/>
        </w:rPr>
        <w:t>IT IS HEREBY ORDERED THAT:</w:t>
      </w:r>
    </w:p>
    <w:p w:rsidR="002F2423" w:rsidRPr="002F2423" w:rsidRDefault="002F2423" w:rsidP="002F2423">
      <w:pPr>
        <w:contextualSpacing/>
        <w:rPr>
          <w:rFonts w:cs="Times New Roman"/>
          <w:bCs/>
          <w:sz w:val="20"/>
          <w:szCs w:val="20"/>
        </w:rPr>
      </w:pPr>
    </w:p>
    <w:p w:rsidR="002F2423" w:rsidRPr="002F2423" w:rsidRDefault="002F2423" w:rsidP="002F2423">
      <w:pPr>
        <w:widowControl w:val="0"/>
        <w:numPr>
          <w:ilvl w:val="0"/>
          <w:numId w:val="8"/>
        </w:numPr>
        <w:autoSpaceDE w:val="0"/>
        <w:autoSpaceDN w:val="0"/>
        <w:adjustRightInd w:val="0"/>
        <w:contextualSpacing/>
        <w:jc w:val="both"/>
        <w:rPr>
          <w:rFonts w:cs="Times New Roman"/>
          <w:bCs/>
          <w:sz w:val="20"/>
          <w:szCs w:val="20"/>
        </w:rPr>
      </w:pPr>
      <w:r w:rsidRPr="002F2423">
        <w:rPr>
          <w:rFonts w:cs="Times New Roman"/>
          <w:bCs/>
          <w:sz w:val="20"/>
          <w:szCs w:val="20"/>
        </w:rPr>
        <w:t xml:space="preserve">The motion is dismissed without costs. </w:t>
      </w:r>
    </w:p>
    <w:p w:rsidR="002F2423" w:rsidRPr="002F2423" w:rsidRDefault="002F2423" w:rsidP="002F2423">
      <w:pPr>
        <w:ind w:left="720"/>
        <w:contextualSpacing/>
        <w:rPr>
          <w:rFonts w:cs="Times New Roman"/>
          <w:bCs/>
          <w:sz w:val="20"/>
          <w:szCs w:val="20"/>
        </w:rPr>
      </w:pPr>
    </w:p>
    <w:p w:rsidR="002F2423" w:rsidRPr="002F2423" w:rsidRDefault="002F2423" w:rsidP="002F2423">
      <w:pPr>
        <w:widowControl w:val="0"/>
        <w:numPr>
          <w:ilvl w:val="0"/>
          <w:numId w:val="8"/>
        </w:numPr>
        <w:autoSpaceDE w:val="0"/>
        <w:autoSpaceDN w:val="0"/>
        <w:adjustRightInd w:val="0"/>
        <w:contextualSpacing/>
        <w:jc w:val="both"/>
        <w:rPr>
          <w:rFonts w:cs="Times New Roman"/>
          <w:bCs/>
          <w:sz w:val="20"/>
          <w:szCs w:val="20"/>
        </w:rPr>
      </w:pPr>
      <w:r w:rsidRPr="002F2423">
        <w:rPr>
          <w:rFonts w:cs="Times New Roman"/>
          <w:bCs/>
          <w:sz w:val="20"/>
          <w:szCs w:val="20"/>
        </w:rPr>
        <w:t>The order dated January 21, 2015, is varied to allow Rocco Galati, the Constitutional Rights Centre Inc. and the Association of Provincial Court Judges to each serve and file a factum not to exceed 20 pages in length. The Grand Council of Cree (Eeyou Istchee) and the Cree Nation Government shall be entitled to serve and file a joint factum not to exceed 20 pages in length.</w:t>
      </w:r>
    </w:p>
    <w:p w:rsidR="002F2423" w:rsidRPr="002F2423" w:rsidRDefault="002F2423" w:rsidP="002F2423">
      <w:pPr>
        <w:ind w:left="720"/>
        <w:contextualSpacing/>
        <w:rPr>
          <w:rFonts w:cs="Times New Roman"/>
          <w:bCs/>
          <w:sz w:val="20"/>
          <w:szCs w:val="20"/>
        </w:rPr>
      </w:pPr>
    </w:p>
    <w:p w:rsidR="002F2423" w:rsidRPr="002F2423" w:rsidRDefault="002F2423" w:rsidP="002F2423">
      <w:pPr>
        <w:widowControl w:val="0"/>
        <w:numPr>
          <w:ilvl w:val="0"/>
          <w:numId w:val="8"/>
        </w:numPr>
        <w:autoSpaceDE w:val="0"/>
        <w:autoSpaceDN w:val="0"/>
        <w:adjustRightInd w:val="0"/>
        <w:contextualSpacing/>
        <w:jc w:val="both"/>
        <w:rPr>
          <w:rFonts w:cs="Times New Roman"/>
          <w:bCs/>
          <w:sz w:val="20"/>
          <w:szCs w:val="20"/>
        </w:rPr>
      </w:pPr>
      <w:r w:rsidRPr="002F2423">
        <w:rPr>
          <w:rFonts w:cs="Times New Roman"/>
          <w:bCs/>
          <w:sz w:val="20"/>
          <w:szCs w:val="20"/>
        </w:rPr>
        <w:t>The style of cause shall be modified. The Attorney General of Quebec, Rocco Galati and the Constitutional Rights Centre Inc. shall be designated as appellants. The Attorney General of Canada shall be designated as respondent, and the Canadian Association of Provincial Court Judges, the Grand Council of Cree (Eeyou Istchee) and the Cree Nation Government shall be designated as interveners.</w:t>
      </w:r>
    </w:p>
    <w:p w:rsidR="002F2423" w:rsidRPr="002F2423" w:rsidRDefault="002F2423" w:rsidP="002F2423">
      <w:pPr>
        <w:ind w:left="720"/>
        <w:rPr>
          <w:rFonts w:eastAsia="Times New Roman" w:cs="Times New Roman"/>
          <w:bCs/>
          <w:sz w:val="20"/>
          <w:szCs w:val="20"/>
          <w:lang w:val="en-US" w:eastAsia="en-CA"/>
        </w:rPr>
      </w:pPr>
    </w:p>
    <w:p w:rsidR="002F2423" w:rsidRPr="002F2423" w:rsidRDefault="002F2423" w:rsidP="002F2423">
      <w:pPr>
        <w:widowControl w:val="0"/>
        <w:numPr>
          <w:ilvl w:val="0"/>
          <w:numId w:val="8"/>
        </w:numPr>
        <w:autoSpaceDE w:val="0"/>
        <w:autoSpaceDN w:val="0"/>
        <w:adjustRightInd w:val="0"/>
        <w:contextualSpacing/>
        <w:jc w:val="both"/>
        <w:rPr>
          <w:rFonts w:cs="Times New Roman"/>
          <w:bCs/>
          <w:sz w:val="20"/>
          <w:szCs w:val="20"/>
        </w:rPr>
      </w:pPr>
      <w:r w:rsidRPr="002F2423">
        <w:rPr>
          <w:rFonts w:cs="Times New Roman"/>
          <w:bCs/>
          <w:sz w:val="20"/>
          <w:szCs w:val="20"/>
        </w:rPr>
        <w:t>Rocco Galati, the Constitutional Rights Centre Inc. and the Canadian Association of Provincial Court Judges shall each be allowed to present oral argument not exceeding 10 minutes at the hearing of the appeals. The Grand Council of Cree (Eeyou Istchee) and the Cree Nation Government, together, shall be allowed to present oral argument not exceeding 10 minutes at the hearing of the appeals.</w:t>
      </w:r>
    </w:p>
    <w:p w:rsidR="002F2423" w:rsidRPr="002F2423" w:rsidRDefault="002F2423" w:rsidP="002F2423">
      <w:pPr>
        <w:contextualSpacing/>
        <w:rPr>
          <w:rFonts w:cs="Times New Roman"/>
          <w:bCs/>
          <w:sz w:val="20"/>
          <w:szCs w:val="20"/>
        </w:rPr>
      </w:pPr>
    </w:p>
    <w:p w:rsidR="002F2423" w:rsidRPr="002F2423" w:rsidRDefault="002F2423" w:rsidP="002F2423">
      <w:pPr>
        <w:contextualSpacing/>
        <w:rPr>
          <w:rFonts w:cs="Times New Roman"/>
          <w:bCs/>
          <w:sz w:val="20"/>
          <w:szCs w:val="20"/>
        </w:rPr>
      </w:pPr>
    </w:p>
    <w:p w:rsidR="002F2423" w:rsidRPr="002F2423" w:rsidRDefault="002F2423" w:rsidP="002F2423">
      <w:pPr>
        <w:contextualSpacing/>
        <w:rPr>
          <w:rFonts w:cs="Times New Roman"/>
          <w:bCs/>
          <w:sz w:val="20"/>
          <w:szCs w:val="20"/>
        </w:rPr>
      </w:pPr>
    </w:p>
    <w:p w:rsidR="002F2423" w:rsidRPr="002F2423" w:rsidRDefault="002F2423" w:rsidP="002F2423">
      <w:pPr>
        <w:rPr>
          <w:rFonts w:eastAsia="Times New Roman" w:cs="Times New Roman"/>
          <w:bCs/>
          <w:sz w:val="20"/>
          <w:szCs w:val="20"/>
          <w:lang w:val="fr-CA" w:eastAsia="en-CA"/>
        </w:rPr>
      </w:pPr>
      <w:r w:rsidRPr="002F2423">
        <w:rPr>
          <w:rFonts w:eastAsia="Times New Roman" w:cs="Times New Roman"/>
          <w:b/>
          <w:bCs/>
          <w:sz w:val="20"/>
          <w:szCs w:val="20"/>
          <w:lang w:val="fr-CA" w:eastAsia="en-CA"/>
        </w:rPr>
        <w:t>À LA SUITE DE LA DEMANDE</w:t>
      </w:r>
      <w:r w:rsidRPr="002F2423">
        <w:rPr>
          <w:rFonts w:eastAsia="Times New Roman" w:cs="Times New Roman"/>
          <w:bCs/>
          <w:sz w:val="20"/>
          <w:szCs w:val="20"/>
          <w:lang w:val="fr-CA" w:eastAsia="en-CA"/>
        </w:rPr>
        <w:t xml:space="preserve"> du procureur général du Canada pour annuler l’avis d’appel déposé par Rocco Galati et le Centre de Droit Constitutionnel Inc. le 24 décembre 2014;</w:t>
      </w:r>
    </w:p>
    <w:p w:rsidR="002F2423" w:rsidRPr="002F2423" w:rsidRDefault="002F2423" w:rsidP="002F2423">
      <w:pPr>
        <w:rPr>
          <w:rFonts w:eastAsia="Times New Roman" w:cs="Times New Roman"/>
          <w:bCs/>
          <w:sz w:val="20"/>
          <w:szCs w:val="20"/>
          <w:lang w:val="fr-CA" w:eastAsia="en-CA"/>
        </w:rPr>
      </w:pPr>
    </w:p>
    <w:p w:rsidR="002F2423" w:rsidRPr="002F2423" w:rsidRDefault="002F2423" w:rsidP="002F2423">
      <w:pPr>
        <w:rPr>
          <w:rFonts w:eastAsia="Times New Roman" w:cs="Times New Roman"/>
          <w:sz w:val="20"/>
          <w:szCs w:val="20"/>
          <w:lang w:val="fr-CA" w:eastAsia="en-CA"/>
        </w:rPr>
      </w:pPr>
      <w:r w:rsidRPr="002F2423">
        <w:rPr>
          <w:rFonts w:eastAsia="Times New Roman" w:cs="Times New Roman"/>
          <w:b/>
          <w:bCs/>
          <w:sz w:val="20"/>
          <w:szCs w:val="20"/>
          <w:lang w:val="fr-CA" w:eastAsia="en-CA"/>
        </w:rPr>
        <w:t xml:space="preserve">ET </w:t>
      </w:r>
      <w:r w:rsidRPr="002F2423">
        <w:rPr>
          <w:rFonts w:eastAsia="Times New Roman" w:cs="Times New Roman"/>
          <w:b/>
          <w:sz w:val="20"/>
          <w:szCs w:val="20"/>
          <w:lang w:val="fr-CA" w:eastAsia="en-CA"/>
        </w:rPr>
        <w:t>APRÈS EXAMEN</w:t>
      </w:r>
      <w:r w:rsidRPr="002F2423">
        <w:rPr>
          <w:rFonts w:eastAsia="Times New Roman" w:cs="Times New Roman"/>
          <w:sz w:val="20"/>
          <w:szCs w:val="20"/>
          <w:lang w:val="fr-CA" w:eastAsia="en-CA"/>
        </w:rPr>
        <w:t xml:space="preserve"> des documents déposés; </w:t>
      </w:r>
    </w:p>
    <w:p w:rsidR="002F2423" w:rsidRPr="002F2423" w:rsidRDefault="002F2423" w:rsidP="002F2423">
      <w:pPr>
        <w:rPr>
          <w:rFonts w:eastAsia="Times New Roman" w:cs="Times New Roman"/>
          <w:bCs/>
          <w:sz w:val="20"/>
          <w:szCs w:val="20"/>
          <w:lang w:val="fr-CA" w:eastAsia="en-CA"/>
        </w:rPr>
      </w:pPr>
    </w:p>
    <w:p w:rsidR="002F2423" w:rsidRPr="002F2423" w:rsidRDefault="002F2423" w:rsidP="002F2423">
      <w:pPr>
        <w:rPr>
          <w:rFonts w:eastAsia="Times New Roman" w:cs="Times New Roman"/>
          <w:b/>
          <w:bCs/>
          <w:sz w:val="20"/>
          <w:szCs w:val="20"/>
          <w:lang w:val="fr-CA" w:eastAsia="en-CA"/>
        </w:rPr>
      </w:pPr>
      <w:r w:rsidRPr="002F2423">
        <w:rPr>
          <w:rFonts w:eastAsia="Times New Roman" w:cs="Times New Roman"/>
          <w:b/>
          <w:bCs/>
          <w:sz w:val="20"/>
          <w:szCs w:val="20"/>
          <w:lang w:val="fr-CA" w:eastAsia="en-CA"/>
        </w:rPr>
        <w:t>IL EST ORDONNÉ CE QUI SUIT :</w:t>
      </w:r>
    </w:p>
    <w:p w:rsidR="002F2423" w:rsidRPr="002F2423" w:rsidRDefault="002F2423" w:rsidP="002F2423">
      <w:pPr>
        <w:rPr>
          <w:rFonts w:eastAsia="Times New Roman" w:cs="Times New Roman"/>
          <w:bCs/>
          <w:sz w:val="20"/>
          <w:szCs w:val="20"/>
          <w:lang w:val="fr-CA" w:eastAsia="en-CA"/>
        </w:rPr>
      </w:pPr>
    </w:p>
    <w:p w:rsidR="002F2423" w:rsidRPr="002F2423" w:rsidRDefault="002F2423" w:rsidP="002F2423">
      <w:pPr>
        <w:widowControl w:val="0"/>
        <w:numPr>
          <w:ilvl w:val="0"/>
          <w:numId w:val="9"/>
        </w:numPr>
        <w:autoSpaceDE w:val="0"/>
        <w:autoSpaceDN w:val="0"/>
        <w:adjustRightInd w:val="0"/>
        <w:contextualSpacing/>
        <w:jc w:val="both"/>
        <w:rPr>
          <w:rFonts w:eastAsia="PMingLiU" w:cs="Times New Roman"/>
          <w:sz w:val="20"/>
          <w:szCs w:val="20"/>
          <w:lang w:val="fr-CA"/>
        </w:rPr>
      </w:pPr>
      <w:r w:rsidRPr="002F2423">
        <w:rPr>
          <w:rFonts w:eastAsia="PMingLiU" w:cs="Times New Roman"/>
          <w:sz w:val="20"/>
          <w:szCs w:val="20"/>
          <w:lang w:val="fr-CA"/>
        </w:rPr>
        <w:t xml:space="preserve">La requête est rejetée sans dépens. </w:t>
      </w:r>
    </w:p>
    <w:p w:rsidR="002F2423" w:rsidRPr="002F2423" w:rsidRDefault="002F2423" w:rsidP="002F2423">
      <w:pPr>
        <w:ind w:left="720"/>
        <w:contextualSpacing/>
        <w:rPr>
          <w:rFonts w:eastAsia="PMingLiU" w:cs="Times New Roman"/>
          <w:sz w:val="20"/>
          <w:szCs w:val="20"/>
          <w:lang w:val="fr-CA"/>
        </w:rPr>
      </w:pPr>
    </w:p>
    <w:p w:rsidR="002F2423" w:rsidRPr="002F2423" w:rsidRDefault="002F2423" w:rsidP="002F2423">
      <w:pPr>
        <w:widowControl w:val="0"/>
        <w:numPr>
          <w:ilvl w:val="0"/>
          <w:numId w:val="9"/>
        </w:numPr>
        <w:autoSpaceDE w:val="0"/>
        <w:autoSpaceDN w:val="0"/>
        <w:adjustRightInd w:val="0"/>
        <w:contextualSpacing/>
        <w:jc w:val="both"/>
        <w:rPr>
          <w:rFonts w:eastAsia="PMingLiU" w:cs="Times New Roman"/>
          <w:sz w:val="20"/>
          <w:szCs w:val="20"/>
          <w:lang w:val="fr-CA"/>
        </w:rPr>
      </w:pPr>
      <w:r w:rsidRPr="002F2423">
        <w:rPr>
          <w:rFonts w:eastAsia="PMingLiU" w:cs="Times New Roman"/>
          <w:sz w:val="20"/>
          <w:szCs w:val="20"/>
          <w:lang w:val="fr-CA"/>
        </w:rPr>
        <w:t xml:space="preserve">L’ordonnance datée du 21 janvier 2015 est modifiée pour autoriser Rocco Galati, le Centre de Droit Constitutionnel Inc. et l’Association canadienne des juges des cours provinciales à signifier et déposer un mémoire chacun, d’au plus 20 pages. Le Grand conseil des Cris (Eeyou Istchee) et le Gouvernement de la Nation Crie sont autorisés à signifier et déposer un mémoire conjoint d’au plus 20 pages. </w:t>
      </w:r>
    </w:p>
    <w:p w:rsidR="002F2423" w:rsidRPr="002F2423" w:rsidRDefault="002F2423" w:rsidP="002F2423">
      <w:pPr>
        <w:ind w:left="720"/>
        <w:contextualSpacing/>
        <w:rPr>
          <w:rFonts w:eastAsia="PMingLiU" w:cs="Times New Roman"/>
          <w:sz w:val="20"/>
          <w:szCs w:val="20"/>
          <w:lang w:val="fr-CA"/>
        </w:rPr>
      </w:pPr>
    </w:p>
    <w:p w:rsidR="002F2423" w:rsidRPr="002F2423" w:rsidRDefault="002F2423" w:rsidP="002F2423">
      <w:pPr>
        <w:widowControl w:val="0"/>
        <w:numPr>
          <w:ilvl w:val="0"/>
          <w:numId w:val="9"/>
        </w:numPr>
        <w:autoSpaceDE w:val="0"/>
        <w:autoSpaceDN w:val="0"/>
        <w:adjustRightInd w:val="0"/>
        <w:contextualSpacing/>
        <w:jc w:val="both"/>
        <w:rPr>
          <w:rFonts w:eastAsia="PMingLiU" w:cs="Times New Roman"/>
          <w:sz w:val="20"/>
          <w:szCs w:val="20"/>
          <w:lang w:val="fr-CA"/>
        </w:rPr>
      </w:pPr>
      <w:r w:rsidRPr="002F2423">
        <w:rPr>
          <w:rFonts w:eastAsia="PMingLiU" w:cs="Times New Roman"/>
          <w:sz w:val="20"/>
          <w:szCs w:val="20"/>
          <w:lang w:val="fr-CA"/>
        </w:rPr>
        <w:t>L’intitulé de cause est modifié. La procureure générale du Québec, Rocco Galati et le Centre de Droit Constitutionnel Inc. sont désignés appelants. Le procureur général du Canada est désigné intimé, et l’Association canadienne des juges des cours provinciales, le Grand conseil des Cris (Eeyou Istchee) et le Gouvernement de la Nation Crie sont désignés intervenants.</w:t>
      </w:r>
    </w:p>
    <w:p w:rsidR="002F2423" w:rsidRPr="002F2423" w:rsidRDefault="002F2423" w:rsidP="002F2423">
      <w:pPr>
        <w:ind w:left="720"/>
        <w:rPr>
          <w:rFonts w:eastAsia="PMingLiU" w:cs="Times New Roman"/>
          <w:sz w:val="20"/>
          <w:szCs w:val="20"/>
          <w:lang w:val="fr-CA" w:eastAsia="en-CA"/>
        </w:rPr>
      </w:pPr>
    </w:p>
    <w:p w:rsidR="002F2423" w:rsidRPr="002F2423" w:rsidRDefault="002F2423" w:rsidP="002F2423">
      <w:pPr>
        <w:widowControl w:val="0"/>
        <w:numPr>
          <w:ilvl w:val="0"/>
          <w:numId w:val="9"/>
        </w:numPr>
        <w:autoSpaceDE w:val="0"/>
        <w:autoSpaceDN w:val="0"/>
        <w:adjustRightInd w:val="0"/>
        <w:contextualSpacing/>
        <w:jc w:val="both"/>
        <w:rPr>
          <w:rFonts w:eastAsia="PMingLiU" w:cs="Times New Roman"/>
          <w:sz w:val="20"/>
          <w:szCs w:val="20"/>
          <w:lang w:val="fr-CA"/>
        </w:rPr>
      </w:pPr>
      <w:r w:rsidRPr="002F2423">
        <w:rPr>
          <w:rFonts w:eastAsia="PMingLiU" w:cs="Times New Roman"/>
          <w:sz w:val="20"/>
          <w:szCs w:val="20"/>
          <w:lang w:val="fr-CA"/>
        </w:rPr>
        <w:t>Rocco Galati, le Centre de Droit Constitutionnel Inc. et l’Association canadienne des juges des cours provinciales sont chacun autorisés à présenter des plaidoiries orales d’au plus 10 minutes lors de l’audition des appels. Le Grand conseil des Cris (Eeyou Istchee) et le Gouvernement de la Nation Crie sont autorisés, conjointement, à présenter une plaidoirie orale d’au plus 10 minutes lors de l’audition des appels.</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5A3634" w:rsidP="002F242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2F2423" w:rsidRPr="002F2423" w:rsidRDefault="002F2423" w:rsidP="002F2423">
      <w:pPr>
        <w:tabs>
          <w:tab w:val="left" w:pos="-1440"/>
          <w:tab w:val="left" w:pos="-720"/>
        </w:tabs>
        <w:jc w:val="both"/>
        <w:rPr>
          <w:rFonts w:eastAsia="Times New Roman" w:cs="Times New Roman"/>
          <w:sz w:val="20"/>
          <w:szCs w:val="20"/>
          <w:lang w:eastAsia="en-CA"/>
        </w:rPr>
      </w:pPr>
    </w:p>
    <w:p w:rsidR="002F2423" w:rsidRPr="002F2423" w:rsidRDefault="002F2423" w:rsidP="002F2423">
      <w:pPr>
        <w:tabs>
          <w:tab w:val="left" w:pos="-1440"/>
          <w:tab w:val="left" w:pos="-720"/>
        </w:tabs>
        <w:jc w:val="both"/>
        <w:rPr>
          <w:rFonts w:eastAsia="Times New Roman" w:cs="Times New Roman"/>
          <w:sz w:val="20"/>
          <w:szCs w:val="20"/>
          <w:lang w:val="fr-CA" w:eastAsia="en-CA"/>
        </w:rPr>
      </w:pPr>
      <w:r w:rsidRPr="002F2423">
        <w:rPr>
          <w:rFonts w:eastAsia="Times New Roman" w:cs="Times New Roman"/>
          <w:sz w:val="20"/>
          <w:szCs w:val="20"/>
          <w:lang w:val="fr-CA" w:eastAsia="en-CA"/>
        </w:rPr>
        <w:lastRenderedPageBreak/>
        <w:t>11.02.2015</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sz w:val="20"/>
          <w:szCs w:val="20"/>
          <w:lang w:val="fr-CA" w:eastAsia="en-CA"/>
        </w:rPr>
      </w:pPr>
      <w:r w:rsidRPr="002F2423">
        <w:rPr>
          <w:rFonts w:eastAsia="Times New Roman" w:cs="Times New Roman"/>
          <w:sz w:val="20"/>
          <w:szCs w:val="20"/>
          <w:lang w:val="fr-CA" w:eastAsia="en-CA"/>
        </w:rPr>
        <w:t>Before / Devant :   ROTHSTEIN J. / LE JUGE ROTHSTEIN</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2F2423" w:rsidRPr="002F2423" w:rsidTr="002F2423">
        <w:tc>
          <w:tcPr>
            <w:tcW w:w="4338" w:type="dxa"/>
            <w:gridSpan w:val="2"/>
          </w:tcPr>
          <w:p w:rsidR="002F2423" w:rsidRPr="002F2423" w:rsidRDefault="002F2423" w:rsidP="002F2423">
            <w:pPr>
              <w:rPr>
                <w:b/>
              </w:rPr>
            </w:pPr>
            <w:r w:rsidRPr="002F2423">
              <w:rPr>
                <w:b/>
              </w:rPr>
              <w:t>Motions for leave to intervene</w:t>
            </w:r>
            <w:r w:rsidRPr="002F2423">
              <w:rPr>
                <w:lang w:val="en-US"/>
              </w:rPr>
              <w:t xml:space="preserve"> </w:t>
            </w:r>
            <w:r w:rsidR="00286B88" w:rsidRPr="002F2423">
              <w:rPr>
                <w:lang w:val="en-US"/>
              </w:rPr>
              <w:fldChar w:fldCharType="begin"/>
            </w:r>
            <w:r w:rsidRPr="002F2423">
              <w:instrText xml:space="preserve"> SEQ CHAPTER \h \r 1</w:instrText>
            </w:r>
            <w:r w:rsidR="00286B88" w:rsidRPr="002F2423">
              <w:rPr>
                <w:lang w:val="en-US"/>
              </w:rPr>
              <w:fldChar w:fldCharType="end"/>
            </w:r>
          </w:p>
        </w:tc>
        <w:tc>
          <w:tcPr>
            <w:tcW w:w="1170" w:type="dxa"/>
          </w:tcPr>
          <w:p w:rsidR="002F2423" w:rsidRPr="002F2423" w:rsidRDefault="002F2423" w:rsidP="002F2423"/>
          <w:p w:rsidR="002F2423" w:rsidRPr="002F2423" w:rsidRDefault="002F2423" w:rsidP="002F2423"/>
        </w:tc>
        <w:tc>
          <w:tcPr>
            <w:tcW w:w="4327" w:type="dxa"/>
          </w:tcPr>
          <w:p w:rsidR="002F2423" w:rsidRPr="002F2423" w:rsidRDefault="002F2423" w:rsidP="002F2423">
            <w:pPr>
              <w:rPr>
                <w:b/>
              </w:rPr>
            </w:pPr>
            <w:r w:rsidRPr="002F2423">
              <w:rPr>
                <w:b/>
                <w:bCs/>
                <w:lang w:val="fr-CA"/>
              </w:rPr>
              <w:t>Requêtes en autorisation d’intervenir</w:t>
            </w:r>
            <w:r w:rsidRPr="002F2423">
              <w:rPr>
                <w:lang w:val="en-US"/>
              </w:rPr>
              <w:t xml:space="preserve"> </w:t>
            </w:r>
            <w:r w:rsidR="00286B88" w:rsidRPr="002F2423">
              <w:rPr>
                <w:lang w:val="en-US"/>
              </w:rPr>
              <w:fldChar w:fldCharType="begin"/>
            </w:r>
            <w:r w:rsidRPr="002F2423">
              <w:instrText xml:space="preserve"> SEQ CHAPTER \h \r 1</w:instrText>
            </w:r>
            <w:r w:rsidR="00286B88" w:rsidRPr="002F2423">
              <w:rPr>
                <w:lang w:val="en-US"/>
              </w:rPr>
              <w:fldChar w:fldCharType="end"/>
            </w:r>
          </w:p>
        </w:tc>
      </w:tr>
      <w:tr w:rsidR="002F2423" w:rsidRPr="002F2423" w:rsidTr="002F2423">
        <w:trPr>
          <w:trHeight w:hRule="exact" w:val="576"/>
        </w:trPr>
        <w:tc>
          <w:tcPr>
            <w:tcW w:w="1368" w:type="dxa"/>
          </w:tcPr>
          <w:p w:rsidR="002F2423" w:rsidRPr="002F2423" w:rsidRDefault="002F2423" w:rsidP="002F2423">
            <w:r w:rsidRPr="002F2423">
              <w:t>BY / PAR</w:t>
            </w:r>
          </w:p>
        </w:tc>
        <w:tc>
          <w:tcPr>
            <w:tcW w:w="2970" w:type="dxa"/>
          </w:tcPr>
          <w:p w:rsidR="002F2423" w:rsidRPr="002F2423" w:rsidRDefault="002F2423" w:rsidP="002F2423">
            <w:r w:rsidRPr="002F2423">
              <w:rPr>
                <w:lang w:val="en-US"/>
              </w:rPr>
              <w:t>Criminal Lawyers’ Association (Ontario);</w:t>
            </w: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rPr>
          <w:trHeight w:hRule="exact" w:val="576"/>
        </w:trPr>
        <w:tc>
          <w:tcPr>
            <w:tcW w:w="1368" w:type="dxa"/>
          </w:tcPr>
          <w:p w:rsidR="002F2423" w:rsidRPr="002F2423" w:rsidRDefault="002F2423" w:rsidP="002F2423"/>
        </w:tc>
        <w:tc>
          <w:tcPr>
            <w:tcW w:w="2970" w:type="dxa"/>
          </w:tcPr>
          <w:p w:rsidR="002F2423" w:rsidRPr="002F2423" w:rsidRDefault="002F2423" w:rsidP="002F2423">
            <w:pPr>
              <w:rPr>
                <w:lang w:val="en-US"/>
              </w:rPr>
            </w:pPr>
            <w:r w:rsidRPr="002F2423">
              <w:rPr>
                <w:lang w:val="en-US"/>
              </w:rPr>
              <w:t>British Columbia Civil Liberties Association</w:t>
            </w: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c>
          <w:tcPr>
            <w:tcW w:w="1368" w:type="dxa"/>
          </w:tcPr>
          <w:p w:rsidR="002F2423" w:rsidRPr="002F2423" w:rsidRDefault="002F2423" w:rsidP="002F2423"/>
        </w:tc>
        <w:tc>
          <w:tcPr>
            <w:tcW w:w="2970" w:type="dxa"/>
          </w:tcPr>
          <w:p w:rsidR="002F2423" w:rsidRPr="002F2423" w:rsidRDefault="002F2423" w:rsidP="002F2423">
            <w:pPr>
              <w:rPr>
                <w:lang w:val="en-US"/>
              </w:rPr>
            </w:pP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c>
          <w:tcPr>
            <w:tcW w:w="1368" w:type="dxa"/>
          </w:tcPr>
          <w:p w:rsidR="002F2423" w:rsidRPr="002F2423" w:rsidRDefault="002F2423" w:rsidP="002F2423">
            <w:r w:rsidRPr="002F2423">
              <w:t>IN / DANS :</w:t>
            </w:r>
          </w:p>
        </w:tc>
        <w:tc>
          <w:tcPr>
            <w:tcW w:w="2970" w:type="dxa"/>
          </w:tcPr>
          <w:p w:rsidR="002F2423" w:rsidRPr="002F2423" w:rsidRDefault="002F2423" w:rsidP="002F2423">
            <w:r w:rsidRPr="002F2423">
              <w:t>M.M. a.k.a. M.M.M.</w:t>
            </w:r>
          </w:p>
          <w:p w:rsidR="002F2423" w:rsidRPr="002F2423" w:rsidRDefault="002F2423" w:rsidP="002F2423"/>
          <w:p w:rsidR="002F2423" w:rsidRPr="002F2423" w:rsidRDefault="002F2423" w:rsidP="002F2423">
            <w:r w:rsidRPr="002F2423">
              <w:tab/>
              <w:t>v. (35838)</w:t>
            </w:r>
          </w:p>
          <w:p w:rsidR="002F2423" w:rsidRPr="002F2423" w:rsidRDefault="002F2423" w:rsidP="002F2423"/>
          <w:p w:rsidR="002F2423" w:rsidRPr="002F2423" w:rsidRDefault="002F2423" w:rsidP="002F2423">
            <w:r w:rsidRPr="002F2423">
              <w:t>Minister of Justice Canada on behalf of the United States of America (Crim.) (Que.)</w:t>
            </w:r>
          </w:p>
        </w:tc>
        <w:tc>
          <w:tcPr>
            <w:tcW w:w="1170" w:type="dxa"/>
          </w:tcPr>
          <w:p w:rsidR="002F2423" w:rsidRPr="002F2423" w:rsidRDefault="002F2423" w:rsidP="002F2423"/>
        </w:tc>
        <w:tc>
          <w:tcPr>
            <w:tcW w:w="4327" w:type="dxa"/>
          </w:tcPr>
          <w:p w:rsidR="002F2423" w:rsidRPr="002F2423" w:rsidRDefault="002F2423" w:rsidP="002F2423"/>
        </w:tc>
      </w:tr>
    </w:tbl>
    <w:p w:rsidR="002F2423" w:rsidRPr="002F2423" w:rsidRDefault="002F2423" w:rsidP="002F2423">
      <w:pPr>
        <w:tabs>
          <w:tab w:val="left" w:pos="-1440"/>
          <w:tab w:val="left" w:pos="-720"/>
        </w:tabs>
        <w:jc w:val="both"/>
        <w:rPr>
          <w:rFonts w:eastAsia="Times New Roman" w:cs="Times New Roman"/>
          <w:sz w:val="20"/>
          <w:szCs w:val="20"/>
          <w:lang w:eastAsia="en-CA"/>
        </w:rPr>
      </w:pPr>
    </w:p>
    <w:p w:rsidR="002F2423" w:rsidRPr="002F2423" w:rsidRDefault="002F2423" w:rsidP="002F2423">
      <w:pPr>
        <w:tabs>
          <w:tab w:val="left" w:pos="-1440"/>
          <w:tab w:val="left" w:pos="-720"/>
        </w:tabs>
        <w:jc w:val="both"/>
        <w:rPr>
          <w:rFonts w:eastAsia="Times New Roman" w:cs="Times New Roman"/>
          <w:sz w:val="20"/>
          <w:szCs w:val="20"/>
          <w:lang w:eastAsia="en-CA"/>
        </w:rPr>
      </w:pPr>
      <w:r w:rsidRPr="002F2423">
        <w:rPr>
          <w:rFonts w:eastAsia="Times New Roman" w:cs="Times New Roman"/>
          <w:b/>
          <w:sz w:val="20"/>
          <w:szCs w:val="20"/>
          <w:lang w:eastAsia="en-CA"/>
        </w:rPr>
        <w:t>GRANTED / ACCORDÉE</w:t>
      </w:r>
      <w:r w:rsidR="00AC589C">
        <w:rPr>
          <w:rFonts w:eastAsia="Times New Roman" w:cs="Times New Roman"/>
          <w:b/>
          <w:sz w:val="20"/>
          <w:szCs w:val="20"/>
          <w:lang w:eastAsia="en-CA"/>
        </w:rPr>
        <w:t>S</w:t>
      </w:r>
    </w:p>
    <w:p w:rsidR="002F2423" w:rsidRPr="002F2423" w:rsidRDefault="002F2423" w:rsidP="002F2423">
      <w:pPr>
        <w:tabs>
          <w:tab w:val="left" w:pos="-1440"/>
          <w:tab w:val="left" w:pos="-720"/>
        </w:tabs>
        <w:jc w:val="both"/>
        <w:rPr>
          <w:rFonts w:eastAsia="Times New Roman" w:cs="Times New Roman"/>
          <w:sz w:val="20"/>
          <w:szCs w:val="20"/>
          <w:lang w:eastAsia="en-CA"/>
        </w:rPr>
      </w:pPr>
    </w:p>
    <w:p w:rsidR="002F2423" w:rsidRPr="002F2423" w:rsidRDefault="002F2423" w:rsidP="002F2423">
      <w:pPr>
        <w:spacing w:line="233" w:lineRule="auto"/>
        <w:jc w:val="both"/>
        <w:rPr>
          <w:rFonts w:eastAsia="Times New Roman" w:cs="Times New Roman"/>
          <w:sz w:val="20"/>
          <w:szCs w:val="20"/>
          <w:lang w:val="en-US" w:eastAsia="en-CA"/>
        </w:rPr>
      </w:pPr>
      <w:r w:rsidRPr="002F2423">
        <w:rPr>
          <w:rFonts w:eastAsia="Times New Roman" w:cs="Times New Roman"/>
          <w:b/>
          <w:bCs/>
          <w:sz w:val="20"/>
          <w:szCs w:val="20"/>
          <w:lang w:val="en-US" w:eastAsia="en-CA"/>
        </w:rPr>
        <w:t xml:space="preserve">UPON APPLICATIONS </w:t>
      </w:r>
      <w:r w:rsidRPr="002F2423">
        <w:rPr>
          <w:rFonts w:eastAsia="Times New Roman" w:cs="Times New Roman"/>
          <w:sz w:val="20"/>
          <w:szCs w:val="20"/>
          <w:lang w:val="en-US" w:eastAsia="en-CA"/>
        </w:rPr>
        <w:t>by the Criminal Lawyers’ Association (Ontario) and the British Columbia Civil Liberties Association for leave to intervene in the above appeal;</w:t>
      </w:r>
    </w:p>
    <w:p w:rsidR="002F2423" w:rsidRPr="002F2423" w:rsidRDefault="002F2423" w:rsidP="002F2423">
      <w:pPr>
        <w:spacing w:line="233" w:lineRule="auto"/>
        <w:jc w:val="both"/>
        <w:rPr>
          <w:rFonts w:eastAsia="Times New Roman" w:cs="Times New Roman"/>
          <w:sz w:val="20"/>
          <w:szCs w:val="20"/>
          <w:lang w:val="en-US" w:eastAsia="en-CA"/>
        </w:rPr>
      </w:pPr>
    </w:p>
    <w:p w:rsidR="002F2423" w:rsidRPr="002F2423" w:rsidRDefault="002F2423" w:rsidP="002F2423">
      <w:pPr>
        <w:spacing w:line="233" w:lineRule="auto"/>
        <w:jc w:val="both"/>
        <w:rPr>
          <w:rFonts w:eastAsia="Times New Roman" w:cs="Times New Roman"/>
          <w:sz w:val="20"/>
          <w:szCs w:val="20"/>
          <w:lang w:val="en-US" w:eastAsia="en-CA"/>
        </w:rPr>
      </w:pPr>
      <w:r w:rsidRPr="002F2423">
        <w:rPr>
          <w:rFonts w:eastAsia="Times New Roman" w:cs="Times New Roman"/>
          <w:b/>
          <w:bCs/>
          <w:sz w:val="20"/>
          <w:szCs w:val="20"/>
          <w:lang w:val="en-US" w:eastAsia="en-CA"/>
        </w:rPr>
        <w:t>AND THE MATERIAL FILED</w:t>
      </w:r>
      <w:r w:rsidRPr="002F2423">
        <w:rPr>
          <w:rFonts w:eastAsia="Times New Roman" w:cs="Times New Roman"/>
          <w:sz w:val="20"/>
          <w:szCs w:val="20"/>
          <w:lang w:val="en-US" w:eastAsia="en-CA"/>
        </w:rPr>
        <w:t xml:space="preserve"> having been read;</w:t>
      </w:r>
    </w:p>
    <w:p w:rsidR="002F2423" w:rsidRPr="002F2423" w:rsidRDefault="002F2423" w:rsidP="002F2423">
      <w:pPr>
        <w:spacing w:line="233" w:lineRule="auto"/>
        <w:jc w:val="both"/>
        <w:rPr>
          <w:rFonts w:eastAsia="Times New Roman" w:cs="Times New Roman"/>
          <w:sz w:val="20"/>
          <w:szCs w:val="20"/>
          <w:lang w:val="en-US" w:eastAsia="en-CA"/>
        </w:rPr>
      </w:pPr>
    </w:p>
    <w:p w:rsidR="002F2423" w:rsidRPr="002F2423" w:rsidRDefault="002F2423" w:rsidP="002F2423">
      <w:pPr>
        <w:spacing w:line="233" w:lineRule="auto"/>
        <w:jc w:val="both"/>
        <w:rPr>
          <w:rFonts w:eastAsia="Times New Roman" w:cs="Times New Roman"/>
          <w:sz w:val="20"/>
          <w:szCs w:val="20"/>
          <w:lang w:val="en-US" w:eastAsia="en-CA"/>
        </w:rPr>
      </w:pPr>
      <w:r w:rsidRPr="002F2423">
        <w:rPr>
          <w:rFonts w:eastAsia="Times New Roman" w:cs="Times New Roman"/>
          <w:b/>
          <w:bCs/>
          <w:sz w:val="20"/>
          <w:szCs w:val="20"/>
          <w:lang w:val="en-US" w:eastAsia="en-CA"/>
        </w:rPr>
        <w:t>IT IS HEREBY ORDERED THAT:</w:t>
      </w:r>
    </w:p>
    <w:p w:rsidR="002F2423" w:rsidRPr="002F2423" w:rsidRDefault="002F2423" w:rsidP="002F2423">
      <w:pPr>
        <w:spacing w:line="233" w:lineRule="auto"/>
        <w:jc w:val="both"/>
        <w:rPr>
          <w:rFonts w:eastAsia="Times New Roman" w:cs="Times New Roman"/>
          <w:sz w:val="20"/>
          <w:szCs w:val="20"/>
          <w:lang w:val="en-US" w:eastAsia="en-CA"/>
        </w:rPr>
      </w:pPr>
    </w:p>
    <w:p w:rsidR="002F2423" w:rsidRPr="002F2423" w:rsidRDefault="002F2423" w:rsidP="002F2423">
      <w:pPr>
        <w:spacing w:line="233" w:lineRule="auto"/>
        <w:jc w:val="both"/>
        <w:rPr>
          <w:rFonts w:eastAsia="Times New Roman" w:cs="Times New Roman"/>
          <w:sz w:val="20"/>
          <w:szCs w:val="20"/>
          <w:lang w:val="en-US" w:eastAsia="en-CA"/>
        </w:rPr>
      </w:pPr>
      <w:r w:rsidRPr="002F2423">
        <w:rPr>
          <w:rFonts w:eastAsia="Times New Roman" w:cs="Times New Roman"/>
          <w:sz w:val="20"/>
          <w:szCs w:val="20"/>
          <w:lang w:val="en-US" w:eastAsia="en-CA"/>
        </w:rPr>
        <w:t>The motions for leave to intervene of the Criminal Lawyers’ Association (Ontario) and the British Columbia Civil Liberties Association are granted and the said interveners shall be entitled to each serve and file a factum not exceeding 10 pages in length on or before March 3, 2015.</w:t>
      </w:r>
    </w:p>
    <w:p w:rsidR="002F2423" w:rsidRPr="002F2423" w:rsidRDefault="002F2423" w:rsidP="002F2423">
      <w:pPr>
        <w:spacing w:line="233" w:lineRule="auto"/>
        <w:ind w:left="720"/>
        <w:contextualSpacing/>
        <w:jc w:val="both"/>
        <w:rPr>
          <w:rFonts w:cs="Times New Roman"/>
          <w:sz w:val="20"/>
          <w:szCs w:val="20"/>
        </w:rPr>
      </w:pPr>
    </w:p>
    <w:p w:rsidR="002F2423" w:rsidRPr="002F2423" w:rsidRDefault="002F2423" w:rsidP="002F2423">
      <w:pPr>
        <w:spacing w:line="233" w:lineRule="auto"/>
        <w:jc w:val="both"/>
        <w:rPr>
          <w:rFonts w:eastAsia="Times New Roman" w:cs="Times New Roman"/>
          <w:sz w:val="20"/>
          <w:szCs w:val="20"/>
          <w:lang w:val="en-US" w:eastAsia="en-CA"/>
        </w:rPr>
      </w:pPr>
      <w:r w:rsidRPr="002F2423">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2F2423" w:rsidRPr="002F2423" w:rsidRDefault="002F2423" w:rsidP="002F2423">
      <w:pPr>
        <w:spacing w:line="233" w:lineRule="auto"/>
        <w:jc w:val="both"/>
        <w:rPr>
          <w:rFonts w:eastAsia="Times New Roman" w:cs="Times New Roman"/>
          <w:sz w:val="20"/>
          <w:szCs w:val="20"/>
          <w:lang w:val="en-US" w:eastAsia="en-CA"/>
        </w:rPr>
      </w:pPr>
    </w:p>
    <w:p w:rsidR="002F2423" w:rsidRPr="002F2423" w:rsidRDefault="002F2423" w:rsidP="002F2423">
      <w:pPr>
        <w:spacing w:line="233" w:lineRule="auto"/>
        <w:jc w:val="both"/>
        <w:rPr>
          <w:rFonts w:eastAsia="Times New Roman" w:cs="Times New Roman"/>
          <w:sz w:val="20"/>
          <w:szCs w:val="20"/>
          <w:lang w:val="en-US" w:eastAsia="en-CA"/>
        </w:rPr>
      </w:pPr>
      <w:r w:rsidRPr="002F2423">
        <w:rPr>
          <w:rFonts w:eastAsia="Times New Roman" w:cs="Times New Roman"/>
          <w:sz w:val="20"/>
          <w:szCs w:val="20"/>
          <w:lang w:val="en-US" w:eastAsia="en-CA"/>
        </w:rPr>
        <w:t xml:space="preserve">The interveners are not entitled to raise new issues or to adduce further evidence or otherwise to supplement the record of the parties. </w:t>
      </w:r>
    </w:p>
    <w:p w:rsidR="002F2423" w:rsidRPr="002F2423" w:rsidRDefault="002F2423" w:rsidP="002F2423">
      <w:pPr>
        <w:spacing w:line="233" w:lineRule="auto"/>
        <w:jc w:val="both"/>
        <w:rPr>
          <w:rFonts w:eastAsia="Times New Roman" w:cs="Times New Roman"/>
          <w:sz w:val="20"/>
          <w:szCs w:val="20"/>
          <w:lang w:val="en-US" w:eastAsia="en-CA"/>
        </w:rPr>
      </w:pPr>
    </w:p>
    <w:p w:rsidR="002F2423" w:rsidRPr="002F2423" w:rsidRDefault="002F2423" w:rsidP="002F2423">
      <w:pPr>
        <w:spacing w:line="233" w:lineRule="auto"/>
        <w:jc w:val="both"/>
        <w:rPr>
          <w:rFonts w:eastAsia="Times New Roman" w:cs="Times New Roman"/>
          <w:sz w:val="20"/>
          <w:szCs w:val="20"/>
          <w:lang w:val="en-US" w:eastAsia="en-CA"/>
        </w:rPr>
      </w:pPr>
      <w:r w:rsidRPr="002F2423">
        <w:rPr>
          <w:rFonts w:eastAsia="Times New Roman" w:cs="Times New Roman"/>
          <w:sz w:val="20"/>
          <w:szCs w:val="20"/>
          <w:lang w:val="en-US" w:eastAsia="en-CA"/>
        </w:rPr>
        <w:t>Pursuant to Rule 59(1)(</w:t>
      </w:r>
      <w:r w:rsidRPr="002F2423">
        <w:rPr>
          <w:rFonts w:eastAsia="Times New Roman" w:cs="Times New Roman"/>
          <w:i/>
          <w:iCs/>
          <w:sz w:val="20"/>
          <w:szCs w:val="20"/>
          <w:lang w:val="en-US" w:eastAsia="en-CA"/>
        </w:rPr>
        <w:t>a</w:t>
      </w:r>
      <w:r w:rsidRPr="002F2423">
        <w:rPr>
          <w:rFonts w:eastAsia="Times New Roman" w:cs="Times New Roman"/>
          <w:sz w:val="20"/>
          <w:szCs w:val="20"/>
          <w:lang w:val="en-US" w:eastAsia="en-CA"/>
        </w:rPr>
        <w:t xml:space="preserve">) of the </w:t>
      </w:r>
      <w:r w:rsidRPr="002F2423">
        <w:rPr>
          <w:rFonts w:eastAsia="Times New Roman" w:cs="Times New Roman"/>
          <w:i/>
          <w:iCs/>
          <w:sz w:val="20"/>
          <w:szCs w:val="20"/>
          <w:lang w:val="en-US" w:eastAsia="en-CA"/>
        </w:rPr>
        <w:t>Rules of the Supreme Court of Canada</w:t>
      </w:r>
      <w:r w:rsidRPr="002F2423">
        <w:rPr>
          <w:rFonts w:eastAsia="Times New Roman" w:cs="Times New Roman"/>
          <w:sz w:val="20"/>
          <w:szCs w:val="20"/>
          <w:lang w:val="en-US" w:eastAsia="en-CA"/>
        </w:rPr>
        <w:t>, the interveners shall pay to the appellant and respondent any additional disbursements occasioned to the appellant and respondent by their intervention.</w:t>
      </w:r>
    </w:p>
    <w:p w:rsidR="002F2423" w:rsidRPr="002F2423" w:rsidRDefault="002F2423" w:rsidP="002F2423">
      <w:pPr>
        <w:spacing w:line="233" w:lineRule="auto"/>
        <w:jc w:val="both"/>
        <w:rPr>
          <w:rFonts w:eastAsia="Times New Roman" w:cs="Times New Roman"/>
          <w:sz w:val="20"/>
          <w:szCs w:val="20"/>
          <w:lang w:val="en-US" w:eastAsia="en-CA"/>
        </w:rPr>
      </w:pPr>
    </w:p>
    <w:p w:rsidR="002F2423" w:rsidRPr="002F2423" w:rsidRDefault="002F2423" w:rsidP="002F2423">
      <w:pPr>
        <w:spacing w:line="233" w:lineRule="auto"/>
        <w:jc w:val="both"/>
        <w:rPr>
          <w:rFonts w:eastAsia="Times New Roman" w:cs="Times New Roman"/>
          <w:sz w:val="20"/>
          <w:szCs w:val="20"/>
          <w:lang w:val="en-US" w:eastAsia="en-CA"/>
        </w:rPr>
      </w:pPr>
      <w:r w:rsidRPr="002F2423">
        <w:rPr>
          <w:rFonts w:eastAsia="Times New Roman" w:cs="Times New Roman"/>
          <w:sz w:val="20"/>
          <w:szCs w:val="20"/>
          <w:lang w:val="en-US" w:eastAsia="en-CA"/>
        </w:rPr>
        <w:t xml:space="preserve">The request of the respondent for leave to file 5-page factums in response to each intervener is denied.  </w:t>
      </w:r>
    </w:p>
    <w:p w:rsidR="002F2423" w:rsidRPr="002F2423" w:rsidRDefault="002F2423" w:rsidP="002F2423">
      <w:pPr>
        <w:spacing w:line="233" w:lineRule="auto"/>
        <w:rPr>
          <w:rFonts w:eastAsia="Times New Roman" w:cs="Times New Roman"/>
          <w:sz w:val="20"/>
          <w:szCs w:val="20"/>
          <w:lang w:val="en-US" w:eastAsia="en-CA"/>
        </w:rPr>
      </w:pPr>
    </w:p>
    <w:p w:rsidR="002F2423" w:rsidRPr="002F2423" w:rsidRDefault="002F2423" w:rsidP="002F2423">
      <w:pPr>
        <w:spacing w:line="233" w:lineRule="auto"/>
        <w:rPr>
          <w:rFonts w:eastAsia="Times New Roman" w:cs="Times New Roman"/>
          <w:sz w:val="20"/>
          <w:szCs w:val="20"/>
          <w:lang w:val="en-US" w:eastAsia="en-CA"/>
        </w:rPr>
      </w:pPr>
    </w:p>
    <w:p w:rsidR="002F2423" w:rsidRPr="002F2423" w:rsidRDefault="002F2423" w:rsidP="002F2423">
      <w:pPr>
        <w:spacing w:line="233" w:lineRule="auto"/>
        <w:rPr>
          <w:rFonts w:eastAsia="Times New Roman" w:cs="Times New Roman"/>
          <w:sz w:val="20"/>
          <w:szCs w:val="20"/>
          <w:lang w:val="en-US" w:eastAsia="en-CA"/>
        </w:rPr>
      </w:pPr>
    </w:p>
    <w:p w:rsidR="002F2423" w:rsidRPr="002F2423" w:rsidRDefault="002F2423" w:rsidP="002F2423">
      <w:pPr>
        <w:spacing w:line="233" w:lineRule="auto"/>
        <w:jc w:val="both"/>
        <w:rPr>
          <w:rFonts w:eastAsia="Times New Roman" w:cs="Times New Roman"/>
          <w:sz w:val="20"/>
          <w:szCs w:val="20"/>
          <w:lang w:val="fr-CA" w:eastAsia="en-CA"/>
        </w:rPr>
      </w:pPr>
      <w:r w:rsidRPr="002F2423">
        <w:rPr>
          <w:rFonts w:eastAsia="Times New Roman" w:cs="Times New Roman"/>
          <w:b/>
          <w:sz w:val="20"/>
          <w:szCs w:val="20"/>
          <w:lang w:val="fr-CA" w:eastAsia="en-CA"/>
        </w:rPr>
        <w:t>À LA SUITE DES REQUÊTES</w:t>
      </w:r>
      <w:r w:rsidRPr="002F2423">
        <w:rPr>
          <w:rFonts w:eastAsia="Times New Roman" w:cs="Times New Roman"/>
          <w:sz w:val="20"/>
          <w:szCs w:val="20"/>
          <w:lang w:val="fr-CA" w:eastAsia="en-CA"/>
        </w:rPr>
        <w:t xml:space="preserve"> présentées par la Criminal Lawyers’ Association (Ontario) et par l’Association des libertés civiles de la Colombie-Britannique en vue d’intervenir dans l’appel;</w:t>
      </w:r>
    </w:p>
    <w:p w:rsidR="002F2423" w:rsidRPr="002F2423" w:rsidRDefault="002F2423" w:rsidP="002F2423">
      <w:pPr>
        <w:spacing w:line="233" w:lineRule="auto"/>
        <w:jc w:val="both"/>
        <w:rPr>
          <w:rFonts w:eastAsia="Times New Roman" w:cs="Times New Roman"/>
          <w:sz w:val="20"/>
          <w:szCs w:val="20"/>
          <w:lang w:val="fr-CA" w:eastAsia="en-CA"/>
        </w:rPr>
      </w:pPr>
    </w:p>
    <w:p w:rsidR="002F2423" w:rsidRPr="002F2423" w:rsidRDefault="002F2423" w:rsidP="002F2423">
      <w:pPr>
        <w:spacing w:line="233" w:lineRule="auto"/>
        <w:jc w:val="both"/>
        <w:rPr>
          <w:rFonts w:eastAsia="Times New Roman" w:cs="Times New Roman"/>
          <w:sz w:val="20"/>
          <w:szCs w:val="20"/>
          <w:lang w:val="fr-CA" w:eastAsia="en-CA"/>
        </w:rPr>
      </w:pPr>
      <w:r w:rsidRPr="002F2423">
        <w:rPr>
          <w:rFonts w:eastAsia="Times New Roman" w:cs="Times New Roman"/>
          <w:b/>
          <w:sz w:val="20"/>
          <w:szCs w:val="20"/>
          <w:lang w:val="fr-CA" w:eastAsia="en-CA"/>
        </w:rPr>
        <w:t>ET APRÈS EXAMEN</w:t>
      </w:r>
      <w:r w:rsidRPr="002F2423">
        <w:rPr>
          <w:rFonts w:eastAsia="Times New Roman" w:cs="Times New Roman"/>
          <w:sz w:val="20"/>
          <w:szCs w:val="20"/>
          <w:lang w:val="fr-CA" w:eastAsia="en-CA"/>
        </w:rPr>
        <w:t xml:space="preserve"> des documents déposés;</w:t>
      </w:r>
    </w:p>
    <w:p w:rsidR="002F2423" w:rsidRPr="002F2423" w:rsidRDefault="002F2423" w:rsidP="002F2423">
      <w:pPr>
        <w:spacing w:line="233" w:lineRule="auto"/>
        <w:jc w:val="both"/>
        <w:rPr>
          <w:rFonts w:eastAsia="Times New Roman" w:cs="Times New Roman"/>
          <w:sz w:val="20"/>
          <w:szCs w:val="20"/>
          <w:lang w:val="fr-CA" w:eastAsia="en-CA"/>
        </w:rPr>
      </w:pPr>
    </w:p>
    <w:p w:rsidR="002F2423" w:rsidRPr="002F2423" w:rsidRDefault="002F2423" w:rsidP="002F2423">
      <w:pPr>
        <w:spacing w:line="233" w:lineRule="auto"/>
        <w:jc w:val="both"/>
        <w:rPr>
          <w:rFonts w:eastAsia="Times New Roman" w:cs="Times New Roman"/>
          <w:b/>
          <w:sz w:val="20"/>
          <w:szCs w:val="20"/>
          <w:lang w:val="fr-CA" w:eastAsia="en-CA"/>
        </w:rPr>
      </w:pPr>
      <w:r w:rsidRPr="002F2423">
        <w:rPr>
          <w:rFonts w:eastAsia="Times New Roman" w:cs="Times New Roman"/>
          <w:b/>
          <w:sz w:val="20"/>
          <w:szCs w:val="20"/>
          <w:lang w:val="fr-CA" w:eastAsia="en-CA"/>
        </w:rPr>
        <w:t>IL EST ORDONNÉ CE QUI SUIT :</w:t>
      </w:r>
    </w:p>
    <w:p w:rsidR="002F2423" w:rsidRPr="002F2423" w:rsidRDefault="002F2423" w:rsidP="002F2423">
      <w:pPr>
        <w:spacing w:line="233" w:lineRule="auto"/>
        <w:jc w:val="both"/>
        <w:rPr>
          <w:rFonts w:eastAsia="Times New Roman" w:cs="Times New Roman"/>
          <w:sz w:val="20"/>
          <w:szCs w:val="20"/>
          <w:lang w:val="fr-CA" w:eastAsia="en-CA"/>
        </w:rPr>
      </w:pPr>
    </w:p>
    <w:p w:rsidR="002F2423" w:rsidRPr="002F2423" w:rsidRDefault="002F2423" w:rsidP="002F2423">
      <w:pPr>
        <w:spacing w:line="233" w:lineRule="auto"/>
        <w:jc w:val="both"/>
        <w:rPr>
          <w:rFonts w:eastAsia="Times New Roman" w:cs="Times New Roman"/>
          <w:sz w:val="20"/>
          <w:szCs w:val="20"/>
          <w:lang w:val="fr-CA" w:eastAsia="en-CA"/>
        </w:rPr>
      </w:pPr>
      <w:r w:rsidRPr="002F2423">
        <w:rPr>
          <w:rFonts w:eastAsia="Times New Roman" w:cs="Times New Roman"/>
          <w:sz w:val="20"/>
          <w:szCs w:val="20"/>
          <w:lang w:val="fr-CA" w:eastAsia="en-CA"/>
        </w:rPr>
        <w:t>Les requêtes en autorisation d’intervenir présentées par la Criminal Lawyers’ Association (Ontario) et par l’Association des libertés civiles de la Colombie-Britannique sont accueillies, et chacun de ces intervenants pourra signifier et déposer un mémoire d’au plus 10 pages au plus tard le 3 mars 2015.</w:t>
      </w:r>
    </w:p>
    <w:p w:rsidR="002F2423" w:rsidRPr="002F2423" w:rsidRDefault="002F2423" w:rsidP="002F2423">
      <w:pPr>
        <w:spacing w:line="233" w:lineRule="auto"/>
        <w:jc w:val="both"/>
        <w:rPr>
          <w:rFonts w:eastAsia="Times New Roman" w:cs="Times New Roman"/>
          <w:sz w:val="20"/>
          <w:szCs w:val="20"/>
          <w:lang w:val="fr-CA" w:eastAsia="en-CA"/>
        </w:rPr>
      </w:pPr>
    </w:p>
    <w:p w:rsidR="002F2423" w:rsidRPr="002F2423" w:rsidRDefault="002F2423" w:rsidP="002F2423">
      <w:pPr>
        <w:spacing w:line="233" w:lineRule="auto"/>
        <w:jc w:val="both"/>
        <w:rPr>
          <w:rFonts w:eastAsia="Times New Roman" w:cs="Times New Roman"/>
          <w:sz w:val="20"/>
          <w:szCs w:val="20"/>
          <w:lang w:val="fr-CA" w:eastAsia="en-CA"/>
        </w:rPr>
      </w:pPr>
      <w:r w:rsidRPr="002F2423">
        <w:rPr>
          <w:rFonts w:eastAsia="Times New Roman" w:cs="Times New Roman"/>
          <w:sz w:val="20"/>
          <w:szCs w:val="20"/>
          <w:lang w:val="fr-CA" w:eastAsia="en-CA"/>
        </w:rPr>
        <w:t>Les décisions sur les requêtes en vue de présenter une plaidoirie orale seront rendues après réception et examen des arguments écrits des parties et des intervenants.</w:t>
      </w:r>
    </w:p>
    <w:p w:rsidR="002F2423" w:rsidRPr="002F2423" w:rsidRDefault="002F2423" w:rsidP="002F2423">
      <w:pPr>
        <w:spacing w:line="233" w:lineRule="auto"/>
        <w:jc w:val="both"/>
        <w:rPr>
          <w:rFonts w:eastAsia="Times New Roman" w:cs="Times New Roman"/>
          <w:sz w:val="20"/>
          <w:szCs w:val="20"/>
          <w:lang w:val="fr-CA" w:eastAsia="en-CA"/>
        </w:rPr>
      </w:pPr>
    </w:p>
    <w:p w:rsidR="002F2423" w:rsidRPr="002F2423" w:rsidRDefault="002F2423" w:rsidP="002F2423">
      <w:pPr>
        <w:spacing w:line="233" w:lineRule="auto"/>
        <w:jc w:val="both"/>
        <w:rPr>
          <w:rFonts w:eastAsia="Times New Roman" w:cs="Times New Roman"/>
          <w:sz w:val="20"/>
          <w:szCs w:val="20"/>
          <w:lang w:val="fr-CA" w:eastAsia="en-CA"/>
        </w:rPr>
      </w:pPr>
      <w:r w:rsidRPr="002F2423">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p>
    <w:p w:rsidR="002F2423" w:rsidRPr="002F2423" w:rsidRDefault="002F2423" w:rsidP="002F2423">
      <w:pPr>
        <w:spacing w:line="233" w:lineRule="auto"/>
        <w:jc w:val="both"/>
        <w:rPr>
          <w:rFonts w:eastAsia="Times New Roman" w:cs="Times New Roman"/>
          <w:sz w:val="20"/>
          <w:szCs w:val="20"/>
          <w:lang w:val="fr-CA" w:eastAsia="en-CA"/>
        </w:rPr>
      </w:pPr>
    </w:p>
    <w:p w:rsidR="002F2423" w:rsidRPr="002F2423" w:rsidRDefault="002F2423" w:rsidP="002F2423">
      <w:pPr>
        <w:spacing w:line="233" w:lineRule="auto"/>
        <w:jc w:val="both"/>
        <w:rPr>
          <w:rFonts w:eastAsia="Times New Roman" w:cs="Times New Roman"/>
          <w:sz w:val="20"/>
          <w:szCs w:val="20"/>
          <w:lang w:val="fr-CA" w:eastAsia="en-CA"/>
        </w:rPr>
      </w:pPr>
      <w:r w:rsidRPr="002F2423">
        <w:rPr>
          <w:rFonts w:eastAsia="Times New Roman" w:cs="Times New Roman"/>
          <w:sz w:val="20"/>
          <w:szCs w:val="20"/>
          <w:lang w:val="fr-CA" w:eastAsia="en-CA"/>
        </w:rPr>
        <w:t>Conformément à l’alinéa 59(1)</w:t>
      </w:r>
      <w:r w:rsidRPr="002F2423">
        <w:rPr>
          <w:rFonts w:eastAsia="Times New Roman" w:cs="Times New Roman"/>
          <w:i/>
          <w:sz w:val="20"/>
          <w:szCs w:val="20"/>
          <w:lang w:val="fr-CA" w:eastAsia="en-CA"/>
        </w:rPr>
        <w:t>a</w:t>
      </w:r>
      <w:r w:rsidRPr="002F2423">
        <w:rPr>
          <w:rFonts w:eastAsia="Times New Roman" w:cs="Times New Roman"/>
          <w:sz w:val="20"/>
          <w:szCs w:val="20"/>
          <w:lang w:val="fr-CA" w:eastAsia="en-CA"/>
        </w:rPr>
        <w:t xml:space="preserve">) des </w:t>
      </w:r>
      <w:r w:rsidRPr="002F2423">
        <w:rPr>
          <w:rFonts w:eastAsia="Times New Roman" w:cs="Times New Roman"/>
          <w:i/>
          <w:sz w:val="20"/>
          <w:szCs w:val="20"/>
          <w:lang w:val="fr-CA" w:eastAsia="en-CA"/>
        </w:rPr>
        <w:t>Règles de la Cour suprême du Canada</w:t>
      </w:r>
      <w:r w:rsidRPr="002F2423">
        <w:rPr>
          <w:rFonts w:eastAsia="Times New Roman" w:cs="Times New Roman"/>
          <w:sz w:val="20"/>
          <w:szCs w:val="20"/>
          <w:lang w:val="fr-CA" w:eastAsia="en-CA"/>
        </w:rPr>
        <w:t>, les intervenants paieront à l’appelant et à l’intimé tous débours supplémentaires résultant de leur intervention.</w:t>
      </w:r>
    </w:p>
    <w:p w:rsidR="002F2423" w:rsidRPr="002F2423" w:rsidRDefault="002F2423" w:rsidP="002F2423">
      <w:pPr>
        <w:spacing w:line="233" w:lineRule="auto"/>
        <w:jc w:val="both"/>
        <w:rPr>
          <w:rFonts w:eastAsia="Times New Roman" w:cs="Times New Roman"/>
          <w:sz w:val="20"/>
          <w:szCs w:val="20"/>
          <w:lang w:val="fr-CA" w:eastAsia="en-CA"/>
        </w:rPr>
      </w:pPr>
    </w:p>
    <w:p w:rsidR="002F2423" w:rsidRPr="002F2423" w:rsidRDefault="002F2423" w:rsidP="002F2423">
      <w:pPr>
        <w:spacing w:line="233" w:lineRule="auto"/>
        <w:jc w:val="both"/>
        <w:rPr>
          <w:rFonts w:eastAsia="Times New Roman" w:cs="Times New Roman"/>
          <w:sz w:val="20"/>
          <w:szCs w:val="20"/>
          <w:lang w:val="fr-CA" w:eastAsia="en-CA"/>
        </w:rPr>
      </w:pPr>
      <w:r w:rsidRPr="002F2423">
        <w:rPr>
          <w:rFonts w:eastAsia="Times New Roman" w:cs="Times New Roman"/>
          <w:sz w:val="20"/>
          <w:szCs w:val="20"/>
          <w:lang w:val="fr-CA" w:eastAsia="en-CA"/>
        </w:rPr>
        <w:t>La demande présentée par l’intimé en vue d’être autorisé à déposer un mémoire de 5 pages en réponse à chacun des intervenants est rejetée.</w:t>
      </w:r>
    </w:p>
    <w:p w:rsidR="002F2423" w:rsidRPr="002F2423" w:rsidRDefault="002F2423" w:rsidP="002F2423">
      <w:pPr>
        <w:spacing w:line="233" w:lineRule="auto"/>
        <w:rPr>
          <w:rFonts w:eastAsia="Times New Roman" w:cs="Times New Roman"/>
          <w:sz w:val="20"/>
          <w:szCs w:val="20"/>
          <w:lang w:val="fr-CA" w:eastAsia="en-CA"/>
        </w:rPr>
      </w:pPr>
    </w:p>
    <w:p w:rsidR="002F2423" w:rsidRPr="002F2423" w:rsidRDefault="005A3634" w:rsidP="002F242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4" style="width:2in;height:1pt" o:hrpct="0" o:hralign="center" o:hrstd="t" o:hrnoshade="t" o:hr="t" fillcolor="black [3213]" stroked="f"/>
        </w:pict>
      </w:r>
    </w:p>
    <w:p w:rsidR="002F2423" w:rsidRPr="002F2423" w:rsidRDefault="002F2423" w:rsidP="002F2423">
      <w:pPr>
        <w:tabs>
          <w:tab w:val="left" w:pos="-1440"/>
          <w:tab w:val="left" w:pos="-720"/>
        </w:tabs>
        <w:jc w:val="both"/>
        <w:rPr>
          <w:rFonts w:eastAsia="Times New Roman" w:cs="Times New Roman"/>
          <w:sz w:val="20"/>
          <w:szCs w:val="20"/>
          <w:lang w:eastAsia="en-CA"/>
        </w:rPr>
      </w:pPr>
    </w:p>
    <w:p w:rsidR="002F2423" w:rsidRPr="002F2423" w:rsidRDefault="002F2423" w:rsidP="002F2423">
      <w:pPr>
        <w:tabs>
          <w:tab w:val="left" w:pos="-1440"/>
          <w:tab w:val="left" w:pos="-720"/>
        </w:tabs>
        <w:jc w:val="both"/>
        <w:rPr>
          <w:rFonts w:eastAsia="Times New Roman" w:cs="Times New Roman"/>
          <w:sz w:val="20"/>
          <w:szCs w:val="20"/>
          <w:lang w:val="fr-CA" w:eastAsia="en-CA"/>
        </w:rPr>
      </w:pPr>
      <w:r w:rsidRPr="002F2423">
        <w:rPr>
          <w:rFonts w:eastAsia="Times New Roman" w:cs="Times New Roman"/>
          <w:sz w:val="20"/>
          <w:szCs w:val="20"/>
          <w:lang w:val="fr-CA" w:eastAsia="en-CA"/>
        </w:rPr>
        <w:t>11.02.2015</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sz w:val="20"/>
          <w:szCs w:val="20"/>
          <w:lang w:val="fr-CA" w:eastAsia="en-CA"/>
        </w:rPr>
      </w:pPr>
      <w:r w:rsidRPr="002F2423">
        <w:rPr>
          <w:rFonts w:eastAsia="Times New Roman" w:cs="Times New Roman"/>
          <w:sz w:val="20"/>
          <w:szCs w:val="20"/>
          <w:lang w:val="fr-CA" w:eastAsia="en-CA"/>
        </w:rPr>
        <w:t>Before / Devant :   ROTHSTEIN J. / LE JUGE ROTHSTEIN</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2F2423" w:rsidRPr="002F2423" w:rsidTr="002F2423">
        <w:tc>
          <w:tcPr>
            <w:tcW w:w="4338" w:type="dxa"/>
            <w:gridSpan w:val="2"/>
          </w:tcPr>
          <w:p w:rsidR="002F2423" w:rsidRPr="002F2423" w:rsidRDefault="002F2423" w:rsidP="002F2423">
            <w:pPr>
              <w:rPr>
                <w:b/>
              </w:rPr>
            </w:pPr>
            <w:r w:rsidRPr="002F2423">
              <w:rPr>
                <w:b/>
              </w:rPr>
              <w:t>Motions for leave to intervene</w:t>
            </w:r>
            <w:r w:rsidRPr="002F2423">
              <w:rPr>
                <w:lang w:val="en-US"/>
              </w:rPr>
              <w:t xml:space="preserve"> </w:t>
            </w:r>
            <w:r w:rsidR="00286B88" w:rsidRPr="002F2423">
              <w:rPr>
                <w:lang w:val="en-US"/>
              </w:rPr>
              <w:fldChar w:fldCharType="begin"/>
            </w:r>
            <w:r w:rsidRPr="002F2423">
              <w:instrText xml:space="preserve"> SEQ CHAPTER \h \r 1</w:instrText>
            </w:r>
            <w:r w:rsidR="00286B88" w:rsidRPr="002F2423">
              <w:rPr>
                <w:lang w:val="en-US"/>
              </w:rPr>
              <w:fldChar w:fldCharType="end"/>
            </w:r>
          </w:p>
        </w:tc>
        <w:tc>
          <w:tcPr>
            <w:tcW w:w="1170" w:type="dxa"/>
          </w:tcPr>
          <w:p w:rsidR="002F2423" w:rsidRPr="002F2423" w:rsidRDefault="002F2423" w:rsidP="002F2423"/>
          <w:p w:rsidR="002F2423" w:rsidRPr="002F2423" w:rsidRDefault="002F2423" w:rsidP="002F2423"/>
        </w:tc>
        <w:tc>
          <w:tcPr>
            <w:tcW w:w="4327" w:type="dxa"/>
          </w:tcPr>
          <w:p w:rsidR="002F2423" w:rsidRPr="002F2423" w:rsidRDefault="002F2423" w:rsidP="002F2423">
            <w:pPr>
              <w:rPr>
                <w:b/>
              </w:rPr>
            </w:pPr>
            <w:r w:rsidRPr="002F2423">
              <w:rPr>
                <w:b/>
                <w:bCs/>
                <w:lang w:val="fr-CA"/>
              </w:rPr>
              <w:t>Requêtes en autorisation d’intervenir</w:t>
            </w:r>
            <w:r w:rsidRPr="002F2423">
              <w:rPr>
                <w:lang w:val="en-US"/>
              </w:rPr>
              <w:t xml:space="preserve"> </w:t>
            </w:r>
            <w:r w:rsidR="00286B88" w:rsidRPr="002F2423">
              <w:rPr>
                <w:lang w:val="en-US"/>
              </w:rPr>
              <w:fldChar w:fldCharType="begin"/>
            </w:r>
            <w:r w:rsidRPr="002F2423">
              <w:instrText xml:space="preserve"> SEQ CHAPTER \h \r 1</w:instrText>
            </w:r>
            <w:r w:rsidR="00286B88" w:rsidRPr="002F2423">
              <w:rPr>
                <w:lang w:val="en-US"/>
              </w:rPr>
              <w:fldChar w:fldCharType="end"/>
            </w:r>
          </w:p>
        </w:tc>
      </w:tr>
      <w:tr w:rsidR="002F2423" w:rsidRPr="002F2423" w:rsidTr="002F2423">
        <w:trPr>
          <w:trHeight w:hRule="exact" w:val="2160"/>
        </w:trPr>
        <w:tc>
          <w:tcPr>
            <w:tcW w:w="1368" w:type="dxa"/>
          </w:tcPr>
          <w:p w:rsidR="002F2423" w:rsidRPr="002F2423" w:rsidRDefault="002F2423" w:rsidP="002F2423">
            <w:r w:rsidRPr="002F2423">
              <w:t>BY / PAR</w:t>
            </w:r>
          </w:p>
        </w:tc>
        <w:tc>
          <w:tcPr>
            <w:tcW w:w="2970" w:type="dxa"/>
          </w:tcPr>
          <w:p w:rsidR="002F2423" w:rsidRPr="002F2423" w:rsidRDefault="002F2423" w:rsidP="002F2423">
            <w:r w:rsidRPr="002F2423">
              <w:t>Music Canada, the International Federation of Phonographic Industry, the Canadian Council of Music Industry Associations, the Canadian Independent Music Association and the Association québécoise de l’industrie du disque, du spectacle et de la video (jointly)</w:t>
            </w:r>
            <w:r w:rsidRPr="002F2423">
              <w:rPr>
                <w:lang w:val="en-US"/>
              </w:rPr>
              <w:t>;</w:t>
            </w: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rPr>
          <w:trHeight w:hRule="exact" w:val="1296"/>
        </w:trPr>
        <w:tc>
          <w:tcPr>
            <w:tcW w:w="1368" w:type="dxa"/>
          </w:tcPr>
          <w:p w:rsidR="002F2423" w:rsidRPr="002F2423" w:rsidRDefault="002F2423" w:rsidP="002F2423"/>
        </w:tc>
        <w:tc>
          <w:tcPr>
            <w:tcW w:w="2970" w:type="dxa"/>
          </w:tcPr>
          <w:p w:rsidR="002F2423" w:rsidRPr="002F2423" w:rsidRDefault="002F2423" w:rsidP="002F2423">
            <w:pPr>
              <w:rPr>
                <w:lang w:val="en-US"/>
              </w:rPr>
            </w:pPr>
            <w:r w:rsidRPr="002F2423">
              <w:t>Canadian Musical Reproduction Rights Agency Ltd., the Canadian Music Publishers Association and the International Confederation of Music Publishers (jointly)</w:t>
            </w:r>
            <w:r w:rsidRPr="002F2423">
              <w:rPr>
                <w:lang w:val="en-US"/>
              </w:rPr>
              <w:t>;</w:t>
            </w: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rPr>
          <w:trHeight w:hRule="exact" w:val="576"/>
        </w:trPr>
        <w:tc>
          <w:tcPr>
            <w:tcW w:w="1368" w:type="dxa"/>
          </w:tcPr>
          <w:p w:rsidR="002F2423" w:rsidRPr="002F2423" w:rsidRDefault="002F2423" w:rsidP="002F2423"/>
        </w:tc>
        <w:tc>
          <w:tcPr>
            <w:tcW w:w="2970" w:type="dxa"/>
          </w:tcPr>
          <w:p w:rsidR="002F2423" w:rsidRPr="002F2423" w:rsidRDefault="002F2423" w:rsidP="002F2423">
            <w:pPr>
              <w:rPr>
                <w:lang w:val="en-US"/>
              </w:rPr>
            </w:pPr>
            <w:r w:rsidRPr="002F2423">
              <w:t>Centre for Intellectual Property Policy and Ariel Katz (jointly);</w:t>
            </w: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rPr>
          <w:trHeight w:hRule="exact" w:val="821"/>
        </w:trPr>
        <w:tc>
          <w:tcPr>
            <w:tcW w:w="1368" w:type="dxa"/>
          </w:tcPr>
          <w:p w:rsidR="002F2423" w:rsidRPr="002F2423" w:rsidRDefault="002F2423" w:rsidP="002F2423"/>
        </w:tc>
        <w:tc>
          <w:tcPr>
            <w:tcW w:w="2970" w:type="dxa"/>
          </w:tcPr>
          <w:p w:rsidR="002F2423" w:rsidRPr="002F2423" w:rsidRDefault="002F2423" w:rsidP="002F2423">
            <w:r w:rsidRPr="002F2423">
              <w:t>Samuelson-Glushko Canadian Internet Policy and Public Interest Clinic</w:t>
            </w: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c>
          <w:tcPr>
            <w:tcW w:w="1368" w:type="dxa"/>
          </w:tcPr>
          <w:p w:rsidR="002F2423" w:rsidRPr="002F2423" w:rsidRDefault="002F2423" w:rsidP="002F2423"/>
        </w:tc>
        <w:tc>
          <w:tcPr>
            <w:tcW w:w="2970" w:type="dxa"/>
          </w:tcPr>
          <w:p w:rsidR="002F2423" w:rsidRPr="002F2423" w:rsidRDefault="002F2423" w:rsidP="002F2423">
            <w:pPr>
              <w:rPr>
                <w:lang w:val="en-US"/>
              </w:rPr>
            </w:pPr>
          </w:p>
        </w:tc>
        <w:tc>
          <w:tcPr>
            <w:tcW w:w="1170" w:type="dxa"/>
          </w:tcPr>
          <w:p w:rsidR="002F2423" w:rsidRPr="002F2423" w:rsidRDefault="002F2423" w:rsidP="002F2423"/>
        </w:tc>
        <w:tc>
          <w:tcPr>
            <w:tcW w:w="4327" w:type="dxa"/>
          </w:tcPr>
          <w:p w:rsidR="002F2423" w:rsidRPr="002F2423" w:rsidRDefault="002F2423" w:rsidP="002F2423"/>
        </w:tc>
      </w:tr>
      <w:tr w:rsidR="002F2423" w:rsidRPr="002F2423" w:rsidTr="002F2423">
        <w:tc>
          <w:tcPr>
            <w:tcW w:w="1368" w:type="dxa"/>
          </w:tcPr>
          <w:p w:rsidR="002F2423" w:rsidRPr="002F2423" w:rsidRDefault="002F2423" w:rsidP="002F2423">
            <w:r w:rsidRPr="002F2423">
              <w:t>IN / DANS :</w:t>
            </w:r>
          </w:p>
        </w:tc>
        <w:tc>
          <w:tcPr>
            <w:tcW w:w="2970" w:type="dxa"/>
          </w:tcPr>
          <w:p w:rsidR="002F2423" w:rsidRPr="002F2423" w:rsidRDefault="002F2423" w:rsidP="002F2423">
            <w:r w:rsidRPr="002F2423">
              <w:t>Canadian Broadcasting Corporation / Société Radio-Canada</w:t>
            </w:r>
          </w:p>
          <w:p w:rsidR="002F2423" w:rsidRPr="002F2423" w:rsidRDefault="002F2423" w:rsidP="002F2423"/>
          <w:p w:rsidR="002F2423" w:rsidRPr="002F2423" w:rsidRDefault="002F2423" w:rsidP="002F2423">
            <w:pPr>
              <w:rPr>
                <w:lang w:val="fr-CA"/>
              </w:rPr>
            </w:pPr>
            <w:r w:rsidRPr="002F2423">
              <w:tab/>
            </w:r>
            <w:r w:rsidRPr="002F2423">
              <w:rPr>
                <w:lang w:val="fr-CA"/>
              </w:rPr>
              <w:t>v. (35918)</w:t>
            </w:r>
          </w:p>
          <w:p w:rsidR="002F2423" w:rsidRPr="002F2423" w:rsidRDefault="002F2423" w:rsidP="002F2423">
            <w:pPr>
              <w:rPr>
                <w:lang w:val="fr-CA"/>
              </w:rPr>
            </w:pPr>
          </w:p>
          <w:p w:rsidR="002F2423" w:rsidRPr="002F2423" w:rsidRDefault="002F2423" w:rsidP="002F2423">
            <w:pPr>
              <w:rPr>
                <w:lang w:val="fr-CA"/>
              </w:rPr>
            </w:pPr>
            <w:r w:rsidRPr="002F2423">
              <w:rPr>
                <w:lang w:val="fr-CA"/>
              </w:rPr>
              <w:t>SODRAC 2003 Inc. et al. (F.C.)</w:t>
            </w:r>
          </w:p>
        </w:tc>
        <w:tc>
          <w:tcPr>
            <w:tcW w:w="1170" w:type="dxa"/>
          </w:tcPr>
          <w:p w:rsidR="002F2423" w:rsidRPr="002F2423" w:rsidRDefault="002F2423" w:rsidP="002F2423">
            <w:pPr>
              <w:rPr>
                <w:lang w:val="fr-CA"/>
              </w:rPr>
            </w:pPr>
          </w:p>
        </w:tc>
        <w:tc>
          <w:tcPr>
            <w:tcW w:w="4327" w:type="dxa"/>
          </w:tcPr>
          <w:p w:rsidR="002F2423" w:rsidRPr="002F2423" w:rsidRDefault="002F2423" w:rsidP="002F2423">
            <w:pPr>
              <w:rPr>
                <w:lang w:val="fr-CA"/>
              </w:rPr>
            </w:pPr>
          </w:p>
        </w:tc>
      </w:tr>
    </w:tbl>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b/>
          <w:sz w:val="20"/>
          <w:szCs w:val="20"/>
          <w:lang w:eastAsia="en-CA"/>
        </w:rPr>
      </w:pPr>
      <w:r w:rsidRPr="002F2423">
        <w:rPr>
          <w:rFonts w:eastAsia="Times New Roman" w:cs="Times New Roman"/>
          <w:b/>
          <w:sz w:val="20"/>
          <w:szCs w:val="20"/>
          <w:lang w:eastAsia="en-CA"/>
        </w:rPr>
        <w:t>GRANTED / ACCORDÉE</w:t>
      </w:r>
      <w:r w:rsidR="00194BF9">
        <w:rPr>
          <w:rFonts w:eastAsia="Times New Roman" w:cs="Times New Roman"/>
          <w:b/>
          <w:sz w:val="20"/>
          <w:szCs w:val="20"/>
          <w:lang w:eastAsia="en-CA"/>
        </w:rPr>
        <w:t>S</w:t>
      </w:r>
    </w:p>
    <w:p w:rsidR="002F2423" w:rsidRPr="002F2423" w:rsidRDefault="002F2423" w:rsidP="002F2423">
      <w:pPr>
        <w:tabs>
          <w:tab w:val="left" w:pos="-1440"/>
          <w:tab w:val="left" w:pos="-720"/>
        </w:tabs>
        <w:jc w:val="both"/>
        <w:rPr>
          <w:rFonts w:eastAsia="Times New Roman" w:cs="Times New Roman"/>
          <w:sz w:val="20"/>
          <w:szCs w:val="20"/>
          <w:lang w:eastAsia="en-CA"/>
        </w:rPr>
      </w:pPr>
    </w:p>
    <w:p w:rsidR="002F2423" w:rsidRPr="002F2423" w:rsidRDefault="002F2423" w:rsidP="002F2423">
      <w:pPr>
        <w:spacing w:line="232" w:lineRule="auto"/>
        <w:jc w:val="both"/>
        <w:rPr>
          <w:rFonts w:eastAsia="Times New Roman" w:cs="Times New Roman"/>
          <w:sz w:val="20"/>
          <w:szCs w:val="20"/>
          <w:lang w:eastAsia="en-CA"/>
        </w:rPr>
      </w:pPr>
      <w:r w:rsidRPr="002F2423">
        <w:rPr>
          <w:rFonts w:eastAsia="Times New Roman" w:cs="Times New Roman"/>
          <w:b/>
          <w:bCs/>
          <w:sz w:val="20"/>
          <w:szCs w:val="20"/>
          <w:lang w:eastAsia="en-CA"/>
        </w:rPr>
        <w:t xml:space="preserve">UPON APPLICATIONS </w:t>
      </w:r>
      <w:r w:rsidRPr="002F2423">
        <w:rPr>
          <w:rFonts w:eastAsia="Times New Roman" w:cs="Times New Roman"/>
          <w:sz w:val="20"/>
          <w:szCs w:val="20"/>
          <w:lang w:eastAsia="en-CA"/>
        </w:rPr>
        <w:t xml:space="preserve">by Music Canada, the International Federation of Phonographic Industry, the Canadian Council of Music Industry Associations, the Canadian Independent Music Association and the Association québécoise de l’industrie du disque, du spectacle et de la video (jointly), the Canadian Musical Reproduction Rights Agency Ltd., </w:t>
      </w:r>
      <w:r w:rsidRPr="002F2423">
        <w:rPr>
          <w:rFonts w:eastAsia="Times New Roman" w:cs="Times New Roman"/>
          <w:sz w:val="20"/>
          <w:szCs w:val="20"/>
          <w:lang w:eastAsia="en-CA"/>
        </w:rPr>
        <w:lastRenderedPageBreak/>
        <w:t>the Canadian Music Publishers Association and the International Confederation of Music Publishers (jointly), the Centre for Intellectual Property Policy and Ariel Katz (jointly), and the Samuelson-Glushko Canadian Internet Policy and Public Interest Clinic for leave to intervene in the above appeal;</w:t>
      </w:r>
    </w:p>
    <w:p w:rsidR="002F2423" w:rsidRPr="002F2423" w:rsidRDefault="002F2423" w:rsidP="002F2423">
      <w:pPr>
        <w:spacing w:line="232" w:lineRule="auto"/>
        <w:jc w:val="both"/>
        <w:rPr>
          <w:rFonts w:eastAsia="Times New Roman" w:cs="Times New Roman"/>
          <w:sz w:val="20"/>
          <w:szCs w:val="20"/>
          <w:lang w:eastAsia="en-CA"/>
        </w:rPr>
      </w:pPr>
    </w:p>
    <w:p w:rsidR="002F2423" w:rsidRPr="002F2423" w:rsidRDefault="002F2423" w:rsidP="002F2423">
      <w:pPr>
        <w:spacing w:line="232" w:lineRule="auto"/>
        <w:jc w:val="both"/>
        <w:rPr>
          <w:rFonts w:eastAsia="Times New Roman" w:cs="Times New Roman"/>
          <w:sz w:val="20"/>
          <w:szCs w:val="20"/>
          <w:lang w:val="en-US" w:eastAsia="en-CA"/>
        </w:rPr>
      </w:pPr>
      <w:r w:rsidRPr="002F2423">
        <w:rPr>
          <w:rFonts w:eastAsia="Times New Roman" w:cs="Times New Roman"/>
          <w:b/>
          <w:bCs/>
          <w:sz w:val="20"/>
          <w:szCs w:val="20"/>
          <w:lang w:val="en-US" w:eastAsia="en-CA"/>
        </w:rPr>
        <w:t>AND THE MATERIAL FILED</w:t>
      </w:r>
      <w:r w:rsidRPr="002F2423">
        <w:rPr>
          <w:rFonts w:eastAsia="Times New Roman" w:cs="Times New Roman"/>
          <w:sz w:val="20"/>
          <w:szCs w:val="20"/>
          <w:lang w:val="en-US" w:eastAsia="en-CA"/>
        </w:rPr>
        <w:t xml:space="preserve"> having been read;</w:t>
      </w:r>
    </w:p>
    <w:p w:rsidR="002F2423" w:rsidRPr="002F2423" w:rsidRDefault="002F2423" w:rsidP="002F2423">
      <w:pPr>
        <w:spacing w:line="232" w:lineRule="auto"/>
        <w:jc w:val="both"/>
        <w:rPr>
          <w:rFonts w:eastAsia="Times New Roman" w:cs="Times New Roman"/>
          <w:sz w:val="20"/>
          <w:szCs w:val="20"/>
          <w:lang w:val="en-US" w:eastAsia="en-CA"/>
        </w:rPr>
      </w:pPr>
    </w:p>
    <w:p w:rsidR="002F2423" w:rsidRPr="002F2423" w:rsidRDefault="002F2423" w:rsidP="002F2423">
      <w:pPr>
        <w:spacing w:line="232" w:lineRule="auto"/>
        <w:jc w:val="both"/>
        <w:rPr>
          <w:rFonts w:eastAsia="Times New Roman" w:cs="Times New Roman"/>
          <w:sz w:val="20"/>
          <w:szCs w:val="20"/>
          <w:lang w:val="en-US" w:eastAsia="en-CA"/>
        </w:rPr>
      </w:pPr>
      <w:r w:rsidRPr="002F2423">
        <w:rPr>
          <w:rFonts w:eastAsia="Times New Roman" w:cs="Times New Roman"/>
          <w:b/>
          <w:bCs/>
          <w:sz w:val="20"/>
          <w:szCs w:val="20"/>
          <w:lang w:val="en-US" w:eastAsia="en-CA"/>
        </w:rPr>
        <w:t>IT IS HEREBY ORDERED THAT:</w:t>
      </w:r>
    </w:p>
    <w:p w:rsidR="002F2423" w:rsidRPr="002F2423" w:rsidRDefault="002F2423" w:rsidP="002F2423">
      <w:pPr>
        <w:spacing w:line="232" w:lineRule="auto"/>
        <w:jc w:val="both"/>
        <w:rPr>
          <w:rFonts w:eastAsia="Times New Roman" w:cs="Times New Roman"/>
          <w:sz w:val="20"/>
          <w:szCs w:val="20"/>
          <w:lang w:val="en-US" w:eastAsia="en-CA"/>
        </w:rPr>
      </w:pPr>
    </w:p>
    <w:p w:rsidR="002F2423" w:rsidRPr="002F2423" w:rsidRDefault="002F2423" w:rsidP="002F2423">
      <w:pPr>
        <w:spacing w:line="232" w:lineRule="auto"/>
        <w:jc w:val="both"/>
        <w:rPr>
          <w:rFonts w:eastAsia="Times New Roman" w:cs="Times New Roman"/>
          <w:sz w:val="20"/>
          <w:szCs w:val="20"/>
          <w:lang w:val="en-US" w:eastAsia="en-CA"/>
        </w:rPr>
      </w:pPr>
      <w:r w:rsidRPr="002F2423">
        <w:rPr>
          <w:rFonts w:eastAsia="Times New Roman" w:cs="Times New Roman"/>
          <w:sz w:val="20"/>
          <w:szCs w:val="20"/>
          <w:lang w:val="en-US" w:eastAsia="en-CA"/>
        </w:rPr>
        <w:t xml:space="preserve">The motions for leave to intervene of </w:t>
      </w:r>
      <w:r w:rsidRPr="002F2423">
        <w:rPr>
          <w:rFonts w:eastAsia="Times New Roman" w:cs="Times New Roman"/>
          <w:sz w:val="20"/>
          <w:szCs w:val="20"/>
          <w:lang w:eastAsia="en-CA"/>
        </w:rPr>
        <w:t xml:space="preserve">Music Canada, the International Federation of Phonographic Industry, the Canadian Council of Music Industry Associations, the Canadian Independent Music Association and the Association québécoise de l’industrie du disque, du spectacle et de la video (jointly), the Canadian Musical Reproduction Rights Agency Ltd., the Canadian Music Publishers Association and the International Confederation of Music Publishers (jointly), </w:t>
      </w:r>
      <w:r w:rsidRPr="002F2423">
        <w:rPr>
          <w:rFonts w:eastAsia="Times New Roman" w:cs="Times New Roman"/>
          <w:sz w:val="20"/>
          <w:szCs w:val="20"/>
          <w:lang w:val="en-US" w:eastAsia="en-CA"/>
        </w:rPr>
        <w:t xml:space="preserve">the </w:t>
      </w:r>
      <w:r w:rsidRPr="002F2423">
        <w:rPr>
          <w:rFonts w:eastAsia="Times New Roman" w:cs="Times New Roman"/>
          <w:sz w:val="20"/>
          <w:szCs w:val="20"/>
          <w:lang w:eastAsia="en-CA"/>
        </w:rPr>
        <w:t>Centre for Intellectual Property Policy and Ariel Katz (jointly) and the Samuelson-Glushko Canadian Internet Policy and Public Interest Clinic are granted and the said interveners</w:t>
      </w:r>
      <w:r w:rsidRPr="002F2423">
        <w:rPr>
          <w:rFonts w:eastAsia="Times New Roman" w:cs="Times New Roman"/>
          <w:sz w:val="20"/>
          <w:szCs w:val="20"/>
          <w:lang w:val="en-US" w:eastAsia="en-CA"/>
        </w:rPr>
        <w:t xml:space="preserve"> shall be entitled to serve and file a factum not to exceed ten (10) pages in length on or before March 2, 2015.</w:t>
      </w:r>
    </w:p>
    <w:p w:rsidR="002F2423" w:rsidRPr="002F2423" w:rsidRDefault="002F2423" w:rsidP="002F2423">
      <w:pPr>
        <w:spacing w:line="232" w:lineRule="auto"/>
        <w:jc w:val="both"/>
        <w:rPr>
          <w:rFonts w:eastAsia="Times New Roman" w:cs="Times New Roman"/>
          <w:sz w:val="20"/>
          <w:szCs w:val="20"/>
          <w:lang w:val="en-US" w:eastAsia="en-CA"/>
        </w:rPr>
      </w:pPr>
    </w:p>
    <w:p w:rsidR="002F2423" w:rsidRPr="002F2423" w:rsidRDefault="002F2423" w:rsidP="002F2423">
      <w:pPr>
        <w:spacing w:line="232" w:lineRule="auto"/>
        <w:jc w:val="both"/>
        <w:rPr>
          <w:rFonts w:eastAsia="Times New Roman" w:cs="Times New Roman"/>
          <w:sz w:val="20"/>
          <w:szCs w:val="20"/>
          <w:lang w:val="en-US" w:eastAsia="en-CA"/>
        </w:rPr>
      </w:pPr>
      <w:r w:rsidRPr="002F2423">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2F2423" w:rsidRPr="002F2423" w:rsidRDefault="002F2423" w:rsidP="002F2423">
      <w:pPr>
        <w:spacing w:line="232" w:lineRule="auto"/>
        <w:jc w:val="both"/>
        <w:rPr>
          <w:rFonts w:eastAsia="Times New Roman" w:cs="Times New Roman"/>
          <w:sz w:val="20"/>
          <w:szCs w:val="20"/>
          <w:lang w:val="en-US" w:eastAsia="en-CA"/>
        </w:rPr>
      </w:pPr>
    </w:p>
    <w:p w:rsidR="002F2423" w:rsidRPr="002F2423" w:rsidRDefault="00286B88" w:rsidP="002F2423">
      <w:pPr>
        <w:spacing w:line="232" w:lineRule="auto"/>
        <w:jc w:val="both"/>
        <w:rPr>
          <w:rFonts w:eastAsia="Times New Roman" w:cs="Times New Roman"/>
          <w:sz w:val="20"/>
          <w:szCs w:val="20"/>
          <w:lang w:val="en-US" w:eastAsia="en-CA"/>
        </w:rPr>
      </w:pPr>
      <w:r w:rsidRPr="002F2423">
        <w:rPr>
          <w:rFonts w:eastAsia="Times New Roman" w:cs="Times New Roman"/>
          <w:sz w:val="20"/>
          <w:szCs w:val="20"/>
          <w:lang w:eastAsia="en-CA"/>
        </w:rPr>
        <w:fldChar w:fldCharType="begin"/>
      </w:r>
      <w:r w:rsidR="002F2423" w:rsidRPr="002F2423">
        <w:rPr>
          <w:rFonts w:eastAsia="Times New Roman" w:cs="Times New Roman"/>
          <w:sz w:val="20"/>
          <w:szCs w:val="20"/>
          <w:lang w:eastAsia="en-CA"/>
        </w:rPr>
        <w:instrText xml:space="preserve"> SEQ CHAPTER \h \r 1</w:instrText>
      </w:r>
      <w:r w:rsidRPr="002F2423">
        <w:rPr>
          <w:rFonts w:eastAsia="Times New Roman" w:cs="Times New Roman"/>
          <w:sz w:val="20"/>
          <w:szCs w:val="20"/>
          <w:lang w:eastAsia="en-CA"/>
        </w:rPr>
        <w:fldChar w:fldCharType="end"/>
      </w:r>
      <w:r w:rsidR="002F2423" w:rsidRPr="002F2423">
        <w:rPr>
          <w:rFonts w:eastAsia="Times New Roman" w:cs="Times New Roman"/>
          <w:bCs/>
          <w:sz w:val="20"/>
          <w:szCs w:val="20"/>
          <w:lang w:val="en-US" w:eastAsia="en-CA"/>
        </w:rPr>
        <w:t>The interveners are not entitled to raise new issues or to adduce further evidence or otherwise to supplement the record of the parties.</w:t>
      </w:r>
    </w:p>
    <w:p w:rsidR="002F2423" w:rsidRPr="002F2423" w:rsidRDefault="002F2423" w:rsidP="002F2423">
      <w:pPr>
        <w:spacing w:line="232" w:lineRule="auto"/>
        <w:jc w:val="both"/>
        <w:rPr>
          <w:rFonts w:eastAsia="Times New Roman" w:cs="Times New Roman"/>
          <w:sz w:val="20"/>
          <w:szCs w:val="20"/>
          <w:lang w:val="en-US" w:eastAsia="en-CA"/>
        </w:rPr>
      </w:pPr>
    </w:p>
    <w:p w:rsidR="002F2423" w:rsidRPr="002F2423" w:rsidRDefault="002F2423" w:rsidP="002F2423">
      <w:pPr>
        <w:spacing w:line="232" w:lineRule="auto"/>
        <w:jc w:val="both"/>
        <w:rPr>
          <w:rFonts w:eastAsia="Times New Roman" w:cs="Times New Roman"/>
          <w:sz w:val="20"/>
          <w:szCs w:val="20"/>
          <w:lang w:val="en-US" w:eastAsia="en-CA"/>
        </w:rPr>
      </w:pPr>
      <w:r w:rsidRPr="002F2423">
        <w:rPr>
          <w:rFonts w:eastAsia="Times New Roman" w:cs="Times New Roman"/>
          <w:sz w:val="20"/>
          <w:szCs w:val="20"/>
          <w:lang w:val="en-US" w:eastAsia="en-CA"/>
        </w:rPr>
        <w:t>Pursuant to Rule 59(1)(</w:t>
      </w:r>
      <w:r w:rsidRPr="002F2423">
        <w:rPr>
          <w:rFonts w:eastAsia="Times New Roman" w:cs="Times New Roman"/>
          <w:i/>
          <w:iCs/>
          <w:sz w:val="20"/>
          <w:szCs w:val="20"/>
          <w:lang w:val="en-US" w:eastAsia="en-CA"/>
        </w:rPr>
        <w:t>a</w:t>
      </w:r>
      <w:r w:rsidRPr="002F2423">
        <w:rPr>
          <w:rFonts w:eastAsia="Times New Roman" w:cs="Times New Roman"/>
          <w:sz w:val="20"/>
          <w:szCs w:val="20"/>
          <w:lang w:val="en-US" w:eastAsia="en-CA"/>
        </w:rPr>
        <w:t xml:space="preserve">) of the </w:t>
      </w:r>
      <w:r w:rsidRPr="002F2423">
        <w:rPr>
          <w:rFonts w:eastAsia="Times New Roman" w:cs="Times New Roman"/>
          <w:i/>
          <w:iCs/>
          <w:sz w:val="20"/>
          <w:szCs w:val="20"/>
          <w:lang w:val="en-US" w:eastAsia="en-CA"/>
        </w:rPr>
        <w:t>Rules of the Supreme Court of Canada</w:t>
      </w:r>
      <w:r w:rsidRPr="002F2423">
        <w:rPr>
          <w:rFonts w:eastAsia="Times New Roman" w:cs="Times New Roman"/>
          <w:sz w:val="20"/>
          <w:szCs w:val="20"/>
          <w:lang w:val="en-US" w:eastAsia="en-CA"/>
        </w:rPr>
        <w:t>, the interveners shall pay to the appellant and respondents any additional disbursements occasioned to the appellant and respondents by their intervention.</w:t>
      </w:r>
    </w:p>
    <w:p w:rsidR="002F2423" w:rsidRPr="002F2423" w:rsidRDefault="002F2423" w:rsidP="002F2423">
      <w:pPr>
        <w:spacing w:line="232" w:lineRule="auto"/>
        <w:jc w:val="both"/>
        <w:rPr>
          <w:rFonts w:eastAsia="Times New Roman" w:cs="Times New Roman"/>
          <w:sz w:val="20"/>
          <w:szCs w:val="20"/>
          <w:lang w:val="en-US" w:eastAsia="en-CA"/>
        </w:rPr>
      </w:pPr>
    </w:p>
    <w:p w:rsidR="002F2423" w:rsidRPr="002F2423" w:rsidRDefault="002F2423" w:rsidP="002F2423">
      <w:pPr>
        <w:spacing w:line="232" w:lineRule="auto"/>
        <w:jc w:val="both"/>
        <w:rPr>
          <w:rFonts w:eastAsia="Times New Roman" w:cs="Times New Roman"/>
          <w:sz w:val="20"/>
          <w:szCs w:val="20"/>
          <w:lang w:val="en-US" w:eastAsia="en-CA"/>
        </w:rPr>
      </w:pPr>
    </w:p>
    <w:p w:rsidR="002F2423" w:rsidRPr="002F2423" w:rsidRDefault="002F2423" w:rsidP="002F2423">
      <w:pPr>
        <w:spacing w:line="232" w:lineRule="auto"/>
        <w:jc w:val="both"/>
        <w:rPr>
          <w:rFonts w:eastAsia="Times New Roman" w:cs="Times New Roman"/>
          <w:sz w:val="20"/>
          <w:szCs w:val="20"/>
          <w:lang w:val="en-US" w:eastAsia="en-CA"/>
        </w:rPr>
      </w:pPr>
    </w:p>
    <w:p w:rsidR="002F2423" w:rsidRPr="002F2423" w:rsidRDefault="002F2423" w:rsidP="002F2423">
      <w:pPr>
        <w:spacing w:line="232" w:lineRule="auto"/>
        <w:jc w:val="both"/>
        <w:rPr>
          <w:rFonts w:eastAsia="Times New Roman" w:cs="Times New Roman"/>
          <w:sz w:val="20"/>
          <w:szCs w:val="20"/>
          <w:lang w:val="fr-CA" w:eastAsia="en-CA"/>
        </w:rPr>
      </w:pPr>
      <w:r w:rsidRPr="002F2423">
        <w:rPr>
          <w:rFonts w:eastAsia="Times New Roman" w:cs="Times New Roman"/>
          <w:b/>
          <w:sz w:val="20"/>
          <w:szCs w:val="20"/>
          <w:lang w:val="fr-CA" w:eastAsia="en-CA"/>
        </w:rPr>
        <w:t>À LA SUITE DE LES REQUÊTES</w:t>
      </w:r>
      <w:r w:rsidRPr="002F2423">
        <w:rPr>
          <w:rFonts w:eastAsia="Times New Roman" w:cs="Times New Roman"/>
          <w:sz w:val="20"/>
          <w:szCs w:val="20"/>
          <w:lang w:val="fr-CA" w:eastAsia="en-CA"/>
        </w:rPr>
        <w:t xml:space="preserve"> présentées par Music Canada, International Federation of the Phonographic Industry, Canadian Council of Music Industry Associations, Canadian Independent Music Association et l’Association Québecoise de l'industrie du disque, du spectacle et de la video (conjointement), la Canadian Musical Reproduction Rights Agency Ltd., la Canadian Music Publishers Association et l’International Confederation of Music Publishers (conjointement), la Centre for Intellectual Property Policy et Ariel Katz (conjointement) et Samuelson-Glushko Canadian Internet Policy and Public Interest Clinic en autorisation d’intervenir dans l’appel;</w:t>
      </w:r>
    </w:p>
    <w:p w:rsidR="002F2423" w:rsidRPr="002F2423" w:rsidRDefault="002F2423" w:rsidP="002F2423">
      <w:pPr>
        <w:spacing w:line="232" w:lineRule="auto"/>
        <w:jc w:val="both"/>
        <w:rPr>
          <w:rFonts w:eastAsia="Times New Roman" w:cs="Times New Roman"/>
          <w:sz w:val="20"/>
          <w:szCs w:val="20"/>
          <w:lang w:val="fr-CA" w:eastAsia="en-CA"/>
        </w:rPr>
      </w:pPr>
    </w:p>
    <w:p w:rsidR="002F2423" w:rsidRPr="002F2423" w:rsidRDefault="002F2423" w:rsidP="002F2423">
      <w:pPr>
        <w:spacing w:line="232" w:lineRule="auto"/>
        <w:jc w:val="both"/>
        <w:rPr>
          <w:rFonts w:eastAsia="Times New Roman" w:cs="Times New Roman"/>
          <w:sz w:val="20"/>
          <w:szCs w:val="20"/>
          <w:lang w:val="fr-CA" w:eastAsia="en-CA"/>
        </w:rPr>
      </w:pPr>
      <w:r w:rsidRPr="002F2423">
        <w:rPr>
          <w:rFonts w:eastAsia="Times New Roman" w:cs="Times New Roman"/>
          <w:b/>
          <w:sz w:val="20"/>
          <w:szCs w:val="20"/>
          <w:lang w:val="fr-CA" w:eastAsia="en-CA"/>
        </w:rPr>
        <w:t>ET APRÈS EXAMEN</w:t>
      </w:r>
      <w:r w:rsidRPr="002F2423">
        <w:rPr>
          <w:rFonts w:eastAsia="Times New Roman" w:cs="Times New Roman"/>
          <w:sz w:val="20"/>
          <w:szCs w:val="20"/>
          <w:lang w:val="fr-CA" w:eastAsia="en-CA"/>
        </w:rPr>
        <w:t xml:space="preserve"> des documents déposés; </w:t>
      </w:r>
    </w:p>
    <w:p w:rsidR="002F2423" w:rsidRPr="002F2423" w:rsidRDefault="002F2423" w:rsidP="002F2423">
      <w:pPr>
        <w:spacing w:line="232" w:lineRule="auto"/>
        <w:jc w:val="both"/>
        <w:rPr>
          <w:rFonts w:eastAsia="Times New Roman" w:cs="Times New Roman"/>
          <w:sz w:val="20"/>
          <w:szCs w:val="20"/>
          <w:lang w:val="fr-CA" w:eastAsia="en-CA"/>
        </w:rPr>
      </w:pPr>
    </w:p>
    <w:p w:rsidR="002F2423" w:rsidRPr="002F2423" w:rsidRDefault="002F2423" w:rsidP="002F2423">
      <w:pPr>
        <w:spacing w:line="232" w:lineRule="auto"/>
        <w:jc w:val="both"/>
        <w:rPr>
          <w:rFonts w:eastAsia="Times New Roman" w:cs="Times New Roman"/>
          <w:sz w:val="20"/>
          <w:szCs w:val="20"/>
          <w:lang w:val="fr-CA" w:eastAsia="en-CA"/>
        </w:rPr>
      </w:pPr>
      <w:r w:rsidRPr="002F2423">
        <w:rPr>
          <w:rFonts w:eastAsia="Times New Roman" w:cs="Times New Roman"/>
          <w:b/>
          <w:sz w:val="20"/>
          <w:szCs w:val="20"/>
          <w:lang w:val="fr-CA" w:eastAsia="en-CA"/>
        </w:rPr>
        <w:t>IL EST ORDONNÉ CE QUI SUIT :</w:t>
      </w:r>
      <w:r w:rsidRPr="002F2423">
        <w:rPr>
          <w:rFonts w:eastAsia="Times New Roman" w:cs="Times New Roman"/>
          <w:sz w:val="20"/>
          <w:szCs w:val="20"/>
          <w:lang w:val="fr-CA" w:eastAsia="en-CA"/>
        </w:rPr>
        <w:t xml:space="preserve"> </w:t>
      </w:r>
    </w:p>
    <w:p w:rsidR="002F2423" w:rsidRPr="002F2423" w:rsidRDefault="002F2423" w:rsidP="002F2423">
      <w:pPr>
        <w:spacing w:line="232" w:lineRule="auto"/>
        <w:jc w:val="both"/>
        <w:rPr>
          <w:rFonts w:eastAsia="Times New Roman" w:cs="Times New Roman"/>
          <w:sz w:val="20"/>
          <w:szCs w:val="20"/>
          <w:lang w:val="fr-CA" w:eastAsia="en-CA"/>
        </w:rPr>
      </w:pPr>
    </w:p>
    <w:p w:rsidR="002F2423" w:rsidRPr="002F2423" w:rsidRDefault="002F2423" w:rsidP="002F2423">
      <w:pPr>
        <w:spacing w:line="232" w:lineRule="auto"/>
        <w:jc w:val="both"/>
        <w:rPr>
          <w:rFonts w:eastAsia="Times New Roman" w:cs="Times New Roman"/>
          <w:sz w:val="20"/>
          <w:szCs w:val="20"/>
          <w:lang w:val="fr-CA" w:eastAsia="en-CA"/>
        </w:rPr>
      </w:pPr>
      <w:r w:rsidRPr="002F2423">
        <w:rPr>
          <w:rFonts w:eastAsia="Times New Roman" w:cs="Times New Roman"/>
          <w:sz w:val="20"/>
          <w:szCs w:val="20"/>
          <w:lang w:val="fr-CA" w:eastAsia="en-CA"/>
        </w:rPr>
        <w:t>Les requêtes en autorisation d’intervenir présentées par Music Canada, International Federation of the Phonographic Industry, Canadian Council of Music Industry Associations, Canadian Independent Music Association et l’Association Québecoise de l'industrie du disque, du spectacle et de la video (conjointement), la Canadian Musical Reproduction Rights Agency Ltd., la Canadian Music Publishers Association et l’International Confederation of Music Publishers (conjointement), la Centre for Intellectual Property Policy et Ariel Katz (conjointement) et Samuelson-Glushko Canadian Internet Policy and Public Interest Clinic est accueillie et cette intervenante pourra signifier et déposer un mémoire d’au plus dix (10) pages au plus tard le 2 mars 2015.</w:t>
      </w:r>
    </w:p>
    <w:p w:rsidR="002F2423" w:rsidRPr="002F2423" w:rsidRDefault="002F2423" w:rsidP="002F2423">
      <w:pPr>
        <w:spacing w:line="232" w:lineRule="auto"/>
        <w:jc w:val="both"/>
        <w:rPr>
          <w:rFonts w:eastAsia="Times New Roman" w:cs="Times New Roman"/>
          <w:sz w:val="20"/>
          <w:szCs w:val="20"/>
          <w:lang w:val="fr-CA" w:eastAsia="en-CA"/>
        </w:rPr>
      </w:pPr>
    </w:p>
    <w:p w:rsidR="002F2423" w:rsidRPr="002F2423" w:rsidRDefault="002F2423" w:rsidP="002F2423">
      <w:pPr>
        <w:spacing w:line="232" w:lineRule="auto"/>
        <w:jc w:val="both"/>
        <w:rPr>
          <w:rFonts w:eastAsia="Times New Roman" w:cs="Times New Roman"/>
          <w:sz w:val="20"/>
          <w:szCs w:val="20"/>
          <w:lang w:val="fr-CA" w:eastAsia="en-CA"/>
        </w:rPr>
      </w:pPr>
      <w:r w:rsidRPr="002F2423">
        <w:rPr>
          <w:rFonts w:eastAsia="Times New Roman" w:cs="Times New Roman"/>
          <w:sz w:val="20"/>
          <w:szCs w:val="20"/>
          <w:lang w:val="fr-CA" w:eastAsia="en-CA"/>
        </w:rPr>
        <w:t>La décision sur les requêtes en vue de présenter une plaidoirie orale sera rendue après réception et examen des arguments écrits des parties et des intervenants.</w:t>
      </w:r>
    </w:p>
    <w:p w:rsidR="002F2423" w:rsidRPr="002F2423" w:rsidRDefault="002F2423" w:rsidP="002F2423">
      <w:pPr>
        <w:spacing w:line="232" w:lineRule="auto"/>
        <w:jc w:val="both"/>
        <w:rPr>
          <w:rFonts w:eastAsia="Times New Roman" w:cs="Times New Roman"/>
          <w:sz w:val="20"/>
          <w:szCs w:val="20"/>
          <w:lang w:val="fr-CA" w:eastAsia="en-CA"/>
        </w:rPr>
      </w:pPr>
    </w:p>
    <w:p w:rsidR="002F2423" w:rsidRPr="002F2423" w:rsidRDefault="002F2423" w:rsidP="002F2423">
      <w:pPr>
        <w:spacing w:line="232" w:lineRule="auto"/>
        <w:jc w:val="both"/>
        <w:rPr>
          <w:rFonts w:eastAsia="Times New Roman" w:cs="Times New Roman"/>
          <w:sz w:val="20"/>
          <w:szCs w:val="20"/>
          <w:lang w:val="fr-CA" w:eastAsia="en-CA"/>
        </w:rPr>
      </w:pPr>
      <w:r w:rsidRPr="002F2423">
        <w:rPr>
          <w:rFonts w:eastAsia="Times New Roman" w:cs="Times New Roman"/>
          <w:sz w:val="20"/>
          <w:szCs w:val="20"/>
          <w:lang w:val="fr-CA" w:eastAsia="en-CA"/>
        </w:rPr>
        <w:t>Les intervenantes n’a pas le droit de soulever de nouvelles questions, de produire d’autres éléments de preuve ou de compléter de quelque autre façon le dossier des parties.</w:t>
      </w:r>
    </w:p>
    <w:p w:rsidR="002F2423" w:rsidRPr="002F2423" w:rsidRDefault="002F2423" w:rsidP="002F2423">
      <w:pPr>
        <w:spacing w:line="232" w:lineRule="auto"/>
        <w:jc w:val="both"/>
        <w:rPr>
          <w:rFonts w:eastAsia="Times New Roman" w:cs="Times New Roman"/>
          <w:b/>
          <w:sz w:val="20"/>
          <w:szCs w:val="20"/>
          <w:lang w:val="fr-CA" w:eastAsia="en-CA"/>
        </w:rPr>
      </w:pPr>
    </w:p>
    <w:p w:rsidR="002F2423" w:rsidRPr="002F2423" w:rsidRDefault="002F2423" w:rsidP="002F2423">
      <w:pPr>
        <w:jc w:val="both"/>
        <w:rPr>
          <w:rFonts w:eastAsia="Times New Roman" w:cs="Times New Roman"/>
          <w:bCs/>
          <w:sz w:val="20"/>
          <w:szCs w:val="20"/>
          <w:lang w:val="fr-CA" w:eastAsia="en-CA"/>
        </w:rPr>
      </w:pPr>
      <w:r w:rsidRPr="002F2423">
        <w:rPr>
          <w:rFonts w:eastAsia="Times New Roman" w:cs="Times New Roman"/>
          <w:sz w:val="20"/>
          <w:szCs w:val="20"/>
          <w:lang w:val="fr-CA" w:eastAsia="en-CA"/>
        </w:rPr>
        <w:t>Conformément à l’alinéa 59(1)(</w:t>
      </w:r>
      <w:r w:rsidRPr="002F2423">
        <w:rPr>
          <w:rFonts w:eastAsia="Times New Roman" w:cs="Times New Roman"/>
          <w:i/>
          <w:sz w:val="20"/>
          <w:szCs w:val="20"/>
          <w:lang w:val="fr-CA" w:eastAsia="en-CA"/>
        </w:rPr>
        <w:t>a</w:t>
      </w:r>
      <w:r w:rsidRPr="002F2423">
        <w:rPr>
          <w:rFonts w:eastAsia="Times New Roman" w:cs="Times New Roman"/>
          <w:sz w:val="20"/>
          <w:szCs w:val="20"/>
          <w:lang w:val="fr-CA" w:eastAsia="en-CA"/>
        </w:rPr>
        <w:t xml:space="preserve">) des </w:t>
      </w:r>
      <w:r w:rsidRPr="002F2423">
        <w:rPr>
          <w:rFonts w:eastAsia="Times New Roman" w:cs="Times New Roman"/>
          <w:i/>
          <w:sz w:val="20"/>
          <w:szCs w:val="20"/>
          <w:lang w:val="fr-CA" w:eastAsia="en-CA"/>
        </w:rPr>
        <w:t>Règles de la Cour suprême du Canada</w:t>
      </w:r>
      <w:r w:rsidRPr="002F2423">
        <w:rPr>
          <w:rFonts w:eastAsia="Times New Roman" w:cs="Times New Roman"/>
          <w:sz w:val="20"/>
          <w:szCs w:val="20"/>
          <w:lang w:val="fr-CA" w:eastAsia="en-CA"/>
        </w:rPr>
        <w:t>, les intervenantes paieront à l’appelante et aux intimés tous débours supplémentaires résultant de leurs intervention.</w:t>
      </w:r>
      <w:r w:rsidRPr="002F2423">
        <w:rPr>
          <w:rFonts w:eastAsia="Times New Roman" w:cs="Times New Roman"/>
          <w:bCs/>
          <w:sz w:val="20"/>
          <w:szCs w:val="20"/>
          <w:lang w:val="fr-CA" w:eastAsia="en-CA"/>
        </w:rPr>
        <w:t xml:space="preserve"> </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5A3634" w:rsidP="002F2423">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5" style="width:2in;height:1pt" o:hrpct="0" o:hralign="center" o:hrstd="t" o:hrnoshade="t" o:hr="t" fillcolor="black [3213]" stroked="f"/>
        </w:pict>
      </w:r>
    </w:p>
    <w:p w:rsidR="002F2423" w:rsidRPr="002F2423" w:rsidRDefault="002F2423" w:rsidP="002F2423">
      <w:pPr>
        <w:rPr>
          <w:rFonts w:eastAsia="Times New Roman" w:cs="Times New Roman"/>
          <w:sz w:val="20"/>
          <w:szCs w:val="20"/>
          <w:lang w:eastAsia="en-CA"/>
        </w:rPr>
      </w:pPr>
      <w:r w:rsidRPr="002F2423">
        <w:rPr>
          <w:rFonts w:eastAsia="Times New Roman" w:cs="Times New Roman"/>
          <w:sz w:val="20"/>
          <w:szCs w:val="20"/>
          <w:lang w:eastAsia="en-CA"/>
        </w:rPr>
        <w:br w:type="page"/>
      </w:r>
    </w:p>
    <w:p w:rsidR="002F2423" w:rsidRPr="002F2423" w:rsidRDefault="002F2423" w:rsidP="002F2423">
      <w:pPr>
        <w:tabs>
          <w:tab w:val="left" w:pos="-1440"/>
          <w:tab w:val="left" w:pos="-720"/>
        </w:tabs>
        <w:jc w:val="both"/>
        <w:rPr>
          <w:rFonts w:eastAsia="Times New Roman" w:cs="Times New Roman"/>
          <w:sz w:val="20"/>
          <w:szCs w:val="20"/>
          <w:lang w:eastAsia="en-CA"/>
        </w:rPr>
      </w:pPr>
    </w:p>
    <w:p w:rsidR="002F2423" w:rsidRPr="002F2423" w:rsidRDefault="002F2423" w:rsidP="002F2423">
      <w:pPr>
        <w:tabs>
          <w:tab w:val="left" w:pos="-1440"/>
          <w:tab w:val="left" w:pos="-720"/>
        </w:tabs>
        <w:jc w:val="both"/>
        <w:rPr>
          <w:rFonts w:eastAsia="Times New Roman" w:cs="Times New Roman"/>
          <w:sz w:val="20"/>
          <w:szCs w:val="20"/>
          <w:lang w:eastAsia="en-CA"/>
        </w:rPr>
      </w:pPr>
      <w:r w:rsidRPr="002F2423">
        <w:rPr>
          <w:rFonts w:eastAsia="Times New Roman" w:cs="Times New Roman"/>
          <w:sz w:val="20"/>
          <w:szCs w:val="20"/>
          <w:lang w:eastAsia="en-CA"/>
        </w:rPr>
        <w:t>12.02.2015</w:t>
      </w:r>
    </w:p>
    <w:p w:rsidR="002F2423" w:rsidRPr="002F2423" w:rsidRDefault="002F2423" w:rsidP="002F2423">
      <w:pPr>
        <w:tabs>
          <w:tab w:val="left" w:pos="-1440"/>
          <w:tab w:val="left" w:pos="-720"/>
        </w:tabs>
        <w:jc w:val="both"/>
        <w:rPr>
          <w:rFonts w:eastAsia="Times New Roman" w:cs="Times New Roman"/>
          <w:sz w:val="20"/>
          <w:szCs w:val="20"/>
          <w:lang w:eastAsia="en-CA"/>
        </w:rPr>
      </w:pPr>
    </w:p>
    <w:p w:rsidR="002F2423" w:rsidRPr="002F2423" w:rsidRDefault="002F2423" w:rsidP="002F2423">
      <w:pPr>
        <w:tabs>
          <w:tab w:val="left" w:pos="-1440"/>
          <w:tab w:val="left" w:pos="-720"/>
        </w:tabs>
        <w:jc w:val="both"/>
        <w:rPr>
          <w:rFonts w:eastAsia="Times New Roman" w:cs="Times New Roman"/>
          <w:sz w:val="20"/>
          <w:szCs w:val="20"/>
          <w:lang w:eastAsia="en-CA"/>
        </w:rPr>
      </w:pPr>
      <w:r w:rsidRPr="002F2423">
        <w:rPr>
          <w:rFonts w:eastAsia="Times New Roman" w:cs="Times New Roman"/>
          <w:sz w:val="20"/>
          <w:szCs w:val="20"/>
          <w:lang w:eastAsia="en-CA"/>
        </w:rPr>
        <w:t>Before / Devant:   THE REGISTRAR / LE REGISTRAIRE</w:t>
      </w:r>
    </w:p>
    <w:p w:rsidR="002F2423" w:rsidRPr="002F2423" w:rsidRDefault="002F2423" w:rsidP="002F2423">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F2423" w:rsidRPr="008B79EB" w:rsidTr="002F2423">
        <w:tc>
          <w:tcPr>
            <w:tcW w:w="4338" w:type="dxa"/>
          </w:tcPr>
          <w:p w:rsidR="002F2423" w:rsidRPr="002F2423" w:rsidRDefault="00286B88" w:rsidP="002F2423">
            <w:pPr>
              <w:tabs>
                <w:tab w:val="left" w:pos="-1440"/>
                <w:tab w:val="left" w:pos="-720"/>
              </w:tabs>
              <w:jc w:val="both"/>
              <w:rPr>
                <w:b/>
              </w:rPr>
            </w:pPr>
            <w:r w:rsidRPr="002F2423">
              <w:rPr>
                <w:szCs w:val="24"/>
                <w:lang w:val="en-US"/>
              </w:rPr>
              <w:fldChar w:fldCharType="begin"/>
            </w:r>
            <w:r w:rsidR="002F2423" w:rsidRPr="002F2423">
              <w:rPr>
                <w:szCs w:val="24"/>
                <w:lang w:val="en-US"/>
              </w:rPr>
              <w:instrText xml:space="preserve"> SEQ CHAPTER \h \r 1</w:instrText>
            </w:r>
            <w:r w:rsidRPr="002F2423">
              <w:rPr>
                <w:szCs w:val="24"/>
                <w:lang w:val="en-US"/>
              </w:rPr>
              <w:fldChar w:fldCharType="end"/>
            </w:r>
            <w:r w:rsidR="002F2423" w:rsidRPr="002F2423">
              <w:rPr>
                <w:b/>
                <w:bCs/>
                <w:lang w:val="en-US"/>
              </w:rPr>
              <w:t>Motion to dispense with printing</w:t>
            </w:r>
          </w:p>
        </w:tc>
        <w:tc>
          <w:tcPr>
            <w:tcW w:w="1170" w:type="dxa"/>
          </w:tcPr>
          <w:p w:rsidR="002F2423" w:rsidRPr="002F2423" w:rsidRDefault="002F2423" w:rsidP="002F2423">
            <w:pPr>
              <w:tabs>
                <w:tab w:val="left" w:pos="-1440"/>
                <w:tab w:val="left" w:pos="-720"/>
              </w:tabs>
              <w:jc w:val="both"/>
            </w:pPr>
          </w:p>
          <w:p w:rsidR="002F2423" w:rsidRPr="002F2423" w:rsidRDefault="002F2423" w:rsidP="002F2423">
            <w:pPr>
              <w:tabs>
                <w:tab w:val="left" w:pos="-1440"/>
                <w:tab w:val="left" w:pos="-720"/>
              </w:tabs>
              <w:jc w:val="both"/>
            </w:pPr>
          </w:p>
          <w:p w:rsidR="002F2423" w:rsidRPr="002F2423" w:rsidRDefault="002F2423" w:rsidP="002F2423">
            <w:pPr>
              <w:tabs>
                <w:tab w:val="left" w:pos="-1440"/>
                <w:tab w:val="left" w:pos="-720"/>
              </w:tabs>
              <w:jc w:val="both"/>
            </w:pPr>
          </w:p>
        </w:tc>
        <w:tc>
          <w:tcPr>
            <w:tcW w:w="4327" w:type="dxa"/>
          </w:tcPr>
          <w:p w:rsidR="002F2423" w:rsidRPr="002F2423" w:rsidRDefault="002F2423" w:rsidP="002F2423">
            <w:pPr>
              <w:tabs>
                <w:tab w:val="left" w:pos="-1440"/>
                <w:tab w:val="left" w:pos="-720"/>
              </w:tabs>
              <w:jc w:val="both"/>
              <w:rPr>
                <w:lang w:val="fr-CA"/>
              </w:rPr>
            </w:pPr>
            <w:r w:rsidRPr="002F2423">
              <w:rPr>
                <w:b/>
                <w:bCs/>
                <w:color w:val="000000"/>
                <w:lang w:val="fr-CA"/>
              </w:rPr>
              <w:t>Requête en vue d’être dispenser d’imprimer la documentation</w:t>
            </w:r>
            <w:r w:rsidRPr="002F2423">
              <w:rPr>
                <w:szCs w:val="24"/>
                <w:lang w:val="fr-CA"/>
              </w:rPr>
              <w:t xml:space="preserve"> </w:t>
            </w:r>
            <w:r w:rsidR="00286B88" w:rsidRPr="002F2423">
              <w:rPr>
                <w:szCs w:val="24"/>
                <w:lang w:val="en-US"/>
              </w:rPr>
              <w:fldChar w:fldCharType="begin"/>
            </w:r>
            <w:r w:rsidRPr="002F2423">
              <w:rPr>
                <w:szCs w:val="24"/>
                <w:lang w:val="fr-CA"/>
              </w:rPr>
              <w:instrText xml:space="preserve"> SEQ CHAPTER \h \r 1</w:instrText>
            </w:r>
            <w:r w:rsidR="00286B88" w:rsidRPr="002F2423">
              <w:rPr>
                <w:szCs w:val="24"/>
                <w:lang w:val="en-US"/>
              </w:rPr>
              <w:fldChar w:fldCharType="end"/>
            </w:r>
            <w:r w:rsidR="00286B88" w:rsidRPr="002F2423">
              <w:rPr>
                <w:szCs w:val="24"/>
                <w:lang w:val="en-US"/>
              </w:rPr>
              <w:fldChar w:fldCharType="begin"/>
            </w:r>
            <w:r w:rsidRPr="002F2423">
              <w:rPr>
                <w:szCs w:val="24"/>
                <w:lang w:val="fr-CA"/>
              </w:rPr>
              <w:instrText xml:space="preserve"> SEQ CHAPTER \h \r 1</w:instrText>
            </w:r>
            <w:r w:rsidR="00286B88" w:rsidRPr="002F2423">
              <w:rPr>
                <w:szCs w:val="24"/>
                <w:lang w:val="en-US"/>
              </w:rPr>
              <w:fldChar w:fldCharType="end"/>
            </w:r>
          </w:p>
        </w:tc>
      </w:tr>
      <w:tr w:rsidR="002F2423" w:rsidRPr="008B79EB" w:rsidTr="002F2423">
        <w:tc>
          <w:tcPr>
            <w:tcW w:w="4338" w:type="dxa"/>
          </w:tcPr>
          <w:p w:rsidR="002F2423" w:rsidRPr="002F2423" w:rsidRDefault="002F2423" w:rsidP="002F2423">
            <w:pPr>
              <w:tabs>
                <w:tab w:val="left" w:pos="-1440"/>
                <w:tab w:val="left" w:pos="-720"/>
              </w:tabs>
              <w:jc w:val="both"/>
              <w:rPr>
                <w:lang w:val="fr-CA"/>
              </w:rPr>
            </w:pPr>
            <w:r w:rsidRPr="002F2423">
              <w:rPr>
                <w:lang w:val="fr-CA"/>
              </w:rPr>
              <w:t>Sanofi-Aventis et al.</w:t>
            </w:r>
          </w:p>
          <w:p w:rsidR="002F2423" w:rsidRPr="002F2423" w:rsidRDefault="002F2423" w:rsidP="002F2423">
            <w:pPr>
              <w:tabs>
                <w:tab w:val="left" w:pos="-1440"/>
                <w:tab w:val="left" w:pos="-720"/>
              </w:tabs>
              <w:jc w:val="both"/>
              <w:rPr>
                <w:lang w:val="fr-CA"/>
              </w:rPr>
            </w:pPr>
          </w:p>
          <w:p w:rsidR="002F2423" w:rsidRPr="002F2423" w:rsidRDefault="002F2423" w:rsidP="002F2423">
            <w:pPr>
              <w:tabs>
                <w:tab w:val="left" w:pos="-1440"/>
                <w:tab w:val="left" w:pos="-720"/>
              </w:tabs>
              <w:jc w:val="both"/>
              <w:rPr>
                <w:lang w:val="fr-CA"/>
              </w:rPr>
            </w:pPr>
            <w:r w:rsidRPr="002F2423">
              <w:rPr>
                <w:lang w:val="fr-CA"/>
              </w:rPr>
              <w:tab/>
              <w:t>v. (35886)</w:t>
            </w:r>
          </w:p>
          <w:p w:rsidR="002F2423" w:rsidRPr="002F2423" w:rsidRDefault="002F2423" w:rsidP="002F2423">
            <w:pPr>
              <w:tabs>
                <w:tab w:val="left" w:pos="-1440"/>
                <w:tab w:val="left" w:pos="-720"/>
              </w:tabs>
              <w:jc w:val="both"/>
              <w:rPr>
                <w:lang w:val="fr-CA"/>
              </w:rPr>
            </w:pPr>
          </w:p>
          <w:p w:rsidR="002F2423" w:rsidRPr="002F2423" w:rsidRDefault="002F2423" w:rsidP="002F2423">
            <w:pPr>
              <w:tabs>
                <w:tab w:val="left" w:pos="-1440"/>
                <w:tab w:val="left" w:pos="-720"/>
              </w:tabs>
              <w:jc w:val="both"/>
              <w:rPr>
                <w:lang w:val="fr-CA"/>
              </w:rPr>
            </w:pPr>
            <w:r w:rsidRPr="002F2423">
              <w:rPr>
                <w:lang w:val="fr-CA"/>
              </w:rPr>
              <w:t>Apotex Inc. et al. (F.C.)</w:t>
            </w:r>
          </w:p>
        </w:tc>
        <w:tc>
          <w:tcPr>
            <w:tcW w:w="1170" w:type="dxa"/>
          </w:tcPr>
          <w:p w:rsidR="002F2423" w:rsidRPr="002F2423" w:rsidRDefault="002F2423" w:rsidP="002F2423">
            <w:pPr>
              <w:tabs>
                <w:tab w:val="left" w:pos="-1440"/>
                <w:tab w:val="left" w:pos="-720"/>
              </w:tabs>
              <w:jc w:val="both"/>
              <w:rPr>
                <w:lang w:val="fr-CA"/>
              </w:rPr>
            </w:pPr>
          </w:p>
        </w:tc>
        <w:tc>
          <w:tcPr>
            <w:tcW w:w="4327" w:type="dxa"/>
          </w:tcPr>
          <w:p w:rsidR="002F2423" w:rsidRPr="002F2423" w:rsidRDefault="002F2423" w:rsidP="002F2423">
            <w:pPr>
              <w:tabs>
                <w:tab w:val="left" w:pos="-1440"/>
                <w:tab w:val="left" w:pos="-720"/>
              </w:tabs>
              <w:jc w:val="both"/>
              <w:rPr>
                <w:lang w:val="fr-CA"/>
              </w:rPr>
            </w:pPr>
          </w:p>
        </w:tc>
      </w:tr>
    </w:tbl>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b/>
          <w:sz w:val="20"/>
          <w:szCs w:val="20"/>
          <w:lang w:val="fr-CA" w:eastAsia="en-CA"/>
        </w:rPr>
      </w:pPr>
      <w:r w:rsidRPr="002F2423">
        <w:rPr>
          <w:rFonts w:eastAsia="Times New Roman" w:cs="Times New Roman"/>
          <w:b/>
          <w:sz w:val="20"/>
          <w:szCs w:val="20"/>
          <w:lang w:val="fr-CA" w:eastAsia="en-CA"/>
        </w:rPr>
        <w:t>GRANTED / ACCORDÉE</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5A3634" w:rsidP="002F242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6" style="width:2in;height:1pt" o:hrpct="0" o:hralign="center" o:hrstd="t" o:hrnoshade="t" o:hr="t" fillcolor="black [3213]" stroked="f"/>
        </w:pict>
      </w:r>
    </w:p>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sz w:val="20"/>
          <w:szCs w:val="20"/>
          <w:lang w:val="fr-CA" w:eastAsia="en-CA"/>
        </w:rPr>
      </w:pPr>
      <w:r w:rsidRPr="002F2423">
        <w:rPr>
          <w:rFonts w:eastAsia="Times New Roman" w:cs="Times New Roman"/>
          <w:sz w:val="20"/>
          <w:szCs w:val="20"/>
          <w:lang w:val="fr-CA" w:eastAsia="en-CA"/>
        </w:rPr>
        <w:t>16.02.2015</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sz w:val="20"/>
          <w:szCs w:val="20"/>
          <w:lang w:val="fr-CA" w:eastAsia="en-CA"/>
        </w:rPr>
      </w:pPr>
      <w:r w:rsidRPr="002F2423">
        <w:rPr>
          <w:rFonts w:eastAsia="Times New Roman" w:cs="Times New Roman"/>
          <w:sz w:val="20"/>
          <w:szCs w:val="20"/>
          <w:lang w:val="fr-CA" w:eastAsia="en-CA"/>
        </w:rPr>
        <w:t>Before / Devant :   THE CHIEF JUSTICE / LA JUGE EN CHEF</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F2423" w:rsidRPr="008B79EB" w:rsidTr="002F2423">
        <w:tc>
          <w:tcPr>
            <w:tcW w:w="4338" w:type="dxa"/>
          </w:tcPr>
          <w:p w:rsidR="002F2423" w:rsidRPr="002F2423" w:rsidRDefault="00286B88" w:rsidP="002F2423">
            <w:pPr>
              <w:tabs>
                <w:tab w:val="left" w:pos="-1440"/>
                <w:tab w:val="left" w:pos="-720"/>
              </w:tabs>
              <w:jc w:val="both"/>
              <w:rPr>
                <w:b/>
              </w:rPr>
            </w:pPr>
            <w:r w:rsidRPr="002F2423">
              <w:rPr>
                <w:lang w:val="en-US"/>
              </w:rPr>
              <w:fldChar w:fldCharType="begin"/>
            </w:r>
            <w:r w:rsidR="002F2423" w:rsidRPr="002F2423">
              <w:rPr>
                <w:lang w:val="en-US"/>
              </w:rPr>
              <w:instrText xml:space="preserve"> SEQ CHAPTER \h \r 1</w:instrText>
            </w:r>
            <w:r w:rsidRPr="002F2423">
              <w:rPr>
                <w:lang w:val="en-US"/>
              </w:rPr>
              <w:fldChar w:fldCharType="end"/>
            </w:r>
            <w:r w:rsidR="002F2423" w:rsidRPr="002F2423">
              <w:rPr>
                <w:b/>
                <w:bCs/>
                <w:lang w:val="en-US"/>
              </w:rPr>
              <w:t>Motion to state constitutional questions</w:t>
            </w:r>
          </w:p>
        </w:tc>
        <w:tc>
          <w:tcPr>
            <w:tcW w:w="1170" w:type="dxa"/>
          </w:tcPr>
          <w:p w:rsidR="002F2423" w:rsidRPr="002F2423" w:rsidRDefault="002F2423" w:rsidP="002F2423">
            <w:pPr>
              <w:tabs>
                <w:tab w:val="left" w:pos="-1440"/>
                <w:tab w:val="left" w:pos="-720"/>
              </w:tabs>
              <w:jc w:val="both"/>
            </w:pPr>
          </w:p>
          <w:p w:rsidR="002F2423" w:rsidRPr="002F2423" w:rsidRDefault="002F2423" w:rsidP="002F2423">
            <w:pPr>
              <w:tabs>
                <w:tab w:val="left" w:pos="-1440"/>
                <w:tab w:val="left" w:pos="-720"/>
              </w:tabs>
              <w:jc w:val="both"/>
            </w:pPr>
          </w:p>
          <w:p w:rsidR="002F2423" w:rsidRPr="002F2423" w:rsidRDefault="002F2423" w:rsidP="002F2423">
            <w:pPr>
              <w:tabs>
                <w:tab w:val="left" w:pos="-1440"/>
                <w:tab w:val="left" w:pos="-720"/>
              </w:tabs>
              <w:jc w:val="both"/>
            </w:pPr>
          </w:p>
        </w:tc>
        <w:tc>
          <w:tcPr>
            <w:tcW w:w="4327" w:type="dxa"/>
          </w:tcPr>
          <w:p w:rsidR="002F2423" w:rsidRPr="002F2423" w:rsidRDefault="00286B88" w:rsidP="002F2423">
            <w:pPr>
              <w:tabs>
                <w:tab w:val="left" w:pos="-1440"/>
                <w:tab w:val="left" w:pos="-720"/>
              </w:tabs>
              <w:jc w:val="both"/>
              <w:rPr>
                <w:lang w:val="fr-CA"/>
              </w:rPr>
            </w:pPr>
            <w:r w:rsidRPr="002F2423">
              <w:rPr>
                <w:lang w:val="en-US"/>
              </w:rPr>
              <w:fldChar w:fldCharType="begin"/>
            </w:r>
            <w:r w:rsidR="002F2423" w:rsidRPr="002F2423">
              <w:rPr>
                <w:lang w:val="fr-CA"/>
              </w:rPr>
              <w:instrText xml:space="preserve"> SEQ CHAPTER \h \r 1</w:instrText>
            </w:r>
            <w:r w:rsidRPr="002F2423">
              <w:rPr>
                <w:lang w:val="en-US"/>
              </w:rPr>
              <w:fldChar w:fldCharType="end"/>
            </w:r>
            <w:r w:rsidR="002F2423" w:rsidRPr="002F2423">
              <w:rPr>
                <w:b/>
                <w:bCs/>
                <w:lang w:val="fr-CA"/>
              </w:rPr>
              <w:t>Requête en formulation de questions constitutionnelles</w:t>
            </w:r>
            <w:r w:rsidRPr="002F2423">
              <w:rPr>
                <w:lang w:val="en-US"/>
              </w:rPr>
              <w:fldChar w:fldCharType="begin"/>
            </w:r>
            <w:r w:rsidR="002F2423" w:rsidRPr="002F2423">
              <w:rPr>
                <w:lang w:val="fr-CA"/>
              </w:rPr>
              <w:instrText xml:space="preserve"> SEQ CHAPTER \h \r 1</w:instrText>
            </w:r>
            <w:r w:rsidRPr="002F2423">
              <w:rPr>
                <w:lang w:val="en-US"/>
              </w:rPr>
              <w:fldChar w:fldCharType="end"/>
            </w:r>
            <w:r w:rsidRPr="002F2423">
              <w:rPr>
                <w:lang w:val="en-US"/>
              </w:rPr>
              <w:fldChar w:fldCharType="begin"/>
            </w:r>
            <w:r w:rsidR="002F2423" w:rsidRPr="002F2423">
              <w:rPr>
                <w:lang w:val="fr-CA"/>
              </w:rPr>
              <w:instrText xml:space="preserve"> SEQ CHAPTER \h \r 1</w:instrText>
            </w:r>
            <w:r w:rsidRPr="002F2423">
              <w:rPr>
                <w:lang w:val="en-US"/>
              </w:rPr>
              <w:fldChar w:fldCharType="end"/>
            </w:r>
            <w:r w:rsidRPr="002F2423">
              <w:rPr>
                <w:lang w:val="en-US"/>
              </w:rPr>
              <w:fldChar w:fldCharType="begin"/>
            </w:r>
            <w:r w:rsidR="002F2423" w:rsidRPr="002F2423">
              <w:rPr>
                <w:lang w:val="fr-CA"/>
              </w:rPr>
              <w:instrText xml:space="preserve"> SEQ CHAPTER \h \r 1</w:instrText>
            </w:r>
            <w:r w:rsidRPr="002F2423">
              <w:rPr>
                <w:lang w:val="en-US"/>
              </w:rPr>
              <w:fldChar w:fldCharType="end"/>
            </w:r>
          </w:p>
        </w:tc>
      </w:tr>
      <w:tr w:rsidR="002F2423" w:rsidRPr="008B79EB" w:rsidTr="002F2423">
        <w:tc>
          <w:tcPr>
            <w:tcW w:w="4338" w:type="dxa"/>
          </w:tcPr>
          <w:p w:rsidR="002F2423" w:rsidRPr="002F2423" w:rsidRDefault="002F2423" w:rsidP="002F2423">
            <w:pPr>
              <w:tabs>
                <w:tab w:val="left" w:pos="-1440"/>
                <w:tab w:val="left" w:pos="-720"/>
              </w:tabs>
              <w:jc w:val="both"/>
              <w:rPr>
                <w:lang w:val="fr-CA"/>
              </w:rPr>
            </w:pPr>
            <w:r w:rsidRPr="002F2423">
              <w:rPr>
                <w:lang w:val="fr-CA"/>
              </w:rPr>
              <w:t>Procureur générale du Québec et autres</w:t>
            </w:r>
          </w:p>
          <w:p w:rsidR="002F2423" w:rsidRPr="002F2423" w:rsidRDefault="002F2423" w:rsidP="002F2423">
            <w:pPr>
              <w:tabs>
                <w:tab w:val="left" w:pos="-1440"/>
                <w:tab w:val="left" w:pos="-720"/>
              </w:tabs>
              <w:jc w:val="both"/>
              <w:rPr>
                <w:lang w:val="fr-CA"/>
              </w:rPr>
            </w:pPr>
          </w:p>
          <w:p w:rsidR="002F2423" w:rsidRPr="002F2423" w:rsidRDefault="002F2423" w:rsidP="002F2423">
            <w:pPr>
              <w:tabs>
                <w:tab w:val="left" w:pos="-1440"/>
                <w:tab w:val="left" w:pos="-720"/>
              </w:tabs>
              <w:jc w:val="both"/>
              <w:rPr>
                <w:lang w:val="fr-CA"/>
              </w:rPr>
            </w:pPr>
            <w:r w:rsidRPr="002F2423">
              <w:rPr>
                <w:lang w:val="fr-CA"/>
              </w:rPr>
              <w:tab/>
              <w:t>c. (36231)</w:t>
            </w:r>
          </w:p>
          <w:p w:rsidR="002F2423" w:rsidRPr="002F2423" w:rsidRDefault="002F2423" w:rsidP="002F2423">
            <w:pPr>
              <w:tabs>
                <w:tab w:val="left" w:pos="-1440"/>
                <w:tab w:val="left" w:pos="-720"/>
              </w:tabs>
              <w:jc w:val="both"/>
              <w:rPr>
                <w:lang w:val="fr-CA"/>
              </w:rPr>
            </w:pPr>
          </w:p>
          <w:p w:rsidR="002F2423" w:rsidRPr="002F2423" w:rsidRDefault="002F2423" w:rsidP="002F2423">
            <w:pPr>
              <w:tabs>
                <w:tab w:val="left" w:pos="-1440"/>
                <w:tab w:val="left" w:pos="-720"/>
              </w:tabs>
              <w:jc w:val="both"/>
              <w:rPr>
                <w:lang w:val="fr-CA"/>
              </w:rPr>
            </w:pPr>
            <w:r w:rsidRPr="002F2423">
              <w:rPr>
                <w:lang w:val="fr-CA"/>
              </w:rPr>
              <w:t>Procureur général du Canada (Qc)</w:t>
            </w:r>
          </w:p>
        </w:tc>
        <w:tc>
          <w:tcPr>
            <w:tcW w:w="1170" w:type="dxa"/>
          </w:tcPr>
          <w:p w:rsidR="002F2423" w:rsidRPr="002F2423" w:rsidRDefault="002F2423" w:rsidP="002F2423">
            <w:pPr>
              <w:tabs>
                <w:tab w:val="left" w:pos="-1440"/>
                <w:tab w:val="left" w:pos="-720"/>
              </w:tabs>
              <w:jc w:val="both"/>
              <w:rPr>
                <w:lang w:val="fr-CA"/>
              </w:rPr>
            </w:pPr>
          </w:p>
        </w:tc>
        <w:tc>
          <w:tcPr>
            <w:tcW w:w="4327" w:type="dxa"/>
          </w:tcPr>
          <w:p w:rsidR="002F2423" w:rsidRPr="002F2423" w:rsidRDefault="002F2423" w:rsidP="002F2423">
            <w:pPr>
              <w:tabs>
                <w:tab w:val="left" w:pos="-1440"/>
                <w:tab w:val="left" w:pos="-720"/>
              </w:tabs>
              <w:jc w:val="both"/>
              <w:rPr>
                <w:lang w:val="fr-CA"/>
              </w:rPr>
            </w:pPr>
          </w:p>
        </w:tc>
      </w:tr>
    </w:tbl>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2F2423" w:rsidP="002F2423">
      <w:pPr>
        <w:tabs>
          <w:tab w:val="left" w:pos="-1440"/>
          <w:tab w:val="left" w:pos="-720"/>
        </w:tabs>
        <w:jc w:val="both"/>
        <w:rPr>
          <w:rFonts w:eastAsia="Times New Roman" w:cs="Times New Roman"/>
          <w:sz w:val="20"/>
          <w:szCs w:val="20"/>
          <w:lang w:eastAsia="en-CA"/>
        </w:rPr>
      </w:pPr>
      <w:r w:rsidRPr="002F2423">
        <w:rPr>
          <w:rFonts w:eastAsia="Times New Roman" w:cs="Times New Roman"/>
          <w:b/>
          <w:sz w:val="20"/>
          <w:szCs w:val="20"/>
          <w:lang w:eastAsia="en-CA"/>
        </w:rPr>
        <w:t>DISMISSED / REJETÉE</w:t>
      </w:r>
    </w:p>
    <w:p w:rsidR="002F2423" w:rsidRPr="002F2423" w:rsidRDefault="002F2423" w:rsidP="002F2423">
      <w:pPr>
        <w:tabs>
          <w:tab w:val="left" w:pos="-1440"/>
          <w:tab w:val="left" w:pos="-720"/>
        </w:tabs>
        <w:jc w:val="both"/>
        <w:rPr>
          <w:rFonts w:eastAsia="Times New Roman" w:cs="Times New Roman"/>
          <w:sz w:val="20"/>
          <w:szCs w:val="20"/>
          <w:lang w:eastAsia="en-CA"/>
        </w:rPr>
      </w:pPr>
    </w:p>
    <w:p w:rsidR="002F2423" w:rsidRPr="002F2423" w:rsidRDefault="002F2423" w:rsidP="002F2423">
      <w:pPr>
        <w:jc w:val="both"/>
        <w:rPr>
          <w:rFonts w:eastAsia="Times New Roman" w:cs="Times New Roman"/>
          <w:b/>
          <w:sz w:val="20"/>
          <w:szCs w:val="20"/>
          <w:lang w:val="en-US" w:eastAsia="en-CA"/>
        </w:rPr>
      </w:pPr>
      <w:r w:rsidRPr="002F2423">
        <w:rPr>
          <w:rFonts w:eastAsia="Times New Roman" w:cs="Times New Roman"/>
          <w:b/>
          <w:sz w:val="20"/>
          <w:szCs w:val="20"/>
          <w:lang w:val="en-US" w:eastAsia="en-CA"/>
        </w:rPr>
        <w:t xml:space="preserve">UPON APPLICATION </w:t>
      </w:r>
      <w:r w:rsidRPr="002F2423">
        <w:rPr>
          <w:rFonts w:eastAsia="Times New Roman" w:cs="Times New Roman"/>
          <w:sz w:val="20"/>
          <w:szCs w:val="20"/>
          <w:lang w:val="en-US" w:eastAsia="en-CA"/>
        </w:rPr>
        <w:t xml:space="preserve">by the appellants, Rocco Galati and the Constitutional Rights Centre Inc., </w:t>
      </w:r>
      <w:r w:rsidRPr="002F2423">
        <w:rPr>
          <w:rFonts w:eastAsia="Times New Roman" w:cs="Times New Roman"/>
          <w:sz w:val="20"/>
          <w:szCs w:val="20"/>
          <w:lang w:eastAsia="en-CA"/>
        </w:rPr>
        <w:t xml:space="preserve">for an order stating constitutional questions </w:t>
      </w:r>
      <w:r w:rsidRPr="002F2423">
        <w:rPr>
          <w:rFonts w:eastAsia="Times New Roman" w:cs="Times New Roman"/>
          <w:sz w:val="20"/>
          <w:szCs w:val="20"/>
          <w:lang w:val="en-US" w:eastAsia="en-CA"/>
        </w:rPr>
        <w:t>in the above appeal;</w:t>
      </w:r>
    </w:p>
    <w:p w:rsidR="002F2423" w:rsidRPr="002F2423" w:rsidRDefault="002F2423" w:rsidP="002F2423">
      <w:pPr>
        <w:jc w:val="both"/>
        <w:rPr>
          <w:rFonts w:eastAsia="Times New Roman" w:cs="Times New Roman"/>
          <w:b/>
          <w:sz w:val="20"/>
          <w:szCs w:val="20"/>
          <w:lang w:val="en-US" w:eastAsia="en-CA"/>
        </w:rPr>
      </w:pPr>
    </w:p>
    <w:p w:rsidR="002F2423" w:rsidRPr="002F2423" w:rsidRDefault="002F2423" w:rsidP="002F2423">
      <w:pPr>
        <w:jc w:val="both"/>
        <w:rPr>
          <w:rFonts w:eastAsia="Times New Roman" w:cs="Times New Roman"/>
          <w:b/>
          <w:sz w:val="20"/>
          <w:szCs w:val="20"/>
          <w:lang w:val="en-US" w:eastAsia="en-CA"/>
        </w:rPr>
      </w:pPr>
      <w:r w:rsidRPr="002F2423">
        <w:rPr>
          <w:rFonts w:eastAsia="Times New Roman" w:cs="Times New Roman"/>
          <w:b/>
          <w:sz w:val="20"/>
          <w:szCs w:val="20"/>
          <w:lang w:val="en-US" w:eastAsia="en-CA"/>
        </w:rPr>
        <w:t xml:space="preserve">AND THE MATERIAL FILED </w:t>
      </w:r>
      <w:r w:rsidRPr="002F2423">
        <w:rPr>
          <w:rFonts w:eastAsia="Times New Roman" w:cs="Times New Roman"/>
          <w:sz w:val="20"/>
          <w:szCs w:val="20"/>
          <w:lang w:val="en-US" w:eastAsia="en-CA"/>
        </w:rPr>
        <w:t>having been read;</w:t>
      </w:r>
      <w:r w:rsidRPr="002F2423">
        <w:rPr>
          <w:rFonts w:eastAsia="Times New Roman" w:cs="Times New Roman"/>
          <w:b/>
          <w:sz w:val="20"/>
          <w:szCs w:val="20"/>
          <w:lang w:val="en-US" w:eastAsia="en-CA"/>
        </w:rPr>
        <w:t xml:space="preserve"> </w:t>
      </w:r>
    </w:p>
    <w:p w:rsidR="002F2423" w:rsidRPr="002F2423" w:rsidRDefault="002F2423" w:rsidP="002F2423">
      <w:pPr>
        <w:jc w:val="both"/>
        <w:rPr>
          <w:rFonts w:eastAsia="Times New Roman" w:cs="Times New Roman"/>
          <w:b/>
          <w:sz w:val="20"/>
          <w:szCs w:val="20"/>
          <w:lang w:val="en-US" w:eastAsia="en-CA"/>
        </w:rPr>
      </w:pPr>
    </w:p>
    <w:p w:rsidR="002F2423" w:rsidRPr="002F2423" w:rsidRDefault="002F2423" w:rsidP="002F2423">
      <w:pPr>
        <w:jc w:val="both"/>
        <w:rPr>
          <w:rFonts w:eastAsia="Times New Roman" w:cs="Times New Roman"/>
          <w:sz w:val="20"/>
          <w:szCs w:val="20"/>
          <w:lang w:val="en-US" w:eastAsia="en-CA"/>
        </w:rPr>
      </w:pPr>
      <w:r w:rsidRPr="002F2423">
        <w:rPr>
          <w:rFonts w:eastAsia="Times New Roman" w:cs="Times New Roman"/>
          <w:b/>
          <w:sz w:val="20"/>
          <w:szCs w:val="20"/>
          <w:lang w:val="en-US" w:eastAsia="en-CA"/>
        </w:rPr>
        <w:t>IT IS HEREBY ORDERED THAT:</w:t>
      </w:r>
    </w:p>
    <w:p w:rsidR="002F2423" w:rsidRPr="002F2423" w:rsidRDefault="002F2423" w:rsidP="002F2423">
      <w:pPr>
        <w:contextualSpacing/>
        <w:jc w:val="both"/>
        <w:rPr>
          <w:rFonts w:cs="Times New Roman"/>
          <w:bCs/>
          <w:sz w:val="20"/>
          <w:szCs w:val="20"/>
        </w:rPr>
      </w:pPr>
    </w:p>
    <w:p w:rsidR="002F2423" w:rsidRPr="002F2423" w:rsidRDefault="002F2423" w:rsidP="002F2423">
      <w:pPr>
        <w:jc w:val="both"/>
        <w:rPr>
          <w:rFonts w:eastAsia="Times New Roman" w:cs="Times New Roman"/>
          <w:bCs/>
          <w:sz w:val="20"/>
          <w:szCs w:val="20"/>
          <w:lang w:val="fr-CA" w:eastAsia="en-CA"/>
        </w:rPr>
      </w:pPr>
      <w:r w:rsidRPr="002F2423">
        <w:rPr>
          <w:rFonts w:eastAsia="Times New Roman" w:cs="Times New Roman"/>
          <w:bCs/>
          <w:sz w:val="20"/>
          <w:szCs w:val="20"/>
          <w:lang w:val="fr-CA" w:eastAsia="en-CA"/>
        </w:rPr>
        <w:t xml:space="preserve">The motion is dismissed. </w:t>
      </w:r>
    </w:p>
    <w:p w:rsidR="002F2423" w:rsidRPr="002F2423" w:rsidRDefault="002F2423" w:rsidP="002F2423">
      <w:pPr>
        <w:contextualSpacing/>
        <w:jc w:val="both"/>
        <w:rPr>
          <w:rFonts w:cs="Times New Roman"/>
          <w:bCs/>
          <w:sz w:val="20"/>
          <w:szCs w:val="20"/>
          <w:lang w:val="fr-CA"/>
        </w:rPr>
      </w:pPr>
    </w:p>
    <w:p w:rsidR="002F2423" w:rsidRPr="002F2423" w:rsidRDefault="002F2423" w:rsidP="002F2423">
      <w:pPr>
        <w:contextualSpacing/>
        <w:jc w:val="both"/>
        <w:rPr>
          <w:rFonts w:cs="Times New Roman"/>
          <w:bCs/>
          <w:sz w:val="20"/>
          <w:szCs w:val="20"/>
          <w:lang w:val="fr-CA"/>
        </w:rPr>
      </w:pPr>
    </w:p>
    <w:p w:rsidR="002F2423" w:rsidRPr="002F2423" w:rsidRDefault="002F2423" w:rsidP="002F2423">
      <w:pPr>
        <w:contextualSpacing/>
        <w:jc w:val="both"/>
        <w:rPr>
          <w:rFonts w:cs="Times New Roman"/>
          <w:bCs/>
          <w:sz w:val="20"/>
          <w:szCs w:val="20"/>
          <w:lang w:val="fr-CA"/>
        </w:rPr>
      </w:pPr>
    </w:p>
    <w:p w:rsidR="002F2423" w:rsidRPr="002F2423" w:rsidRDefault="002F2423" w:rsidP="002F2423">
      <w:pPr>
        <w:jc w:val="both"/>
        <w:rPr>
          <w:rFonts w:eastAsia="Times New Roman" w:cs="Times New Roman"/>
          <w:bCs/>
          <w:sz w:val="20"/>
          <w:szCs w:val="20"/>
          <w:lang w:val="fr-CA" w:eastAsia="en-CA"/>
        </w:rPr>
      </w:pPr>
      <w:r w:rsidRPr="002F2423">
        <w:rPr>
          <w:rFonts w:eastAsia="Times New Roman" w:cs="Times New Roman"/>
          <w:b/>
          <w:bCs/>
          <w:sz w:val="20"/>
          <w:szCs w:val="20"/>
          <w:lang w:val="fr-CA" w:eastAsia="en-CA"/>
        </w:rPr>
        <w:t>À LA SUITE DE LA DEMANDE</w:t>
      </w:r>
      <w:r w:rsidRPr="002F2423">
        <w:rPr>
          <w:rFonts w:eastAsia="Times New Roman" w:cs="Times New Roman"/>
          <w:bCs/>
          <w:sz w:val="20"/>
          <w:szCs w:val="20"/>
          <w:lang w:val="fr-CA" w:eastAsia="en-CA"/>
        </w:rPr>
        <w:t xml:space="preserve"> des appelants, R</w:t>
      </w:r>
      <w:r w:rsidRPr="002F2423">
        <w:rPr>
          <w:rFonts w:eastAsia="Times New Roman" w:cs="Times New Roman"/>
          <w:sz w:val="20"/>
          <w:szCs w:val="20"/>
          <w:lang w:val="fr-CA" w:eastAsia="en-CA"/>
        </w:rPr>
        <w:t>occo Galati et le Centre de Droit Constitutionnel Inc., visant à obtenir la formulation de questions constitutionnelles dans l’appel susmentionné;</w:t>
      </w:r>
    </w:p>
    <w:p w:rsidR="002F2423" w:rsidRPr="002F2423" w:rsidRDefault="002F2423" w:rsidP="002F2423">
      <w:pPr>
        <w:jc w:val="both"/>
        <w:rPr>
          <w:rFonts w:eastAsia="Times New Roman" w:cs="Times New Roman"/>
          <w:bCs/>
          <w:sz w:val="20"/>
          <w:szCs w:val="20"/>
          <w:lang w:val="fr-CA" w:eastAsia="en-CA"/>
        </w:rPr>
      </w:pPr>
    </w:p>
    <w:p w:rsidR="002F2423" w:rsidRPr="002F2423" w:rsidRDefault="002F2423" w:rsidP="002F2423">
      <w:pPr>
        <w:jc w:val="both"/>
        <w:rPr>
          <w:rFonts w:eastAsia="Times New Roman" w:cs="Times New Roman"/>
          <w:sz w:val="20"/>
          <w:szCs w:val="20"/>
          <w:lang w:val="fr-CA" w:eastAsia="en-CA"/>
        </w:rPr>
      </w:pPr>
      <w:r w:rsidRPr="002F2423">
        <w:rPr>
          <w:rFonts w:eastAsia="Times New Roman" w:cs="Times New Roman"/>
          <w:b/>
          <w:bCs/>
          <w:sz w:val="20"/>
          <w:szCs w:val="20"/>
          <w:lang w:val="fr-CA" w:eastAsia="en-CA"/>
        </w:rPr>
        <w:t xml:space="preserve">ET </w:t>
      </w:r>
      <w:r w:rsidRPr="002F2423">
        <w:rPr>
          <w:rFonts w:eastAsia="Times New Roman" w:cs="Times New Roman"/>
          <w:b/>
          <w:sz w:val="20"/>
          <w:szCs w:val="20"/>
          <w:lang w:val="fr-CA" w:eastAsia="en-CA"/>
        </w:rPr>
        <w:t>APRÈS EXAMEN</w:t>
      </w:r>
      <w:r w:rsidRPr="002F2423">
        <w:rPr>
          <w:rFonts w:eastAsia="Times New Roman" w:cs="Times New Roman"/>
          <w:sz w:val="20"/>
          <w:szCs w:val="20"/>
          <w:lang w:val="fr-CA" w:eastAsia="en-CA"/>
        </w:rPr>
        <w:t xml:space="preserve"> des documents déposés; </w:t>
      </w:r>
    </w:p>
    <w:p w:rsidR="002F2423" w:rsidRPr="002F2423" w:rsidRDefault="002F2423" w:rsidP="002F2423">
      <w:pPr>
        <w:jc w:val="both"/>
        <w:rPr>
          <w:rFonts w:eastAsia="Times New Roman" w:cs="Times New Roman"/>
          <w:bCs/>
          <w:sz w:val="20"/>
          <w:szCs w:val="20"/>
          <w:lang w:val="fr-CA" w:eastAsia="en-CA"/>
        </w:rPr>
      </w:pPr>
    </w:p>
    <w:p w:rsidR="002F2423" w:rsidRPr="002F2423" w:rsidRDefault="002F2423" w:rsidP="002F2423">
      <w:pPr>
        <w:jc w:val="both"/>
        <w:rPr>
          <w:rFonts w:eastAsia="Times New Roman" w:cs="Times New Roman"/>
          <w:b/>
          <w:bCs/>
          <w:sz w:val="20"/>
          <w:szCs w:val="20"/>
          <w:lang w:val="fr-CA" w:eastAsia="en-CA"/>
        </w:rPr>
      </w:pPr>
      <w:r w:rsidRPr="002F2423">
        <w:rPr>
          <w:rFonts w:eastAsia="Times New Roman" w:cs="Times New Roman"/>
          <w:b/>
          <w:bCs/>
          <w:sz w:val="20"/>
          <w:szCs w:val="20"/>
          <w:lang w:val="fr-CA" w:eastAsia="en-CA"/>
        </w:rPr>
        <w:t>IL EST ORDONNÉ CE QUI SUIT :</w:t>
      </w:r>
    </w:p>
    <w:p w:rsidR="002F2423" w:rsidRPr="002F2423" w:rsidRDefault="002F2423" w:rsidP="002F2423">
      <w:pPr>
        <w:jc w:val="both"/>
        <w:rPr>
          <w:rFonts w:eastAsia="Times New Roman" w:cs="Times New Roman"/>
          <w:bCs/>
          <w:sz w:val="20"/>
          <w:szCs w:val="20"/>
          <w:lang w:val="fr-CA" w:eastAsia="en-CA"/>
        </w:rPr>
      </w:pPr>
    </w:p>
    <w:p w:rsidR="002F2423" w:rsidRPr="002F2423" w:rsidRDefault="002F2423" w:rsidP="002F2423">
      <w:pPr>
        <w:jc w:val="both"/>
        <w:rPr>
          <w:rFonts w:eastAsia="PMingLiU" w:cs="Times New Roman"/>
          <w:sz w:val="20"/>
          <w:szCs w:val="20"/>
          <w:lang w:val="fr-CA" w:eastAsia="en-CA"/>
        </w:rPr>
      </w:pPr>
      <w:r w:rsidRPr="002F2423">
        <w:rPr>
          <w:rFonts w:eastAsia="PMingLiU" w:cs="Times New Roman"/>
          <w:sz w:val="20"/>
          <w:szCs w:val="20"/>
          <w:lang w:val="fr-CA" w:eastAsia="en-CA"/>
        </w:rPr>
        <w:t xml:space="preserve">La requête est rejetée. </w:t>
      </w:r>
    </w:p>
    <w:p w:rsidR="002F2423" w:rsidRPr="002F2423" w:rsidRDefault="002F2423" w:rsidP="002F2423">
      <w:pPr>
        <w:tabs>
          <w:tab w:val="left" w:pos="-1440"/>
          <w:tab w:val="left" w:pos="-720"/>
        </w:tabs>
        <w:jc w:val="both"/>
        <w:rPr>
          <w:rFonts w:eastAsia="Times New Roman" w:cs="Times New Roman"/>
          <w:sz w:val="20"/>
          <w:szCs w:val="20"/>
          <w:lang w:val="fr-CA" w:eastAsia="en-CA"/>
        </w:rPr>
      </w:pPr>
    </w:p>
    <w:p w:rsidR="002F2423" w:rsidRPr="002F2423" w:rsidRDefault="005A3634" w:rsidP="002F2423">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7" style="width:2in;height:1pt" o:hrpct="0" o:hralign="center" o:hrstd="t" o:hrnoshade="t" o:hr="t" fillcolor="black [3213]" stroked="f"/>
        </w:pict>
      </w: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8B79EB"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080"/>
        <w:gridCol w:w="4417"/>
      </w:tblGrid>
      <w:tr w:rsidR="006C5F7A" w:rsidRPr="00523100" w:rsidTr="00C1697B">
        <w:trPr>
          <w:cantSplit/>
        </w:trPr>
        <w:tc>
          <w:tcPr>
            <w:tcW w:w="4338" w:type="dxa"/>
            <w:shd w:val="clear" w:color="auto" w:fill="auto"/>
          </w:tcPr>
          <w:p w:rsidR="006C5F7A" w:rsidRPr="0061788C" w:rsidRDefault="00523100" w:rsidP="00802863">
            <w:pPr>
              <w:rPr>
                <w:sz w:val="20"/>
                <w:szCs w:val="20"/>
              </w:rPr>
            </w:pPr>
            <w:r w:rsidRPr="0061788C">
              <w:rPr>
                <w:sz w:val="20"/>
                <w:szCs w:val="20"/>
              </w:rPr>
              <w:t>0</w:t>
            </w:r>
            <w:r w:rsidR="006C5F7A" w:rsidRPr="0061788C">
              <w:rPr>
                <w:sz w:val="20"/>
                <w:szCs w:val="20"/>
              </w:rPr>
              <w:t>7.0</w:t>
            </w:r>
            <w:r w:rsidRPr="0061788C">
              <w:rPr>
                <w:sz w:val="20"/>
                <w:szCs w:val="20"/>
              </w:rPr>
              <w:t>1</w:t>
            </w:r>
            <w:r w:rsidR="006C5F7A" w:rsidRPr="0061788C">
              <w:rPr>
                <w:sz w:val="20"/>
                <w:szCs w:val="20"/>
              </w:rPr>
              <w:t>.201</w:t>
            </w:r>
            <w:r w:rsidRPr="0061788C">
              <w:rPr>
                <w:sz w:val="20"/>
                <w:szCs w:val="20"/>
              </w:rPr>
              <w:t>5</w:t>
            </w:r>
          </w:p>
          <w:p w:rsidR="006C5F7A" w:rsidRPr="0061788C" w:rsidRDefault="006C5F7A" w:rsidP="00802863">
            <w:pPr>
              <w:rPr>
                <w:sz w:val="20"/>
                <w:szCs w:val="20"/>
              </w:rPr>
            </w:pPr>
          </w:p>
          <w:p w:rsidR="006C5F7A" w:rsidRPr="00523100" w:rsidRDefault="00523100" w:rsidP="00802863">
            <w:pPr>
              <w:rPr>
                <w:b/>
                <w:sz w:val="20"/>
                <w:szCs w:val="20"/>
              </w:rPr>
            </w:pPr>
            <w:r w:rsidRPr="00523100">
              <w:rPr>
                <w:b/>
                <w:sz w:val="20"/>
                <w:szCs w:val="20"/>
              </w:rPr>
              <w:t>Charlie R. Vozniak also k</w:t>
            </w:r>
            <w:r w:rsidR="006C5F7A" w:rsidRPr="00523100">
              <w:rPr>
                <w:b/>
                <w:sz w:val="20"/>
                <w:szCs w:val="20"/>
              </w:rPr>
              <w:t>n</w:t>
            </w:r>
            <w:r w:rsidRPr="00523100">
              <w:rPr>
                <w:b/>
                <w:sz w:val="20"/>
                <w:szCs w:val="20"/>
              </w:rPr>
              <w:t>own as Chu</w:t>
            </w:r>
            <w:r w:rsidR="006C5F7A" w:rsidRPr="00523100">
              <w:rPr>
                <w:b/>
                <w:sz w:val="20"/>
                <w:szCs w:val="20"/>
              </w:rPr>
              <w:t>c</w:t>
            </w:r>
            <w:r w:rsidRPr="00523100">
              <w:rPr>
                <w:b/>
                <w:sz w:val="20"/>
                <w:szCs w:val="20"/>
              </w:rPr>
              <w:t>k</w:t>
            </w:r>
            <w:r>
              <w:rPr>
                <w:b/>
                <w:sz w:val="20"/>
                <w:szCs w:val="20"/>
              </w:rPr>
              <w:t xml:space="preserve"> Vozniak</w:t>
            </w:r>
          </w:p>
          <w:p w:rsidR="006C5F7A" w:rsidRPr="00523100" w:rsidRDefault="006C5F7A" w:rsidP="00802863">
            <w:pPr>
              <w:rPr>
                <w:b/>
                <w:sz w:val="20"/>
                <w:szCs w:val="20"/>
              </w:rPr>
            </w:pPr>
          </w:p>
          <w:p w:rsidR="006C5F7A" w:rsidRPr="00523100" w:rsidRDefault="006C5F7A" w:rsidP="00802863">
            <w:pPr>
              <w:rPr>
                <w:b/>
                <w:sz w:val="20"/>
                <w:szCs w:val="20"/>
                <w:lang w:val="fr-CA"/>
              </w:rPr>
            </w:pPr>
            <w:r w:rsidRPr="00523100">
              <w:rPr>
                <w:b/>
                <w:sz w:val="20"/>
                <w:szCs w:val="20"/>
              </w:rPr>
              <w:tab/>
            </w:r>
            <w:r w:rsidRPr="00523100">
              <w:rPr>
                <w:b/>
                <w:sz w:val="20"/>
                <w:szCs w:val="20"/>
                <w:lang w:val="fr-CA"/>
              </w:rPr>
              <w:t>v. (36</w:t>
            </w:r>
            <w:r w:rsidR="00523100">
              <w:rPr>
                <w:b/>
                <w:sz w:val="20"/>
                <w:szCs w:val="20"/>
                <w:lang w:val="fr-CA"/>
              </w:rPr>
              <w:t>1</w:t>
            </w:r>
            <w:r w:rsidRPr="00523100">
              <w:rPr>
                <w:b/>
                <w:sz w:val="20"/>
                <w:szCs w:val="20"/>
                <w:lang w:val="fr-CA"/>
              </w:rPr>
              <w:t>90)</w:t>
            </w:r>
          </w:p>
          <w:p w:rsidR="006C5F7A" w:rsidRPr="00523100" w:rsidRDefault="006C5F7A" w:rsidP="00802863">
            <w:pPr>
              <w:rPr>
                <w:b/>
                <w:sz w:val="20"/>
                <w:szCs w:val="20"/>
                <w:lang w:val="fr-CA"/>
              </w:rPr>
            </w:pPr>
          </w:p>
          <w:p w:rsidR="006C5F7A" w:rsidRPr="00523100" w:rsidRDefault="00523100" w:rsidP="00802863">
            <w:pPr>
              <w:rPr>
                <w:b/>
                <w:sz w:val="20"/>
                <w:szCs w:val="20"/>
                <w:lang w:val="fr-CA"/>
              </w:rPr>
            </w:pPr>
            <w:r>
              <w:rPr>
                <w:b/>
                <w:sz w:val="20"/>
                <w:szCs w:val="20"/>
                <w:lang w:val="fr-CA"/>
              </w:rPr>
              <w:t>Rea</w:t>
            </w:r>
            <w:r w:rsidR="006C5F7A" w:rsidRPr="00523100">
              <w:rPr>
                <w:b/>
                <w:sz w:val="20"/>
                <w:szCs w:val="20"/>
                <w:lang w:val="fr-CA"/>
              </w:rPr>
              <w:t>l</w:t>
            </w:r>
            <w:r>
              <w:rPr>
                <w:b/>
                <w:sz w:val="20"/>
                <w:szCs w:val="20"/>
                <w:lang w:val="fr-CA"/>
              </w:rPr>
              <w:t xml:space="preserve"> Va</w:t>
            </w:r>
            <w:r w:rsidR="006C5F7A" w:rsidRPr="00523100">
              <w:rPr>
                <w:b/>
                <w:sz w:val="20"/>
                <w:szCs w:val="20"/>
                <w:lang w:val="fr-CA"/>
              </w:rPr>
              <w:t>l</w:t>
            </w:r>
            <w:r>
              <w:rPr>
                <w:b/>
                <w:sz w:val="20"/>
                <w:szCs w:val="20"/>
                <w:lang w:val="fr-CA"/>
              </w:rPr>
              <w:t>l</w:t>
            </w:r>
            <w:r w:rsidR="006C5F7A" w:rsidRPr="00523100">
              <w:rPr>
                <w:b/>
                <w:sz w:val="20"/>
                <w:szCs w:val="20"/>
                <w:lang w:val="fr-CA"/>
              </w:rPr>
              <w:t>i</w:t>
            </w:r>
            <w:r>
              <w:rPr>
                <w:b/>
                <w:sz w:val="20"/>
                <w:szCs w:val="20"/>
                <w:lang w:val="fr-CA"/>
              </w:rPr>
              <w:t>eres</w:t>
            </w:r>
            <w:r w:rsidR="006C5F7A" w:rsidRPr="00523100">
              <w:rPr>
                <w:b/>
                <w:sz w:val="20"/>
                <w:szCs w:val="20"/>
                <w:lang w:val="fr-CA"/>
              </w:rPr>
              <w:t xml:space="preserve"> </w:t>
            </w:r>
            <w:r>
              <w:rPr>
                <w:b/>
                <w:sz w:val="20"/>
                <w:szCs w:val="20"/>
                <w:lang w:val="fr-CA"/>
              </w:rPr>
              <w:t xml:space="preserve">et al. </w:t>
            </w:r>
            <w:r w:rsidR="006C5F7A" w:rsidRPr="00523100">
              <w:rPr>
                <w:b/>
                <w:sz w:val="20"/>
                <w:szCs w:val="20"/>
                <w:lang w:val="fr-CA"/>
              </w:rPr>
              <w:t>(</w:t>
            </w:r>
            <w:r>
              <w:rPr>
                <w:b/>
                <w:sz w:val="20"/>
                <w:szCs w:val="20"/>
                <w:lang w:val="fr-CA"/>
              </w:rPr>
              <w:t>Al</w:t>
            </w:r>
            <w:r w:rsidR="006C5F7A" w:rsidRPr="00523100">
              <w:rPr>
                <w:b/>
                <w:sz w:val="20"/>
                <w:szCs w:val="20"/>
                <w:lang w:val="fr-CA"/>
              </w:rPr>
              <w:t>t</w:t>
            </w:r>
            <w:r>
              <w:rPr>
                <w:b/>
                <w:sz w:val="20"/>
                <w:szCs w:val="20"/>
                <w:lang w:val="fr-CA"/>
              </w:rPr>
              <w:t>a</w:t>
            </w:r>
            <w:r w:rsidR="006C5F7A" w:rsidRPr="00523100">
              <w:rPr>
                <w:b/>
                <w:sz w:val="20"/>
                <w:szCs w:val="20"/>
                <w:lang w:val="fr-CA"/>
              </w:rPr>
              <w:t xml:space="preserve">.) </w:t>
            </w:r>
          </w:p>
          <w:p w:rsidR="006C5F7A" w:rsidRPr="00523100" w:rsidRDefault="006C5F7A" w:rsidP="00802863">
            <w:pPr>
              <w:rPr>
                <w:sz w:val="20"/>
                <w:szCs w:val="20"/>
                <w:lang w:val="fr-CA"/>
              </w:rPr>
            </w:pPr>
          </w:p>
          <w:p w:rsidR="006C5F7A" w:rsidRPr="00523100" w:rsidRDefault="006C5F7A" w:rsidP="00802863">
            <w:pPr>
              <w:rPr>
                <w:sz w:val="20"/>
                <w:szCs w:val="20"/>
                <w:lang w:val="fr-CA"/>
              </w:rPr>
            </w:pPr>
            <w:r w:rsidRPr="00523100">
              <w:rPr>
                <w:sz w:val="20"/>
                <w:szCs w:val="20"/>
                <w:lang w:val="fr-CA"/>
              </w:rPr>
              <w:t>(By Leave)</w:t>
            </w:r>
          </w:p>
          <w:p w:rsidR="006C5F7A" w:rsidRPr="00523100" w:rsidRDefault="006C5F7A" w:rsidP="00802863">
            <w:pPr>
              <w:rPr>
                <w:sz w:val="20"/>
                <w:szCs w:val="20"/>
                <w:lang w:val="fr-CA"/>
              </w:rPr>
            </w:pPr>
          </w:p>
          <w:p w:rsidR="006C5F7A" w:rsidRPr="00523100" w:rsidRDefault="005A3634" w:rsidP="00802863">
            <w:pPr>
              <w:rPr>
                <w:sz w:val="20"/>
                <w:szCs w:val="20"/>
                <w:lang w:val="fr-CA"/>
              </w:rPr>
            </w:pPr>
            <w:r>
              <w:rPr>
                <w:sz w:val="20"/>
                <w:szCs w:val="20"/>
                <w:lang w:val="fr-CA"/>
              </w:rPr>
              <w:pict>
                <v:rect id="_x0000_i1080" style="width:108pt;height:1pt" o:hrpct="0" o:hralign="center" o:hrstd="t" o:hrnoshade="t" o:hr="t" fillcolor="black [3213]" stroked="f"/>
              </w:pict>
            </w:r>
          </w:p>
        </w:tc>
        <w:tc>
          <w:tcPr>
            <w:tcW w:w="1080" w:type="dxa"/>
            <w:shd w:val="clear" w:color="auto" w:fill="auto"/>
          </w:tcPr>
          <w:p w:rsidR="006C5F7A" w:rsidRPr="00C50A5C" w:rsidRDefault="006C5F7A" w:rsidP="00802863">
            <w:pPr>
              <w:jc w:val="center"/>
              <w:rPr>
                <w:sz w:val="20"/>
                <w:szCs w:val="20"/>
                <w:lang w:val="fr-CA"/>
              </w:rPr>
            </w:pPr>
          </w:p>
        </w:tc>
        <w:tc>
          <w:tcPr>
            <w:tcW w:w="4417" w:type="dxa"/>
            <w:shd w:val="clear" w:color="auto" w:fill="auto"/>
          </w:tcPr>
          <w:p w:rsidR="006C5F7A" w:rsidRPr="00523100" w:rsidRDefault="006C5F7A" w:rsidP="00802863">
            <w:pPr>
              <w:rPr>
                <w:sz w:val="20"/>
                <w:szCs w:val="20"/>
                <w:lang w:val="fr-CA"/>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523100" w:rsidRDefault="00802863" w:rsidP="00802863">
      <w:pPr>
        <w:rPr>
          <w:sz w:val="20"/>
          <w:szCs w:val="20"/>
          <w:lang w:val="fr-CA"/>
        </w:rPr>
      </w:pPr>
    </w:p>
    <w:p w:rsidR="00802863" w:rsidRPr="00523100" w:rsidRDefault="00802863" w:rsidP="00831CA9">
      <w:pPr>
        <w:jc w:val="both"/>
        <w:rPr>
          <w:sz w:val="20"/>
          <w:szCs w:val="20"/>
          <w:lang w:val="fr-CA"/>
        </w:rPr>
        <w:sectPr w:rsidR="00802863" w:rsidRPr="00523100" w:rsidSect="00802863">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8B79EB" w:rsidTr="0085476B">
        <w:trPr>
          <w:cantSplit/>
        </w:trPr>
        <w:tc>
          <w:tcPr>
            <w:tcW w:w="4410" w:type="dxa"/>
            <w:tcMar>
              <w:left w:w="0" w:type="dxa"/>
              <w:right w:w="0" w:type="dxa"/>
            </w:tcMar>
          </w:tcPr>
          <w:p w:rsidR="00C1697B" w:rsidRPr="0061788C" w:rsidRDefault="00732DB7" w:rsidP="00697C62">
            <w:pPr>
              <w:keepNext/>
              <w:keepLines/>
              <w:widowControl w:val="0"/>
              <w:jc w:val="both"/>
              <w:rPr>
                <w:b/>
                <w:szCs w:val="24"/>
              </w:rPr>
            </w:pPr>
            <w:r w:rsidRPr="0061788C">
              <w:rPr>
                <w:b/>
                <w:szCs w:val="24"/>
              </w:rPr>
              <w:lastRenderedPageBreak/>
              <w:t>APPEALS HEARD SINCE LAST ISSUE AND DISPOSITION</w:t>
            </w:r>
          </w:p>
          <w:p w:rsidR="00732DB7" w:rsidRPr="0061788C" w:rsidRDefault="00732DB7" w:rsidP="00C1697B">
            <w:pPr>
              <w:tabs>
                <w:tab w:val="left" w:pos="1116"/>
              </w:tabs>
              <w:rPr>
                <w:szCs w:val="24"/>
              </w:rPr>
            </w:pPr>
          </w:p>
        </w:tc>
        <w:tc>
          <w:tcPr>
            <w:tcW w:w="720" w:type="dxa"/>
            <w:tcMar>
              <w:left w:w="0" w:type="dxa"/>
              <w:right w:w="0" w:type="dxa"/>
            </w:tcMar>
          </w:tcPr>
          <w:p w:rsidR="00732DB7" w:rsidRPr="0061788C" w:rsidRDefault="00732DB7" w:rsidP="00732DB7">
            <w:pPr>
              <w:keepNext/>
              <w:keepLines/>
              <w:widowControl w:val="0"/>
              <w:jc w:val="center"/>
              <w:rPr>
                <w:b/>
                <w:szCs w:val="24"/>
              </w:rPr>
            </w:pPr>
          </w:p>
          <w:p w:rsidR="00732DB7" w:rsidRPr="0061788C" w:rsidRDefault="00732DB7" w:rsidP="00732DB7">
            <w:pPr>
              <w:keepNext/>
              <w:keepLines/>
              <w:widowControl w:val="0"/>
              <w:jc w:val="center"/>
              <w:rPr>
                <w:b/>
                <w:szCs w:val="24"/>
              </w:rPr>
            </w:pPr>
          </w:p>
          <w:p w:rsidR="00732DB7" w:rsidRPr="0061788C"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Default="00732DB7" w:rsidP="00732DB7">
      <w:pPr>
        <w:widowControl w:val="0"/>
        <w:rPr>
          <w:sz w:val="20"/>
          <w:szCs w:val="20"/>
          <w:lang w:val="fr-CA"/>
        </w:rPr>
      </w:pPr>
    </w:p>
    <w:p w:rsidR="00F83080" w:rsidRDefault="00F83080" w:rsidP="00732DB7">
      <w:pPr>
        <w:widowControl w:val="0"/>
        <w:rPr>
          <w:sz w:val="20"/>
          <w:szCs w:val="20"/>
          <w:lang w:val="fr-CA"/>
        </w:rPr>
      </w:pPr>
      <w:r>
        <w:rPr>
          <w:sz w:val="20"/>
          <w:szCs w:val="20"/>
          <w:lang w:val="fr-CA"/>
        </w:rPr>
        <w:t>13.02.2015</w:t>
      </w:r>
    </w:p>
    <w:p w:rsidR="00F83080" w:rsidRDefault="00F83080" w:rsidP="00732DB7">
      <w:pPr>
        <w:widowControl w:val="0"/>
        <w:rPr>
          <w:sz w:val="20"/>
          <w:szCs w:val="20"/>
          <w:lang w:val="fr-CA"/>
        </w:rPr>
      </w:pPr>
    </w:p>
    <w:p w:rsidR="00F83080" w:rsidRPr="00BC5748" w:rsidRDefault="00F83080" w:rsidP="00F83080">
      <w:pPr>
        <w:widowControl w:val="0"/>
        <w:ind w:left="720" w:hanging="720"/>
        <w:rPr>
          <w:sz w:val="20"/>
          <w:szCs w:val="20"/>
          <w:u w:val="single"/>
          <w:lang w:val="fr-CA"/>
        </w:rPr>
      </w:pPr>
      <w:r w:rsidRPr="00BC5748">
        <w:rPr>
          <w:sz w:val="20"/>
          <w:szCs w:val="20"/>
          <w:lang w:val="fr-CA"/>
        </w:rPr>
        <w:t xml:space="preserve">Coram: </w:t>
      </w:r>
      <w:r w:rsidRPr="00BC5748">
        <w:rPr>
          <w:sz w:val="20"/>
          <w:szCs w:val="20"/>
          <w:lang w:val="fr-CA"/>
        </w:rPr>
        <w:tab/>
      </w:r>
      <w:r w:rsidRPr="00BC5748">
        <w:rPr>
          <w:sz w:val="20"/>
          <w:szCs w:val="20"/>
          <w:u w:val="single"/>
          <w:lang w:val="fr-CA"/>
        </w:rPr>
        <w:t>La juge en chef McLachlin et les juges Abella, Rothstein, Cromwell, Moldaver, Karakatsanis, Wagner, Gascon et Côté</w:t>
      </w:r>
    </w:p>
    <w:p w:rsidR="00F83080" w:rsidRDefault="00F83080" w:rsidP="00732DB7">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83080" w:rsidRPr="006A36DB" w:rsidTr="00A1374E">
        <w:tc>
          <w:tcPr>
            <w:tcW w:w="4380" w:type="dxa"/>
            <w:tcMar>
              <w:left w:w="0" w:type="dxa"/>
              <w:right w:w="0" w:type="dxa"/>
            </w:tcMar>
          </w:tcPr>
          <w:p w:rsidR="00F83080" w:rsidRDefault="00F83080" w:rsidP="00F83080">
            <w:pPr>
              <w:rPr>
                <w:b/>
                <w:iCs/>
                <w:sz w:val="20"/>
                <w:szCs w:val="20"/>
                <w:lang w:val="fr-CA"/>
              </w:rPr>
            </w:pPr>
            <w:r w:rsidRPr="00BC5748">
              <w:rPr>
                <w:b/>
                <w:iCs/>
                <w:sz w:val="20"/>
                <w:szCs w:val="20"/>
                <w:lang w:val="fr-CA"/>
              </w:rPr>
              <w:t xml:space="preserve">Gilles Caron et autre </w:t>
            </w:r>
          </w:p>
          <w:p w:rsidR="00F83080" w:rsidRDefault="00F83080" w:rsidP="00F83080">
            <w:pPr>
              <w:rPr>
                <w:b/>
                <w:iCs/>
                <w:sz w:val="20"/>
                <w:szCs w:val="20"/>
                <w:lang w:val="fr-CA"/>
              </w:rPr>
            </w:pPr>
          </w:p>
          <w:p w:rsidR="00F83080" w:rsidRDefault="00F83080" w:rsidP="00F83080">
            <w:pPr>
              <w:rPr>
                <w:b/>
                <w:iCs/>
                <w:sz w:val="20"/>
                <w:szCs w:val="20"/>
                <w:lang w:val="fr-CA"/>
              </w:rPr>
            </w:pPr>
            <w:r>
              <w:rPr>
                <w:b/>
                <w:iCs/>
                <w:sz w:val="20"/>
                <w:szCs w:val="20"/>
                <w:lang w:val="fr-CA"/>
              </w:rPr>
              <w:tab/>
            </w:r>
            <w:r w:rsidRPr="00BC5748">
              <w:rPr>
                <w:b/>
                <w:iCs/>
                <w:sz w:val="20"/>
                <w:szCs w:val="20"/>
                <w:lang w:val="fr-CA"/>
              </w:rPr>
              <w:t xml:space="preserve">c. </w:t>
            </w:r>
            <w:r w:rsidRPr="00BC5748">
              <w:rPr>
                <w:sz w:val="20"/>
                <w:szCs w:val="20"/>
                <w:lang w:val="fr-CA"/>
              </w:rPr>
              <w:t>(</w:t>
            </w:r>
            <w:hyperlink r:id="rId75" w:history="1">
              <w:r w:rsidRPr="00BC5748">
                <w:rPr>
                  <w:rStyle w:val="Hyperlink"/>
                  <w:sz w:val="20"/>
                  <w:szCs w:val="20"/>
                  <w:lang w:val="fr-CA"/>
                </w:rPr>
                <w:t>35842</w:t>
              </w:r>
            </w:hyperlink>
            <w:r w:rsidRPr="00BC5748">
              <w:rPr>
                <w:sz w:val="20"/>
                <w:szCs w:val="20"/>
                <w:lang w:val="fr-CA"/>
              </w:rPr>
              <w:t>)</w:t>
            </w:r>
          </w:p>
          <w:p w:rsidR="00F83080" w:rsidRDefault="00F83080" w:rsidP="00F83080">
            <w:pPr>
              <w:rPr>
                <w:b/>
                <w:iCs/>
                <w:sz w:val="20"/>
                <w:szCs w:val="20"/>
                <w:lang w:val="fr-CA"/>
              </w:rPr>
            </w:pPr>
          </w:p>
          <w:p w:rsidR="00F83080" w:rsidRPr="00EA0658" w:rsidRDefault="00F83080" w:rsidP="00F83080">
            <w:pPr>
              <w:rPr>
                <w:sz w:val="20"/>
                <w:szCs w:val="20"/>
                <w:lang w:val="fr-CA"/>
              </w:rPr>
            </w:pPr>
            <w:r w:rsidRPr="00BC5748">
              <w:rPr>
                <w:b/>
                <w:iCs/>
                <w:sz w:val="20"/>
                <w:szCs w:val="20"/>
                <w:lang w:val="fr-CA"/>
              </w:rPr>
              <w:t xml:space="preserve">Sa Majesté la Reine et </w:t>
            </w:r>
            <w:r w:rsidRPr="006E2210">
              <w:rPr>
                <w:b/>
                <w:iCs/>
                <w:sz w:val="20"/>
                <w:szCs w:val="20"/>
                <w:lang w:val="fr-CA"/>
              </w:rPr>
              <w:t>autre</w:t>
            </w:r>
            <w:r w:rsidRPr="006E2210">
              <w:rPr>
                <w:b/>
                <w:i/>
                <w:iCs/>
                <w:sz w:val="20"/>
                <w:szCs w:val="20"/>
                <w:lang w:val="fr-CA"/>
              </w:rPr>
              <w:t xml:space="preserve"> </w:t>
            </w:r>
            <w:r w:rsidRPr="006E2210">
              <w:rPr>
                <w:b/>
                <w:sz w:val="20"/>
                <w:szCs w:val="20"/>
                <w:lang w:val="fr-CA"/>
              </w:rPr>
              <w:t>(Alb.) (Civile) (Autorisation)</w:t>
            </w:r>
          </w:p>
        </w:tc>
        <w:tc>
          <w:tcPr>
            <w:tcW w:w="720" w:type="dxa"/>
            <w:tcMar>
              <w:left w:w="0" w:type="dxa"/>
              <w:right w:w="0" w:type="dxa"/>
            </w:tcMar>
          </w:tcPr>
          <w:p w:rsidR="00F83080" w:rsidRPr="00EA0658" w:rsidRDefault="00F83080" w:rsidP="00A1374E">
            <w:pPr>
              <w:widowControl w:val="0"/>
              <w:jc w:val="center"/>
              <w:rPr>
                <w:sz w:val="20"/>
                <w:szCs w:val="20"/>
                <w:lang w:val="fr-CA"/>
              </w:rPr>
            </w:pPr>
          </w:p>
        </w:tc>
        <w:tc>
          <w:tcPr>
            <w:tcW w:w="4380" w:type="dxa"/>
            <w:tcMar>
              <w:left w:w="0" w:type="dxa"/>
              <w:right w:w="0" w:type="dxa"/>
            </w:tcMar>
          </w:tcPr>
          <w:p w:rsidR="004A6181" w:rsidRPr="007A5E7A" w:rsidRDefault="004A6181" w:rsidP="004A6181">
            <w:pPr>
              <w:jc w:val="both"/>
              <w:rPr>
                <w:sz w:val="20"/>
                <w:szCs w:val="20"/>
                <w:lang w:val="fr-CA"/>
              </w:rPr>
            </w:pPr>
            <w:r w:rsidRPr="007A5E7A">
              <w:rPr>
                <w:sz w:val="20"/>
                <w:szCs w:val="20"/>
                <w:lang w:val="fr-CA"/>
              </w:rPr>
              <w:t>Sébastien Grammond</w:t>
            </w:r>
            <w:r>
              <w:rPr>
                <w:sz w:val="20"/>
                <w:szCs w:val="20"/>
                <w:lang w:val="fr-CA"/>
              </w:rPr>
              <w:t xml:space="preserve">, </w:t>
            </w:r>
            <w:r w:rsidRPr="007A5E7A">
              <w:rPr>
                <w:sz w:val="20"/>
                <w:szCs w:val="20"/>
                <w:lang w:val="fr-CA"/>
              </w:rPr>
              <w:t>Allan Damer</w:t>
            </w:r>
            <w:r>
              <w:rPr>
                <w:sz w:val="20"/>
                <w:szCs w:val="20"/>
                <w:lang w:val="fr-CA"/>
              </w:rPr>
              <w:t xml:space="preserve">, </w:t>
            </w:r>
            <w:r w:rsidRPr="007A5E7A">
              <w:rPr>
                <w:sz w:val="20"/>
                <w:szCs w:val="20"/>
                <w:lang w:val="fr-CA"/>
              </w:rPr>
              <w:t>Mark C. Power</w:t>
            </w:r>
            <w:r>
              <w:rPr>
                <w:sz w:val="20"/>
                <w:szCs w:val="20"/>
                <w:lang w:val="fr-CA"/>
              </w:rPr>
              <w:t xml:space="preserve">, </w:t>
            </w:r>
            <w:r w:rsidRPr="007A5E7A">
              <w:rPr>
                <w:sz w:val="20"/>
                <w:szCs w:val="20"/>
                <w:lang w:val="fr-CA"/>
              </w:rPr>
              <w:t>François Larocque</w:t>
            </w:r>
            <w:r>
              <w:rPr>
                <w:sz w:val="20"/>
                <w:szCs w:val="20"/>
                <w:lang w:val="fr-CA"/>
              </w:rPr>
              <w:t xml:space="preserve"> et </w:t>
            </w:r>
            <w:r w:rsidRPr="007A5E7A">
              <w:rPr>
                <w:sz w:val="20"/>
                <w:szCs w:val="20"/>
                <w:lang w:val="fr-CA"/>
              </w:rPr>
              <w:t>Justin Dubois</w:t>
            </w:r>
            <w:r>
              <w:rPr>
                <w:sz w:val="20"/>
                <w:szCs w:val="20"/>
                <w:lang w:val="fr-CA"/>
              </w:rPr>
              <w:t xml:space="preserve"> p</w:t>
            </w:r>
            <w:r w:rsidRPr="007A5E7A">
              <w:rPr>
                <w:sz w:val="20"/>
                <w:szCs w:val="20"/>
                <w:lang w:val="fr-CA"/>
              </w:rPr>
              <w:t>our l’appelant</w:t>
            </w:r>
            <w:r>
              <w:rPr>
                <w:sz w:val="20"/>
                <w:szCs w:val="20"/>
                <w:lang w:val="fr-CA"/>
              </w:rPr>
              <w:t xml:space="preserve"> </w:t>
            </w:r>
            <w:r w:rsidRPr="007A5E7A">
              <w:rPr>
                <w:sz w:val="20"/>
                <w:szCs w:val="20"/>
                <w:lang w:val="fr-CA"/>
              </w:rPr>
              <w:t>Pierre Boutet</w:t>
            </w:r>
            <w:r>
              <w:rPr>
                <w:sz w:val="20"/>
                <w:szCs w:val="20"/>
                <w:lang w:val="fr-CA"/>
              </w:rPr>
              <w:t>.</w:t>
            </w:r>
          </w:p>
          <w:p w:rsidR="004A6181" w:rsidRPr="007A5E7A" w:rsidRDefault="004A6181" w:rsidP="004A6181">
            <w:pPr>
              <w:jc w:val="both"/>
              <w:rPr>
                <w:sz w:val="20"/>
                <w:szCs w:val="20"/>
                <w:lang w:val="fr-CA"/>
              </w:rPr>
            </w:pPr>
          </w:p>
          <w:p w:rsidR="004A6181" w:rsidRPr="007A5E7A" w:rsidRDefault="004A6181" w:rsidP="004A6181">
            <w:pPr>
              <w:jc w:val="both"/>
              <w:rPr>
                <w:sz w:val="20"/>
                <w:szCs w:val="20"/>
                <w:lang w:val="fr-CA"/>
              </w:rPr>
            </w:pPr>
            <w:r w:rsidRPr="007A5E7A">
              <w:rPr>
                <w:sz w:val="20"/>
                <w:szCs w:val="20"/>
                <w:lang w:val="fr-CA"/>
              </w:rPr>
              <w:t>Roger J.F. Lepage</w:t>
            </w:r>
            <w:r>
              <w:rPr>
                <w:sz w:val="20"/>
                <w:szCs w:val="20"/>
                <w:lang w:val="fr-CA"/>
              </w:rPr>
              <w:t xml:space="preserve">, </w:t>
            </w:r>
            <w:r w:rsidRPr="007A5E7A">
              <w:rPr>
                <w:sz w:val="20"/>
                <w:szCs w:val="20"/>
                <w:lang w:val="fr-CA"/>
              </w:rPr>
              <w:t>Francis P. Poulin</w:t>
            </w:r>
            <w:r>
              <w:rPr>
                <w:sz w:val="20"/>
                <w:szCs w:val="20"/>
                <w:lang w:val="fr-CA"/>
              </w:rPr>
              <w:t xml:space="preserve"> et </w:t>
            </w:r>
            <w:r w:rsidRPr="007A5E7A">
              <w:rPr>
                <w:sz w:val="20"/>
                <w:szCs w:val="20"/>
                <w:lang w:val="fr-CA"/>
              </w:rPr>
              <w:t>Romain Baudemont</w:t>
            </w:r>
            <w:r>
              <w:rPr>
                <w:sz w:val="20"/>
                <w:szCs w:val="20"/>
                <w:lang w:val="fr-CA"/>
              </w:rPr>
              <w:t xml:space="preserve"> p</w:t>
            </w:r>
            <w:r w:rsidRPr="007A5E7A">
              <w:rPr>
                <w:sz w:val="20"/>
                <w:szCs w:val="20"/>
                <w:lang w:val="fr-CA"/>
              </w:rPr>
              <w:t>our l’appelant</w:t>
            </w:r>
            <w:r>
              <w:rPr>
                <w:sz w:val="20"/>
                <w:szCs w:val="20"/>
                <w:lang w:val="fr-CA"/>
              </w:rPr>
              <w:t xml:space="preserve"> </w:t>
            </w:r>
            <w:r w:rsidRPr="007A5E7A">
              <w:rPr>
                <w:sz w:val="20"/>
                <w:szCs w:val="20"/>
                <w:lang w:val="fr-CA"/>
              </w:rPr>
              <w:t>Gilles Caron</w:t>
            </w:r>
            <w:r>
              <w:rPr>
                <w:sz w:val="20"/>
                <w:szCs w:val="20"/>
                <w:lang w:val="fr-CA"/>
              </w:rPr>
              <w:t>.</w:t>
            </w:r>
          </w:p>
          <w:p w:rsidR="004A6181" w:rsidRPr="007A5E7A" w:rsidRDefault="004A6181" w:rsidP="004A6181">
            <w:pPr>
              <w:jc w:val="both"/>
              <w:rPr>
                <w:sz w:val="20"/>
                <w:szCs w:val="20"/>
                <w:lang w:val="fr-CA"/>
              </w:rPr>
            </w:pPr>
          </w:p>
          <w:p w:rsidR="004A6181" w:rsidRPr="007A5E7A" w:rsidRDefault="004A6181" w:rsidP="004A6181">
            <w:pPr>
              <w:tabs>
                <w:tab w:val="left" w:pos="720"/>
                <w:tab w:val="left" w:pos="1440"/>
                <w:tab w:val="left" w:pos="2160"/>
                <w:tab w:val="left" w:pos="2880"/>
                <w:tab w:val="left" w:pos="3600"/>
                <w:tab w:val="left" w:pos="4320"/>
                <w:tab w:val="left" w:pos="5040"/>
                <w:tab w:val="left" w:pos="5760"/>
                <w:tab w:val="right" w:pos="9360"/>
              </w:tabs>
              <w:jc w:val="both"/>
              <w:rPr>
                <w:sz w:val="20"/>
                <w:szCs w:val="20"/>
                <w:lang w:val="en-US"/>
              </w:rPr>
            </w:pPr>
            <w:r w:rsidRPr="007A5E7A">
              <w:rPr>
                <w:sz w:val="20"/>
                <w:szCs w:val="20"/>
                <w:lang w:val="en-US"/>
              </w:rPr>
              <w:t>Kevin P. Feehan, Q.C.</w:t>
            </w:r>
            <w:r>
              <w:rPr>
                <w:sz w:val="20"/>
                <w:szCs w:val="20"/>
                <w:lang w:val="en-US"/>
              </w:rPr>
              <w:t xml:space="preserve"> and </w:t>
            </w:r>
            <w:r w:rsidRPr="007A5E7A">
              <w:rPr>
                <w:sz w:val="20"/>
                <w:szCs w:val="20"/>
                <w:lang w:val="en-US"/>
              </w:rPr>
              <w:t>Anna Loparco</w:t>
            </w:r>
            <w:r>
              <w:rPr>
                <w:sz w:val="20"/>
                <w:szCs w:val="20"/>
                <w:lang w:val="en-US"/>
              </w:rPr>
              <w:t xml:space="preserve"> f</w:t>
            </w:r>
            <w:r w:rsidRPr="007A5E7A">
              <w:rPr>
                <w:sz w:val="20"/>
                <w:szCs w:val="20"/>
                <w:lang w:val="en-US"/>
              </w:rPr>
              <w:t xml:space="preserve">or the </w:t>
            </w:r>
            <w:r>
              <w:rPr>
                <w:sz w:val="20"/>
                <w:szCs w:val="20"/>
                <w:lang w:val="en-US"/>
              </w:rPr>
              <w:t>i</w:t>
            </w:r>
            <w:r w:rsidRPr="007A5E7A">
              <w:rPr>
                <w:sz w:val="20"/>
                <w:szCs w:val="20"/>
                <w:lang w:val="en-US"/>
              </w:rPr>
              <w:t>nterveners</w:t>
            </w:r>
            <w:r>
              <w:rPr>
                <w:sz w:val="20"/>
                <w:szCs w:val="20"/>
                <w:lang w:val="en-US"/>
              </w:rPr>
              <w:t xml:space="preserve"> </w:t>
            </w:r>
            <w:r w:rsidRPr="007A5E7A">
              <w:rPr>
                <w:sz w:val="20"/>
                <w:szCs w:val="20"/>
                <w:lang w:val="en-US"/>
              </w:rPr>
              <w:t>Alberta Catholic School Trustees</w:t>
            </w:r>
            <w:r>
              <w:rPr>
                <w:sz w:val="20"/>
                <w:szCs w:val="20"/>
                <w:lang w:val="en-US"/>
              </w:rPr>
              <w:t>’</w:t>
            </w:r>
            <w:r w:rsidRPr="007A5E7A">
              <w:rPr>
                <w:sz w:val="20"/>
                <w:szCs w:val="20"/>
                <w:lang w:val="en-US"/>
              </w:rPr>
              <w:t xml:space="preserve"> Association et al.</w:t>
            </w:r>
          </w:p>
          <w:p w:rsidR="004A6181" w:rsidRPr="007A5E7A" w:rsidRDefault="004A6181" w:rsidP="004A6181">
            <w:pPr>
              <w:jc w:val="both"/>
              <w:rPr>
                <w:sz w:val="20"/>
                <w:szCs w:val="20"/>
                <w:lang w:val="en-US"/>
              </w:rPr>
            </w:pPr>
          </w:p>
          <w:p w:rsidR="004A6181" w:rsidRPr="007A5E7A" w:rsidRDefault="004A6181" w:rsidP="004A6181">
            <w:pPr>
              <w:tabs>
                <w:tab w:val="left" w:pos="720"/>
                <w:tab w:val="left" w:pos="1440"/>
                <w:tab w:val="left" w:pos="2160"/>
                <w:tab w:val="left" w:pos="2880"/>
                <w:tab w:val="left" w:pos="3600"/>
                <w:tab w:val="left" w:pos="4320"/>
                <w:tab w:val="left" w:pos="5040"/>
                <w:tab w:val="left" w:pos="5760"/>
                <w:tab w:val="right" w:pos="9360"/>
              </w:tabs>
              <w:jc w:val="both"/>
              <w:rPr>
                <w:sz w:val="20"/>
                <w:szCs w:val="20"/>
                <w:lang w:val="fr-CA"/>
              </w:rPr>
            </w:pPr>
            <w:r w:rsidRPr="007A5E7A">
              <w:rPr>
                <w:sz w:val="20"/>
                <w:szCs w:val="20"/>
                <w:lang w:val="fr-CA"/>
              </w:rPr>
              <w:t>Kevin Shaar</w:t>
            </w:r>
            <w:r>
              <w:rPr>
                <w:sz w:val="20"/>
                <w:szCs w:val="20"/>
                <w:lang w:val="fr-CA"/>
              </w:rPr>
              <w:t xml:space="preserve"> et </w:t>
            </w:r>
            <w:r w:rsidRPr="007A5E7A">
              <w:rPr>
                <w:sz w:val="20"/>
                <w:szCs w:val="20"/>
                <w:lang w:val="fr-CA"/>
              </w:rPr>
              <w:t>Christine Ruest Norrena</w:t>
            </w:r>
            <w:r>
              <w:rPr>
                <w:sz w:val="20"/>
                <w:szCs w:val="20"/>
                <w:lang w:val="fr-CA"/>
              </w:rPr>
              <w:t xml:space="preserve"> p</w:t>
            </w:r>
            <w:r w:rsidRPr="007A5E7A">
              <w:rPr>
                <w:sz w:val="20"/>
                <w:szCs w:val="20"/>
                <w:lang w:val="fr-CA"/>
              </w:rPr>
              <w:t>our l’intervenante</w:t>
            </w:r>
            <w:r>
              <w:rPr>
                <w:sz w:val="20"/>
                <w:szCs w:val="20"/>
                <w:lang w:val="fr-CA"/>
              </w:rPr>
              <w:t xml:space="preserve"> </w:t>
            </w:r>
            <w:r w:rsidRPr="007A5E7A">
              <w:rPr>
                <w:sz w:val="20"/>
                <w:szCs w:val="20"/>
                <w:lang w:val="fr-CA"/>
              </w:rPr>
              <w:t>Commissaire aux langues officielles du Canada</w:t>
            </w:r>
            <w:r>
              <w:rPr>
                <w:sz w:val="20"/>
                <w:szCs w:val="20"/>
                <w:lang w:val="fr-CA"/>
              </w:rPr>
              <w:t>.</w:t>
            </w:r>
          </w:p>
          <w:p w:rsidR="004A6181" w:rsidRPr="007A5E7A" w:rsidRDefault="004A6181" w:rsidP="004A6181">
            <w:pPr>
              <w:tabs>
                <w:tab w:val="left" w:pos="720"/>
                <w:tab w:val="left" w:pos="1440"/>
                <w:tab w:val="left" w:pos="2160"/>
                <w:tab w:val="left" w:pos="2880"/>
                <w:tab w:val="left" w:pos="3600"/>
                <w:tab w:val="left" w:pos="4320"/>
                <w:tab w:val="left" w:pos="5040"/>
                <w:tab w:val="left" w:pos="5760"/>
                <w:tab w:val="right" w:pos="9360"/>
              </w:tabs>
              <w:jc w:val="both"/>
              <w:rPr>
                <w:sz w:val="20"/>
                <w:szCs w:val="20"/>
                <w:lang w:val="fr-CA"/>
              </w:rPr>
            </w:pPr>
          </w:p>
          <w:p w:rsidR="004A6181" w:rsidRPr="007A5E7A" w:rsidRDefault="004A6181" w:rsidP="004A6181">
            <w:pPr>
              <w:tabs>
                <w:tab w:val="left" w:pos="720"/>
                <w:tab w:val="left" w:pos="1440"/>
                <w:tab w:val="left" w:pos="2160"/>
                <w:tab w:val="left" w:pos="2880"/>
                <w:tab w:val="left" w:pos="3600"/>
                <w:tab w:val="left" w:pos="4320"/>
                <w:tab w:val="left" w:pos="5040"/>
                <w:tab w:val="left" w:pos="5760"/>
                <w:tab w:val="right" w:pos="9360"/>
              </w:tabs>
              <w:jc w:val="both"/>
              <w:rPr>
                <w:sz w:val="20"/>
                <w:szCs w:val="20"/>
                <w:lang w:val="fr-CA"/>
              </w:rPr>
            </w:pPr>
            <w:r w:rsidRPr="007A5E7A">
              <w:rPr>
                <w:sz w:val="20"/>
                <w:szCs w:val="20"/>
                <w:lang w:val="fr-CA"/>
              </w:rPr>
              <w:t>Nicolas M. Rouleau</w:t>
            </w:r>
            <w:r>
              <w:rPr>
                <w:sz w:val="20"/>
                <w:szCs w:val="20"/>
                <w:lang w:val="fr-CA"/>
              </w:rPr>
              <w:t xml:space="preserve"> p</w:t>
            </w:r>
            <w:r w:rsidRPr="007A5E7A">
              <w:rPr>
                <w:sz w:val="20"/>
                <w:szCs w:val="20"/>
                <w:lang w:val="fr-CA"/>
              </w:rPr>
              <w:t>our l’intervenante</w:t>
            </w:r>
            <w:r>
              <w:rPr>
                <w:sz w:val="20"/>
                <w:szCs w:val="20"/>
                <w:lang w:val="fr-CA"/>
              </w:rPr>
              <w:t xml:space="preserve"> </w:t>
            </w:r>
            <w:r w:rsidRPr="007A5E7A">
              <w:rPr>
                <w:sz w:val="20"/>
                <w:szCs w:val="20"/>
                <w:lang w:val="fr-CA"/>
              </w:rPr>
              <w:t>Fédération des associations de juristes</w:t>
            </w:r>
            <w:r>
              <w:rPr>
                <w:sz w:val="20"/>
                <w:szCs w:val="20"/>
                <w:lang w:val="fr-CA"/>
              </w:rPr>
              <w:t xml:space="preserve"> d’</w:t>
            </w:r>
            <w:r w:rsidRPr="007A5E7A">
              <w:rPr>
                <w:sz w:val="20"/>
                <w:szCs w:val="20"/>
                <w:lang w:val="fr-CA"/>
              </w:rPr>
              <w:t>expression française de common law inc.</w:t>
            </w:r>
          </w:p>
          <w:p w:rsidR="004A6181" w:rsidRPr="007A5E7A" w:rsidRDefault="004A6181" w:rsidP="004A6181">
            <w:pPr>
              <w:jc w:val="both"/>
              <w:rPr>
                <w:sz w:val="20"/>
                <w:szCs w:val="20"/>
                <w:lang w:val="fr-CA"/>
              </w:rPr>
            </w:pPr>
          </w:p>
          <w:p w:rsidR="004A6181" w:rsidRPr="007A5E7A" w:rsidRDefault="004A6181" w:rsidP="004A6181">
            <w:pPr>
              <w:tabs>
                <w:tab w:val="left" w:pos="720"/>
                <w:tab w:val="left" w:pos="1440"/>
                <w:tab w:val="left" w:pos="2160"/>
                <w:tab w:val="left" w:pos="2880"/>
                <w:tab w:val="left" w:pos="3600"/>
                <w:tab w:val="left" w:pos="4320"/>
                <w:tab w:val="left" w:pos="5040"/>
                <w:tab w:val="left" w:pos="5760"/>
                <w:tab w:val="right" w:pos="9360"/>
              </w:tabs>
              <w:jc w:val="both"/>
              <w:rPr>
                <w:sz w:val="20"/>
                <w:szCs w:val="20"/>
                <w:lang w:val="fr-CA"/>
              </w:rPr>
            </w:pPr>
            <w:r>
              <w:rPr>
                <w:sz w:val="20"/>
                <w:szCs w:val="20"/>
                <w:lang w:val="fr-CA"/>
              </w:rPr>
              <w:t xml:space="preserve">Sans comparution pour </w:t>
            </w:r>
            <w:r w:rsidRPr="007A5E7A">
              <w:rPr>
                <w:sz w:val="20"/>
                <w:szCs w:val="20"/>
                <w:lang w:val="fr-CA"/>
              </w:rPr>
              <w:t>l’intervenante</w:t>
            </w:r>
            <w:r>
              <w:rPr>
                <w:sz w:val="20"/>
                <w:szCs w:val="20"/>
                <w:lang w:val="fr-CA"/>
              </w:rPr>
              <w:t xml:space="preserve"> </w:t>
            </w:r>
            <w:r w:rsidRPr="007A5E7A">
              <w:rPr>
                <w:sz w:val="20"/>
                <w:szCs w:val="20"/>
                <w:lang w:val="fr-CA"/>
              </w:rPr>
              <w:t>Association canadienne-française de l'Alberta</w:t>
            </w:r>
            <w:r>
              <w:rPr>
                <w:sz w:val="20"/>
                <w:szCs w:val="20"/>
                <w:lang w:val="fr-CA"/>
              </w:rPr>
              <w:t xml:space="preserve"> (</w:t>
            </w:r>
            <w:r w:rsidRPr="007A5E7A">
              <w:rPr>
                <w:sz w:val="20"/>
                <w:szCs w:val="20"/>
                <w:lang w:val="fr-CA"/>
              </w:rPr>
              <w:t xml:space="preserve">Soumission écrite seulement </w:t>
            </w:r>
            <w:r>
              <w:rPr>
                <w:sz w:val="20"/>
                <w:szCs w:val="20"/>
                <w:lang w:val="fr-CA"/>
              </w:rPr>
              <w:t xml:space="preserve">de </w:t>
            </w:r>
            <w:r w:rsidRPr="007A5E7A">
              <w:rPr>
                <w:sz w:val="20"/>
                <w:szCs w:val="20"/>
                <w:lang w:val="fr-CA"/>
              </w:rPr>
              <w:t>Mark C. Power</w:t>
            </w:r>
            <w:r>
              <w:rPr>
                <w:sz w:val="20"/>
                <w:szCs w:val="20"/>
                <w:lang w:val="fr-CA"/>
              </w:rPr>
              <w:t xml:space="preserve">, </w:t>
            </w:r>
            <w:r w:rsidRPr="007A5E7A">
              <w:rPr>
                <w:sz w:val="20"/>
                <w:szCs w:val="20"/>
                <w:lang w:val="fr-CA"/>
              </w:rPr>
              <w:t>Justin Dubois</w:t>
            </w:r>
            <w:r>
              <w:rPr>
                <w:sz w:val="20"/>
                <w:szCs w:val="20"/>
                <w:lang w:val="fr-CA"/>
              </w:rPr>
              <w:t xml:space="preserve"> et </w:t>
            </w:r>
            <w:r w:rsidRPr="007A5E7A">
              <w:rPr>
                <w:sz w:val="20"/>
                <w:szCs w:val="20"/>
                <w:lang w:val="fr-CA"/>
              </w:rPr>
              <w:t>François Larocque</w:t>
            </w:r>
            <w:r>
              <w:rPr>
                <w:sz w:val="20"/>
                <w:szCs w:val="20"/>
                <w:lang w:val="fr-CA"/>
              </w:rPr>
              <w:t>).</w:t>
            </w:r>
          </w:p>
          <w:p w:rsidR="004A6181" w:rsidRPr="007A5E7A" w:rsidRDefault="004A6181" w:rsidP="004A6181">
            <w:pPr>
              <w:jc w:val="both"/>
              <w:rPr>
                <w:sz w:val="20"/>
                <w:szCs w:val="20"/>
                <w:lang w:val="fr-CA"/>
              </w:rPr>
            </w:pPr>
          </w:p>
          <w:p w:rsidR="004A6181" w:rsidRDefault="004A6181" w:rsidP="004A6181">
            <w:pPr>
              <w:tabs>
                <w:tab w:val="left" w:pos="720"/>
                <w:tab w:val="left" w:pos="1440"/>
                <w:tab w:val="left" w:pos="2160"/>
                <w:tab w:val="left" w:pos="2880"/>
                <w:tab w:val="left" w:pos="3600"/>
                <w:tab w:val="left" w:pos="4320"/>
                <w:tab w:val="left" w:pos="5040"/>
                <w:tab w:val="left" w:pos="5760"/>
                <w:tab w:val="right" w:pos="9360"/>
              </w:tabs>
              <w:jc w:val="both"/>
              <w:rPr>
                <w:sz w:val="20"/>
                <w:szCs w:val="20"/>
                <w:lang w:val="fr-CA"/>
              </w:rPr>
            </w:pPr>
            <w:r>
              <w:rPr>
                <w:sz w:val="20"/>
                <w:szCs w:val="20"/>
                <w:lang w:val="fr-CA"/>
              </w:rPr>
              <w:t>Sans comparution</w:t>
            </w:r>
            <w:r w:rsidRPr="007A5E7A">
              <w:rPr>
                <w:sz w:val="20"/>
                <w:szCs w:val="20"/>
                <w:lang w:val="fr-CA"/>
              </w:rPr>
              <w:tab/>
            </w:r>
            <w:r>
              <w:rPr>
                <w:sz w:val="20"/>
                <w:szCs w:val="20"/>
                <w:lang w:val="fr-CA"/>
              </w:rPr>
              <w:t xml:space="preserve"> p</w:t>
            </w:r>
            <w:r w:rsidRPr="007A5E7A">
              <w:rPr>
                <w:sz w:val="20"/>
                <w:szCs w:val="20"/>
                <w:lang w:val="fr-CA"/>
              </w:rPr>
              <w:t>our l’intervenante</w:t>
            </w:r>
            <w:r>
              <w:rPr>
                <w:sz w:val="20"/>
                <w:szCs w:val="20"/>
                <w:lang w:val="fr-CA"/>
              </w:rPr>
              <w:t xml:space="preserve"> </w:t>
            </w:r>
            <w:r w:rsidRPr="007A5E7A">
              <w:rPr>
                <w:sz w:val="20"/>
                <w:szCs w:val="20"/>
                <w:lang w:val="fr-CA"/>
              </w:rPr>
              <w:t>Assemblée communautaire fransaskoise</w:t>
            </w:r>
            <w:r>
              <w:rPr>
                <w:sz w:val="20"/>
                <w:szCs w:val="20"/>
                <w:lang w:val="fr-CA"/>
              </w:rPr>
              <w:t xml:space="preserve"> (</w:t>
            </w:r>
            <w:r w:rsidRPr="007A5E7A">
              <w:rPr>
                <w:sz w:val="20"/>
                <w:szCs w:val="20"/>
                <w:lang w:val="fr-CA"/>
              </w:rPr>
              <w:t>Soumission écrite seulement</w:t>
            </w:r>
            <w:r>
              <w:rPr>
                <w:sz w:val="20"/>
                <w:szCs w:val="20"/>
                <w:lang w:val="fr-CA"/>
              </w:rPr>
              <w:t xml:space="preserve"> </w:t>
            </w:r>
            <w:r w:rsidRPr="007A5E7A">
              <w:rPr>
                <w:sz w:val="20"/>
                <w:szCs w:val="20"/>
                <w:lang w:val="fr-CA"/>
              </w:rPr>
              <w:t>Roger J.F. Lepage</w:t>
            </w:r>
            <w:r>
              <w:rPr>
                <w:sz w:val="20"/>
                <w:szCs w:val="20"/>
                <w:lang w:val="fr-CA"/>
              </w:rPr>
              <w:t xml:space="preserve"> et </w:t>
            </w:r>
            <w:r w:rsidRPr="007A5E7A">
              <w:rPr>
                <w:sz w:val="20"/>
                <w:szCs w:val="20"/>
                <w:lang w:val="fr-CA"/>
              </w:rPr>
              <w:t>Francis P. Poulin</w:t>
            </w:r>
            <w:r>
              <w:rPr>
                <w:sz w:val="20"/>
                <w:szCs w:val="20"/>
                <w:lang w:val="fr-CA"/>
              </w:rPr>
              <w:t>).</w:t>
            </w:r>
          </w:p>
          <w:p w:rsidR="004A6181" w:rsidRPr="007A5E7A" w:rsidRDefault="004A6181" w:rsidP="004A6181">
            <w:pPr>
              <w:jc w:val="both"/>
              <w:rPr>
                <w:sz w:val="20"/>
                <w:szCs w:val="20"/>
                <w:lang w:val="fr-CA"/>
              </w:rPr>
            </w:pPr>
          </w:p>
          <w:p w:rsidR="004A6181" w:rsidRPr="007A5E7A" w:rsidRDefault="004A6181" w:rsidP="004A6181">
            <w:pPr>
              <w:jc w:val="both"/>
              <w:rPr>
                <w:sz w:val="20"/>
                <w:szCs w:val="20"/>
              </w:rPr>
            </w:pPr>
            <w:r w:rsidRPr="007A5E7A">
              <w:rPr>
                <w:sz w:val="20"/>
                <w:szCs w:val="20"/>
                <w:lang w:val="en-US"/>
              </w:rPr>
              <w:t>Peter P. Taschuk, Q.C.</w:t>
            </w:r>
            <w:r>
              <w:rPr>
                <w:sz w:val="20"/>
                <w:szCs w:val="20"/>
                <w:lang w:val="en-US"/>
              </w:rPr>
              <w:t xml:space="preserve">, </w:t>
            </w:r>
            <w:r w:rsidRPr="007A5E7A">
              <w:rPr>
                <w:sz w:val="20"/>
                <w:szCs w:val="20"/>
                <w:lang w:val="en-US"/>
              </w:rPr>
              <w:t>Teresa R. Haykowsky</w:t>
            </w:r>
            <w:r>
              <w:rPr>
                <w:sz w:val="20"/>
                <w:szCs w:val="20"/>
                <w:lang w:val="en-US"/>
              </w:rPr>
              <w:t xml:space="preserve">, </w:t>
            </w:r>
            <w:r w:rsidRPr="007A5E7A">
              <w:rPr>
                <w:sz w:val="20"/>
                <w:szCs w:val="20"/>
                <w:lang w:val="en-US"/>
              </w:rPr>
              <w:t>David D. Risling</w:t>
            </w:r>
            <w:r>
              <w:rPr>
                <w:sz w:val="20"/>
                <w:szCs w:val="20"/>
                <w:lang w:val="en-US"/>
              </w:rPr>
              <w:t xml:space="preserve"> and </w:t>
            </w:r>
            <w:r w:rsidRPr="007A5E7A">
              <w:rPr>
                <w:sz w:val="20"/>
                <w:szCs w:val="20"/>
              </w:rPr>
              <w:t xml:space="preserve">Randy Steele </w:t>
            </w:r>
            <w:r>
              <w:rPr>
                <w:sz w:val="20"/>
                <w:szCs w:val="20"/>
                <w:lang w:val="en-US"/>
              </w:rPr>
              <w:t>f</w:t>
            </w:r>
            <w:r w:rsidRPr="007A5E7A">
              <w:rPr>
                <w:sz w:val="20"/>
                <w:szCs w:val="20"/>
                <w:lang w:val="en-US"/>
              </w:rPr>
              <w:t xml:space="preserve">or the </w:t>
            </w:r>
            <w:r>
              <w:rPr>
                <w:sz w:val="20"/>
                <w:szCs w:val="20"/>
                <w:lang w:val="en-US"/>
              </w:rPr>
              <w:t>r</w:t>
            </w:r>
            <w:r w:rsidRPr="007A5E7A">
              <w:rPr>
                <w:sz w:val="20"/>
                <w:szCs w:val="20"/>
                <w:lang w:val="en-US"/>
              </w:rPr>
              <w:t>espondent</w:t>
            </w:r>
            <w:r>
              <w:rPr>
                <w:sz w:val="20"/>
                <w:szCs w:val="20"/>
                <w:lang w:val="en-US"/>
              </w:rPr>
              <w:t>.</w:t>
            </w:r>
          </w:p>
          <w:p w:rsidR="004A6181" w:rsidRPr="007A5E7A" w:rsidRDefault="004A6181" w:rsidP="004A6181">
            <w:pPr>
              <w:jc w:val="both"/>
              <w:rPr>
                <w:sz w:val="20"/>
                <w:szCs w:val="20"/>
              </w:rPr>
            </w:pPr>
          </w:p>
          <w:p w:rsidR="004A6181" w:rsidRPr="007A5E7A" w:rsidRDefault="004A6181" w:rsidP="004A6181">
            <w:pPr>
              <w:tabs>
                <w:tab w:val="left" w:pos="720"/>
                <w:tab w:val="left" w:pos="1440"/>
                <w:tab w:val="left" w:pos="2160"/>
                <w:tab w:val="left" w:pos="2880"/>
                <w:tab w:val="left" w:pos="3600"/>
                <w:tab w:val="left" w:pos="4320"/>
                <w:tab w:val="left" w:pos="5040"/>
                <w:tab w:val="left" w:pos="5760"/>
                <w:tab w:val="right" w:pos="9360"/>
              </w:tabs>
              <w:jc w:val="both"/>
              <w:rPr>
                <w:sz w:val="20"/>
                <w:szCs w:val="20"/>
                <w:lang w:val="fr-CA"/>
              </w:rPr>
            </w:pPr>
            <w:r w:rsidRPr="007A5E7A">
              <w:rPr>
                <w:sz w:val="20"/>
                <w:szCs w:val="20"/>
                <w:lang w:val="fr-CA"/>
              </w:rPr>
              <w:t>Alain Préfontaine</w:t>
            </w:r>
            <w:r w:rsidRPr="007A5E7A">
              <w:rPr>
                <w:sz w:val="20"/>
                <w:szCs w:val="20"/>
                <w:lang w:val="fr-CA"/>
              </w:rPr>
              <w:tab/>
            </w:r>
            <w:r>
              <w:rPr>
                <w:sz w:val="20"/>
                <w:szCs w:val="20"/>
                <w:lang w:val="fr-CA"/>
              </w:rPr>
              <w:t xml:space="preserve"> et </w:t>
            </w:r>
            <w:r w:rsidRPr="007A5E7A">
              <w:rPr>
                <w:sz w:val="20"/>
                <w:szCs w:val="20"/>
                <w:lang w:val="fr-CA"/>
              </w:rPr>
              <w:t>Catherine A. Lawrence</w:t>
            </w:r>
            <w:r w:rsidRPr="007A5E7A">
              <w:rPr>
                <w:sz w:val="20"/>
                <w:szCs w:val="20"/>
                <w:lang w:val="fr-CA"/>
              </w:rPr>
              <w:tab/>
            </w:r>
            <w:r>
              <w:rPr>
                <w:sz w:val="20"/>
                <w:szCs w:val="20"/>
                <w:lang w:val="fr-CA"/>
              </w:rPr>
              <w:t>p</w:t>
            </w:r>
            <w:r w:rsidRPr="007A5E7A">
              <w:rPr>
                <w:sz w:val="20"/>
                <w:szCs w:val="20"/>
                <w:lang w:val="fr-CA"/>
              </w:rPr>
              <w:t>our l’intervenant</w:t>
            </w:r>
            <w:r>
              <w:rPr>
                <w:sz w:val="20"/>
                <w:szCs w:val="20"/>
                <w:lang w:val="fr-CA"/>
              </w:rPr>
              <w:t xml:space="preserve"> </w:t>
            </w:r>
            <w:r w:rsidRPr="007A5E7A">
              <w:rPr>
                <w:sz w:val="20"/>
                <w:szCs w:val="20"/>
                <w:lang w:val="fr-CA"/>
              </w:rPr>
              <w:t>Procureur général du Canada</w:t>
            </w:r>
            <w:r>
              <w:rPr>
                <w:sz w:val="20"/>
                <w:szCs w:val="20"/>
                <w:lang w:val="fr-CA"/>
              </w:rPr>
              <w:t>.</w:t>
            </w:r>
          </w:p>
          <w:p w:rsidR="004A6181" w:rsidRPr="007A5E7A" w:rsidRDefault="004A6181" w:rsidP="004A6181">
            <w:pPr>
              <w:jc w:val="both"/>
              <w:rPr>
                <w:sz w:val="20"/>
                <w:szCs w:val="20"/>
                <w:lang w:val="fr-CA"/>
              </w:rPr>
            </w:pPr>
          </w:p>
          <w:p w:rsidR="00F83080" w:rsidRPr="004A6181" w:rsidRDefault="004A6181" w:rsidP="004A6181">
            <w:pPr>
              <w:widowControl w:val="0"/>
              <w:jc w:val="both"/>
              <w:rPr>
                <w:sz w:val="20"/>
                <w:szCs w:val="20"/>
              </w:rPr>
            </w:pPr>
            <w:r w:rsidRPr="007A5E7A">
              <w:rPr>
                <w:sz w:val="20"/>
                <w:szCs w:val="20"/>
                <w:lang w:val="en-US"/>
              </w:rPr>
              <w:t>Graeme G. Mitchell, Q.C.</w:t>
            </w:r>
            <w:r>
              <w:rPr>
                <w:sz w:val="20"/>
                <w:szCs w:val="20"/>
                <w:lang w:val="en-US"/>
              </w:rPr>
              <w:t xml:space="preserve"> f</w:t>
            </w:r>
            <w:r w:rsidRPr="007A5E7A">
              <w:rPr>
                <w:sz w:val="20"/>
                <w:szCs w:val="20"/>
                <w:lang w:val="en-US"/>
              </w:rPr>
              <w:t xml:space="preserve">or the </w:t>
            </w:r>
            <w:r>
              <w:rPr>
                <w:sz w:val="20"/>
                <w:szCs w:val="20"/>
                <w:lang w:val="en-US"/>
              </w:rPr>
              <w:t>i</w:t>
            </w:r>
            <w:r w:rsidRPr="007A5E7A">
              <w:rPr>
                <w:sz w:val="20"/>
                <w:szCs w:val="20"/>
                <w:lang w:val="en-US"/>
              </w:rPr>
              <w:t>ntervener</w:t>
            </w:r>
            <w:r>
              <w:rPr>
                <w:sz w:val="20"/>
                <w:szCs w:val="20"/>
                <w:lang w:val="en-US"/>
              </w:rPr>
              <w:t xml:space="preserve"> </w:t>
            </w:r>
            <w:r w:rsidRPr="007A5E7A">
              <w:rPr>
                <w:sz w:val="20"/>
                <w:szCs w:val="20"/>
                <w:lang w:val="en-US"/>
              </w:rPr>
              <w:t>Attorney General for Saskatchewan</w:t>
            </w:r>
            <w:r>
              <w:rPr>
                <w:sz w:val="20"/>
                <w:szCs w:val="20"/>
                <w:lang w:val="en-US"/>
              </w:rPr>
              <w:t>.</w:t>
            </w:r>
          </w:p>
        </w:tc>
      </w:tr>
    </w:tbl>
    <w:p w:rsidR="00F83080" w:rsidRPr="004A6181" w:rsidRDefault="00F83080" w:rsidP="00F83080">
      <w:pPr>
        <w:widowControl w:val="0"/>
        <w:rPr>
          <w:sz w:val="20"/>
          <w:szCs w:val="20"/>
        </w:rPr>
      </w:pPr>
    </w:p>
    <w:p w:rsidR="00F83080" w:rsidRPr="0085476B" w:rsidRDefault="00F83080" w:rsidP="00F83080">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F83080" w:rsidRPr="00F83080" w:rsidRDefault="00F83080" w:rsidP="00F83080">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83080" w:rsidRPr="008B79EB" w:rsidTr="00A1374E">
        <w:tc>
          <w:tcPr>
            <w:tcW w:w="4380" w:type="dxa"/>
            <w:tcMar>
              <w:left w:w="0" w:type="dxa"/>
              <w:right w:w="0" w:type="dxa"/>
            </w:tcMar>
          </w:tcPr>
          <w:p w:rsidR="00F83080" w:rsidRPr="00CC4D84" w:rsidRDefault="00F83080" w:rsidP="00A1374E">
            <w:pPr>
              <w:widowControl w:val="0"/>
              <w:jc w:val="both"/>
              <w:rPr>
                <w:b/>
                <w:sz w:val="20"/>
                <w:szCs w:val="20"/>
                <w:u w:val="single"/>
              </w:rPr>
            </w:pPr>
            <w:r w:rsidRPr="00CC4D84">
              <w:rPr>
                <w:b/>
                <w:sz w:val="20"/>
                <w:szCs w:val="20"/>
                <w:u w:val="single"/>
              </w:rPr>
              <w:t>Nature of the case:</w:t>
            </w:r>
          </w:p>
          <w:p w:rsidR="00F83080" w:rsidRPr="001A663B" w:rsidRDefault="00F83080" w:rsidP="00A1374E">
            <w:pPr>
              <w:widowControl w:val="0"/>
              <w:jc w:val="both"/>
              <w:rPr>
                <w:b/>
                <w:sz w:val="20"/>
                <w:szCs w:val="20"/>
              </w:rPr>
            </w:pPr>
          </w:p>
          <w:p w:rsidR="00F83080" w:rsidRPr="00C1697B" w:rsidRDefault="006E2210" w:rsidP="00A1374E">
            <w:pPr>
              <w:widowControl w:val="0"/>
              <w:jc w:val="both"/>
              <w:rPr>
                <w:b/>
                <w:sz w:val="20"/>
                <w:szCs w:val="20"/>
              </w:rPr>
            </w:pPr>
            <w:r w:rsidRPr="007D3BA6">
              <w:rPr>
                <w:sz w:val="20"/>
                <w:szCs w:val="20"/>
              </w:rPr>
              <w:t xml:space="preserve">Constitutional law - Language guarantees - Right to publication - Scope of </w:t>
            </w:r>
            <w:r w:rsidRPr="007D3BA6">
              <w:rPr>
                <w:i/>
                <w:sz w:val="20"/>
                <w:szCs w:val="20"/>
              </w:rPr>
              <w:t>Rupert’s Land and North-Western Territory Order</w:t>
            </w:r>
            <w:r w:rsidRPr="007D3BA6">
              <w:rPr>
                <w:sz w:val="20"/>
                <w:szCs w:val="20"/>
              </w:rPr>
              <w:t xml:space="preserve">, June 23, 1870, R.S.C. 1985, App. II, No. 9 - Appellants charged with offences under </w:t>
            </w:r>
            <w:r w:rsidRPr="007D3BA6">
              <w:rPr>
                <w:i/>
                <w:sz w:val="20"/>
                <w:szCs w:val="20"/>
              </w:rPr>
              <w:t>Traffic Safety Act</w:t>
            </w:r>
            <w:r w:rsidRPr="007D3BA6">
              <w:rPr>
                <w:sz w:val="20"/>
                <w:szCs w:val="20"/>
              </w:rPr>
              <w:t xml:space="preserve">, R.S.A. 2000, c. T-6, Alberta statute enacted in English only - At trial, appellants arguing that </w:t>
            </w:r>
            <w:r w:rsidRPr="007D3BA6">
              <w:rPr>
                <w:i/>
                <w:sz w:val="20"/>
                <w:szCs w:val="20"/>
              </w:rPr>
              <w:t xml:space="preserve">Traffic Safety Act </w:t>
            </w:r>
            <w:r w:rsidRPr="007D3BA6">
              <w:rPr>
                <w:sz w:val="20"/>
                <w:szCs w:val="20"/>
              </w:rPr>
              <w:t xml:space="preserve">unconstitutional </w:t>
            </w:r>
            <w:r w:rsidRPr="007D3BA6">
              <w:rPr>
                <w:sz w:val="20"/>
                <w:szCs w:val="20"/>
              </w:rPr>
              <w:lastRenderedPageBreak/>
              <w:t xml:space="preserve">because it not enacted in English and in French - At conclusion of trial, Alberta Provincial Court judge ruling in appellants’ favour and declaring that </w:t>
            </w:r>
            <w:r w:rsidRPr="007D3BA6">
              <w:rPr>
                <w:i/>
                <w:sz w:val="20"/>
                <w:szCs w:val="20"/>
              </w:rPr>
              <w:t xml:space="preserve">1870 Order </w:t>
            </w:r>
            <w:r w:rsidRPr="007D3BA6">
              <w:rPr>
                <w:sz w:val="20"/>
                <w:szCs w:val="20"/>
              </w:rPr>
              <w:t xml:space="preserve">imposed obligation on Legislative Assembly of Alberta to enact legislation in English and in French - That decision set aside by Court of Queen’s Bench in judgment that subsequently affirmed by Court of Appeal - Whether </w:t>
            </w:r>
            <w:r w:rsidRPr="007D3BA6">
              <w:rPr>
                <w:i/>
                <w:sz w:val="20"/>
                <w:szCs w:val="20"/>
              </w:rPr>
              <w:t>Languages Act</w:t>
            </w:r>
            <w:r w:rsidRPr="007D3BA6">
              <w:rPr>
                <w:sz w:val="20"/>
                <w:szCs w:val="20"/>
              </w:rPr>
              <w:t xml:space="preserve">, R.S.A. 2000, c. L-6, is </w:t>
            </w:r>
            <w:r w:rsidRPr="007D3BA6">
              <w:rPr>
                <w:i/>
                <w:sz w:val="20"/>
                <w:szCs w:val="20"/>
              </w:rPr>
              <w:t>ultra vires</w:t>
            </w:r>
            <w:r w:rsidRPr="007D3BA6">
              <w:rPr>
                <w:sz w:val="20"/>
                <w:szCs w:val="20"/>
              </w:rPr>
              <w:t xml:space="preserve"> or inoperative insofar as it abrogates constitutional duty owed by Alberta to enact, print and publish its laws and regulations in English and in French in accordance, </w:t>
            </w:r>
            <w:r w:rsidRPr="007D3BA6">
              <w:rPr>
                <w:i/>
                <w:sz w:val="20"/>
                <w:szCs w:val="20"/>
              </w:rPr>
              <w:t>inter alia</w:t>
            </w:r>
            <w:r w:rsidRPr="007D3BA6">
              <w:rPr>
                <w:sz w:val="20"/>
                <w:szCs w:val="20"/>
              </w:rPr>
              <w:t xml:space="preserve">, with </w:t>
            </w:r>
            <w:r w:rsidRPr="007D3BA6">
              <w:rPr>
                <w:i/>
                <w:sz w:val="20"/>
                <w:szCs w:val="20"/>
              </w:rPr>
              <w:t>1870 Order</w:t>
            </w:r>
            <w:r w:rsidRPr="007D3BA6">
              <w:rPr>
                <w:sz w:val="20"/>
                <w:szCs w:val="20"/>
              </w:rPr>
              <w:t xml:space="preserve"> - If answer to question 1 is affirmative, whether </w:t>
            </w:r>
            <w:r w:rsidRPr="007D3BA6">
              <w:rPr>
                <w:i/>
                <w:sz w:val="20"/>
                <w:szCs w:val="20"/>
              </w:rPr>
              <w:t>Traffic Safety Act</w:t>
            </w:r>
            <w:r w:rsidRPr="007D3BA6">
              <w:rPr>
                <w:sz w:val="20"/>
                <w:szCs w:val="20"/>
              </w:rPr>
              <w:t xml:space="preserve"> and any other laws and regulations that have not been enacted, printed and published in French are inoperative.</w:t>
            </w:r>
          </w:p>
        </w:tc>
        <w:tc>
          <w:tcPr>
            <w:tcW w:w="720" w:type="dxa"/>
            <w:tcMar>
              <w:left w:w="0" w:type="dxa"/>
              <w:right w:w="0" w:type="dxa"/>
            </w:tcMar>
          </w:tcPr>
          <w:p w:rsidR="00F83080" w:rsidRPr="00C1697B" w:rsidRDefault="00F83080" w:rsidP="00A1374E">
            <w:pPr>
              <w:widowControl w:val="0"/>
              <w:jc w:val="center"/>
              <w:rPr>
                <w:sz w:val="20"/>
                <w:szCs w:val="20"/>
              </w:rPr>
            </w:pPr>
          </w:p>
        </w:tc>
        <w:tc>
          <w:tcPr>
            <w:tcW w:w="4380" w:type="dxa"/>
            <w:tcMar>
              <w:left w:w="0" w:type="dxa"/>
              <w:right w:w="0" w:type="dxa"/>
            </w:tcMar>
          </w:tcPr>
          <w:p w:rsidR="00F83080" w:rsidRPr="00CC4D84" w:rsidRDefault="00F83080" w:rsidP="00A1374E">
            <w:pPr>
              <w:widowControl w:val="0"/>
              <w:jc w:val="both"/>
              <w:rPr>
                <w:b/>
                <w:sz w:val="20"/>
                <w:szCs w:val="20"/>
                <w:u w:val="single"/>
                <w:lang w:val="fr-CA"/>
              </w:rPr>
            </w:pPr>
            <w:r w:rsidRPr="00CC4D84">
              <w:rPr>
                <w:b/>
                <w:sz w:val="20"/>
                <w:szCs w:val="20"/>
                <w:u w:val="single"/>
                <w:lang w:val="fr-CA"/>
              </w:rPr>
              <w:t>Nature de la cause :</w:t>
            </w:r>
          </w:p>
          <w:p w:rsidR="00F83080" w:rsidRPr="00C1697B" w:rsidRDefault="00F83080" w:rsidP="00A1374E">
            <w:pPr>
              <w:widowControl w:val="0"/>
              <w:jc w:val="both"/>
              <w:rPr>
                <w:sz w:val="20"/>
                <w:szCs w:val="20"/>
                <w:lang w:val="fr-CA"/>
              </w:rPr>
            </w:pPr>
          </w:p>
          <w:p w:rsidR="00F83080" w:rsidRPr="00C1697B" w:rsidRDefault="006E2210" w:rsidP="00A1374E">
            <w:pPr>
              <w:widowControl w:val="0"/>
              <w:jc w:val="both"/>
              <w:rPr>
                <w:sz w:val="20"/>
                <w:szCs w:val="20"/>
                <w:lang w:val="fr-CA"/>
              </w:rPr>
            </w:pPr>
            <w:r w:rsidRPr="00431549">
              <w:rPr>
                <w:sz w:val="20"/>
                <w:szCs w:val="20"/>
                <w:lang w:val="fr-CA"/>
              </w:rPr>
              <w:t xml:space="preserve">Droit constitutionnel - Garanties linguistiques - Droit à la publication - Portée du </w:t>
            </w:r>
            <w:r w:rsidRPr="00431549">
              <w:rPr>
                <w:i/>
                <w:sz w:val="20"/>
                <w:szCs w:val="20"/>
                <w:lang w:val="fr-CA"/>
              </w:rPr>
              <w:t>Décret en conseil sur la Terre de Rupert et du Territoire du Nord-Ouest</w:t>
            </w:r>
            <w:r w:rsidRPr="00431549">
              <w:rPr>
                <w:sz w:val="20"/>
                <w:szCs w:val="20"/>
                <w:lang w:val="fr-CA"/>
              </w:rPr>
              <w:t xml:space="preserve">, le 23 juin 1870, LRC 1985, app II, no 9 - Les appelants ont été accusés d’infractions à la </w:t>
            </w:r>
            <w:r w:rsidRPr="00431549">
              <w:rPr>
                <w:i/>
                <w:sz w:val="20"/>
                <w:szCs w:val="20"/>
                <w:lang w:val="fr-CA"/>
              </w:rPr>
              <w:t>Traffic Safety Act</w:t>
            </w:r>
            <w:r w:rsidRPr="00431549">
              <w:rPr>
                <w:sz w:val="20"/>
                <w:szCs w:val="20"/>
                <w:lang w:val="fr-CA"/>
              </w:rPr>
              <w:t xml:space="preserve">, R.S.A. 2000, c. T-6, une loi albertaine adoptée en anglais seulement - À leur procès, les appelants ont </w:t>
            </w:r>
            <w:r w:rsidRPr="00431549">
              <w:rPr>
                <w:sz w:val="20"/>
                <w:szCs w:val="20"/>
                <w:lang w:val="fr-CA"/>
              </w:rPr>
              <w:lastRenderedPageBreak/>
              <w:t xml:space="preserve">soutenu que la </w:t>
            </w:r>
            <w:r w:rsidRPr="00431549">
              <w:rPr>
                <w:i/>
                <w:sz w:val="20"/>
                <w:szCs w:val="20"/>
                <w:lang w:val="fr-CA"/>
              </w:rPr>
              <w:t xml:space="preserve">Traffic Safety Act </w:t>
            </w:r>
            <w:r w:rsidRPr="00431549">
              <w:rPr>
                <w:sz w:val="20"/>
                <w:szCs w:val="20"/>
                <w:lang w:val="fr-CA"/>
              </w:rPr>
              <w:t xml:space="preserve">était inconstitutionnelle, puisqu’elle n’avait pas été adoptée en français et en anglais - Au terme du procès, un juge de la Cour provinciale de l’Alberta a donné raison aux appelants et a déclaré que le </w:t>
            </w:r>
            <w:r w:rsidRPr="00431549">
              <w:rPr>
                <w:i/>
                <w:sz w:val="20"/>
                <w:szCs w:val="20"/>
                <w:lang w:val="fr-CA"/>
              </w:rPr>
              <w:t xml:space="preserve">Décret de 1870 </w:t>
            </w:r>
            <w:r w:rsidRPr="00431549">
              <w:rPr>
                <w:sz w:val="20"/>
                <w:szCs w:val="20"/>
                <w:lang w:val="fr-CA"/>
              </w:rPr>
              <w:t xml:space="preserve">imposait à l’Assemblée législative albertaine l’obligation d’adopter les lois en français et en anglais - Cette décision a été infirmée par la Cour du banc de la Reine, un jugement confirmé par la Cour d’appel - Est-ce que la </w:t>
            </w:r>
            <w:r w:rsidRPr="00431549">
              <w:rPr>
                <w:i/>
                <w:sz w:val="20"/>
                <w:szCs w:val="20"/>
                <w:lang w:val="fr-CA"/>
              </w:rPr>
              <w:t>Loi linguistique</w:t>
            </w:r>
            <w:r w:rsidRPr="00431549">
              <w:rPr>
                <w:sz w:val="20"/>
                <w:szCs w:val="20"/>
                <w:lang w:val="fr-CA"/>
              </w:rPr>
              <w:t xml:space="preserve">, R.S.A. 2000, c. L-6, est </w:t>
            </w:r>
            <w:r w:rsidRPr="00431549">
              <w:rPr>
                <w:i/>
                <w:sz w:val="20"/>
                <w:szCs w:val="20"/>
                <w:lang w:val="fr-CA"/>
              </w:rPr>
              <w:t>ultra vires</w:t>
            </w:r>
            <w:r w:rsidRPr="00431549">
              <w:rPr>
                <w:sz w:val="20"/>
                <w:szCs w:val="20"/>
                <w:lang w:val="fr-CA"/>
              </w:rPr>
              <w:t xml:space="preserve"> ou sans effet dans la mesure où elle abroge une obligation constitutionnelle de l’Alberta d’édicter, d’imprimer et de publier ses lois et ses règlements en français et en anglais conformément, notamment, au </w:t>
            </w:r>
            <w:r w:rsidRPr="00431549">
              <w:rPr>
                <w:i/>
                <w:sz w:val="20"/>
                <w:szCs w:val="20"/>
                <w:lang w:val="fr-CA"/>
              </w:rPr>
              <w:t>Décret de 1870</w:t>
            </w:r>
            <w:r w:rsidRPr="00431549">
              <w:rPr>
                <w:sz w:val="20"/>
                <w:szCs w:val="20"/>
                <w:lang w:val="fr-CA"/>
              </w:rPr>
              <w:t xml:space="preserve">? - En cas de réponse affirmative à la question 1, est-ce que la </w:t>
            </w:r>
            <w:r w:rsidRPr="00431549">
              <w:rPr>
                <w:i/>
                <w:sz w:val="20"/>
                <w:szCs w:val="20"/>
                <w:lang w:val="fr-CA"/>
              </w:rPr>
              <w:t xml:space="preserve">Traffic Safety Act </w:t>
            </w:r>
            <w:r w:rsidRPr="00431549">
              <w:rPr>
                <w:sz w:val="20"/>
                <w:szCs w:val="20"/>
                <w:lang w:val="fr-CA"/>
              </w:rPr>
              <w:t>ainsi que les autres lois et règlements qui n’ont pas été édictés, imprimés et publiés en français sont inopérants ?</w:t>
            </w:r>
          </w:p>
        </w:tc>
      </w:tr>
    </w:tbl>
    <w:p w:rsidR="00F83080" w:rsidRDefault="00F83080" w:rsidP="00732DB7">
      <w:pPr>
        <w:widowControl w:val="0"/>
        <w:rPr>
          <w:sz w:val="20"/>
          <w:szCs w:val="20"/>
          <w:lang w:val="fr-CA"/>
        </w:rPr>
      </w:pPr>
    </w:p>
    <w:p w:rsidR="00F83080" w:rsidRDefault="005A3634" w:rsidP="00732DB7">
      <w:pPr>
        <w:widowControl w:val="0"/>
        <w:rPr>
          <w:sz w:val="20"/>
          <w:szCs w:val="20"/>
          <w:lang w:val="fr-CA"/>
        </w:rPr>
      </w:pPr>
      <w:r>
        <w:rPr>
          <w:sz w:val="20"/>
          <w:szCs w:val="20"/>
          <w:lang w:val="fr-CA"/>
        </w:rPr>
        <w:pict>
          <v:rect id="_x0000_i1083" style="width:2in;height:1pt" o:hrpct="0" o:hralign="center" o:hrstd="t" o:hrnoshade="t" o:hr="t" fillcolor="black [3213]" stroked="f"/>
        </w:pict>
      </w:r>
    </w:p>
    <w:p w:rsidR="00F83080" w:rsidRDefault="00F83080" w:rsidP="00732DB7">
      <w:pPr>
        <w:widowControl w:val="0"/>
        <w:rPr>
          <w:sz w:val="20"/>
          <w:szCs w:val="20"/>
          <w:lang w:val="fr-CA"/>
        </w:rPr>
      </w:pPr>
    </w:p>
    <w:p w:rsidR="00F83080" w:rsidRPr="00D84417" w:rsidRDefault="00F83080" w:rsidP="00732DB7">
      <w:pPr>
        <w:widowControl w:val="0"/>
        <w:rPr>
          <w:sz w:val="20"/>
          <w:szCs w:val="20"/>
        </w:rPr>
      </w:pPr>
      <w:r w:rsidRPr="00D84417">
        <w:rPr>
          <w:sz w:val="20"/>
          <w:szCs w:val="20"/>
        </w:rPr>
        <w:t>16.02.2015</w:t>
      </w:r>
    </w:p>
    <w:p w:rsidR="00F83080" w:rsidRPr="00D84417" w:rsidRDefault="00F83080" w:rsidP="00732DB7">
      <w:pPr>
        <w:widowControl w:val="0"/>
        <w:rPr>
          <w:sz w:val="20"/>
          <w:szCs w:val="20"/>
        </w:rPr>
      </w:pPr>
    </w:p>
    <w:p w:rsidR="00342823" w:rsidRPr="00342823" w:rsidRDefault="00342823" w:rsidP="00342823">
      <w:pPr>
        <w:widowControl w:val="0"/>
        <w:ind w:left="720" w:hanging="720"/>
        <w:rPr>
          <w:sz w:val="20"/>
          <w:szCs w:val="20"/>
          <w:u w:val="single"/>
        </w:rPr>
      </w:pPr>
      <w:r w:rsidRPr="00342823">
        <w:rPr>
          <w:sz w:val="20"/>
          <w:szCs w:val="20"/>
        </w:rPr>
        <w:t xml:space="preserve">Coram: </w:t>
      </w:r>
      <w:r w:rsidRPr="00342823">
        <w:rPr>
          <w:sz w:val="20"/>
          <w:szCs w:val="20"/>
        </w:rPr>
        <w:tab/>
      </w:r>
      <w:r w:rsidRPr="00342823">
        <w:rPr>
          <w:sz w:val="20"/>
          <w:szCs w:val="20"/>
          <w:u w:val="single"/>
        </w:rPr>
        <w:t>McLachlin C.J. and Abella, Rothstein, Moldaver, Karakatsanis, Wagner and Gascon JJ.</w:t>
      </w:r>
    </w:p>
    <w:p w:rsidR="00F83080" w:rsidRPr="00F83080" w:rsidRDefault="00F83080" w:rsidP="00732DB7">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83080" w:rsidRPr="00342823" w:rsidTr="00A1374E">
        <w:tc>
          <w:tcPr>
            <w:tcW w:w="4380" w:type="dxa"/>
            <w:tcMar>
              <w:left w:w="0" w:type="dxa"/>
              <w:right w:w="0" w:type="dxa"/>
            </w:tcMar>
          </w:tcPr>
          <w:p w:rsidR="00A1374E" w:rsidRDefault="00A1374E" w:rsidP="00A1374E">
            <w:pPr>
              <w:jc w:val="both"/>
              <w:rPr>
                <w:b/>
                <w:sz w:val="20"/>
                <w:szCs w:val="20"/>
              </w:rPr>
            </w:pPr>
            <w:r w:rsidRPr="00A1374E">
              <w:rPr>
                <w:b/>
                <w:sz w:val="20"/>
                <w:szCs w:val="20"/>
              </w:rPr>
              <w:t xml:space="preserve">Jesus Rodriguez Hernandez </w:t>
            </w:r>
          </w:p>
          <w:p w:rsidR="00A1374E" w:rsidRDefault="00A1374E" w:rsidP="00A1374E">
            <w:pPr>
              <w:jc w:val="both"/>
              <w:rPr>
                <w:b/>
                <w:sz w:val="20"/>
                <w:szCs w:val="20"/>
              </w:rPr>
            </w:pPr>
          </w:p>
          <w:p w:rsidR="00A1374E" w:rsidRDefault="00A1374E" w:rsidP="00A1374E">
            <w:pPr>
              <w:jc w:val="both"/>
              <w:rPr>
                <w:b/>
                <w:sz w:val="20"/>
                <w:szCs w:val="20"/>
              </w:rPr>
            </w:pPr>
            <w:r>
              <w:rPr>
                <w:b/>
                <w:sz w:val="20"/>
                <w:szCs w:val="20"/>
              </w:rPr>
              <w:tab/>
            </w:r>
            <w:r w:rsidRPr="00A1374E">
              <w:rPr>
                <w:b/>
                <w:sz w:val="20"/>
                <w:szCs w:val="20"/>
              </w:rPr>
              <w:t xml:space="preserve">v. </w:t>
            </w:r>
            <w:r w:rsidRPr="00A1374E">
              <w:rPr>
                <w:sz w:val="20"/>
                <w:szCs w:val="20"/>
              </w:rPr>
              <w:t>(</w:t>
            </w:r>
            <w:hyperlink r:id="rId76" w:history="1">
              <w:r w:rsidRPr="00A1374E">
                <w:rPr>
                  <w:rStyle w:val="Hyperlink"/>
                  <w:sz w:val="20"/>
                  <w:szCs w:val="20"/>
                </w:rPr>
                <w:t>35677</w:t>
              </w:r>
            </w:hyperlink>
            <w:r w:rsidRPr="00A1374E">
              <w:rPr>
                <w:sz w:val="20"/>
                <w:szCs w:val="20"/>
              </w:rPr>
              <w:t>)</w:t>
            </w:r>
          </w:p>
          <w:p w:rsidR="00A1374E" w:rsidRDefault="00A1374E" w:rsidP="00A1374E">
            <w:pPr>
              <w:jc w:val="both"/>
              <w:rPr>
                <w:b/>
                <w:sz w:val="20"/>
                <w:szCs w:val="20"/>
              </w:rPr>
            </w:pPr>
          </w:p>
          <w:p w:rsidR="00A1374E" w:rsidRPr="00342823" w:rsidRDefault="00A1374E" w:rsidP="00A1374E">
            <w:pPr>
              <w:jc w:val="both"/>
              <w:rPr>
                <w:b/>
                <w:sz w:val="20"/>
                <w:szCs w:val="20"/>
              </w:rPr>
            </w:pPr>
            <w:r w:rsidRPr="00342823">
              <w:rPr>
                <w:b/>
                <w:sz w:val="20"/>
                <w:szCs w:val="20"/>
              </w:rPr>
              <w:t>Minister of Public Safety and Emergency Preparedness</w:t>
            </w:r>
            <w:r w:rsidRPr="00342823">
              <w:rPr>
                <w:b/>
                <w:i/>
                <w:iCs/>
                <w:sz w:val="20"/>
                <w:szCs w:val="20"/>
              </w:rPr>
              <w:t xml:space="preserve"> </w:t>
            </w:r>
            <w:r w:rsidRPr="00342823">
              <w:rPr>
                <w:b/>
                <w:sz w:val="20"/>
                <w:szCs w:val="20"/>
              </w:rPr>
              <w:t xml:space="preserve">(F.C.) (Civil) (By Leave) </w:t>
            </w:r>
          </w:p>
          <w:p w:rsidR="00A1374E" w:rsidRDefault="00A1374E" w:rsidP="00A1374E">
            <w:pPr>
              <w:jc w:val="both"/>
              <w:rPr>
                <w:sz w:val="20"/>
                <w:szCs w:val="20"/>
              </w:rPr>
            </w:pPr>
          </w:p>
          <w:p w:rsidR="00342823" w:rsidRPr="00342823" w:rsidRDefault="00342823" w:rsidP="00A1374E">
            <w:pPr>
              <w:jc w:val="both"/>
              <w:rPr>
                <w:b/>
                <w:sz w:val="20"/>
                <w:szCs w:val="20"/>
              </w:rPr>
            </w:pPr>
            <w:r w:rsidRPr="00342823">
              <w:rPr>
                <w:b/>
                <w:sz w:val="20"/>
                <w:szCs w:val="20"/>
              </w:rPr>
              <w:t xml:space="preserve">- and between - </w:t>
            </w:r>
          </w:p>
          <w:p w:rsidR="00342823" w:rsidRDefault="00342823" w:rsidP="00A1374E">
            <w:pPr>
              <w:jc w:val="both"/>
              <w:rPr>
                <w:b/>
                <w:sz w:val="20"/>
                <w:szCs w:val="20"/>
              </w:rPr>
            </w:pPr>
          </w:p>
          <w:p w:rsidR="00A1374E" w:rsidRDefault="00A1374E" w:rsidP="00A1374E">
            <w:pPr>
              <w:jc w:val="both"/>
              <w:rPr>
                <w:b/>
                <w:sz w:val="20"/>
                <w:szCs w:val="20"/>
              </w:rPr>
            </w:pPr>
            <w:r w:rsidRPr="00A1374E">
              <w:rPr>
                <w:b/>
                <w:sz w:val="20"/>
                <w:szCs w:val="20"/>
              </w:rPr>
              <w:t xml:space="preserve">B306 </w:t>
            </w:r>
          </w:p>
          <w:p w:rsidR="00A1374E" w:rsidRDefault="00A1374E" w:rsidP="00A1374E">
            <w:pPr>
              <w:jc w:val="both"/>
              <w:rPr>
                <w:b/>
                <w:sz w:val="20"/>
                <w:szCs w:val="20"/>
              </w:rPr>
            </w:pPr>
          </w:p>
          <w:p w:rsidR="00A1374E" w:rsidRDefault="00A1374E" w:rsidP="00A1374E">
            <w:pPr>
              <w:jc w:val="both"/>
              <w:rPr>
                <w:b/>
                <w:sz w:val="20"/>
                <w:szCs w:val="20"/>
              </w:rPr>
            </w:pPr>
            <w:r>
              <w:rPr>
                <w:b/>
                <w:sz w:val="20"/>
                <w:szCs w:val="20"/>
              </w:rPr>
              <w:tab/>
            </w:r>
            <w:r w:rsidRPr="00A1374E">
              <w:rPr>
                <w:b/>
                <w:sz w:val="20"/>
                <w:szCs w:val="20"/>
              </w:rPr>
              <w:t xml:space="preserve">v. </w:t>
            </w:r>
            <w:r w:rsidRPr="00A1374E">
              <w:rPr>
                <w:sz w:val="20"/>
                <w:szCs w:val="20"/>
              </w:rPr>
              <w:t>(</w:t>
            </w:r>
            <w:hyperlink r:id="rId77" w:history="1">
              <w:r w:rsidRPr="00A1374E">
                <w:rPr>
                  <w:rStyle w:val="Hyperlink"/>
                  <w:sz w:val="20"/>
                  <w:szCs w:val="20"/>
                </w:rPr>
                <w:t>35685</w:t>
              </w:r>
            </w:hyperlink>
            <w:r w:rsidRPr="00A1374E">
              <w:rPr>
                <w:sz w:val="20"/>
                <w:szCs w:val="20"/>
              </w:rPr>
              <w:t>)</w:t>
            </w:r>
          </w:p>
          <w:p w:rsidR="00A1374E" w:rsidRDefault="00A1374E" w:rsidP="00A1374E">
            <w:pPr>
              <w:jc w:val="both"/>
              <w:rPr>
                <w:b/>
                <w:sz w:val="20"/>
                <w:szCs w:val="20"/>
              </w:rPr>
            </w:pPr>
          </w:p>
          <w:p w:rsidR="00A1374E" w:rsidRPr="00342823" w:rsidRDefault="00A1374E" w:rsidP="00A1374E">
            <w:pPr>
              <w:jc w:val="both"/>
              <w:rPr>
                <w:b/>
                <w:sz w:val="20"/>
                <w:szCs w:val="20"/>
              </w:rPr>
            </w:pPr>
            <w:r w:rsidRPr="00342823">
              <w:rPr>
                <w:b/>
                <w:sz w:val="20"/>
                <w:szCs w:val="20"/>
              </w:rPr>
              <w:t xml:space="preserve">Minister of Public Safety and Emergency Preparedness (F.C.) (Civil) (By Leave) </w:t>
            </w:r>
          </w:p>
          <w:p w:rsidR="00A1374E" w:rsidRDefault="00A1374E" w:rsidP="00A1374E">
            <w:pPr>
              <w:jc w:val="both"/>
              <w:rPr>
                <w:sz w:val="20"/>
                <w:szCs w:val="20"/>
              </w:rPr>
            </w:pPr>
          </w:p>
          <w:p w:rsidR="00342823" w:rsidRPr="00342823" w:rsidRDefault="00342823" w:rsidP="00342823">
            <w:pPr>
              <w:jc w:val="both"/>
              <w:rPr>
                <w:b/>
                <w:sz w:val="20"/>
                <w:szCs w:val="20"/>
              </w:rPr>
            </w:pPr>
            <w:r w:rsidRPr="00342823">
              <w:rPr>
                <w:b/>
                <w:sz w:val="20"/>
                <w:szCs w:val="20"/>
              </w:rPr>
              <w:t xml:space="preserve">- and between - </w:t>
            </w:r>
          </w:p>
          <w:p w:rsidR="00342823" w:rsidRPr="00A1374E" w:rsidRDefault="00342823" w:rsidP="00A1374E">
            <w:pPr>
              <w:jc w:val="both"/>
              <w:rPr>
                <w:sz w:val="20"/>
                <w:szCs w:val="20"/>
              </w:rPr>
            </w:pPr>
          </w:p>
          <w:p w:rsidR="00342823" w:rsidRDefault="00A1374E" w:rsidP="00A1374E">
            <w:pPr>
              <w:jc w:val="both"/>
              <w:rPr>
                <w:b/>
                <w:sz w:val="20"/>
                <w:szCs w:val="20"/>
              </w:rPr>
            </w:pPr>
            <w:r w:rsidRPr="00A1374E">
              <w:rPr>
                <w:b/>
                <w:sz w:val="20"/>
                <w:szCs w:val="20"/>
              </w:rPr>
              <w:t xml:space="preserve">J.P. et al. </w:t>
            </w:r>
          </w:p>
          <w:p w:rsidR="00342823" w:rsidRDefault="00342823" w:rsidP="00A1374E">
            <w:pPr>
              <w:jc w:val="both"/>
              <w:rPr>
                <w:b/>
                <w:sz w:val="20"/>
                <w:szCs w:val="20"/>
              </w:rPr>
            </w:pPr>
          </w:p>
          <w:p w:rsidR="00342823" w:rsidRDefault="00342823" w:rsidP="00A1374E">
            <w:pPr>
              <w:jc w:val="both"/>
              <w:rPr>
                <w:b/>
                <w:sz w:val="20"/>
                <w:szCs w:val="20"/>
              </w:rPr>
            </w:pPr>
            <w:r>
              <w:rPr>
                <w:b/>
                <w:sz w:val="20"/>
                <w:szCs w:val="20"/>
              </w:rPr>
              <w:tab/>
            </w:r>
            <w:r w:rsidR="00A1374E" w:rsidRPr="00A1374E">
              <w:rPr>
                <w:b/>
                <w:sz w:val="20"/>
                <w:szCs w:val="20"/>
              </w:rPr>
              <w:t xml:space="preserve">v. </w:t>
            </w:r>
            <w:r w:rsidRPr="00A1374E">
              <w:rPr>
                <w:sz w:val="20"/>
                <w:szCs w:val="20"/>
              </w:rPr>
              <w:t>(</w:t>
            </w:r>
            <w:hyperlink r:id="rId78" w:history="1">
              <w:r w:rsidRPr="00A1374E">
                <w:rPr>
                  <w:rStyle w:val="Hyperlink"/>
                  <w:sz w:val="20"/>
                  <w:szCs w:val="20"/>
                </w:rPr>
                <w:t>35688</w:t>
              </w:r>
            </w:hyperlink>
            <w:r w:rsidRPr="00A1374E">
              <w:rPr>
                <w:sz w:val="20"/>
                <w:szCs w:val="20"/>
              </w:rPr>
              <w:t>)</w:t>
            </w:r>
          </w:p>
          <w:p w:rsidR="00342823" w:rsidRDefault="00342823" w:rsidP="00A1374E">
            <w:pPr>
              <w:jc w:val="both"/>
              <w:rPr>
                <w:b/>
                <w:sz w:val="20"/>
                <w:szCs w:val="20"/>
              </w:rPr>
            </w:pPr>
          </w:p>
          <w:p w:rsidR="00A1374E" w:rsidRPr="00342823" w:rsidRDefault="00A1374E" w:rsidP="00A1374E">
            <w:pPr>
              <w:jc w:val="both"/>
              <w:rPr>
                <w:b/>
                <w:sz w:val="20"/>
                <w:szCs w:val="20"/>
              </w:rPr>
            </w:pPr>
            <w:r w:rsidRPr="00342823">
              <w:rPr>
                <w:b/>
                <w:sz w:val="20"/>
                <w:szCs w:val="20"/>
              </w:rPr>
              <w:t>Minister of Public Safety and Emergency</w:t>
            </w:r>
            <w:r w:rsidRPr="00342823">
              <w:rPr>
                <w:b/>
                <w:i/>
                <w:iCs/>
                <w:sz w:val="20"/>
                <w:szCs w:val="20"/>
              </w:rPr>
              <w:t xml:space="preserve"> </w:t>
            </w:r>
            <w:r w:rsidRPr="00342823">
              <w:rPr>
                <w:b/>
                <w:sz w:val="20"/>
                <w:szCs w:val="20"/>
              </w:rPr>
              <w:t xml:space="preserve">Preparedness (F.C.) (Civil) (By Leave) </w:t>
            </w:r>
          </w:p>
          <w:p w:rsidR="00A1374E" w:rsidRDefault="00A1374E" w:rsidP="00A1374E">
            <w:pPr>
              <w:jc w:val="both"/>
              <w:rPr>
                <w:sz w:val="20"/>
                <w:szCs w:val="20"/>
              </w:rPr>
            </w:pPr>
          </w:p>
          <w:p w:rsidR="00342823" w:rsidRPr="00342823" w:rsidRDefault="00342823" w:rsidP="00342823">
            <w:pPr>
              <w:jc w:val="both"/>
              <w:rPr>
                <w:b/>
                <w:sz w:val="20"/>
                <w:szCs w:val="20"/>
              </w:rPr>
            </w:pPr>
            <w:r w:rsidRPr="00342823">
              <w:rPr>
                <w:b/>
                <w:sz w:val="20"/>
                <w:szCs w:val="20"/>
              </w:rPr>
              <w:t xml:space="preserve">- and between - </w:t>
            </w:r>
          </w:p>
          <w:p w:rsidR="00342823" w:rsidRPr="00A1374E" w:rsidRDefault="00342823" w:rsidP="00A1374E">
            <w:pPr>
              <w:jc w:val="both"/>
              <w:rPr>
                <w:sz w:val="20"/>
                <w:szCs w:val="20"/>
              </w:rPr>
            </w:pPr>
          </w:p>
          <w:p w:rsidR="00342823" w:rsidRDefault="00A1374E" w:rsidP="00A1374E">
            <w:pPr>
              <w:jc w:val="both"/>
              <w:rPr>
                <w:b/>
                <w:sz w:val="20"/>
                <w:szCs w:val="20"/>
              </w:rPr>
            </w:pPr>
            <w:r w:rsidRPr="00A1374E">
              <w:rPr>
                <w:b/>
                <w:sz w:val="20"/>
                <w:szCs w:val="20"/>
              </w:rPr>
              <w:t xml:space="preserve">B010 </w:t>
            </w:r>
          </w:p>
          <w:p w:rsidR="00342823" w:rsidRDefault="00342823" w:rsidP="00A1374E">
            <w:pPr>
              <w:jc w:val="both"/>
              <w:rPr>
                <w:b/>
                <w:sz w:val="20"/>
                <w:szCs w:val="20"/>
              </w:rPr>
            </w:pPr>
          </w:p>
          <w:p w:rsidR="00342823" w:rsidRDefault="00342823" w:rsidP="00A1374E">
            <w:pPr>
              <w:jc w:val="both"/>
              <w:rPr>
                <w:b/>
                <w:sz w:val="20"/>
                <w:szCs w:val="20"/>
              </w:rPr>
            </w:pPr>
            <w:r>
              <w:rPr>
                <w:b/>
                <w:sz w:val="20"/>
                <w:szCs w:val="20"/>
              </w:rPr>
              <w:lastRenderedPageBreak/>
              <w:tab/>
            </w:r>
            <w:r w:rsidR="00A1374E" w:rsidRPr="00A1374E">
              <w:rPr>
                <w:b/>
                <w:sz w:val="20"/>
                <w:szCs w:val="20"/>
              </w:rPr>
              <w:t xml:space="preserve">v. </w:t>
            </w:r>
            <w:r w:rsidRPr="00A1374E">
              <w:rPr>
                <w:sz w:val="20"/>
                <w:szCs w:val="20"/>
              </w:rPr>
              <w:t>(</w:t>
            </w:r>
            <w:hyperlink r:id="rId79" w:history="1">
              <w:r w:rsidRPr="00A1374E">
                <w:rPr>
                  <w:rStyle w:val="Hyperlink"/>
                  <w:sz w:val="20"/>
                  <w:szCs w:val="20"/>
                </w:rPr>
                <w:t>35388</w:t>
              </w:r>
            </w:hyperlink>
            <w:r w:rsidRPr="00A1374E">
              <w:rPr>
                <w:sz w:val="20"/>
                <w:szCs w:val="20"/>
              </w:rPr>
              <w:t>)</w:t>
            </w:r>
          </w:p>
          <w:p w:rsidR="00342823" w:rsidRDefault="00342823" w:rsidP="00A1374E">
            <w:pPr>
              <w:jc w:val="both"/>
              <w:rPr>
                <w:b/>
                <w:sz w:val="20"/>
                <w:szCs w:val="20"/>
              </w:rPr>
            </w:pPr>
          </w:p>
          <w:p w:rsidR="00F83080" w:rsidRPr="00342823" w:rsidRDefault="00A1374E" w:rsidP="00342823">
            <w:pPr>
              <w:jc w:val="both"/>
              <w:rPr>
                <w:b/>
                <w:sz w:val="20"/>
                <w:szCs w:val="20"/>
              </w:rPr>
            </w:pPr>
            <w:r w:rsidRPr="00342823">
              <w:rPr>
                <w:b/>
                <w:sz w:val="20"/>
                <w:szCs w:val="20"/>
              </w:rPr>
              <w:t>Minister of Citizenship and Immigration</w:t>
            </w:r>
            <w:r w:rsidRPr="00342823">
              <w:rPr>
                <w:b/>
                <w:i/>
                <w:iCs/>
                <w:sz w:val="20"/>
                <w:szCs w:val="20"/>
              </w:rPr>
              <w:t xml:space="preserve"> </w:t>
            </w:r>
            <w:r w:rsidRPr="00342823">
              <w:rPr>
                <w:b/>
                <w:sz w:val="20"/>
                <w:szCs w:val="20"/>
              </w:rPr>
              <w:t xml:space="preserve">(F.C.) (Civil) (By Leave) </w:t>
            </w:r>
          </w:p>
        </w:tc>
        <w:tc>
          <w:tcPr>
            <w:tcW w:w="720" w:type="dxa"/>
            <w:tcMar>
              <w:left w:w="0" w:type="dxa"/>
              <w:right w:w="0" w:type="dxa"/>
            </w:tcMar>
          </w:tcPr>
          <w:p w:rsidR="00F83080" w:rsidRPr="00342823" w:rsidRDefault="00F83080" w:rsidP="00A1374E">
            <w:pPr>
              <w:widowControl w:val="0"/>
              <w:jc w:val="center"/>
              <w:rPr>
                <w:sz w:val="20"/>
                <w:szCs w:val="20"/>
              </w:rPr>
            </w:pPr>
          </w:p>
        </w:tc>
        <w:tc>
          <w:tcPr>
            <w:tcW w:w="4380" w:type="dxa"/>
            <w:tcMar>
              <w:left w:w="0" w:type="dxa"/>
              <w:right w:w="0" w:type="dxa"/>
            </w:tcMar>
          </w:tcPr>
          <w:p w:rsidR="002628D1" w:rsidRPr="008C2FA3" w:rsidRDefault="002628D1" w:rsidP="002628D1">
            <w:pPr>
              <w:jc w:val="both"/>
              <w:rPr>
                <w:sz w:val="20"/>
                <w:szCs w:val="20"/>
              </w:rPr>
            </w:pPr>
            <w:r w:rsidRPr="008C2FA3">
              <w:rPr>
                <w:sz w:val="20"/>
                <w:szCs w:val="20"/>
              </w:rPr>
              <w:t>Ronald Poulton</w:t>
            </w:r>
            <w:r>
              <w:rPr>
                <w:sz w:val="20"/>
                <w:szCs w:val="20"/>
              </w:rPr>
              <w:t xml:space="preserve"> f</w:t>
            </w:r>
            <w:r w:rsidRPr="008C2FA3">
              <w:rPr>
                <w:sz w:val="20"/>
                <w:szCs w:val="20"/>
              </w:rPr>
              <w:t xml:space="preserve">or the </w:t>
            </w:r>
            <w:r>
              <w:rPr>
                <w:sz w:val="20"/>
                <w:szCs w:val="20"/>
              </w:rPr>
              <w:t>a</w:t>
            </w:r>
            <w:r w:rsidRPr="008C2FA3">
              <w:rPr>
                <w:sz w:val="20"/>
                <w:szCs w:val="20"/>
              </w:rPr>
              <w:t>ppellant (35677).</w:t>
            </w:r>
          </w:p>
          <w:p w:rsidR="002628D1" w:rsidRPr="008C2FA3" w:rsidRDefault="002628D1" w:rsidP="002628D1">
            <w:pPr>
              <w:jc w:val="both"/>
              <w:rPr>
                <w:sz w:val="20"/>
                <w:szCs w:val="20"/>
              </w:rPr>
            </w:pPr>
          </w:p>
          <w:p w:rsidR="002628D1" w:rsidRPr="008C2FA3" w:rsidRDefault="002628D1" w:rsidP="002628D1">
            <w:pPr>
              <w:jc w:val="both"/>
              <w:rPr>
                <w:sz w:val="20"/>
                <w:szCs w:val="20"/>
              </w:rPr>
            </w:pPr>
            <w:r w:rsidRPr="008C2FA3">
              <w:rPr>
                <w:sz w:val="20"/>
                <w:szCs w:val="20"/>
              </w:rPr>
              <w:t>Lorne Waldman</w:t>
            </w:r>
            <w:r>
              <w:rPr>
                <w:sz w:val="20"/>
                <w:szCs w:val="20"/>
              </w:rPr>
              <w:t xml:space="preserve">, </w:t>
            </w:r>
            <w:r w:rsidRPr="008C2FA3">
              <w:rPr>
                <w:sz w:val="20"/>
                <w:szCs w:val="20"/>
              </w:rPr>
              <w:t>Tara McElroy</w:t>
            </w:r>
            <w:r>
              <w:rPr>
                <w:sz w:val="20"/>
                <w:szCs w:val="20"/>
              </w:rPr>
              <w:t xml:space="preserve"> and </w:t>
            </w:r>
            <w:r w:rsidRPr="008C2FA3">
              <w:rPr>
                <w:sz w:val="20"/>
                <w:szCs w:val="20"/>
              </w:rPr>
              <w:t>Clarisa Waldman</w:t>
            </w:r>
            <w:r>
              <w:rPr>
                <w:sz w:val="20"/>
                <w:szCs w:val="20"/>
              </w:rPr>
              <w:t xml:space="preserve"> f</w:t>
            </w:r>
            <w:r w:rsidRPr="008C2FA3">
              <w:rPr>
                <w:sz w:val="20"/>
                <w:szCs w:val="20"/>
              </w:rPr>
              <w:t xml:space="preserve">or the </w:t>
            </w:r>
            <w:r>
              <w:rPr>
                <w:sz w:val="20"/>
                <w:szCs w:val="20"/>
              </w:rPr>
              <w:t>a</w:t>
            </w:r>
            <w:r w:rsidRPr="008C2FA3">
              <w:rPr>
                <w:sz w:val="20"/>
                <w:szCs w:val="20"/>
              </w:rPr>
              <w:t>ppellant (35688)</w:t>
            </w:r>
            <w:r>
              <w:rPr>
                <w:sz w:val="20"/>
                <w:szCs w:val="20"/>
              </w:rPr>
              <w:t>.</w:t>
            </w:r>
          </w:p>
          <w:p w:rsidR="002628D1" w:rsidRPr="008C2FA3" w:rsidRDefault="002628D1" w:rsidP="002628D1">
            <w:pPr>
              <w:jc w:val="both"/>
              <w:rPr>
                <w:sz w:val="20"/>
                <w:szCs w:val="20"/>
              </w:rPr>
            </w:pPr>
          </w:p>
          <w:p w:rsidR="002628D1" w:rsidRDefault="002628D1" w:rsidP="002628D1">
            <w:pPr>
              <w:jc w:val="both"/>
              <w:rPr>
                <w:sz w:val="20"/>
                <w:szCs w:val="20"/>
              </w:rPr>
            </w:pPr>
            <w:r w:rsidRPr="008C2FA3">
              <w:rPr>
                <w:sz w:val="20"/>
                <w:szCs w:val="20"/>
              </w:rPr>
              <w:t>Raoul Boulakia</w:t>
            </w:r>
            <w:r>
              <w:rPr>
                <w:sz w:val="20"/>
                <w:szCs w:val="20"/>
              </w:rPr>
              <w:t xml:space="preserve"> f</w:t>
            </w:r>
            <w:r w:rsidRPr="008C2FA3">
              <w:rPr>
                <w:sz w:val="20"/>
                <w:szCs w:val="20"/>
              </w:rPr>
              <w:t xml:space="preserve">or the </w:t>
            </w:r>
            <w:r>
              <w:rPr>
                <w:sz w:val="20"/>
                <w:szCs w:val="20"/>
              </w:rPr>
              <w:t>a</w:t>
            </w:r>
            <w:r w:rsidRPr="008C2FA3">
              <w:rPr>
                <w:sz w:val="20"/>
                <w:szCs w:val="20"/>
              </w:rPr>
              <w:t>ppellant (35685)</w:t>
            </w:r>
            <w:r>
              <w:rPr>
                <w:sz w:val="20"/>
                <w:szCs w:val="20"/>
              </w:rPr>
              <w:t>.</w:t>
            </w:r>
          </w:p>
          <w:p w:rsidR="002628D1" w:rsidRPr="008C2FA3" w:rsidRDefault="002628D1" w:rsidP="002628D1">
            <w:pPr>
              <w:jc w:val="both"/>
              <w:rPr>
                <w:sz w:val="20"/>
                <w:szCs w:val="20"/>
              </w:rPr>
            </w:pPr>
          </w:p>
          <w:p w:rsidR="002628D1" w:rsidRDefault="002628D1" w:rsidP="002628D1">
            <w:pPr>
              <w:jc w:val="both"/>
              <w:rPr>
                <w:sz w:val="20"/>
                <w:szCs w:val="20"/>
              </w:rPr>
            </w:pPr>
            <w:r w:rsidRPr="008C2FA3">
              <w:rPr>
                <w:sz w:val="20"/>
                <w:szCs w:val="20"/>
              </w:rPr>
              <w:t>Rod H.G. Holloway</w:t>
            </w:r>
            <w:r>
              <w:rPr>
                <w:sz w:val="20"/>
                <w:szCs w:val="20"/>
              </w:rPr>
              <w:t xml:space="preserve"> and </w:t>
            </w:r>
            <w:r w:rsidRPr="008C2FA3">
              <w:rPr>
                <w:sz w:val="20"/>
                <w:szCs w:val="20"/>
              </w:rPr>
              <w:t>Erica Olmstead</w:t>
            </w:r>
            <w:r>
              <w:rPr>
                <w:sz w:val="20"/>
                <w:szCs w:val="20"/>
              </w:rPr>
              <w:t xml:space="preserve"> f</w:t>
            </w:r>
            <w:r w:rsidRPr="008C2FA3">
              <w:rPr>
                <w:sz w:val="20"/>
                <w:szCs w:val="20"/>
              </w:rPr>
              <w:t xml:space="preserve">or the </w:t>
            </w:r>
            <w:r>
              <w:rPr>
                <w:sz w:val="20"/>
                <w:szCs w:val="20"/>
              </w:rPr>
              <w:t>a</w:t>
            </w:r>
            <w:r w:rsidRPr="008C2FA3">
              <w:rPr>
                <w:sz w:val="20"/>
                <w:szCs w:val="20"/>
              </w:rPr>
              <w:t>ppellant (35388)</w:t>
            </w:r>
            <w:r>
              <w:rPr>
                <w:sz w:val="20"/>
                <w:szCs w:val="20"/>
              </w:rPr>
              <w:t>.</w:t>
            </w:r>
          </w:p>
          <w:p w:rsidR="002628D1" w:rsidRPr="008C2FA3" w:rsidRDefault="002628D1" w:rsidP="002628D1">
            <w:pPr>
              <w:jc w:val="both"/>
              <w:rPr>
                <w:sz w:val="20"/>
                <w:szCs w:val="20"/>
              </w:rPr>
            </w:pPr>
          </w:p>
          <w:p w:rsidR="002628D1" w:rsidRPr="008C2FA3" w:rsidRDefault="002628D1" w:rsidP="002628D1">
            <w:pPr>
              <w:jc w:val="both"/>
              <w:rPr>
                <w:sz w:val="20"/>
                <w:szCs w:val="20"/>
              </w:rPr>
            </w:pPr>
            <w:r w:rsidRPr="008C2FA3">
              <w:rPr>
                <w:sz w:val="20"/>
                <w:szCs w:val="20"/>
              </w:rPr>
              <w:t>John Terry</w:t>
            </w:r>
            <w:r>
              <w:rPr>
                <w:sz w:val="20"/>
                <w:szCs w:val="20"/>
              </w:rPr>
              <w:t xml:space="preserve">, </w:t>
            </w:r>
            <w:r w:rsidRPr="008C2FA3">
              <w:rPr>
                <w:sz w:val="20"/>
                <w:szCs w:val="20"/>
              </w:rPr>
              <w:t>Rana R. Khan</w:t>
            </w:r>
            <w:r>
              <w:rPr>
                <w:sz w:val="20"/>
                <w:szCs w:val="20"/>
              </w:rPr>
              <w:t xml:space="preserve"> and </w:t>
            </w:r>
            <w:r w:rsidRPr="008C2FA3">
              <w:rPr>
                <w:sz w:val="20"/>
                <w:szCs w:val="20"/>
              </w:rPr>
              <w:t>Ryan Lax</w:t>
            </w:r>
            <w:r>
              <w:rPr>
                <w:sz w:val="20"/>
                <w:szCs w:val="20"/>
              </w:rPr>
              <w:t xml:space="preserve"> f</w:t>
            </w:r>
            <w:r w:rsidRPr="008C2FA3">
              <w:rPr>
                <w:sz w:val="20"/>
                <w:szCs w:val="20"/>
              </w:rPr>
              <w:t xml:space="preserve">or the </w:t>
            </w:r>
            <w:r>
              <w:rPr>
                <w:sz w:val="20"/>
                <w:szCs w:val="20"/>
              </w:rPr>
              <w:t>i</w:t>
            </w:r>
            <w:r w:rsidRPr="008C2FA3">
              <w:rPr>
                <w:sz w:val="20"/>
                <w:szCs w:val="20"/>
              </w:rPr>
              <w:t>ntervener</w:t>
            </w:r>
            <w:r>
              <w:rPr>
                <w:sz w:val="20"/>
                <w:szCs w:val="20"/>
              </w:rPr>
              <w:t xml:space="preserve"> </w:t>
            </w:r>
            <w:r w:rsidRPr="008C2FA3">
              <w:rPr>
                <w:sz w:val="20"/>
                <w:szCs w:val="20"/>
              </w:rPr>
              <w:t>United Nations High Commissioner for Refugees</w:t>
            </w:r>
            <w:r>
              <w:rPr>
                <w:sz w:val="20"/>
                <w:szCs w:val="20"/>
              </w:rPr>
              <w:t xml:space="preserve"> </w:t>
            </w:r>
            <w:r w:rsidRPr="008C2FA3">
              <w:rPr>
                <w:sz w:val="20"/>
                <w:szCs w:val="20"/>
              </w:rPr>
              <w:t>(35388-35677-35685-35688)</w:t>
            </w:r>
            <w:r>
              <w:rPr>
                <w:sz w:val="20"/>
                <w:szCs w:val="20"/>
              </w:rPr>
              <w:t>.</w:t>
            </w:r>
          </w:p>
          <w:p w:rsidR="002628D1" w:rsidRPr="008C2FA3" w:rsidRDefault="002628D1" w:rsidP="002628D1">
            <w:pPr>
              <w:jc w:val="both"/>
              <w:rPr>
                <w:sz w:val="20"/>
                <w:szCs w:val="20"/>
              </w:rPr>
            </w:pPr>
          </w:p>
          <w:p w:rsidR="002628D1" w:rsidRPr="008C2FA3" w:rsidRDefault="002628D1" w:rsidP="002628D1">
            <w:pPr>
              <w:jc w:val="both"/>
              <w:rPr>
                <w:sz w:val="20"/>
                <w:szCs w:val="20"/>
              </w:rPr>
            </w:pPr>
            <w:r w:rsidRPr="008C2FA3">
              <w:rPr>
                <w:sz w:val="20"/>
                <w:szCs w:val="20"/>
              </w:rPr>
              <w:t>Angus Grant</w:t>
            </w:r>
            <w:r>
              <w:rPr>
                <w:sz w:val="20"/>
                <w:szCs w:val="20"/>
              </w:rPr>
              <w:t xml:space="preserve">, </w:t>
            </w:r>
            <w:r w:rsidRPr="008C2FA3">
              <w:rPr>
                <w:sz w:val="20"/>
                <w:szCs w:val="20"/>
              </w:rPr>
              <w:t>Catherine Bruce</w:t>
            </w:r>
            <w:r>
              <w:rPr>
                <w:sz w:val="20"/>
                <w:szCs w:val="20"/>
              </w:rPr>
              <w:t xml:space="preserve">, </w:t>
            </w:r>
            <w:r w:rsidRPr="008C2FA3">
              <w:rPr>
                <w:sz w:val="20"/>
                <w:szCs w:val="20"/>
              </w:rPr>
              <w:t>Laura Best</w:t>
            </w:r>
            <w:r>
              <w:rPr>
                <w:sz w:val="20"/>
                <w:szCs w:val="20"/>
              </w:rPr>
              <w:t xml:space="preserve"> and </w:t>
            </w:r>
            <w:r w:rsidRPr="008C2FA3">
              <w:rPr>
                <w:sz w:val="20"/>
                <w:szCs w:val="20"/>
              </w:rPr>
              <w:t>Fadi Yachoua</w:t>
            </w:r>
            <w:r>
              <w:rPr>
                <w:sz w:val="20"/>
                <w:szCs w:val="20"/>
              </w:rPr>
              <w:t xml:space="preserve"> f</w:t>
            </w:r>
            <w:r w:rsidRPr="008C2FA3">
              <w:rPr>
                <w:sz w:val="20"/>
                <w:szCs w:val="20"/>
              </w:rPr>
              <w:t xml:space="preserve">or the </w:t>
            </w:r>
            <w:r>
              <w:rPr>
                <w:sz w:val="20"/>
                <w:szCs w:val="20"/>
              </w:rPr>
              <w:t>i</w:t>
            </w:r>
            <w:r w:rsidRPr="008C2FA3">
              <w:rPr>
                <w:sz w:val="20"/>
                <w:szCs w:val="20"/>
              </w:rPr>
              <w:t>ntervener</w:t>
            </w:r>
            <w:r>
              <w:rPr>
                <w:sz w:val="20"/>
                <w:szCs w:val="20"/>
              </w:rPr>
              <w:t xml:space="preserve"> </w:t>
            </w:r>
            <w:r w:rsidRPr="008C2FA3">
              <w:rPr>
                <w:sz w:val="20"/>
                <w:szCs w:val="20"/>
              </w:rPr>
              <w:t>Canadian Council for Refugees</w:t>
            </w:r>
            <w:r>
              <w:rPr>
                <w:sz w:val="20"/>
                <w:szCs w:val="20"/>
              </w:rPr>
              <w:t xml:space="preserve"> </w:t>
            </w:r>
            <w:r w:rsidRPr="008C2FA3">
              <w:rPr>
                <w:sz w:val="20"/>
                <w:szCs w:val="20"/>
              </w:rPr>
              <w:t>(35388-35677-35685-35688)</w:t>
            </w:r>
            <w:r>
              <w:rPr>
                <w:sz w:val="20"/>
                <w:szCs w:val="20"/>
              </w:rPr>
              <w:t>.</w:t>
            </w:r>
          </w:p>
          <w:p w:rsidR="002628D1" w:rsidRPr="008C2FA3" w:rsidRDefault="002628D1" w:rsidP="002628D1">
            <w:pPr>
              <w:jc w:val="both"/>
              <w:rPr>
                <w:sz w:val="20"/>
                <w:szCs w:val="20"/>
              </w:rPr>
            </w:pPr>
          </w:p>
          <w:p w:rsidR="002628D1" w:rsidRDefault="002628D1" w:rsidP="002628D1">
            <w:pPr>
              <w:jc w:val="both"/>
              <w:rPr>
                <w:sz w:val="20"/>
                <w:szCs w:val="20"/>
              </w:rPr>
            </w:pPr>
            <w:r w:rsidRPr="008C2FA3">
              <w:rPr>
                <w:sz w:val="20"/>
                <w:szCs w:val="20"/>
              </w:rPr>
              <w:t>Chantal Tie</w:t>
            </w:r>
            <w:r>
              <w:rPr>
                <w:sz w:val="20"/>
                <w:szCs w:val="20"/>
              </w:rPr>
              <w:t xml:space="preserve">, </w:t>
            </w:r>
            <w:r w:rsidRPr="008C2FA3">
              <w:rPr>
                <w:sz w:val="20"/>
                <w:szCs w:val="20"/>
              </w:rPr>
              <w:t>Laila Demirdache</w:t>
            </w:r>
            <w:r>
              <w:rPr>
                <w:sz w:val="20"/>
                <w:szCs w:val="20"/>
              </w:rPr>
              <w:t xml:space="preserve"> and </w:t>
            </w:r>
            <w:r w:rsidRPr="008C2FA3">
              <w:rPr>
                <w:sz w:val="20"/>
                <w:szCs w:val="20"/>
              </w:rPr>
              <w:t>Michael Bossin</w:t>
            </w:r>
            <w:r>
              <w:rPr>
                <w:sz w:val="20"/>
                <w:szCs w:val="20"/>
              </w:rPr>
              <w:t xml:space="preserve"> f</w:t>
            </w:r>
            <w:r w:rsidRPr="008C2FA3">
              <w:rPr>
                <w:sz w:val="20"/>
                <w:szCs w:val="20"/>
              </w:rPr>
              <w:t xml:space="preserve">or the </w:t>
            </w:r>
            <w:r>
              <w:rPr>
                <w:sz w:val="20"/>
                <w:szCs w:val="20"/>
              </w:rPr>
              <w:t>i</w:t>
            </w:r>
            <w:r w:rsidRPr="008C2FA3">
              <w:rPr>
                <w:sz w:val="20"/>
                <w:szCs w:val="20"/>
              </w:rPr>
              <w:t>ntervener</w:t>
            </w:r>
            <w:r>
              <w:rPr>
                <w:sz w:val="20"/>
                <w:szCs w:val="20"/>
              </w:rPr>
              <w:t xml:space="preserve"> </w:t>
            </w:r>
            <w:r w:rsidRPr="008C2FA3">
              <w:rPr>
                <w:sz w:val="20"/>
                <w:szCs w:val="20"/>
              </w:rPr>
              <w:t>Amnesty International</w:t>
            </w:r>
            <w:r>
              <w:rPr>
                <w:sz w:val="20"/>
                <w:szCs w:val="20"/>
              </w:rPr>
              <w:t xml:space="preserve"> </w:t>
            </w:r>
            <w:r w:rsidRPr="008C2FA3">
              <w:rPr>
                <w:sz w:val="20"/>
                <w:szCs w:val="20"/>
              </w:rPr>
              <w:t>(Canadian Section, English Branch)</w:t>
            </w:r>
            <w:r>
              <w:rPr>
                <w:sz w:val="20"/>
                <w:szCs w:val="20"/>
              </w:rPr>
              <w:t xml:space="preserve"> </w:t>
            </w:r>
            <w:r w:rsidRPr="008C2FA3">
              <w:rPr>
                <w:sz w:val="20"/>
                <w:szCs w:val="20"/>
              </w:rPr>
              <w:t>(35388-35677-35685-35688-35958)</w:t>
            </w:r>
            <w:r>
              <w:rPr>
                <w:sz w:val="20"/>
                <w:szCs w:val="20"/>
              </w:rPr>
              <w:t>.</w:t>
            </w:r>
          </w:p>
          <w:p w:rsidR="002628D1" w:rsidRPr="008C2FA3" w:rsidRDefault="002628D1" w:rsidP="002628D1">
            <w:pPr>
              <w:jc w:val="both"/>
              <w:rPr>
                <w:sz w:val="20"/>
                <w:szCs w:val="20"/>
              </w:rPr>
            </w:pPr>
          </w:p>
          <w:p w:rsidR="002628D1" w:rsidRDefault="002628D1" w:rsidP="002628D1">
            <w:pPr>
              <w:jc w:val="both"/>
              <w:rPr>
                <w:sz w:val="20"/>
                <w:szCs w:val="20"/>
              </w:rPr>
            </w:pPr>
            <w:r w:rsidRPr="008C2FA3">
              <w:rPr>
                <w:sz w:val="20"/>
                <w:szCs w:val="20"/>
              </w:rPr>
              <w:t>Andrew I. Nathanson</w:t>
            </w:r>
            <w:r>
              <w:rPr>
                <w:sz w:val="20"/>
                <w:szCs w:val="20"/>
              </w:rPr>
              <w:t xml:space="preserve"> and </w:t>
            </w:r>
            <w:r w:rsidRPr="008C2FA3">
              <w:rPr>
                <w:sz w:val="20"/>
                <w:szCs w:val="20"/>
              </w:rPr>
              <w:t>Gavin Cameron</w:t>
            </w:r>
            <w:r>
              <w:rPr>
                <w:sz w:val="20"/>
                <w:szCs w:val="20"/>
              </w:rPr>
              <w:t xml:space="preserve"> f</w:t>
            </w:r>
            <w:r w:rsidRPr="008C2FA3">
              <w:rPr>
                <w:sz w:val="20"/>
                <w:szCs w:val="20"/>
              </w:rPr>
              <w:t xml:space="preserve">or the </w:t>
            </w:r>
            <w:r>
              <w:rPr>
                <w:sz w:val="20"/>
                <w:szCs w:val="20"/>
              </w:rPr>
              <w:t>i</w:t>
            </w:r>
            <w:r w:rsidRPr="008C2FA3">
              <w:rPr>
                <w:sz w:val="20"/>
                <w:szCs w:val="20"/>
              </w:rPr>
              <w:t>ntervener</w:t>
            </w:r>
            <w:r>
              <w:rPr>
                <w:sz w:val="20"/>
                <w:szCs w:val="20"/>
              </w:rPr>
              <w:t xml:space="preserve"> </w:t>
            </w:r>
            <w:r w:rsidRPr="008C2FA3">
              <w:rPr>
                <w:sz w:val="20"/>
                <w:szCs w:val="20"/>
              </w:rPr>
              <w:t>Canadian Civil Liberties Association</w:t>
            </w:r>
            <w:r>
              <w:rPr>
                <w:sz w:val="20"/>
                <w:szCs w:val="20"/>
              </w:rPr>
              <w:t xml:space="preserve"> </w:t>
            </w:r>
            <w:r w:rsidRPr="008C2FA3">
              <w:rPr>
                <w:sz w:val="20"/>
                <w:szCs w:val="20"/>
              </w:rPr>
              <w:t>(35677-35685-35688-35958)</w:t>
            </w:r>
            <w:r>
              <w:rPr>
                <w:sz w:val="20"/>
                <w:szCs w:val="20"/>
              </w:rPr>
              <w:t>.</w:t>
            </w:r>
          </w:p>
          <w:p w:rsidR="002628D1" w:rsidRPr="008C2FA3" w:rsidRDefault="002628D1" w:rsidP="002628D1">
            <w:pPr>
              <w:jc w:val="both"/>
              <w:rPr>
                <w:sz w:val="20"/>
                <w:szCs w:val="20"/>
              </w:rPr>
            </w:pPr>
          </w:p>
          <w:p w:rsidR="002628D1" w:rsidRPr="008C2FA3" w:rsidRDefault="002628D1" w:rsidP="002628D1">
            <w:pPr>
              <w:jc w:val="both"/>
              <w:rPr>
                <w:sz w:val="20"/>
                <w:szCs w:val="20"/>
              </w:rPr>
            </w:pPr>
            <w:r w:rsidRPr="008C2FA3">
              <w:rPr>
                <w:sz w:val="20"/>
                <w:szCs w:val="20"/>
              </w:rPr>
              <w:t>Barbara Jackman</w:t>
            </w:r>
            <w:r>
              <w:rPr>
                <w:sz w:val="20"/>
                <w:szCs w:val="20"/>
              </w:rPr>
              <w:t xml:space="preserve"> and </w:t>
            </w:r>
            <w:r w:rsidRPr="008C2FA3">
              <w:rPr>
                <w:sz w:val="20"/>
                <w:szCs w:val="20"/>
              </w:rPr>
              <w:t>Audrey Macklin</w:t>
            </w:r>
            <w:r>
              <w:rPr>
                <w:sz w:val="20"/>
                <w:szCs w:val="20"/>
              </w:rPr>
              <w:t xml:space="preserve"> f</w:t>
            </w:r>
            <w:r w:rsidRPr="008C2FA3">
              <w:rPr>
                <w:sz w:val="20"/>
                <w:szCs w:val="20"/>
              </w:rPr>
              <w:t xml:space="preserve">or the </w:t>
            </w:r>
            <w:r>
              <w:rPr>
                <w:sz w:val="20"/>
                <w:szCs w:val="20"/>
              </w:rPr>
              <w:t>i</w:t>
            </w:r>
            <w:r w:rsidRPr="008C2FA3">
              <w:rPr>
                <w:sz w:val="20"/>
                <w:szCs w:val="20"/>
              </w:rPr>
              <w:t>ntervener</w:t>
            </w:r>
            <w:r>
              <w:rPr>
                <w:sz w:val="20"/>
                <w:szCs w:val="20"/>
              </w:rPr>
              <w:t xml:space="preserve"> </w:t>
            </w:r>
            <w:r w:rsidRPr="008C2FA3">
              <w:rPr>
                <w:sz w:val="20"/>
                <w:szCs w:val="20"/>
              </w:rPr>
              <w:t xml:space="preserve">David Asper Centre for Constitutional </w:t>
            </w:r>
            <w:r w:rsidRPr="008C2FA3">
              <w:rPr>
                <w:sz w:val="20"/>
                <w:szCs w:val="20"/>
              </w:rPr>
              <w:lastRenderedPageBreak/>
              <w:t>Rights</w:t>
            </w:r>
            <w:r>
              <w:rPr>
                <w:sz w:val="20"/>
                <w:szCs w:val="20"/>
              </w:rPr>
              <w:t xml:space="preserve"> </w:t>
            </w:r>
            <w:r w:rsidRPr="008C2FA3">
              <w:rPr>
                <w:sz w:val="20"/>
                <w:szCs w:val="20"/>
              </w:rPr>
              <w:t>(35388–35677-35685-35688)</w:t>
            </w:r>
            <w:r>
              <w:rPr>
                <w:sz w:val="20"/>
                <w:szCs w:val="20"/>
              </w:rPr>
              <w:t>.</w:t>
            </w:r>
          </w:p>
          <w:p w:rsidR="002628D1" w:rsidRPr="008C2FA3" w:rsidRDefault="002628D1" w:rsidP="002628D1">
            <w:pPr>
              <w:jc w:val="both"/>
              <w:rPr>
                <w:sz w:val="20"/>
                <w:szCs w:val="20"/>
              </w:rPr>
            </w:pPr>
          </w:p>
          <w:p w:rsidR="002628D1" w:rsidRPr="008C2FA3" w:rsidRDefault="002628D1" w:rsidP="002628D1">
            <w:pPr>
              <w:jc w:val="both"/>
              <w:rPr>
                <w:sz w:val="20"/>
                <w:szCs w:val="20"/>
              </w:rPr>
            </w:pPr>
            <w:r w:rsidRPr="008C2FA3">
              <w:rPr>
                <w:sz w:val="20"/>
                <w:szCs w:val="20"/>
              </w:rPr>
              <w:t>Jennifer Bond</w:t>
            </w:r>
            <w:r>
              <w:rPr>
                <w:sz w:val="20"/>
                <w:szCs w:val="20"/>
              </w:rPr>
              <w:t xml:space="preserve">, </w:t>
            </w:r>
            <w:r w:rsidRPr="008C2FA3">
              <w:rPr>
                <w:sz w:val="20"/>
                <w:szCs w:val="20"/>
              </w:rPr>
              <w:t>Andrew J. Brouwer</w:t>
            </w:r>
            <w:r>
              <w:rPr>
                <w:sz w:val="20"/>
                <w:szCs w:val="20"/>
              </w:rPr>
              <w:t xml:space="preserve"> and </w:t>
            </w:r>
            <w:r w:rsidRPr="008C2FA3">
              <w:rPr>
                <w:sz w:val="20"/>
                <w:szCs w:val="20"/>
              </w:rPr>
              <w:t>Erin Bobkin</w:t>
            </w:r>
            <w:r>
              <w:rPr>
                <w:sz w:val="20"/>
                <w:szCs w:val="20"/>
              </w:rPr>
              <w:t xml:space="preserve"> f</w:t>
            </w:r>
            <w:r w:rsidRPr="008C2FA3">
              <w:rPr>
                <w:sz w:val="20"/>
                <w:szCs w:val="20"/>
              </w:rPr>
              <w:t xml:space="preserve">or the </w:t>
            </w:r>
            <w:r>
              <w:rPr>
                <w:sz w:val="20"/>
                <w:szCs w:val="20"/>
              </w:rPr>
              <w:t>i</w:t>
            </w:r>
            <w:r w:rsidRPr="008C2FA3">
              <w:rPr>
                <w:sz w:val="20"/>
                <w:szCs w:val="20"/>
              </w:rPr>
              <w:t>ntervener</w:t>
            </w:r>
            <w:r>
              <w:rPr>
                <w:sz w:val="20"/>
                <w:szCs w:val="20"/>
              </w:rPr>
              <w:t xml:space="preserve"> </w:t>
            </w:r>
            <w:r w:rsidRPr="008C2FA3">
              <w:rPr>
                <w:sz w:val="20"/>
                <w:szCs w:val="20"/>
              </w:rPr>
              <w:t>Canadian Association of Refugee Lawyers</w:t>
            </w:r>
            <w:r>
              <w:rPr>
                <w:sz w:val="20"/>
                <w:szCs w:val="20"/>
              </w:rPr>
              <w:t xml:space="preserve"> </w:t>
            </w:r>
            <w:r w:rsidRPr="008C2FA3">
              <w:rPr>
                <w:sz w:val="20"/>
                <w:szCs w:val="20"/>
              </w:rPr>
              <w:t>(35388-35677-35685-35688)</w:t>
            </w:r>
            <w:r>
              <w:rPr>
                <w:sz w:val="20"/>
                <w:szCs w:val="20"/>
              </w:rPr>
              <w:t>.</w:t>
            </w:r>
          </w:p>
          <w:p w:rsidR="002628D1" w:rsidRPr="008C2FA3" w:rsidRDefault="002628D1" w:rsidP="002628D1">
            <w:pPr>
              <w:jc w:val="both"/>
              <w:rPr>
                <w:sz w:val="20"/>
                <w:szCs w:val="20"/>
              </w:rPr>
            </w:pPr>
          </w:p>
          <w:p w:rsidR="002628D1" w:rsidRPr="008C2FA3" w:rsidRDefault="002628D1" w:rsidP="002628D1">
            <w:pPr>
              <w:jc w:val="both"/>
              <w:rPr>
                <w:sz w:val="20"/>
                <w:szCs w:val="20"/>
              </w:rPr>
            </w:pPr>
            <w:r w:rsidRPr="008C2FA3">
              <w:rPr>
                <w:sz w:val="20"/>
                <w:szCs w:val="20"/>
              </w:rPr>
              <w:t>Marianne Zoric</w:t>
            </w:r>
            <w:r>
              <w:rPr>
                <w:sz w:val="20"/>
                <w:szCs w:val="20"/>
              </w:rPr>
              <w:t xml:space="preserve"> and </w:t>
            </w:r>
            <w:r w:rsidRPr="008C2FA3">
              <w:rPr>
                <w:sz w:val="20"/>
                <w:szCs w:val="20"/>
              </w:rPr>
              <w:t>François Joyal</w:t>
            </w:r>
            <w:r>
              <w:rPr>
                <w:sz w:val="20"/>
                <w:szCs w:val="20"/>
              </w:rPr>
              <w:t xml:space="preserve"> f</w:t>
            </w:r>
            <w:r w:rsidRPr="008C2FA3">
              <w:rPr>
                <w:sz w:val="20"/>
                <w:szCs w:val="20"/>
              </w:rPr>
              <w:t xml:space="preserve">or the </w:t>
            </w:r>
            <w:r>
              <w:rPr>
                <w:sz w:val="20"/>
                <w:szCs w:val="20"/>
              </w:rPr>
              <w:t>r</w:t>
            </w:r>
            <w:r w:rsidRPr="008C2FA3">
              <w:rPr>
                <w:sz w:val="20"/>
                <w:szCs w:val="20"/>
              </w:rPr>
              <w:t>espondents</w:t>
            </w:r>
            <w:r>
              <w:rPr>
                <w:sz w:val="20"/>
                <w:szCs w:val="20"/>
              </w:rPr>
              <w:t xml:space="preserve"> </w:t>
            </w:r>
            <w:r w:rsidRPr="008C2FA3">
              <w:rPr>
                <w:sz w:val="20"/>
                <w:szCs w:val="20"/>
              </w:rPr>
              <w:t>(35388–35677-35685–35688)</w:t>
            </w:r>
            <w:r>
              <w:rPr>
                <w:sz w:val="20"/>
                <w:szCs w:val="20"/>
              </w:rPr>
              <w:t>.</w:t>
            </w:r>
          </w:p>
          <w:p w:rsidR="002628D1" w:rsidRPr="008C2FA3" w:rsidRDefault="002628D1" w:rsidP="002628D1">
            <w:pPr>
              <w:jc w:val="both"/>
              <w:rPr>
                <w:sz w:val="20"/>
                <w:szCs w:val="20"/>
              </w:rPr>
            </w:pPr>
          </w:p>
          <w:p w:rsidR="00F83080" w:rsidRPr="00342823" w:rsidRDefault="002628D1" w:rsidP="002628D1">
            <w:pPr>
              <w:widowControl w:val="0"/>
              <w:jc w:val="both"/>
              <w:rPr>
                <w:sz w:val="20"/>
                <w:szCs w:val="20"/>
              </w:rPr>
            </w:pPr>
            <w:r w:rsidRPr="008C2FA3">
              <w:rPr>
                <w:sz w:val="20"/>
                <w:szCs w:val="20"/>
              </w:rPr>
              <w:t>Hart Schwartz</w:t>
            </w:r>
            <w:r>
              <w:rPr>
                <w:sz w:val="20"/>
                <w:szCs w:val="20"/>
              </w:rPr>
              <w:t xml:space="preserve"> and </w:t>
            </w:r>
            <w:r w:rsidRPr="008C2FA3">
              <w:rPr>
                <w:sz w:val="20"/>
                <w:szCs w:val="20"/>
              </w:rPr>
              <w:t>Padraic Ryan</w:t>
            </w:r>
            <w:r>
              <w:rPr>
                <w:sz w:val="20"/>
                <w:szCs w:val="20"/>
              </w:rPr>
              <w:t xml:space="preserve"> f</w:t>
            </w:r>
            <w:r w:rsidRPr="008C2FA3">
              <w:rPr>
                <w:sz w:val="20"/>
                <w:szCs w:val="20"/>
              </w:rPr>
              <w:t xml:space="preserve">or the </w:t>
            </w:r>
            <w:r>
              <w:rPr>
                <w:sz w:val="20"/>
                <w:szCs w:val="20"/>
              </w:rPr>
              <w:t>i</w:t>
            </w:r>
            <w:r w:rsidRPr="008C2FA3">
              <w:rPr>
                <w:sz w:val="20"/>
                <w:szCs w:val="20"/>
              </w:rPr>
              <w:t>ntervener</w:t>
            </w:r>
            <w:r>
              <w:rPr>
                <w:sz w:val="20"/>
                <w:szCs w:val="20"/>
              </w:rPr>
              <w:t xml:space="preserve"> </w:t>
            </w:r>
            <w:r w:rsidRPr="008C2FA3">
              <w:rPr>
                <w:sz w:val="20"/>
                <w:szCs w:val="20"/>
              </w:rPr>
              <w:t>Attorney General of Ontario</w:t>
            </w:r>
            <w:r>
              <w:rPr>
                <w:sz w:val="20"/>
                <w:szCs w:val="20"/>
              </w:rPr>
              <w:t xml:space="preserve"> </w:t>
            </w:r>
            <w:r w:rsidRPr="008C2FA3">
              <w:rPr>
                <w:sz w:val="20"/>
                <w:szCs w:val="20"/>
              </w:rPr>
              <w:t>(35388-35677-35685-35688)</w:t>
            </w:r>
            <w:r>
              <w:rPr>
                <w:sz w:val="20"/>
                <w:szCs w:val="20"/>
              </w:rPr>
              <w:t>.</w:t>
            </w:r>
          </w:p>
        </w:tc>
      </w:tr>
    </w:tbl>
    <w:p w:rsidR="00F83080" w:rsidRPr="00342823" w:rsidRDefault="00F83080" w:rsidP="00F83080">
      <w:pPr>
        <w:widowControl w:val="0"/>
        <w:rPr>
          <w:sz w:val="20"/>
          <w:szCs w:val="20"/>
        </w:rPr>
      </w:pPr>
    </w:p>
    <w:p w:rsidR="00F83080" w:rsidRPr="0085476B" w:rsidRDefault="00F83080" w:rsidP="00F83080">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F83080" w:rsidRPr="00F83080" w:rsidRDefault="00F83080" w:rsidP="00F83080">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83080" w:rsidRPr="008B79EB" w:rsidTr="00A1374E">
        <w:tc>
          <w:tcPr>
            <w:tcW w:w="4380" w:type="dxa"/>
            <w:tcMar>
              <w:left w:w="0" w:type="dxa"/>
              <w:right w:w="0" w:type="dxa"/>
            </w:tcMar>
          </w:tcPr>
          <w:p w:rsidR="00F83080" w:rsidRPr="00CC4D84" w:rsidRDefault="00F83080" w:rsidP="00A1374E">
            <w:pPr>
              <w:widowControl w:val="0"/>
              <w:jc w:val="both"/>
              <w:rPr>
                <w:b/>
                <w:sz w:val="20"/>
                <w:szCs w:val="20"/>
                <w:u w:val="single"/>
              </w:rPr>
            </w:pPr>
            <w:r w:rsidRPr="00CC4D84">
              <w:rPr>
                <w:b/>
                <w:sz w:val="20"/>
                <w:szCs w:val="20"/>
                <w:u w:val="single"/>
              </w:rPr>
              <w:t>Nature of the case</w:t>
            </w:r>
            <w:r>
              <w:rPr>
                <w:b/>
                <w:sz w:val="20"/>
                <w:szCs w:val="20"/>
                <w:u w:val="single"/>
              </w:rPr>
              <w:t xml:space="preserve"> - 35677</w:t>
            </w:r>
            <w:r w:rsidRPr="00CC4D84">
              <w:rPr>
                <w:b/>
                <w:sz w:val="20"/>
                <w:szCs w:val="20"/>
                <w:u w:val="single"/>
              </w:rPr>
              <w:t>:</w:t>
            </w:r>
          </w:p>
          <w:p w:rsidR="00F83080" w:rsidRPr="001A663B" w:rsidRDefault="00F83080" w:rsidP="00A1374E">
            <w:pPr>
              <w:widowControl w:val="0"/>
              <w:jc w:val="both"/>
              <w:rPr>
                <w:b/>
                <w:sz w:val="20"/>
                <w:szCs w:val="20"/>
              </w:rPr>
            </w:pPr>
          </w:p>
          <w:p w:rsidR="00F83080" w:rsidRPr="00C1697B" w:rsidRDefault="00EA6D69" w:rsidP="00A1374E">
            <w:pPr>
              <w:widowControl w:val="0"/>
              <w:jc w:val="both"/>
              <w:rPr>
                <w:b/>
                <w:sz w:val="20"/>
                <w:szCs w:val="20"/>
              </w:rPr>
            </w:pPr>
            <w:r w:rsidRPr="00E767F1">
              <w:rPr>
                <w:i/>
                <w:sz w:val="20"/>
                <w:szCs w:val="20"/>
              </w:rPr>
              <w:t xml:space="preserve">Charter of Rights and Freedoms </w:t>
            </w:r>
            <w:r w:rsidRPr="00E767F1">
              <w:rPr>
                <w:sz w:val="20"/>
                <w:szCs w:val="20"/>
              </w:rPr>
              <w:t>- Right to life, liberty and security of the person - Immigration law - Inadmissibility and removal - Inadmissibility under s. 37(1)(</w:t>
            </w:r>
            <w:r w:rsidRPr="00E767F1">
              <w:rPr>
                <w:i/>
                <w:sz w:val="20"/>
                <w:szCs w:val="20"/>
              </w:rPr>
              <w:t>b</w:t>
            </w:r>
            <w:r w:rsidRPr="00E767F1">
              <w:rPr>
                <w:sz w:val="20"/>
                <w:szCs w:val="20"/>
              </w:rPr>
              <w:t>) of the</w:t>
            </w:r>
            <w:r w:rsidRPr="00E767F1">
              <w:rPr>
                <w:i/>
                <w:sz w:val="20"/>
                <w:szCs w:val="20"/>
              </w:rPr>
              <w:t xml:space="preserve"> Immigration and Refugee Protection Act</w:t>
            </w:r>
            <w:r w:rsidRPr="00E767F1">
              <w:rPr>
                <w:sz w:val="20"/>
                <w:szCs w:val="20"/>
              </w:rPr>
              <w:t>, S.C. 2001, c. 27 (“</w:t>
            </w:r>
            <w:r w:rsidRPr="00E767F1">
              <w:rPr>
                <w:i/>
                <w:sz w:val="20"/>
                <w:szCs w:val="20"/>
              </w:rPr>
              <w:t>IRPA</w:t>
            </w:r>
            <w:r w:rsidRPr="00E767F1">
              <w:rPr>
                <w:sz w:val="20"/>
                <w:szCs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E767F1">
              <w:rPr>
                <w:i/>
                <w:sz w:val="20"/>
                <w:szCs w:val="20"/>
              </w:rPr>
              <w:t>b</w:t>
            </w:r>
            <w:r w:rsidRPr="00E767F1">
              <w:rPr>
                <w:sz w:val="20"/>
                <w:szCs w:val="20"/>
              </w:rPr>
              <w:t>)? - What is the scope of s. 37(1)(</w:t>
            </w:r>
            <w:r w:rsidRPr="00E767F1">
              <w:rPr>
                <w:i/>
                <w:sz w:val="20"/>
                <w:szCs w:val="20"/>
              </w:rPr>
              <w:t>b</w:t>
            </w:r>
            <w:r w:rsidRPr="00E767F1">
              <w:rPr>
                <w:sz w:val="20"/>
                <w:szCs w:val="20"/>
              </w:rPr>
              <w:t xml:space="preserve">)? - Is s. 7 of the </w:t>
            </w:r>
            <w:r w:rsidRPr="00E767F1">
              <w:rPr>
                <w:i/>
                <w:sz w:val="20"/>
                <w:szCs w:val="20"/>
              </w:rPr>
              <w:t>Charter</w:t>
            </w:r>
            <w:r w:rsidRPr="00E767F1">
              <w:rPr>
                <w:sz w:val="20"/>
                <w:szCs w:val="20"/>
              </w:rPr>
              <w:t xml:space="preserve"> engaged in the inadmissibility process before the Board?</w:t>
            </w:r>
          </w:p>
        </w:tc>
        <w:tc>
          <w:tcPr>
            <w:tcW w:w="720" w:type="dxa"/>
            <w:tcMar>
              <w:left w:w="0" w:type="dxa"/>
              <w:right w:w="0" w:type="dxa"/>
            </w:tcMar>
          </w:tcPr>
          <w:p w:rsidR="00F83080" w:rsidRPr="00C1697B" w:rsidRDefault="00F83080" w:rsidP="00A1374E">
            <w:pPr>
              <w:widowControl w:val="0"/>
              <w:jc w:val="center"/>
              <w:rPr>
                <w:sz w:val="20"/>
                <w:szCs w:val="20"/>
              </w:rPr>
            </w:pPr>
          </w:p>
        </w:tc>
        <w:tc>
          <w:tcPr>
            <w:tcW w:w="4380" w:type="dxa"/>
            <w:tcMar>
              <w:left w:w="0" w:type="dxa"/>
              <w:right w:w="0" w:type="dxa"/>
            </w:tcMar>
          </w:tcPr>
          <w:p w:rsidR="00F83080" w:rsidRPr="00CC4D84" w:rsidRDefault="00F83080" w:rsidP="00A1374E">
            <w:pPr>
              <w:widowControl w:val="0"/>
              <w:jc w:val="both"/>
              <w:rPr>
                <w:b/>
                <w:sz w:val="20"/>
                <w:szCs w:val="20"/>
                <w:u w:val="single"/>
                <w:lang w:val="fr-CA"/>
              </w:rPr>
            </w:pPr>
            <w:r w:rsidRPr="00CC4D84">
              <w:rPr>
                <w:b/>
                <w:sz w:val="20"/>
                <w:szCs w:val="20"/>
                <w:u w:val="single"/>
                <w:lang w:val="fr-CA"/>
              </w:rPr>
              <w:t>Nature de la cause</w:t>
            </w:r>
            <w:r>
              <w:rPr>
                <w:b/>
                <w:sz w:val="20"/>
                <w:szCs w:val="20"/>
                <w:u w:val="single"/>
                <w:lang w:val="fr-CA"/>
              </w:rPr>
              <w:t xml:space="preserve"> - 35677</w:t>
            </w:r>
            <w:r w:rsidRPr="00CC4D84">
              <w:rPr>
                <w:b/>
                <w:sz w:val="20"/>
                <w:szCs w:val="20"/>
                <w:u w:val="single"/>
                <w:lang w:val="fr-CA"/>
              </w:rPr>
              <w:t xml:space="preserve"> :</w:t>
            </w:r>
          </w:p>
          <w:p w:rsidR="00F83080" w:rsidRPr="00C1697B" w:rsidRDefault="00F83080" w:rsidP="00A1374E">
            <w:pPr>
              <w:widowControl w:val="0"/>
              <w:jc w:val="both"/>
              <w:rPr>
                <w:sz w:val="20"/>
                <w:szCs w:val="20"/>
                <w:lang w:val="fr-CA"/>
              </w:rPr>
            </w:pPr>
          </w:p>
          <w:p w:rsidR="00F83080" w:rsidRPr="00C1697B" w:rsidRDefault="00EA6D69" w:rsidP="00A1374E">
            <w:pPr>
              <w:widowControl w:val="0"/>
              <w:jc w:val="both"/>
              <w:rPr>
                <w:sz w:val="20"/>
                <w:szCs w:val="20"/>
                <w:lang w:val="fr-CA"/>
              </w:rPr>
            </w:pPr>
            <w:r w:rsidRPr="00CF3CB4">
              <w:rPr>
                <w:i/>
                <w:sz w:val="20"/>
                <w:lang w:val="fr-CA"/>
              </w:rPr>
              <w:t>Charte des droits et libertés</w:t>
            </w:r>
            <w:r w:rsidRPr="00CF3CB4">
              <w:rPr>
                <w:sz w:val="20"/>
                <w:lang w:val="fr-CA"/>
              </w:rPr>
              <w:t xml:space="preserve"> - Droit à la vie, à la liberté et à la sécurité de la personne - Droit de l’immigration - Interdiction de territoire et renvoi - Interdiction de territoire en application de l’al. 37(1)</w:t>
            </w:r>
            <w:r w:rsidRPr="00CF3CB4">
              <w:rPr>
                <w:i/>
                <w:sz w:val="20"/>
                <w:lang w:val="fr-CA"/>
              </w:rPr>
              <w:t>b)</w:t>
            </w:r>
            <w:r w:rsidRPr="00CF3CB4">
              <w:rPr>
                <w:sz w:val="20"/>
                <w:lang w:val="fr-CA"/>
              </w:rPr>
              <w:t xml:space="preserve"> de la </w:t>
            </w:r>
            <w:r w:rsidRPr="00CF3CB4">
              <w:rPr>
                <w:i/>
                <w:sz w:val="20"/>
                <w:lang w:val="fr-CA"/>
              </w:rPr>
              <w:t>Loi sur l’immigration et la protection des réfugiés</w:t>
            </w:r>
            <w:r w:rsidRPr="00CF3CB4">
              <w:rPr>
                <w:sz w:val="20"/>
                <w:lang w:val="fr-CA"/>
              </w:rPr>
              <w:t>, L.C. 2001, ch. 27 (« LIPR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CF3CB4">
              <w:rPr>
                <w:i/>
                <w:sz w:val="20"/>
                <w:lang w:val="fr-CA"/>
              </w:rPr>
              <w:t>b)</w:t>
            </w:r>
            <w:r w:rsidRPr="00CF3CB4">
              <w:rPr>
                <w:sz w:val="20"/>
                <w:lang w:val="fr-CA"/>
              </w:rPr>
              <w:t>? - Quelle est la portée de l’al. 31(1)</w:t>
            </w:r>
            <w:r w:rsidRPr="00CF3CB4">
              <w:rPr>
                <w:i/>
                <w:sz w:val="20"/>
                <w:lang w:val="fr-CA"/>
              </w:rPr>
              <w:t>b)</w:t>
            </w:r>
            <w:r w:rsidRPr="00CF3CB4">
              <w:rPr>
                <w:sz w:val="20"/>
                <w:lang w:val="fr-CA"/>
              </w:rPr>
              <w:t>? - L’art. 7 de la Charte entre-t-il en jeu dans le processus d’interdiction de territoire devant la Commission?</w:t>
            </w:r>
          </w:p>
        </w:tc>
      </w:tr>
    </w:tbl>
    <w:p w:rsidR="00F83080" w:rsidRDefault="00F83080" w:rsidP="00F83080">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83080" w:rsidRPr="008B79EB" w:rsidTr="00A1374E">
        <w:tc>
          <w:tcPr>
            <w:tcW w:w="4380" w:type="dxa"/>
            <w:tcMar>
              <w:left w:w="0" w:type="dxa"/>
              <w:right w:w="0" w:type="dxa"/>
            </w:tcMar>
          </w:tcPr>
          <w:p w:rsidR="00F83080" w:rsidRPr="00CC4D84" w:rsidRDefault="00F83080" w:rsidP="00A1374E">
            <w:pPr>
              <w:widowControl w:val="0"/>
              <w:jc w:val="both"/>
              <w:rPr>
                <w:b/>
                <w:sz w:val="20"/>
                <w:szCs w:val="20"/>
                <w:u w:val="single"/>
              </w:rPr>
            </w:pPr>
            <w:r w:rsidRPr="00CC4D84">
              <w:rPr>
                <w:b/>
                <w:sz w:val="20"/>
                <w:szCs w:val="20"/>
                <w:u w:val="single"/>
              </w:rPr>
              <w:t>Nature of the case</w:t>
            </w:r>
            <w:r>
              <w:rPr>
                <w:b/>
                <w:sz w:val="20"/>
                <w:szCs w:val="20"/>
                <w:u w:val="single"/>
              </w:rPr>
              <w:t xml:space="preserve"> - 35685</w:t>
            </w:r>
            <w:r w:rsidRPr="00CC4D84">
              <w:rPr>
                <w:b/>
                <w:sz w:val="20"/>
                <w:szCs w:val="20"/>
                <w:u w:val="single"/>
              </w:rPr>
              <w:t>:</w:t>
            </w:r>
          </w:p>
          <w:p w:rsidR="00F83080" w:rsidRPr="001A663B" w:rsidRDefault="00F83080" w:rsidP="00A1374E">
            <w:pPr>
              <w:widowControl w:val="0"/>
              <w:jc w:val="both"/>
              <w:rPr>
                <w:b/>
                <w:sz w:val="20"/>
                <w:szCs w:val="20"/>
              </w:rPr>
            </w:pPr>
          </w:p>
          <w:p w:rsidR="00EA6D69" w:rsidRPr="00F3616B" w:rsidRDefault="00EA6D69" w:rsidP="00EA6D69">
            <w:pPr>
              <w:widowControl w:val="0"/>
              <w:jc w:val="both"/>
              <w:rPr>
                <w:smallCaps/>
                <w:sz w:val="20"/>
                <w:szCs w:val="20"/>
              </w:rPr>
            </w:pPr>
            <w:r>
              <w:rPr>
                <w:smallCaps/>
                <w:sz w:val="20"/>
              </w:rPr>
              <w:t>P</w:t>
            </w:r>
            <w:r w:rsidRPr="00F3616B">
              <w:rPr>
                <w:smallCaps/>
                <w:sz w:val="20"/>
                <w:szCs w:val="20"/>
              </w:rPr>
              <w:t xml:space="preserve">ublication </w:t>
            </w:r>
            <w:r>
              <w:rPr>
                <w:smallCaps/>
                <w:sz w:val="20"/>
              </w:rPr>
              <w:t>B</w:t>
            </w:r>
            <w:r w:rsidRPr="00F3616B">
              <w:rPr>
                <w:smallCaps/>
                <w:sz w:val="20"/>
                <w:szCs w:val="20"/>
              </w:rPr>
              <w:t xml:space="preserve">an in </w:t>
            </w:r>
            <w:r>
              <w:rPr>
                <w:smallCaps/>
                <w:sz w:val="20"/>
              </w:rPr>
              <w:t>C</w:t>
            </w:r>
            <w:r w:rsidRPr="00F3616B">
              <w:rPr>
                <w:smallCaps/>
                <w:sz w:val="20"/>
                <w:szCs w:val="20"/>
              </w:rPr>
              <w:t>ase</w:t>
            </w:r>
          </w:p>
          <w:p w:rsidR="00EA6D69" w:rsidRPr="00F3616B" w:rsidRDefault="00EA6D69" w:rsidP="00EA6D69">
            <w:pPr>
              <w:widowControl w:val="0"/>
              <w:jc w:val="both"/>
              <w:rPr>
                <w:sz w:val="20"/>
                <w:szCs w:val="20"/>
              </w:rPr>
            </w:pPr>
          </w:p>
          <w:p w:rsidR="00F83080" w:rsidRPr="00C1697B" w:rsidRDefault="00EA6D69" w:rsidP="00EA6D69">
            <w:pPr>
              <w:widowControl w:val="0"/>
              <w:jc w:val="both"/>
              <w:rPr>
                <w:b/>
                <w:sz w:val="20"/>
                <w:szCs w:val="20"/>
              </w:rPr>
            </w:pPr>
            <w:r w:rsidRPr="00F3616B">
              <w:rPr>
                <w:i/>
                <w:sz w:val="20"/>
                <w:szCs w:val="20"/>
              </w:rPr>
              <w:t xml:space="preserve">Charter of Rights and Freedoms </w:t>
            </w:r>
            <w:r w:rsidRPr="00F3616B">
              <w:rPr>
                <w:sz w:val="20"/>
                <w:szCs w:val="20"/>
              </w:rPr>
              <w:t>- Right to life, liberty and security of the person - Immigration law - Inadmissibility and removal - Inadmissibility under s. 37(1)(</w:t>
            </w:r>
            <w:r w:rsidRPr="00F3616B">
              <w:rPr>
                <w:i/>
                <w:sz w:val="20"/>
                <w:szCs w:val="20"/>
              </w:rPr>
              <w:t>b</w:t>
            </w:r>
            <w:r w:rsidRPr="00F3616B">
              <w:rPr>
                <w:sz w:val="20"/>
                <w:szCs w:val="20"/>
              </w:rPr>
              <w:t>) of the</w:t>
            </w:r>
            <w:r w:rsidRPr="00F3616B">
              <w:rPr>
                <w:i/>
                <w:sz w:val="20"/>
                <w:szCs w:val="20"/>
              </w:rPr>
              <w:t xml:space="preserve"> Immigration and Refugee Protection Act</w:t>
            </w:r>
            <w:r w:rsidRPr="00F3616B">
              <w:rPr>
                <w:sz w:val="20"/>
                <w:szCs w:val="20"/>
              </w:rPr>
              <w:t>, S.C. 2001, c. 27 (“</w:t>
            </w:r>
            <w:r w:rsidRPr="00F3616B">
              <w:rPr>
                <w:i/>
                <w:sz w:val="20"/>
                <w:szCs w:val="20"/>
              </w:rPr>
              <w:t>IRPA</w:t>
            </w:r>
            <w:r w:rsidRPr="00F3616B">
              <w:rPr>
                <w:sz w:val="20"/>
                <w:szCs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F3616B">
              <w:rPr>
                <w:i/>
                <w:sz w:val="20"/>
                <w:szCs w:val="20"/>
              </w:rPr>
              <w:t>b</w:t>
            </w:r>
            <w:r w:rsidRPr="00F3616B">
              <w:rPr>
                <w:sz w:val="20"/>
                <w:szCs w:val="20"/>
              </w:rPr>
              <w:t>)? - What is the scope of s. 37(1)(</w:t>
            </w:r>
            <w:r w:rsidRPr="00F3616B">
              <w:rPr>
                <w:i/>
                <w:sz w:val="20"/>
                <w:szCs w:val="20"/>
              </w:rPr>
              <w:t>b</w:t>
            </w:r>
            <w:r w:rsidRPr="00F3616B">
              <w:rPr>
                <w:sz w:val="20"/>
                <w:szCs w:val="20"/>
              </w:rPr>
              <w:t xml:space="preserve">)? - Is s. 7 of the </w:t>
            </w:r>
            <w:r w:rsidRPr="00F3616B">
              <w:rPr>
                <w:i/>
                <w:sz w:val="20"/>
                <w:szCs w:val="20"/>
              </w:rPr>
              <w:t>Charter</w:t>
            </w:r>
            <w:r w:rsidRPr="00F3616B">
              <w:rPr>
                <w:sz w:val="20"/>
                <w:szCs w:val="20"/>
              </w:rPr>
              <w:t xml:space="preserve"> engaged in the inadmissibility process before the Board?</w:t>
            </w:r>
          </w:p>
        </w:tc>
        <w:tc>
          <w:tcPr>
            <w:tcW w:w="720" w:type="dxa"/>
            <w:tcMar>
              <w:left w:w="0" w:type="dxa"/>
              <w:right w:w="0" w:type="dxa"/>
            </w:tcMar>
          </w:tcPr>
          <w:p w:rsidR="00F83080" w:rsidRPr="00C1697B" w:rsidRDefault="00F83080" w:rsidP="00A1374E">
            <w:pPr>
              <w:widowControl w:val="0"/>
              <w:jc w:val="center"/>
              <w:rPr>
                <w:sz w:val="20"/>
                <w:szCs w:val="20"/>
              </w:rPr>
            </w:pPr>
          </w:p>
        </w:tc>
        <w:tc>
          <w:tcPr>
            <w:tcW w:w="4380" w:type="dxa"/>
            <w:tcMar>
              <w:left w:w="0" w:type="dxa"/>
              <w:right w:w="0" w:type="dxa"/>
            </w:tcMar>
          </w:tcPr>
          <w:p w:rsidR="00F83080" w:rsidRPr="00CC4D84" w:rsidRDefault="00F83080" w:rsidP="00A1374E">
            <w:pPr>
              <w:widowControl w:val="0"/>
              <w:jc w:val="both"/>
              <w:rPr>
                <w:b/>
                <w:sz w:val="20"/>
                <w:szCs w:val="20"/>
                <w:u w:val="single"/>
                <w:lang w:val="fr-CA"/>
              </w:rPr>
            </w:pPr>
            <w:r w:rsidRPr="00CC4D84">
              <w:rPr>
                <w:b/>
                <w:sz w:val="20"/>
                <w:szCs w:val="20"/>
                <w:u w:val="single"/>
                <w:lang w:val="fr-CA"/>
              </w:rPr>
              <w:t>Nature de la cause</w:t>
            </w:r>
            <w:r>
              <w:rPr>
                <w:b/>
                <w:sz w:val="20"/>
                <w:szCs w:val="20"/>
                <w:u w:val="single"/>
                <w:lang w:val="fr-CA"/>
              </w:rPr>
              <w:t xml:space="preserve"> - 35685</w:t>
            </w:r>
            <w:r w:rsidRPr="00CC4D84">
              <w:rPr>
                <w:b/>
                <w:sz w:val="20"/>
                <w:szCs w:val="20"/>
                <w:u w:val="single"/>
                <w:lang w:val="fr-CA"/>
              </w:rPr>
              <w:t xml:space="preserve"> :</w:t>
            </w:r>
          </w:p>
          <w:p w:rsidR="00F83080" w:rsidRPr="00C1697B" w:rsidRDefault="00F83080" w:rsidP="00A1374E">
            <w:pPr>
              <w:widowControl w:val="0"/>
              <w:jc w:val="both"/>
              <w:rPr>
                <w:sz w:val="20"/>
                <w:szCs w:val="20"/>
                <w:lang w:val="fr-CA"/>
              </w:rPr>
            </w:pPr>
          </w:p>
          <w:p w:rsidR="00EA6D69" w:rsidRPr="007A5A6B" w:rsidRDefault="00EA6D69" w:rsidP="00EA6D69">
            <w:pPr>
              <w:widowControl w:val="0"/>
              <w:jc w:val="both"/>
              <w:rPr>
                <w:smallCaps/>
                <w:sz w:val="20"/>
                <w:szCs w:val="20"/>
                <w:lang w:val="fr-CA"/>
              </w:rPr>
            </w:pPr>
            <w:r>
              <w:rPr>
                <w:smallCaps/>
                <w:sz w:val="20"/>
                <w:szCs w:val="20"/>
                <w:lang w:val="fr-CA"/>
              </w:rPr>
              <w:t>O</w:t>
            </w:r>
            <w:r w:rsidRPr="007A5A6B">
              <w:rPr>
                <w:smallCaps/>
                <w:sz w:val="20"/>
                <w:szCs w:val="20"/>
                <w:lang w:val="fr-CA"/>
              </w:rPr>
              <w:t>rdonnance de non-publication dans le dossier</w:t>
            </w:r>
          </w:p>
          <w:p w:rsidR="00EA6D69" w:rsidRPr="007A5A6B" w:rsidRDefault="00EA6D69" w:rsidP="00EA6D69">
            <w:pPr>
              <w:widowControl w:val="0"/>
              <w:jc w:val="both"/>
              <w:rPr>
                <w:sz w:val="20"/>
                <w:szCs w:val="20"/>
                <w:lang w:val="fr-CA"/>
              </w:rPr>
            </w:pPr>
          </w:p>
          <w:p w:rsidR="00F83080" w:rsidRPr="00C1697B" w:rsidRDefault="00EA6D69" w:rsidP="00EA6D69">
            <w:pPr>
              <w:widowControl w:val="0"/>
              <w:jc w:val="both"/>
              <w:rPr>
                <w:sz w:val="20"/>
                <w:szCs w:val="20"/>
                <w:lang w:val="fr-CA"/>
              </w:rPr>
            </w:pPr>
            <w:r w:rsidRPr="007A5A6B">
              <w:rPr>
                <w:i/>
                <w:sz w:val="20"/>
                <w:szCs w:val="20"/>
                <w:lang w:val="fr-CA"/>
              </w:rPr>
              <w:t>Charte des droits et libertés</w:t>
            </w:r>
            <w:r w:rsidRPr="007A5A6B">
              <w:rPr>
                <w:sz w:val="20"/>
                <w:szCs w:val="20"/>
                <w:lang w:val="fr-CA"/>
              </w:rPr>
              <w:t xml:space="preserve"> - Droit à la vie, à la liberté et à la sécurité de la personne - Droit de l’immigration - Interdiction de territoire et renvoi - Interdiction de territoire en application de l’al. 37(1)</w:t>
            </w:r>
            <w:r w:rsidRPr="007A5A6B">
              <w:rPr>
                <w:i/>
                <w:sz w:val="20"/>
                <w:szCs w:val="20"/>
                <w:lang w:val="fr-CA"/>
              </w:rPr>
              <w:t>b)</w:t>
            </w:r>
            <w:r w:rsidRPr="007A5A6B">
              <w:rPr>
                <w:sz w:val="20"/>
                <w:szCs w:val="20"/>
                <w:lang w:val="fr-CA"/>
              </w:rPr>
              <w:t xml:space="preserve"> de la </w:t>
            </w:r>
            <w:r w:rsidRPr="007A5A6B">
              <w:rPr>
                <w:i/>
                <w:sz w:val="20"/>
                <w:szCs w:val="20"/>
                <w:lang w:val="fr-CA"/>
              </w:rPr>
              <w:t>Loi sur l’immigration et la protection des réfugiés</w:t>
            </w:r>
            <w:r w:rsidRPr="007A5A6B">
              <w:rPr>
                <w:sz w:val="20"/>
                <w:szCs w:val="20"/>
                <w:lang w:val="fr-CA"/>
              </w:rPr>
              <w:t>, L.C. 2001, ch. 27 (« LIPR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7A5A6B">
              <w:rPr>
                <w:i/>
                <w:sz w:val="20"/>
                <w:szCs w:val="20"/>
                <w:lang w:val="fr-CA"/>
              </w:rPr>
              <w:t>b)</w:t>
            </w:r>
            <w:r w:rsidRPr="007A5A6B">
              <w:rPr>
                <w:sz w:val="20"/>
                <w:szCs w:val="20"/>
                <w:lang w:val="fr-CA"/>
              </w:rPr>
              <w:t>? - Quelle est la portée de l’al. 31(1)</w:t>
            </w:r>
            <w:r w:rsidRPr="007A5A6B">
              <w:rPr>
                <w:i/>
                <w:sz w:val="20"/>
                <w:szCs w:val="20"/>
                <w:lang w:val="fr-CA"/>
              </w:rPr>
              <w:t>b)</w:t>
            </w:r>
            <w:r w:rsidRPr="007A5A6B">
              <w:rPr>
                <w:sz w:val="20"/>
                <w:szCs w:val="20"/>
                <w:lang w:val="fr-CA"/>
              </w:rPr>
              <w:t>? - L’art. 7 de la Charte entre-t-il en jeu dans le processus d’interdiction de territoire devant la Commission?</w:t>
            </w:r>
          </w:p>
        </w:tc>
      </w:tr>
    </w:tbl>
    <w:p w:rsidR="00B868F3" w:rsidRDefault="00B868F3" w:rsidP="00F83080">
      <w:pPr>
        <w:widowControl w:val="0"/>
        <w:rPr>
          <w:sz w:val="20"/>
          <w:szCs w:val="20"/>
          <w:lang w:val="fr-CA"/>
        </w:rPr>
      </w:pPr>
    </w:p>
    <w:p w:rsidR="00B868F3" w:rsidRDefault="00B868F3">
      <w:pPr>
        <w:rPr>
          <w:sz w:val="20"/>
          <w:szCs w:val="20"/>
          <w:lang w:val="fr-CA"/>
        </w:rPr>
      </w:pPr>
      <w:r>
        <w:rPr>
          <w:sz w:val="20"/>
          <w:szCs w:val="20"/>
          <w:lang w:val="fr-CA"/>
        </w:rP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83080" w:rsidRPr="008B79EB" w:rsidTr="00A1374E">
        <w:tc>
          <w:tcPr>
            <w:tcW w:w="4380" w:type="dxa"/>
            <w:tcMar>
              <w:left w:w="0" w:type="dxa"/>
              <w:right w:w="0" w:type="dxa"/>
            </w:tcMar>
          </w:tcPr>
          <w:p w:rsidR="00F83080" w:rsidRPr="00CC4D84" w:rsidRDefault="00F83080" w:rsidP="00A1374E">
            <w:pPr>
              <w:widowControl w:val="0"/>
              <w:jc w:val="both"/>
              <w:rPr>
                <w:b/>
                <w:sz w:val="20"/>
                <w:szCs w:val="20"/>
                <w:u w:val="single"/>
              </w:rPr>
            </w:pPr>
            <w:r w:rsidRPr="00CC4D84">
              <w:rPr>
                <w:b/>
                <w:sz w:val="20"/>
                <w:szCs w:val="20"/>
                <w:u w:val="single"/>
              </w:rPr>
              <w:lastRenderedPageBreak/>
              <w:t>Nature of the case</w:t>
            </w:r>
            <w:r>
              <w:rPr>
                <w:b/>
                <w:sz w:val="20"/>
                <w:szCs w:val="20"/>
                <w:u w:val="single"/>
              </w:rPr>
              <w:t xml:space="preserve"> - 35688</w:t>
            </w:r>
            <w:r w:rsidRPr="00CC4D84">
              <w:rPr>
                <w:b/>
                <w:sz w:val="20"/>
                <w:szCs w:val="20"/>
                <w:u w:val="single"/>
              </w:rPr>
              <w:t>:</w:t>
            </w:r>
          </w:p>
          <w:p w:rsidR="00F83080" w:rsidRPr="001A663B" w:rsidRDefault="00F83080" w:rsidP="00A1374E">
            <w:pPr>
              <w:widowControl w:val="0"/>
              <w:jc w:val="both"/>
              <w:rPr>
                <w:b/>
                <w:sz w:val="20"/>
                <w:szCs w:val="20"/>
              </w:rPr>
            </w:pPr>
          </w:p>
          <w:p w:rsidR="00F44713" w:rsidRPr="005F15E5" w:rsidRDefault="00F44713" w:rsidP="00F44713">
            <w:pPr>
              <w:widowControl w:val="0"/>
              <w:jc w:val="both"/>
              <w:rPr>
                <w:smallCaps/>
                <w:sz w:val="20"/>
                <w:szCs w:val="20"/>
              </w:rPr>
            </w:pPr>
            <w:r w:rsidRPr="005F15E5">
              <w:rPr>
                <w:smallCaps/>
                <w:sz w:val="20"/>
                <w:szCs w:val="20"/>
              </w:rPr>
              <w:t xml:space="preserve">Publication </w:t>
            </w:r>
            <w:r>
              <w:rPr>
                <w:smallCaps/>
                <w:sz w:val="20"/>
              </w:rPr>
              <w:t>B</w:t>
            </w:r>
            <w:r w:rsidRPr="005F15E5">
              <w:rPr>
                <w:smallCaps/>
                <w:sz w:val="20"/>
                <w:szCs w:val="20"/>
              </w:rPr>
              <w:t xml:space="preserve">an in </w:t>
            </w:r>
            <w:r>
              <w:rPr>
                <w:smallCaps/>
                <w:sz w:val="20"/>
              </w:rPr>
              <w:t>C</w:t>
            </w:r>
            <w:r w:rsidRPr="005F15E5">
              <w:rPr>
                <w:smallCaps/>
                <w:sz w:val="20"/>
                <w:szCs w:val="20"/>
              </w:rPr>
              <w:t>ase</w:t>
            </w:r>
          </w:p>
          <w:p w:rsidR="00F44713" w:rsidRPr="005F15E5" w:rsidRDefault="00F44713" w:rsidP="00F44713">
            <w:pPr>
              <w:widowControl w:val="0"/>
              <w:jc w:val="both"/>
              <w:rPr>
                <w:sz w:val="20"/>
                <w:szCs w:val="20"/>
              </w:rPr>
            </w:pPr>
          </w:p>
          <w:p w:rsidR="00F83080" w:rsidRPr="00C1697B" w:rsidRDefault="00F44713" w:rsidP="00F44713">
            <w:pPr>
              <w:widowControl w:val="0"/>
              <w:jc w:val="both"/>
              <w:rPr>
                <w:b/>
                <w:sz w:val="20"/>
                <w:szCs w:val="20"/>
              </w:rPr>
            </w:pPr>
            <w:r w:rsidRPr="005F15E5">
              <w:rPr>
                <w:i/>
                <w:sz w:val="20"/>
                <w:szCs w:val="20"/>
              </w:rPr>
              <w:t xml:space="preserve">Charter of Rights and Freedoms </w:t>
            </w:r>
            <w:r w:rsidRPr="005F15E5">
              <w:rPr>
                <w:sz w:val="20"/>
                <w:szCs w:val="20"/>
              </w:rPr>
              <w:t>- Right to life, liberty and security of the person - Immigration law - Inadmissibility and removal - Inadmissibility under s. 37(1)(</w:t>
            </w:r>
            <w:r w:rsidRPr="005F15E5">
              <w:rPr>
                <w:i/>
                <w:sz w:val="20"/>
                <w:szCs w:val="20"/>
              </w:rPr>
              <w:t>b</w:t>
            </w:r>
            <w:r w:rsidRPr="005F15E5">
              <w:rPr>
                <w:sz w:val="20"/>
                <w:szCs w:val="20"/>
              </w:rPr>
              <w:t>) of the</w:t>
            </w:r>
            <w:r w:rsidRPr="005F15E5">
              <w:rPr>
                <w:i/>
                <w:sz w:val="20"/>
                <w:szCs w:val="20"/>
              </w:rPr>
              <w:t xml:space="preserve"> Immigration and Refugee Protection Act</w:t>
            </w:r>
            <w:r w:rsidRPr="005F15E5">
              <w:rPr>
                <w:sz w:val="20"/>
                <w:szCs w:val="20"/>
              </w:rPr>
              <w:t>, S.C. 2001, c. 27 (“</w:t>
            </w:r>
            <w:r w:rsidRPr="005F15E5">
              <w:rPr>
                <w:i/>
                <w:sz w:val="20"/>
                <w:szCs w:val="20"/>
              </w:rPr>
              <w:t>IRPA</w:t>
            </w:r>
            <w:r w:rsidRPr="005F15E5">
              <w:rPr>
                <w:sz w:val="20"/>
                <w:szCs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5F15E5">
              <w:rPr>
                <w:i/>
                <w:sz w:val="20"/>
                <w:szCs w:val="20"/>
              </w:rPr>
              <w:t>b</w:t>
            </w:r>
            <w:r w:rsidRPr="005F15E5">
              <w:rPr>
                <w:sz w:val="20"/>
                <w:szCs w:val="20"/>
              </w:rPr>
              <w:t>)? - What is the scope of s. 37(1)(</w:t>
            </w:r>
            <w:r w:rsidRPr="005F15E5">
              <w:rPr>
                <w:i/>
                <w:sz w:val="20"/>
                <w:szCs w:val="20"/>
              </w:rPr>
              <w:t>b</w:t>
            </w:r>
            <w:r w:rsidRPr="005F15E5">
              <w:rPr>
                <w:sz w:val="20"/>
                <w:szCs w:val="20"/>
              </w:rPr>
              <w:t xml:space="preserve">)? - Is s. 7 of the </w:t>
            </w:r>
            <w:r w:rsidRPr="005F15E5">
              <w:rPr>
                <w:i/>
                <w:sz w:val="20"/>
                <w:szCs w:val="20"/>
              </w:rPr>
              <w:t>Charter</w:t>
            </w:r>
            <w:r w:rsidRPr="005F15E5">
              <w:rPr>
                <w:sz w:val="20"/>
                <w:szCs w:val="20"/>
              </w:rPr>
              <w:t xml:space="preserve"> engaged in the inadmissibility process before the Board?</w:t>
            </w:r>
          </w:p>
        </w:tc>
        <w:tc>
          <w:tcPr>
            <w:tcW w:w="720" w:type="dxa"/>
            <w:tcMar>
              <w:left w:w="0" w:type="dxa"/>
              <w:right w:w="0" w:type="dxa"/>
            </w:tcMar>
          </w:tcPr>
          <w:p w:rsidR="00F83080" w:rsidRPr="00C1697B" w:rsidRDefault="00F83080" w:rsidP="00A1374E">
            <w:pPr>
              <w:widowControl w:val="0"/>
              <w:jc w:val="center"/>
              <w:rPr>
                <w:sz w:val="20"/>
                <w:szCs w:val="20"/>
              </w:rPr>
            </w:pPr>
          </w:p>
        </w:tc>
        <w:tc>
          <w:tcPr>
            <w:tcW w:w="4380" w:type="dxa"/>
            <w:tcMar>
              <w:left w:w="0" w:type="dxa"/>
              <w:right w:w="0" w:type="dxa"/>
            </w:tcMar>
          </w:tcPr>
          <w:p w:rsidR="00F83080" w:rsidRPr="00CC4D84" w:rsidRDefault="00F83080" w:rsidP="00A1374E">
            <w:pPr>
              <w:widowControl w:val="0"/>
              <w:jc w:val="both"/>
              <w:rPr>
                <w:b/>
                <w:sz w:val="20"/>
                <w:szCs w:val="20"/>
                <w:u w:val="single"/>
                <w:lang w:val="fr-CA"/>
              </w:rPr>
            </w:pPr>
            <w:r w:rsidRPr="00CC4D84">
              <w:rPr>
                <w:b/>
                <w:sz w:val="20"/>
                <w:szCs w:val="20"/>
                <w:u w:val="single"/>
                <w:lang w:val="fr-CA"/>
              </w:rPr>
              <w:t>Nature de la cause</w:t>
            </w:r>
            <w:r>
              <w:rPr>
                <w:b/>
                <w:sz w:val="20"/>
                <w:szCs w:val="20"/>
                <w:u w:val="single"/>
                <w:lang w:val="fr-CA"/>
              </w:rPr>
              <w:t xml:space="preserve"> - 35688</w:t>
            </w:r>
            <w:r w:rsidRPr="00CC4D84">
              <w:rPr>
                <w:b/>
                <w:sz w:val="20"/>
                <w:szCs w:val="20"/>
                <w:u w:val="single"/>
                <w:lang w:val="fr-CA"/>
              </w:rPr>
              <w:t xml:space="preserve"> :</w:t>
            </w:r>
          </w:p>
          <w:p w:rsidR="00F83080" w:rsidRPr="00C1697B" w:rsidRDefault="00F83080" w:rsidP="00A1374E">
            <w:pPr>
              <w:widowControl w:val="0"/>
              <w:jc w:val="both"/>
              <w:rPr>
                <w:sz w:val="20"/>
                <w:szCs w:val="20"/>
                <w:lang w:val="fr-CA"/>
              </w:rPr>
            </w:pPr>
          </w:p>
          <w:p w:rsidR="00F44713" w:rsidRPr="00EE6E66" w:rsidRDefault="00F44713" w:rsidP="00F44713">
            <w:pPr>
              <w:widowControl w:val="0"/>
              <w:jc w:val="both"/>
              <w:rPr>
                <w:smallCaps/>
                <w:sz w:val="20"/>
                <w:szCs w:val="20"/>
                <w:lang w:val="fr-CA"/>
              </w:rPr>
            </w:pPr>
            <w:r w:rsidRPr="00EE6E66">
              <w:rPr>
                <w:smallCaps/>
                <w:sz w:val="20"/>
                <w:szCs w:val="20"/>
                <w:lang w:val="fr-CA"/>
              </w:rPr>
              <w:t>Ordonnance de non-publication dans le dossier</w:t>
            </w:r>
          </w:p>
          <w:p w:rsidR="00F44713" w:rsidRPr="00EE6E66" w:rsidRDefault="00F44713" w:rsidP="00F44713">
            <w:pPr>
              <w:widowControl w:val="0"/>
              <w:jc w:val="both"/>
              <w:rPr>
                <w:sz w:val="20"/>
                <w:szCs w:val="20"/>
                <w:lang w:val="fr-CA"/>
              </w:rPr>
            </w:pPr>
          </w:p>
          <w:p w:rsidR="00F83080" w:rsidRPr="00C1697B" w:rsidRDefault="00F44713" w:rsidP="00F44713">
            <w:pPr>
              <w:widowControl w:val="0"/>
              <w:jc w:val="both"/>
              <w:rPr>
                <w:sz w:val="20"/>
                <w:szCs w:val="20"/>
                <w:lang w:val="fr-CA"/>
              </w:rPr>
            </w:pPr>
            <w:r w:rsidRPr="00EE6E66">
              <w:rPr>
                <w:i/>
                <w:sz w:val="20"/>
                <w:szCs w:val="20"/>
                <w:lang w:val="fr-CA"/>
              </w:rPr>
              <w:t>Charte des droits et libertés</w:t>
            </w:r>
            <w:r w:rsidRPr="00EE6E66">
              <w:rPr>
                <w:sz w:val="20"/>
                <w:szCs w:val="20"/>
                <w:lang w:val="fr-CA"/>
              </w:rPr>
              <w:t xml:space="preserve"> - Droit à la vie, à la liberté et à la sécurité de la personne - Droit de l’immigration - Interdiction de territoire et renvoi - Interdiction de territoire en application de l’al. 37(1)</w:t>
            </w:r>
            <w:r w:rsidRPr="00EE6E66">
              <w:rPr>
                <w:i/>
                <w:sz w:val="20"/>
                <w:szCs w:val="20"/>
                <w:lang w:val="fr-CA"/>
              </w:rPr>
              <w:t>b)</w:t>
            </w:r>
            <w:r w:rsidRPr="00EE6E66">
              <w:rPr>
                <w:sz w:val="20"/>
                <w:szCs w:val="20"/>
                <w:lang w:val="fr-CA"/>
              </w:rPr>
              <w:t xml:space="preserve"> de la </w:t>
            </w:r>
            <w:r w:rsidRPr="00EE6E66">
              <w:rPr>
                <w:i/>
                <w:sz w:val="20"/>
                <w:szCs w:val="20"/>
                <w:lang w:val="fr-CA"/>
              </w:rPr>
              <w:t>Loi sur l’immigration et la protection des réfugiés</w:t>
            </w:r>
            <w:r w:rsidRPr="00EE6E66">
              <w:rPr>
                <w:sz w:val="20"/>
                <w:szCs w:val="20"/>
                <w:lang w:val="fr-CA"/>
              </w:rPr>
              <w:t>, L.C. 2001, ch. 27 (« LIPR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EE6E66">
              <w:rPr>
                <w:i/>
                <w:sz w:val="20"/>
                <w:szCs w:val="20"/>
                <w:lang w:val="fr-CA"/>
              </w:rPr>
              <w:t>b)</w:t>
            </w:r>
            <w:r w:rsidRPr="00EE6E66">
              <w:rPr>
                <w:sz w:val="20"/>
                <w:szCs w:val="20"/>
                <w:lang w:val="fr-CA"/>
              </w:rPr>
              <w:t>? - Quelle est la portée de l’al. 31(1)</w:t>
            </w:r>
            <w:r w:rsidRPr="00EE6E66">
              <w:rPr>
                <w:i/>
                <w:sz w:val="20"/>
                <w:szCs w:val="20"/>
                <w:lang w:val="fr-CA"/>
              </w:rPr>
              <w:t>b)</w:t>
            </w:r>
            <w:r w:rsidRPr="00EE6E66">
              <w:rPr>
                <w:sz w:val="20"/>
                <w:szCs w:val="20"/>
                <w:lang w:val="fr-CA"/>
              </w:rPr>
              <w:t>? - L’art. 7 de la Charte entre-t-il en jeu dans le processus d’interdiction de territoire devant la Commission?</w:t>
            </w:r>
          </w:p>
        </w:tc>
      </w:tr>
    </w:tbl>
    <w:p w:rsidR="00F83080" w:rsidRDefault="00F83080" w:rsidP="00F83080">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83080" w:rsidRPr="008B79EB" w:rsidTr="00A1374E">
        <w:tc>
          <w:tcPr>
            <w:tcW w:w="4380" w:type="dxa"/>
            <w:tcMar>
              <w:left w:w="0" w:type="dxa"/>
              <w:right w:w="0" w:type="dxa"/>
            </w:tcMar>
          </w:tcPr>
          <w:p w:rsidR="00F83080" w:rsidRPr="00CC4D84" w:rsidRDefault="00F83080" w:rsidP="00A1374E">
            <w:pPr>
              <w:widowControl w:val="0"/>
              <w:jc w:val="both"/>
              <w:rPr>
                <w:b/>
                <w:sz w:val="20"/>
                <w:szCs w:val="20"/>
                <w:u w:val="single"/>
              </w:rPr>
            </w:pPr>
            <w:r w:rsidRPr="00CC4D84">
              <w:rPr>
                <w:b/>
                <w:sz w:val="20"/>
                <w:szCs w:val="20"/>
                <w:u w:val="single"/>
              </w:rPr>
              <w:t>Nature of the case</w:t>
            </w:r>
            <w:r>
              <w:rPr>
                <w:b/>
                <w:sz w:val="20"/>
                <w:szCs w:val="20"/>
                <w:u w:val="single"/>
              </w:rPr>
              <w:t xml:space="preserve"> - 35388</w:t>
            </w:r>
            <w:r w:rsidRPr="00CC4D84">
              <w:rPr>
                <w:b/>
                <w:sz w:val="20"/>
                <w:szCs w:val="20"/>
                <w:u w:val="single"/>
              </w:rPr>
              <w:t>:</w:t>
            </w:r>
          </w:p>
          <w:p w:rsidR="00F83080" w:rsidRPr="001A663B" w:rsidRDefault="00F83080" w:rsidP="00A1374E">
            <w:pPr>
              <w:widowControl w:val="0"/>
              <w:jc w:val="both"/>
              <w:rPr>
                <w:b/>
                <w:sz w:val="20"/>
                <w:szCs w:val="20"/>
              </w:rPr>
            </w:pPr>
          </w:p>
          <w:p w:rsidR="00F83080" w:rsidRPr="00C1697B" w:rsidRDefault="00F44713" w:rsidP="00F44713">
            <w:pPr>
              <w:widowControl w:val="0"/>
              <w:jc w:val="both"/>
              <w:rPr>
                <w:b/>
                <w:sz w:val="20"/>
                <w:szCs w:val="20"/>
              </w:rPr>
            </w:pPr>
            <w:r w:rsidRPr="00C5375B">
              <w:rPr>
                <w:i/>
                <w:sz w:val="20"/>
                <w:szCs w:val="20"/>
              </w:rPr>
              <w:t xml:space="preserve">Charter of Rights and Freedoms </w:t>
            </w:r>
            <w:r w:rsidRPr="00C5375B">
              <w:rPr>
                <w:sz w:val="20"/>
                <w:szCs w:val="20"/>
              </w:rPr>
              <w:t>- Right to life, liberty and security of the person - Immigration law - Inadmissibility and removal - Inadmissibility under s. 37(1)(</w:t>
            </w:r>
            <w:r w:rsidRPr="00C5375B">
              <w:rPr>
                <w:i/>
                <w:sz w:val="20"/>
                <w:szCs w:val="20"/>
              </w:rPr>
              <w:t>b</w:t>
            </w:r>
            <w:r w:rsidRPr="00C5375B">
              <w:rPr>
                <w:sz w:val="20"/>
                <w:szCs w:val="20"/>
              </w:rPr>
              <w:t>) of the</w:t>
            </w:r>
            <w:r w:rsidRPr="00C5375B">
              <w:rPr>
                <w:i/>
                <w:sz w:val="20"/>
                <w:szCs w:val="20"/>
              </w:rPr>
              <w:t xml:space="preserve"> Immigration and Refugee Protection Act</w:t>
            </w:r>
            <w:r w:rsidRPr="00C5375B">
              <w:rPr>
                <w:sz w:val="20"/>
                <w:szCs w:val="20"/>
              </w:rPr>
              <w:t>, S.C. 2001, c. 27 (“</w:t>
            </w:r>
            <w:r w:rsidRPr="00C5375B">
              <w:rPr>
                <w:i/>
                <w:sz w:val="20"/>
                <w:szCs w:val="20"/>
              </w:rPr>
              <w:t>IRPA</w:t>
            </w:r>
            <w:r w:rsidRPr="00C5375B">
              <w:rPr>
                <w:sz w:val="20"/>
                <w:szCs w:val="20"/>
              </w:rPr>
              <w:t>”), on grounds of organized criminality for engaging, in the context of transnational crime, in activities such as people smuggling - What is the standard of review in respect of the Immigration Division of the Immigration and Refugee Protection Board’s interpretation of the scope of s. 37(1)(</w:t>
            </w:r>
            <w:r w:rsidRPr="00C5375B">
              <w:rPr>
                <w:i/>
                <w:sz w:val="20"/>
                <w:szCs w:val="20"/>
              </w:rPr>
              <w:t>b</w:t>
            </w:r>
            <w:r w:rsidRPr="00C5375B">
              <w:rPr>
                <w:sz w:val="20"/>
                <w:szCs w:val="20"/>
              </w:rPr>
              <w:t>)? - What is the scope of s. 37(1)(</w:t>
            </w:r>
            <w:r w:rsidRPr="00C5375B">
              <w:rPr>
                <w:i/>
                <w:sz w:val="20"/>
                <w:szCs w:val="20"/>
              </w:rPr>
              <w:t>b</w:t>
            </w:r>
            <w:r w:rsidRPr="00C5375B">
              <w:rPr>
                <w:sz w:val="20"/>
                <w:szCs w:val="20"/>
              </w:rPr>
              <w:t xml:space="preserve">)? - Is s. 7 of the </w:t>
            </w:r>
            <w:r w:rsidRPr="00C5375B">
              <w:rPr>
                <w:i/>
                <w:sz w:val="20"/>
                <w:szCs w:val="20"/>
              </w:rPr>
              <w:t>Charter</w:t>
            </w:r>
            <w:r w:rsidRPr="00C5375B">
              <w:rPr>
                <w:sz w:val="20"/>
                <w:szCs w:val="20"/>
              </w:rPr>
              <w:t xml:space="preserve"> engaged in the inadmissibility process before the Board?</w:t>
            </w:r>
          </w:p>
        </w:tc>
        <w:tc>
          <w:tcPr>
            <w:tcW w:w="720" w:type="dxa"/>
            <w:tcMar>
              <w:left w:w="0" w:type="dxa"/>
              <w:right w:w="0" w:type="dxa"/>
            </w:tcMar>
          </w:tcPr>
          <w:p w:rsidR="00F83080" w:rsidRPr="00C1697B" w:rsidRDefault="00F83080" w:rsidP="00A1374E">
            <w:pPr>
              <w:widowControl w:val="0"/>
              <w:jc w:val="center"/>
              <w:rPr>
                <w:sz w:val="20"/>
                <w:szCs w:val="20"/>
              </w:rPr>
            </w:pPr>
          </w:p>
        </w:tc>
        <w:tc>
          <w:tcPr>
            <w:tcW w:w="4380" w:type="dxa"/>
            <w:tcMar>
              <w:left w:w="0" w:type="dxa"/>
              <w:right w:w="0" w:type="dxa"/>
            </w:tcMar>
          </w:tcPr>
          <w:p w:rsidR="00F83080" w:rsidRPr="00CC4D84" w:rsidRDefault="00F83080" w:rsidP="00A1374E">
            <w:pPr>
              <w:widowControl w:val="0"/>
              <w:jc w:val="both"/>
              <w:rPr>
                <w:b/>
                <w:sz w:val="20"/>
                <w:szCs w:val="20"/>
                <w:u w:val="single"/>
                <w:lang w:val="fr-CA"/>
              </w:rPr>
            </w:pPr>
            <w:r w:rsidRPr="00CC4D84">
              <w:rPr>
                <w:b/>
                <w:sz w:val="20"/>
                <w:szCs w:val="20"/>
                <w:u w:val="single"/>
                <w:lang w:val="fr-CA"/>
              </w:rPr>
              <w:t>Nature de la cause</w:t>
            </w:r>
            <w:r>
              <w:rPr>
                <w:b/>
                <w:sz w:val="20"/>
                <w:szCs w:val="20"/>
                <w:u w:val="single"/>
                <w:lang w:val="fr-CA"/>
              </w:rPr>
              <w:t xml:space="preserve"> - 35388</w:t>
            </w:r>
            <w:r w:rsidRPr="00CC4D84">
              <w:rPr>
                <w:b/>
                <w:sz w:val="20"/>
                <w:szCs w:val="20"/>
                <w:u w:val="single"/>
                <w:lang w:val="fr-CA"/>
              </w:rPr>
              <w:t xml:space="preserve"> :</w:t>
            </w:r>
          </w:p>
          <w:p w:rsidR="00F83080" w:rsidRPr="00C1697B" w:rsidRDefault="00F83080" w:rsidP="00A1374E">
            <w:pPr>
              <w:widowControl w:val="0"/>
              <w:jc w:val="both"/>
              <w:rPr>
                <w:sz w:val="20"/>
                <w:szCs w:val="20"/>
                <w:lang w:val="fr-CA"/>
              </w:rPr>
            </w:pPr>
          </w:p>
          <w:p w:rsidR="00F83080" w:rsidRPr="00C1697B" w:rsidRDefault="00F44713" w:rsidP="00F44713">
            <w:pPr>
              <w:widowControl w:val="0"/>
              <w:jc w:val="both"/>
              <w:rPr>
                <w:sz w:val="20"/>
                <w:szCs w:val="20"/>
                <w:lang w:val="fr-CA"/>
              </w:rPr>
            </w:pPr>
            <w:r w:rsidRPr="00064290">
              <w:rPr>
                <w:i/>
                <w:sz w:val="20"/>
                <w:szCs w:val="20"/>
                <w:lang w:val="fr-CA"/>
              </w:rPr>
              <w:t>Charte des droits et libertés</w:t>
            </w:r>
            <w:r w:rsidRPr="00064290">
              <w:rPr>
                <w:sz w:val="20"/>
                <w:szCs w:val="20"/>
                <w:lang w:val="fr-CA"/>
              </w:rPr>
              <w:t xml:space="preserve"> - Droit à la vie, à la liberté et à la sécurité de la personne - Droit de l’immigration - Interdiction de territoire et renvoi - Interdiction de territoire en application de l’al. 37(1)</w:t>
            </w:r>
            <w:r w:rsidRPr="00064290">
              <w:rPr>
                <w:i/>
                <w:sz w:val="20"/>
                <w:szCs w:val="20"/>
                <w:lang w:val="fr-CA"/>
              </w:rPr>
              <w:t>b)</w:t>
            </w:r>
            <w:r w:rsidRPr="00064290">
              <w:rPr>
                <w:sz w:val="20"/>
                <w:szCs w:val="20"/>
                <w:lang w:val="fr-CA"/>
              </w:rPr>
              <w:t xml:space="preserve"> de la</w:t>
            </w:r>
            <w:r w:rsidRPr="00064290">
              <w:rPr>
                <w:i/>
                <w:sz w:val="20"/>
                <w:szCs w:val="20"/>
                <w:lang w:val="fr-CA"/>
              </w:rPr>
              <w:t xml:space="preserve"> Loi sur l’immigration et la protection des réfugiés</w:t>
            </w:r>
            <w:r w:rsidRPr="00064290">
              <w:rPr>
                <w:sz w:val="20"/>
                <w:szCs w:val="20"/>
                <w:lang w:val="fr-CA"/>
              </w:rPr>
              <w:t>, L.C. 2001, ch. 27 (« </w:t>
            </w:r>
            <w:r w:rsidRPr="00064290">
              <w:rPr>
                <w:i/>
                <w:sz w:val="20"/>
                <w:szCs w:val="20"/>
                <w:lang w:val="fr-CA"/>
              </w:rPr>
              <w:t>LIPR</w:t>
            </w:r>
            <w:r w:rsidRPr="00064290">
              <w:rPr>
                <w:sz w:val="20"/>
                <w:szCs w:val="20"/>
                <w:lang w:val="fr-CA"/>
              </w:rPr>
              <w:t> ») pour criminalité organisée, c’est-à-dire pour s’être livré, dans le cadre de la criminalité transnationale, à des activités telles le passage de clandestins - Quelle est la norme de contrôle à l’égard de l’interprétation, par la Section de l’immigration de la Commission de l’immigration et du statut de réfugié, de la portée de l’al. 37(1)</w:t>
            </w:r>
            <w:r w:rsidRPr="00064290">
              <w:rPr>
                <w:i/>
                <w:sz w:val="20"/>
                <w:szCs w:val="20"/>
                <w:lang w:val="fr-CA"/>
              </w:rPr>
              <w:t>b)</w:t>
            </w:r>
            <w:r w:rsidRPr="00064290">
              <w:rPr>
                <w:sz w:val="20"/>
                <w:szCs w:val="20"/>
                <w:lang w:val="fr-CA"/>
              </w:rPr>
              <w:t>? - Quelle est la portée de l’al. 31(1)</w:t>
            </w:r>
            <w:r w:rsidRPr="00064290">
              <w:rPr>
                <w:i/>
                <w:sz w:val="20"/>
                <w:szCs w:val="20"/>
                <w:lang w:val="fr-CA"/>
              </w:rPr>
              <w:t>b)</w:t>
            </w:r>
            <w:r w:rsidRPr="00064290">
              <w:rPr>
                <w:sz w:val="20"/>
                <w:szCs w:val="20"/>
                <w:lang w:val="fr-CA"/>
              </w:rPr>
              <w:t xml:space="preserve">? - L’art. 7 de la </w:t>
            </w:r>
            <w:r w:rsidRPr="00064290">
              <w:rPr>
                <w:i/>
                <w:sz w:val="20"/>
                <w:szCs w:val="20"/>
                <w:lang w:val="fr-CA"/>
              </w:rPr>
              <w:t>Charte</w:t>
            </w:r>
            <w:r w:rsidRPr="00064290">
              <w:rPr>
                <w:sz w:val="20"/>
                <w:szCs w:val="20"/>
                <w:lang w:val="fr-CA"/>
              </w:rPr>
              <w:t xml:space="preserve"> entre-t-il en jeu dans le processus d’interdiction de territoire devant la Commission?</w:t>
            </w:r>
          </w:p>
        </w:tc>
      </w:tr>
    </w:tbl>
    <w:p w:rsidR="00F83080" w:rsidRDefault="00F83080" w:rsidP="00F83080">
      <w:pPr>
        <w:widowControl w:val="0"/>
        <w:rPr>
          <w:sz w:val="20"/>
          <w:szCs w:val="20"/>
          <w:lang w:val="fr-CA"/>
        </w:rPr>
      </w:pPr>
    </w:p>
    <w:p w:rsidR="00F83080" w:rsidRDefault="005A3634" w:rsidP="00F83080">
      <w:pPr>
        <w:widowControl w:val="0"/>
        <w:rPr>
          <w:sz w:val="20"/>
          <w:szCs w:val="20"/>
          <w:lang w:val="fr-CA"/>
        </w:rPr>
      </w:pPr>
      <w:r>
        <w:rPr>
          <w:sz w:val="20"/>
          <w:szCs w:val="20"/>
          <w:lang w:val="fr-CA"/>
        </w:rPr>
        <w:pict>
          <v:rect id="_x0000_i1084" style="width:2in;height:1pt" o:hrpct="0" o:hralign="center" o:hrstd="t" o:hrnoshade="t" o:hr="t" fillcolor="black [3213]" stroked="f"/>
        </w:pict>
      </w:r>
    </w:p>
    <w:p w:rsidR="00F83080" w:rsidRDefault="00F83080" w:rsidP="00F83080">
      <w:pPr>
        <w:widowControl w:val="0"/>
        <w:rPr>
          <w:sz w:val="20"/>
          <w:szCs w:val="20"/>
          <w:lang w:val="fr-CA"/>
        </w:rPr>
      </w:pPr>
    </w:p>
    <w:p w:rsidR="00F83080" w:rsidRPr="00F83080" w:rsidRDefault="00F83080" w:rsidP="00F83080">
      <w:pPr>
        <w:widowControl w:val="0"/>
        <w:rPr>
          <w:sz w:val="20"/>
          <w:szCs w:val="20"/>
        </w:rPr>
      </w:pPr>
      <w:r w:rsidRPr="00F83080">
        <w:rPr>
          <w:sz w:val="20"/>
          <w:szCs w:val="20"/>
        </w:rPr>
        <w:t>1</w:t>
      </w:r>
      <w:r>
        <w:rPr>
          <w:sz w:val="20"/>
          <w:szCs w:val="20"/>
        </w:rPr>
        <w:t>7</w:t>
      </w:r>
      <w:r w:rsidRPr="00F83080">
        <w:rPr>
          <w:sz w:val="20"/>
          <w:szCs w:val="20"/>
        </w:rPr>
        <w:t>.02.2015</w:t>
      </w:r>
    </w:p>
    <w:p w:rsidR="00F83080" w:rsidRDefault="00F83080" w:rsidP="00F83080">
      <w:pPr>
        <w:widowControl w:val="0"/>
        <w:rPr>
          <w:sz w:val="20"/>
          <w:szCs w:val="20"/>
        </w:rPr>
      </w:pPr>
    </w:p>
    <w:p w:rsidR="00342823" w:rsidRPr="00342823" w:rsidRDefault="00342823" w:rsidP="00342823">
      <w:pPr>
        <w:widowControl w:val="0"/>
        <w:ind w:left="720" w:hanging="720"/>
        <w:rPr>
          <w:sz w:val="20"/>
          <w:szCs w:val="20"/>
          <w:u w:val="single"/>
        </w:rPr>
      </w:pPr>
      <w:r w:rsidRPr="00342823">
        <w:rPr>
          <w:sz w:val="20"/>
          <w:szCs w:val="20"/>
        </w:rPr>
        <w:t xml:space="preserve">Coram: </w:t>
      </w:r>
      <w:r w:rsidRPr="00342823">
        <w:rPr>
          <w:sz w:val="20"/>
          <w:szCs w:val="20"/>
        </w:rPr>
        <w:tab/>
      </w:r>
      <w:r w:rsidRPr="00342823">
        <w:rPr>
          <w:sz w:val="20"/>
          <w:szCs w:val="20"/>
          <w:u w:val="single"/>
        </w:rPr>
        <w:t>McLachlin C.J. and Abella, Rothstein, Moldaver, Karakatsanis, Wagner and Gascon JJ.</w:t>
      </w:r>
    </w:p>
    <w:p w:rsidR="00F83080" w:rsidRPr="00F83080" w:rsidRDefault="00F83080" w:rsidP="00F83080">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83080" w:rsidRPr="00F83080" w:rsidTr="00A1374E">
        <w:tc>
          <w:tcPr>
            <w:tcW w:w="4380" w:type="dxa"/>
            <w:tcMar>
              <w:left w:w="0" w:type="dxa"/>
              <w:right w:w="0" w:type="dxa"/>
            </w:tcMar>
          </w:tcPr>
          <w:p w:rsidR="00CD1AE2" w:rsidRPr="0061788C" w:rsidRDefault="00F44713" w:rsidP="00F44713">
            <w:pPr>
              <w:jc w:val="both"/>
              <w:rPr>
                <w:b/>
                <w:iCs/>
                <w:sz w:val="20"/>
                <w:szCs w:val="20"/>
                <w:lang w:val="fr-CA"/>
              </w:rPr>
            </w:pPr>
            <w:r w:rsidRPr="0061788C">
              <w:rPr>
                <w:b/>
                <w:iCs/>
                <w:sz w:val="20"/>
                <w:szCs w:val="20"/>
                <w:lang w:val="fr-CA"/>
              </w:rPr>
              <w:t xml:space="preserve">Francis Anthonimuthu Appulonappa et al. </w:t>
            </w:r>
          </w:p>
          <w:p w:rsidR="00CD1AE2" w:rsidRPr="0061788C" w:rsidRDefault="00CD1AE2" w:rsidP="00F44713">
            <w:pPr>
              <w:jc w:val="both"/>
              <w:rPr>
                <w:b/>
                <w:iCs/>
                <w:sz w:val="20"/>
                <w:szCs w:val="20"/>
                <w:lang w:val="fr-CA"/>
              </w:rPr>
            </w:pPr>
          </w:p>
          <w:p w:rsidR="00CD1AE2" w:rsidRDefault="00CD1AE2" w:rsidP="00F44713">
            <w:pPr>
              <w:jc w:val="both"/>
              <w:rPr>
                <w:b/>
                <w:iCs/>
                <w:sz w:val="20"/>
                <w:szCs w:val="20"/>
              </w:rPr>
            </w:pPr>
            <w:r w:rsidRPr="0061788C">
              <w:rPr>
                <w:b/>
                <w:iCs/>
                <w:sz w:val="20"/>
                <w:szCs w:val="20"/>
                <w:lang w:val="fr-CA"/>
              </w:rPr>
              <w:tab/>
            </w:r>
            <w:r w:rsidR="00F44713" w:rsidRPr="00F04F8C">
              <w:rPr>
                <w:b/>
                <w:iCs/>
                <w:sz w:val="20"/>
                <w:szCs w:val="20"/>
              </w:rPr>
              <w:t xml:space="preserve">v. </w:t>
            </w:r>
            <w:r w:rsidRPr="00F04F8C">
              <w:rPr>
                <w:sz w:val="20"/>
                <w:szCs w:val="20"/>
              </w:rPr>
              <w:t>(</w:t>
            </w:r>
            <w:hyperlink r:id="rId80" w:history="1">
              <w:r w:rsidRPr="00F04F8C">
                <w:rPr>
                  <w:rStyle w:val="Hyperlink"/>
                  <w:sz w:val="20"/>
                  <w:szCs w:val="20"/>
                </w:rPr>
                <w:t>35958</w:t>
              </w:r>
            </w:hyperlink>
            <w:r w:rsidRPr="00F04F8C">
              <w:rPr>
                <w:sz w:val="20"/>
                <w:szCs w:val="20"/>
              </w:rPr>
              <w:t>)</w:t>
            </w:r>
          </w:p>
          <w:p w:rsidR="00CD1AE2" w:rsidRDefault="00CD1AE2" w:rsidP="00F44713">
            <w:pPr>
              <w:jc w:val="both"/>
              <w:rPr>
                <w:b/>
                <w:iCs/>
                <w:sz w:val="20"/>
                <w:szCs w:val="20"/>
              </w:rPr>
            </w:pPr>
          </w:p>
          <w:p w:rsidR="00F83080" w:rsidRPr="00F83080" w:rsidRDefault="00F44713" w:rsidP="00CD1AE2">
            <w:pPr>
              <w:jc w:val="both"/>
              <w:rPr>
                <w:sz w:val="20"/>
                <w:szCs w:val="20"/>
              </w:rPr>
            </w:pPr>
            <w:r w:rsidRPr="00CD1AE2">
              <w:rPr>
                <w:b/>
                <w:iCs/>
                <w:sz w:val="20"/>
                <w:szCs w:val="20"/>
              </w:rPr>
              <w:t>Her Majesty the Queen et al.</w:t>
            </w:r>
            <w:r w:rsidRPr="00CD1AE2">
              <w:rPr>
                <w:b/>
                <w:i/>
                <w:iCs/>
                <w:sz w:val="20"/>
                <w:szCs w:val="20"/>
              </w:rPr>
              <w:t xml:space="preserve"> </w:t>
            </w:r>
            <w:r w:rsidRPr="00CD1AE2">
              <w:rPr>
                <w:b/>
                <w:sz w:val="20"/>
                <w:szCs w:val="20"/>
              </w:rPr>
              <w:t xml:space="preserve">(B.C.) (Criminal) (By Leave) </w:t>
            </w:r>
            <w:r w:rsidR="00F83080" w:rsidRPr="00F83080">
              <w:rPr>
                <w:sz w:val="20"/>
                <w:szCs w:val="20"/>
              </w:rPr>
              <w:t xml:space="preserve"> </w:t>
            </w:r>
          </w:p>
        </w:tc>
        <w:tc>
          <w:tcPr>
            <w:tcW w:w="720" w:type="dxa"/>
            <w:tcMar>
              <w:left w:w="0" w:type="dxa"/>
              <w:right w:w="0" w:type="dxa"/>
            </w:tcMar>
          </w:tcPr>
          <w:p w:rsidR="00F83080" w:rsidRPr="00F83080" w:rsidRDefault="00F83080" w:rsidP="00A1374E">
            <w:pPr>
              <w:widowControl w:val="0"/>
              <w:jc w:val="center"/>
              <w:rPr>
                <w:sz w:val="20"/>
                <w:szCs w:val="20"/>
              </w:rPr>
            </w:pPr>
          </w:p>
        </w:tc>
        <w:tc>
          <w:tcPr>
            <w:tcW w:w="4380" w:type="dxa"/>
            <w:tcMar>
              <w:left w:w="0" w:type="dxa"/>
              <w:right w:w="0" w:type="dxa"/>
            </w:tcMar>
          </w:tcPr>
          <w:p w:rsidR="00B777B9" w:rsidRPr="008C2FA3" w:rsidRDefault="00B777B9" w:rsidP="00B777B9">
            <w:pPr>
              <w:jc w:val="both"/>
              <w:rPr>
                <w:sz w:val="20"/>
                <w:szCs w:val="20"/>
              </w:rPr>
            </w:pPr>
            <w:r w:rsidRPr="008C2FA3">
              <w:rPr>
                <w:sz w:val="20"/>
                <w:szCs w:val="20"/>
              </w:rPr>
              <w:t>Peter H. Edelmann</w:t>
            </w:r>
            <w:r>
              <w:rPr>
                <w:sz w:val="20"/>
                <w:szCs w:val="20"/>
              </w:rPr>
              <w:t xml:space="preserve"> and </w:t>
            </w:r>
            <w:r w:rsidRPr="008C2FA3">
              <w:rPr>
                <w:sz w:val="20"/>
                <w:szCs w:val="20"/>
              </w:rPr>
              <w:t>Jennifer Ellis</w:t>
            </w:r>
            <w:r>
              <w:rPr>
                <w:sz w:val="20"/>
                <w:szCs w:val="20"/>
              </w:rPr>
              <w:t xml:space="preserve"> f</w:t>
            </w:r>
            <w:r w:rsidRPr="008C2FA3">
              <w:rPr>
                <w:sz w:val="20"/>
                <w:szCs w:val="20"/>
              </w:rPr>
              <w:t xml:space="preserve">or the </w:t>
            </w:r>
            <w:r>
              <w:rPr>
                <w:sz w:val="20"/>
                <w:szCs w:val="20"/>
              </w:rPr>
              <w:t>a</w:t>
            </w:r>
            <w:r w:rsidRPr="008C2FA3">
              <w:rPr>
                <w:sz w:val="20"/>
                <w:szCs w:val="20"/>
              </w:rPr>
              <w:t>ppellant</w:t>
            </w:r>
            <w:r>
              <w:rPr>
                <w:sz w:val="20"/>
                <w:szCs w:val="20"/>
              </w:rPr>
              <w:t xml:space="preserve"> </w:t>
            </w:r>
            <w:r w:rsidRPr="008C2FA3">
              <w:rPr>
                <w:sz w:val="20"/>
                <w:szCs w:val="20"/>
              </w:rPr>
              <w:t>Hamalraj Handasamy</w:t>
            </w:r>
            <w:r>
              <w:rPr>
                <w:sz w:val="20"/>
                <w:szCs w:val="20"/>
              </w:rPr>
              <w:t>.</w:t>
            </w:r>
          </w:p>
          <w:p w:rsidR="00B777B9" w:rsidRPr="008C2FA3" w:rsidRDefault="00B777B9" w:rsidP="00B777B9">
            <w:pPr>
              <w:jc w:val="both"/>
              <w:rPr>
                <w:sz w:val="20"/>
                <w:szCs w:val="20"/>
              </w:rPr>
            </w:pPr>
          </w:p>
          <w:p w:rsidR="00B777B9" w:rsidRPr="008C2FA3" w:rsidRDefault="00B777B9" w:rsidP="00B777B9">
            <w:pPr>
              <w:jc w:val="both"/>
              <w:rPr>
                <w:sz w:val="20"/>
                <w:szCs w:val="20"/>
              </w:rPr>
            </w:pPr>
            <w:r w:rsidRPr="008C2FA3">
              <w:rPr>
                <w:sz w:val="20"/>
                <w:szCs w:val="20"/>
              </w:rPr>
              <w:t>Fiona Begg</w:t>
            </w:r>
            <w:r>
              <w:rPr>
                <w:sz w:val="20"/>
                <w:szCs w:val="20"/>
              </w:rPr>
              <w:t xml:space="preserve"> and </w:t>
            </w:r>
            <w:r w:rsidRPr="008C2FA3">
              <w:rPr>
                <w:sz w:val="20"/>
                <w:szCs w:val="20"/>
              </w:rPr>
              <w:t>Maria Sokolova</w:t>
            </w:r>
            <w:r>
              <w:rPr>
                <w:sz w:val="20"/>
                <w:szCs w:val="20"/>
              </w:rPr>
              <w:t xml:space="preserve"> f</w:t>
            </w:r>
            <w:r w:rsidRPr="008C2FA3">
              <w:rPr>
                <w:sz w:val="20"/>
                <w:szCs w:val="20"/>
              </w:rPr>
              <w:t xml:space="preserve">or the </w:t>
            </w:r>
            <w:r>
              <w:rPr>
                <w:sz w:val="20"/>
                <w:szCs w:val="20"/>
              </w:rPr>
              <w:t>a</w:t>
            </w:r>
            <w:r w:rsidRPr="008C2FA3">
              <w:rPr>
                <w:sz w:val="20"/>
                <w:szCs w:val="20"/>
              </w:rPr>
              <w:t>ppellant</w:t>
            </w:r>
            <w:r>
              <w:rPr>
                <w:sz w:val="20"/>
                <w:szCs w:val="20"/>
              </w:rPr>
              <w:t xml:space="preserve"> </w:t>
            </w:r>
            <w:r w:rsidRPr="008C2FA3">
              <w:rPr>
                <w:sz w:val="20"/>
                <w:szCs w:val="20"/>
              </w:rPr>
              <w:t>Francis Anthonimuthu Appulonappa</w:t>
            </w:r>
            <w:r>
              <w:rPr>
                <w:sz w:val="20"/>
                <w:szCs w:val="20"/>
              </w:rPr>
              <w:t>.</w:t>
            </w:r>
          </w:p>
          <w:p w:rsidR="00B777B9" w:rsidRPr="008C2FA3" w:rsidRDefault="00B777B9" w:rsidP="00B777B9">
            <w:pPr>
              <w:jc w:val="both"/>
              <w:rPr>
                <w:sz w:val="20"/>
                <w:szCs w:val="20"/>
              </w:rPr>
            </w:pPr>
          </w:p>
          <w:p w:rsidR="00B777B9" w:rsidRPr="008C2FA3" w:rsidRDefault="00B777B9" w:rsidP="00B777B9">
            <w:pPr>
              <w:jc w:val="both"/>
              <w:rPr>
                <w:sz w:val="20"/>
                <w:szCs w:val="20"/>
              </w:rPr>
            </w:pPr>
            <w:r w:rsidRPr="008C2FA3">
              <w:rPr>
                <w:sz w:val="20"/>
                <w:szCs w:val="20"/>
              </w:rPr>
              <w:t>Micah B. Rankin</w:t>
            </w:r>
            <w:r>
              <w:rPr>
                <w:sz w:val="20"/>
                <w:szCs w:val="20"/>
              </w:rPr>
              <w:t xml:space="preserve"> and </w:t>
            </w:r>
            <w:r w:rsidRPr="008C2FA3">
              <w:rPr>
                <w:sz w:val="20"/>
                <w:szCs w:val="20"/>
              </w:rPr>
              <w:t>Phillip C. Rankin</w:t>
            </w:r>
            <w:r>
              <w:rPr>
                <w:sz w:val="20"/>
                <w:szCs w:val="20"/>
              </w:rPr>
              <w:t xml:space="preserve"> f</w:t>
            </w:r>
            <w:r w:rsidRPr="008C2FA3">
              <w:rPr>
                <w:sz w:val="20"/>
                <w:szCs w:val="20"/>
              </w:rPr>
              <w:t xml:space="preserve">or the </w:t>
            </w:r>
            <w:r>
              <w:rPr>
                <w:sz w:val="20"/>
                <w:szCs w:val="20"/>
              </w:rPr>
              <w:t>a</w:t>
            </w:r>
            <w:r w:rsidRPr="008C2FA3">
              <w:rPr>
                <w:sz w:val="20"/>
                <w:szCs w:val="20"/>
              </w:rPr>
              <w:t>ppellant</w:t>
            </w:r>
            <w:r>
              <w:rPr>
                <w:sz w:val="20"/>
                <w:szCs w:val="20"/>
              </w:rPr>
              <w:t xml:space="preserve"> </w:t>
            </w:r>
            <w:r w:rsidRPr="008C2FA3">
              <w:rPr>
                <w:sz w:val="20"/>
                <w:szCs w:val="20"/>
              </w:rPr>
              <w:t>Jeyachandran Kanagarajah</w:t>
            </w:r>
            <w:r>
              <w:rPr>
                <w:sz w:val="20"/>
                <w:szCs w:val="20"/>
              </w:rPr>
              <w:t xml:space="preserve">. </w:t>
            </w:r>
          </w:p>
          <w:p w:rsidR="00B777B9" w:rsidRPr="008C2FA3" w:rsidRDefault="00B777B9" w:rsidP="00B777B9">
            <w:pPr>
              <w:jc w:val="both"/>
              <w:rPr>
                <w:sz w:val="20"/>
                <w:szCs w:val="20"/>
              </w:rPr>
            </w:pPr>
          </w:p>
          <w:p w:rsidR="00B777B9" w:rsidRPr="008C2FA3" w:rsidRDefault="00B777B9" w:rsidP="00B777B9">
            <w:pPr>
              <w:jc w:val="both"/>
              <w:rPr>
                <w:sz w:val="20"/>
                <w:szCs w:val="20"/>
              </w:rPr>
            </w:pPr>
            <w:r w:rsidRPr="008C2FA3">
              <w:rPr>
                <w:sz w:val="20"/>
                <w:szCs w:val="20"/>
              </w:rPr>
              <w:t>Gregory P. Delbigio, Q.C.</w:t>
            </w:r>
            <w:r>
              <w:rPr>
                <w:sz w:val="20"/>
                <w:szCs w:val="20"/>
              </w:rPr>
              <w:t xml:space="preserve"> and </w:t>
            </w:r>
            <w:r w:rsidRPr="008C2FA3">
              <w:rPr>
                <w:sz w:val="20"/>
                <w:szCs w:val="20"/>
              </w:rPr>
              <w:t>Lisa Sturgess</w:t>
            </w:r>
            <w:r>
              <w:rPr>
                <w:sz w:val="20"/>
                <w:szCs w:val="20"/>
              </w:rPr>
              <w:t xml:space="preserve"> f</w:t>
            </w:r>
            <w:r w:rsidRPr="008C2FA3">
              <w:rPr>
                <w:sz w:val="20"/>
                <w:szCs w:val="20"/>
              </w:rPr>
              <w:t xml:space="preserve">or the </w:t>
            </w:r>
            <w:r>
              <w:rPr>
                <w:sz w:val="20"/>
                <w:szCs w:val="20"/>
              </w:rPr>
              <w:lastRenderedPageBreak/>
              <w:t>a</w:t>
            </w:r>
            <w:r w:rsidRPr="008C2FA3">
              <w:rPr>
                <w:sz w:val="20"/>
                <w:szCs w:val="20"/>
              </w:rPr>
              <w:t>ppellant Vignarajah Thevarajah</w:t>
            </w:r>
            <w:r>
              <w:rPr>
                <w:sz w:val="20"/>
                <w:szCs w:val="20"/>
              </w:rPr>
              <w:t>.</w:t>
            </w:r>
          </w:p>
          <w:p w:rsidR="00B777B9" w:rsidRPr="008C2FA3" w:rsidRDefault="00B777B9" w:rsidP="00B777B9">
            <w:pPr>
              <w:jc w:val="both"/>
              <w:rPr>
                <w:sz w:val="20"/>
                <w:szCs w:val="20"/>
              </w:rPr>
            </w:pPr>
          </w:p>
          <w:p w:rsidR="00B777B9" w:rsidRPr="008C2FA3" w:rsidRDefault="00B777B9" w:rsidP="00B777B9">
            <w:pPr>
              <w:jc w:val="both"/>
              <w:rPr>
                <w:sz w:val="20"/>
                <w:szCs w:val="20"/>
              </w:rPr>
            </w:pPr>
            <w:r w:rsidRPr="008C2FA3">
              <w:rPr>
                <w:sz w:val="20"/>
                <w:szCs w:val="20"/>
              </w:rPr>
              <w:t>Andrew J. Brouwer</w:t>
            </w:r>
            <w:r>
              <w:rPr>
                <w:sz w:val="20"/>
                <w:szCs w:val="20"/>
              </w:rPr>
              <w:t xml:space="preserve">, </w:t>
            </w:r>
            <w:r w:rsidRPr="008C2FA3">
              <w:rPr>
                <w:sz w:val="20"/>
                <w:szCs w:val="20"/>
              </w:rPr>
              <w:t>Jennifer Bond</w:t>
            </w:r>
            <w:r>
              <w:rPr>
                <w:sz w:val="20"/>
                <w:szCs w:val="20"/>
              </w:rPr>
              <w:t xml:space="preserve"> and </w:t>
            </w:r>
            <w:r w:rsidRPr="008C2FA3">
              <w:rPr>
                <w:sz w:val="20"/>
                <w:szCs w:val="20"/>
              </w:rPr>
              <w:t>Erin Bobkin</w:t>
            </w:r>
            <w:r>
              <w:rPr>
                <w:sz w:val="20"/>
                <w:szCs w:val="20"/>
              </w:rPr>
              <w:t xml:space="preserve"> f</w:t>
            </w:r>
            <w:r w:rsidRPr="008C2FA3">
              <w:rPr>
                <w:sz w:val="20"/>
                <w:szCs w:val="20"/>
              </w:rPr>
              <w:t xml:space="preserve">or the </w:t>
            </w:r>
            <w:r>
              <w:rPr>
                <w:sz w:val="20"/>
                <w:szCs w:val="20"/>
              </w:rPr>
              <w:t>i</w:t>
            </w:r>
            <w:r w:rsidRPr="008C2FA3">
              <w:rPr>
                <w:sz w:val="20"/>
                <w:szCs w:val="20"/>
              </w:rPr>
              <w:t>ntervener</w:t>
            </w:r>
            <w:r>
              <w:rPr>
                <w:sz w:val="20"/>
                <w:szCs w:val="20"/>
              </w:rPr>
              <w:t xml:space="preserve"> </w:t>
            </w:r>
            <w:r w:rsidRPr="008C2FA3">
              <w:rPr>
                <w:sz w:val="20"/>
                <w:szCs w:val="20"/>
              </w:rPr>
              <w:t>Canadian Association of Refugee Lawyers</w:t>
            </w:r>
            <w:r>
              <w:rPr>
                <w:sz w:val="20"/>
                <w:szCs w:val="20"/>
              </w:rPr>
              <w:t>.</w:t>
            </w:r>
          </w:p>
          <w:p w:rsidR="00B777B9" w:rsidRPr="008C2FA3" w:rsidRDefault="00B777B9" w:rsidP="00B777B9">
            <w:pPr>
              <w:jc w:val="both"/>
              <w:rPr>
                <w:sz w:val="20"/>
                <w:szCs w:val="20"/>
              </w:rPr>
            </w:pPr>
          </w:p>
          <w:p w:rsidR="00B777B9" w:rsidRPr="008C2FA3" w:rsidRDefault="00B777B9" w:rsidP="00B777B9">
            <w:pPr>
              <w:jc w:val="both"/>
              <w:rPr>
                <w:sz w:val="20"/>
                <w:szCs w:val="20"/>
              </w:rPr>
            </w:pPr>
            <w:r w:rsidRPr="008C2FA3">
              <w:rPr>
                <w:sz w:val="20"/>
                <w:szCs w:val="20"/>
              </w:rPr>
              <w:t>Angus Grant</w:t>
            </w:r>
            <w:r>
              <w:rPr>
                <w:sz w:val="20"/>
                <w:szCs w:val="20"/>
              </w:rPr>
              <w:t xml:space="preserve">, </w:t>
            </w:r>
            <w:r w:rsidRPr="008C2FA3">
              <w:rPr>
                <w:sz w:val="20"/>
                <w:szCs w:val="20"/>
              </w:rPr>
              <w:t>Catherine Bruce</w:t>
            </w:r>
            <w:r>
              <w:rPr>
                <w:sz w:val="20"/>
                <w:szCs w:val="20"/>
              </w:rPr>
              <w:t xml:space="preserve">, </w:t>
            </w:r>
            <w:r w:rsidRPr="008C2FA3">
              <w:rPr>
                <w:sz w:val="20"/>
                <w:szCs w:val="20"/>
              </w:rPr>
              <w:t>Laura Best</w:t>
            </w:r>
            <w:r>
              <w:rPr>
                <w:sz w:val="20"/>
                <w:szCs w:val="20"/>
              </w:rPr>
              <w:t xml:space="preserve"> and </w:t>
            </w:r>
            <w:r w:rsidRPr="008C2FA3">
              <w:rPr>
                <w:sz w:val="20"/>
                <w:szCs w:val="20"/>
              </w:rPr>
              <w:t>Fadi Yachoua</w:t>
            </w:r>
            <w:r>
              <w:rPr>
                <w:sz w:val="20"/>
                <w:szCs w:val="20"/>
              </w:rPr>
              <w:t xml:space="preserve"> f</w:t>
            </w:r>
            <w:r w:rsidRPr="008C2FA3">
              <w:rPr>
                <w:sz w:val="20"/>
                <w:szCs w:val="20"/>
              </w:rPr>
              <w:t xml:space="preserve">or the </w:t>
            </w:r>
            <w:r>
              <w:rPr>
                <w:sz w:val="20"/>
                <w:szCs w:val="20"/>
              </w:rPr>
              <w:t>i</w:t>
            </w:r>
            <w:r w:rsidRPr="008C2FA3">
              <w:rPr>
                <w:sz w:val="20"/>
                <w:szCs w:val="20"/>
              </w:rPr>
              <w:t>ntervener</w:t>
            </w:r>
            <w:r>
              <w:rPr>
                <w:sz w:val="20"/>
                <w:szCs w:val="20"/>
              </w:rPr>
              <w:t xml:space="preserve"> </w:t>
            </w:r>
            <w:r w:rsidRPr="008C2FA3">
              <w:rPr>
                <w:sz w:val="20"/>
                <w:szCs w:val="20"/>
              </w:rPr>
              <w:t>Canadian Council for Refugees</w:t>
            </w:r>
            <w:r>
              <w:rPr>
                <w:sz w:val="20"/>
                <w:szCs w:val="20"/>
              </w:rPr>
              <w:t xml:space="preserve"> </w:t>
            </w:r>
            <w:r w:rsidRPr="008C2FA3">
              <w:rPr>
                <w:sz w:val="20"/>
                <w:szCs w:val="20"/>
              </w:rPr>
              <w:t>(35388-35677-35685-35688-35958)</w:t>
            </w:r>
            <w:r>
              <w:rPr>
                <w:sz w:val="20"/>
                <w:szCs w:val="20"/>
              </w:rPr>
              <w:t>.</w:t>
            </w:r>
          </w:p>
          <w:p w:rsidR="00B777B9" w:rsidRPr="008C2FA3" w:rsidRDefault="00B777B9" w:rsidP="00B777B9">
            <w:pPr>
              <w:jc w:val="both"/>
              <w:rPr>
                <w:sz w:val="20"/>
                <w:szCs w:val="20"/>
              </w:rPr>
            </w:pPr>
          </w:p>
          <w:p w:rsidR="00B777B9" w:rsidRDefault="00B777B9" w:rsidP="00B777B9">
            <w:pPr>
              <w:jc w:val="both"/>
              <w:rPr>
                <w:sz w:val="20"/>
                <w:szCs w:val="20"/>
              </w:rPr>
            </w:pPr>
            <w:r w:rsidRPr="008C2FA3">
              <w:rPr>
                <w:sz w:val="20"/>
                <w:szCs w:val="20"/>
              </w:rPr>
              <w:t>Chantal Tie</w:t>
            </w:r>
            <w:r>
              <w:rPr>
                <w:sz w:val="20"/>
                <w:szCs w:val="20"/>
              </w:rPr>
              <w:t xml:space="preserve">, </w:t>
            </w:r>
            <w:r w:rsidRPr="008C2FA3">
              <w:rPr>
                <w:sz w:val="20"/>
                <w:szCs w:val="20"/>
              </w:rPr>
              <w:t>Laila Demirdache</w:t>
            </w:r>
            <w:r>
              <w:rPr>
                <w:sz w:val="20"/>
                <w:szCs w:val="20"/>
              </w:rPr>
              <w:t xml:space="preserve"> and </w:t>
            </w:r>
            <w:r w:rsidRPr="008C2FA3">
              <w:rPr>
                <w:sz w:val="20"/>
                <w:szCs w:val="20"/>
              </w:rPr>
              <w:t>Michael Bossin</w:t>
            </w:r>
            <w:r>
              <w:rPr>
                <w:sz w:val="20"/>
                <w:szCs w:val="20"/>
              </w:rPr>
              <w:t xml:space="preserve"> f</w:t>
            </w:r>
            <w:r w:rsidRPr="008C2FA3">
              <w:rPr>
                <w:sz w:val="20"/>
                <w:szCs w:val="20"/>
              </w:rPr>
              <w:t xml:space="preserve">or the </w:t>
            </w:r>
            <w:r>
              <w:rPr>
                <w:sz w:val="20"/>
                <w:szCs w:val="20"/>
              </w:rPr>
              <w:t>i</w:t>
            </w:r>
            <w:r w:rsidRPr="008C2FA3">
              <w:rPr>
                <w:sz w:val="20"/>
                <w:szCs w:val="20"/>
              </w:rPr>
              <w:t>ntervener</w:t>
            </w:r>
            <w:r>
              <w:rPr>
                <w:sz w:val="20"/>
                <w:szCs w:val="20"/>
              </w:rPr>
              <w:t xml:space="preserve"> </w:t>
            </w:r>
            <w:r w:rsidRPr="008C2FA3">
              <w:rPr>
                <w:sz w:val="20"/>
                <w:szCs w:val="20"/>
              </w:rPr>
              <w:t>Amnesty International (Canadian Section, English Branch)</w:t>
            </w:r>
            <w:r>
              <w:rPr>
                <w:sz w:val="20"/>
                <w:szCs w:val="20"/>
              </w:rPr>
              <w:t xml:space="preserve"> </w:t>
            </w:r>
            <w:r w:rsidRPr="008C2FA3">
              <w:rPr>
                <w:sz w:val="20"/>
                <w:szCs w:val="20"/>
              </w:rPr>
              <w:t>(35388-35677-35685-35688-35958)</w:t>
            </w:r>
            <w:r>
              <w:rPr>
                <w:sz w:val="20"/>
                <w:szCs w:val="20"/>
              </w:rPr>
              <w:t>.</w:t>
            </w:r>
          </w:p>
          <w:p w:rsidR="00B777B9" w:rsidRPr="008C2FA3" w:rsidRDefault="00B777B9" w:rsidP="00B777B9">
            <w:pPr>
              <w:jc w:val="both"/>
              <w:rPr>
                <w:sz w:val="20"/>
                <w:szCs w:val="20"/>
              </w:rPr>
            </w:pPr>
          </w:p>
          <w:p w:rsidR="00B777B9" w:rsidRDefault="00B777B9" w:rsidP="00B777B9">
            <w:pPr>
              <w:jc w:val="both"/>
              <w:rPr>
                <w:sz w:val="20"/>
                <w:szCs w:val="20"/>
              </w:rPr>
            </w:pPr>
            <w:r w:rsidRPr="008C2FA3">
              <w:rPr>
                <w:sz w:val="20"/>
                <w:szCs w:val="20"/>
              </w:rPr>
              <w:t>Andrew I. Nathanson</w:t>
            </w:r>
            <w:r>
              <w:rPr>
                <w:sz w:val="20"/>
                <w:szCs w:val="20"/>
              </w:rPr>
              <w:t xml:space="preserve"> and </w:t>
            </w:r>
            <w:r w:rsidRPr="008C2FA3">
              <w:rPr>
                <w:sz w:val="20"/>
                <w:szCs w:val="20"/>
              </w:rPr>
              <w:t>Gavin Cameron</w:t>
            </w:r>
            <w:r>
              <w:rPr>
                <w:sz w:val="20"/>
                <w:szCs w:val="20"/>
              </w:rPr>
              <w:t xml:space="preserve"> f</w:t>
            </w:r>
            <w:r w:rsidRPr="008C2FA3">
              <w:rPr>
                <w:sz w:val="20"/>
                <w:szCs w:val="20"/>
              </w:rPr>
              <w:t xml:space="preserve">or the </w:t>
            </w:r>
            <w:r>
              <w:rPr>
                <w:sz w:val="20"/>
                <w:szCs w:val="20"/>
              </w:rPr>
              <w:t>i</w:t>
            </w:r>
            <w:r w:rsidRPr="008C2FA3">
              <w:rPr>
                <w:sz w:val="20"/>
                <w:szCs w:val="20"/>
              </w:rPr>
              <w:t>ntervener</w:t>
            </w:r>
            <w:r>
              <w:rPr>
                <w:sz w:val="20"/>
                <w:szCs w:val="20"/>
              </w:rPr>
              <w:t xml:space="preserve"> </w:t>
            </w:r>
            <w:r w:rsidRPr="008C2FA3">
              <w:rPr>
                <w:sz w:val="20"/>
                <w:szCs w:val="20"/>
              </w:rPr>
              <w:t>Canadian Civil Liberties Association</w:t>
            </w:r>
            <w:r>
              <w:rPr>
                <w:sz w:val="20"/>
                <w:szCs w:val="20"/>
              </w:rPr>
              <w:t xml:space="preserve"> </w:t>
            </w:r>
            <w:r w:rsidRPr="008C2FA3">
              <w:rPr>
                <w:sz w:val="20"/>
                <w:szCs w:val="20"/>
              </w:rPr>
              <w:t>(35677-35685-35688-35958)</w:t>
            </w:r>
            <w:r>
              <w:rPr>
                <w:sz w:val="20"/>
                <w:szCs w:val="20"/>
              </w:rPr>
              <w:t>.</w:t>
            </w:r>
          </w:p>
          <w:p w:rsidR="00B777B9" w:rsidRDefault="00B777B9" w:rsidP="00B777B9">
            <w:pPr>
              <w:jc w:val="both"/>
              <w:rPr>
                <w:sz w:val="20"/>
                <w:szCs w:val="20"/>
              </w:rPr>
            </w:pPr>
          </w:p>
          <w:p w:rsidR="00B777B9" w:rsidRDefault="00B777B9" w:rsidP="00B777B9">
            <w:pPr>
              <w:jc w:val="both"/>
              <w:rPr>
                <w:sz w:val="20"/>
                <w:szCs w:val="20"/>
              </w:rPr>
            </w:pPr>
            <w:r w:rsidRPr="008C2FA3">
              <w:rPr>
                <w:sz w:val="20"/>
                <w:szCs w:val="20"/>
              </w:rPr>
              <w:t>Marlys A. Edwardh</w:t>
            </w:r>
            <w:r>
              <w:rPr>
                <w:sz w:val="20"/>
                <w:szCs w:val="20"/>
              </w:rPr>
              <w:t xml:space="preserve"> and </w:t>
            </w:r>
            <w:r w:rsidRPr="008C2FA3">
              <w:rPr>
                <w:sz w:val="20"/>
                <w:szCs w:val="20"/>
              </w:rPr>
              <w:t>Daniel Sheppard</w:t>
            </w:r>
            <w:r>
              <w:rPr>
                <w:sz w:val="20"/>
                <w:szCs w:val="20"/>
              </w:rPr>
              <w:t xml:space="preserve"> f</w:t>
            </w:r>
            <w:r w:rsidRPr="008C2FA3">
              <w:rPr>
                <w:sz w:val="20"/>
                <w:szCs w:val="20"/>
              </w:rPr>
              <w:t xml:space="preserve">or the </w:t>
            </w:r>
            <w:r>
              <w:rPr>
                <w:sz w:val="20"/>
                <w:szCs w:val="20"/>
              </w:rPr>
              <w:t>i</w:t>
            </w:r>
            <w:r w:rsidRPr="008C2FA3">
              <w:rPr>
                <w:sz w:val="20"/>
                <w:szCs w:val="20"/>
              </w:rPr>
              <w:t>ntervener</w:t>
            </w:r>
            <w:r>
              <w:rPr>
                <w:sz w:val="20"/>
                <w:szCs w:val="20"/>
              </w:rPr>
              <w:t xml:space="preserve"> </w:t>
            </w:r>
            <w:r w:rsidRPr="008C2FA3">
              <w:rPr>
                <w:sz w:val="20"/>
                <w:szCs w:val="20"/>
              </w:rPr>
              <w:t>British Columbia Civil Liberties Association</w:t>
            </w:r>
            <w:r>
              <w:rPr>
                <w:sz w:val="20"/>
                <w:szCs w:val="20"/>
              </w:rPr>
              <w:t>.</w:t>
            </w:r>
          </w:p>
          <w:p w:rsidR="00B777B9" w:rsidRPr="008C2FA3" w:rsidRDefault="00B777B9" w:rsidP="00B777B9">
            <w:pPr>
              <w:jc w:val="both"/>
              <w:rPr>
                <w:sz w:val="20"/>
                <w:szCs w:val="20"/>
              </w:rPr>
            </w:pPr>
          </w:p>
          <w:p w:rsidR="00B777B9" w:rsidRPr="008C2FA3" w:rsidRDefault="00B777B9" w:rsidP="00B777B9">
            <w:pPr>
              <w:jc w:val="both"/>
              <w:rPr>
                <w:sz w:val="20"/>
                <w:szCs w:val="20"/>
              </w:rPr>
            </w:pPr>
            <w:r w:rsidRPr="008C2FA3">
              <w:rPr>
                <w:sz w:val="20"/>
                <w:szCs w:val="20"/>
              </w:rPr>
              <w:t>W. Paul Riley</w:t>
            </w:r>
            <w:r>
              <w:rPr>
                <w:sz w:val="20"/>
                <w:szCs w:val="20"/>
              </w:rPr>
              <w:t xml:space="preserve"> and </w:t>
            </w:r>
            <w:r w:rsidRPr="008C2FA3">
              <w:rPr>
                <w:sz w:val="20"/>
                <w:szCs w:val="20"/>
              </w:rPr>
              <w:t>Banafsheh Sokhansanj</w:t>
            </w:r>
            <w:r>
              <w:rPr>
                <w:sz w:val="20"/>
                <w:szCs w:val="20"/>
              </w:rPr>
              <w:t xml:space="preserve"> f</w:t>
            </w:r>
            <w:r w:rsidRPr="008C2FA3">
              <w:rPr>
                <w:sz w:val="20"/>
                <w:szCs w:val="20"/>
              </w:rPr>
              <w:t xml:space="preserve">or the </w:t>
            </w:r>
            <w:r>
              <w:rPr>
                <w:sz w:val="20"/>
                <w:szCs w:val="20"/>
              </w:rPr>
              <w:t>r</w:t>
            </w:r>
            <w:r w:rsidRPr="008C2FA3">
              <w:rPr>
                <w:sz w:val="20"/>
                <w:szCs w:val="20"/>
              </w:rPr>
              <w:t>espondents</w:t>
            </w:r>
            <w:r>
              <w:rPr>
                <w:sz w:val="20"/>
                <w:szCs w:val="20"/>
              </w:rPr>
              <w:t>.</w:t>
            </w:r>
          </w:p>
          <w:p w:rsidR="00B777B9" w:rsidRPr="008C2FA3" w:rsidRDefault="00B777B9" w:rsidP="00B777B9">
            <w:pPr>
              <w:jc w:val="both"/>
              <w:rPr>
                <w:sz w:val="20"/>
                <w:szCs w:val="20"/>
              </w:rPr>
            </w:pPr>
          </w:p>
          <w:p w:rsidR="00F83080" w:rsidRPr="00F83080" w:rsidRDefault="00B777B9" w:rsidP="00B777B9">
            <w:pPr>
              <w:widowControl w:val="0"/>
              <w:jc w:val="both"/>
              <w:rPr>
                <w:sz w:val="20"/>
                <w:szCs w:val="20"/>
              </w:rPr>
            </w:pPr>
            <w:r w:rsidRPr="008C2FA3">
              <w:rPr>
                <w:sz w:val="20"/>
                <w:szCs w:val="20"/>
              </w:rPr>
              <w:t>Hart Schwartz</w:t>
            </w:r>
            <w:r>
              <w:rPr>
                <w:sz w:val="20"/>
                <w:szCs w:val="20"/>
              </w:rPr>
              <w:t xml:space="preserve"> and </w:t>
            </w:r>
            <w:r w:rsidRPr="008C2FA3">
              <w:rPr>
                <w:sz w:val="20"/>
                <w:szCs w:val="20"/>
              </w:rPr>
              <w:t>Padraic Ryan</w:t>
            </w:r>
            <w:r>
              <w:rPr>
                <w:sz w:val="20"/>
                <w:szCs w:val="20"/>
              </w:rPr>
              <w:t xml:space="preserve"> f</w:t>
            </w:r>
            <w:r w:rsidRPr="008C2FA3">
              <w:rPr>
                <w:sz w:val="20"/>
                <w:szCs w:val="20"/>
              </w:rPr>
              <w:t xml:space="preserve">or the </w:t>
            </w:r>
            <w:r>
              <w:rPr>
                <w:sz w:val="20"/>
                <w:szCs w:val="20"/>
              </w:rPr>
              <w:t>i</w:t>
            </w:r>
            <w:r w:rsidRPr="008C2FA3">
              <w:rPr>
                <w:sz w:val="20"/>
                <w:szCs w:val="20"/>
              </w:rPr>
              <w:t>ntervener</w:t>
            </w:r>
            <w:r>
              <w:rPr>
                <w:sz w:val="20"/>
                <w:szCs w:val="20"/>
              </w:rPr>
              <w:t xml:space="preserve"> </w:t>
            </w:r>
            <w:r w:rsidRPr="008C2FA3">
              <w:rPr>
                <w:sz w:val="20"/>
                <w:szCs w:val="20"/>
              </w:rPr>
              <w:t>Attorney General of Ontario</w:t>
            </w:r>
            <w:r>
              <w:rPr>
                <w:sz w:val="20"/>
                <w:szCs w:val="20"/>
              </w:rPr>
              <w:t>.</w:t>
            </w:r>
          </w:p>
        </w:tc>
      </w:tr>
    </w:tbl>
    <w:p w:rsidR="00F83080" w:rsidRPr="00F83080" w:rsidRDefault="00F83080" w:rsidP="00F83080">
      <w:pPr>
        <w:widowControl w:val="0"/>
        <w:rPr>
          <w:sz w:val="20"/>
          <w:szCs w:val="20"/>
        </w:rPr>
      </w:pPr>
    </w:p>
    <w:p w:rsidR="00F83080" w:rsidRPr="0085476B" w:rsidRDefault="00F83080" w:rsidP="00F83080">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F83080" w:rsidRPr="00F83080" w:rsidRDefault="00F83080" w:rsidP="00F83080">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83080" w:rsidRPr="008B79EB" w:rsidTr="00A1374E">
        <w:tc>
          <w:tcPr>
            <w:tcW w:w="4380" w:type="dxa"/>
            <w:tcMar>
              <w:left w:w="0" w:type="dxa"/>
              <w:right w:w="0" w:type="dxa"/>
            </w:tcMar>
          </w:tcPr>
          <w:p w:rsidR="00F83080" w:rsidRPr="00CC4D84" w:rsidRDefault="00F83080" w:rsidP="00A1374E">
            <w:pPr>
              <w:widowControl w:val="0"/>
              <w:jc w:val="both"/>
              <w:rPr>
                <w:b/>
                <w:sz w:val="20"/>
                <w:szCs w:val="20"/>
                <w:u w:val="single"/>
              </w:rPr>
            </w:pPr>
            <w:r w:rsidRPr="00CC4D84">
              <w:rPr>
                <w:b/>
                <w:sz w:val="20"/>
                <w:szCs w:val="20"/>
                <w:u w:val="single"/>
              </w:rPr>
              <w:t>Nature of the case:</w:t>
            </w:r>
          </w:p>
          <w:p w:rsidR="00F83080" w:rsidRPr="001A663B" w:rsidRDefault="00F83080" w:rsidP="00A1374E">
            <w:pPr>
              <w:widowControl w:val="0"/>
              <w:jc w:val="both"/>
              <w:rPr>
                <w:b/>
                <w:sz w:val="20"/>
                <w:szCs w:val="20"/>
              </w:rPr>
            </w:pPr>
          </w:p>
          <w:p w:rsidR="009E3A84" w:rsidRPr="004C1B7C" w:rsidRDefault="009E3A84" w:rsidP="009E3A84">
            <w:pPr>
              <w:widowControl w:val="0"/>
              <w:jc w:val="both"/>
              <w:rPr>
                <w:sz w:val="20"/>
                <w:szCs w:val="20"/>
              </w:rPr>
            </w:pPr>
            <w:r w:rsidRPr="004C1B7C">
              <w:rPr>
                <w:sz w:val="20"/>
                <w:szCs w:val="20"/>
              </w:rPr>
              <w:t>(</w:t>
            </w:r>
            <w:r w:rsidRPr="004C1B7C">
              <w:rPr>
                <w:smallCaps/>
                <w:sz w:val="20"/>
                <w:szCs w:val="20"/>
              </w:rPr>
              <w:t xml:space="preserve">Publication </w:t>
            </w:r>
            <w:r w:rsidRPr="004C1B7C">
              <w:rPr>
                <w:smallCaps/>
                <w:sz w:val="20"/>
              </w:rPr>
              <w:t>B</w:t>
            </w:r>
            <w:r w:rsidRPr="004C1B7C">
              <w:rPr>
                <w:smallCaps/>
                <w:sz w:val="20"/>
                <w:szCs w:val="20"/>
              </w:rPr>
              <w:t xml:space="preserve">an in </w:t>
            </w:r>
            <w:r w:rsidRPr="004C1B7C">
              <w:rPr>
                <w:smallCaps/>
                <w:sz w:val="20"/>
              </w:rPr>
              <w:t>C</w:t>
            </w:r>
            <w:r w:rsidRPr="004C1B7C">
              <w:rPr>
                <w:smallCaps/>
                <w:sz w:val="20"/>
                <w:szCs w:val="20"/>
              </w:rPr>
              <w:t>ase</w:t>
            </w:r>
            <w:r w:rsidRPr="004C1B7C">
              <w:rPr>
                <w:sz w:val="20"/>
                <w:szCs w:val="20"/>
              </w:rPr>
              <w:t>)</w:t>
            </w:r>
          </w:p>
          <w:p w:rsidR="009E3A84" w:rsidRDefault="009E3A84" w:rsidP="009E3A84">
            <w:pPr>
              <w:widowControl w:val="0"/>
              <w:jc w:val="both"/>
              <w:rPr>
                <w:sz w:val="20"/>
                <w:szCs w:val="20"/>
              </w:rPr>
            </w:pPr>
          </w:p>
          <w:p w:rsidR="009E3A84" w:rsidRPr="004C1B7C" w:rsidRDefault="009E3A84" w:rsidP="009E3A84">
            <w:pPr>
              <w:widowControl w:val="0"/>
              <w:jc w:val="both"/>
              <w:rPr>
                <w:sz w:val="20"/>
                <w:szCs w:val="20"/>
              </w:rPr>
            </w:pPr>
          </w:p>
          <w:p w:rsidR="00F83080" w:rsidRPr="00C1697B" w:rsidRDefault="009E3A84" w:rsidP="009E3A84">
            <w:pPr>
              <w:widowControl w:val="0"/>
              <w:jc w:val="both"/>
              <w:rPr>
                <w:b/>
                <w:sz w:val="20"/>
                <w:szCs w:val="20"/>
              </w:rPr>
            </w:pPr>
            <w:r w:rsidRPr="004C1B7C">
              <w:rPr>
                <w:i/>
                <w:sz w:val="20"/>
                <w:szCs w:val="20"/>
              </w:rPr>
              <w:t>Charter of Rights and Freedoms</w:t>
            </w:r>
            <w:r w:rsidRPr="004C1B7C">
              <w:rPr>
                <w:sz w:val="20"/>
                <w:szCs w:val="20"/>
              </w:rPr>
              <w:t xml:space="preserve"> - Constitutional law - Right to life, liberty and security of the person - Overbreadth - Provision of the </w:t>
            </w:r>
            <w:r w:rsidRPr="004C1B7C">
              <w:rPr>
                <w:i/>
                <w:sz w:val="20"/>
                <w:szCs w:val="20"/>
              </w:rPr>
              <w:t>Immigration and Refugee Protection Act</w:t>
            </w:r>
            <w:r w:rsidRPr="004C1B7C">
              <w:rPr>
                <w:sz w:val="20"/>
                <w:szCs w:val="20"/>
              </w:rPr>
              <w:t xml:space="preserve"> making it an offence to knowingly aid or abet the coming into Canada of one or more persons who are not in possession of a visa, passport or other document required by that Act - Whether the provision is overbroad or vague and therefore unjustifiably infringes s. 7 of the </w:t>
            </w:r>
            <w:r w:rsidRPr="004C1B7C">
              <w:rPr>
                <w:i/>
                <w:sz w:val="20"/>
                <w:szCs w:val="20"/>
              </w:rPr>
              <w:t>Canadian Charter of Rights and Freedoms</w:t>
            </w:r>
            <w:r w:rsidRPr="004C1B7C">
              <w:rPr>
                <w:sz w:val="20"/>
                <w:szCs w:val="20"/>
              </w:rPr>
              <w:t xml:space="preserve">? - </w:t>
            </w:r>
            <w:r w:rsidRPr="004C1B7C">
              <w:rPr>
                <w:i/>
                <w:sz w:val="20"/>
                <w:szCs w:val="20"/>
              </w:rPr>
              <w:t>Immigration and Refugee Protection Act</w:t>
            </w:r>
            <w:r w:rsidRPr="004C1B7C">
              <w:rPr>
                <w:sz w:val="20"/>
                <w:szCs w:val="20"/>
              </w:rPr>
              <w:t>, S.C. 2001, c. 27 (“</w:t>
            </w:r>
            <w:r w:rsidRPr="004C1B7C">
              <w:rPr>
                <w:i/>
                <w:sz w:val="20"/>
                <w:szCs w:val="20"/>
              </w:rPr>
              <w:t>IRPA</w:t>
            </w:r>
            <w:r w:rsidRPr="004C1B7C">
              <w:rPr>
                <w:sz w:val="20"/>
                <w:szCs w:val="20"/>
              </w:rPr>
              <w:t>”), s. 117.</w:t>
            </w:r>
          </w:p>
        </w:tc>
        <w:tc>
          <w:tcPr>
            <w:tcW w:w="720" w:type="dxa"/>
            <w:tcMar>
              <w:left w:w="0" w:type="dxa"/>
              <w:right w:w="0" w:type="dxa"/>
            </w:tcMar>
          </w:tcPr>
          <w:p w:rsidR="00F83080" w:rsidRPr="00C1697B" w:rsidRDefault="00F83080" w:rsidP="00A1374E">
            <w:pPr>
              <w:widowControl w:val="0"/>
              <w:jc w:val="center"/>
              <w:rPr>
                <w:sz w:val="20"/>
                <w:szCs w:val="20"/>
              </w:rPr>
            </w:pPr>
          </w:p>
        </w:tc>
        <w:tc>
          <w:tcPr>
            <w:tcW w:w="4380" w:type="dxa"/>
            <w:tcMar>
              <w:left w:w="0" w:type="dxa"/>
              <w:right w:w="0" w:type="dxa"/>
            </w:tcMar>
          </w:tcPr>
          <w:p w:rsidR="00F83080" w:rsidRPr="00CC4D84" w:rsidRDefault="00F83080" w:rsidP="00A1374E">
            <w:pPr>
              <w:widowControl w:val="0"/>
              <w:jc w:val="both"/>
              <w:rPr>
                <w:b/>
                <w:sz w:val="20"/>
                <w:szCs w:val="20"/>
                <w:u w:val="single"/>
                <w:lang w:val="fr-CA"/>
              </w:rPr>
            </w:pPr>
            <w:r w:rsidRPr="00CC4D84">
              <w:rPr>
                <w:b/>
                <w:sz w:val="20"/>
                <w:szCs w:val="20"/>
                <w:u w:val="single"/>
                <w:lang w:val="fr-CA"/>
              </w:rPr>
              <w:t>Nature de la cause :</w:t>
            </w:r>
          </w:p>
          <w:p w:rsidR="00F83080" w:rsidRPr="00C1697B" w:rsidRDefault="00F83080" w:rsidP="00A1374E">
            <w:pPr>
              <w:widowControl w:val="0"/>
              <w:jc w:val="both"/>
              <w:rPr>
                <w:sz w:val="20"/>
                <w:szCs w:val="20"/>
                <w:lang w:val="fr-CA"/>
              </w:rPr>
            </w:pPr>
          </w:p>
          <w:p w:rsidR="009E3A84" w:rsidRPr="003E2272" w:rsidRDefault="009E3A84" w:rsidP="009E3A84">
            <w:pPr>
              <w:widowControl w:val="0"/>
              <w:jc w:val="both"/>
              <w:rPr>
                <w:sz w:val="20"/>
                <w:szCs w:val="20"/>
                <w:lang w:val="fr-CA"/>
              </w:rPr>
            </w:pPr>
            <w:r w:rsidRPr="003E2272">
              <w:rPr>
                <w:sz w:val="20"/>
                <w:szCs w:val="20"/>
                <w:lang w:val="fr-CA"/>
              </w:rPr>
              <w:t>(</w:t>
            </w:r>
            <w:r w:rsidRPr="003E2272">
              <w:rPr>
                <w:smallCaps/>
                <w:sz w:val="20"/>
                <w:szCs w:val="20"/>
                <w:lang w:val="fr-CA"/>
              </w:rPr>
              <w:t>Ordonnance de non-publication dans le dossier</w:t>
            </w:r>
            <w:r w:rsidRPr="003E2272">
              <w:rPr>
                <w:sz w:val="20"/>
                <w:szCs w:val="20"/>
                <w:lang w:val="fr-CA"/>
              </w:rPr>
              <w:t>)</w:t>
            </w:r>
          </w:p>
          <w:p w:rsidR="009E3A84" w:rsidRPr="003E2272" w:rsidRDefault="009E3A84" w:rsidP="009E3A84">
            <w:pPr>
              <w:widowControl w:val="0"/>
              <w:jc w:val="both"/>
              <w:rPr>
                <w:sz w:val="20"/>
                <w:szCs w:val="20"/>
                <w:lang w:val="fr-CA"/>
              </w:rPr>
            </w:pPr>
          </w:p>
          <w:p w:rsidR="00F83080" w:rsidRPr="00C1697B" w:rsidRDefault="009E3A84" w:rsidP="009E3A84">
            <w:pPr>
              <w:widowControl w:val="0"/>
              <w:jc w:val="both"/>
              <w:rPr>
                <w:sz w:val="20"/>
                <w:szCs w:val="20"/>
                <w:lang w:val="fr-CA"/>
              </w:rPr>
            </w:pPr>
            <w:r w:rsidRPr="003E2272">
              <w:rPr>
                <w:i/>
                <w:sz w:val="20"/>
                <w:szCs w:val="20"/>
                <w:lang w:val="fr-CA"/>
              </w:rPr>
              <w:t xml:space="preserve">Charte des droits et libertés </w:t>
            </w:r>
            <w:r w:rsidRPr="003E2272">
              <w:rPr>
                <w:sz w:val="20"/>
                <w:szCs w:val="20"/>
                <w:lang w:val="fr-CA"/>
              </w:rPr>
              <w:t xml:space="preserve">- Droit constitutionnel - Droit à la vie, à la liberté et à la sécurité de la personne - Portée excessive - Aux termes d’une disposition de la </w:t>
            </w:r>
            <w:r w:rsidRPr="003E2272">
              <w:rPr>
                <w:i/>
                <w:sz w:val="20"/>
                <w:szCs w:val="20"/>
                <w:lang w:val="fr-CA"/>
              </w:rPr>
              <w:t>Loi sur l’immigration et la protection des réfugiés</w:t>
            </w:r>
            <w:r w:rsidRPr="003E2272">
              <w:rPr>
                <w:sz w:val="20"/>
                <w:szCs w:val="20"/>
                <w:lang w:val="fr-CA"/>
              </w:rPr>
              <w:t xml:space="preserve">, est coupable d’une infraction quiconque sciemment aide ou encourage l’entrée au Canada d’une ou de plusieurs personnes qui ne sont pas munies d’un visa, d’un passeport ou d’un autre document exigé par cette loi - La disposition a-t-elle une portée excessive ou est-elle imprécise, violant ainsi d’une manière injustifiable l’art. 7 de la </w:t>
            </w:r>
            <w:r w:rsidRPr="003E2272">
              <w:rPr>
                <w:i/>
                <w:sz w:val="20"/>
                <w:szCs w:val="20"/>
                <w:lang w:val="fr-CA"/>
              </w:rPr>
              <w:t>Charte canadienne des droits et libertés</w:t>
            </w:r>
            <w:r w:rsidRPr="003E2272">
              <w:rPr>
                <w:sz w:val="20"/>
                <w:szCs w:val="20"/>
                <w:lang w:val="fr-CA"/>
              </w:rPr>
              <w:t xml:space="preserve">? - </w:t>
            </w:r>
            <w:r w:rsidRPr="003E2272">
              <w:rPr>
                <w:i/>
                <w:sz w:val="20"/>
                <w:szCs w:val="20"/>
                <w:lang w:val="fr-CA"/>
              </w:rPr>
              <w:t xml:space="preserve">Loi sur l’immigration et la protection des réfugiés, </w:t>
            </w:r>
            <w:r w:rsidRPr="003E2272">
              <w:rPr>
                <w:sz w:val="20"/>
                <w:szCs w:val="20"/>
                <w:lang w:val="fr-CA"/>
              </w:rPr>
              <w:t>L.C. 2001, c. 27 (« </w:t>
            </w:r>
            <w:r w:rsidRPr="003E2272">
              <w:rPr>
                <w:i/>
                <w:sz w:val="20"/>
                <w:szCs w:val="20"/>
                <w:lang w:val="fr-CA"/>
              </w:rPr>
              <w:t>LIPR</w:t>
            </w:r>
            <w:r w:rsidRPr="003E2272">
              <w:rPr>
                <w:sz w:val="20"/>
                <w:szCs w:val="20"/>
                <w:lang w:val="fr-CA"/>
              </w:rPr>
              <w:t> ») art. 117.</w:t>
            </w:r>
          </w:p>
        </w:tc>
      </w:tr>
    </w:tbl>
    <w:p w:rsidR="00F83080" w:rsidRDefault="00F83080" w:rsidP="00F83080">
      <w:pPr>
        <w:widowControl w:val="0"/>
        <w:rPr>
          <w:sz w:val="20"/>
          <w:szCs w:val="20"/>
          <w:lang w:val="fr-CA"/>
        </w:rPr>
      </w:pPr>
    </w:p>
    <w:p w:rsidR="00F83080" w:rsidRDefault="005A3634" w:rsidP="00732DB7">
      <w:pPr>
        <w:widowControl w:val="0"/>
        <w:rPr>
          <w:sz w:val="20"/>
          <w:szCs w:val="20"/>
          <w:lang w:val="fr-CA"/>
        </w:rPr>
      </w:pPr>
      <w:r>
        <w:rPr>
          <w:sz w:val="20"/>
          <w:szCs w:val="20"/>
          <w:lang w:val="fr-CA"/>
        </w:rPr>
        <w:pict>
          <v:rect id="_x0000_i1085" style="width:2in;height:1pt" o:hrpct="0" o:hralign="center" o:hrstd="t" o:hrnoshade="t" o:hr="t" fillcolor="black [3213]" stroked="f"/>
        </w:pict>
      </w:r>
    </w:p>
    <w:p w:rsidR="00B868F3" w:rsidRDefault="00B868F3">
      <w:pPr>
        <w:rPr>
          <w:sz w:val="20"/>
          <w:szCs w:val="20"/>
        </w:rPr>
      </w:pPr>
      <w:r>
        <w:rPr>
          <w:sz w:val="20"/>
          <w:szCs w:val="20"/>
        </w:rPr>
        <w:br w:type="page"/>
      </w:r>
    </w:p>
    <w:p w:rsidR="00F83080" w:rsidRPr="00F83080" w:rsidRDefault="00F83080" w:rsidP="00F83080">
      <w:pPr>
        <w:widowControl w:val="0"/>
        <w:rPr>
          <w:sz w:val="20"/>
          <w:szCs w:val="20"/>
        </w:rPr>
      </w:pPr>
      <w:r w:rsidRPr="00F83080">
        <w:rPr>
          <w:sz w:val="20"/>
          <w:szCs w:val="20"/>
        </w:rPr>
        <w:lastRenderedPageBreak/>
        <w:t>1</w:t>
      </w:r>
      <w:r>
        <w:rPr>
          <w:sz w:val="20"/>
          <w:szCs w:val="20"/>
        </w:rPr>
        <w:t>9</w:t>
      </w:r>
      <w:r w:rsidRPr="00F83080">
        <w:rPr>
          <w:sz w:val="20"/>
          <w:szCs w:val="20"/>
        </w:rPr>
        <w:t>.02.2015</w:t>
      </w:r>
    </w:p>
    <w:p w:rsidR="00F83080" w:rsidRPr="00F83080" w:rsidRDefault="00F83080" w:rsidP="00F83080">
      <w:pPr>
        <w:widowControl w:val="0"/>
        <w:rPr>
          <w:sz w:val="20"/>
          <w:szCs w:val="20"/>
        </w:rPr>
      </w:pPr>
    </w:p>
    <w:p w:rsidR="00342823" w:rsidRPr="00342823" w:rsidRDefault="00342823" w:rsidP="00342823">
      <w:pPr>
        <w:widowControl w:val="0"/>
        <w:ind w:left="720" w:hanging="720"/>
        <w:rPr>
          <w:sz w:val="20"/>
          <w:szCs w:val="20"/>
          <w:u w:val="single"/>
        </w:rPr>
      </w:pPr>
      <w:r w:rsidRPr="00342823">
        <w:rPr>
          <w:sz w:val="20"/>
          <w:szCs w:val="20"/>
        </w:rPr>
        <w:t xml:space="preserve">Coram: </w:t>
      </w:r>
      <w:r w:rsidRPr="00342823">
        <w:rPr>
          <w:sz w:val="20"/>
          <w:szCs w:val="20"/>
        </w:rPr>
        <w:tab/>
      </w:r>
      <w:r w:rsidRPr="00342823">
        <w:rPr>
          <w:sz w:val="20"/>
          <w:szCs w:val="20"/>
          <w:u w:val="single"/>
        </w:rPr>
        <w:t xml:space="preserve">McLachlin C.J. and Abella, </w:t>
      </w:r>
      <w:r>
        <w:rPr>
          <w:sz w:val="20"/>
          <w:szCs w:val="20"/>
          <w:u w:val="single"/>
        </w:rPr>
        <w:t>Cromw</w:t>
      </w:r>
      <w:r w:rsidRPr="00342823">
        <w:rPr>
          <w:sz w:val="20"/>
          <w:szCs w:val="20"/>
          <w:u w:val="single"/>
        </w:rPr>
        <w:t>e</w:t>
      </w:r>
      <w:r>
        <w:rPr>
          <w:sz w:val="20"/>
          <w:szCs w:val="20"/>
          <w:u w:val="single"/>
        </w:rPr>
        <w:t>ll</w:t>
      </w:r>
      <w:r w:rsidRPr="00342823">
        <w:rPr>
          <w:sz w:val="20"/>
          <w:szCs w:val="20"/>
          <w:u w:val="single"/>
        </w:rPr>
        <w:t>, Moldaver</w:t>
      </w:r>
      <w:r>
        <w:rPr>
          <w:sz w:val="20"/>
          <w:szCs w:val="20"/>
          <w:u w:val="single"/>
        </w:rPr>
        <w:t xml:space="preserve"> </w:t>
      </w:r>
      <w:r w:rsidRPr="00342823">
        <w:rPr>
          <w:sz w:val="20"/>
          <w:szCs w:val="20"/>
          <w:u w:val="single"/>
        </w:rPr>
        <w:t>an</w:t>
      </w:r>
      <w:r>
        <w:rPr>
          <w:sz w:val="20"/>
          <w:szCs w:val="20"/>
          <w:u w:val="single"/>
        </w:rPr>
        <w:t>d</w:t>
      </w:r>
      <w:r w:rsidRPr="00342823">
        <w:rPr>
          <w:sz w:val="20"/>
          <w:szCs w:val="20"/>
          <w:u w:val="single"/>
        </w:rPr>
        <w:t xml:space="preserve"> Wagner JJ.</w:t>
      </w:r>
    </w:p>
    <w:p w:rsidR="00F83080" w:rsidRPr="00F83080" w:rsidRDefault="00F83080" w:rsidP="00F83080">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83080" w:rsidRPr="00F83080" w:rsidTr="00A1374E">
        <w:tc>
          <w:tcPr>
            <w:tcW w:w="4380" w:type="dxa"/>
            <w:tcMar>
              <w:left w:w="0" w:type="dxa"/>
              <w:right w:w="0" w:type="dxa"/>
            </w:tcMar>
          </w:tcPr>
          <w:p w:rsidR="004E5E26" w:rsidRPr="004E5E26" w:rsidRDefault="004E5E26" w:rsidP="004E5E26">
            <w:pPr>
              <w:jc w:val="both"/>
              <w:rPr>
                <w:b/>
                <w:iCs/>
                <w:sz w:val="20"/>
                <w:szCs w:val="20"/>
              </w:rPr>
            </w:pPr>
            <w:r w:rsidRPr="004E5E26">
              <w:rPr>
                <w:b/>
                <w:iCs/>
                <w:sz w:val="20"/>
                <w:szCs w:val="20"/>
              </w:rPr>
              <w:t>Cladinoro Perrone</w:t>
            </w:r>
          </w:p>
          <w:p w:rsidR="004E5E26" w:rsidRPr="004E5E26" w:rsidRDefault="004E5E26" w:rsidP="004E5E26">
            <w:pPr>
              <w:jc w:val="both"/>
              <w:rPr>
                <w:b/>
                <w:iCs/>
                <w:sz w:val="20"/>
                <w:szCs w:val="20"/>
              </w:rPr>
            </w:pPr>
          </w:p>
          <w:p w:rsidR="004E5E26" w:rsidRDefault="004E5E26" w:rsidP="004E5E26">
            <w:pPr>
              <w:jc w:val="both"/>
              <w:rPr>
                <w:b/>
                <w:iCs/>
                <w:sz w:val="20"/>
                <w:szCs w:val="20"/>
              </w:rPr>
            </w:pPr>
            <w:r w:rsidRPr="004E5E26">
              <w:rPr>
                <w:b/>
                <w:iCs/>
                <w:sz w:val="20"/>
                <w:szCs w:val="20"/>
              </w:rPr>
              <w:tab/>
            </w:r>
            <w:r w:rsidRPr="00F04F8C">
              <w:rPr>
                <w:b/>
                <w:iCs/>
                <w:sz w:val="20"/>
                <w:szCs w:val="20"/>
              </w:rPr>
              <w:t>v.</w:t>
            </w:r>
            <w:r>
              <w:rPr>
                <w:b/>
                <w:iCs/>
                <w:sz w:val="20"/>
                <w:szCs w:val="20"/>
              </w:rPr>
              <w:t xml:space="preserve"> </w:t>
            </w:r>
            <w:r w:rsidR="00B868F3" w:rsidRPr="004D2CD2">
              <w:rPr>
                <w:sz w:val="20"/>
                <w:szCs w:val="20"/>
              </w:rPr>
              <w:t>(</w:t>
            </w:r>
            <w:hyperlink r:id="rId81" w:history="1">
              <w:r w:rsidR="00B868F3" w:rsidRPr="004D2CD2">
                <w:rPr>
                  <w:rStyle w:val="Hyperlink"/>
                  <w:sz w:val="20"/>
                  <w:szCs w:val="20"/>
                </w:rPr>
                <w:t>36021</w:t>
              </w:r>
            </w:hyperlink>
            <w:r w:rsidR="00B868F3" w:rsidRPr="004D2CD2">
              <w:rPr>
                <w:sz w:val="20"/>
                <w:szCs w:val="20"/>
              </w:rPr>
              <w:t>)</w:t>
            </w:r>
          </w:p>
          <w:p w:rsidR="004E5E26" w:rsidRDefault="004E5E26" w:rsidP="004E5E26">
            <w:pPr>
              <w:jc w:val="both"/>
              <w:rPr>
                <w:b/>
                <w:iCs/>
                <w:sz w:val="20"/>
                <w:szCs w:val="20"/>
              </w:rPr>
            </w:pPr>
          </w:p>
          <w:p w:rsidR="00B868F3" w:rsidRPr="00F83080" w:rsidRDefault="004E5E26" w:rsidP="00B868F3">
            <w:pPr>
              <w:widowControl w:val="0"/>
              <w:rPr>
                <w:sz w:val="20"/>
                <w:szCs w:val="20"/>
              </w:rPr>
            </w:pPr>
            <w:r w:rsidRPr="00CD1AE2">
              <w:rPr>
                <w:b/>
                <w:iCs/>
                <w:sz w:val="20"/>
                <w:szCs w:val="20"/>
              </w:rPr>
              <w:t xml:space="preserve">Her Majesty the Queen </w:t>
            </w:r>
            <w:r w:rsidRPr="00CD1AE2">
              <w:rPr>
                <w:b/>
                <w:sz w:val="20"/>
                <w:szCs w:val="20"/>
              </w:rPr>
              <w:t>(</w:t>
            </w:r>
            <w:r>
              <w:rPr>
                <w:b/>
                <w:sz w:val="20"/>
                <w:szCs w:val="20"/>
              </w:rPr>
              <w:t>Man</w:t>
            </w:r>
            <w:r w:rsidRPr="00CD1AE2">
              <w:rPr>
                <w:b/>
                <w:sz w:val="20"/>
                <w:szCs w:val="20"/>
              </w:rPr>
              <w:t>.) (Criminal) (</w:t>
            </w:r>
            <w:r>
              <w:rPr>
                <w:b/>
                <w:sz w:val="20"/>
                <w:szCs w:val="20"/>
              </w:rPr>
              <w:t>As of Right</w:t>
            </w:r>
            <w:r w:rsidRPr="00CD1AE2">
              <w:rPr>
                <w:b/>
                <w:sz w:val="20"/>
                <w:szCs w:val="20"/>
              </w:rPr>
              <w:t xml:space="preserve">) </w:t>
            </w:r>
          </w:p>
        </w:tc>
        <w:tc>
          <w:tcPr>
            <w:tcW w:w="720" w:type="dxa"/>
            <w:tcMar>
              <w:left w:w="0" w:type="dxa"/>
              <w:right w:w="0" w:type="dxa"/>
            </w:tcMar>
          </w:tcPr>
          <w:p w:rsidR="00F83080" w:rsidRPr="00F83080" w:rsidRDefault="00F83080" w:rsidP="00A1374E">
            <w:pPr>
              <w:widowControl w:val="0"/>
              <w:jc w:val="center"/>
              <w:rPr>
                <w:sz w:val="20"/>
                <w:szCs w:val="20"/>
              </w:rPr>
            </w:pPr>
          </w:p>
        </w:tc>
        <w:tc>
          <w:tcPr>
            <w:tcW w:w="4380" w:type="dxa"/>
            <w:tcMar>
              <w:left w:w="0" w:type="dxa"/>
              <w:right w:w="0" w:type="dxa"/>
            </w:tcMar>
          </w:tcPr>
          <w:p w:rsidR="00B868F3" w:rsidRDefault="00B868F3" w:rsidP="00B868F3">
            <w:pPr>
              <w:tabs>
                <w:tab w:val="left" w:pos="-2970"/>
              </w:tabs>
              <w:jc w:val="both"/>
              <w:rPr>
                <w:sz w:val="20"/>
                <w:szCs w:val="20"/>
                <w:lang w:val="en-US"/>
              </w:rPr>
            </w:pPr>
            <w:r w:rsidRPr="00184333">
              <w:rPr>
                <w:sz w:val="20"/>
                <w:szCs w:val="20"/>
                <w:lang w:val="en-US"/>
              </w:rPr>
              <w:t>Josh A. Weinstein</w:t>
            </w:r>
            <w:r>
              <w:rPr>
                <w:sz w:val="20"/>
                <w:szCs w:val="20"/>
                <w:lang w:val="en-US"/>
              </w:rPr>
              <w:t xml:space="preserve">, </w:t>
            </w:r>
            <w:r w:rsidRPr="00184333">
              <w:rPr>
                <w:sz w:val="20"/>
                <w:szCs w:val="20"/>
                <w:lang w:val="en-US"/>
              </w:rPr>
              <w:t>Lisa LaBossière</w:t>
            </w:r>
            <w:r>
              <w:rPr>
                <w:sz w:val="20"/>
                <w:szCs w:val="20"/>
                <w:lang w:val="en-US"/>
              </w:rPr>
              <w:t xml:space="preserve"> and </w:t>
            </w:r>
            <w:r w:rsidRPr="00184333">
              <w:rPr>
                <w:sz w:val="20"/>
                <w:szCs w:val="20"/>
                <w:lang w:val="en-US"/>
              </w:rPr>
              <w:t>Amanda Sansregret</w:t>
            </w:r>
            <w:r>
              <w:rPr>
                <w:sz w:val="20"/>
                <w:szCs w:val="20"/>
                <w:lang w:val="en-US"/>
              </w:rPr>
              <w:t xml:space="preserve"> f</w:t>
            </w:r>
            <w:r w:rsidRPr="00184333">
              <w:rPr>
                <w:sz w:val="20"/>
                <w:szCs w:val="20"/>
                <w:lang w:val="en-US"/>
              </w:rPr>
              <w:t xml:space="preserve">or the </w:t>
            </w:r>
            <w:r>
              <w:rPr>
                <w:sz w:val="20"/>
                <w:szCs w:val="20"/>
                <w:lang w:val="en-US"/>
              </w:rPr>
              <w:t>a</w:t>
            </w:r>
            <w:r w:rsidRPr="00184333">
              <w:rPr>
                <w:sz w:val="20"/>
                <w:szCs w:val="20"/>
                <w:lang w:val="en-US"/>
              </w:rPr>
              <w:t>ppellant</w:t>
            </w:r>
            <w:r>
              <w:rPr>
                <w:sz w:val="20"/>
                <w:szCs w:val="20"/>
                <w:lang w:val="en-US"/>
              </w:rPr>
              <w:t>.</w:t>
            </w:r>
          </w:p>
          <w:p w:rsidR="00B868F3" w:rsidRDefault="00B868F3" w:rsidP="00B868F3">
            <w:pPr>
              <w:tabs>
                <w:tab w:val="left" w:pos="-2970"/>
              </w:tabs>
              <w:jc w:val="both"/>
              <w:rPr>
                <w:sz w:val="20"/>
                <w:szCs w:val="20"/>
                <w:lang w:val="en-US"/>
              </w:rPr>
            </w:pPr>
          </w:p>
          <w:p w:rsidR="00F83080" w:rsidRPr="00F83080" w:rsidRDefault="00B868F3" w:rsidP="00B868F3">
            <w:pPr>
              <w:widowControl w:val="0"/>
              <w:jc w:val="both"/>
              <w:rPr>
                <w:sz w:val="20"/>
                <w:szCs w:val="20"/>
              </w:rPr>
            </w:pPr>
            <w:r w:rsidRPr="00184333">
              <w:rPr>
                <w:sz w:val="20"/>
                <w:szCs w:val="20"/>
                <w:lang w:val="en-US"/>
              </w:rPr>
              <w:t>Rekha Malaviya</w:t>
            </w:r>
            <w:r>
              <w:rPr>
                <w:sz w:val="20"/>
                <w:szCs w:val="20"/>
                <w:lang w:val="en-US"/>
              </w:rPr>
              <w:t xml:space="preserve"> and </w:t>
            </w:r>
            <w:r w:rsidRPr="00184333">
              <w:rPr>
                <w:sz w:val="20"/>
                <w:szCs w:val="20"/>
              </w:rPr>
              <w:t>Renée Lagimodière f</w:t>
            </w:r>
            <w:r w:rsidRPr="00184333">
              <w:rPr>
                <w:sz w:val="20"/>
                <w:szCs w:val="20"/>
                <w:lang w:val="en-US"/>
              </w:rPr>
              <w:t xml:space="preserve">or the </w:t>
            </w:r>
            <w:r>
              <w:rPr>
                <w:sz w:val="20"/>
                <w:szCs w:val="20"/>
                <w:lang w:val="en-US"/>
              </w:rPr>
              <w:t>r</w:t>
            </w:r>
            <w:r w:rsidRPr="00184333">
              <w:rPr>
                <w:sz w:val="20"/>
                <w:szCs w:val="20"/>
                <w:lang w:val="en-US"/>
              </w:rPr>
              <w:t>espondent</w:t>
            </w:r>
            <w:r>
              <w:rPr>
                <w:sz w:val="20"/>
                <w:szCs w:val="20"/>
                <w:lang w:val="en-US"/>
              </w:rPr>
              <w:t>.</w:t>
            </w:r>
          </w:p>
        </w:tc>
      </w:tr>
    </w:tbl>
    <w:p w:rsidR="00F83080" w:rsidRDefault="00F83080" w:rsidP="00F83080">
      <w:pPr>
        <w:widowControl w:val="0"/>
        <w:rPr>
          <w:sz w:val="20"/>
          <w:szCs w:val="20"/>
        </w:rPr>
      </w:pPr>
    </w:p>
    <w:p w:rsidR="00B868F3" w:rsidRPr="004D2CD2" w:rsidRDefault="00B868F3" w:rsidP="00B868F3">
      <w:pPr>
        <w:rPr>
          <w:rFonts w:eastAsia="Calibri"/>
          <w:b/>
          <w:iCs/>
          <w:sz w:val="20"/>
          <w:szCs w:val="20"/>
        </w:rPr>
      </w:pPr>
      <w:r w:rsidRPr="004D2CD2">
        <w:rPr>
          <w:rFonts w:eastAsia="Calibri"/>
          <w:b/>
          <w:iCs/>
          <w:sz w:val="20"/>
          <w:szCs w:val="20"/>
        </w:rPr>
        <w:t>2015 SCC 8 / 2015 CSC 8</w:t>
      </w:r>
    </w:p>
    <w:p w:rsidR="00B868F3" w:rsidRPr="00F83080" w:rsidRDefault="00B868F3" w:rsidP="00F83080">
      <w:pPr>
        <w:widowControl w:val="0"/>
        <w:rPr>
          <w:sz w:val="20"/>
          <w:szCs w:val="20"/>
        </w:rPr>
      </w:pPr>
    </w:p>
    <w:p w:rsidR="00B868F3" w:rsidRPr="004D2CD2" w:rsidRDefault="00B868F3" w:rsidP="00B868F3">
      <w:pPr>
        <w:widowControl w:val="0"/>
        <w:tabs>
          <w:tab w:val="left" w:pos="720"/>
          <w:tab w:val="left" w:pos="1440"/>
          <w:tab w:val="left" w:pos="2851"/>
          <w:tab w:val="left" w:pos="4320"/>
          <w:tab w:val="left" w:pos="10224"/>
          <w:tab w:val="left" w:pos="11376"/>
        </w:tabs>
        <w:rPr>
          <w:sz w:val="20"/>
          <w:szCs w:val="20"/>
        </w:rPr>
      </w:pPr>
      <w:r w:rsidRPr="004D2CD2">
        <w:rPr>
          <w:b/>
          <w:sz w:val="20"/>
          <w:szCs w:val="20"/>
        </w:rPr>
        <w:t>DISMISSED / REJETÉ</w:t>
      </w:r>
    </w:p>
    <w:p w:rsidR="00F83080" w:rsidRDefault="00F83080" w:rsidP="00F83080">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1788C" w:rsidRPr="008B79EB" w:rsidTr="002F2423">
        <w:tc>
          <w:tcPr>
            <w:tcW w:w="4380" w:type="dxa"/>
            <w:tcMar>
              <w:left w:w="0" w:type="dxa"/>
              <w:right w:w="0" w:type="dxa"/>
            </w:tcMar>
          </w:tcPr>
          <w:p w:rsidR="0061788C" w:rsidRPr="00CC4D84" w:rsidRDefault="0061788C" w:rsidP="002F2423">
            <w:pPr>
              <w:widowControl w:val="0"/>
              <w:jc w:val="both"/>
              <w:rPr>
                <w:b/>
                <w:sz w:val="20"/>
                <w:szCs w:val="20"/>
                <w:u w:val="single"/>
              </w:rPr>
            </w:pPr>
            <w:r>
              <w:rPr>
                <w:b/>
                <w:sz w:val="20"/>
                <w:szCs w:val="20"/>
                <w:u w:val="single"/>
              </w:rPr>
              <w:t>Judgment</w:t>
            </w:r>
            <w:r w:rsidRPr="00CC4D84">
              <w:rPr>
                <w:b/>
                <w:sz w:val="20"/>
                <w:szCs w:val="20"/>
                <w:u w:val="single"/>
              </w:rPr>
              <w:t>:</w:t>
            </w:r>
          </w:p>
          <w:p w:rsidR="0061788C" w:rsidRPr="001A663B" w:rsidRDefault="0061788C" w:rsidP="002F2423">
            <w:pPr>
              <w:widowControl w:val="0"/>
              <w:jc w:val="both"/>
              <w:rPr>
                <w:b/>
                <w:sz w:val="20"/>
                <w:szCs w:val="20"/>
              </w:rPr>
            </w:pPr>
          </w:p>
          <w:p w:rsidR="0061788C" w:rsidRPr="008A166F" w:rsidRDefault="0061788C" w:rsidP="0061788C">
            <w:pPr>
              <w:jc w:val="both"/>
              <w:rPr>
                <w:sz w:val="20"/>
                <w:szCs w:val="20"/>
              </w:rPr>
            </w:pPr>
            <w:r w:rsidRPr="008A166F">
              <w:rPr>
                <w:sz w:val="20"/>
                <w:szCs w:val="20"/>
              </w:rPr>
              <w:t xml:space="preserve">The appeal from the judgment of the Court of Appeal of Manitoba, Number AR 13-30-07926, 2014 MBCA 74, dated July 24, 2014, was heard on February 19, 2015, and the Court on that day delivered the following judgment orally: </w:t>
            </w:r>
          </w:p>
          <w:p w:rsidR="0061788C" w:rsidRPr="008A166F" w:rsidRDefault="0061788C" w:rsidP="0061788C">
            <w:pPr>
              <w:jc w:val="both"/>
              <w:rPr>
                <w:sz w:val="20"/>
                <w:szCs w:val="20"/>
              </w:rPr>
            </w:pPr>
          </w:p>
          <w:p w:rsidR="0061788C" w:rsidRPr="008A166F" w:rsidRDefault="0061788C" w:rsidP="0061788C">
            <w:pPr>
              <w:jc w:val="both"/>
              <w:rPr>
                <w:sz w:val="20"/>
                <w:szCs w:val="20"/>
              </w:rPr>
            </w:pPr>
            <w:r w:rsidRPr="008A166F">
              <w:rPr>
                <w:smallCaps/>
                <w:sz w:val="20"/>
                <w:szCs w:val="20"/>
              </w:rPr>
              <w:t>T</w:t>
            </w:r>
            <w:r w:rsidRPr="008A166F">
              <w:rPr>
                <w:rFonts w:cs="Times New Roman"/>
                <w:smallCaps/>
                <w:sz w:val="20"/>
                <w:szCs w:val="20"/>
              </w:rPr>
              <w:t>he Chief Justice</w:t>
            </w:r>
            <w:r w:rsidRPr="008A166F">
              <w:rPr>
                <w:rFonts w:cs="Times New Roman"/>
                <w:sz w:val="20"/>
                <w:szCs w:val="20"/>
              </w:rPr>
              <w:t xml:space="preserve"> —</w:t>
            </w:r>
            <w:r w:rsidRPr="008A166F">
              <w:rPr>
                <w:sz w:val="20"/>
                <w:szCs w:val="20"/>
              </w:rPr>
              <w:t xml:space="preserve"> We are all of the view that the appeal must be dismissed.  We agree with Justice Monnin of the Court of Appeal, for the majority, when he stated at para. 48:</w:t>
            </w:r>
          </w:p>
          <w:p w:rsidR="0061788C" w:rsidRPr="008A166F" w:rsidRDefault="0061788C" w:rsidP="0061788C">
            <w:pPr>
              <w:jc w:val="both"/>
              <w:rPr>
                <w:sz w:val="20"/>
                <w:szCs w:val="20"/>
              </w:rPr>
            </w:pPr>
          </w:p>
          <w:p w:rsidR="0061788C" w:rsidRPr="008A166F" w:rsidRDefault="0061788C" w:rsidP="0061788C">
            <w:pPr>
              <w:ind w:left="360"/>
              <w:jc w:val="both"/>
              <w:rPr>
                <w:sz w:val="20"/>
                <w:szCs w:val="20"/>
              </w:rPr>
            </w:pPr>
            <w:r w:rsidRPr="008A166F">
              <w:rPr>
                <w:sz w:val="20"/>
                <w:szCs w:val="20"/>
              </w:rPr>
              <w:t>I am of the view that the trial judge, through her reasons, has confirmed that she assessed both the credibility and reliability of the witness taking into account the areas of concerns which she outlined.</w:t>
            </w:r>
          </w:p>
          <w:p w:rsidR="0061788C" w:rsidRPr="008A166F" w:rsidRDefault="0061788C" w:rsidP="0061788C">
            <w:pPr>
              <w:ind w:left="360"/>
              <w:jc w:val="both"/>
              <w:rPr>
                <w:sz w:val="20"/>
                <w:szCs w:val="20"/>
              </w:rPr>
            </w:pPr>
          </w:p>
          <w:p w:rsidR="0061788C" w:rsidRPr="00C1697B" w:rsidRDefault="0061788C" w:rsidP="0061788C">
            <w:pPr>
              <w:widowControl w:val="0"/>
              <w:jc w:val="both"/>
              <w:rPr>
                <w:b/>
                <w:sz w:val="20"/>
                <w:szCs w:val="20"/>
              </w:rPr>
            </w:pPr>
            <w:r w:rsidRPr="008A166F">
              <w:rPr>
                <w:sz w:val="20"/>
                <w:szCs w:val="20"/>
              </w:rPr>
              <w:t>The appeal is therefore dismissed.</w:t>
            </w:r>
          </w:p>
        </w:tc>
        <w:tc>
          <w:tcPr>
            <w:tcW w:w="720" w:type="dxa"/>
            <w:tcMar>
              <w:left w:w="0" w:type="dxa"/>
              <w:right w:w="0" w:type="dxa"/>
            </w:tcMar>
          </w:tcPr>
          <w:p w:rsidR="0061788C" w:rsidRPr="00C1697B" w:rsidRDefault="0061788C" w:rsidP="002F2423">
            <w:pPr>
              <w:widowControl w:val="0"/>
              <w:jc w:val="center"/>
              <w:rPr>
                <w:sz w:val="20"/>
                <w:szCs w:val="20"/>
              </w:rPr>
            </w:pPr>
          </w:p>
        </w:tc>
        <w:tc>
          <w:tcPr>
            <w:tcW w:w="4380" w:type="dxa"/>
            <w:tcMar>
              <w:left w:w="0" w:type="dxa"/>
              <w:right w:w="0" w:type="dxa"/>
            </w:tcMar>
          </w:tcPr>
          <w:p w:rsidR="0061788C" w:rsidRPr="00CC4D84" w:rsidRDefault="0061788C" w:rsidP="002F2423">
            <w:pPr>
              <w:widowControl w:val="0"/>
              <w:jc w:val="both"/>
              <w:rPr>
                <w:b/>
                <w:sz w:val="20"/>
                <w:szCs w:val="20"/>
                <w:u w:val="single"/>
                <w:lang w:val="fr-CA"/>
              </w:rPr>
            </w:pPr>
            <w:r>
              <w:rPr>
                <w:b/>
                <w:sz w:val="20"/>
                <w:szCs w:val="20"/>
                <w:u w:val="single"/>
                <w:lang w:val="fr-CA"/>
              </w:rPr>
              <w:t>J</w:t>
            </w:r>
            <w:r w:rsidRPr="00CC4D84">
              <w:rPr>
                <w:b/>
                <w:sz w:val="20"/>
                <w:szCs w:val="20"/>
                <w:u w:val="single"/>
                <w:lang w:val="fr-CA"/>
              </w:rPr>
              <w:t>u</w:t>
            </w:r>
            <w:r>
              <w:rPr>
                <w:b/>
                <w:sz w:val="20"/>
                <w:szCs w:val="20"/>
                <w:u w:val="single"/>
                <w:lang w:val="fr-CA"/>
              </w:rPr>
              <w:t>g</w:t>
            </w:r>
            <w:r w:rsidRPr="00CC4D84">
              <w:rPr>
                <w:b/>
                <w:sz w:val="20"/>
                <w:szCs w:val="20"/>
                <w:u w:val="single"/>
                <w:lang w:val="fr-CA"/>
              </w:rPr>
              <w:t>e</w:t>
            </w:r>
            <w:r>
              <w:rPr>
                <w:b/>
                <w:sz w:val="20"/>
                <w:szCs w:val="20"/>
                <w:u w:val="single"/>
                <w:lang w:val="fr-CA"/>
              </w:rPr>
              <w:t>m</w:t>
            </w:r>
            <w:r w:rsidRPr="00CC4D84">
              <w:rPr>
                <w:b/>
                <w:sz w:val="20"/>
                <w:szCs w:val="20"/>
                <w:u w:val="single"/>
                <w:lang w:val="fr-CA"/>
              </w:rPr>
              <w:t>e</w:t>
            </w:r>
            <w:r>
              <w:rPr>
                <w:b/>
                <w:sz w:val="20"/>
                <w:szCs w:val="20"/>
                <w:u w:val="single"/>
                <w:lang w:val="fr-CA"/>
              </w:rPr>
              <w:t xml:space="preserve">nt </w:t>
            </w:r>
            <w:r w:rsidRPr="00CC4D84">
              <w:rPr>
                <w:b/>
                <w:sz w:val="20"/>
                <w:szCs w:val="20"/>
                <w:u w:val="single"/>
                <w:lang w:val="fr-CA"/>
              </w:rPr>
              <w:t>:</w:t>
            </w:r>
          </w:p>
          <w:p w:rsidR="0061788C" w:rsidRPr="00C1697B" w:rsidRDefault="0061788C" w:rsidP="002F2423">
            <w:pPr>
              <w:widowControl w:val="0"/>
              <w:jc w:val="both"/>
              <w:rPr>
                <w:sz w:val="20"/>
                <w:szCs w:val="20"/>
                <w:lang w:val="fr-CA"/>
              </w:rPr>
            </w:pPr>
          </w:p>
          <w:p w:rsidR="0061788C" w:rsidRPr="008A166F" w:rsidRDefault="0061788C" w:rsidP="0061788C">
            <w:pPr>
              <w:jc w:val="both"/>
              <w:rPr>
                <w:sz w:val="20"/>
                <w:szCs w:val="20"/>
                <w:lang w:val="fr-CA"/>
              </w:rPr>
            </w:pPr>
            <w:r w:rsidRPr="008A166F">
              <w:rPr>
                <w:sz w:val="20"/>
                <w:szCs w:val="20"/>
                <w:lang w:val="fr-CA"/>
              </w:rPr>
              <w:t>L’appel interjeté contre l’arrêt de la Cour d’appel du Manitoba, numéro AR 13-30-07926, 2014 MBCA 74, daté du 24 juillet 2014, a été entendu le 19 février 2015 et la Cour a prononcé oralement le même jour le jugement suivant :</w:t>
            </w:r>
          </w:p>
          <w:p w:rsidR="0061788C" w:rsidRPr="008A166F" w:rsidRDefault="0061788C" w:rsidP="0061788C">
            <w:pPr>
              <w:jc w:val="both"/>
              <w:rPr>
                <w:sz w:val="20"/>
                <w:szCs w:val="20"/>
                <w:lang w:val="fr-CA"/>
              </w:rPr>
            </w:pPr>
          </w:p>
          <w:p w:rsidR="0061788C" w:rsidRPr="008A166F" w:rsidRDefault="0061788C" w:rsidP="0061788C">
            <w:pPr>
              <w:jc w:val="both"/>
              <w:rPr>
                <w:sz w:val="20"/>
                <w:szCs w:val="20"/>
                <w:lang w:val="fr-CA"/>
              </w:rPr>
            </w:pPr>
            <w:r w:rsidRPr="008A166F">
              <w:rPr>
                <w:smallCaps/>
                <w:sz w:val="20"/>
                <w:szCs w:val="20"/>
                <w:lang w:val="fr-CA"/>
              </w:rPr>
              <w:t>La Juge en chef</w:t>
            </w:r>
            <w:r w:rsidRPr="008A166F">
              <w:rPr>
                <w:sz w:val="20"/>
                <w:szCs w:val="20"/>
                <w:lang w:val="fr-CA"/>
              </w:rPr>
              <w:t xml:space="preserve"> </w:t>
            </w:r>
            <w:r w:rsidRPr="008A166F">
              <w:rPr>
                <w:rFonts w:cs="Times New Roman"/>
                <w:sz w:val="20"/>
                <w:szCs w:val="20"/>
                <w:lang w:val="fr-CA"/>
              </w:rPr>
              <w:t>—</w:t>
            </w:r>
            <w:r w:rsidRPr="008A166F">
              <w:rPr>
                <w:sz w:val="20"/>
                <w:szCs w:val="20"/>
                <w:lang w:val="fr-CA"/>
              </w:rPr>
              <w:t xml:space="preserve"> Nous </w:t>
            </w:r>
            <w:r w:rsidRPr="008A166F">
              <w:rPr>
                <w:rFonts w:asciiTheme="minorBidi" w:hAnsiTheme="minorBidi"/>
                <w:sz w:val="20"/>
                <w:szCs w:val="20"/>
                <w:lang w:val="fr-CA"/>
              </w:rPr>
              <w:t>sommes tous d’avis de rejeter l’appel</w:t>
            </w:r>
            <w:r w:rsidRPr="008A166F">
              <w:rPr>
                <w:sz w:val="20"/>
                <w:szCs w:val="20"/>
                <w:lang w:val="fr-CA"/>
              </w:rPr>
              <w:t>.  Nous souscrivons aux propos suivants qu’a exprimés le juge Monnin de la Cour d’appel, au nom de la majorité, au par. 48 :</w:t>
            </w:r>
          </w:p>
          <w:p w:rsidR="0061788C" w:rsidRPr="008A166F" w:rsidRDefault="0061788C" w:rsidP="0061788C">
            <w:pPr>
              <w:jc w:val="both"/>
              <w:rPr>
                <w:sz w:val="20"/>
                <w:szCs w:val="20"/>
                <w:lang w:val="fr-CA"/>
              </w:rPr>
            </w:pPr>
          </w:p>
          <w:p w:rsidR="0061788C" w:rsidRPr="008A166F" w:rsidRDefault="0061788C" w:rsidP="0061788C">
            <w:pPr>
              <w:ind w:left="288"/>
              <w:jc w:val="both"/>
              <w:rPr>
                <w:sz w:val="20"/>
                <w:szCs w:val="20"/>
                <w:lang w:val="fr-CA"/>
              </w:rPr>
            </w:pPr>
            <w:r w:rsidRPr="008A166F">
              <w:rPr>
                <w:smallCaps/>
                <w:sz w:val="20"/>
                <w:szCs w:val="20"/>
                <w:lang w:val="fr-CA"/>
              </w:rPr>
              <w:t xml:space="preserve">[traduction] </w:t>
            </w:r>
            <w:r w:rsidRPr="008A166F">
              <w:rPr>
                <w:sz w:val="20"/>
                <w:szCs w:val="20"/>
                <w:lang w:val="fr-CA"/>
              </w:rPr>
              <w:t>Je suis d’avis que les motifs de la juge du procès confirment que celle-ci a apprécié à la fois la crédibilité du témoin et la fiabilité de son témoignage en tenant compte des aspects préoccupants qu’elle avait soulignés.</w:t>
            </w:r>
          </w:p>
          <w:p w:rsidR="0061788C" w:rsidRPr="008A166F" w:rsidRDefault="0061788C" w:rsidP="0061788C">
            <w:pPr>
              <w:jc w:val="both"/>
              <w:rPr>
                <w:sz w:val="20"/>
                <w:szCs w:val="20"/>
                <w:lang w:val="fr-CA"/>
              </w:rPr>
            </w:pPr>
          </w:p>
          <w:p w:rsidR="0061788C" w:rsidRPr="00C1697B" w:rsidRDefault="0061788C" w:rsidP="0061788C">
            <w:pPr>
              <w:widowControl w:val="0"/>
              <w:jc w:val="both"/>
              <w:rPr>
                <w:sz w:val="20"/>
                <w:szCs w:val="20"/>
                <w:lang w:val="fr-CA"/>
              </w:rPr>
            </w:pPr>
            <w:r w:rsidRPr="008A166F">
              <w:rPr>
                <w:sz w:val="20"/>
                <w:szCs w:val="20"/>
                <w:lang w:val="fr-CA"/>
              </w:rPr>
              <w:t>L’appel est par conséquent rejeté</w:t>
            </w:r>
            <w:r w:rsidRPr="008A166F">
              <w:rPr>
                <w:smallCaps/>
                <w:sz w:val="20"/>
                <w:szCs w:val="20"/>
                <w:lang w:val="fr-CA"/>
              </w:rPr>
              <w:t>.</w:t>
            </w:r>
          </w:p>
        </w:tc>
      </w:tr>
    </w:tbl>
    <w:p w:rsidR="0061788C" w:rsidRPr="0061788C" w:rsidRDefault="0061788C" w:rsidP="00F83080">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83080" w:rsidRPr="008B79EB" w:rsidTr="00A1374E">
        <w:tc>
          <w:tcPr>
            <w:tcW w:w="4380" w:type="dxa"/>
            <w:tcMar>
              <w:left w:w="0" w:type="dxa"/>
              <w:right w:w="0" w:type="dxa"/>
            </w:tcMar>
          </w:tcPr>
          <w:p w:rsidR="00F83080" w:rsidRPr="00CC4D84" w:rsidRDefault="00F83080" w:rsidP="00A1374E">
            <w:pPr>
              <w:widowControl w:val="0"/>
              <w:jc w:val="both"/>
              <w:rPr>
                <w:b/>
                <w:sz w:val="20"/>
                <w:szCs w:val="20"/>
                <w:u w:val="single"/>
              </w:rPr>
            </w:pPr>
            <w:r w:rsidRPr="00CC4D84">
              <w:rPr>
                <w:b/>
                <w:sz w:val="20"/>
                <w:szCs w:val="20"/>
                <w:u w:val="single"/>
              </w:rPr>
              <w:t>Nature of the case:</w:t>
            </w:r>
          </w:p>
          <w:p w:rsidR="00F83080" w:rsidRPr="001A663B" w:rsidRDefault="00F83080" w:rsidP="00A1374E">
            <w:pPr>
              <w:widowControl w:val="0"/>
              <w:jc w:val="both"/>
              <w:rPr>
                <w:b/>
                <w:sz w:val="20"/>
                <w:szCs w:val="20"/>
              </w:rPr>
            </w:pPr>
          </w:p>
          <w:p w:rsidR="009753EE" w:rsidRPr="007E3BA7" w:rsidRDefault="009753EE" w:rsidP="009753EE">
            <w:pPr>
              <w:widowControl w:val="0"/>
              <w:jc w:val="both"/>
              <w:rPr>
                <w:smallCaps/>
                <w:sz w:val="20"/>
                <w:szCs w:val="20"/>
              </w:rPr>
            </w:pPr>
            <w:r w:rsidRPr="007E3BA7">
              <w:rPr>
                <w:smallCaps/>
                <w:sz w:val="20"/>
                <w:szCs w:val="20"/>
              </w:rPr>
              <w:t>(Publication Ban in Case)</w:t>
            </w:r>
          </w:p>
          <w:p w:rsidR="009753EE" w:rsidRDefault="009753EE" w:rsidP="009753EE">
            <w:pPr>
              <w:widowControl w:val="0"/>
              <w:jc w:val="both"/>
              <w:rPr>
                <w:sz w:val="20"/>
                <w:szCs w:val="20"/>
              </w:rPr>
            </w:pPr>
          </w:p>
          <w:p w:rsidR="009753EE" w:rsidRPr="007E3BA7" w:rsidRDefault="009753EE" w:rsidP="009753EE">
            <w:pPr>
              <w:widowControl w:val="0"/>
              <w:jc w:val="both"/>
              <w:rPr>
                <w:sz w:val="20"/>
                <w:szCs w:val="20"/>
              </w:rPr>
            </w:pPr>
          </w:p>
          <w:p w:rsidR="00F83080" w:rsidRPr="00C1697B" w:rsidRDefault="009753EE" w:rsidP="009753EE">
            <w:pPr>
              <w:widowControl w:val="0"/>
              <w:jc w:val="both"/>
              <w:rPr>
                <w:b/>
                <w:sz w:val="20"/>
                <w:szCs w:val="20"/>
              </w:rPr>
            </w:pPr>
            <w:r w:rsidRPr="007E3BA7">
              <w:rPr>
                <w:sz w:val="20"/>
                <w:szCs w:val="20"/>
              </w:rPr>
              <w:t>Criminal law - Sexual assault - Assessment of evidence - Credibility and reliability - Whether the trial judge gave proper consideration to the issue of reliability, separate and apart from the issue of credibility, when assessing the complainant’s evidence.</w:t>
            </w:r>
          </w:p>
        </w:tc>
        <w:tc>
          <w:tcPr>
            <w:tcW w:w="720" w:type="dxa"/>
            <w:tcMar>
              <w:left w:w="0" w:type="dxa"/>
              <w:right w:w="0" w:type="dxa"/>
            </w:tcMar>
          </w:tcPr>
          <w:p w:rsidR="00F83080" w:rsidRPr="00C1697B" w:rsidRDefault="00F83080" w:rsidP="00A1374E">
            <w:pPr>
              <w:widowControl w:val="0"/>
              <w:jc w:val="center"/>
              <w:rPr>
                <w:sz w:val="20"/>
                <w:szCs w:val="20"/>
              </w:rPr>
            </w:pPr>
          </w:p>
        </w:tc>
        <w:tc>
          <w:tcPr>
            <w:tcW w:w="4380" w:type="dxa"/>
            <w:tcMar>
              <w:left w:w="0" w:type="dxa"/>
              <w:right w:w="0" w:type="dxa"/>
            </w:tcMar>
          </w:tcPr>
          <w:p w:rsidR="00F83080" w:rsidRPr="00CC4D84" w:rsidRDefault="00F83080" w:rsidP="00A1374E">
            <w:pPr>
              <w:widowControl w:val="0"/>
              <w:jc w:val="both"/>
              <w:rPr>
                <w:b/>
                <w:sz w:val="20"/>
                <w:szCs w:val="20"/>
                <w:u w:val="single"/>
                <w:lang w:val="fr-CA"/>
              </w:rPr>
            </w:pPr>
            <w:r w:rsidRPr="00CC4D84">
              <w:rPr>
                <w:b/>
                <w:sz w:val="20"/>
                <w:szCs w:val="20"/>
                <w:u w:val="single"/>
                <w:lang w:val="fr-CA"/>
              </w:rPr>
              <w:t>Nature de la cause :</w:t>
            </w:r>
          </w:p>
          <w:p w:rsidR="00F83080" w:rsidRPr="00C1697B" w:rsidRDefault="00F83080" w:rsidP="00A1374E">
            <w:pPr>
              <w:widowControl w:val="0"/>
              <w:jc w:val="both"/>
              <w:rPr>
                <w:sz w:val="20"/>
                <w:szCs w:val="20"/>
                <w:lang w:val="fr-CA"/>
              </w:rPr>
            </w:pPr>
          </w:p>
          <w:p w:rsidR="009753EE" w:rsidRPr="00323499" w:rsidRDefault="009753EE" w:rsidP="009753EE">
            <w:pPr>
              <w:widowControl w:val="0"/>
              <w:jc w:val="both"/>
              <w:rPr>
                <w:smallCaps/>
                <w:sz w:val="20"/>
                <w:szCs w:val="20"/>
                <w:lang w:val="fr-CA"/>
              </w:rPr>
            </w:pPr>
            <w:r w:rsidRPr="00323499">
              <w:rPr>
                <w:smallCaps/>
                <w:sz w:val="20"/>
                <w:szCs w:val="20"/>
                <w:lang w:val="fr-CA"/>
              </w:rPr>
              <w:t>(Ordonnance de non-publication dans le dossier)</w:t>
            </w:r>
          </w:p>
          <w:p w:rsidR="009753EE" w:rsidRPr="00323499" w:rsidRDefault="009753EE" w:rsidP="009753EE">
            <w:pPr>
              <w:widowControl w:val="0"/>
              <w:jc w:val="both"/>
              <w:rPr>
                <w:sz w:val="20"/>
                <w:szCs w:val="20"/>
                <w:lang w:val="fr-CA"/>
              </w:rPr>
            </w:pPr>
          </w:p>
          <w:p w:rsidR="00F83080" w:rsidRPr="00C1697B" w:rsidRDefault="009753EE" w:rsidP="009753EE">
            <w:pPr>
              <w:widowControl w:val="0"/>
              <w:jc w:val="both"/>
              <w:rPr>
                <w:sz w:val="20"/>
                <w:szCs w:val="20"/>
                <w:lang w:val="fr-CA"/>
              </w:rPr>
            </w:pPr>
            <w:r w:rsidRPr="00323499">
              <w:rPr>
                <w:sz w:val="20"/>
                <w:szCs w:val="20"/>
                <w:lang w:val="fr-CA"/>
              </w:rPr>
              <w:t>Droit criminel - Agression sexuelle - Appréciation de la preuve - Crédibilité et fiabilité - Est-ce que le juge du procès a accordé suffisamment d’attention à la question de la fiabilité, séparément et distinctement de la question de la crédibilité, lors de l’appréciation de la preuve?</w:t>
            </w:r>
          </w:p>
        </w:tc>
      </w:tr>
    </w:tbl>
    <w:p w:rsidR="00F83080" w:rsidRDefault="00F83080" w:rsidP="00F83080">
      <w:pPr>
        <w:widowControl w:val="0"/>
        <w:rPr>
          <w:sz w:val="20"/>
          <w:szCs w:val="20"/>
          <w:lang w:val="fr-CA"/>
        </w:rPr>
      </w:pPr>
    </w:p>
    <w:p w:rsidR="00F83080" w:rsidRDefault="005A3634" w:rsidP="00F83080">
      <w:pPr>
        <w:widowControl w:val="0"/>
        <w:rPr>
          <w:sz w:val="20"/>
          <w:szCs w:val="20"/>
          <w:lang w:val="fr-CA"/>
        </w:rPr>
      </w:pPr>
      <w:r>
        <w:rPr>
          <w:sz w:val="20"/>
          <w:szCs w:val="20"/>
          <w:lang w:val="fr-CA"/>
        </w:rPr>
        <w:pict>
          <v:rect id="_x0000_i1086" style="width:2in;height:1pt" o:hrpct="0" o:hralign="center" o:hrstd="t" o:hrnoshade="t" o:hr="t" fillcolor="black [3213]" stroked="f"/>
        </w:pict>
      </w:r>
    </w:p>
    <w:p w:rsidR="00F83080" w:rsidRDefault="00F83080" w:rsidP="00F83080">
      <w:pPr>
        <w:widowControl w:val="0"/>
        <w:rPr>
          <w:sz w:val="20"/>
          <w:szCs w:val="20"/>
        </w:rPr>
      </w:pPr>
    </w:p>
    <w:p w:rsidR="00F83080" w:rsidRDefault="00F83080" w:rsidP="00732DB7">
      <w:pPr>
        <w:widowControl w:val="0"/>
        <w:rPr>
          <w:sz w:val="20"/>
          <w:szCs w:val="20"/>
        </w:rPr>
      </w:pPr>
    </w:p>
    <w:p w:rsidR="00E940EB" w:rsidRDefault="00E940EB" w:rsidP="00732DB7">
      <w:pPr>
        <w:widowControl w:val="0"/>
        <w:rPr>
          <w:sz w:val="20"/>
          <w:szCs w:val="20"/>
          <w:lang w:val="fr-CA"/>
        </w:rPr>
      </w:pPr>
    </w:p>
    <w:p w:rsidR="00D004FC" w:rsidRPr="00C1697B" w:rsidRDefault="00D004F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82"/>
          <w:headerReference w:type="default" r:id="rId83"/>
          <w:footerReference w:type="even" r:id="rId84"/>
          <w:footerReference w:type="default" r:id="rId85"/>
          <w:headerReference w:type="first" r:id="rId86"/>
          <w:footerReference w:type="first" r:id="rId87"/>
          <w:pgSz w:w="12240" w:h="15840"/>
          <w:pgMar w:top="720" w:right="965" w:bottom="1080" w:left="1656" w:header="720" w:footer="960" w:gutter="0"/>
          <w:cols w:space="720"/>
          <w:titlePg/>
          <w:docGrid w:linePitch="326"/>
        </w:sectPr>
      </w:pPr>
    </w:p>
    <w:p w:rsidR="008112A9" w:rsidRPr="00D84417" w:rsidRDefault="00286B88" w:rsidP="008112A9">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008112A9" w:rsidRPr="00D84417">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8112A9" w:rsidRPr="00D84417">
        <w:rPr>
          <w:rFonts w:asciiTheme="minorHAnsi" w:hAnsiTheme="minorHAnsi" w:cstheme="minorHAnsi"/>
          <w:b/>
          <w:szCs w:val="24"/>
          <w:lang w:val="fr-CA"/>
        </w:rPr>
        <w:t>SUPREME COURT OF CANADA SCHEDULE / CALENDRIER DE LA COUR SUPREME</w:t>
      </w:r>
    </w:p>
    <w:p w:rsidR="008112A9" w:rsidRPr="00D84417" w:rsidRDefault="008112A9" w:rsidP="008112A9">
      <w:pPr>
        <w:widowControl w:val="0"/>
        <w:spacing w:line="180" w:lineRule="auto"/>
        <w:rPr>
          <w:rFonts w:asciiTheme="minorHAnsi" w:hAnsiTheme="minorHAnsi" w:cstheme="minorHAnsi"/>
          <w:szCs w:val="24"/>
          <w:lang w:val="fr-CA"/>
        </w:rPr>
      </w:pPr>
    </w:p>
    <w:p w:rsidR="008112A9" w:rsidRPr="00D84417" w:rsidRDefault="008112A9" w:rsidP="008112A9">
      <w:pPr>
        <w:widowControl w:val="0"/>
        <w:tabs>
          <w:tab w:val="center" w:pos="5400"/>
          <w:tab w:val="right" w:pos="10440"/>
        </w:tabs>
        <w:rPr>
          <w:rFonts w:ascii="Arial" w:hAnsi="Arial"/>
          <w:sz w:val="18"/>
          <w:lang w:val="fr-CA"/>
        </w:rPr>
      </w:pPr>
      <w:r w:rsidRPr="00D84417">
        <w:rPr>
          <w:rFonts w:ascii="Arial" w:hAnsi="Arial"/>
          <w:sz w:val="18"/>
          <w:lang w:val="fr-CA"/>
        </w:rPr>
        <w:tab/>
      </w:r>
      <w:r w:rsidRPr="00D84417">
        <w:rPr>
          <w:rFonts w:ascii="Arial" w:hAnsi="Arial"/>
          <w:i/>
          <w:sz w:val="36"/>
          <w:lang w:val="fr-CA"/>
        </w:rPr>
        <w:t xml:space="preserve">- </w:t>
      </w:r>
      <w:r w:rsidRPr="00D84417">
        <w:rPr>
          <w:rFonts w:ascii="Arial" w:hAnsi="Arial"/>
          <w:b/>
          <w:i/>
          <w:sz w:val="36"/>
          <w:lang w:val="fr-CA"/>
        </w:rPr>
        <w:t>2014</w:t>
      </w:r>
      <w:r w:rsidRPr="00D84417">
        <w:rPr>
          <w:rFonts w:ascii="Arial" w:hAnsi="Arial"/>
          <w:i/>
          <w:sz w:val="36"/>
          <w:lang w:val="fr-CA"/>
        </w:rPr>
        <w:t xml:space="preserve"> -</w:t>
      </w:r>
      <w:r w:rsidRPr="00D84417">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A1374E">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1374E">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1374E">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1374E">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1374E">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1374E">
            <w:pPr>
              <w:widowControl w:val="0"/>
              <w:jc w:val="center"/>
              <w:rPr>
                <w:rFonts w:ascii="Arial" w:hAnsi="Arial"/>
                <w:sz w:val="14"/>
              </w:rPr>
            </w:pPr>
            <w:r w:rsidRPr="002E0C7E">
              <w:rPr>
                <w:rFonts w:ascii="Arial" w:hAnsi="Arial"/>
                <w:b/>
                <w:sz w:val="14"/>
              </w:rPr>
              <w:t>DECEMBER - DÉCEMBRE</w:t>
            </w:r>
          </w:p>
        </w:tc>
      </w:tr>
      <w:tr w:rsidR="008112A9" w:rsidRPr="002E0C7E" w:rsidTr="00A1374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M</w:t>
            </w:r>
          </w:p>
          <w:p w:rsidR="008112A9" w:rsidRPr="002E0C7E" w:rsidRDefault="008112A9" w:rsidP="00A1374E">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W</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F</w:t>
            </w:r>
          </w:p>
          <w:p w:rsidR="008112A9" w:rsidRPr="002E0C7E" w:rsidRDefault="008112A9" w:rsidP="00A1374E">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M</w:t>
            </w:r>
          </w:p>
          <w:p w:rsidR="008112A9" w:rsidRPr="002E0C7E" w:rsidRDefault="008112A9" w:rsidP="00A1374E">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W</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F</w:t>
            </w:r>
          </w:p>
          <w:p w:rsidR="008112A9" w:rsidRPr="002E0C7E" w:rsidRDefault="008112A9" w:rsidP="00A1374E">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M</w:t>
            </w:r>
          </w:p>
          <w:p w:rsidR="008112A9" w:rsidRPr="002E0C7E" w:rsidRDefault="008112A9" w:rsidP="00A1374E">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W</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F</w:t>
            </w:r>
          </w:p>
          <w:p w:rsidR="008112A9" w:rsidRPr="002E0C7E" w:rsidRDefault="008112A9" w:rsidP="00A1374E">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S</w:t>
            </w:r>
          </w:p>
        </w:tc>
      </w:tr>
      <w:tr w:rsidR="008112A9" w:rsidRPr="002E0C7E" w:rsidTr="00A1374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A1374E">
            <w:pPr>
              <w:widowControl w:val="0"/>
              <w:jc w:val="center"/>
              <w:rPr>
                <w:rFonts w:ascii="Arial" w:hAnsi="Arial"/>
                <w:b/>
                <w:sz w:val="14"/>
              </w:rPr>
            </w:pPr>
            <w:r>
              <w:rPr>
                <w:rFonts w:ascii="Arial" w:hAnsi="Arial"/>
                <w:b/>
                <w:sz w:val="14"/>
              </w:rPr>
              <w:t>M</w:t>
            </w:r>
          </w:p>
          <w:p w:rsidR="008112A9" w:rsidRPr="002E0C7E" w:rsidRDefault="008112A9" w:rsidP="00A1374E">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6</w:t>
            </w:r>
          </w:p>
        </w:tc>
      </w:tr>
      <w:tr w:rsidR="008112A9" w:rsidRPr="002E0C7E" w:rsidTr="00A1374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A1374E">
            <w:pPr>
              <w:widowControl w:val="0"/>
              <w:jc w:val="center"/>
              <w:rPr>
                <w:rFonts w:ascii="Arial" w:hAnsi="Arial"/>
                <w:b/>
                <w:sz w:val="14"/>
              </w:rPr>
            </w:pPr>
            <w:r>
              <w:rPr>
                <w:rFonts w:ascii="Arial" w:hAnsi="Arial"/>
                <w:b/>
                <w:sz w:val="14"/>
              </w:rPr>
              <w:t>M</w:t>
            </w:r>
          </w:p>
          <w:p w:rsidR="008112A9" w:rsidRPr="002E0C7E" w:rsidRDefault="008112A9" w:rsidP="00A1374E">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A1374E">
            <w:pPr>
              <w:widowControl w:val="0"/>
              <w:jc w:val="center"/>
              <w:rPr>
                <w:rFonts w:ascii="Arial" w:hAnsi="Arial"/>
                <w:b/>
                <w:sz w:val="14"/>
              </w:rPr>
            </w:pPr>
          </w:p>
          <w:p w:rsidR="008112A9" w:rsidRPr="002E0C7E" w:rsidRDefault="008112A9" w:rsidP="00A1374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b/>
                <w:sz w:val="14"/>
              </w:rPr>
              <w:t>M</w:t>
            </w:r>
          </w:p>
          <w:p w:rsidR="008112A9" w:rsidRPr="002E0C7E" w:rsidRDefault="008112A9" w:rsidP="00A1374E">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13</w:t>
            </w:r>
          </w:p>
        </w:tc>
      </w:tr>
      <w:tr w:rsidR="008112A9" w:rsidRPr="002E0C7E" w:rsidTr="00A1374E">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A1374E">
            <w:pPr>
              <w:widowControl w:val="0"/>
              <w:jc w:val="center"/>
              <w:rPr>
                <w:rFonts w:ascii="Arial" w:hAnsi="Arial"/>
                <w:b/>
                <w:sz w:val="14"/>
              </w:rPr>
            </w:pPr>
            <w:r>
              <w:rPr>
                <w:rFonts w:ascii="Arial" w:hAnsi="Arial"/>
                <w:b/>
                <w:sz w:val="14"/>
              </w:rPr>
              <w:t>H</w:t>
            </w: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A1374E">
            <w:pPr>
              <w:widowControl w:val="0"/>
              <w:jc w:val="center"/>
              <w:rPr>
                <w:rFonts w:ascii="Arial" w:hAnsi="Arial"/>
                <w:b/>
                <w:sz w:val="14"/>
              </w:rPr>
            </w:pPr>
            <w:r w:rsidRPr="004F066E">
              <w:rPr>
                <w:rFonts w:ascii="Arial" w:hAnsi="Arial"/>
                <w:b/>
                <w:sz w:val="14"/>
              </w:rPr>
              <w:t>H</w:t>
            </w:r>
          </w:p>
          <w:p w:rsidR="008112A9" w:rsidRPr="002E0C7E" w:rsidRDefault="008112A9" w:rsidP="00A1374E">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20</w:t>
            </w:r>
          </w:p>
        </w:tc>
      </w:tr>
      <w:tr w:rsidR="008112A9" w:rsidRPr="002E0C7E" w:rsidTr="00A1374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A1374E">
            <w:pPr>
              <w:widowControl w:val="0"/>
              <w:jc w:val="center"/>
              <w:rPr>
                <w:rFonts w:ascii="Arial" w:hAnsi="Arial"/>
                <w:b/>
                <w:sz w:val="14"/>
              </w:rPr>
            </w:pPr>
          </w:p>
          <w:p w:rsidR="008112A9" w:rsidRPr="002E0C7E" w:rsidRDefault="008112A9" w:rsidP="00A1374E">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A1374E">
            <w:pPr>
              <w:widowControl w:val="0"/>
              <w:jc w:val="center"/>
              <w:rPr>
                <w:rFonts w:ascii="Arial" w:hAnsi="Arial"/>
                <w:b/>
                <w:sz w:val="14"/>
              </w:rPr>
            </w:pPr>
            <w:r>
              <w:rPr>
                <w:rFonts w:ascii="Arial" w:hAnsi="Arial"/>
                <w:b/>
                <w:sz w:val="14"/>
              </w:rPr>
              <w:t>H</w:t>
            </w:r>
          </w:p>
          <w:p w:rsidR="008112A9" w:rsidRPr="002E0C7E" w:rsidRDefault="008112A9" w:rsidP="00A1374E">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A1374E">
            <w:pPr>
              <w:widowControl w:val="0"/>
              <w:jc w:val="center"/>
              <w:rPr>
                <w:rFonts w:ascii="Arial" w:hAnsi="Arial"/>
                <w:b/>
                <w:sz w:val="14"/>
              </w:rPr>
            </w:pPr>
            <w:r>
              <w:rPr>
                <w:rFonts w:ascii="Arial" w:hAnsi="Arial"/>
                <w:b/>
                <w:sz w:val="14"/>
              </w:rPr>
              <w:t>H</w:t>
            </w:r>
          </w:p>
          <w:p w:rsidR="008112A9" w:rsidRPr="002E0C7E" w:rsidRDefault="008112A9" w:rsidP="00A1374E">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A1374E">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A1374E">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A1374E">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A1374E">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1374E">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1374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1374E">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1374E">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1374E">
            <w:pPr>
              <w:widowControl w:val="0"/>
              <w:jc w:val="center"/>
              <w:rPr>
                <w:rFonts w:ascii="Arial" w:hAnsi="Arial"/>
                <w:sz w:val="14"/>
              </w:rPr>
            </w:pPr>
            <w:r w:rsidRPr="002E0C7E">
              <w:rPr>
                <w:rFonts w:ascii="Arial" w:hAnsi="Arial"/>
                <w:b/>
                <w:sz w:val="14"/>
              </w:rPr>
              <w:t>MARCH - MARS</w:t>
            </w:r>
          </w:p>
        </w:tc>
      </w:tr>
      <w:tr w:rsidR="008112A9" w:rsidRPr="002E0C7E" w:rsidTr="00A1374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M</w:t>
            </w:r>
          </w:p>
          <w:p w:rsidR="008112A9" w:rsidRPr="002E0C7E" w:rsidRDefault="008112A9" w:rsidP="00A1374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W</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F</w:t>
            </w:r>
          </w:p>
          <w:p w:rsidR="008112A9" w:rsidRPr="002E0C7E" w:rsidRDefault="008112A9" w:rsidP="00A1374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M</w:t>
            </w:r>
          </w:p>
          <w:p w:rsidR="008112A9" w:rsidRPr="002E0C7E" w:rsidRDefault="008112A9" w:rsidP="00A1374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W</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F</w:t>
            </w:r>
          </w:p>
          <w:p w:rsidR="008112A9" w:rsidRPr="002E0C7E" w:rsidRDefault="008112A9" w:rsidP="00A1374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M</w:t>
            </w:r>
          </w:p>
          <w:p w:rsidR="008112A9" w:rsidRPr="002E0C7E" w:rsidRDefault="008112A9" w:rsidP="00A1374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W</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F</w:t>
            </w:r>
          </w:p>
          <w:p w:rsidR="008112A9" w:rsidRPr="002E0C7E" w:rsidRDefault="008112A9" w:rsidP="00A1374E">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S</w:t>
            </w:r>
          </w:p>
        </w:tc>
      </w:tr>
      <w:tr w:rsidR="008112A9" w:rsidRPr="002E0C7E" w:rsidTr="00A1374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A1374E">
            <w:pPr>
              <w:widowControl w:val="0"/>
              <w:jc w:val="center"/>
              <w:rPr>
                <w:rFonts w:ascii="Arial" w:hAnsi="Arial"/>
                <w:b/>
                <w:sz w:val="14"/>
              </w:rPr>
            </w:pPr>
          </w:p>
          <w:p w:rsidR="008112A9" w:rsidRPr="002E0C7E" w:rsidRDefault="008112A9" w:rsidP="00A1374E">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A1374E">
            <w:pPr>
              <w:widowControl w:val="0"/>
              <w:jc w:val="center"/>
              <w:rPr>
                <w:rFonts w:ascii="Arial" w:hAnsi="Arial"/>
                <w:b/>
                <w:sz w:val="14"/>
              </w:rPr>
            </w:pPr>
          </w:p>
          <w:p w:rsidR="008112A9" w:rsidRPr="002E0C7E" w:rsidRDefault="008112A9" w:rsidP="00A1374E">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A1374E">
            <w:pPr>
              <w:widowControl w:val="0"/>
              <w:jc w:val="center"/>
              <w:rPr>
                <w:rFonts w:ascii="Arial" w:hAnsi="Arial"/>
                <w:b/>
                <w:sz w:val="14"/>
              </w:rPr>
            </w:pPr>
            <w:r w:rsidRPr="004F066E">
              <w:rPr>
                <w:rFonts w:ascii="Arial" w:hAnsi="Arial"/>
                <w:b/>
                <w:sz w:val="14"/>
              </w:rPr>
              <w:t>H</w:t>
            </w:r>
          </w:p>
          <w:p w:rsidR="008112A9" w:rsidRPr="002E0C7E" w:rsidRDefault="008112A9" w:rsidP="00A1374E">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7</w:t>
            </w:r>
          </w:p>
        </w:tc>
      </w:tr>
      <w:tr w:rsidR="008112A9" w:rsidRPr="002E0C7E" w:rsidTr="00A1374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A1374E">
            <w:pPr>
              <w:widowControl w:val="0"/>
              <w:jc w:val="center"/>
              <w:rPr>
                <w:rFonts w:ascii="Arial" w:hAnsi="Arial"/>
                <w:b/>
                <w:sz w:val="14"/>
              </w:rPr>
            </w:pPr>
            <w:r>
              <w:rPr>
                <w:rFonts w:ascii="Arial" w:hAnsi="Arial"/>
                <w:b/>
                <w:sz w:val="14"/>
              </w:rPr>
              <w:t>M</w:t>
            </w:r>
          </w:p>
          <w:p w:rsidR="008112A9" w:rsidRPr="002E0C7E" w:rsidRDefault="008112A9" w:rsidP="00A1374E">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14</w:t>
            </w:r>
          </w:p>
        </w:tc>
      </w:tr>
      <w:tr w:rsidR="008112A9" w:rsidRPr="002E0C7E" w:rsidTr="00A1374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A1374E">
            <w:pPr>
              <w:widowControl w:val="0"/>
              <w:jc w:val="center"/>
              <w:rPr>
                <w:rFonts w:ascii="Arial" w:hAnsi="Arial"/>
                <w:b/>
                <w:sz w:val="14"/>
              </w:rPr>
            </w:pPr>
            <w:r>
              <w:rPr>
                <w:rFonts w:ascii="Arial" w:hAnsi="Arial"/>
                <w:b/>
                <w:sz w:val="14"/>
              </w:rPr>
              <w:t>M</w:t>
            </w: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A1374E">
            <w:pPr>
              <w:widowControl w:val="0"/>
              <w:jc w:val="center"/>
              <w:rPr>
                <w:rFonts w:ascii="Arial" w:hAnsi="Arial"/>
                <w:b/>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A1374E">
            <w:pPr>
              <w:widowControl w:val="0"/>
              <w:jc w:val="center"/>
              <w:rPr>
                <w:rFonts w:ascii="Arial" w:hAnsi="Arial"/>
                <w:b/>
                <w:sz w:val="14"/>
              </w:rPr>
            </w:pPr>
            <w:r w:rsidRPr="009900C5">
              <w:rPr>
                <w:rFonts w:ascii="Arial" w:hAnsi="Arial"/>
                <w:b/>
                <w:sz w:val="14"/>
              </w:rPr>
              <w:t>M</w:t>
            </w: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A1374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A1374E">
            <w:pPr>
              <w:widowControl w:val="0"/>
              <w:jc w:val="center"/>
              <w:rPr>
                <w:rFonts w:ascii="Arial" w:hAnsi="Arial"/>
                <w:b/>
                <w:sz w:val="14"/>
              </w:rPr>
            </w:pPr>
          </w:p>
          <w:p w:rsidR="008112A9" w:rsidRPr="002E0C7E" w:rsidRDefault="008112A9" w:rsidP="00A1374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A1374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A1374E">
            <w:pPr>
              <w:widowControl w:val="0"/>
              <w:jc w:val="center"/>
              <w:rPr>
                <w:rFonts w:ascii="Arial" w:hAnsi="Arial"/>
                <w:b/>
                <w:sz w:val="14"/>
              </w:rPr>
            </w:pPr>
          </w:p>
          <w:p w:rsidR="008112A9" w:rsidRPr="002E0C7E" w:rsidRDefault="008112A9" w:rsidP="00A137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A1374E">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1374E">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1374E">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1374E">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A1374E">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A1374E">
            <w:pPr>
              <w:widowControl w:val="0"/>
              <w:jc w:val="center"/>
              <w:rPr>
                <w:rFonts w:ascii="Arial" w:hAnsi="Arial"/>
                <w:sz w:val="14"/>
              </w:rPr>
            </w:pPr>
            <w:r w:rsidRPr="002E0C7E">
              <w:rPr>
                <w:rFonts w:ascii="Arial" w:hAnsi="Arial"/>
                <w:b/>
                <w:sz w:val="14"/>
              </w:rPr>
              <w:t>JUNE - JUIN</w:t>
            </w:r>
          </w:p>
        </w:tc>
      </w:tr>
      <w:tr w:rsidR="008112A9" w:rsidRPr="002E0C7E" w:rsidTr="00A1374E">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M</w:t>
            </w:r>
          </w:p>
          <w:p w:rsidR="008112A9" w:rsidRPr="002E0C7E" w:rsidRDefault="008112A9" w:rsidP="00A1374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W</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F</w:t>
            </w:r>
          </w:p>
          <w:p w:rsidR="008112A9" w:rsidRPr="002E0C7E" w:rsidRDefault="008112A9" w:rsidP="00A1374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M</w:t>
            </w:r>
          </w:p>
          <w:p w:rsidR="008112A9" w:rsidRPr="002E0C7E" w:rsidRDefault="008112A9" w:rsidP="00A1374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W</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F</w:t>
            </w:r>
          </w:p>
          <w:p w:rsidR="008112A9" w:rsidRPr="002E0C7E" w:rsidRDefault="008112A9" w:rsidP="00A1374E">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S</w:t>
            </w:r>
          </w:p>
          <w:p w:rsidR="008112A9" w:rsidRPr="002E0C7E" w:rsidRDefault="008112A9" w:rsidP="00A1374E">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M</w:t>
            </w:r>
          </w:p>
          <w:p w:rsidR="008112A9" w:rsidRPr="002E0C7E" w:rsidRDefault="008112A9" w:rsidP="00A1374E">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W</w:t>
            </w:r>
          </w:p>
          <w:p w:rsidR="008112A9" w:rsidRPr="002E0C7E" w:rsidRDefault="008112A9" w:rsidP="00A1374E">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T</w:t>
            </w:r>
          </w:p>
          <w:p w:rsidR="008112A9" w:rsidRPr="002E0C7E" w:rsidRDefault="008112A9" w:rsidP="00A1374E">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sidRPr="002E0C7E">
              <w:rPr>
                <w:rFonts w:ascii="Arial" w:hAnsi="Arial"/>
                <w:sz w:val="14"/>
              </w:rPr>
              <w:t>F</w:t>
            </w:r>
          </w:p>
          <w:p w:rsidR="008112A9" w:rsidRPr="002E0C7E" w:rsidRDefault="008112A9" w:rsidP="00A1374E">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r>
              <w:rPr>
                <w:rFonts w:ascii="Arial" w:hAnsi="Arial"/>
                <w:sz w:val="14"/>
              </w:rPr>
              <w:t>S</w:t>
            </w:r>
          </w:p>
          <w:p w:rsidR="008112A9" w:rsidRPr="002E0C7E" w:rsidRDefault="008112A9" w:rsidP="00A1374E">
            <w:pPr>
              <w:widowControl w:val="0"/>
              <w:jc w:val="center"/>
              <w:rPr>
                <w:rFonts w:ascii="Arial" w:hAnsi="Arial"/>
                <w:sz w:val="14"/>
              </w:rPr>
            </w:pPr>
            <w:r>
              <w:rPr>
                <w:rFonts w:ascii="Arial" w:hAnsi="Arial"/>
                <w:sz w:val="14"/>
              </w:rPr>
              <w:t>S</w:t>
            </w:r>
          </w:p>
        </w:tc>
      </w:tr>
      <w:tr w:rsidR="008112A9" w:rsidRPr="002E0C7E" w:rsidTr="00A1374E">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A1374E">
            <w:pPr>
              <w:widowControl w:val="0"/>
              <w:jc w:val="center"/>
              <w:rPr>
                <w:rFonts w:ascii="Arial" w:hAnsi="Arial"/>
                <w:b/>
                <w:sz w:val="14"/>
              </w:rPr>
            </w:pPr>
            <w:r>
              <w:rPr>
                <w:rFonts w:ascii="Arial" w:hAnsi="Arial"/>
                <w:b/>
                <w:sz w:val="14"/>
              </w:rPr>
              <w:t>H</w:t>
            </w:r>
          </w:p>
          <w:p w:rsidR="008112A9" w:rsidRPr="002E0C7E" w:rsidRDefault="008112A9" w:rsidP="00A1374E">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b/>
                <w:sz w:val="14"/>
              </w:rPr>
            </w:pPr>
          </w:p>
          <w:p w:rsidR="008112A9" w:rsidRPr="002E0C7E" w:rsidRDefault="008112A9" w:rsidP="00A1374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6</w:t>
            </w:r>
          </w:p>
        </w:tc>
      </w:tr>
      <w:tr w:rsidR="008112A9" w:rsidRPr="002E0C7E" w:rsidTr="00A1374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A1374E">
            <w:pPr>
              <w:widowControl w:val="0"/>
              <w:jc w:val="center"/>
              <w:rPr>
                <w:rFonts w:ascii="Arial" w:hAnsi="Arial"/>
                <w:b/>
                <w:sz w:val="14"/>
              </w:rPr>
            </w:pPr>
            <w:r>
              <w:rPr>
                <w:rFonts w:ascii="Arial" w:hAnsi="Arial"/>
                <w:b/>
                <w:sz w:val="14"/>
              </w:rPr>
              <w:t>H</w:t>
            </w:r>
          </w:p>
          <w:p w:rsidR="008112A9" w:rsidRPr="002E0C7E" w:rsidRDefault="008112A9" w:rsidP="00A1374E">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A1374E">
            <w:pPr>
              <w:widowControl w:val="0"/>
              <w:jc w:val="center"/>
              <w:rPr>
                <w:rFonts w:ascii="Arial" w:hAnsi="Arial"/>
                <w:b/>
                <w:sz w:val="14"/>
              </w:rPr>
            </w:pPr>
            <w:r>
              <w:rPr>
                <w:rFonts w:ascii="Arial" w:hAnsi="Arial"/>
                <w:b/>
                <w:sz w:val="14"/>
              </w:rPr>
              <w:t>M</w:t>
            </w:r>
          </w:p>
          <w:p w:rsidR="008112A9" w:rsidRPr="002E0C7E" w:rsidRDefault="008112A9" w:rsidP="00A1374E">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13</w:t>
            </w:r>
          </w:p>
        </w:tc>
      </w:tr>
      <w:tr w:rsidR="008112A9" w:rsidRPr="002E0C7E" w:rsidTr="00A1374E">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A1374E">
            <w:pPr>
              <w:widowControl w:val="0"/>
              <w:jc w:val="center"/>
              <w:rPr>
                <w:rFonts w:ascii="Arial" w:hAnsi="Arial"/>
                <w:b/>
                <w:sz w:val="14"/>
              </w:rPr>
            </w:pPr>
            <w:r>
              <w:rPr>
                <w:rFonts w:ascii="Arial" w:hAnsi="Arial"/>
                <w:b/>
                <w:sz w:val="14"/>
              </w:rPr>
              <w:t>M</w:t>
            </w: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A1374E">
            <w:pPr>
              <w:widowControl w:val="0"/>
              <w:jc w:val="center"/>
              <w:rPr>
                <w:rFonts w:ascii="Arial" w:hAnsi="Arial"/>
                <w:b/>
                <w:sz w:val="14"/>
              </w:rPr>
            </w:pPr>
          </w:p>
          <w:p w:rsidR="008112A9" w:rsidRPr="002E0C7E" w:rsidRDefault="008112A9" w:rsidP="00A1374E">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A1374E">
            <w:pPr>
              <w:widowControl w:val="0"/>
              <w:jc w:val="center"/>
              <w:rPr>
                <w:rFonts w:ascii="Arial" w:hAnsi="Arial"/>
                <w:b/>
                <w:sz w:val="14"/>
              </w:rPr>
            </w:pPr>
            <w:r w:rsidRPr="002453E3">
              <w:rPr>
                <w:rFonts w:ascii="Arial" w:hAnsi="Arial"/>
                <w:b/>
                <w:sz w:val="14"/>
              </w:rPr>
              <w:t>M</w:t>
            </w: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20</w:t>
            </w:r>
          </w:p>
        </w:tc>
      </w:tr>
      <w:tr w:rsidR="008112A9" w:rsidRPr="002E0C7E" w:rsidTr="00A1374E">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A1374E">
            <w:pPr>
              <w:widowControl w:val="0"/>
              <w:jc w:val="center"/>
              <w:rPr>
                <w:rFonts w:ascii="Arial" w:hAnsi="Arial"/>
                <w:b/>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A1374E">
            <w:pPr>
              <w:widowControl w:val="0"/>
              <w:jc w:val="center"/>
              <w:rPr>
                <w:rFonts w:ascii="Arial" w:hAnsi="Arial"/>
                <w:b/>
                <w:sz w:val="14"/>
              </w:rPr>
            </w:pPr>
            <w:r>
              <w:rPr>
                <w:rFonts w:ascii="Arial" w:hAnsi="Arial"/>
                <w:b/>
                <w:sz w:val="14"/>
              </w:rPr>
              <w:t>H</w:t>
            </w:r>
          </w:p>
          <w:p w:rsidR="008112A9" w:rsidRPr="002E0C7E" w:rsidRDefault="008112A9" w:rsidP="00A1374E">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A1374E">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A1374E">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A1374E">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A1374E">
            <w:pPr>
              <w:widowControl w:val="0"/>
              <w:jc w:val="center"/>
              <w:rPr>
                <w:rFonts w:ascii="Arial" w:hAnsi="Arial"/>
                <w:sz w:val="14"/>
              </w:rPr>
            </w:pPr>
          </w:p>
          <w:p w:rsidR="008112A9" w:rsidRPr="002E0C7E" w:rsidRDefault="008112A9" w:rsidP="00A1374E">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A1374E">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A1374E">
            <w:pPr>
              <w:widowControl w:val="0"/>
              <w:rPr>
                <w:rFonts w:ascii="Arial" w:hAnsi="Arial"/>
                <w:sz w:val="16"/>
              </w:rPr>
            </w:pPr>
            <w:r w:rsidRPr="002E0C7E">
              <w:rPr>
                <w:rFonts w:ascii="Arial" w:hAnsi="Arial"/>
                <w:sz w:val="16"/>
              </w:rPr>
              <w:t>Sittings of the court:</w:t>
            </w:r>
          </w:p>
          <w:p w:rsidR="008112A9" w:rsidRPr="002E0C7E" w:rsidRDefault="008112A9" w:rsidP="00A1374E">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A1374E">
            <w:pPr>
              <w:widowControl w:val="0"/>
              <w:rPr>
                <w:rFonts w:ascii="Arial" w:hAnsi="Arial"/>
                <w:sz w:val="16"/>
              </w:rPr>
            </w:pPr>
          </w:p>
          <w:p w:rsidR="008112A9" w:rsidRPr="002E0C7E" w:rsidRDefault="008112A9" w:rsidP="00A1374E">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A137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A137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A137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A137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A137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A1374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A137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A137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A137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A137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A1374E">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A137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A137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A1374E">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A1374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8"/>
      <w:footerReference w:type="default" r:id="rId89"/>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23" w:rsidRDefault="002F2423" w:rsidP="00A87207">
      <w:r>
        <w:separator/>
      </w:r>
    </w:p>
  </w:endnote>
  <w:endnote w:type="continuationSeparator" w:id="0">
    <w:p w:rsidR="002F2423" w:rsidRDefault="002F242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5A3634">
    <w:pPr>
      <w:pStyle w:val="Footer"/>
      <w:rPr>
        <w:lang w:val="fr-CA"/>
      </w:rPr>
    </w:pPr>
    <w:r>
      <w:rPr>
        <w:lang w:val="fr-CA"/>
      </w:rPr>
      <w:pict>
        <v:rect id="_x0000_i1068" style="width:480.95pt;height:1pt" o:hralign="center" o:hrstd="t" o:hrnoshade="t" o:hr="t" fillcolor="black [3213]" stroked="f"/>
      </w:pict>
    </w:r>
  </w:p>
  <w:p w:rsidR="002F2423" w:rsidRDefault="002F2423" w:rsidP="00245129">
    <w:pPr>
      <w:tabs>
        <w:tab w:val="center" w:pos="4680"/>
      </w:tabs>
    </w:pPr>
    <w:r>
      <w:tab/>
    </w:r>
    <w:r w:rsidRPr="0009648D">
      <w:t xml:space="preserve">- </w:t>
    </w:r>
    <w:r w:rsidR="00D1459E">
      <w:fldChar w:fldCharType="begin"/>
    </w:r>
    <w:r w:rsidR="00D1459E">
      <w:instrText xml:space="preserve"> PAGE   \* MERGEFORMAT </w:instrText>
    </w:r>
    <w:r w:rsidR="00D1459E">
      <w:fldChar w:fldCharType="separate"/>
    </w:r>
    <w:r w:rsidR="005A3634">
      <w:rPr>
        <w:noProof/>
      </w:rPr>
      <w:t>320</w:t>
    </w:r>
    <w:r w:rsidR="00D1459E">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F2423" w:rsidRDefault="002F2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F2423" w:rsidRDefault="002F242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5A3634" w:rsidP="00755F22">
    <w:pPr>
      <w:tabs>
        <w:tab w:val="left" w:pos="-1440"/>
        <w:tab w:val="left" w:pos="-720"/>
      </w:tabs>
    </w:pPr>
    <w:r>
      <w:pict>
        <v:rect id="_x0000_i1078" style="width:480.95pt;height:1pt" o:hralign="center" o:hrstd="t" o:hrnoshade="t" o:hr="t" fillcolor="black [3213]" stroked="f"/>
      </w:pict>
    </w:r>
  </w:p>
  <w:p w:rsidR="002F2423" w:rsidRDefault="002F2423" w:rsidP="00EB2B90">
    <w:pPr>
      <w:tabs>
        <w:tab w:val="center" w:pos="4680"/>
      </w:tabs>
    </w:pPr>
    <w:r>
      <w:tab/>
      <w:t xml:space="preserve">- </w:t>
    </w:r>
    <w:r w:rsidR="00D1459E">
      <w:fldChar w:fldCharType="begin"/>
    </w:r>
    <w:r w:rsidR="00D1459E">
      <w:instrText xml:space="preserve"> PAGE   \* MERGEFORMAT </w:instrText>
    </w:r>
    <w:r w:rsidR="00D1459E">
      <w:fldChar w:fldCharType="separate"/>
    </w:r>
    <w:r w:rsidR="005A3634">
      <w:rPr>
        <w:noProof/>
      </w:rPr>
      <w:t>346</w:t>
    </w:r>
    <w:r w:rsidR="00D1459E">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5A3634" w:rsidP="00EB2B90">
    <w:pPr>
      <w:tabs>
        <w:tab w:val="center" w:pos="4680"/>
      </w:tabs>
    </w:pPr>
    <w:r>
      <w:pict>
        <v:rect id="_x0000_i1079" style="width:480.95pt;height:1pt" o:hralign="center" o:hrstd="t" o:hrnoshade="t" o:hr="t" fillcolor="black [3213]" stroked="f"/>
      </w:pict>
    </w:r>
  </w:p>
  <w:p w:rsidR="002F2423" w:rsidRPr="0031432F" w:rsidRDefault="002F2423" w:rsidP="00EB2B90">
    <w:pPr>
      <w:tabs>
        <w:tab w:val="center" w:pos="4680"/>
      </w:tabs>
    </w:pPr>
    <w:r>
      <w:tab/>
      <w:t xml:space="preserve">- </w:t>
    </w:r>
    <w:r w:rsidR="00D1459E">
      <w:fldChar w:fldCharType="begin"/>
    </w:r>
    <w:r w:rsidR="00D1459E">
      <w:instrText xml:space="preserve"> PAGE   \* MERGEFORMAT </w:instrText>
    </w:r>
    <w:r w:rsidR="00D1459E">
      <w:fldChar w:fldCharType="separate"/>
    </w:r>
    <w:r w:rsidR="005A3634">
      <w:rPr>
        <w:noProof/>
      </w:rPr>
      <w:t>337</w:t>
    </w:r>
    <w:r w:rsidR="00D1459E">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F2423" w:rsidRDefault="002F24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F2423" w:rsidRDefault="002F2423">
    <w:pPr>
      <w:widowControl w:val="0"/>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5A36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1" style="width:480.95pt;height:1pt" o:hralign="center" o:hrstd="t" o:hrnoshade="t" o:hr="t" fillcolor="black [3213]" stroked="f"/>
      </w:pict>
    </w:r>
  </w:p>
  <w:p w:rsidR="002F2423" w:rsidRDefault="002F2423" w:rsidP="00697C62">
    <w:pPr>
      <w:tabs>
        <w:tab w:val="center" w:pos="4680"/>
      </w:tabs>
    </w:pPr>
    <w:r>
      <w:tab/>
      <w:t xml:space="preserve">- </w:t>
    </w:r>
    <w:r w:rsidR="00286B88" w:rsidRPr="00B74FED">
      <w:rPr>
        <w:szCs w:val="24"/>
      </w:rPr>
      <w:fldChar w:fldCharType="begin"/>
    </w:r>
    <w:r w:rsidRPr="00B74FED">
      <w:rPr>
        <w:szCs w:val="24"/>
      </w:rPr>
      <w:instrText xml:space="preserve"> PAGE   \* MERGEFORMAT </w:instrText>
    </w:r>
    <w:r w:rsidR="00286B88" w:rsidRPr="00B74FED">
      <w:rPr>
        <w:szCs w:val="24"/>
      </w:rPr>
      <w:fldChar w:fldCharType="separate"/>
    </w:r>
    <w:r>
      <w:rPr>
        <w:noProof/>
        <w:szCs w:val="24"/>
      </w:rPr>
      <w:t>528</w:t>
    </w:r>
    <w:r w:rsidR="00286B88"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5A3634" w:rsidP="00802863">
    <w:pPr>
      <w:widowControl w:val="0"/>
      <w:tabs>
        <w:tab w:val="left" w:pos="-1440"/>
        <w:tab w:val="left" w:pos="-720"/>
      </w:tabs>
    </w:pPr>
    <w:r>
      <w:rPr>
        <w:lang w:val="fr-CA"/>
      </w:rPr>
      <w:pict>
        <v:rect id="_x0000_i1082" style="width:480.95pt;height:1pt" o:hralign="center" o:hrstd="t" o:hrnoshade="t" o:hr="t" fillcolor="black [3213]" stroked="f"/>
      </w:pict>
    </w:r>
  </w:p>
  <w:p w:rsidR="002F2423" w:rsidRPr="00180897" w:rsidRDefault="002F2423" w:rsidP="00697C62">
    <w:pPr>
      <w:tabs>
        <w:tab w:val="center" w:pos="4680"/>
      </w:tabs>
    </w:pPr>
    <w:r>
      <w:tab/>
      <w:t xml:space="preserve">- </w:t>
    </w:r>
    <w:r w:rsidR="00286B88" w:rsidRPr="00B74FED">
      <w:rPr>
        <w:szCs w:val="24"/>
      </w:rPr>
      <w:fldChar w:fldCharType="begin"/>
    </w:r>
    <w:r w:rsidRPr="00B74FED">
      <w:rPr>
        <w:szCs w:val="24"/>
      </w:rPr>
      <w:instrText xml:space="preserve"> PAGE   \* MERGEFORMAT </w:instrText>
    </w:r>
    <w:r w:rsidR="00286B88" w:rsidRPr="00B74FED">
      <w:rPr>
        <w:szCs w:val="24"/>
      </w:rPr>
      <w:fldChar w:fldCharType="separate"/>
    </w:r>
    <w:r w:rsidR="005A3634">
      <w:rPr>
        <w:noProof/>
        <w:szCs w:val="24"/>
      </w:rPr>
      <w:t>347</w:t>
    </w:r>
    <w:r w:rsidR="00286B88" w:rsidRPr="00B74FED">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F2423" w:rsidRDefault="002F2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F2423" w:rsidRDefault="002F2423">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5A3634" w:rsidP="00732DB7">
    <w:r>
      <w:pict>
        <v:rect id="_x0000_i1087" style="width:480.95pt;height:1pt" o:hralign="center" o:hrstd="t" o:hrnoshade="t" o:hr="t" fillcolor="black" stroked="f"/>
      </w:pict>
    </w:r>
  </w:p>
  <w:p w:rsidR="002F2423" w:rsidRDefault="002F2423">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5A3634">
    <w:pPr>
      <w:pStyle w:val="Footer"/>
    </w:pPr>
    <w:r>
      <w:pict>
        <v:rect id="_x0000_i1088" style="width:480.95pt;height:1pt" o:hralign="center" o:hrstd="t" o:hrnoshade="t" o:hr="t" fillcolor="black" stroked="f"/>
      </w:pict>
    </w:r>
  </w:p>
  <w:p w:rsidR="002F2423" w:rsidRPr="00283C52" w:rsidRDefault="002F2423">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Pr="00924065" w:rsidRDefault="002F2423"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5A3634" w:rsidP="00A87207">
    <w:pPr>
      <w:pStyle w:val="Footer"/>
    </w:pPr>
    <w:r>
      <w:pict>
        <v:rect id="_x0000_i1044" style="width:480.95pt;height:1pt" o:hralign="center" o:hrstd="t" o:hrnoshade="t" o:hr="t" fillcolor="black [3213]" stroked="f"/>
      </w:pict>
    </w:r>
  </w:p>
  <w:p w:rsidR="002F2423" w:rsidRPr="00B7374B" w:rsidRDefault="002F2423" w:rsidP="00B7374B">
    <w:pPr>
      <w:tabs>
        <w:tab w:val="center" w:pos="4680"/>
      </w:tabs>
      <w:rPr>
        <w:szCs w:val="24"/>
      </w:rPr>
    </w:pPr>
    <w:r w:rsidRPr="00954D22">
      <w:rPr>
        <w:szCs w:val="24"/>
      </w:rPr>
      <w:tab/>
      <w:t xml:space="preserve">- </w:t>
    </w:r>
    <w:r w:rsidR="00286B88" w:rsidRPr="00954D22">
      <w:rPr>
        <w:szCs w:val="24"/>
      </w:rPr>
      <w:fldChar w:fldCharType="begin"/>
    </w:r>
    <w:r w:rsidRPr="00954D22">
      <w:rPr>
        <w:szCs w:val="24"/>
      </w:rPr>
      <w:instrText xml:space="preserve"> PAGE   \* MERGEFORMAT </w:instrText>
    </w:r>
    <w:r w:rsidR="00286B88" w:rsidRPr="00954D22">
      <w:rPr>
        <w:szCs w:val="24"/>
      </w:rPr>
      <w:fldChar w:fldCharType="separate"/>
    </w:r>
    <w:r w:rsidR="005A3634">
      <w:rPr>
        <w:noProof/>
        <w:szCs w:val="24"/>
      </w:rPr>
      <w:t>318</w:t>
    </w:r>
    <w:r w:rsidR="00286B88"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5A3634" w:rsidP="00755F22">
    <w:pPr>
      <w:tabs>
        <w:tab w:val="left" w:pos="-1440"/>
        <w:tab w:val="left" w:pos="-720"/>
      </w:tabs>
    </w:pPr>
    <w:r>
      <w:pict>
        <v:rect id="_x0000_i1045" style="width:480.95pt;height:1pt" o:hralign="center" o:hrstd="t" o:hrnoshade="t" o:hr="t" fillcolor="black [3213]" stroked="f"/>
      </w:pict>
    </w:r>
  </w:p>
  <w:p w:rsidR="002F2423" w:rsidRPr="00954D22" w:rsidRDefault="002F2423" w:rsidP="00B7374B">
    <w:pPr>
      <w:tabs>
        <w:tab w:val="center" w:pos="4680"/>
      </w:tabs>
      <w:rPr>
        <w:szCs w:val="24"/>
      </w:rPr>
    </w:pPr>
    <w:r w:rsidRPr="00954D22">
      <w:rPr>
        <w:szCs w:val="24"/>
      </w:rPr>
      <w:tab/>
      <w:t xml:space="preserve">- </w:t>
    </w:r>
    <w:r w:rsidR="00286B88">
      <w:rPr>
        <w:szCs w:val="24"/>
      </w:rPr>
      <w:fldChar w:fldCharType="begin"/>
    </w:r>
    <w:r>
      <w:rPr>
        <w:szCs w:val="24"/>
      </w:rPr>
      <w:instrText xml:space="preserve"> PAGE   \* MERGEFORMAT </w:instrText>
    </w:r>
    <w:r w:rsidR="00286B88">
      <w:rPr>
        <w:szCs w:val="24"/>
      </w:rPr>
      <w:fldChar w:fldCharType="separate"/>
    </w:r>
    <w:r w:rsidR="005A3634">
      <w:rPr>
        <w:noProof/>
        <w:szCs w:val="24"/>
      </w:rPr>
      <w:t>316</w:t>
    </w:r>
    <w:r w:rsidR="00286B88">
      <w:rPr>
        <w:szCs w:val="24"/>
      </w:rPr>
      <w:fldChar w:fldCharType="end"/>
    </w:r>
    <w:r w:rsidRPr="00954D22">
      <w:rPr>
        <w:szCs w:val="24"/>
      </w:rPr>
      <w:t xml:space="preserve"> -</w:t>
    </w:r>
  </w:p>
  <w:p w:rsidR="002F2423" w:rsidRDefault="002F242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5A3634" w:rsidP="00A87207">
    <w:pPr>
      <w:pStyle w:val="Footer"/>
    </w:pPr>
    <w:r>
      <w:pict>
        <v:rect id="_x0000_i1047" style="width:480.95pt;height:1pt" o:hralign="center" o:hrstd="t" o:hrnoshade="t" o:hr="t" fillcolor="black [3213]" stroked="f"/>
      </w:pict>
    </w:r>
  </w:p>
  <w:p w:rsidR="002F2423" w:rsidRPr="00B7374B" w:rsidRDefault="002F2423" w:rsidP="00B7374B">
    <w:pPr>
      <w:tabs>
        <w:tab w:val="center" w:pos="4680"/>
      </w:tabs>
      <w:rPr>
        <w:szCs w:val="24"/>
      </w:rPr>
    </w:pPr>
    <w:r w:rsidRPr="00954D22">
      <w:rPr>
        <w:szCs w:val="24"/>
      </w:rPr>
      <w:tab/>
      <w:t xml:space="preserve">- </w:t>
    </w:r>
    <w:r w:rsidR="00286B88" w:rsidRPr="00954D22">
      <w:rPr>
        <w:szCs w:val="24"/>
      </w:rPr>
      <w:fldChar w:fldCharType="begin"/>
    </w:r>
    <w:r w:rsidRPr="00954D22">
      <w:rPr>
        <w:szCs w:val="24"/>
      </w:rPr>
      <w:instrText xml:space="preserve"> PAGE   \* MERGEFORMAT </w:instrText>
    </w:r>
    <w:r w:rsidR="00286B88" w:rsidRPr="00954D22">
      <w:rPr>
        <w:szCs w:val="24"/>
      </w:rPr>
      <w:fldChar w:fldCharType="separate"/>
    </w:r>
    <w:r>
      <w:rPr>
        <w:noProof/>
        <w:szCs w:val="24"/>
      </w:rPr>
      <w:t>320</w:t>
    </w:r>
    <w:r w:rsidR="00286B88"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5A363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8" style="width:480.95pt;height:1pt" o:hralign="center" o:hrstd="t" o:hrnoshade="t" o:hr="t" fillcolor="black [3213]" stroked="f"/>
      </w:pict>
    </w:r>
  </w:p>
  <w:p w:rsidR="002F2423" w:rsidRPr="00954D22" w:rsidRDefault="002F2423" w:rsidP="00B7374B">
    <w:pPr>
      <w:tabs>
        <w:tab w:val="center" w:pos="4680"/>
      </w:tabs>
      <w:rPr>
        <w:szCs w:val="24"/>
      </w:rPr>
    </w:pPr>
    <w:r w:rsidRPr="00954D22">
      <w:rPr>
        <w:szCs w:val="24"/>
      </w:rPr>
      <w:tab/>
      <w:t xml:space="preserve">- </w:t>
    </w:r>
    <w:r w:rsidR="00286B88" w:rsidRPr="00954D22">
      <w:rPr>
        <w:szCs w:val="24"/>
      </w:rPr>
      <w:fldChar w:fldCharType="begin"/>
    </w:r>
    <w:r w:rsidRPr="00954D22">
      <w:rPr>
        <w:szCs w:val="24"/>
      </w:rPr>
      <w:instrText xml:space="preserve"> PAGE   \* MERGEFORMAT </w:instrText>
    </w:r>
    <w:r w:rsidR="00286B88" w:rsidRPr="00954D22">
      <w:rPr>
        <w:szCs w:val="24"/>
      </w:rPr>
      <w:fldChar w:fldCharType="separate"/>
    </w:r>
    <w:r w:rsidR="005A3634">
      <w:rPr>
        <w:noProof/>
        <w:szCs w:val="24"/>
      </w:rPr>
      <w:t>319</w:t>
    </w:r>
    <w:r w:rsidR="00286B88"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F2423" w:rsidRDefault="002F2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F2423" w:rsidRDefault="002F242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5A3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2F2423" w:rsidRPr="0009648D" w:rsidRDefault="002F2423" w:rsidP="00ED7E83">
    <w:pPr>
      <w:tabs>
        <w:tab w:val="center" w:pos="4680"/>
      </w:tabs>
    </w:pPr>
    <w:r>
      <w:tab/>
    </w:r>
    <w:r w:rsidRPr="0009648D">
      <w:t xml:space="preserve">- </w:t>
    </w:r>
    <w:r w:rsidR="00D1459E">
      <w:fldChar w:fldCharType="begin"/>
    </w:r>
    <w:r w:rsidR="00D1459E">
      <w:instrText xml:space="preserve"> PAGE   \* MERGEFORMAT </w:instrText>
    </w:r>
    <w:r w:rsidR="00D1459E">
      <w:fldChar w:fldCharType="separate"/>
    </w:r>
    <w:r w:rsidR="005A3634">
      <w:rPr>
        <w:noProof/>
      </w:rPr>
      <w:t>332</w:t>
    </w:r>
    <w:r w:rsidR="00D1459E">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23" w:rsidRDefault="002F2423" w:rsidP="00A87207">
      <w:r>
        <w:separator/>
      </w:r>
    </w:p>
  </w:footnote>
  <w:footnote w:type="continuationSeparator" w:id="0">
    <w:p w:rsidR="002F2423" w:rsidRDefault="002F242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F2423">
      <w:tc>
        <w:tcPr>
          <w:tcW w:w="4230" w:type="dxa"/>
          <w:tcMar>
            <w:left w:w="0" w:type="dxa"/>
            <w:right w:w="0" w:type="dxa"/>
          </w:tcMar>
        </w:tcPr>
        <w:p w:rsidR="002F2423" w:rsidRDefault="002F24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F2423" w:rsidRDefault="002F24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F2423" w:rsidRDefault="002F24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F2423">
      <w:trPr>
        <w:gridAfter w:val="2"/>
        <w:wAfter w:w="5250" w:type="dxa"/>
      </w:trPr>
      <w:tc>
        <w:tcPr>
          <w:tcW w:w="4230" w:type="dxa"/>
          <w:tcMar>
            <w:left w:w="0" w:type="dxa"/>
            <w:right w:w="0" w:type="dxa"/>
          </w:tcMar>
        </w:tcPr>
        <w:p w:rsidR="002F2423" w:rsidRDefault="002F2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F2423" w:rsidRDefault="002F2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F2423" w:rsidRPr="00755F22" w:rsidTr="00245129">
      <w:tc>
        <w:tcPr>
          <w:tcW w:w="4230" w:type="dxa"/>
          <w:tcMar>
            <w:left w:w="0" w:type="dxa"/>
            <w:right w:w="0" w:type="dxa"/>
          </w:tcMar>
        </w:tcPr>
        <w:p w:rsidR="002F2423" w:rsidRPr="00755F22" w:rsidRDefault="002F2423" w:rsidP="00831CA9">
          <w:pPr>
            <w:keepNext/>
            <w:keepLines/>
            <w:rPr>
              <w:sz w:val="20"/>
              <w:szCs w:val="20"/>
            </w:rPr>
          </w:pPr>
          <w:r w:rsidRPr="00755F22">
            <w:rPr>
              <w:sz w:val="20"/>
              <w:szCs w:val="20"/>
            </w:rPr>
            <w:t>MOTIONS</w:t>
          </w:r>
        </w:p>
      </w:tc>
      <w:tc>
        <w:tcPr>
          <w:tcW w:w="1170" w:type="dxa"/>
          <w:tcMar>
            <w:left w:w="0" w:type="dxa"/>
            <w:right w:w="0" w:type="dxa"/>
          </w:tcMar>
        </w:tcPr>
        <w:p w:rsidR="002F2423" w:rsidRPr="00755F22" w:rsidRDefault="002F2423" w:rsidP="00831CA9">
          <w:pPr>
            <w:keepLines/>
            <w:jc w:val="center"/>
            <w:rPr>
              <w:sz w:val="20"/>
              <w:szCs w:val="20"/>
            </w:rPr>
          </w:pPr>
        </w:p>
        <w:p w:rsidR="002F2423" w:rsidRPr="00755F22" w:rsidRDefault="002F2423" w:rsidP="00831CA9">
          <w:pPr>
            <w:keepLines/>
            <w:tabs>
              <w:tab w:val="left" w:pos="-1440"/>
              <w:tab w:val="left" w:pos="-720"/>
            </w:tabs>
            <w:jc w:val="center"/>
            <w:rPr>
              <w:sz w:val="20"/>
              <w:szCs w:val="20"/>
            </w:rPr>
          </w:pPr>
        </w:p>
      </w:tc>
      <w:tc>
        <w:tcPr>
          <w:tcW w:w="4080" w:type="dxa"/>
          <w:tcMar>
            <w:left w:w="0" w:type="dxa"/>
            <w:right w:w="0" w:type="dxa"/>
          </w:tcMar>
        </w:tcPr>
        <w:p w:rsidR="002F2423" w:rsidRPr="00BA6468" w:rsidRDefault="002F2423" w:rsidP="00BA6468">
          <w:pPr>
            <w:keepLines/>
            <w:rPr>
              <w:sz w:val="20"/>
              <w:szCs w:val="20"/>
              <w:lang w:val="fr-CA"/>
            </w:rPr>
          </w:pPr>
          <w:r w:rsidRPr="00BA6468">
            <w:rPr>
              <w:sz w:val="20"/>
              <w:szCs w:val="20"/>
              <w:lang w:val="fr-CA"/>
            </w:rPr>
            <w:t>REQUÊTES</w:t>
          </w:r>
        </w:p>
      </w:tc>
    </w:tr>
  </w:tbl>
  <w:p w:rsidR="002F2423" w:rsidRDefault="002F2423"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F2423" w:rsidRPr="008B79EB">
      <w:tc>
        <w:tcPr>
          <w:tcW w:w="4200" w:type="dxa"/>
          <w:tcMar>
            <w:left w:w="0" w:type="dxa"/>
            <w:right w:w="0" w:type="dxa"/>
          </w:tcMar>
        </w:tcPr>
        <w:p w:rsidR="002F2423" w:rsidRDefault="002F242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2F2423" w:rsidRDefault="002F242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2F2423" w:rsidRDefault="002F2423">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F2423" w:rsidRPr="009256DC" w:rsidRDefault="002F2423">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2F2423" w:rsidRPr="009256DC" w:rsidRDefault="002F24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F2423" w:rsidRPr="009256DC" w:rsidRDefault="002F242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F2423" w:rsidRPr="008B79EB" w:rsidTr="00245129">
      <w:tc>
        <w:tcPr>
          <w:tcW w:w="4200" w:type="dxa"/>
          <w:tcMar>
            <w:left w:w="0" w:type="dxa"/>
            <w:right w:w="0" w:type="dxa"/>
          </w:tcMar>
        </w:tcPr>
        <w:p w:rsidR="002F2423" w:rsidRPr="00802863" w:rsidRDefault="002F2423"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2F2423" w:rsidRPr="00802863" w:rsidRDefault="002F2423" w:rsidP="00802863">
          <w:pPr>
            <w:keepNext/>
            <w:keepLines/>
            <w:widowControl w:val="0"/>
            <w:tabs>
              <w:tab w:val="left" w:pos="-1440"/>
              <w:tab w:val="left" w:pos="-720"/>
            </w:tabs>
            <w:jc w:val="center"/>
            <w:rPr>
              <w:sz w:val="20"/>
              <w:szCs w:val="20"/>
            </w:rPr>
          </w:pPr>
        </w:p>
        <w:p w:rsidR="002F2423" w:rsidRPr="00802863" w:rsidRDefault="002F2423" w:rsidP="00802863">
          <w:pPr>
            <w:keepNext/>
            <w:keepLines/>
            <w:widowControl w:val="0"/>
            <w:tabs>
              <w:tab w:val="left" w:pos="-1440"/>
              <w:tab w:val="left" w:pos="-720"/>
            </w:tabs>
            <w:jc w:val="center"/>
            <w:rPr>
              <w:sz w:val="20"/>
              <w:szCs w:val="20"/>
            </w:rPr>
          </w:pPr>
        </w:p>
        <w:p w:rsidR="002F2423" w:rsidRPr="00802863" w:rsidRDefault="002F2423"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2F2423" w:rsidRPr="00802863" w:rsidRDefault="002F2423"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2F2423" w:rsidRPr="009256DC" w:rsidRDefault="002F2423"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F2423" w:rsidRPr="008B79EB">
      <w:tc>
        <w:tcPr>
          <w:tcW w:w="4200" w:type="dxa"/>
          <w:tcMar>
            <w:left w:w="0" w:type="dxa"/>
            <w:right w:w="0" w:type="dxa"/>
          </w:tcMar>
        </w:tcPr>
        <w:p w:rsidR="002F2423" w:rsidRDefault="002F24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2F2423" w:rsidRDefault="002F24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F2423" w:rsidRPr="00283C52" w:rsidRDefault="002F24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2F2423" w:rsidRPr="00283C52" w:rsidRDefault="002F2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F2423" w:rsidRPr="00283C52" w:rsidRDefault="002F2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F2423" w:rsidRPr="008B79EB" w:rsidTr="00245129">
      <w:tc>
        <w:tcPr>
          <w:tcW w:w="4200" w:type="dxa"/>
          <w:tcMar>
            <w:left w:w="0" w:type="dxa"/>
            <w:right w:w="0" w:type="dxa"/>
          </w:tcMar>
        </w:tcPr>
        <w:p w:rsidR="002F2423" w:rsidRPr="00732DB7" w:rsidRDefault="002F2423"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2F2423" w:rsidRPr="00732DB7" w:rsidRDefault="002F2423" w:rsidP="00732DB7">
          <w:pPr>
            <w:keepNext/>
            <w:keepLines/>
            <w:tabs>
              <w:tab w:val="left" w:pos="-1440"/>
              <w:tab w:val="left" w:pos="-720"/>
            </w:tabs>
            <w:jc w:val="center"/>
            <w:rPr>
              <w:sz w:val="20"/>
              <w:szCs w:val="20"/>
            </w:rPr>
          </w:pPr>
        </w:p>
        <w:p w:rsidR="002F2423" w:rsidRPr="00732DB7" w:rsidRDefault="002F2423" w:rsidP="00732DB7">
          <w:pPr>
            <w:keepNext/>
            <w:keepLines/>
            <w:tabs>
              <w:tab w:val="left" w:pos="-1440"/>
              <w:tab w:val="left" w:pos="-720"/>
            </w:tabs>
            <w:jc w:val="center"/>
            <w:rPr>
              <w:sz w:val="20"/>
              <w:szCs w:val="20"/>
            </w:rPr>
          </w:pPr>
        </w:p>
        <w:p w:rsidR="002F2423" w:rsidRPr="00732DB7" w:rsidRDefault="002F2423" w:rsidP="00732DB7">
          <w:pPr>
            <w:keepNext/>
            <w:keepLines/>
            <w:tabs>
              <w:tab w:val="left" w:pos="-1440"/>
              <w:tab w:val="left" w:pos="-720"/>
            </w:tabs>
            <w:jc w:val="center"/>
            <w:rPr>
              <w:sz w:val="20"/>
              <w:szCs w:val="20"/>
            </w:rPr>
          </w:pPr>
        </w:p>
      </w:tc>
      <w:tc>
        <w:tcPr>
          <w:tcW w:w="4080" w:type="dxa"/>
          <w:tcMar>
            <w:left w:w="0" w:type="dxa"/>
            <w:right w:w="0" w:type="dxa"/>
          </w:tcMar>
        </w:tcPr>
        <w:p w:rsidR="002F2423" w:rsidRPr="00732DB7" w:rsidRDefault="002F242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2F2423" w:rsidRPr="00283C52" w:rsidRDefault="002F242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F2423" w:rsidRPr="0044776A" w:rsidTr="00245129">
      <w:tc>
        <w:tcPr>
          <w:tcW w:w="4290" w:type="dxa"/>
          <w:tcMar>
            <w:left w:w="0" w:type="dxa"/>
            <w:right w:w="0" w:type="dxa"/>
          </w:tcMar>
        </w:tcPr>
        <w:p w:rsidR="002F2423" w:rsidRPr="0044776A" w:rsidRDefault="002F242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F2423" w:rsidRPr="0044776A" w:rsidRDefault="002F2423" w:rsidP="002E2327">
          <w:pPr>
            <w:keepNext/>
            <w:keepLines/>
            <w:tabs>
              <w:tab w:val="left" w:pos="-1440"/>
              <w:tab w:val="left" w:pos="-720"/>
            </w:tabs>
            <w:jc w:val="center"/>
            <w:rPr>
              <w:sz w:val="20"/>
              <w:szCs w:val="20"/>
            </w:rPr>
          </w:pPr>
        </w:p>
        <w:p w:rsidR="002F2423" w:rsidRPr="0044776A" w:rsidRDefault="002F2423" w:rsidP="002E2327">
          <w:pPr>
            <w:keepNext/>
            <w:keepLines/>
            <w:tabs>
              <w:tab w:val="left" w:pos="-1440"/>
              <w:tab w:val="left" w:pos="-720"/>
            </w:tabs>
            <w:jc w:val="center"/>
            <w:rPr>
              <w:sz w:val="20"/>
              <w:szCs w:val="20"/>
            </w:rPr>
          </w:pPr>
        </w:p>
        <w:p w:rsidR="002F2423" w:rsidRPr="0044776A" w:rsidRDefault="002F2423" w:rsidP="002E2327">
          <w:pPr>
            <w:keepNext/>
            <w:keepLines/>
            <w:tabs>
              <w:tab w:val="left" w:pos="-1440"/>
              <w:tab w:val="left" w:pos="-720"/>
            </w:tabs>
            <w:jc w:val="center"/>
            <w:rPr>
              <w:sz w:val="20"/>
              <w:szCs w:val="20"/>
            </w:rPr>
          </w:pPr>
        </w:p>
      </w:tc>
      <w:tc>
        <w:tcPr>
          <w:tcW w:w="4320" w:type="dxa"/>
          <w:tcMar>
            <w:left w:w="0" w:type="dxa"/>
            <w:right w:w="0" w:type="dxa"/>
          </w:tcMar>
        </w:tcPr>
        <w:p w:rsidR="002F2423" w:rsidRPr="0044776A" w:rsidRDefault="002F2423" w:rsidP="002E2327">
          <w:pPr>
            <w:keepLines/>
            <w:rPr>
              <w:sz w:val="20"/>
              <w:szCs w:val="20"/>
              <w:lang w:val="fr-CA"/>
            </w:rPr>
          </w:pPr>
          <w:r w:rsidRPr="0044776A">
            <w:rPr>
              <w:sz w:val="20"/>
              <w:szCs w:val="20"/>
              <w:lang w:val="fr-CA"/>
            </w:rPr>
            <w:t>DEMANDES D'AUTORISATION D'APPEL DÉPOSÉES</w:t>
          </w:r>
        </w:p>
      </w:tc>
    </w:tr>
  </w:tbl>
  <w:p w:rsidR="002F2423" w:rsidRDefault="002F24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F2423" w:rsidRPr="008B79EB" w:rsidTr="00245129">
      <w:tc>
        <w:tcPr>
          <w:tcW w:w="4200" w:type="dxa"/>
          <w:tcMar>
            <w:left w:w="0" w:type="dxa"/>
            <w:right w:w="0" w:type="dxa"/>
          </w:tcMar>
        </w:tcPr>
        <w:p w:rsidR="002F2423" w:rsidRPr="0044776A" w:rsidRDefault="002F2423" w:rsidP="0044776A">
          <w:pPr>
            <w:keepNext/>
            <w:keepLines/>
            <w:widowControl w:val="0"/>
            <w:rPr>
              <w:sz w:val="20"/>
              <w:szCs w:val="20"/>
            </w:rPr>
          </w:pPr>
          <w:r>
            <w:rPr>
              <w:sz w:val="20"/>
              <w:szCs w:val="20"/>
            </w:rPr>
            <w:t>APPLICATIONS FOR LEAVE</w:t>
          </w:r>
        </w:p>
        <w:p w:rsidR="002F2423" w:rsidRPr="0044776A" w:rsidRDefault="002F242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F2423" w:rsidRPr="0044776A" w:rsidRDefault="002F2423" w:rsidP="0044776A">
          <w:pPr>
            <w:keepNext/>
            <w:keepLines/>
            <w:widowControl w:val="0"/>
            <w:jc w:val="center"/>
            <w:rPr>
              <w:sz w:val="20"/>
              <w:szCs w:val="20"/>
            </w:rPr>
          </w:pPr>
        </w:p>
        <w:p w:rsidR="002F2423" w:rsidRPr="0044776A" w:rsidRDefault="002F2423" w:rsidP="0044776A">
          <w:pPr>
            <w:keepNext/>
            <w:keepLines/>
            <w:widowControl w:val="0"/>
            <w:jc w:val="center"/>
            <w:rPr>
              <w:sz w:val="20"/>
              <w:szCs w:val="20"/>
            </w:rPr>
          </w:pPr>
        </w:p>
        <w:p w:rsidR="002F2423" w:rsidRPr="0044776A" w:rsidRDefault="002F2423" w:rsidP="0044776A">
          <w:pPr>
            <w:keepNext/>
            <w:keepLines/>
            <w:widowControl w:val="0"/>
            <w:jc w:val="center"/>
            <w:rPr>
              <w:sz w:val="20"/>
              <w:szCs w:val="20"/>
            </w:rPr>
          </w:pPr>
        </w:p>
      </w:tc>
      <w:tc>
        <w:tcPr>
          <w:tcW w:w="4080" w:type="dxa"/>
          <w:tcMar>
            <w:left w:w="0" w:type="dxa"/>
            <w:right w:w="0" w:type="dxa"/>
          </w:tcMar>
        </w:tcPr>
        <w:p w:rsidR="002F2423" w:rsidRPr="0044776A" w:rsidRDefault="002F2423" w:rsidP="0044776A">
          <w:pPr>
            <w:keepLines/>
            <w:widowControl w:val="0"/>
            <w:rPr>
              <w:sz w:val="20"/>
              <w:szCs w:val="20"/>
              <w:lang w:val="fr-CA"/>
            </w:rPr>
          </w:pPr>
          <w:r w:rsidRPr="0044776A">
            <w:rPr>
              <w:sz w:val="20"/>
              <w:szCs w:val="20"/>
              <w:lang w:val="fr-CA"/>
            </w:rPr>
            <w:t>DEMANDES SOUMISES À LA COUR DEPUIS LA DERNIÈRE PARUTION</w:t>
          </w:r>
        </w:p>
        <w:p w:rsidR="002F2423" w:rsidRPr="0044776A" w:rsidRDefault="002F2423" w:rsidP="0044776A">
          <w:pPr>
            <w:widowControl w:val="0"/>
            <w:rPr>
              <w:sz w:val="20"/>
              <w:szCs w:val="20"/>
              <w:lang w:val="fr-CA"/>
            </w:rPr>
          </w:pPr>
        </w:p>
      </w:tc>
    </w:tr>
  </w:tbl>
  <w:p w:rsidR="002F2423" w:rsidRPr="002E2327" w:rsidRDefault="002F2423">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23" w:rsidRDefault="002F242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F2423" w:rsidRPr="008B79EB">
      <w:tc>
        <w:tcPr>
          <w:tcW w:w="4200" w:type="dxa"/>
          <w:tcMar>
            <w:left w:w="0" w:type="dxa"/>
            <w:right w:w="0" w:type="dxa"/>
          </w:tcMar>
        </w:tcPr>
        <w:p w:rsidR="002F2423" w:rsidRDefault="002F24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F2423" w:rsidRDefault="002F24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F2423" w:rsidRDefault="002F24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F2423" w:rsidRPr="00FF6BA5" w:rsidRDefault="002F24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F2423" w:rsidRPr="00FF6BA5" w:rsidRDefault="002F2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F2423" w:rsidRPr="00FF6BA5" w:rsidRDefault="002F2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F2423" w:rsidRPr="00FF6BA5" w:rsidRDefault="002F24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F2423" w:rsidRPr="008B79EB" w:rsidTr="00245129">
      <w:tc>
        <w:tcPr>
          <w:tcW w:w="4200" w:type="dxa"/>
          <w:tcMar>
            <w:left w:w="0" w:type="dxa"/>
            <w:right w:w="0" w:type="dxa"/>
          </w:tcMar>
        </w:tcPr>
        <w:p w:rsidR="002F2423" w:rsidRPr="00755F22" w:rsidRDefault="002F24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F2423" w:rsidRPr="00755F22" w:rsidRDefault="002F24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F2423" w:rsidRPr="00755F22" w:rsidRDefault="002F242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F2423" w:rsidRPr="00755F22" w:rsidRDefault="002F242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F2423" w:rsidRPr="00755F22" w:rsidRDefault="002F242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F2423" w:rsidRPr="00755F22" w:rsidRDefault="002F24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F2423" w:rsidRPr="00FF6BA5" w:rsidRDefault="002F2423"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1A3C"/>
    <w:multiLevelType w:val="hybridMultilevel"/>
    <w:tmpl w:val="3FEA43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221209"/>
    <w:multiLevelType w:val="hybridMultilevel"/>
    <w:tmpl w:val="3DB496DE"/>
    <w:lvl w:ilvl="0" w:tplc="0624FF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6875E7"/>
    <w:multiLevelType w:val="hybridMultilevel"/>
    <w:tmpl w:val="09A4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277E4"/>
    <w:multiLevelType w:val="hybridMultilevel"/>
    <w:tmpl w:val="3FEA43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626166"/>
    <w:multiLevelType w:val="hybridMultilevel"/>
    <w:tmpl w:val="A54E4070"/>
    <w:lvl w:ilvl="0" w:tplc="EBA247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01704E"/>
    <w:multiLevelType w:val="hybridMultilevel"/>
    <w:tmpl w:val="4E58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78861"/>
  </w:hdrShapeDefaults>
  <w:footnotePr>
    <w:footnote w:id="-1"/>
    <w:footnote w:id="0"/>
  </w:footnotePr>
  <w:endnotePr>
    <w:endnote w:id="-1"/>
    <w:endnote w:id="0"/>
  </w:endnotePr>
  <w:compat>
    <w:compatSetting w:name="compatibilityMode" w:uri="http://schemas.microsoft.com/office/word" w:val="12"/>
  </w:compat>
  <w:rsids>
    <w:rsidRoot w:val="00004B55"/>
    <w:rsid w:val="00004B55"/>
    <w:rsid w:val="0001186F"/>
    <w:rsid w:val="00020DC3"/>
    <w:rsid w:val="0003223B"/>
    <w:rsid w:val="000327B2"/>
    <w:rsid w:val="00042C2B"/>
    <w:rsid w:val="0004528B"/>
    <w:rsid w:val="000570D8"/>
    <w:rsid w:val="00064FBA"/>
    <w:rsid w:val="00073E26"/>
    <w:rsid w:val="00091FA6"/>
    <w:rsid w:val="00096BD9"/>
    <w:rsid w:val="000B3C9A"/>
    <w:rsid w:val="000B40A2"/>
    <w:rsid w:val="000B4624"/>
    <w:rsid w:val="000C0ACD"/>
    <w:rsid w:val="000C0D2A"/>
    <w:rsid w:val="000C2280"/>
    <w:rsid w:val="000C5CE8"/>
    <w:rsid w:val="000E2959"/>
    <w:rsid w:val="000F0B60"/>
    <w:rsid w:val="00102926"/>
    <w:rsid w:val="0010587F"/>
    <w:rsid w:val="00111C6B"/>
    <w:rsid w:val="0012102B"/>
    <w:rsid w:val="0013369E"/>
    <w:rsid w:val="00164E6D"/>
    <w:rsid w:val="00183454"/>
    <w:rsid w:val="00187E5B"/>
    <w:rsid w:val="00194BF9"/>
    <w:rsid w:val="001B157C"/>
    <w:rsid w:val="001B4006"/>
    <w:rsid w:val="001B5C23"/>
    <w:rsid w:val="001B6BC6"/>
    <w:rsid w:val="001D0D5F"/>
    <w:rsid w:val="001D6B8C"/>
    <w:rsid w:val="001F1F83"/>
    <w:rsid w:val="001F40DF"/>
    <w:rsid w:val="001F6B2D"/>
    <w:rsid w:val="002021A9"/>
    <w:rsid w:val="002139A7"/>
    <w:rsid w:val="00215F7C"/>
    <w:rsid w:val="0022323B"/>
    <w:rsid w:val="002410B8"/>
    <w:rsid w:val="00242AEE"/>
    <w:rsid w:val="00245129"/>
    <w:rsid w:val="00245879"/>
    <w:rsid w:val="0025562B"/>
    <w:rsid w:val="002560CC"/>
    <w:rsid w:val="002628D1"/>
    <w:rsid w:val="00267FD5"/>
    <w:rsid w:val="00274D34"/>
    <w:rsid w:val="00275F75"/>
    <w:rsid w:val="00283ED8"/>
    <w:rsid w:val="002868D0"/>
    <w:rsid w:val="00286B88"/>
    <w:rsid w:val="002A008C"/>
    <w:rsid w:val="002A27D1"/>
    <w:rsid w:val="002A4AFA"/>
    <w:rsid w:val="002A5A73"/>
    <w:rsid w:val="002B516C"/>
    <w:rsid w:val="002C4734"/>
    <w:rsid w:val="002D72EB"/>
    <w:rsid w:val="002E2327"/>
    <w:rsid w:val="002E3583"/>
    <w:rsid w:val="002E5576"/>
    <w:rsid w:val="002F2423"/>
    <w:rsid w:val="00315A28"/>
    <w:rsid w:val="00323578"/>
    <w:rsid w:val="00331B52"/>
    <w:rsid w:val="003359D3"/>
    <w:rsid w:val="00342823"/>
    <w:rsid w:val="0035378F"/>
    <w:rsid w:val="00355967"/>
    <w:rsid w:val="00382C47"/>
    <w:rsid w:val="00384384"/>
    <w:rsid w:val="003866AE"/>
    <w:rsid w:val="00397539"/>
    <w:rsid w:val="003B3977"/>
    <w:rsid w:val="003E1D4C"/>
    <w:rsid w:val="004137A0"/>
    <w:rsid w:val="00422D9A"/>
    <w:rsid w:val="00432989"/>
    <w:rsid w:val="00440E24"/>
    <w:rsid w:val="0044776A"/>
    <w:rsid w:val="00460AFC"/>
    <w:rsid w:val="0047265F"/>
    <w:rsid w:val="0047471F"/>
    <w:rsid w:val="004A6181"/>
    <w:rsid w:val="004B195E"/>
    <w:rsid w:val="004B66B4"/>
    <w:rsid w:val="004B72F8"/>
    <w:rsid w:val="004B7F60"/>
    <w:rsid w:val="004C1AAC"/>
    <w:rsid w:val="004E1E0A"/>
    <w:rsid w:val="004E5E26"/>
    <w:rsid w:val="004F090E"/>
    <w:rsid w:val="004F5442"/>
    <w:rsid w:val="00501F3C"/>
    <w:rsid w:val="0052229C"/>
    <w:rsid w:val="00523100"/>
    <w:rsid w:val="00527CC7"/>
    <w:rsid w:val="00551EF8"/>
    <w:rsid w:val="00571CA4"/>
    <w:rsid w:val="00582136"/>
    <w:rsid w:val="005976F4"/>
    <w:rsid w:val="005A3634"/>
    <w:rsid w:val="005C6840"/>
    <w:rsid w:val="005E636C"/>
    <w:rsid w:val="005F1ED8"/>
    <w:rsid w:val="005F263E"/>
    <w:rsid w:val="00600252"/>
    <w:rsid w:val="0061271E"/>
    <w:rsid w:val="00612A40"/>
    <w:rsid w:val="0061788C"/>
    <w:rsid w:val="0062714A"/>
    <w:rsid w:val="006544D2"/>
    <w:rsid w:val="00675479"/>
    <w:rsid w:val="00680709"/>
    <w:rsid w:val="00681F61"/>
    <w:rsid w:val="00693955"/>
    <w:rsid w:val="00696BF9"/>
    <w:rsid w:val="00697C62"/>
    <w:rsid w:val="006A329B"/>
    <w:rsid w:val="006A36DB"/>
    <w:rsid w:val="006A7EB8"/>
    <w:rsid w:val="006B476C"/>
    <w:rsid w:val="006B6926"/>
    <w:rsid w:val="006C3F47"/>
    <w:rsid w:val="006C5F7A"/>
    <w:rsid w:val="006E06AF"/>
    <w:rsid w:val="006E2210"/>
    <w:rsid w:val="006F350F"/>
    <w:rsid w:val="007012D5"/>
    <w:rsid w:val="00732DB7"/>
    <w:rsid w:val="0074238B"/>
    <w:rsid w:val="00745EF7"/>
    <w:rsid w:val="00755F22"/>
    <w:rsid w:val="00766E4A"/>
    <w:rsid w:val="007820CE"/>
    <w:rsid w:val="00782AE4"/>
    <w:rsid w:val="007934D0"/>
    <w:rsid w:val="0079724F"/>
    <w:rsid w:val="007A3EAE"/>
    <w:rsid w:val="007C04FC"/>
    <w:rsid w:val="007C3DB0"/>
    <w:rsid w:val="007C47C2"/>
    <w:rsid w:val="007D3E0F"/>
    <w:rsid w:val="007E4282"/>
    <w:rsid w:val="007F387B"/>
    <w:rsid w:val="00802863"/>
    <w:rsid w:val="008112A9"/>
    <w:rsid w:val="00815B3C"/>
    <w:rsid w:val="0081610A"/>
    <w:rsid w:val="0082783A"/>
    <w:rsid w:val="00831CA9"/>
    <w:rsid w:val="00850E1F"/>
    <w:rsid w:val="0085476B"/>
    <w:rsid w:val="008579F6"/>
    <w:rsid w:val="00861DE3"/>
    <w:rsid w:val="0086340B"/>
    <w:rsid w:val="00870BA1"/>
    <w:rsid w:val="00890FEB"/>
    <w:rsid w:val="00895E7E"/>
    <w:rsid w:val="008A137B"/>
    <w:rsid w:val="008A5C1A"/>
    <w:rsid w:val="008B79EB"/>
    <w:rsid w:val="008D292F"/>
    <w:rsid w:val="008E03DC"/>
    <w:rsid w:val="00902E51"/>
    <w:rsid w:val="00924065"/>
    <w:rsid w:val="00930D68"/>
    <w:rsid w:val="00932DB4"/>
    <w:rsid w:val="00941A4B"/>
    <w:rsid w:val="00946242"/>
    <w:rsid w:val="0095096B"/>
    <w:rsid w:val="00970CD3"/>
    <w:rsid w:val="009723FA"/>
    <w:rsid w:val="009753EE"/>
    <w:rsid w:val="0097546B"/>
    <w:rsid w:val="00982E14"/>
    <w:rsid w:val="00984546"/>
    <w:rsid w:val="00991420"/>
    <w:rsid w:val="00996510"/>
    <w:rsid w:val="009A103A"/>
    <w:rsid w:val="009D1F15"/>
    <w:rsid w:val="009D555E"/>
    <w:rsid w:val="009E3A84"/>
    <w:rsid w:val="009F3024"/>
    <w:rsid w:val="009F39BA"/>
    <w:rsid w:val="00A0355E"/>
    <w:rsid w:val="00A124D9"/>
    <w:rsid w:val="00A1374E"/>
    <w:rsid w:val="00A3387E"/>
    <w:rsid w:val="00A375D1"/>
    <w:rsid w:val="00A4798C"/>
    <w:rsid w:val="00A51D10"/>
    <w:rsid w:val="00A52A83"/>
    <w:rsid w:val="00A629DC"/>
    <w:rsid w:val="00A6552C"/>
    <w:rsid w:val="00A87207"/>
    <w:rsid w:val="00A935AA"/>
    <w:rsid w:val="00A956D3"/>
    <w:rsid w:val="00AA4151"/>
    <w:rsid w:val="00AB2201"/>
    <w:rsid w:val="00AC589C"/>
    <w:rsid w:val="00AD1D34"/>
    <w:rsid w:val="00AD3259"/>
    <w:rsid w:val="00AF1715"/>
    <w:rsid w:val="00AF3904"/>
    <w:rsid w:val="00AF5F6A"/>
    <w:rsid w:val="00B010C0"/>
    <w:rsid w:val="00B4740D"/>
    <w:rsid w:val="00B61629"/>
    <w:rsid w:val="00B7374B"/>
    <w:rsid w:val="00B777B9"/>
    <w:rsid w:val="00B868F3"/>
    <w:rsid w:val="00B86C30"/>
    <w:rsid w:val="00B90DC0"/>
    <w:rsid w:val="00BA116A"/>
    <w:rsid w:val="00BA5582"/>
    <w:rsid w:val="00BA6468"/>
    <w:rsid w:val="00BB1D44"/>
    <w:rsid w:val="00BC401D"/>
    <w:rsid w:val="00BD06DA"/>
    <w:rsid w:val="00BD4217"/>
    <w:rsid w:val="00BF25F3"/>
    <w:rsid w:val="00C1697B"/>
    <w:rsid w:val="00C21644"/>
    <w:rsid w:val="00C21CB5"/>
    <w:rsid w:val="00C46376"/>
    <w:rsid w:val="00C50A5C"/>
    <w:rsid w:val="00C50FDF"/>
    <w:rsid w:val="00C622BC"/>
    <w:rsid w:val="00C63381"/>
    <w:rsid w:val="00C73D06"/>
    <w:rsid w:val="00C73E1B"/>
    <w:rsid w:val="00C759B4"/>
    <w:rsid w:val="00C77713"/>
    <w:rsid w:val="00C85BB7"/>
    <w:rsid w:val="00C97351"/>
    <w:rsid w:val="00CA2DEA"/>
    <w:rsid w:val="00CA4C48"/>
    <w:rsid w:val="00CB3520"/>
    <w:rsid w:val="00CB43D5"/>
    <w:rsid w:val="00CC3C54"/>
    <w:rsid w:val="00CC4D84"/>
    <w:rsid w:val="00CD1AE2"/>
    <w:rsid w:val="00CE198A"/>
    <w:rsid w:val="00CE6C02"/>
    <w:rsid w:val="00CF08C8"/>
    <w:rsid w:val="00D004FC"/>
    <w:rsid w:val="00D1459E"/>
    <w:rsid w:val="00D2172C"/>
    <w:rsid w:val="00D3002B"/>
    <w:rsid w:val="00D6345E"/>
    <w:rsid w:val="00D64901"/>
    <w:rsid w:val="00D76BDF"/>
    <w:rsid w:val="00D818B6"/>
    <w:rsid w:val="00D84417"/>
    <w:rsid w:val="00D85CB5"/>
    <w:rsid w:val="00D862C1"/>
    <w:rsid w:val="00D93B50"/>
    <w:rsid w:val="00D94028"/>
    <w:rsid w:val="00D94670"/>
    <w:rsid w:val="00DA46F6"/>
    <w:rsid w:val="00DD0B49"/>
    <w:rsid w:val="00DE0502"/>
    <w:rsid w:val="00DE349D"/>
    <w:rsid w:val="00E06DFA"/>
    <w:rsid w:val="00E20A0A"/>
    <w:rsid w:val="00E240C2"/>
    <w:rsid w:val="00E356C7"/>
    <w:rsid w:val="00E41A5A"/>
    <w:rsid w:val="00E45FE4"/>
    <w:rsid w:val="00E64FA7"/>
    <w:rsid w:val="00E770CB"/>
    <w:rsid w:val="00E903A1"/>
    <w:rsid w:val="00E940EB"/>
    <w:rsid w:val="00E9703F"/>
    <w:rsid w:val="00EA6D69"/>
    <w:rsid w:val="00EB2B90"/>
    <w:rsid w:val="00EB5111"/>
    <w:rsid w:val="00EC278E"/>
    <w:rsid w:val="00ED42B1"/>
    <w:rsid w:val="00ED7E83"/>
    <w:rsid w:val="00EE091F"/>
    <w:rsid w:val="00EF0FCA"/>
    <w:rsid w:val="00EF4B63"/>
    <w:rsid w:val="00EF6EDD"/>
    <w:rsid w:val="00F0068D"/>
    <w:rsid w:val="00F0576D"/>
    <w:rsid w:val="00F109D6"/>
    <w:rsid w:val="00F14E6D"/>
    <w:rsid w:val="00F15EA8"/>
    <w:rsid w:val="00F16C8D"/>
    <w:rsid w:val="00F26C61"/>
    <w:rsid w:val="00F30DD7"/>
    <w:rsid w:val="00F33CCE"/>
    <w:rsid w:val="00F34235"/>
    <w:rsid w:val="00F40249"/>
    <w:rsid w:val="00F44713"/>
    <w:rsid w:val="00F526C8"/>
    <w:rsid w:val="00F761A3"/>
    <w:rsid w:val="00F80E5D"/>
    <w:rsid w:val="00F83080"/>
    <w:rsid w:val="00F9272D"/>
    <w:rsid w:val="00F9518C"/>
    <w:rsid w:val="00FA316E"/>
    <w:rsid w:val="00FA3373"/>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88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6544D2"/>
    <w:rPr>
      <w:rFonts w:ascii="Tahoma" w:hAnsi="Tahoma" w:cs="Tahoma"/>
      <w:sz w:val="16"/>
      <w:szCs w:val="16"/>
    </w:rPr>
  </w:style>
  <w:style w:type="character" w:customStyle="1" w:styleId="BalloonTextChar">
    <w:name w:val="Balloon Text Char"/>
    <w:basedOn w:val="DefaultParagraphFont"/>
    <w:link w:val="BalloonText"/>
    <w:uiPriority w:val="99"/>
    <w:semiHidden/>
    <w:rsid w:val="006544D2"/>
    <w:rPr>
      <w:rFonts w:ascii="Tahoma" w:hAnsi="Tahoma" w:cs="Tahoma"/>
      <w:sz w:val="16"/>
      <w:szCs w:val="16"/>
      <w:lang w:val="en-CA"/>
    </w:rPr>
  </w:style>
  <w:style w:type="table" w:customStyle="1" w:styleId="TableGrid2">
    <w:name w:val="Table Grid2"/>
    <w:basedOn w:val="TableNormal"/>
    <w:next w:val="TableGrid"/>
    <w:uiPriority w:val="59"/>
    <w:rsid w:val="002F2423"/>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org/en/mb/mbqb/doc/2012/2012mbqb253/2012mbqb253.html" TargetMode="External"/><Relationship Id="rId39" Type="http://schemas.openxmlformats.org/officeDocument/2006/relationships/hyperlink" Target="http://www.canlii.org/en/on/onsc/doc/2013/2013onsc2426/2013onsc2426.html" TargetMode="External"/><Relationship Id="rId21" Type="http://schemas.openxmlformats.org/officeDocument/2006/relationships/header" Target="header6.xml"/><Relationship Id="rId34" Type="http://schemas.openxmlformats.org/officeDocument/2006/relationships/image" Target="media/image2.jpeg"/><Relationship Id="rId42" Type="http://schemas.openxmlformats.org/officeDocument/2006/relationships/hyperlink" Target="http://www.canlii.org/en/on/onca/doc/2014/2014onca567/2014onca567.html" TargetMode="External"/><Relationship Id="rId47" Type="http://schemas.openxmlformats.org/officeDocument/2006/relationships/hyperlink" Target="http://www.canlii.org/fr/qc/qcca/doc/2014/2014qcca250/2014qcca250.html" TargetMode="External"/><Relationship Id="rId50" Type="http://schemas.openxmlformats.org/officeDocument/2006/relationships/hyperlink" Target="http://www.canlii.org/en/bc/bcca/doc/2014/2014bcca335/2014bcca335.html" TargetMode="External"/><Relationship Id="rId55" Type="http://schemas.openxmlformats.org/officeDocument/2006/relationships/hyperlink" Target="http://www.canlii.org/en/on/onsc/doc/2013/2013onsc5046/2013onsc5046.html" TargetMode="External"/><Relationship Id="rId63" Type="http://schemas.openxmlformats.org/officeDocument/2006/relationships/header" Target="header11.xml"/><Relationship Id="rId68" Type="http://schemas.openxmlformats.org/officeDocument/2006/relationships/footer" Target="footer13.xml"/><Relationship Id="rId76" Type="http://schemas.openxmlformats.org/officeDocument/2006/relationships/hyperlink" Target="http://www.scc-csc.ca/case-dossier/info/sum-som-eng.aspx?cas=35677" TargetMode="External"/><Relationship Id="rId84" Type="http://schemas.openxmlformats.org/officeDocument/2006/relationships/footer" Target="footer17.xml"/><Relationship Id="rId89"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mb/mbca/doc/2014/2014mbca56/2014mbca56.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fr/qc/qccs/doc/2012/2012qccs1564/2012qccs1564.html" TargetMode="External"/><Relationship Id="rId37" Type="http://schemas.openxmlformats.org/officeDocument/2006/relationships/hyperlink" Target="http://www.canlii.org/fr/ca/cfpi/doc/2013/2013cf626/2013cf626.html" TargetMode="External"/><Relationship Id="rId40" Type="http://schemas.openxmlformats.org/officeDocument/2006/relationships/hyperlink" Target="http://www.canlii.org/en/on/onca/doc/2014/2014onca567/2014onca567.html" TargetMode="External"/><Relationship Id="rId45" Type="http://schemas.openxmlformats.org/officeDocument/2006/relationships/hyperlink" Target="http://www.canlii.org/en/ab/abqb/doc/2013/2013abqb393/2013abqb393.html" TargetMode="External"/><Relationship Id="rId53" Type="http://schemas.openxmlformats.org/officeDocument/2006/relationships/hyperlink" Target="http://www.canlii.org/en/on/onsc/doc/2013/2013onsc5046/2013onsc5046.html" TargetMode="External"/><Relationship Id="rId58" Type="http://schemas.openxmlformats.org/officeDocument/2006/relationships/header" Target="header9.xml"/><Relationship Id="rId66" Type="http://schemas.openxmlformats.org/officeDocument/2006/relationships/footer" Target="footer12.xml"/><Relationship Id="rId74" Type="http://schemas.openxmlformats.org/officeDocument/2006/relationships/footer" Target="footer16.xml"/><Relationship Id="rId79" Type="http://schemas.openxmlformats.org/officeDocument/2006/relationships/hyperlink" Target="http://www.scc-csc.ca/case-dossier/info/sum-som-eng.aspx?cas=35388" TargetMode="External"/><Relationship Id="rId87"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header" Target="header10.xml"/><Relationship Id="rId82" Type="http://schemas.openxmlformats.org/officeDocument/2006/relationships/header" Target="header17.xml"/><Relationship Id="rId90"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mb/mbca/doc/2014/2014mbca42/2014mbca42.html" TargetMode="External"/><Relationship Id="rId30" Type="http://schemas.openxmlformats.org/officeDocument/2006/relationships/hyperlink" Target="http://www.canlii.org/fr/qc/qccs/doc/2012/2012qccs1564/2012qccs1564.html" TargetMode="External"/><Relationship Id="rId35" Type="http://schemas.openxmlformats.org/officeDocument/2006/relationships/hyperlink" Target="http://www.canlii.org/en/ca/fct/doc/2013/2013fc626/2013fc626.html" TargetMode="External"/><Relationship Id="rId43" Type="http://schemas.openxmlformats.org/officeDocument/2006/relationships/hyperlink" Target="http://www.canlii.org/en/ab/abqb/doc/2013/2013abqb393/2013abqb393.html" TargetMode="External"/><Relationship Id="rId48" Type="http://schemas.openxmlformats.org/officeDocument/2006/relationships/hyperlink" Target="http://www.canlii.org/fr/qc/qcca/doc/2014/2014qcca250/2014qcca250.html" TargetMode="External"/><Relationship Id="rId56" Type="http://schemas.openxmlformats.org/officeDocument/2006/relationships/hyperlink" Target="http://www.canlii.org/en/on/onca/doc/2014/2014onca612/2014onca612.html" TargetMode="External"/><Relationship Id="rId64" Type="http://schemas.openxmlformats.org/officeDocument/2006/relationships/header" Target="header12.xml"/><Relationship Id="rId69" Type="http://schemas.openxmlformats.org/officeDocument/2006/relationships/header" Target="header14.xml"/><Relationship Id="rId77" Type="http://schemas.openxmlformats.org/officeDocument/2006/relationships/hyperlink" Target="http://www.scc-csc.ca/case-dossier/info/sum-som-eng.aspx?cas=35685" TargetMode="External"/><Relationship Id="rId8" Type="http://schemas.openxmlformats.org/officeDocument/2006/relationships/image" Target="media/image1.wmf"/><Relationship Id="rId51" Type="http://schemas.openxmlformats.org/officeDocument/2006/relationships/hyperlink" Target="http://www.canlii.org/en/bc/bcsc/doc/2013/2013bcsc1773/2013bcsc1773.html" TargetMode="External"/><Relationship Id="rId72" Type="http://schemas.openxmlformats.org/officeDocument/2006/relationships/footer" Target="footer15.xml"/><Relationship Id="rId80" Type="http://schemas.openxmlformats.org/officeDocument/2006/relationships/hyperlink" Target="http://www.scc-csc.ca/case-dossier/info/sum-som-eng.aspx?cas=35958" TargetMode="External"/><Relationship Id="rId85" Type="http://schemas.openxmlformats.org/officeDocument/2006/relationships/footer" Target="footer1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mb/mbqb/doc/2012/2012mbqb253/2012mbqb253.html" TargetMode="External"/><Relationship Id="rId33" Type="http://schemas.openxmlformats.org/officeDocument/2006/relationships/hyperlink" Target="http://www.canlii.org/fr/qc/qcca/doc/2014/2014qcca1106/2014qcca1106.html" TargetMode="External"/><Relationship Id="rId38" Type="http://schemas.openxmlformats.org/officeDocument/2006/relationships/hyperlink" Target="http://www.canlii.org/fr/ca/caf/doc/2014/2014caf146/2014caf146.htmll" TargetMode="External"/><Relationship Id="rId46" Type="http://schemas.openxmlformats.org/officeDocument/2006/relationships/hyperlink" Target="http://www.canlii.org/en/ab/abca/doc/2014/2014abca231/2014abca231.html" TargetMode="External"/><Relationship Id="rId59" Type="http://schemas.openxmlformats.org/officeDocument/2006/relationships/footer" Target="footer8.xml"/><Relationship Id="rId67" Type="http://schemas.openxmlformats.org/officeDocument/2006/relationships/header" Target="header13.xml"/><Relationship Id="rId20" Type="http://schemas.openxmlformats.org/officeDocument/2006/relationships/footer" Target="footer5.xml"/><Relationship Id="rId41" Type="http://schemas.openxmlformats.org/officeDocument/2006/relationships/hyperlink" Target="http://www.canlii.org/en/on/onsc/doc/2013/2013onsc2426/2013onsc2426.html" TargetMode="External"/><Relationship Id="rId54" Type="http://schemas.openxmlformats.org/officeDocument/2006/relationships/hyperlink" Target="http://www.canlii.org/en/on/onca/doc/2014/2014onca612/2014onca612.html" TargetMode="External"/><Relationship Id="rId62" Type="http://schemas.openxmlformats.org/officeDocument/2006/relationships/footer" Target="footer10.xml"/><Relationship Id="rId70" Type="http://schemas.openxmlformats.org/officeDocument/2006/relationships/header" Target="header15.xml"/><Relationship Id="rId75" Type="http://schemas.openxmlformats.org/officeDocument/2006/relationships/hyperlink" Target="http://www.scc-csc.ca/case-dossier/info/sum-som-fra.aspx?cas=35842" TargetMode="External"/><Relationship Id="rId83" Type="http://schemas.openxmlformats.org/officeDocument/2006/relationships/header" Target="header18.xml"/><Relationship Id="rId88" Type="http://schemas.openxmlformats.org/officeDocument/2006/relationships/header" Target="header20.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mb/mbca/doc/2014/2014mbca56/2014mbca56.html" TargetMode="External"/><Relationship Id="rId36" Type="http://schemas.openxmlformats.org/officeDocument/2006/relationships/hyperlink" Target="http://www.canlii.org/en/ca/fca/doc/2014/2014fca146/2014fca146.html" TargetMode="External"/><Relationship Id="rId49" Type="http://schemas.openxmlformats.org/officeDocument/2006/relationships/hyperlink" Target="http://www.canlii.org/en/bc/bcsc/doc/2013/2013bcsc1773/2013bcsc1773.html" TargetMode="External"/><Relationship Id="rId57" Type="http://schemas.openxmlformats.org/officeDocument/2006/relationships/header" Target="header8.xml"/><Relationship Id="rId10" Type="http://schemas.openxmlformats.org/officeDocument/2006/relationships/hyperlink" Target="http://www.scc-csc.ca" TargetMode="External"/><Relationship Id="rId31" Type="http://schemas.openxmlformats.org/officeDocument/2006/relationships/hyperlink" Target="http://www.canlii.org/fr/qc/qcca/doc/2014/2014qcca1106/2014qcca1106.html" TargetMode="External"/><Relationship Id="rId44" Type="http://schemas.openxmlformats.org/officeDocument/2006/relationships/hyperlink" Target="http://www.canlii.org/en/ab/abca/doc/2014/2014abca231/2014abca231.html" TargetMode="External"/><Relationship Id="rId52" Type="http://schemas.openxmlformats.org/officeDocument/2006/relationships/hyperlink" Target="http://www.canlii.org/en/bc/bcca/doc/2014/2014bcca335/2014bcca335.html" TargetMode="External"/><Relationship Id="rId60" Type="http://schemas.openxmlformats.org/officeDocument/2006/relationships/footer" Target="footer9.xml"/><Relationship Id="rId65" Type="http://schemas.openxmlformats.org/officeDocument/2006/relationships/footer" Target="footer11.xml"/><Relationship Id="rId73" Type="http://schemas.openxmlformats.org/officeDocument/2006/relationships/header" Target="header16.xml"/><Relationship Id="rId78" Type="http://schemas.openxmlformats.org/officeDocument/2006/relationships/hyperlink" Target="http://www.scc-csc.ca/case-dossier/info/sum-som-eng.aspx?cas=35688" TargetMode="External"/><Relationship Id="rId81" Type="http://schemas.openxmlformats.org/officeDocument/2006/relationships/hyperlink" Target="http://www.scc-csc.ca/case-dossier/info/sum-som-eng.aspx?cas=36021" TargetMode="External"/><Relationship Id="rId86"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C99D0-E13E-4407-855E-A92BD6E7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15635</Words>
  <Characters>89121</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2015-02-16T18:12:00Z</dcterms:created>
  <dcterms:modified xsi:type="dcterms:W3CDTF">2015-11-26T21:54:00Z</dcterms:modified>
</cp:coreProperties>
</file>