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B6668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6668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66683"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B6668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66683" w:rsidTr="002E5576">
        <w:tc>
          <w:tcPr>
            <w:tcW w:w="4518" w:type="dxa"/>
          </w:tcPr>
          <w:p w:rsidR="00BF25F3" w:rsidRPr="002E2327" w:rsidRDefault="003A0C94"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3A0C94"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66683"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B66683"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3A60BB">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3A60BB">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F031E8" w:rsidP="00F0068D">
      <w:pPr>
        <w:pBdr>
          <w:bottom w:val="single" w:sz="6" w:space="1" w:color="auto"/>
        </w:pBdr>
        <w:tabs>
          <w:tab w:val="center" w:pos="4680"/>
          <w:tab w:val="right" w:pos="9360"/>
        </w:tabs>
        <w:rPr>
          <w:lang w:val="fr-CA"/>
        </w:rPr>
      </w:pPr>
      <w:r>
        <w:rPr>
          <w:lang w:val="fr-CA"/>
        </w:rPr>
        <w:t>M</w:t>
      </w:r>
      <w:r w:rsidR="00C73D06">
        <w:rPr>
          <w:lang w:val="fr-CA"/>
        </w:rPr>
        <w:t>ar</w:t>
      </w:r>
      <w:r>
        <w:rPr>
          <w:lang w:val="fr-CA"/>
        </w:rPr>
        <w:t>ch</w:t>
      </w:r>
      <w:r w:rsidR="00440E24" w:rsidRPr="00675479">
        <w:rPr>
          <w:lang w:val="fr-CA"/>
        </w:rPr>
        <w:t xml:space="preserve"> </w:t>
      </w:r>
      <w:r>
        <w:rPr>
          <w:lang w:val="fr-CA"/>
        </w:rPr>
        <w:t>6</w:t>
      </w:r>
      <w:r w:rsidR="00440E24" w:rsidRPr="00675479">
        <w:rPr>
          <w:lang w:val="fr-CA"/>
        </w:rPr>
        <w:t>, 201</w:t>
      </w:r>
      <w:r w:rsidR="00020DC3">
        <w:rPr>
          <w:lang w:val="fr-CA"/>
        </w:rPr>
        <w:t>5</w:t>
      </w:r>
      <w:r w:rsidR="00F0068D" w:rsidRPr="00675479">
        <w:rPr>
          <w:lang w:val="fr-CA"/>
        </w:rPr>
        <w:tab/>
      </w:r>
      <w:r>
        <w:rPr>
          <w:lang w:val="fr-CA"/>
        </w:rPr>
        <w:t>395</w:t>
      </w:r>
      <w:r w:rsidR="00F0068D" w:rsidRPr="00675479">
        <w:rPr>
          <w:lang w:val="fr-CA"/>
        </w:rPr>
        <w:t xml:space="preserve"> - </w:t>
      </w:r>
      <w:r w:rsidR="003431AF">
        <w:rPr>
          <w:lang w:val="fr-CA"/>
        </w:rPr>
        <w:t>451</w:t>
      </w:r>
      <w:r w:rsidR="00440E24" w:rsidRPr="00675479">
        <w:rPr>
          <w:lang w:val="fr-CA"/>
        </w:rPr>
        <w:tab/>
      </w:r>
      <w:r w:rsidR="00440E24" w:rsidRPr="002E2327">
        <w:rPr>
          <w:lang w:val="fr-CA"/>
        </w:rPr>
        <w:t>Le</w:t>
      </w:r>
      <w:r w:rsidR="00C73D06">
        <w:rPr>
          <w:lang w:val="fr-CA"/>
        </w:rPr>
        <w:t xml:space="preserve"> </w:t>
      </w:r>
      <w:r>
        <w:rPr>
          <w:lang w:val="fr-CA"/>
        </w:rPr>
        <w:t>6</w:t>
      </w:r>
      <w:r w:rsidR="00C73D06">
        <w:rPr>
          <w:lang w:val="fr-CA"/>
        </w:rPr>
        <w:t xml:space="preserve"> </w:t>
      </w:r>
      <w:r>
        <w:rPr>
          <w:lang w:val="fr-CA"/>
        </w:rPr>
        <w:t>m</w:t>
      </w:r>
      <w:r w:rsidR="00440E24" w:rsidRPr="002E2327">
        <w:rPr>
          <w:lang w:val="fr-CA"/>
        </w:rPr>
        <w:t>a</w:t>
      </w:r>
      <w:r w:rsidR="00C73D06">
        <w:rPr>
          <w:lang w:val="fr-CA"/>
        </w:rPr>
        <w:t>r</w:t>
      </w:r>
      <w:r>
        <w:rPr>
          <w:lang w:val="fr-CA"/>
        </w:rPr>
        <w:t>s</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F031E8" w:rsidRDefault="00440E24" w:rsidP="00440E24">
      <w:pPr>
        <w:pBdr>
          <w:bottom w:val="single" w:sz="6" w:space="1" w:color="auto"/>
        </w:pBdr>
        <w:tabs>
          <w:tab w:val="right" w:pos="9360"/>
        </w:tabs>
        <w:rPr>
          <w:sz w:val="18"/>
          <w:szCs w:val="18"/>
          <w:lang w:val="fr-CA"/>
        </w:rPr>
      </w:pPr>
      <w:r w:rsidRPr="00F031E8">
        <w:rPr>
          <w:sz w:val="18"/>
          <w:szCs w:val="18"/>
          <w:lang w:val="fr-CA"/>
        </w:rPr>
        <w:t>© Supreme Court of Canada (201</w:t>
      </w:r>
      <w:r w:rsidR="00020DC3" w:rsidRPr="00F031E8">
        <w:rPr>
          <w:sz w:val="18"/>
          <w:szCs w:val="18"/>
          <w:lang w:val="fr-CA"/>
        </w:rPr>
        <w:t>5</w:t>
      </w:r>
      <w:r w:rsidRPr="00F031E8">
        <w:rPr>
          <w:sz w:val="18"/>
          <w:szCs w:val="18"/>
          <w:lang w:val="fr-CA"/>
        </w:rPr>
        <w:t>)</w:t>
      </w:r>
      <w:r w:rsidRPr="00F031E8">
        <w:rPr>
          <w:sz w:val="18"/>
          <w:szCs w:val="18"/>
          <w:lang w:val="fr-CA"/>
        </w:rPr>
        <w:tab/>
        <w:t>© Cour suprême du Canada (201</w:t>
      </w:r>
      <w:r w:rsidR="00020DC3" w:rsidRPr="00F031E8">
        <w:rPr>
          <w:sz w:val="18"/>
          <w:szCs w:val="18"/>
          <w:lang w:val="fr-CA"/>
        </w:rPr>
        <w:t>5</w:t>
      </w:r>
      <w:r w:rsidRPr="00F031E8">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196DB9">
            <w:pPr>
              <w:tabs>
                <w:tab w:val="right" w:pos="9360"/>
              </w:tabs>
              <w:rPr>
                <w:rFonts w:cs="Times New Roman"/>
                <w:sz w:val="20"/>
                <w:szCs w:val="20"/>
              </w:rPr>
            </w:pPr>
          </w:p>
        </w:tc>
        <w:tc>
          <w:tcPr>
            <w:tcW w:w="1980" w:type="dxa"/>
          </w:tcPr>
          <w:p w:rsidR="0095096B" w:rsidRPr="002E2327" w:rsidRDefault="00F031E8" w:rsidP="0095096B">
            <w:pPr>
              <w:jc w:val="center"/>
              <w:rPr>
                <w:rFonts w:cs="Times New Roman"/>
                <w:sz w:val="20"/>
                <w:szCs w:val="20"/>
              </w:rPr>
            </w:pPr>
            <w:r>
              <w:rPr>
                <w:rFonts w:cs="Times New Roman"/>
                <w:sz w:val="20"/>
                <w:szCs w:val="20"/>
              </w:rPr>
              <w:t xml:space="preserve">395 </w:t>
            </w:r>
            <w:r w:rsidR="003A0C94" w:rsidRPr="002E2327">
              <w:rPr>
                <w:rFonts w:cs="Times New Roman"/>
                <w:sz w:val="20"/>
                <w:szCs w:val="20"/>
              </w:rPr>
              <w:fldChar w:fldCharType="begin"/>
            </w:r>
            <w:r w:rsidR="0095096B" w:rsidRPr="002E2327">
              <w:rPr>
                <w:rFonts w:cs="Times New Roman"/>
                <w:sz w:val="20"/>
                <w:szCs w:val="20"/>
              </w:rPr>
              <w:instrText xml:space="preserve"> SEQ CHAPTER \h \r 1</w:instrText>
            </w:r>
            <w:r w:rsidR="003A0C94" w:rsidRPr="002E2327">
              <w:rPr>
                <w:rFonts w:cs="Times New Roman"/>
                <w:sz w:val="20"/>
                <w:szCs w:val="20"/>
              </w:rPr>
              <w:fldChar w:fldCharType="end"/>
            </w:r>
            <w:r w:rsidR="0095096B" w:rsidRPr="002E2327">
              <w:rPr>
                <w:rFonts w:cs="Times New Roman"/>
                <w:sz w:val="20"/>
                <w:szCs w:val="20"/>
              </w:rPr>
              <w:t>-</w:t>
            </w:r>
            <w:r w:rsidR="00F13C9B">
              <w:rPr>
                <w:rFonts w:cs="Times New Roman"/>
                <w:sz w:val="20"/>
                <w:szCs w:val="20"/>
              </w:rPr>
              <w:t xml:space="preserve"> 396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13C9B" w:rsidP="0095096B">
            <w:pPr>
              <w:jc w:val="center"/>
              <w:rPr>
                <w:rFonts w:cs="Times New Roman"/>
                <w:sz w:val="20"/>
                <w:szCs w:val="20"/>
              </w:rPr>
            </w:pPr>
            <w:r>
              <w:rPr>
                <w:rFonts w:cs="Times New Roman"/>
                <w:sz w:val="20"/>
                <w:szCs w:val="20"/>
              </w:rPr>
              <w:t>397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967EE" w:rsidP="0095096B">
            <w:pPr>
              <w:jc w:val="center"/>
              <w:rPr>
                <w:rFonts w:cs="Times New Roman"/>
                <w:sz w:val="20"/>
                <w:szCs w:val="20"/>
              </w:rPr>
            </w:pPr>
            <w:r>
              <w:rPr>
                <w:rFonts w:cs="Times New Roman"/>
                <w:sz w:val="20"/>
                <w:szCs w:val="20"/>
              </w:rPr>
              <w:t xml:space="preserve">398 </w:t>
            </w:r>
            <w:r w:rsidR="0095096B" w:rsidRPr="002E2327">
              <w:rPr>
                <w:rFonts w:cs="Times New Roman"/>
                <w:sz w:val="20"/>
                <w:szCs w:val="20"/>
              </w:rPr>
              <w:t>-</w:t>
            </w:r>
            <w:r>
              <w:rPr>
                <w:rFonts w:cs="Times New Roman"/>
                <w:sz w:val="20"/>
                <w:szCs w:val="20"/>
              </w:rPr>
              <w:t xml:space="preserve"> </w:t>
            </w:r>
            <w:r w:rsidR="006B37FF">
              <w:rPr>
                <w:rFonts w:cs="Times New Roman"/>
                <w:sz w:val="20"/>
                <w:szCs w:val="20"/>
              </w:rPr>
              <w:t>424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B37FF" w:rsidP="0095096B">
            <w:pPr>
              <w:jc w:val="center"/>
              <w:rPr>
                <w:rFonts w:cs="Times New Roman"/>
                <w:sz w:val="20"/>
                <w:szCs w:val="20"/>
              </w:rPr>
            </w:pPr>
            <w:r>
              <w:rPr>
                <w:rFonts w:cs="Times New Roman"/>
                <w:sz w:val="20"/>
                <w:szCs w:val="20"/>
              </w:rPr>
              <w:t xml:space="preserve">425 </w:t>
            </w:r>
            <w:r w:rsidR="0095096B" w:rsidRPr="002E2327">
              <w:rPr>
                <w:rFonts w:cs="Times New Roman"/>
                <w:sz w:val="20"/>
                <w:szCs w:val="20"/>
              </w:rPr>
              <w:t>-</w:t>
            </w:r>
            <w:r>
              <w:rPr>
                <w:rFonts w:cs="Times New Roman"/>
                <w:sz w:val="20"/>
                <w:szCs w:val="20"/>
              </w:rPr>
              <w:t xml:space="preserve"> 429</w:t>
            </w:r>
          </w:p>
          <w:p w:rsidR="0095096B" w:rsidRPr="002E2327" w:rsidRDefault="0095096B" w:rsidP="0095096B">
            <w:pPr>
              <w:jc w:val="center"/>
              <w:rPr>
                <w:rFonts w:cs="Times New Roman"/>
                <w:sz w:val="20"/>
                <w:szCs w:val="20"/>
              </w:rPr>
            </w:pPr>
          </w:p>
          <w:p w:rsidR="0095096B" w:rsidRPr="002E2327" w:rsidRDefault="006B37FF" w:rsidP="0095096B">
            <w:pPr>
              <w:jc w:val="center"/>
              <w:rPr>
                <w:rFonts w:cs="Times New Roman"/>
                <w:sz w:val="20"/>
                <w:szCs w:val="20"/>
              </w:rPr>
            </w:pPr>
            <w:r>
              <w:rPr>
                <w:rFonts w:cs="Times New Roman"/>
                <w:sz w:val="20"/>
                <w:szCs w:val="20"/>
              </w:rPr>
              <w:t>430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B37FF" w:rsidP="0095096B">
            <w:pPr>
              <w:jc w:val="center"/>
              <w:rPr>
                <w:rFonts w:cs="Times New Roman"/>
                <w:sz w:val="20"/>
                <w:szCs w:val="20"/>
              </w:rPr>
            </w:pPr>
            <w:r>
              <w:rPr>
                <w:rFonts w:cs="Times New Roman"/>
                <w:sz w:val="20"/>
                <w:szCs w:val="20"/>
              </w:rPr>
              <w:t xml:space="preserve">431 </w:t>
            </w:r>
            <w:r w:rsidR="0095096B" w:rsidRPr="002E2327">
              <w:rPr>
                <w:rFonts w:cs="Times New Roman"/>
                <w:sz w:val="20"/>
                <w:szCs w:val="20"/>
              </w:rPr>
              <w:t>-</w:t>
            </w:r>
            <w:r w:rsidR="003431AF">
              <w:rPr>
                <w:rFonts w:cs="Times New Roman"/>
                <w:sz w:val="20"/>
                <w:szCs w:val="20"/>
              </w:rPr>
              <w:t xml:space="preserve"> 440</w:t>
            </w:r>
          </w:p>
          <w:p w:rsidR="0095096B" w:rsidRPr="002E2327" w:rsidRDefault="0095096B" w:rsidP="0095096B">
            <w:pPr>
              <w:jc w:val="center"/>
              <w:rPr>
                <w:rFonts w:cs="Times New Roman"/>
                <w:sz w:val="20"/>
                <w:szCs w:val="20"/>
              </w:rPr>
            </w:pPr>
          </w:p>
          <w:p w:rsidR="0095096B" w:rsidRPr="002E2327" w:rsidRDefault="003431AF" w:rsidP="0095096B">
            <w:pPr>
              <w:jc w:val="center"/>
              <w:rPr>
                <w:rFonts w:cs="Times New Roman"/>
                <w:sz w:val="20"/>
                <w:szCs w:val="20"/>
              </w:rPr>
            </w:pPr>
            <w:r>
              <w:rPr>
                <w:rFonts w:cs="Times New Roman"/>
                <w:sz w:val="20"/>
                <w:szCs w:val="20"/>
              </w:rPr>
              <w:t>441</w:t>
            </w:r>
          </w:p>
          <w:p w:rsidR="0095096B" w:rsidRPr="002E2327" w:rsidRDefault="0095096B" w:rsidP="0095096B">
            <w:pPr>
              <w:jc w:val="center"/>
              <w:rPr>
                <w:rFonts w:cs="Times New Roman"/>
                <w:sz w:val="20"/>
                <w:szCs w:val="20"/>
              </w:rPr>
            </w:pPr>
          </w:p>
          <w:p w:rsidR="0095096B" w:rsidRPr="002E2327" w:rsidRDefault="003431AF" w:rsidP="0095096B">
            <w:pPr>
              <w:jc w:val="center"/>
              <w:rPr>
                <w:rFonts w:cs="Times New Roman"/>
                <w:sz w:val="20"/>
                <w:szCs w:val="20"/>
              </w:rPr>
            </w:pPr>
            <w:r>
              <w:rPr>
                <w:rFonts w:cs="Times New Roman"/>
                <w:sz w:val="20"/>
                <w:szCs w:val="20"/>
              </w:rPr>
              <w:t xml:space="preserve">442 </w:t>
            </w:r>
            <w:r w:rsidR="0095096B" w:rsidRPr="002E2327">
              <w:rPr>
                <w:rFonts w:cs="Times New Roman"/>
                <w:sz w:val="20"/>
                <w:szCs w:val="20"/>
              </w:rPr>
              <w:t>-</w:t>
            </w:r>
            <w:r>
              <w:rPr>
                <w:rFonts w:cs="Times New Roman"/>
                <w:sz w:val="20"/>
                <w:szCs w:val="20"/>
              </w:rPr>
              <w:t xml:space="preserve"> 451</w:t>
            </w:r>
          </w:p>
          <w:p w:rsidR="00A87207" w:rsidRPr="002E2327" w:rsidRDefault="00A87207" w:rsidP="006967EE">
            <w:pPr>
              <w:jc w:val="center"/>
              <w:rPr>
                <w:rFonts w:cs="Times New Roman"/>
                <w:sz w:val="20"/>
                <w:szCs w:val="20"/>
              </w:rPr>
            </w:pPr>
          </w:p>
        </w:tc>
        <w:tc>
          <w:tcPr>
            <w:tcW w:w="3888" w:type="dxa"/>
          </w:tcPr>
          <w:p w:rsidR="0095096B" w:rsidRPr="002E2327" w:rsidRDefault="003A0C94"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196DB9">
            <w:pPr>
              <w:rPr>
                <w:rFonts w:cs="Times New Roman"/>
                <w:sz w:val="20"/>
                <w:szCs w:val="20"/>
                <w:lang w:val="fr-CA"/>
              </w:rPr>
            </w:pPr>
          </w:p>
        </w:tc>
      </w:tr>
    </w:tbl>
    <w:p w:rsidR="0095096B" w:rsidRDefault="0095096B" w:rsidP="0095096B">
      <w:pPr>
        <w:tabs>
          <w:tab w:val="right" w:pos="9360"/>
        </w:tabs>
        <w:rPr>
          <w:sz w:val="20"/>
          <w:szCs w:val="20"/>
        </w:rPr>
      </w:pPr>
    </w:p>
    <w:p w:rsidR="000D6E5D" w:rsidRDefault="000D6E5D" w:rsidP="0095096B">
      <w:pPr>
        <w:tabs>
          <w:tab w:val="right" w:pos="9360"/>
        </w:tabs>
        <w:rPr>
          <w:sz w:val="20"/>
          <w:szCs w:val="20"/>
        </w:rPr>
      </w:pPr>
    </w:p>
    <w:p w:rsidR="000D6E5D" w:rsidRDefault="000D6E5D" w:rsidP="0095096B">
      <w:pPr>
        <w:tabs>
          <w:tab w:val="right" w:pos="9360"/>
        </w:tabs>
        <w:rPr>
          <w:sz w:val="20"/>
          <w:szCs w:val="20"/>
        </w:rPr>
      </w:pPr>
    </w:p>
    <w:p w:rsidR="000D6E5D" w:rsidRDefault="000D6E5D" w:rsidP="0095096B">
      <w:pPr>
        <w:tabs>
          <w:tab w:val="right" w:pos="9360"/>
        </w:tabs>
        <w:rPr>
          <w:sz w:val="20"/>
          <w:szCs w:val="20"/>
        </w:rPr>
      </w:pPr>
    </w:p>
    <w:p w:rsidR="000D6E5D" w:rsidRPr="000D6E5D" w:rsidRDefault="000D6E5D" w:rsidP="0095096B">
      <w:pPr>
        <w:tabs>
          <w:tab w:val="right" w:pos="9360"/>
        </w:tabs>
        <w:rPr>
          <w:sz w:val="20"/>
          <w:szCs w:val="20"/>
        </w:rPr>
      </w:pPr>
    </w:p>
    <w:tbl>
      <w:tblPr>
        <w:tblStyle w:val="TableGrid"/>
        <w:tblW w:w="0" w:type="auto"/>
        <w:tblLook w:val="04A0" w:firstRow="1" w:lastRow="0" w:firstColumn="1" w:lastColumn="0" w:noHBand="0" w:noVBand="1"/>
      </w:tblPr>
      <w:tblGrid>
        <w:gridCol w:w="9576"/>
      </w:tblGrid>
      <w:tr w:rsidR="0079724F" w:rsidRPr="00B6668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3509D0" w:rsidRPr="00C21644" w:rsidTr="003B3977">
        <w:tc>
          <w:tcPr>
            <w:tcW w:w="4320" w:type="dxa"/>
            <w:shd w:val="clear" w:color="auto" w:fill="auto"/>
          </w:tcPr>
          <w:p w:rsidR="003509D0" w:rsidRPr="00A935AA" w:rsidRDefault="00406056" w:rsidP="005F1ED8">
            <w:pPr>
              <w:rPr>
                <w:b/>
                <w:sz w:val="20"/>
                <w:szCs w:val="20"/>
              </w:rPr>
            </w:pPr>
            <w:r>
              <w:rPr>
                <w:b/>
                <w:sz w:val="20"/>
                <w:szCs w:val="20"/>
              </w:rPr>
              <w:t>Way</w:t>
            </w:r>
            <w:r w:rsidR="003509D0">
              <w:rPr>
                <w:b/>
                <w:sz w:val="20"/>
                <w:szCs w:val="20"/>
              </w:rPr>
              <w:t xml:space="preserve">ne </w:t>
            </w:r>
            <w:r>
              <w:rPr>
                <w:b/>
                <w:sz w:val="20"/>
                <w:szCs w:val="20"/>
              </w:rPr>
              <w:t>Wh</w:t>
            </w:r>
            <w:r w:rsidR="003509D0">
              <w:rPr>
                <w:b/>
                <w:sz w:val="20"/>
                <w:szCs w:val="20"/>
              </w:rPr>
              <w:t>ite</w:t>
            </w:r>
          </w:p>
          <w:p w:rsidR="003509D0" w:rsidRPr="00A935AA" w:rsidRDefault="003509D0" w:rsidP="005F1ED8">
            <w:pPr>
              <w:tabs>
                <w:tab w:val="left" w:pos="-1440"/>
                <w:tab w:val="left" w:pos="-720"/>
              </w:tabs>
              <w:rPr>
                <w:sz w:val="20"/>
                <w:szCs w:val="20"/>
              </w:rPr>
            </w:pPr>
            <w:r w:rsidRPr="00A935AA">
              <w:rPr>
                <w:sz w:val="20"/>
                <w:szCs w:val="20"/>
              </w:rPr>
              <w:tab/>
            </w:r>
            <w:r w:rsidR="00406056">
              <w:rPr>
                <w:sz w:val="20"/>
                <w:szCs w:val="20"/>
              </w:rPr>
              <w:t>W</w:t>
            </w:r>
            <w:r>
              <w:rPr>
                <w:sz w:val="20"/>
                <w:szCs w:val="20"/>
              </w:rPr>
              <w:t>a</w:t>
            </w:r>
            <w:r w:rsidR="00406056">
              <w:rPr>
                <w:sz w:val="20"/>
                <w:szCs w:val="20"/>
              </w:rPr>
              <w:t>yne Wh</w:t>
            </w:r>
            <w:r>
              <w:rPr>
                <w:sz w:val="20"/>
                <w:szCs w:val="20"/>
              </w:rPr>
              <w:t xml:space="preserve">ite </w:t>
            </w:r>
          </w:p>
          <w:p w:rsidR="003509D0" w:rsidRPr="000D6E5D" w:rsidRDefault="003509D0" w:rsidP="005F1ED8">
            <w:pPr>
              <w:tabs>
                <w:tab w:val="left" w:pos="-1440"/>
                <w:tab w:val="left" w:pos="-720"/>
              </w:tabs>
              <w:rPr>
                <w:sz w:val="20"/>
                <w:szCs w:val="20"/>
              </w:rPr>
            </w:pPr>
          </w:p>
          <w:p w:rsidR="003509D0" w:rsidRPr="00406056" w:rsidRDefault="003509D0" w:rsidP="005F1ED8">
            <w:pPr>
              <w:tabs>
                <w:tab w:val="left" w:pos="-1440"/>
                <w:tab w:val="left" w:pos="-720"/>
              </w:tabs>
              <w:rPr>
                <w:sz w:val="20"/>
                <w:szCs w:val="20"/>
              </w:rPr>
            </w:pPr>
            <w:r w:rsidRPr="000D6E5D">
              <w:rPr>
                <w:sz w:val="20"/>
                <w:szCs w:val="20"/>
              </w:rPr>
              <w:tab/>
            </w:r>
            <w:r w:rsidRPr="00406056">
              <w:rPr>
                <w:sz w:val="20"/>
                <w:szCs w:val="20"/>
              </w:rPr>
              <w:t>v. (36</w:t>
            </w:r>
            <w:r w:rsidR="00406056" w:rsidRPr="00406056">
              <w:rPr>
                <w:sz w:val="20"/>
                <w:szCs w:val="20"/>
              </w:rPr>
              <w:t>319</w:t>
            </w:r>
            <w:r w:rsidRPr="00406056">
              <w:rPr>
                <w:sz w:val="20"/>
                <w:szCs w:val="20"/>
              </w:rPr>
              <w:t>)</w:t>
            </w:r>
          </w:p>
          <w:p w:rsidR="003509D0" w:rsidRPr="00406056" w:rsidRDefault="003509D0" w:rsidP="005F1ED8">
            <w:pPr>
              <w:tabs>
                <w:tab w:val="left" w:pos="-1440"/>
                <w:tab w:val="left" w:pos="-720"/>
              </w:tabs>
              <w:rPr>
                <w:sz w:val="20"/>
                <w:szCs w:val="20"/>
              </w:rPr>
            </w:pPr>
          </w:p>
          <w:p w:rsidR="003509D0" w:rsidRPr="00406056" w:rsidRDefault="00406056" w:rsidP="005F1ED8">
            <w:pPr>
              <w:tabs>
                <w:tab w:val="left" w:pos="-1440"/>
                <w:tab w:val="left" w:pos="-720"/>
              </w:tabs>
              <w:rPr>
                <w:b/>
                <w:sz w:val="20"/>
                <w:szCs w:val="20"/>
                <w:lang w:val="fr-CA"/>
              </w:rPr>
            </w:pPr>
            <w:r w:rsidRPr="00406056">
              <w:rPr>
                <w:b/>
                <w:sz w:val="20"/>
                <w:szCs w:val="20"/>
              </w:rPr>
              <w:t>City of Mo</w:t>
            </w:r>
            <w:r w:rsidR="003509D0" w:rsidRPr="00406056">
              <w:rPr>
                <w:b/>
                <w:sz w:val="20"/>
                <w:szCs w:val="20"/>
              </w:rPr>
              <w:t>n</w:t>
            </w:r>
            <w:r w:rsidRPr="00406056">
              <w:rPr>
                <w:b/>
                <w:sz w:val="20"/>
                <w:szCs w:val="20"/>
              </w:rPr>
              <w:t xml:space="preserve">treal </w:t>
            </w:r>
            <w:r w:rsidR="003509D0" w:rsidRPr="00406056">
              <w:rPr>
                <w:b/>
                <w:sz w:val="20"/>
                <w:szCs w:val="20"/>
              </w:rPr>
              <w:t>et al.</w:t>
            </w:r>
            <w:r w:rsidR="003509D0" w:rsidRPr="00406056">
              <w:rPr>
                <w:sz w:val="20"/>
                <w:szCs w:val="20"/>
              </w:rPr>
              <w:t xml:space="preserve"> </w:t>
            </w:r>
            <w:r w:rsidR="003509D0" w:rsidRPr="00406056">
              <w:rPr>
                <w:b/>
                <w:sz w:val="20"/>
                <w:szCs w:val="20"/>
                <w:lang w:val="fr-CA"/>
              </w:rPr>
              <w:t>(</w:t>
            </w:r>
            <w:r w:rsidRPr="00406056">
              <w:rPr>
                <w:b/>
                <w:sz w:val="20"/>
                <w:szCs w:val="20"/>
                <w:lang w:val="fr-CA"/>
              </w:rPr>
              <w:t>Que</w:t>
            </w:r>
            <w:r w:rsidR="003509D0" w:rsidRPr="00406056">
              <w:rPr>
                <w:b/>
                <w:sz w:val="20"/>
                <w:szCs w:val="20"/>
                <w:lang w:val="fr-CA"/>
              </w:rPr>
              <w:t>.)</w:t>
            </w:r>
          </w:p>
          <w:p w:rsidR="003509D0" w:rsidRPr="00406056" w:rsidRDefault="003509D0" w:rsidP="005F1ED8">
            <w:pPr>
              <w:tabs>
                <w:tab w:val="left" w:pos="-1440"/>
                <w:tab w:val="left" w:pos="-720"/>
              </w:tabs>
              <w:rPr>
                <w:sz w:val="20"/>
                <w:szCs w:val="20"/>
                <w:lang w:val="fr-CA"/>
              </w:rPr>
            </w:pPr>
            <w:r w:rsidRPr="00406056">
              <w:rPr>
                <w:sz w:val="20"/>
                <w:szCs w:val="20"/>
                <w:lang w:val="fr-CA"/>
              </w:rPr>
              <w:tab/>
            </w:r>
            <w:r w:rsidR="00406056" w:rsidRPr="00406056">
              <w:rPr>
                <w:sz w:val="20"/>
                <w:szCs w:val="20"/>
                <w:lang w:val="fr-CA"/>
              </w:rPr>
              <w:t>Jean-Nico</w:t>
            </w:r>
            <w:r w:rsidRPr="00406056">
              <w:rPr>
                <w:sz w:val="20"/>
                <w:szCs w:val="20"/>
                <w:lang w:val="fr-CA"/>
              </w:rPr>
              <w:t>la</w:t>
            </w:r>
            <w:r w:rsidR="00406056" w:rsidRPr="00406056">
              <w:rPr>
                <w:sz w:val="20"/>
                <w:szCs w:val="20"/>
                <w:lang w:val="fr-CA"/>
              </w:rPr>
              <w:t>s Lo</w:t>
            </w:r>
            <w:r w:rsidRPr="00406056">
              <w:rPr>
                <w:sz w:val="20"/>
                <w:szCs w:val="20"/>
                <w:lang w:val="fr-CA"/>
              </w:rPr>
              <w:t>i</w:t>
            </w:r>
            <w:r w:rsidR="00406056">
              <w:rPr>
                <w:sz w:val="20"/>
                <w:szCs w:val="20"/>
                <w:lang w:val="fr-CA"/>
              </w:rPr>
              <w:t>selle</w:t>
            </w:r>
          </w:p>
          <w:p w:rsidR="003509D0" w:rsidRPr="00406056" w:rsidRDefault="003509D0" w:rsidP="005F1ED8">
            <w:pPr>
              <w:tabs>
                <w:tab w:val="left" w:pos="-1440"/>
                <w:tab w:val="left" w:pos="-720"/>
              </w:tabs>
              <w:rPr>
                <w:sz w:val="20"/>
                <w:szCs w:val="20"/>
                <w:lang w:val="fr-CA"/>
              </w:rPr>
            </w:pPr>
            <w:r w:rsidRPr="00406056">
              <w:rPr>
                <w:sz w:val="20"/>
                <w:szCs w:val="20"/>
                <w:lang w:val="fr-CA"/>
              </w:rPr>
              <w:tab/>
            </w:r>
            <w:r w:rsidR="00406056">
              <w:rPr>
                <w:sz w:val="20"/>
                <w:szCs w:val="20"/>
                <w:lang w:val="fr-CA"/>
              </w:rPr>
              <w:t>Dagenais, Gagnier, Biron</w:t>
            </w:r>
          </w:p>
          <w:p w:rsidR="003509D0" w:rsidRPr="00406056" w:rsidRDefault="003509D0" w:rsidP="005F1ED8">
            <w:pPr>
              <w:tabs>
                <w:tab w:val="left" w:pos="-1440"/>
                <w:tab w:val="left" w:pos="-720"/>
              </w:tabs>
              <w:rPr>
                <w:sz w:val="20"/>
                <w:szCs w:val="20"/>
                <w:lang w:val="fr-CA"/>
              </w:rPr>
            </w:pPr>
          </w:p>
          <w:p w:rsidR="003509D0" w:rsidRPr="00406056" w:rsidRDefault="003509D0" w:rsidP="00406056">
            <w:pPr>
              <w:rPr>
                <w:sz w:val="20"/>
                <w:szCs w:val="20"/>
                <w:lang w:val="fr-CA"/>
              </w:rPr>
            </w:pPr>
            <w:r w:rsidRPr="00406056">
              <w:rPr>
                <w:sz w:val="20"/>
                <w:szCs w:val="20"/>
                <w:lang w:val="fr-CA"/>
              </w:rPr>
              <w:t xml:space="preserve">FILING DATE: </w:t>
            </w:r>
            <w:r w:rsidR="00406056" w:rsidRPr="00406056">
              <w:rPr>
                <w:sz w:val="20"/>
                <w:szCs w:val="20"/>
                <w:lang w:val="fr-CA"/>
              </w:rPr>
              <w:t>15</w:t>
            </w:r>
            <w:r w:rsidRPr="00406056">
              <w:rPr>
                <w:sz w:val="20"/>
                <w:szCs w:val="20"/>
                <w:lang w:val="fr-CA"/>
              </w:rPr>
              <w:t>.</w:t>
            </w:r>
            <w:r w:rsidR="00406056">
              <w:rPr>
                <w:sz w:val="20"/>
                <w:szCs w:val="20"/>
                <w:lang w:val="fr-CA"/>
              </w:rPr>
              <w:t>01</w:t>
            </w:r>
            <w:r w:rsidRPr="00406056">
              <w:rPr>
                <w:sz w:val="20"/>
                <w:szCs w:val="20"/>
                <w:lang w:val="fr-CA"/>
              </w:rPr>
              <w:t>.201</w:t>
            </w:r>
            <w:r w:rsidR="00406056">
              <w:rPr>
                <w:sz w:val="20"/>
                <w:szCs w:val="20"/>
                <w:lang w:val="fr-CA"/>
              </w:rPr>
              <w:t>5</w:t>
            </w:r>
            <w:r w:rsidR="003A60BB">
              <w:rPr>
                <w:sz w:val="20"/>
                <w:szCs w:val="20"/>
                <w:lang w:val="fr-CA"/>
              </w:rPr>
              <w:pict>
                <v:rect id="_x0000_i1025" style="width:108pt;height:1pt" o:hrpct="0" o:hralign="center" o:hrstd="t" o:hrnoshade="t" o:hr="t" fillcolor="black [3213]" stroked="f"/>
              </w:pict>
            </w:r>
          </w:p>
        </w:tc>
        <w:tc>
          <w:tcPr>
            <w:tcW w:w="1181" w:type="dxa"/>
            <w:shd w:val="clear" w:color="auto" w:fill="auto"/>
          </w:tcPr>
          <w:p w:rsidR="003509D0" w:rsidRPr="00406056" w:rsidRDefault="003509D0" w:rsidP="00242AEE">
            <w:pPr>
              <w:jc w:val="center"/>
              <w:rPr>
                <w:sz w:val="20"/>
                <w:szCs w:val="20"/>
                <w:lang w:val="fr-CA"/>
              </w:rPr>
            </w:pPr>
          </w:p>
          <w:p w:rsidR="003509D0" w:rsidRPr="00406056" w:rsidRDefault="003509D0" w:rsidP="00242AEE">
            <w:pPr>
              <w:jc w:val="center"/>
              <w:rPr>
                <w:sz w:val="20"/>
                <w:szCs w:val="20"/>
                <w:lang w:val="fr-CA"/>
              </w:rPr>
            </w:pPr>
          </w:p>
          <w:p w:rsidR="003509D0" w:rsidRPr="00406056" w:rsidRDefault="003509D0" w:rsidP="00242AEE">
            <w:pPr>
              <w:jc w:val="center"/>
              <w:rPr>
                <w:sz w:val="20"/>
                <w:szCs w:val="20"/>
                <w:lang w:val="fr-CA"/>
              </w:rPr>
            </w:pPr>
          </w:p>
          <w:p w:rsidR="003509D0" w:rsidRPr="00406056" w:rsidRDefault="003509D0" w:rsidP="00242AEE">
            <w:pPr>
              <w:jc w:val="center"/>
              <w:rPr>
                <w:sz w:val="20"/>
                <w:szCs w:val="20"/>
                <w:lang w:val="fr-CA"/>
              </w:rPr>
            </w:pPr>
          </w:p>
          <w:p w:rsidR="003509D0" w:rsidRPr="00406056" w:rsidRDefault="003509D0" w:rsidP="00242AEE">
            <w:pPr>
              <w:jc w:val="center"/>
              <w:rPr>
                <w:sz w:val="20"/>
                <w:szCs w:val="20"/>
                <w:lang w:val="fr-CA"/>
              </w:rPr>
            </w:pPr>
          </w:p>
          <w:p w:rsidR="003509D0" w:rsidRPr="00406056" w:rsidRDefault="003509D0" w:rsidP="00242AEE">
            <w:pPr>
              <w:jc w:val="center"/>
              <w:rPr>
                <w:sz w:val="20"/>
                <w:szCs w:val="20"/>
                <w:lang w:val="fr-CA"/>
              </w:rPr>
            </w:pPr>
          </w:p>
          <w:p w:rsidR="003509D0" w:rsidRPr="00406056" w:rsidRDefault="003509D0" w:rsidP="00242AEE">
            <w:pPr>
              <w:jc w:val="center"/>
              <w:rPr>
                <w:sz w:val="20"/>
                <w:szCs w:val="20"/>
                <w:lang w:val="fr-CA"/>
              </w:rPr>
            </w:pPr>
          </w:p>
          <w:p w:rsidR="003509D0" w:rsidRPr="00406056" w:rsidRDefault="003509D0" w:rsidP="00242AEE">
            <w:pPr>
              <w:jc w:val="center"/>
              <w:rPr>
                <w:sz w:val="20"/>
                <w:szCs w:val="20"/>
                <w:lang w:val="fr-CA"/>
              </w:rPr>
            </w:pPr>
          </w:p>
          <w:p w:rsidR="003509D0" w:rsidRPr="00406056" w:rsidRDefault="003509D0" w:rsidP="00242AEE">
            <w:pPr>
              <w:jc w:val="center"/>
              <w:rPr>
                <w:sz w:val="20"/>
                <w:szCs w:val="20"/>
                <w:lang w:val="fr-CA"/>
              </w:rPr>
            </w:pPr>
          </w:p>
          <w:p w:rsidR="003509D0" w:rsidRPr="00406056" w:rsidRDefault="003509D0" w:rsidP="00242AEE">
            <w:pPr>
              <w:jc w:val="center"/>
              <w:rPr>
                <w:sz w:val="20"/>
                <w:szCs w:val="20"/>
                <w:lang w:val="fr-CA"/>
              </w:rPr>
            </w:pPr>
          </w:p>
          <w:p w:rsidR="003509D0" w:rsidRPr="00406056" w:rsidRDefault="003509D0" w:rsidP="00242AEE">
            <w:pPr>
              <w:jc w:val="center"/>
              <w:rPr>
                <w:sz w:val="20"/>
                <w:szCs w:val="20"/>
                <w:lang w:val="fr-CA"/>
              </w:rPr>
            </w:pPr>
          </w:p>
          <w:p w:rsidR="003509D0" w:rsidRPr="00406056" w:rsidRDefault="003509D0" w:rsidP="00242AEE">
            <w:pPr>
              <w:jc w:val="center"/>
              <w:rPr>
                <w:sz w:val="20"/>
                <w:szCs w:val="20"/>
                <w:lang w:val="fr-CA"/>
              </w:rPr>
            </w:pPr>
          </w:p>
        </w:tc>
        <w:tc>
          <w:tcPr>
            <w:tcW w:w="4320" w:type="dxa"/>
            <w:shd w:val="clear" w:color="auto" w:fill="auto"/>
          </w:tcPr>
          <w:p w:rsidR="003509D0" w:rsidRPr="00406056" w:rsidRDefault="00406056" w:rsidP="003509D0">
            <w:pPr>
              <w:rPr>
                <w:b/>
                <w:sz w:val="20"/>
                <w:szCs w:val="20"/>
              </w:rPr>
            </w:pPr>
            <w:r w:rsidRPr="00406056">
              <w:rPr>
                <w:b/>
                <w:sz w:val="20"/>
                <w:szCs w:val="20"/>
              </w:rPr>
              <w:t>Rajinder Dheensaw</w:t>
            </w:r>
          </w:p>
          <w:p w:rsidR="003509D0" w:rsidRPr="00406056" w:rsidRDefault="003509D0" w:rsidP="003509D0">
            <w:pPr>
              <w:tabs>
                <w:tab w:val="left" w:pos="-1440"/>
                <w:tab w:val="left" w:pos="-720"/>
              </w:tabs>
              <w:rPr>
                <w:sz w:val="20"/>
                <w:szCs w:val="20"/>
              </w:rPr>
            </w:pPr>
            <w:r w:rsidRPr="00406056">
              <w:rPr>
                <w:sz w:val="20"/>
                <w:szCs w:val="20"/>
              </w:rPr>
              <w:tab/>
            </w:r>
            <w:r w:rsidR="00406056">
              <w:rPr>
                <w:sz w:val="20"/>
                <w:szCs w:val="20"/>
              </w:rPr>
              <w:t>Rajinder Dheensaw</w:t>
            </w:r>
          </w:p>
          <w:p w:rsidR="003509D0" w:rsidRPr="00406056" w:rsidRDefault="003509D0" w:rsidP="003509D0">
            <w:pPr>
              <w:tabs>
                <w:tab w:val="left" w:pos="-1440"/>
                <w:tab w:val="left" w:pos="-720"/>
              </w:tabs>
              <w:rPr>
                <w:sz w:val="20"/>
                <w:szCs w:val="20"/>
              </w:rPr>
            </w:pPr>
          </w:p>
          <w:p w:rsidR="003509D0" w:rsidRPr="00A935AA" w:rsidRDefault="003509D0" w:rsidP="003509D0">
            <w:pPr>
              <w:tabs>
                <w:tab w:val="left" w:pos="-1440"/>
                <w:tab w:val="left" w:pos="-720"/>
              </w:tabs>
              <w:rPr>
                <w:sz w:val="20"/>
                <w:szCs w:val="20"/>
              </w:rPr>
            </w:pPr>
            <w:r w:rsidRPr="00406056">
              <w:rPr>
                <w:sz w:val="20"/>
                <w:szCs w:val="20"/>
              </w:rPr>
              <w:tab/>
            </w:r>
            <w:r w:rsidRPr="00A935AA">
              <w:rPr>
                <w:sz w:val="20"/>
                <w:szCs w:val="20"/>
              </w:rPr>
              <w:t>v. (3</w:t>
            </w:r>
            <w:r w:rsidR="00406056">
              <w:rPr>
                <w:sz w:val="20"/>
                <w:szCs w:val="20"/>
              </w:rPr>
              <w:t>6322</w:t>
            </w:r>
            <w:r w:rsidRPr="00A935AA">
              <w:rPr>
                <w:sz w:val="20"/>
                <w:szCs w:val="20"/>
              </w:rPr>
              <w:t>)</w:t>
            </w:r>
          </w:p>
          <w:p w:rsidR="003509D0" w:rsidRPr="00A935AA" w:rsidRDefault="003509D0" w:rsidP="003509D0">
            <w:pPr>
              <w:tabs>
                <w:tab w:val="left" w:pos="-1440"/>
                <w:tab w:val="left" w:pos="-720"/>
              </w:tabs>
              <w:rPr>
                <w:sz w:val="20"/>
                <w:szCs w:val="20"/>
              </w:rPr>
            </w:pPr>
          </w:p>
          <w:p w:rsidR="003509D0" w:rsidRPr="00A935AA" w:rsidRDefault="00406056" w:rsidP="003509D0">
            <w:pPr>
              <w:tabs>
                <w:tab w:val="left" w:pos="-1440"/>
                <w:tab w:val="left" w:pos="-720"/>
              </w:tabs>
              <w:rPr>
                <w:b/>
                <w:sz w:val="20"/>
                <w:szCs w:val="20"/>
              </w:rPr>
            </w:pPr>
            <w:r>
              <w:rPr>
                <w:b/>
                <w:sz w:val="20"/>
                <w:szCs w:val="20"/>
              </w:rPr>
              <w:t xml:space="preserve">Saanish Police Department, Chief Constable Michael Chadwich et al. </w:t>
            </w:r>
            <w:r w:rsidR="003509D0" w:rsidRPr="00A935AA">
              <w:rPr>
                <w:b/>
                <w:sz w:val="20"/>
                <w:szCs w:val="20"/>
              </w:rPr>
              <w:t>(</w:t>
            </w:r>
            <w:r>
              <w:rPr>
                <w:b/>
                <w:sz w:val="20"/>
                <w:szCs w:val="20"/>
              </w:rPr>
              <w:t>B.C</w:t>
            </w:r>
            <w:r w:rsidR="003509D0" w:rsidRPr="00A935AA">
              <w:rPr>
                <w:b/>
                <w:sz w:val="20"/>
                <w:szCs w:val="20"/>
              </w:rPr>
              <w:t>.)</w:t>
            </w:r>
          </w:p>
          <w:p w:rsidR="003509D0" w:rsidRPr="00A935AA" w:rsidRDefault="003509D0" w:rsidP="003509D0">
            <w:pPr>
              <w:tabs>
                <w:tab w:val="left" w:pos="-1440"/>
                <w:tab w:val="left" w:pos="-720"/>
              </w:tabs>
              <w:rPr>
                <w:sz w:val="20"/>
                <w:szCs w:val="20"/>
              </w:rPr>
            </w:pPr>
            <w:r w:rsidRPr="00A935AA">
              <w:rPr>
                <w:sz w:val="20"/>
                <w:szCs w:val="20"/>
              </w:rPr>
              <w:tab/>
            </w:r>
            <w:r w:rsidR="00406056">
              <w:rPr>
                <w:sz w:val="20"/>
                <w:szCs w:val="20"/>
              </w:rPr>
              <w:t>Clair Pagé</w:t>
            </w:r>
          </w:p>
          <w:p w:rsidR="003509D0" w:rsidRPr="00A935AA" w:rsidRDefault="003509D0" w:rsidP="003509D0">
            <w:pPr>
              <w:tabs>
                <w:tab w:val="left" w:pos="-1440"/>
                <w:tab w:val="left" w:pos="-720"/>
              </w:tabs>
              <w:rPr>
                <w:sz w:val="20"/>
                <w:szCs w:val="20"/>
              </w:rPr>
            </w:pPr>
            <w:r w:rsidRPr="00A935AA">
              <w:rPr>
                <w:sz w:val="20"/>
                <w:szCs w:val="20"/>
              </w:rPr>
              <w:tab/>
            </w:r>
            <w:r w:rsidR="00406056">
              <w:rPr>
                <w:sz w:val="20"/>
                <w:szCs w:val="20"/>
              </w:rPr>
              <w:t>Jones Emery Hargreaves Swan</w:t>
            </w:r>
          </w:p>
          <w:p w:rsidR="003509D0" w:rsidRPr="00A935AA" w:rsidRDefault="003509D0" w:rsidP="003509D0">
            <w:pPr>
              <w:tabs>
                <w:tab w:val="left" w:pos="-1440"/>
                <w:tab w:val="left" w:pos="-720"/>
              </w:tabs>
              <w:rPr>
                <w:sz w:val="20"/>
                <w:szCs w:val="20"/>
              </w:rPr>
            </w:pPr>
          </w:p>
          <w:p w:rsidR="003509D0" w:rsidRPr="00A935AA" w:rsidRDefault="003509D0" w:rsidP="00406056">
            <w:pPr>
              <w:rPr>
                <w:sz w:val="20"/>
                <w:szCs w:val="20"/>
              </w:rPr>
            </w:pPr>
            <w:r w:rsidRPr="00A935AA">
              <w:rPr>
                <w:sz w:val="20"/>
                <w:szCs w:val="20"/>
              </w:rPr>
              <w:t>FILING DATE: 2</w:t>
            </w:r>
            <w:r w:rsidR="00406056">
              <w:rPr>
                <w:sz w:val="20"/>
                <w:szCs w:val="20"/>
              </w:rPr>
              <w:t>1</w:t>
            </w:r>
            <w:r w:rsidRPr="00A935AA">
              <w:rPr>
                <w:sz w:val="20"/>
                <w:szCs w:val="20"/>
              </w:rPr>
              <w:t>.0</w:t>
            </w:r>
            <w:r w:rsidR="00406056">
              <w:rPr>
                <w:sz w:val="20"/>
                <w:szCs w:val="20"/>
              </w:rPr>
              <w:t>1</w:t>
            </w:r>
            <w:r w:rsidRPr="00A935AA">
              <w:rPr>
                <w:sz w:val="20"/>
                <w:szCs w:val="20"/>
              </w:rPr>
              <w:t>.201</w:t>
            </w:r>
            <w:r w:rsidR="00406056">
              <w:rPr>
                <w:sz w:val="20"/>
                <w:szCs w:val="20"/>
              </w:rPr>
              <w:t>5</w:t>
            </w:r>
            <w:r w:rsidR="003A60BB">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406056" w:rsidRDefault="00406056" w:rsidP="003B3977">
            <w:pPr>
              <w:rPr>
                <w:b/>
                <w:sz w:val="20"/>
                <w:szCs w:val="20"/>
              </w:rPr>
            </w:pPr>
            <w:r>
              <w:rPr>
                <w:b/>
                <w:sz w:val="20"/>
                <w:szCs w:val="20"/>
              </w:rPr>
              <w:t>Heritage Capital Corporation</w:t>
            </w:r>
          </w:p>
          <w:p w:rsidR="00C21644" w:rsidRPr="00406056" w:rsidRDefault="00C21644" w:rsidP="003B3977">
            <w:pPr>
              <w:tabs>
                <w:tab w:val="left" w:pos="-1440"/>
                <w:tab w:val="left" w:pos="-720"/>
              </w:tabs>
              <w:rPr>
                <w:sz w:val="20"/>
                <w:szCs w:val="20"/>
              </w:rPr>
            </w:pPr>
            <w:r w:rsidRPr="00406056">
              <w:rPr>
                <w:sz w:val="20"/>
                <w:szCs w:val="20"/>
              </w:rPr>
              <w:tab/>
            </w:r>
            <w:r w:rsidR="00406056">
              <w:rPr>
                <w:sz w:val="20"/>
                <w:szCs w:val="20"/>
              </w:rPr>
              <w:t>Jeff E. Sharpe</w:t>
            </w:r>
          </w:p>
          <w:p w:rsidR="00C21644" w:rsidRPr="00406056" w:rsidRDefault="00C21644" w:rsidP="003B3977">
            <w:pPr>
              <w:tabs>
                <w:tab w:val="left" w:pos="-1440"/>
                <w:tab w:val="left" w:pos="-720"/>
              </w:tabs>
              <w:rPr>
                <w:sz w:val="20"/>
                <w:szCs w:val="20"/>
              </w:rPr>
            </w:pPr>
            <w:r w:rsidRPr="00406056">
              <w:rPr>
                <w:sz w:val="20"/>
                <w:szCs w:val="20"/>
              </w:rPr>
              <w:tab/>
            </w:r>
            <w:r w:rsidR="00406056">
              <w:rPr>
                <w:sz w:val="20"/>
                <w:szCs w:val="20"/>
              </w:rPr>
              <w:t>Burnet, Duckworth &amp; Palmer</w:t>
            </w:r>
          </w:p>
          <w:p w:rsidR="00C21644" w:rsidRPr="00406056" w:rsidRDefault="00C21644"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406056">
              <w:rPr>
                <w:sz w:val="20"/>
                <w:szCs w:val="20"/>
              </w:rPr>
              <w:tab/>
            </w:r>
            <w:r w:rsidRPr="00A935AA">
              <w:rPr>
                <w:sz w:val="20"/>
                <w:szCs w:val="20"/>
              </w:rPr>
              <w:t>v. (3</w:t>
            </w:r>
            <w:r w:rsidR="00406056">
              <w:rPr>
                <w:sz w:val="20"/>
                <w:szCs w:val="20"/>
              </w:rPr>
              <w:t>6301</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406056" w:rsidP="003B3977">
            <w:pPr>
              <w:tabs>
                <w:tab w:val="left" w:pos="-1440"/>
                <w:tab w:val="left" w:pos="-720"/>
              </w:tabs>
              <w:rPr>
                <w:b/>
                <w:sz w:val="20"/>
                <w:szCs w:val="20"/>
              </w:rPr>
            </w:pPr>
            <w:r>
              <w:rPr>
                <w:b/>
                <w:sz w:val="20"/>
                <w:szCs w:val="20"/>
              </w:rPr>
              <w:t xml:space="preserve">Equitable Trust Company et al. </w:t>
            </w:r>
            <w:r w:rsidR="00C21644" w:rsidRPr="00A935AA">
              <w:rPr>
                <w:b/>
                <w:sz w:val="20"/>
                <w:szCs w:val="20"/>
              </w:rPr>
              <w:t>(</w:t>
            </w:r>
            <w:r>
              <w:rPr>
                <w:b/>
                <w:sz w:val="20"/>
                <w:szCs w:val="20"/>
              </w:rPr>
              <w:t>Al</w:t>
            </w:r>
            <w:r w:rsidR="00C21644">
              <w:rPr>
                <w:b/>
                <w:sz w:val="20"/>
                <w:szCs w:val="20"/>
              </w:rPr>
              <w:t>t</w:t>
            </w:r>
            <w:r>
              <w:rPr>
                <w:b/>
                <w:sz w:val="20"/>
                <w:szCs w:val="20"/>
              </w:rPr>
              <w:t>a</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406056">
              <w:rPr>
                <w:sz w:val="20"/>
                <w:szCs w:val="20"/>
              </w:rPr>
              <w:t>Daina Young</w:t>
            </w:r>
          </w:p>
          <w:p w:rsidR="00C21644" w:rsidRPr="00A935AA" w:rsidRDefault="00C21644" w:rsidP="003B3977">
            <w:pPr>
              <w:tabs>
                <w:tab w:val="left" w:pos="-1440"/>
                <w:tab w:val="left" w:pos="-720"/>
              </w:tabs>
              <w:rPr>
                <w:sz w:val="20"/>
                <w:szCs w:val="20"/>
              </w:rPr>
            </w:pPr>
            <w:r w:rsidRPr="00A935AA">
              <w:rPr>
                <w:sz w:val="20"/>
                <w:szCs w:val="20"/>
              </w:rPr>
              <w:tab/>
            </w:r>
            <w:r w:rsidR="00406056">
              <w:rPr>
                <w:sz w:val="20"/>
                <w:szCs w:val="20"/>
              </w:rPr>
              <w:t xml:space="preserve">Reynolds, Mirth, Richards &amp; Farmer LLP </w:t>
            </w:r>
          </w:p>
          <w:p w:rsidR="00C21644" w:rsidRPr="00A935AA" w:rsidRDefault="00C21644" w:rsidP="003B3977">
            <w:pPr>
              <w:tabs>
                <w:tab w:val="left" w:pos="-1440"/>
                <w:tab w:val="left" w:pos="-720"/>
              </w:tabs>
              <w:rPr>
                <w:sz w:val="20"/>
                <w:szCs w:val="20"/>
              </w:rPr>
            </w:pPr>
          </w:p>
          <w:p w:rsidR="00C21644" w:rsidRPr="00A935AA" w:rsidRDefault="00C21644" w:rsidP="003B3977">
            <w:pPr>
              <w:rPr>
                <w:sz w:val="20"/>
                <w:szCs w:val="20"/>
              </w:rPr>
            </w:pPr>
            <w:r w:rsidRPr="00A935AA">
              <w:rPr>
                <w:sz w:val="20"/>
                <w:szCs w:val="20"/>
              </w:rPr>
              <w:t xml:space="preserve">FILING DATE: </w:t>
            </w:r>
            <w:r w:rsidR="00406056">
              <w:rPr>
                <w:sz w:val="20"/>
                <w:szCs w:val="20"/>
              </w:rPr>
              <w:t>13</w:t>
            </w:r>
            <w:r w:rsidRPr="00A935AA">
              <w:rPr>
                <w:sz w:val="20"/>
                <w:szCs w:val="20"/>
              </w:rPr>
              <w:t>.0</w:t>
            </w:r>
            <w:r>
              <w:rPr>
                <w:sz w:val="20"/>
                <w:szCs w:val="20"/>
              </w:rPr>
              <w:t>2</w:t>
            </w:r>
            <w:r w:rsidRPr="00A935AA">
              <w:rPr>
                <w:sz w:val="20"/>
                <w:szCs w:val="20"/>
              </w:rPr>
              <w:t>.201</w:t>
            </w:r>
            <w:r w:rsidR="00406056">
              <w:rPr>
                <w:sz w:val="20"/>
                <w:szCs w:val="20"/>
              </w:rPr>
              <w:t>5</w:t>
            </w:r>
          </w:p>
          <w:p w:rsidR="00C21644" w:rsidRPr="00A935AA" w:rsidRDefault="003A60BB"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F664BA" w:rsidRDefault="00F664BA" w:rsidP="003B3977">
            <w:pPr>
              <w:keepNext/>
              <w:keepLines/>
              <w:tabs>
                <w:tab w:val="left" w:pos="-1440"/>
                <w:tab w:val="left" w:pos="-720"/>
              </w:tabs>
              <w:rPr>
                <w:b/>
                <w:sz w:val="20"/>
                <w:szCs w:val="20"/>
              </w:rPr>
            </w:pPr>
          </w:p>
          <w:p w:rsidR="00C21644" w:rsidRPr="000D6E5D" w:rsidRDefault="00406056" w:rsidP="003B3977">
            <w:pPr>
              <w:keepNext/>
              <w:keepLines/>
              <w:tabs>
                <w:tab w:val="left" w:pos="-1440"/>
                <w:tab w:val="left" w:pos="-720"/>
              </w:tabs>
              <w:rPr>
                <w:b/>
                <w:sz w:val="20"/>
                <w:szCs w:val="20"/>
              </w:rPr>
            </w:pPr>
            <w:r w:rsidRPr="000D6E5D">
              <w:rPr>
                <w:b/>
                <w:sz w:val="20"/>
                <w:szCs w:val="20"/>
              </w:rPr>
              <w:t>Anna Dibiase</w:t>
            </w:r>
          </w:p>
          <w:p w:rsidR="00C21644" w:rsidRPr="00F664BA" w:rsidRDefault="00C21644" w:rsidP="003B3977">
            <w:pPr>
              <w:keepNext/>
              <w:keepLines/>
              <w:tabs>
                <w:tab w:val="left" w:pos="-1440"/>
                <w:tab w:val="left" w:pos="-720"/>
              </w:tabs>
              <w:rPr>
                <w:sz w:val="20"/>
                <w:szCs w:val="20"/>
              </w:rPr>
            </w:pPr>
            <w:r w:rsidRPr="000D6E5D">
              <w:rPr>
                <w:sz w:val="20"/>
                <w:szCs w:val="20"/>
              </w:rPr>
              <w:tab/>
            </w:r>
            <w:r w:rsidR="00F664BA" w:rsidRPr="00F664BA">
              <w:rPr>
                <w:sz w:val="20"/>
                <w:szCs w:val="20"/>
              </w:rPr>
              <w:t>Jeremy Devereux</w:t>
            </w:r>
          </w:p>
          <w:p w:rsidR="00C21644" w:rsidRPr="00F664BA" w:rsidRDefault="00C21644" w:rsidP="003B3977">
            <w:pPr>
              <w:keepNext/>
              <w:keepLines/>
              <w:tabs>
                <w:tab w:val="left" w:pos="-1440"/>
                <w:tab w:val="left" w:pos="-720"/>
              </w:tabs>
              <w:rPr>
                <w:sz w:val="20"/>
                <w:szCs w:val="20"/>
              </w:rPr>
            </w:pPr>
            <w:r w:rsidRPr="00F664BA">
              <w:rPr>
                <w:sz w:val="20"/>
                <w:szCs w:val="20"/>
              </w:rPr>
              <w:tab/>
            </w:r>
            <w:r w:rsidR="00F664BA" w:rsidRPr="00F664BA">
              <w:rPr>
                <w:sz w:val="20"/>
                <w:szCs w:val="20"/>
              </w:rPr>
              <w:t>Norton Rose Fulbright Canada LLP</w:t>
            </w:r>
          </w:p>
          <w:p w:rsidR="00C21644" w:rsidRPr="00F664BA" w:rsidRDefault="00C21644" w:rsidP="003B3977">
            <w:pPr>
              <w:keepNext/>
              <w:keepLines/>
              <w:tabs>
                <w:tab w:val="left" w:pos="-1440"/>
                <w:tab w:val="left" w:pos="-720"/>
              </w:tabs>
              <w:rPr>
                <w:sz w:val="20"/>
                <w:szCs w:val="20"/>
              </w:rPr>
            </w:pPr>
          </w:p>
          <w:p w:rsidR="00C21644" w:rsidRPr="00F664BA" w:rsidRDefault="00C21644" w:rsidP="003B3977">
            <w:pPr>
              <w:keepNext/>
              <w:keepLines/>
              <w:tabs>
                <w:tab w:val="left" w:pos="-1440"/>
                <w:tab w:val="left" w:pos="-720"/>
              </w:tabs>
              <w:rPr>
                <w:sz w:val="20"/>
                <w:szCs w:val="20"/>
                <w:lang w:val="fr-CA"/>
              </w:rPr>
            </w:pPr>
            <w:r w:rsidRPr="00F664BA">
              <w:rPr>
                <w:sz w:val="20"/>
                <w:szCs w:val="20"/>
              </w:rPr>
              <w:tab/>
            </w:r>
            <w:r w:rsidRPr="00F664BA">
              <w:rPr>
                <w:sz w:val="20"/>
                <w:szCs w:val="20"/>
                <w:lang w:val="fr-CA"/>
              </w:rPr>
              <w:t>v. (3</w:t>
            </w:r>
            <w:r w:rsidR="00F664BA" w:rsidRPr="00F664BA">
              <w:rPr>
                <w:sz w:val="20"/>
                <w:szCs w:val="20"/>
                <w:lang w:val="fr-CA"/>
              </w:rPr>
              <w:t>6302</w:t>
            </w:r>
            <w:r w:rsidRPr="00F664BA">
              <w:rPr>
                <w:sz w:val="20"/>
                <w:szCs w:val="20"/>
                <w:lang w:val="fr-CA"/>
              </w:rPr>
              <w:t>)</w:t>
            </w:r>
          </w:p>
          <w:p w:rsidR="00C21644" w:rsidRPr="00F664BA" w:rsidRDefault="00C21644" w:rsidP="003B3977">
            <w:pPr>
              <w:keepNext/>
              <w:keepLines/>
              <w:tabs>
                <w:tab w:val="left" w:pos="-1440"/>
                <w:tab w:val="left" w:pos="-720"/>
              </w:tabs>
              <w:rPr>
                <w:sz w:val="20"/>
                <w:szCs w:val="20"/>
                <w:lang w:val="fr-CA"/>
              </w:rPr>
            </w:pPr>
          </w:p>
          <w:p w:rsidR="00C21644" w:rsidRPr="00F664BA" w:rsidRDefault="00406056" w:rsidP="003B3977">
            <w:pPr>
              <w:keepNext/>
              <w:keepLines/>
              <w:tabs>
                <w:tab w:val="left" w:pos="-1440"/>
                <w:tab w:val="left" w:pos="-720"/>
              </w:tabs>
              <w:rPr>
                <w:b/>
                <w:sz w:val="20"/>
                <w:szCs w:val="20"/>
                <w:lang w:val="fr-CA"/>
              </w:rPr>
            </w:pPr>
            <w:r w:rsidRPr="00F664BA">
              <w:rPr>
                <w:b/>
                <w:sz w:val="20"/>
                <w:szCs w:val="20"/>
                <w:lang w:val="fr-CA"/>
              </w:rPr>
              <w:t xml:space="preserve">Michele Dibiase </w:t>
            </w:r>
            <w:r w:rsidR="00C21644" w:rsidRPr="00F664BA">
              <w:rPr>
                <w:b/>
                <w:sz w:val="20"/>
                <w:szCs w:val="20"/>
                <w:lang w:val="fr-CA"/>
              </w:rPr>
              <w:t>(</w:t>
            </w:r>
            <w:r w:rsidRPr="00F664BA">
              <w:rPr>
                <w:b/>
                <w:sz w:val="20"/>
                <w:szCs w:val="20"/>
                <w:lang w:val="fr-CA"/>
              </w:rPr>
              <w:t>Ont</w:t>
            </w:r>
            <w:r w:rsidR="00C21644" w:rsidRPr="00F664BA">
              <w:rPr>
                <w:b/>
                <w:sz w:val="20"/>
                <w:szCs w:val="20"/>
                <w:lang w:val="fr-CA"/>
              </w:rPr>
              <w:t>.)</w:t>
            </w:r>
          </w:p>
          <w:p w:rsidR="00C21644" w:rsidRPr="00F664BA" w:rsidRDefault="00C21644" w:rsidP="003B3977">
            <w:pPr>
              <w:keepNext/>
              <w:keepLines/>
              <w:tabs>
                <w:tab w:val="left" w:pos="-1440"/>
                <w:tab w:val="left" w:pos="-720"/>
              </w:tabs>
              <w:rPr>
                <w:sz w:val="20"/>
                <w:szCs w:val="20"/>
                <w:lang w:val="fr-CA"/>
              </w:rPr>
            </w:pPr>
            <w:r w:rsidRPr="00F664BA">
              <w:rPr>
                <w:sz w:val="20"/>
                <w:szCs w:val="20"/>
                <w:lang w:val="fr-CA"/>
              </w:rPr>
              <w:tab/>
            </w:r>
            <w:r w:rsidR="00F664BA">
              <w:rPr>
                <w:sz w:val="20"/>
                <w:szCs w:val="20"/>
                <w:lang w:val="fr-CA"/>
              </w:rPr>
              <w:t>Mauro Marchioni</w:t>
            </w:r>
          </w:p>
          <w:p w:rsidR="00C21644" w:rsidRPr="00F664BA" w:rsidRDefault="00C21644" w:rsidP="003B3977">
            <w:pPr>
              <w:keepNext/>
              <w:keepLines/>
              <w:tabs>
                <w:tab w:val="left" w:pos="-1440"/>
                <w:tab w:val="left" w:pos="-720"/>
              </w:tabs>
              <w:rPr>
                <w:sz w:val="20"/>
                <w:szCs w:val="20"/>
                <w:lang w:val="fr-CA"/>
              </w:rPr>
            </w:pPr>
            <w:r w:rsidRPr="00F664BA">
              <w:rPr>
                <w:sz w:val="20"/>
                <w:szCs w:val="20"/>
                <w:lang w:val="fr-CA"/>
              </w:rPr>
              <w:tab/>
            </w:r>
            <w:r w:rsidR="00F664BA">
              <w:rPr>
                <w:sz w:val="20"/>
                <w:szCs w:val="20"/>
                <w:lang w:val="fr-CA"/>
              </w:rPr>
              <w:t>Marchioni, Mauro</w:t>
            </w:r>
          </w:p>
          <w:p w:rsidR="00C21644" w:rsidRPr="00F664BA" w:rsidRDefault="00C21644" w:rsidP="003B3977">
            <w:pPr>
              <w:keepNext/>
              <w:keepLines/>
              <w:tabs>
                <w:tab w:val="left" w:pos="-1440"/>
                <w:tab w:val="left" w:pos="-720"/>
              </w:tabs>
              <w:rPr>
                <w:sz w:val="20"/>
                <w:szCs w:val="20"/>
                <w:lang w:val="fr-CA"/>
              </w:rPr>
            </w:pPr>
          </w:p>
          <w:p w:rsidR="00C21644" w:rsidRPr="00A935AA" w:rsidRDefault="00C21644" w:rsidP="00F664BA">
            <w:pPr>
              <w:rPr>
                <w:sz w:val="20"/>
                <w:szCs w:val="20"/>
              </w:rPr>
            </w:pPr>
            <w:r w:rsidRPr="00A935AA">
              <w:rPr>
                <w:sz w:val="20"/>
                <w:szCs w:val="20"/>
              </w:rPr>
              <w:t xml:space="preserve">FILING DATE: </w:t>
            </w:r>
            <w:r w:rsidR="00F664BA">
              <w:rPr>
                <w:sz w:val="20"/>
                <w:szCs w:val="20"/>
              </w:rPr>
              <w:t>13</w:t>
            </w:r>
            <w:r w:rsidRPr="00A935AA">
              <w:rPr>
                <w:sz w:val="20"/>
                <w:szCs w:val="20"/>
              </w:rPr>
              <w:t>.0</w:t>
            </w:r>
            <w:r>
              <w:rPr>
                <w:sz w:val="20"/>
                <w:szCs w:val="20"/>
              </w:rPr>
              <w:t>2</w:t>
            </w:r>
            <w:r w:rsidRPr="00A935AA">
              <w:rPr>
                <w:sz w:val="20"/>
                <w:szCs w:val="20"/>
              </w:rPr>
              <w:t>.201</w:t>
            </w:r>
            <w:r w:rsidR="00F664BA">
              <w:rPr>
                <w:sz w:val="20"/>
                <w:szCs w:val="20"/>
              </w:rPr>
              <w:t>5</w:t>
            </w:r>
            <w:r w:rsidR="003A60BB">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Pr="00A935AA" w:rsidRDefault="00DD250A" w:rsidP="005F1ED8">
            <w:pPr>
              <w:rPr>
                <w:b/>
                <w:sz w:val="20"/>
                <w:szCs w:val="20"/>
              </w:rPr>
            </w:pPr>
            <w:r>
              <w:rPr>
                <w:b/>
                <w:sz w:val="20"/>
                <w:szCs w:val="20"/>
              </w:rPr>
              <w:t>Sweetgrass First Nation</w:t>
            </w:r>
          </w:p>
          <w:p w:rsidR="00C21644" w:rsidRPr="00A935AA" w:rsidRDefault="00C21644" w:rsidP="005F1ED8">
            <w:pPr>
              <w:tabs>
                <w:tab w:val="left" w:pos="-1440"/>
                <w:tab w:val="left" w:pos="-720"/>
              </w:tabs>
              <w:rPr>
                <w:sz w:val="20"/>
                <w:szCs w:val="20"/>
              </w:rPr>
            </w:pPr>
            <w:r w:rsidRPr="00A935AA">
              <w:rPr>
                <w:sz w:val="20"/>
                <w:szCs w:val="20"/>
              </w:rPr>
              <w:tab/>
            </w:r>
            <w:r w:rsidR="00DD250A">
              <w:rPr>
                <w:sz w:val="20"/>
                <w:szCs w:val="20"/>
              </w:rPr>
              <w:t>Richard C. Secord</w:t>
            </w:r>
          </w:p>
          <w:p w:rsidR="00C21644" w:rsidRPr="00A935AA" w:rsidRDefault="00C21644" w:rsidP="005F1ED8">
            <w:pPr>
              <w:tabs>
                <w:tab w:val="left" w:pos="-1440"/>
                <w:tab w:val="left" w:pos="-720"/>
              </w:tabs>
              <w:rPr>
                <w:sz w:val="20"/>
                <w:szCs w:val="20"/>
              </w:rPr>
            </w:pPr>
            <w:r w:rsidRPr="00A935AA">
              <w:rPr>
                <w:sz w:val="20"/>
                <w:szCs w:val="20"/>
              </w:rPr>
              <w:tab/>
            </w:r>
            <w:r w:rsidR="00DD250A">
              <w:rPr>
                <w:sz w:val="20"/>
                <w:szCs w:val="20"/>
              </w:rPr>
              <w:t>Ackroyd LLP</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DD250A">
              <w:rPr>
                <w:sz w:val="20"/>
                <w:szCs w:val="20"/>
              </w:rPr>
              <w:t>6303</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DD250A" w:rsidP="005F1ED8">
            <w:pPr>
              <w:tabs>
                <w:tab w:val="left" w:pos="-1440"/>
                <w:tab w:val="left" w:pos="-720"/>
              </w:tabs>
              <w:rPr>
                <w:b/>
                <w:sz w:val="20"/>
                <w:szCs w:val="20"/>
              </w:rPr>
            </w:pPr>
            <w:r>
              <w:rPr>
                <w:b/>
                <w:sz w:val="20"/>
                <w:szCs w:val="20"/>
              </w:rPr>
              <w:t xml:space="preserve">Rath &amp; Company </w:t>
            </w:r>
            <w:r w:rsidR="00C21644" w:rsidRPr="00A935AA">
              <w:rPr>
                <w:b/>
                <w:sz w:val="20"/>
                <w:szCs w:val="20"/>
              </w:rPr>
              <w:t>(</w:t>
            </w:r>
            <w:r>
              <w:rPr>
                <w:b/>
                <w:sz w:val="20"/>
                <w:szCs w:val="20"/>
              </w:rPr>
              <w:t>Al</w:t>
            </w:r>
            <w:r w:rsidR="00C21644">
              <w:rPr>
                <w:b/>
                <w:sz w:val="20"/>
                <w:szCs w:val="20"/>
              </w:rPr>
              <w:t>t</w:t>
            </w:r>
            <w:r>
              <w:rPr>
                <w:b/>
                <w:sz w:val="20"/>
                <w:szCs w:val="20"/>
              </w:rPr>
              <w:t>a</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DD250A">
              <w:rPr>
                <w:sz w:val="20"/>
                <w:szCs w:val="20"/>
              </w:rPr>
              <w:t>Mark C. Freeman</w:t>
            </w:r>
          </w:p>
          <w:p w:rsidR="00C21644" w:rsidRPr="00A935AA" w:rsidRDefault="00C21644" w:rsidP="005F1ED8">
            <w:pPr>
              <w:tabs>
                <w:tab w:val="left" w:pos="-1440"/>
                <w:tab w:val="left" w:pos="-720"/>
              </w:tabs>
              <w:rPr>
                <w:sz w:val="20"/>
                <w:szCs w:val="20"/>
              </w:rPr>
            </w:pPr>
            <w:r w:rsidRPr="00A935AA">
              <w:rPr>
                <w:sz w:val="20"/>
                <w:szCs w:val="20"/>
              </w:rPr>
              <w:tab/>
            </w:r>
            <w:r w:rsidR="00DD250A">
              <w:rPr>
                <w:sz w:val="20"/>
                <w:szCs w:val="20"/>
              </w:rPr>
              <w:t>Freeman Litigation</w:t>
            </w:r>
          </w:p>
          <w:p w:rsidR="00C21644" w:rsidRPr="00A935AA" w:rsidRDefault="00C21644" w:rsidP="005F1ED8">
            <w:pPr>
              <w:tabs>
                <w:tab w:val="left" w:pos="-1440"/>
                <w:tab w:val="left" w:pos="-720"/>
              </w:tabs>
              <w:rPr>
                <w:sz w:val="20"/>
                <w:szCs w:val="20"/>
              </w:rPr>
            </w:pPr>
          </w:p>
          <w:p w:rsidR="00C21644" w:rsidRPr="00A935AA" w:rsidRDefault="00C21644" w:rsidP="00DD250A">
            <w:pPr>
              <w:rPr>
                <w:sz w:val="20"/>
                <w:szCs w:val="20"/>
              </w:rPr>
            </w:pPr>
            <w:r w:rsidRPr="00A935AA">
              <w:rPr>
                <w:sz w:val="20"/>
                <w:szCs w:val="20"/>
              </w:rPr>
              <w:t xml:space="preserve">FILING DATE: </w:t>
            </w:r>
            <w:r w:rsidR="00DD250A">
              <w:rPr>
                <w:sz w:val="20"/>
                <w:szCs w:val="20"/>
              </w:rPr>
              <w:t>13</w:t>
            </w:r>
            <w:r w:rsidRPr="00A935AA">
              <w:rPr>
                <w:sz w:val="20"/>
                <w:szCs w:val="20"/>
              </w:rPr>
              <w:t>.0</w:t>
            </w:r>
            <w:r>
              <w:rPr>
                <w:sz w:val="20"/>
                <w:szCs w:val="20"/>
              </w:rPr>
              <w:t>2</w:t>
            </w:r>
            <w:r w:rsidRPr="00A935AA">
              <w:rPr>
                <w:sz w:val="20"/>
                <w:szCs w:val="20"/>
              </w:rPr>
              <w:t>.201</w:t>
            </w:r>
            <w:r w:rsidR="00DD250A">
              <w:rPr>
                <w:sz w:val="20"/>
                <w:szCs w:val="20"/>
              </w:rPr>
              <w:t>5</w:t>
            </w:r>
            <w:r w:rsidR="003A60BB">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Default="00C21644" w:rsidP="005F1ED8">
            <w:pPr>
              <w:rPr>
                <w:b/>
                <w:sz w:val="20"/>
                <w:szCs w:val="20"/>
              </w:rPr>
            </w:pPr>
          </w:p>
          <w:p w:rsidR="00DD250A" w:rsidRPr="00A935AA" w:rsidRDefault="004F530D" w:rsidP="005F1ED8">
            <w:pPr>
              <w:rPr>
                <w:b/>
                <w:sz w:val="20"/>
                <w:szCs w:val="20"/>
              </w:rPr>
            </w:pPr>
            <w:r>
              <w:rPr>
                <w:b/>
                <w:sz w:val="20"/>
                <w:szCs w:val="20"/>
              </w:rPr>
              <w:t>ConocoPhillips Canada Resources Corp.</w:t>
            </w:r>
          </w:p>
          <w:p w:rsidR="00C21644" w:rsidRPr="00A935AA" w:rsidRDefault="00C21644" w:rsidP="005F1ED8">
            <w:pPr>
              <w:tabs>
                <w:tab w:val="left" w:pos="-1440"/>
                <w:tab w:val="left" w:pos="-720"/>
              </w:tabs>
              <w:rPr>
                <w:sz w:val="20"/>
                <w:szCs w:val="20"/>
              </w:rPr>
            </w:pPr>
            <w:r w:rsidRPr="00A935AA">
              <w:rPr>
                <w:sz w:val="20"/>
                <w:szCs w:val="20"/>
              </w:rPr>
              <w:tab/>
            </w:r>
            <w:r w:rsidR="004F530D">
              <w:rPr>
                <w:sz w:val="20"/>
                <w:szCs w:val="20"/>
              </w:rPr>
              <w:t>Al Meghji</w:t>
            </w:r>
          </w:p>
          <w:p w:rsidR="00C21644" w:rsidRPr="00A935AA" w:rsidRDefault="00C21644" w:rsidP="005F1ED8">
            <w:pPr>
              <w:tabs>
                <w:tab w:val="left" w:pos="-1440"/>
                <w:tab w:val="left" w:pos="-720"/>
              </w:tabs>
              <w:rPr>
                <w:sz w:val="20"/>
                <w:szCs w:val="20"/>
              </w:rPr>
            </w:pPr>
            <w:r w:rsidRPr="00A935AA">
              <w:rPr>
                <w:sz w:val="20"/>
                <w:szCs w:val="20"/>
              </w:rPr>
              <w:tab/>
            </w:r>
            <w:r w:rsidR="004F530D">
              <w:rPr>
                <w:sz w:val="20"/>
                <w:szCs w:val="20"/>
              </w:rPr>
              <w:t>Osler, Hoskin &amp; Harcourt LLP</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4F530D">
              <w:rPr>
                <w:sz w:val="20"/>
                <w:szCs w:val="20"/>
              </w:rPr>
              <w:t>6304</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4F530D" w:rsidP="005F1ED8">
            <w:pPr>
              <w:tabs>
                <w:tab w:val="left" w:pos="-1440"/>
                <w:tab w:val="left" w:pos="-720"/>
              </w:tabs>
              <w:rPr>
                <w:b/>
                <w:sz w:val="20"/>
                <w:szCs w:val="20"/>
              </w:rPr>
            </w:pPr>
            <w:r>
              <w:rPr>
                <w:b/>
                <w:sz w:val="20"/>
                <w:szCs w:val="20"/>
              </w:rPr>
              <w:t xml:space="preserve">Minister of National Revenue </w:t>
            </w:r>
            <w:r w:rsidR="00C21644" w:rsidRPr="00A935AA">
              <w:rPr>
                <w:b/>
                <w:sz w:val="20"/>
                <w:szCs w:val="20"/>
              </w:rPr>
              <w:t>(</w:t>
            </w:r>
            <w:r>
              <w:rPr>
                <w:b/>
                <w:sz w:val="20"/>
                <w:szCs w:val="20"/>
              </w:rPr>
              <w:t>F.C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F52EF3">
              <w:rPr>
                <w:sz w:val="20"/>
                <w:szCs w:val="20"/>
              </w:rPr>
              <w:t>Josée Tremblay</w:t>
            </w:r>
          </w:p>
          <w:p w:rsidR="00C21644" w:rsidRPr="00A935AA" w:rsidRDefault="00C21644" w:rsidP="005F1ED8">
            <w:pPr>
              <w:tabs>
                <w:tab w:val="left" w:pos="-1440"/>
                <w:tab w:val="left" w:pos="-720"/>
              </w:tabs>
              <w:rPr>
                <w:sz w:val="20"/>
                <w:szCs w:val="20"/>
              </w:rPr>
            </w:pPr>
            <w:r w:rsidRPr="00A935AA">
              <w:rPr>
                <w:sz w:val="20"/>
                <w:szCs w:val="20"/>
              </w:rPr>
              <w:tab/>
            </w:r>
            <w:r w:rsidR="00F52EF3">
              <w:rPr>
                <w:sz w:val="20"/>
                <w:szCs w:val="20"/>
              </w:rPr>
              <w:t>A.G. of Canada</w:t>
            </w:r>
          </w:p>
          <w:p w:rsidR="00C21644" w:rsidRPr="00A935AA" w:rsidRDefault="00C21644" w:rsidP="005F1ED8">
            <w:pPr>
              <w:tabs>
                <w:tab w:val="left" w:pos="-1440"/>
                <w:tab w:val="left" w:pos="-720"/>
              </w:tabs>
              <w:rPr>
                <w:sz w:val="20"/>
                <w:szCs w:val="20"/>
              </w:rPr>
            </w:pPr>
          </w:p>
          <w:p w:rsidR="00C21644" w:rsidRPr="00A935AA" w:rsidRDefault="00C21644" w:rsidP="00F52EF3">
            <w:pPr>
              <w:rPr>
                <w:sz w:val="20"/>
                <w:szCs w:val="20"/>
              </w:rPr>
            </w:pPr>
            <w:r w:rsidRPr="00A935AA">
              <w:rPr>
                <w:sz w:val="20"/>
                <w:szCs w:val="20"/>
              </w:rPr>
              <w:t xml:space="preserve">FILING DATE: </w:t>
            </w:r>
            <w:r w:rsidR="00F52EF3">
              <w:rPr>
                <w:sz w:val="20"/>
                <w:szCs w:val="20"/>
              </w:rPr>
              <w:t>13</w:t>
            </w:r>
            <w:r w:rsidRPr="00A935AA">
              <w:rPr>
                <w:sz w:val="20"/>
                <w:szCs w:val="20"/>
              </w:rPr>
              <w:t>.0</w:t>
            </w:r>
            <w:r>
              <w:rPr>
                <w:sz w:val="20"/>
                <w:szCs w:val="20"/>
              </w:rPr>
              <w:t>2</w:t>
            </w:r>
            <w:r w:rsidRPr="00A935AA">
              <w:rPr>
                <w:sz w:val="20"/>
                <w:szCs w:val="20"/>
              </w:rPr>
              <w:t>.201</w:t>
            </w:r>
            <w:r w:rsidR="00F52EF3">
              <w:rPr>
                <w:sz w:val="20"/>
                <w:szCs w:val="20"/>
              </w:rPr>
              <w:t>5</w:t>
            </w:r>
            <w:r w:rsidR="003A60BB">
              <w:rPr>
                <w:sz w:val="20"/>
                <w:szCs w:val="20"/>
                <w:lang w:val="fr-CA"/>
              </w:rPr>
              <w:pict>
                <v:rect id="_x0000_i1030" style="width:108pt;height:1pt" o:hrpct="0" o:hralign="center" o:hrstd="t" o:hrnoshade="t" o:hr="t" fillcolor="black [3213]" stroked="f"/>
              </w:pict>
            </w:r>
          </w:p>
        </w:tc>
      </w:tr>
      <w:tr w:rsidR="003509D0" w:rsidRPr="00A935AA" w:rsidTr="003B3977">
        <w:trPr>
          <w:cantSplit/>
        </w:trPr>
        <w:tc>
          <w:tcPr>
            <w:tcW w:w="4320" w:type="dxa"/>
            <w:shd w:val="clear" w:color="auto" w:fill="auto"/>
          </w:tcPr>
          <w:p w:rsidR="003509D0" w:rsidRPr="00F52EF3" w:rsidRDefault="00F52EF3" w:rsidP="005F1ED8">
            <w:pPr>
              <w:rPr>
                <w:b/>
                <w:sz w:val="20"/>
                <w:szCs w:val="20"/>
                <w:lang w:val="fr-CA"/>
              </w:rPr>
            </w:pPr>
            <w:r w:rsidRPr="00F52EF3">
              <w:rPr>
                <w:b/>
                <w:sz w:val="20"/>
                <w:szCs w:val="20"/>
                <w:lang w:val="fr-CA"/>
              </w:rPr>
              <w:t>Association des médecins r</w:t>
            </w:r>
            <w:r w:rsidR="00E76460">
              <w:rPr>
                <w:b/>
                <w:sz w:val="20"/>
                <w:szCs w:val="20"/>
                <w:lang w:val="fr-CA"/>
              </w:rPr>
              <w:t>é</w:t>
            </w:r>
            <w:r w:rsidRPr="00F52EF3">
              <w:rPr>
                <w:b/>
                <w:sz w:val="20"/>
                <w:szCs w:val="20"/>
                <w:lang w:val="fr-CA"/>
              </w:rPr>
              <w:t>sidents de Québec</w:t>
            </w:r>
          </w:p>
          <w:p w:rsidR="003509D0" w:rsidRPr="00F52EF3" w:rsidRDefault="003509D0" w:rsidP="005F1ED8">
            <w:pPr>
              <w:tabs>
                <w:tab w:val="left" w:pos="-1440"/>
                <w:tab w:val="left" w:pos="-720"/>
              </w:tabs>
              <w:rPr>
                <w:sz w:val="20"/>
                <w:szCs w:val="20"/>
                <w:lang w:val="fr-CA"/>
              </w:rPr>
            </w:pPr>
            <w:r w:rsidRPr="00F52EF3">
              <w:rPr>
                <w:sz w:val="20"/>
                <w:szCs w:val="20"/>
                <w:lang w:val="fr-CA"/>
              </w:rPr>
              <w:tab/>
            </w:r>
            <w:r w:rsidR="00F52EF3">
              <w:rPr>
                <w:sz w:val="20"/>
                <w:szCs w:val="20"/>
                <w:lang w:val="fr-CA"/>
              </w:rPr>
              <w:t>Jacques Castonguay</w:t>
            </w:r>
          </w:p>
          <w:p w:rsidR="003509D0" w:rsidRPr="00F52EF3" w:rsidRDefault="003509D0" w:rsidP="005F1ED8">
            <w:pPr>
              <w:tabs>
                <w:tab w:val="left" w:pos="-1440"/>
                <w:tab w:val="left" w:pos="-720"/>
              </w:tabs>
              <w:rPr>
                <w:sz w:val="20"/>
                <w:szCs w:val="20"/>
                <w:lang w:val="fr-CA"/>
              </w:rPr>
            </w:pPr>
            <w:r w:rsidRPr="00F52EF3">
              <w:rPr>
                <w:sz w:val="20"/>
                <w:szCs w:val="20"/>
                <w:lang w:val="fr-CA"/>
              </w:rPr>
              <w:tab/>
            </w:r>
            <w:r w:rsidR="00F52EF3">
              <w:rPr>
                <w:sz w:val="20"/>
                <w:szCs w:val="20"/>
                <w:lang w:val="fr-CA"/>
              </w:rPr>
              <w:t>Mercier Leduc, s.e.n.c.r.l.</w:t>
            </w:r>
          </w:p>
          <w:p w:rsidR="003509D0" w:rsidRPr="00F52EF3" w:rsidRDefault="003509D0" w:rsidP="005F1ED8">
            <w:pPr>
              <w:tabs>
                <w:tab w:val="left" w:pos="-1440"/>
                <w:tab w:val="left" w:pos="-720"/>
              </w:tabs>
              <w:rPr>
                <w:sz w:val="20"/>
                <w:szCs w:val="20"/>
                <w:lang w:val="fr-CA"/>
              </w:rPr>
            </w:pPr>
          </w:p>
          <w:p w:rsidR="003509D0" w:rsidRPr="00F52EF3" w:rsidRDefault="003509D0" w:rsidP="005F1ED8">
            <w:pPr>
              <w:tabs>
                <w:tab w:val="left" w:pos="-1440"/>
                <w:tab w:val="left" w:pos="-720"/>
              </w:tabs>
              <w:rPr>
                <w:sz w:val="20"/>
                <w:szCs w:val="20"/>
                <w:lang w:val="fr-CA"/>
              </w:rPr>
            </w:pPr>
            <w:r w:rsidRPr="00F52EF3">
              <w:rPr>
                <w:sz w:val="20"/>
                <w:szCs w:val="20"/>
                <w:lang w:val="fr-CA"/>
              </w:rPr>
              <w:tab/>
            </w:r>
            <w:r w:rsidR="00F52EF3" w:rsidRPr="00F52EF3">
              <w:rPr>
                <w:sz w:val="20"/>
                <w:szCs w:val="20"/>
                <w:lang w:val="fr-CA"/>
              </w:rPr>
              <w:t>c</w:t>
            </w:r>
            <w:r w:rsidRPr="00F52EF3">
              <w:rPr>
                <w:sz w:val="20"/>
                <w:szCs w:val="20"/>
                <w:lang w:val="fr-CA"/>
              </w:rPr>
              <w:t>. (3</w:t>
            </w:r>
            <w:r w:rsidR="00F52EF3" w:rsidRPr="00F52EF3">
              <w:rPr>
                <w:sz w:val="20"/>
                <w:szCs w:val="20"/>
                <w:lang w:val="fr-CA"/>
              </w:rPr>
              <w:t>6308</w:t>
            </w:r>
            <w:r w:rsidRPr="00F52EF3">
              <w:rPr>
                <w:sz w:val="20"/>
                <w:szCs w:val="20"/>
                <w:lang w:val="fr-CA"/>
              </w:rPr>
              <w:t>)</w:t>
            </w:r>
          </w:p>
          <w:p w:rsidR="003509D0" w:rsidRPr="00F52EF3" w:rsidRDefault="003509D0" w:rsidP="005F1ED8">
            <w:pPr>
              <w:tabs>
                <w:tab w:val="left" w:pos="-1440"/>
                <w:tab w:val="left" w:pos="-720"/>
              </w:tabs>
              <w:rPr>
                <w:sz w:val="20"/>
                <w:szCs w:val="20"/>
                <w:lang w:val="fr-CA"/>
              </w:rPr>
            </w:pPr>
          </w:p>
          <w:p w:rsidR="003509D0" w:rsidRPr="00F52EF3" w:rsidRDefault="00F52EF3" w:rsidP="005F1ED8">
            <w:pPr>
              <w:tabs>
                <w:tab w:val="left" w:pos="-1440"/>
                <w:tab w:val="left" w:pos="-720"/>
              </w:tabs>
              <w:rPr>
                <w:b/>
                <w:sz w:val="20"/>
                <w:szCs w:val="20"/>
                <w:lang w:val="fr-CA"/>
              </w:rPr>
            </w:pPr>
            <w:r w:rsidRPr="00F52EF3">
              <w:rPr>
                <w:b/>
                <w:sz w:val="20"/>
                <w:szCs w:val="20"/>
                <w:lang w:val="fr-CA"/>
              </w:rPr>
              <w:t xml:space="preserve">Centre hospitalier </w:t>
            </w:r>
            <w:r w:rsidR="00D77E45">
              <w:rPr>
                <w:b/>
                <w:sz w:val="20"/>
                <w:szCs w:val="20"/>
                <w:lang w:val="fr-CA"/>
              </w:rPr>
              <w:t>u</w:t>
            </w:r>
            <w:r w:rsidRPr="00F52EF3">
              <w:rPr>
                <w:b/>
                <w:sz w:val="20"/>
                <w:szCs w:val="20"/>
                <w:lang w:val="fr-CA"/>
              </w:rPr>
              <w:t xml:space="preserve">niversitaire de Québec et autres </w:t>
            </w:r>
            <w:r w:rsidR="003509D0" w:rsidRPr="00F52EF3">
              <w:rPr>
                <w:b/>
                <w:sz w:val="20"/>
                <w:szCs w:val="20"/>
                <w:lang w:val="fr-CA"/>
              </w:rPr>
              <w:t>(</w:t>
            </w:r>
            <w:r w:rsidRPr="00F52EF3">
              <w:rPr>
                <w:b/>
                <w:sz w:val="20"/>
                <w:szCs w:val="20"/>
                <w:lang w:val="fr-CA"/>
              </w:rPr>
              <w:t>Qc</w:t>
            </w:r>
            <w:r w:rsidR="003509D0" w:rsidRPr="00F52EF3">
              <w:rPr>
                <w:b/>
                <w:sz w:val="20"/>
                <w:szCs w:val="20"/>
                <w:lang w:val="fr-CA"/>
              </w:rPr>
              <w:t>)</w:t>
            </w:r>
          </w:p>
          <w:p w:rsidR="003509D0" w:rsidRPr="00F52EF3" w:rsidRDefault="003509D0" w:rsidP="005F1ED8">
            <w:pPr>
              <w:tabs>
                <w:tab w:val="left" w:pos="-1440"/>
                <w:tab w:val="left" w:pos="-720"/>
              </w:tabs>
              <w:rPr>
                <w:sz w:val="20"/>
                <w:szCs w:val="20"/>
                <w:lang w:val="fr-CA"/>
              </w:rPr>
            </w:pPr>
            <w:r w:rsidRPr="00F52EF3">
              <w:rPr>
                <w:sz w:val="20"/>
                <w:szCs w:val="20"/>
                <w:lang w:val="fr-CA"/>
              </w:rPr>
              <w:tab/>
            </w:r>
            <w:r w:rsidR="00F52EF3" w:rsidRPr="00F52EF3">
              <w:rPr>
                <w:sz w:val="20"/>
                <w:szCs w:val="20"/>
                <w:lang w:val="fr-CA"/>
              </w:rPr>
              <w:t>Dominique-Anne Roy</w:t>
            </w:r>
          </w:p>
          <w:p w:rsidR="003509D0" w:rsidRPr="00F52EF3" w:rsidRDefault="003509D0" w:rsidP="005F1ED8">
            <w:pPr>
              <w:tabs>
                <w:tab w:val="left" w:pos="-1440"/>
                <w:tab w:val="left" w:pos="-720"/>
              </w:tabs>
              <w:rPr>
                <w:sz w:val="20"/>
                <w:szCs w:val="20"/>
                <w:lang w:val="fr-CA"/>
              </w:rPr>
            </w:pPr>
            <w:r w:rsidRPr="00F52EF3">
              <w:rPr>
                <w:sz w:val="20"/>
                <w:szCs w:val="20"/>
                <w:lang w:val="fr-CA"/>
              </w:rPr>
              <w:tab/>
            </w:r>
            <w:r w:rsidR="00F52EF3" w:rsidRPr="00F52EF3">
              <w:rPr>
                <w:sz w:val="20"/>
                <w:szCs w:val="20"/>
                <w:lang w:val="fr-CA"/>
              </w:rPr>
              <w:t>Beauvais, Truchon, s.e.n.c.</w:t>
            </w:r>
          </w:p>
          <w:p w:rsidR="003509D0" w:rsidRPr="00F52EF3" w:rsidRDefault="003509D0" w:rsidP="005F1ED8">
            <w:pPr>
              <w:tabs>
                <w:tab w:val="left" w:pos="-1440"/>
                <w:tab w:val="left" w:pos="-720"/>
              </w:tabs>
              <w:rPr>
                <w:sz w:val="20"/>
                <w:szCs w:val="20"/>
                <w:lang w:val="fr-CA"/>
              </w:rPr>
            </w:pPr>
          </w:p>
          <w:p w:rsidR="003509D0" w:rsidRPr="00A935AA" w:rsidRDefault="00F52EF3" w:rsidP="00F52EF3">
            <w:pPr>
              <w:rPr>
                <w:sz w:val="20"/>
                <w:szCs w:val="20"/>
              </w:rPr>
            </w:pPr>
            <w:r w:rsidRPr="00806A5B">
              <w:rPr>
                <w:sz w:val="20"/>
                <w:szCs w:val="20"/>
                <w:lang w:val="fr-CA"/>
              </w:rPr>
              <w:t>DATE DE PRODUCTION</w:t>
            </w:r>
            <w:r>
              <w:rPr>
                <w:sz w:val="20"/>
                <w:szCs w:val="20"/>
                <w:lang w:val="fr-CA"/>
              </w:rPr>
              <w:t xml:space="preserve"> </w:t>
            </w:r>
            <w:r w:rsidR="003509D0" w:rsidRPr="00A935AA">
              <w:rPr>
                <w:sz w:val="20"/>
                <w:szCs w:val="20"/>
              </w:rPr>
              <w:t xml:space="preserve">: </w:t>
            </w:r>
            <w:r>
              <w:rPr>
                <w:sz w:val="20"/>
                <w:szCs w:val="20"/>
              </w:rPr>
              <w:t>13</w:t>
            </w:r>
            <w:r w:rsidR="003509D0" w:rsidRPr="00A935AA">
              <w:rPr>
                <w:sz w:val="20"/>
                <w:szCs w:val="20"/>
              </w:rPr>
              <w:t>.0</w:t>
            </w:r>
            <w:r w:rsidR="003509D0">
              <w:rPr>
                <w:sz w:val="20"/>
                <w:szCs w:val="20"/>
              </w:rPr>
              <w:t>2</w:t>
            </w:r>
            <w:r w:rsidR="003509D0" w:rsidRPr="00A935AA">
              <w:rPr>
                <w:sz w:val="20"/>
                <w:szCs w:val="20"/>
              </w:rPr>
              <w:t>.201</w:t>
            </w:r>
            <w:r>
              <w:rPr>
                <w:sz w:val="20"/>
                <w:szCs w:val="20"/>
              </w:rPr>
              <w:t>5</w:t>
            </w:r>
            <w:r w:rsidR="003A60BB">
              <w:rPr>
                <w:sz w:val="20"/>
                <w:szCs w:val="20"/>
                <w:lang w:val="fr-CA"/>
              </w:rPr>
              <w:pict>
                <v:rect id="_x0000_i1031" style="width:108pt;height:1pt" o:hrpct="0" o:hralign="center" o:hrstd="t" o:hrnoshade="t" o:hr="t" fillcolor="black [3213]" stroked="f"/>
              </w:pict>
            </w:r>
          </w:p>
        </w:tc>
        <w:tc>
          <w:tcPr>
            <w:tcW w:w="1181" w:type="dxa"/>
            <w:shd w:val="clear" w:color="auto" w:fill="auto"/>
          </w:tcPr>
          <w:p w:rsidR="003509D0" w:rsidRPr="00A935AA" w:rsidRDefault="003509D0" w:rsidP="00242AEE">
            <w:pPr>
              <w:jc w:val="center"/>
              <w:rPr>
                <w:sz w:val="20"/>
                <w:szCs w:val="20"/>
              </w:rPr>
            </w:pPr>
          </w:p>
          <w:p w:rsidR="003509D0" w:rsidRPr="00A935AA" w:rsidRDefault="003509D0" w:rsidP="00242AEE">
            <w:pPr>
              <w:jc w:val="center"/>
              <w:rPr>
                <w:sz w:val="20"/>
                <w:szCs w:val="20"/>
              </w:rPr>
            </w:pPr>
          </w:p>
          <w:p w:rsidR="003509D0" w:rsidRPr="00A935AA" w:rsidRDefault="003509D0" w:rsidP="00242AEE">
            <w:pPr>
              <w:jc w:val="center"/>
              <w:rPr>
                <w:sz w:val="20"/>
                <w:szCs w:val="20"/>
              </w:rPr>
            </w:pPr>
          </w:p>
          <w:p w:rsidR="003509D0" w:rsidRPr="00A935AA" w:rsidRDefault="003509D0" w:rsidP="00242AEE">
            <w:pPr>
              <w:jc w:val="center"/>
              <w:rPr>
                <w:sz w:val="20"/>
                <w:szCs w:val="20"/>
              </w:rPr>
            </w:pPr>
          </w:p>
          <w:p w:rsidR="003509D0" w:rsidRPr="00A935AA" w:rsidRDefault="003509D0" w:rsidP="00242AEE">
            <w:pPr>
              <w:jc w:val="center"/>
              <w:rPr>
                <w:sz w:val="20"/>
                <w:szCs w:val="20"/>
              </w:rPr>
            </w:pPr>
          </w:p>
          <w:p w:rsidR="003509D0" w:rsidRPr="00A935AA" w:rsidRDefault="003509D0" w:rsidP="00242AEE">
            <w:pPr>
              <w:jc w:val="center"/>
              <w:rPr>
                <w:sz w:val="20"/>
                <w:szCs w:val="20"/>
              </w:rPr>
            </w:pPr>
          </w:p>
          <w:p w:rsidR="003509D0" w:rsidRPr="00A935AA" w:rsidRDefault="003509D0" w:rsidP="00242AEE">
            <w:pPr>
              <w:jc w:val="center"/>
              <w:rPr>
                <w:sz w:val="20"/>
                <w:szCs w:val="20"/>
              </w:rPr>
            </w:pPr>
          </w:p>
          <w:p w:rsidR="003509D0" w:rsidRPr="00A935AA" w:rsidRDefault="003509D0" w:rsidP="00242AEE">
            <w:pPr>
              <w:jc w:val="center"/>
              <w:rPr>
                <w:sz w:val="20"/>
                <w:szCs w:val="20"/>
              </w:rPr>
            </w:pPr>
          </w:p>
          <w:p w:rsidR="003509D0" w:rsidRPr="00A935AA" w:rsidRDefault="003509D0" w:rsidP="00242AEE">
            <w:pPr>
              <w:jc w:val="center"/>
              <w:rPr>
                <w:sz w:val="20"/>
                <w:szCs w:val="20"/>
              </w:rPr>
            </w:pPr>
          </w:p>
          <w:p w:rsidR="003509D0" w:rsidRPr="00A935AA" w:rsidRDefault="003509D0" w:rsidP="00242AEE">
            <w:pPr>
              <w:jc w:val="center"/>
              <w:rPr>
                <w:sz w:val="20"/>
                <w:szCs w:val="20"/>
              </w:rPr>
            </w:pPr>
          </w:p>
          <w:p w:rsidR="003509D0" w:rsidRPr="00A935AA" w:rsidRDefault="003509D0" w:rsidP="00242AEE">
            <w:pPr>
              <w:jc w:val="center"/>
              <w:rPr>
                <w:sz w:val="20"/>
                <w:szCs w:val="20"/>
              </w:rPr>
            </w:pPr>
          </w:p>
          <w:p w:rsidR="003509D0" w:rsidRDefault="003509D0" w:rsidP="00242AEE">
            <w:pPr>
              <w:jc w:val="center"/>
              <w:rPr>
                <w:sz w:val="20"/>
                <w:szCs w:val="20"/>
              </w:rPr>
            </w:pPr>
          </w:p>
          <w:p w:rsidR="00F4318D" w:rsidRPr="00A935AA" w:rsidRDefault="00F4318D" w:rsidP="00242AEE">
            <w:pPr>
              <w:jc w:val="center"/>
              <w:rPr>
                <w:sz w:val="20"/>
                <w:szCs w:val="20"/>
              </w:rPr>
            </w:pPr>
          </w:p>
          <w:p w:rsidR="003509D0" w:rsidRPr="00A935AA" w:rsidRDefault="003509D0" w:rsidP="00242AEE">
            <w:pPr>
              <w:jc w:val="center"/>
              <w:rPr>
                <w:sz w:val="20"/>
                <w:szCs w:val="20"/>
              </w:rPr>
            </w:pPr>
          </w:p>
        </w:tc>
        <w:tc>
          <w:tcPr>
            <w:tcW w:w="4320" w:type="dxa"/>
            <w:shd w:val="clear" w:color="auto" w:fill="auto"/>
          </w:tcPr>
          <w:p w:rsidR="00F52EF3" w:rsidRPr="000D6E5D" w:rsidRDefault="00F52EF3" w:rsidP="003509D0">
            <w:pPr>
              <w:keepNext/>
              <w:keepLines/>
              <w:tabs>
                <w:tab w:val="left" w:pos="-1440"/>
                <w:tab w:val="left" w:pos="-720"/>
              </w:tabs>
              <w:rPr>
                <w:b/>
                <w:sz w:val="20"/>
                <w:szCs w:val="20"/>
              </w:rPr>
            </w:pPr>
          </w:p>
          <w:p w:rsidR="003509D0" w:rsidRPr="000D6E5D" w:rsidRDefault="00F52EF3" w:rsidP="003509D0">
            <w:pPr>
              <w:keepNext/>
              <w:keepLines/>
              <w:tabs>
                <w:tab w:val="left" w:pos="-1440"/>
                <w:tab w:val="left" w:pos="-720"/>
              </w:tabs>
              <w:rPr>
                <w:b/>
                <w:sz w:val="20"/>
                <w:szCs w:val="20"/>
              </w:rPr>
            </w:pPr>
            <w:r w:rsidRPr="000D6E5D">
              <w:rPr>
                <w:b/>
                <w:sz w:val="20"/>
                <w:szCs w:val="20"/>
              </w:rPr>
              <w:t>Angel Sue Larkman</w:t>
            </w:r>
          </w:p>
          <w:p w:rsidR="00F52EF3" w:rsidRPr="000D6E5D" w:rsidRDefault="003509D0" w:rsidP="003509D0">
            <w:pPr>
              <w:keepNext/>
              <w:keepLines/>
              <w:tabs>
                <w:tab w:val="left" w:pos="-1440"/>
                <w:tab w:val="left" w:pos="-720"/>
              </w:tabs>
              <w:rPr>
                <w:sz w:val="20"/>
                <w:szCs w:val="20"/>
              </w:rPr>
            </w:pPr>
            <w:r w:rsidRPr="000D6E5D">
              <w:rPr>
                <w:sz w:val="20"/>
                <w:szCs w:val="20"/>
              </w:rPr>
              <w:tab/>
            </w:r>
            <w:r w:rsidR="00F52EF3" w:rsidRPr="000D6E5D">
              <w:rPr>
                <w:sz w:val="20"/>
                <w:szCs w:val="20"/>
              </w:rPr>
              <w:t>Jul</w:t>
            </w:r>
            <w:r w:rsidRPr="000D6E5D">
              <w:rPr>
                <w:sz w:val="20"/>
                <w:szCs w:val="20"/>
              </w:rPr>
              <w:t>ia</w:t>
            </w:r>
            <w:r w:rsidR="00F52EF3" w:rsidRPr="000D6E5D">
              <w:rPr>
                <w:sz w:val="20"/>
                <w:szCs w:val="20"/>
              </w:rPr>
              <w:t>n N. Falcone</w:t>
            </w:r>
            <w:r w:rsidRPr="000D6E5D">
              <w:rPr>
                <w:sz w:val="20"/>
                <w:szCs w:val="20"/>
              </w:rPr>
              <w:t>r</w:t>
            </w:r>
          </w:p>
          <w:p w:rsidR="003509D0" w:rsidRPr="00F52EF3" w:rsidRDefault="003509D0" w:rsidP="003509D0">
            <w:pPr>
              <w:keepNext/>
              <w:keepLines/>
              <w:tabs>
                <w:tab w:val="left" w:pos="-1440"/>
                <w:tab w:val="left" w:pos="-720"/>
              </w:tabs>
              <w:rPr>
                <w:sz w:val="20"/>
                <w:szCs w:val="20"/>
              </w:rPr>
            </w:pPr>
            <w:r w:rsidRPr="000D6E5D">
              <w:rPr>
                <w:sz w:val="20"/>
                <w:szCs w:val="20"/>
              </w:rPr>
              <w:tab/>
            </w:r>
            <w:r w:rsidR="00F52EF3" w:rsidRPr="00F52EF3">
              <w:rPr>
                <w:sz w:val="20"/>
                <w:szCs w:val="20"/>
              </w:rPr>
              <w:t>F</w:t>
            </w:r>
            <w:r w:rsidRPr="00F52EF3">
              <w:rPr>
                <w:sz w:val="20"/>
                <w:szCs w:val="20"/>
              </w:rPr>
              <w:t>a</w:t>
            </w:r>
            <w:r w:rsidR="00F52EF3" w:rsidRPr="00F52EF3">
              <w:rPr>
                <w:sz w:val="20"/>
                <w:szCs w:val="20"/>
              </w:rPr>
              <w:t>lc</w:t>
            </w:r>
            <w:r w:rsidRPr="00F52EF3">
              <w:rPr>
                <w:sz w:val="20"/>
                <w:szCs w:val="20"/>
              </w:rPr>
              <w:t>o</w:t>
            </w:r>
            <w:r w:rsidR="00F52EF3" w:rsidRPr="00F52EF3">
              <w:rPr>
                <w:sz w:val="20"/>
                <w:szCs w:val="20"/>
              </w:rPr>
              <w:t>n</w:t>
            </w:r>
            <w:r w:rsidRPr="00F52EF3">
              <w:rPr>
                <w:sz w:val="20"/>
                <w:szCs w:val="20"/>
              </w:rPr>
              <w:t>e</w:t>
            </w:r>
            <w:r w:rsidR="00F52EF3" w:rsidRPr="00F52EF3">
              <w:rPr>
                <w:sz w:val="20"/>
                <w:szCs w:val="20"/>
              </w:rPr>
              <w:t>r</w:t>
            </w:r>
            <w:r w:rsidRPr="00F52EF3">
              <w:rPr>
                <w:sz w:val="20"/>
                <w:szCs w:val="20"/>
              </w:rPr>
              <w:t>s</w:t>
            </w:r>
            <w:r w:rsidR="00F52EF3" w:rsidRPr="00F52EF3">
              <w:rPr>
                <w:sz w:val="20"/>
                <w:szCs w:val="20"/>
              </w:rPr>
              <w:t xml:space="preserve"> LLP</w:t>
            </w:r>
          </w:p>
          <w:p w:rsidR="003509D0" w:rsidRPr="00F52EF3" w:rsidRDefault="003509D0" w:rsidP="003509D0">
            <w:pPr>
              <w:keepNext/>
              <w:keepLines/>
              <w:tabs>
                <w:tab w:val="left" w:pos="-1440"/>
                <w:tab w:val="left" w:pos="-720"/>
              </w:tabs>
              <w:rPr>
                <w:sz w:val="20"/>
                <w:szCs w:val="20"/>
              </w:rPr>
            </w:pPr>
          </w:p>
          <w:p w:rsidR="003509D0" w:rsidRPr="00F52EF3" w:rsidRDefault="003509D0" w:rsidP="003509D0">
            <w:pPr>
              <w:keepNext/>
              <w:keepLines/>
              <w:tabs>
                <w:tab w:val="left" w:pos="-1440"/>
                <w:tab w:val="left" w:pos="-720"/>
              </w:tabs>
              <w:rPr>
                <w:sz w:val="20"/>
                <w:szCs w:val="20"/>
              </w:rPr>
            </w:pPr>
            <w:r w:rsidRPr="00F52EF3">
              <w:rPr>
                <w:sz w:val="20"/>
                <w:szCs w:val="20"/>
              </w:rPr>
              <w:tab/>
            </w:r>
            <w:r w:rsidR="00F52EF3" w:rsidRPr="00F52EF3">
              <w:rPr>
                <w:sz w:val="20"/>
                <w:szCs w:val="20"/>
              </w:rPr>
              <w:t>v</w:t>
            </w:r>
            <w:r w:rsidRPr="00F52EF3">
              <w:rPr>
                <w:sz w:val="20"/>
                <w:szCs w:val="20"/>
              </w:rPr>
              <w:t>. (36</w:t>
            </w:r>
            <w:r w:rsidR="00F52EF3" w:rsidRPr="00F52EF3">
              <w:rPr>
                <w:sz w:val="20"/>
                <w:szCs w:val="20"/>
              </w:rPr>
              <w:t>30</w:t>
            </w:r>
            <w:r w:rsidRPr="00F52EF3">
              <w:rPr>
                <w:sz w:val="20"/>
                <w:szCs w:val="20"/>
              </w:rPr>
              <w:t>7)</w:t>
            </w:r>
          </w:p>
          <w:p w:rsidR="003509D0" w:rsidRPr="00F52EF3" w:rsidRDefault="003509D0" w:rsidP="003509D0">
            <w:pPr>
              <w:keepNext/>
              <w:keepLines/>
              <w:tabs>
                <w:tab w:val="left" w:pos="-1440"/>
                <w:tab w:val="left" w:pos="-720"/>
              </w:tabs>
              <w:rPr>
                <w:sz w:val="20"/>
                <w:szCs w:val="20"/>
              </w:rPr>
            </w:pPr>
          </w:p>
          <w:p w:rsidR="003509D0" w:rsidRPr="00F52EF3" w:rsidRDefault="00F52EF3" w:rsidP="003509D0">
            <w:pPr>
              <w:keepNext/>
              <w:keepLines/>
              <w:tabs>
                <w:tab w:val="left" w:pos="-1440"/>
                <w:tab w:val="left" w:pos="-720"/>
              </w:tabs>
              <w:rPr>
                <w:b/>
                <w:sz w:val="20"/>
                <w:szCs w:val="20"/>
              </w:rPr>
            </w:pPr>
            <w:r w:rsidRPr="00F52EF3">
              <w:rPr>
                <w:b/>
                <w:sz w:val="20"/>
                <w:szCs w:val="20"/>
              </w:rPr>
              <w:t>Attorney Genera</w:t>
            </w:r>
            <w:r w:rsidR="003509D0" w:rsidRPr="00F52EF3">
              <w:rPr>
                <w:b/>
                <w:sz w:val="20"/>
                <w:szCs w:val="20"/>
              </w:rPr>
              <w:t>l</w:t>
            </w:r>
            <w:r w:rsidRPr="00F52EF3">
              <w:rPr>
                <w:b/>
                <w:sz w:val="20"/>
                <w:szCs w:val="20"/>
              </w:rPr>
              <w:t xml:space="preserve"> of Ca</w:t>
            </w:r>
            <w:r w:rsidR="003509D0" w:rsidRPr="00F52EF3">
              <w:rPr>
                <w:b/>
                <w:sz w:val="20"/>
                <w:szCs w:val="20"/>
              </w:rPr>
              <w:t>n</w:t>
            </w:r>
            <w:r w:rsidRPr="00F52EF3">
              <w:rPr>
                <w:b/>
                <w:sz w:val="20"/>
                <w:szCs w:val="20"/>
              </w:rPr>
              <w:t>ada</w:t>
            </w:r>
            <w:r w:rsidR="003509D0" w:rsidRPr="00F52EF3">
              <w:rPr>
                <w:b/>
                <w:sz w:val="20"/>
                <w:szCs w:val="20"/>
              </w:rPr>
              <w:t xml:space="preserve"> (</w:t>
            </w:r>
            <w:r w:rsidRPr="00F52EF3">
              <w:rPr>
                <w:b/>
                <w:sz w:val="20"/>
                <w:szCs w:val="20"/>
              </w:rPr>
              <w:t>F.C.</w:t>
            </w:r>
            <w:r w:rsidR="003509D0" w:rsidRPr="00F52EF3">
              <w:rPr>
                <w:b/>
                <w:sz w:val="20"/>
                <w:szCs w:val="20"/>
              </w:rPr>
              <w:t>)</w:t>
            </w:r>
          </w:p>
          <w:p w:rsidR="003509D0" w:rsidRPr="00F52EF3" w:rsidRDefault="003509D0" w:rsidP="003509D0">
            <w:pPr>
              <w:keepNext/>
              <w:keepLines/>
              <w:tabs>
                <w:tab w:val="left" w:pos="-1440"/>
                <w:tab w:val="left" w:pos="-720"/>
              </w:tabs>
              <w:rPr>
                <w:sz w:val="20"/>
                <w:szCs w:val="20"/>
              </w:rPr>
            </w:pPr>
            <w:r w:rsidRPr="00F52EF3">
              <w:rPr>
                <w:sz w:val="20"/>
                <w:szCs w:val="20"/>
              </w:rPr>
              <w:tab/>
              <w:t>Mich</w:t>
            </w:r>
            <w:r w:rsidR="00F52EF3" w:rsidRPr="00F52EF3">
              <w:rPr>
                <w:sz w:val="20"/>
                <w:szCs w:val="20"/>
              </w:rPr>
              <w:t>a</w:t>
            </w:r>
            <w:r w:rsidRPr="00F52EF3">
              <w:rPr>
                <w:sz w:val="20"/>
                <w:szCs w:val="20"/>
              </w:rPr>
              <w:t xml:space="preserve">el </w:t>
            </w:r>
            <w:r w:rsidR="00F52EF3" w:rsidRPr="00F52EF3">
              <w:rPr>
                <w:sz w:val="20"/>
                <w:szCs w:val="20"/>
              </w:rPr>
              <w:t>B</w:t>
            </w:r>
            <w:r w:rsidRPr="00F52EF3">
              <w:rPr>
                <w:sz w:val="20"/>
                <w:szCs w:val="20"/>
              </w:rPr>
              <w:t>e</w:t>
            </w:r>
            <w:r w:rsidR="00F52EF3" w:rsidRPr="00F52EF3">
              <w:rPr>
                <w:sz w:val="20"/>
                <w:szCs w:val="20"/>
              </w:rPr>
              <w:t>ggs</w:t>
            </w:r>
          </w:p>
          <w:p w:rsidR="003509D0" w:rsidRPr="00F52EF3" w:rsidRDefault="003509D0" w:rsidP="003509D0">
            <w:pPr>
              <w:keepNext/>
              <w:keepLines/>
              <w:tabs>
                <w:tab w:val="left" w:pos="-1440"/>
                <w:tab w:val="left" w:pos="-720"/>
              </w:tabs>
              <w:rPr>
                <w:sz w:val="20"/>
                <w:szCs w:val="20"/>
              </w:rPr>
            </w:pPr>
            <w:r w:rsidRPr="00F52EF3">
              <w:rPr>
                <w:sz w:val="20"/>
                <w:szCs w:val="20"/>
              </w:rPr>
              <w:tab/>
            </w:r>
            <w:r w:rsidR="00F52EF3" w:rsidRPr="00F52EF3">
              <w:rPr>
                <w:sz w:val="20"/>
                <w:szCs w:val="20"/>
              </w:rPr>
              <w:t>D</w:t>
            </w:r>
            <w:r w:rsidRPr="00F52EF3">
              <w:rPr>
                <w:sz w:val="20"/>
                <w:szCs w:val="20"/>
              </w:rPr>
              <w:t>e</w:t>
            </w:r>
            <w:r w:rsidR="00F52EF3" w:rsidRPr="00F52EF3">
              <w:rPr>
                <w:sz w:val="20"/>
                <w:szCs w:val="20"/>
              </w:rPr>
              <w:t>pa</w:t>
            </w:r>
            <w:r w:rsidRPr="00F52EF3">
              <w:rPr>
                <w:sz w:val="20"/>
                <w:szCs w:val="20"/>
              </w:rPr>
              <w:t>r</w:t>
            </w:r>
            <w:r w:rsidR="00F52EF3" w:rsidRPr="00F52EF3">
              <w:rPr>
                <w:sz w:val="20"/>
                <w:szCs w:val="20"/>
              </w:rPr>
              <w:t>t</w:t>
            </w:r>
            <w:r w:rsidRPr="00F52EF3">
              <w:rPr>
                <w:sz w:val="20"/>
                <w:szCs w:val="20"/>
              </w:rPr>
              <w:t>me</w:t>
            </w:r>
            <w:r w:rsidR="00F52EF3" w:rsidRPr="00F52EF3">
              <w:rPr>
                <w:sz w:val="20"/>
                <w:szCs w:val="20"/>
              </w:rPr>
              <w:t>nt of Ju</w:t>
            </w:r>
            <w:r w:rsidRPr="00F52EF3">
              <w:rPr>
                <w:sz w:val="20"/>
                <w:szCs w:val="20"/>
              </w:rPr>
              <w:t>st</w:t>
            </w:r>
            <w:r w:rsidR="00F52EF3" w:rsidRPr="00F52EF3">
              <w:rPr>
                <w:sz w:val="20"/>
                <w:szCs w:val="20"/>
              </w:rPr>
              <w:t>ice</w:t>
            </w:r>
            <w:r w:rsidRPr="00F52EF3">
              <w:rPr>
                <w:sz w:val="20"/>
                <w:szCs w:val="20"/>
              </w:rPr>
              <w:t xml:space="preserve"> </w:t>
            </w:r>
          </w:p>
          <w:p w:rsidR="00F52EF3" w:rsidRPr="00F52EF3" w:rsidRDefault="00F52EF3" w:rsidP="003509D0">
            <w:pPr>
              <w:keepNext/>
              <w:keepLines/>
              <w:tabs>
                <w:tab w:val="left" w:pos="-1440"/>
                <w:tab w:val="left" w:pos="-720"/>
              </w:tabs>
              <w:rPr>
                <w:sz w:val="20"/>
                <w:szCs w:val="20"/>
              </w:rPr>
            </w:pPr>
          </w:p>
          <w:p w:rsidR="003509D0" w:rsidRPr="00F52EF3" w:rsidRDefault="00F52EF3" w:rsidP="00F52EF3">
            <w:pPr>
              <w:rPr>
                <w:sz w:val="20"/>
                <w:szCs w:val="20"/>
              </w:rPr>
            </w:pPr>
            <w:r>
              <w:rPr>
                <w:sz w:val="20"/>
                <w:szCs w:val="20"/>
              </w:rPr>
              <w:t xml:space="preserve">FILING </w:t>
            </w:r>
            <w:r w:rsidR="003509D0" w:rsidRPr="00F52EF3">
              <w:rPr>
                <w:sz w:val="20"/>
                <w:szCs w:val="20"/>
              </w:rPr>
              <w:t>DATE: 1</w:t>
            </w:r>
            <w:r>
              <w:rPr>
                <w:sz w:val="20"/>
                <w:szCs w:val="20"/>
              </w:rPr>
              <w:t>3</w:t>
            </w:r>
            <w:r w:rsidR="003509D0" w:rsidRPr="00F52EF3">
              <w:rPr>
                <w:sz w:val="20"/>
                <w:szCs w:val="20"/>
              </w:rPr>
              <w:t>.0</w:t>
            </w:r>
            <w:r>
              <w:rPr>
                <w:sz w:val="20"/>
                <w:szCs w:val="20"/>
              </w:rPr>
              <w:t>2</w:t>
            </w:r>
            <w:r w:rsidR="003509D0" w:rsidRPr="00F52EF3">
              <w:rPr>
                <w:sz w:val="20"/>
                <w:szCs w:val="20"/>
              </w:rPr>
              <w:t>.201</w:t>
            </w:r>
            <w:r>
              <w:rPr>
                <w:sz w:val="20"/>
                <w:szCs w:val="20"/>
              </w:rPr>
              <w:t>5</w:t>
            </w:r>
            <w:r w:rsidR="003A60BB">
              <w:rPr>
                <w:sz w:val="20"/>
                <w:szCs w:val="20"/>
                <w:lang w:val="fr-CA"/>
              </w:rPr>
              <w:pict>
                <v:rect id="_x0000_i1032"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F52EF3" w:rsidP="005F1ED8">
            <w:pPr>
              <w:rPr>
                <w:b/>
                <w:sz w:val="20"/>
                <w:szCs w:val="20"/>
              </w:rPr>
            </w:pPr>
            <w:r>
              <w:rPr>
                <w:b/>
                <w:sz w:val="20"/>
                <w:szCs w:val="20"/>
              </w:rPr>
              <w:lastRenderedPageBreak/>
              <w:t>Manulife Financial Corporation</w:t>
            </w:r>
          </w:p>
          <w:p w:rsidR="00C21644" w:rsidRPr="00A935AA" w:rsidRDefault="00C21644" w:rsidP="005F1ED8">
            <w:pPr>
              <w:tabs>
                <w:tab w:val="left" w:pos="-1440"/>
                <w:tab w:val="left" w:pos="-720"/>
              </w:tabs>
              <w:rPr>
                <w:sz w:val="20"/>
                <w:szCs w:val="20"/>
              </w:rPr>
            </w:pPr>
            <w:r w:rsidRPr="00A935AA">
              <w:rPr>
                <w:sz w:val="20"/>
                <w:szCs w:val="20"/>
              </w:rPr>
              <w:tab/>
            </w:r>
            <w:r w:rsidR="00F52EF3">
              <w:rPr>
                <w:sz w:val="20"/>
                <w:szCs w:val="20"/>
              </w:rPr>
              <w:t>James A. Woods</w:t>
            </w:r>
          </w:p>
          <w:p w:rsidR="00C21644" w:rsidRPr="000D6E5D" w:rsidRDefault="00C21644" w:rsidP="005F1ED8">
            <w:pPr>
              <w:tabs>
                <w:tab w:val="left" w:pos="-1440"/>
                <w:tab w:val="left" w:pos="-720"/>
              </w:tabs>
              <w:rPr>
                <w:sz w:val="20"/>
                <w:szCs w:val="20"/>
                <w:lang w:val="fr-CA"/>
              </w:rPr>
            </w:pPr>
            <w:r w:rsidRPr="00A935AA">
              <w:rPr>
                <w:sz w:val="20"/>
                <w:szCs w:val="20"/>
              </w:rPr>
              <w:tab/>
            </w:r>
            <w:r w:rsidR="00F52EF3" w:rsidRPr="000D6E5D">
              <w:rPr>
                <w:sz w:val="20"/>
                <w:szCs w:val="20"/>
                <w:lang w:val="fr-CA"/>
              </w:rPr>
              <w:t>Woods LLP</w:t>
            </w:r>
          </w:p>
          <w:p w:rsidR="00C21644" w:rsidRPr="000D6E5D" w:rsidRDefault="00C21644" w:rsidP="005F1ED8">
            <w:pPr>
              <w:tabs>
                <w:tab w:val="left" w:pos="-1440"/>
                <w:tab w:val="left" w:pos="-720"/>
              </w:tabs>
              <w:rPr>
                <w:sz w:val="20"/>
                <w:szCs w:val="20"/>
                <w:lang w:val="fr-CA"/>
              </w:rPr>
            </w:pPr>
          </w:p>
          <w:p w:rsidR="00C21644" w:rsidRPr="000D6E5D" w:rsidRDefault="00C21644" w:rsidP="005F1ED8">
            <w:pPr>
              <w:tabs>
                <w:tab w:val="left" w:pos="-1440"/>
                <w:tab w:val="left" w:pos="-720"/>
              </w:tabs>
              <w:rPr>
                <w:sz w:val="20"/>
                <w:szCs w:val="20"/>
                <w:lang w:val="fr-CA"/>
              </w:rPr>
            </w:pPr>
            <w:r w:rsidRPr="000D6E5D">
              <w:rPr>
                <w:sz w:val="20"/>
                <w:szCs w:val="20"/>
                <w:lang w:val="fr-CA"/>
              </w:rPr>
              <w:tab/>
              <w:t>v. (3</w:t>
            </w:r>
            <w:r w:rsidR="00F52EF3" w:rsidRPr="000D6E5D">
              <w:rPr>
                <w:sz w:val="20"/>
                <w:szCs w:val="20"/>
                <w:lang w:val="fr-CA"/>
              </w:rPr>
              <w:t>6309</w:t>
            </w:r>
            <w:r w:rsidRPr="000D6E5D">
              <w:rPr>
                <w:sz w:val="20"/>
                <w:szCs w:val="20"/>
                <w:lang w:val="fr-CA"/>
              </w:rPr>
              <w:t>)</w:t>
            </w:r>
          </w:p>
          <w:p w:rsidR="00C21644" w:rsidRPr="000D6E5D" w:rsidRDefault="00C21644" w:rsidP="005F1ED8">
            <w:pPr>
              <w:tabs>
                <w:tab w:val="left" w:pos="-1440"/>
                <w:tab w:val="left" w:pos="-720"/>
              </w:tabs>
              <w:rPr>
                <w:sz w:val="20"/>
                <w:szCs w:val="20"/>
                <w:lang w:val="fr-CA"/>
              </w:rPr>
            </w:pPr>
          </w:p>
          <w:p w:rsidR="00C21644" w:rsidRPr="00F52EF3" w:rsidRDefault="00F52EF3" w:rsidP="005F1ED8">
            <w:pPr>
              <w:tabs>
                <w:tab w:val="left" w:pos="-1440"/>
                <w:tab w:val="left" w:pos="-720"/>
              </w:tabs>
              <w:rPr>
                <w:b/>
                <w:sz w:val="20"/>
                <w:szCs w:val="20"/>
                <w:lang w:val="fr-CA"/>
              </w:rPr>
            </w:pPr>
            <w:r w:rsidRPr="00F52EF3">
              <w:rPr>
                <w:b/>
                <w:sz w:val="20"/>
                <w:szCs w:val="20"/>
                <w:lang w:val="fr-CA"/>
              </w:rPr>
              <w:t>Dominic D’</w:t>
            </w:r>
            <w:r>
              <w:rPr>
                <w:b/>
                <w:sz w:val="20"/>
                <w:szCs w:val="20"/>
                <w:lang w:val="fr-CA"/>
              </w:rPr>
              <w:t>A</w:t>
            </w:r>
            <w:r w:rsidRPr="00F52EF3">
              <w:rPr>
                <w:b/>
                <w:sz w:val="20"/>
                <w:szCs w:val="20"/>
                <w:lang w:val="fr-CA"/>
              </w:rPr>
              <w:t xml:space="preserve">lessandro et al. </w:t>
            </w:r>
            <w:r w:rsidR="00C21644" w:rsidRPr="00F52EF3">
              <w:rPr>
                <w:b/>
                <w:sz w:val="20"/>
                <w:szCs w:val="20"/>
                <w:lang w:val="fr-CA"/>
              </w:rPr>
              <w:t>(</w:t>
            </w:r>
            <w:r w:rsidR="008D258D">
              <w:rPr>
                <w:b/>
                <w:sz w:val="20"/>
                <w:szCs w:val="20"/>
                <w:lang w:val="fr-CA"/>
              </w:rPr>
              <w:t>Que</w:t>
            </w:r>
            <w:r w:rsidR="00C21644" w:rsidRPr="00F52EF3">
              <w:rPr>
                <w:b/>
                <w:sz w:val="20"/>
                <w:szCs w:val="20"/>
                <w:lang w:val="fr-CA"/>
              </w:rPr>
              <w:t>.)</w:t>
            </w:r>
          </w:p>
          <w:p w:rsidR="00C21644" w:rsidRPr="008D258D" w:rsidRDefault="00C21644" w:rsidP="005F1ED8">
            <w:pPr>
              <w:tabs>
                <w:tab w:val="left" w:pos="-1440"/>
                <w:tab w:val="left" w:pos="-720"/>
              </w:tabs>
              <w:rPr>
                <w:sz w:val="20"/>
                <w:szCs w:val="20"/>
              </w:rPr>
            </w:pPr>
            <w:r w:rsidRPr="00F52EF3">
              <w:rPr>
                <w:sz w:val="20"/>
                <w:szCs w:val="20"/>
                <w:lang w:val="fr-CA"/>
              </w:rPr>
              <w:tab/>
            </w:r>
            <w:r w:rsidR="008D258D" w:rsidRPr="008D258D">
              <w:rPr>
                <w:sz w:val="20"/>
                <w:szCs w:val="20"/>
              </w:rPr>
              <w:t>Jean-Michel Boudreau</w:t>
            </w:r>
          </w:p>
          <w:p w:rsidR="00C21644" w:rsidRPr="008D258D" w:rsidRDefault="00C21644" w:rsidP="005F1ED8">
            <w:pPr>
              <w:tabs>
                <w:tab w:val="left" w:pos="-1440"/>
                <w:tab w:val="left" w:pos="-720"/>
              </w:tabs>
              <w:rPr>
                <w:sz w:val="20"/>
                <w:szCs w:val="20"/>
              </w:rPr>
            </w:pPr>
            <w:r w:rsidRPr="008D258D">
              <w:rPr>
                <w:sz w:val="20"/>
                <w:szCs w:val="20"/>
              </w:rPr>
              <w:tab/>
            </w:r>
            <w:r w:rsidR="008D258D" w:rsidRPr="008D258D">
              <w:rPr>
                <w:sz w:val="20"/>
                <w:szCs w:val="20"/>
              </w:rPr>
              <w:t>Irving Mitchell Kalichman LLP</w:t>
            </w:r>
          </w:p>
          <w:p w:rsidR="00C21644" w:rsidRPr="008D258D" w:rsidRDefault="00C21644" w:rsidP="005F1ED8">
            <w:pPr>
              <w:tabs>
                <w:tab w:val="left" w:pos="-1440"/>
                <w:tab w:val="left" w:pos="-720"/>
              </w:tabs>
              <w:rPr>
                <w:sz w:val="20"/>
                <w:szCs w:val="20"/>
              </w:rPr>
            </w:pPr>
          </w:p>
          <w:p w:rsidR="00C21644" w:rsidRPr="00F52EF3" w:rsidRDefault="00C21644" w:rsidP="008D258D">
            <w:pPr>
              <w:rPr>
                <w:sz w:val="20"/>
                <w:szCs w:val="20"/>
                <w:lang w:val="fr-CA"/>
              </w:rPr>
            </w:pPr>
            <w:r w:rsidRPr="00F52EF3">
              <w:rPr>
                <w:sz w:val="20"/>
                <w:szCs w:val="20"/>
                <w:lang w:val="fr-CA"/>
              </w:rPr>
              <w:t xml:space="preserve">FILING DATE: </w:t>
            </w:r>
            <w:r w:rsidR="008D258D">
              <w:rPr>
                <w:sz w:val="20"/>
                <w:szCs w:val="20"/>
                <w:lang w:val="fr-CA"/>
              </w:rPr>
              <w:t>16</w:t>
            </w:r>
            <w:r w:rsidRPr="00F52EF3">
              <w:rPr>
                <w:sz w:val="20"/>
                <w:szCs w:val="20"/>
                <w:lang w:val="fr-CA"/>
              </w:rPr>
              <w:t>.02.201</w:t>
            </w:r>
            <w:r w:rsidR="008D258D">
              <w:rPr>
                <w:sz w:val="20"/>
                <w:szCs w:val="20"/>
                <w:lang w:val="fr-CA"/>
              </w:rPr>
              <w:t>5</w:t>
            </w:r>
            <w:r w:rsidR="003A60BB">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F52EF3" w:rsidRDefault="00C21644" w:rsidP="00242AEE">
            <w:pPr>
              <w:jc w:val="center"/>
              <w:rPr>
                <w:sz w:val="20"/>
                <w:szCs w:val="20"/>
                <w:lang w:val="fr-CA"/>
              </w:rPr>
            </w:pPr>
          </w:p>
          <w:p w:rsidR="00C21644" w:rsidRPr="00F52EF3" w:rsidRDefault="00C21644" w:rsidP="00242AEE">
            <w:pPr>
              <w:jc w:val="center"/>
              <w:rPr>
                <w:sz w:val="20"/>
                <w:szCs w:val="20"/>
                <w:lang w:val="fr-CA"/>
              </w:rPr>
            </w:pPr>
          </w:p>
          <w:p w:rsidR="00C21644" w:rsidRPr="00F52EF3" w:rsidRDefault="00C21644" w:rsidP="00242AEE">
            <w:pPr>
              <w:jc w:val="center"/>
              <w:rPr>
                <w:sz w:val="20"/>
                <w:szCs w:val="20"/>
                <w:lang w:val="fr-CA"/>
              </w:rPr>
            </w:pPr>
          </w:p>
          <w:p w:rsidR="00C21644" w:rsidRPr="00F52EF3" w:rsidRDefault="00C21644" w:rsidP="00242AEE">
            <w:pPr>
              <w:jc w:val="center"/>
              <w:rPr>
                <w:sz w:val="20"/>
                <w:szCs w:val="20"/>
                <w:lang w:val="fr-CA"/>
              </w:rPr>
            </w:pPr>
          </w:p>
          <w:p w:rsidR="00C21644" w:rsidRPr="00F52EF3" w:rsidRDefault="00C21644" w:rsidP="00242AEE">
            <w:pPr>
              <w:jc w:val="center"/>
              <w:rPr>
                <w:sz w:val="20"/>
                <w:szCs w:val="20"/>
                <w:lang w:val="fr-CA"/>
              </w:rPr>
            </w:pPr>
          </w:p>
          <w:p w:rsidR="00C21644" w:rsidRPr="00F52EF3" w:rsidRDefault="00C21644" w:rsidP="00242AEE">
            <w:pPr>
              <w:jc w:val="center"/>
              <w:rPr>
                <w:sz w:val="20"/>
                <w:szCs w:val="20"/>
                <w:lang w:val="fr-CA"/>
              </w:rPr>
            </w:pPr>
          </w:p>
          <w:p w:rsidR="00C21644" w:rsidRPr="00F52EF3" w:rsidRDefault="00C21644" w:rsidP="00242AEE">
            <w:pPr>
              <w:jc w:val="center"/>
              <w:rPr>
                <w:sz w:val="20"/>
                <w:szCs w:val="20"/>
                <w:lang w:val="fr-CA"/>
              </w:rPr>
            </w:pPr>
          </w:p>
          <w:p w:rsidR="00C21644" w:rsidRPr="00F52EF3" w:rsidRDefault="00C21644" w:rsidP="00242AEE">
            <w:pPr>
              <w:jc w:val="center"/>
              <w:rPr>
                <w:sz w:val="20"/>
                <w:szCs w:val="20"/>
                <w:lang w:val="fr-CA"/>
              </w:rPr>
            </w:pPr>
          </w:p>
          <w:p w:rsidR="00C21644" w:rsidRPr="00F52EF3" w:rsidRDefault="00C21644" w:rsidP="00242AEE">
            <w:pPr>
              <w:jc w:val="center"/>
              <w:rPr>
                <w:sz w:val="20"/>
                <w:szCs w:val="20"/>
                <w:lang w:val="fr-CA"/>
              </w:rPr>
            </w:pPr>
          </w:p>
          <w:p w:rsidR="00C21644" w:rsidRPr="00F52EF3" w:rsidRDefault="00C21644" w:rsidP="00242AEE">
            <w:pPr>
              <w:jc w:val="center"/>
              <w:rPr>
                <w:sz w:val="20"/>
                <w:szCs w:val="20"/>
                <w:lang w:val="fr-CA"/>
              </w:rPr>
            </w:pPr>
          </w:p>
          <w:p w:rsidR="00C21644" w:rsidRPr="00F52EF3" w:rsidRDefault="00C21644" w:rsidP="00242AEE">
            <w:pPr>
              <w:jc w:val="center"/>
              <w:rPr>
                <w:sz w:val="20"/>
                <w:szCs w:val="20"/>
                <w:lang w:val="fr-CA"/>
              </w:rPr>
            </w:pPr>
          </w:p>
          <w:p w:rsidR="00C21644" w:rsidRPr="00F52EF3" w:rsidRDefault="00C21644" w:rsidP="00242AEE">
            <w:pPr>
              <w:jc w:val="center"/>
              <w:rPr>
                <w:sz w:val="20"/>
                <w:szCs w:val="20"/>
                <w:lang w:val="fr-CA"/>
              </w:rPr>
            </w:pPr>
          </w:p>
          <w:p w:rsidR="00C21644" w:rsidRPr="00F52EF3" w:rsidRDefault="00C21644" w:rsidP="00242AEE">
            <w:pPr>
              <w:jc w:val="center"/>
              <w:rPr>
                <w:sz w:val="20"/>
                <w:szCs w:val="20"/>
                <w:lang w:val="fr-CA"/>
              </w:rPr>
            </w:pPr>
          </w:p>
        </w:tc>
        <w:tc>
          <w:tcPr>
            <w:tcW w:w="4320" w:type="dxa"/>
            <w:shd w:val="clear" w:color="auto" w:fill="auto"/>
          </w:tcPr>
          <w:p w:rsidR="00C21644" w:rsidRPr="00F52EF3" w:rsidRDefault="008D258D" w:rsidP="005F1ED8">
            <w:pPr>
              <w:rPr>
                <w:b/>
                <w:sz w:val="20"/>
                <w:szCs w:val="20"/>
                <w:lang w:val="fr-CA"/>
              </w:rPr>
            </w:pPr>
            <w:r>
              <w:rPr>
                <w:b/>
                <w:sz w:val="20"/>
                <w:szCs w:val="20"/>
                <w:lang w:val="fr-CA"/>
              </w:rPr>
              <w:t>X</w:t>
            </w:r>
          </w:p>
          <w:p w:rsidR="00C21644" w:rsidRPr="00F52EF3" w:rsidRDefault="00C21644" w:rsidP="005F1ED8">
            <w:pPr>
              <w:tabs>
                <w:tab w:val="left" w:pos="-1440"/>
                <w:tab w:val="left" w:pos="-720"/>
              </w:tabs>
              <w:rPr>
                <w:sz w:val="20"/>
                <w:szCs w:val="20"/>
                <w:lang w:val="fr-CA"/>
              </w:rPr>
            </w:pPr>
            <w:r w:rsidRPr="00F52EF3">
              <w:rPr>
                <w:sz w:val="20"/>
                <w:szCs w:val="20"/>
                <w:lang w:val="fr-CA"/>
              </w:rPr>
              <w:tab/>
            </w:r>
            <w:r w:rsidR="008D258D">
              <w:rPr>
                <w:sz w:val="20"/>
                <w:szCs w:val="20"/>
                <w:lang w:val="fr-CA"/>
              </w:rPr>
              <w:t>Sylvain Deslauriers</w:t>
            </w:r>
          </w:p>
          <w:p w:rsidR="00C21644" w:rsidRPr="00F52EF3" w:rsidRDefault="00C21644" w:rsidP="005F1ED8">
            <w:pPr>
              <w:tabs>
                <w:tab w:val="left" w:pos="-1440"/>
                <w:tab w:val="left" w:pos="-720"/>
              </w:tabs>
              <w:rPr>
                <w:sz w:val="20"/>
                <w:szCs w:val="20"/>
                <w:lang w:val="fr-CA"/>
              </w:rPr>
            </w:pPr>
            <w:r w:rsidRPr="00F52EF3">
              <w:rPr>
                <w:sz w:val="20"/>
                <w:szCs w:val="20"/>
                <w:lang w:val="fr-CA"/>
              </w:rPr>
              <w:tab/>
            </w:r>
            <w:r w:rsidR="008D258D">
              <w:rPr>
                <w:sz w:val="20"/>
                <w:szCs w:val="20"/>
                <w:lang w:val="fr-CA"/>
              </w:rPr>
              <w:t>Deslauriers &amp; Cie, Avocats s.a.</w:t>
            </w:r>
          </w:p>
          <w:p w:rsidR="00C21644" w:rsidRPr="00F52EF3" w:rsidRDefault="00C21644" w:rsidP="005F1ED8">
            <w:pPr>
              <w:tabs>
                <w:tab w:val="left" w:pos="-1440"/>
                <w:tab w:val="left" w:pos="-720"/>
              </w:tabs>
              <w:rPr>
                <w:sz w:val="20"/>
                <w:szCs w:val="20"/>
                <w:lang w:val="fr-CA"/>
              </w:rPr>
            </w:pPr>
          </w:p>
          <w:p w:rsidR="00C21644" w:rsidRPr="000D6E5D" w:rsidRDefault="00C21644" w:rsidP="005F1ED8">
            <w:pPr>
              <w:tabs>
                <w:tab w:val="left" w:pos="-1440"/>
                <w:tab w:val="left" w:pos="-720"/>
              </w:tabs>
              <w:rPr>
                <w:sz w:val="20"/>
                <w:szCs w:val="20"/>
                <w:lang w:val="fr-CA"/>
              </w:rPr>
            </w:pPr>
            <w:r w:rsidRPr="00F52EF3">
              <w:rPr>
                <w:sz w:val="20"/>
                <w:szCs w:val="20"/>
                <w:lang w:val="fr-CA"/>
              </w:rPr>
              <w:tab/>
            </w:r>
            <w:r w:rsidR="00D77E45">
              <w:rPr>
                <w:sz w:val="20"/>
                <w:szCs w:val="20"/>
                <w:lang w:val="fr-CA"/>
              </w:rPr>
              <w:t>c</w:t>
            </w:r>
            <w:r w:rsidRPr="000D6E5D">
              <w:rPr>
                <w:sz w:val="20"/>
                <w:szCs w:val="20"/>
                <w:lang w:val="fr-CA"/>
              </w:rPr>
              <w:t>. (3</w:t>
            </w:r>
            <w:r w:rsidR="008D258D" w:rsidRPr="000D6E5D">
              <w:rPr>
                <w:sz w:val="20"/>
                <w:szCs w:val="20"/>
                <w:lang w:val="fr-CA"/>
              </w:rPr>
              <w:t>6310</w:t>
            </w:r>
            <w:r w:rsidRPr="000D6E5D">
              <w:rPr>
                <w:sz w:val="20"/>
                <w:szCs w:val="20"/>
                <w:lang w:val="fr-CA"/>
              </w:rPr>
              <w:t>)</w:t>
            </w:r>
          </w:p>
          <w:p w:rsidR="00C21644" w:rsidRPr="000D6E5D" w:rsidRDefault="00C21644" w:rsidP="005F1ED8">
            <w:pPr>
              <w:tabs>
                <w:tab w:val="left" w:pos="-1440"/>
                <w:tab w:val="left" w:pos="-720"/>
              </w:tabs>
              <w:rPr>
                <w:sz w:val="20"/>
                <w:szCs w:val="20"/>
                <w:lang w:val="fr-CA"/>
              </w:rPr>
            </w:pPr>
          </w:p>
          <w:p w:rsidR="00C21644" w:rsidRPr="008D258D" w:rsidRDefault="008D258D" w:rsidP="005F1ED8">
            <w:pPr>
              <w:tabs>
                <w:tab w:val="left" w:pos="-1440"/>
                <w:tab w:val="left" w:pos="-720"/>
              </w:tabs>
              <w:rPr>
                <w:b/>
                <w:sz w:val="20"/>
                <w:szCs w:val="20"/>
                <w:lang w:val="fr-CA"/>
              </w:rPr>
            </w:pPr>
            <w:r w:rsidRPr="008D258D">
              <w:rPr>
                <w:b/>
                <w:sz w:val="20"/>
                <w:szCs w:val="20"/>
                <w:lang w:val="fr-CA"/>
              </w:rPr>
              <w:t xml:space="preserve">Autorité des marchés financiers </w:t>
            </w:r>
            <w:r w:rsidR="00C21644" w:rsidRPr="008D258D">
              <w:rPr>
                <w:b/>
                <w:sz w:val="20"/>
                <w:szCs w:val="20"/>
                <w:lang w:val="fr-CA"/>
              </w:rPr>
              <w:t>(</w:t>
            </w:r>
            <w:r w:rsidR="00364F8D">
              <w:rPr>
                <w:b/>
                <w:sz w:val="20"/>
                <w:szCs w:val="20"/>
                <w:lang w:val="fr-CA"/>
              </w:rPr>
              <w:t>Qc</w:t>
            </w:r>
            <w:r w:rsidR="00C21644" w:rsidRPr="008D258D">
              <w:rPr>
                <w:b/>
                <w:sz w:val="20"/>
                <w:szCs w:val="20"/>
                <w:lang w:val="fr-CA"/>
              </w:rPr>
              <w:t>)</w:t>
            </w:r>
          </w:p>
          <w:p w:rsidR="008D258D" w:rsidRPr="00F52EF3" w:rsidRDefault="00C21644" w:rsidP="008D258D">
            <w:pPr>
              <w:tabs>
                <w:tab w:val="left" w:pos="-1440"/>
                <w:tab w:val="left" w:pos="-720"/>
              </w:tabs>
              <w:rPr>
                <w:sz w:val="20"/>
                <w:szCs w:val="20"/>
                <w:lang w:val="fr-CA"/>
              </w:rPr>
            </w:pPr>
            <w:r w:rsidRPr="008D258D">
              <w:rPr>
                <w:sz w:val="20"/>
                <w:szCs w:val="20"/>
                <w:lang w:val="fr-CA"/>
              </w:rPr>
              <w:tab/>
            </w:r>
            <w:r w:rsidR="008D258D">
              <w:rPr>
                <w:sz w:val="20"/>
                <w:szCs w:val="20"/>
                <w:lang w:val="fr-CA"/>
              </w:rPr>
              <w:t>Stéphanie Jolin</w:t>
            </w:r>
          </w:p>
          <w:p w:rsidR="008D258D" w:rsidRPr="00F52EF3" w:rsidRDefault="008D258D" w:rsidP="008D258D">
            <w:pPr>
              <w:tabs>
                <w:tab w:val="left" w:pos="-1440"/>
                <w:tab w:val="left" w:pos="-720"/>
              </w:tabs>
              <w:rPr>
                <w:sz w:val="20"/>
                <w:szCs w:val="20"/>
                <w:lang w:val="fr-CA"/>
              </w:rPr>
            </w:pPr>
            <w:r w:rsidRPr="00F52EF3">
              <w:rPr>
                <w:sz w:val="20"/>
                <w:szCs w:val="20"/>
                <w:lang w:val="fr-CA"/>
              </w:rPr>
              <w:tab/>
            </w:r>
            <w:r>
              <w:rPr>
                <w:sz w:val="20"/>
                <w:szCs w:val="20"/>
                <w:lang w:val="fr-CA"/>
              </w:rPr>
              <w:t>Autorité des marchés financiers</w:t>
            </w:r>
          </w:p>
          <w:p w:rsidR="00C21644" w:rsidRPr="008D258D" w:rsidRDefault="00C21644" w:rsidP="005F1ED8">
            <w:pPr>
              <w:tabs>
                <w:tab w:val="left" w:pos="-1440"/>
                <w:tab w:val="left" w:pos="-720"/>
              </w:tabs>
              <w:rPr>
                <w:sz w:val="20"/>
                <w:szCs w:val="20"/>
                <w:lang w:val="fr-CA"/>
              </w:rPr>
            </w:pPr>
          </w:p>
          <w:p w:rsidR="00C21644" w:rsidRPr="00A935AA" w:rsidRDefault="00C21644" w:rsidP="008D258D">
            <w:pPr>
              <w:rPr>
                <w:sz w:val="20"/>
                <w:szCs w:val="20"/>
              </w:rPr>
            </w:pPr>
            <w:r w:rsidRPr="00A935AA">
              <w:rPr>
                <w:sz w:val="20"/>
                <w:szCs w:val="20"/>
              </w:rPr>
              <w:t>DATE</w:t>
            </w:r>
            <w:r w:rsidR="008D258D">
              <w:rPr>
                <w:sz w:val="20"/>
                <w:szCs w:val="20"/>
              </w:rPr>
              <w:t xml:space="preserve"> DE PRODUCTION </w:t>
            </w:r>
            <w:r w:rsidRPr="00A935AA">
              <w:rPr>
                <w:sz w:val="20"/>
                <w:szCs w:val="20"/>
              </w:rPr>
              <w:t xml:space="preserve">: </w:t>
            </w:r>
            <w:r w:rsidR="008D258D">
              <w:rPr>
                <w:sz w:val="20"/>
                <w:szCs w:val="20"/>
              </w:rPr>
              <w:t>17</w:t>
            </w:r>
            <w:r w:rsidRPr="00A935AA">
              <w:rPr>
                <w:sz w:val="20"/>
                <w:szCs w:val="20"/>
              </w:rPr>
              <w:t>.0</w:t>
            </w:r>
            <w:r>
              <w:rPr>
                <w:sz w:val="20"/>
                <w:szCs w:val="20"/>
              </w:rPr>
              <w:t>2</w:t>
            </w:r>
            <w:r w:rsidRPr="00A935AA">
              <w:rPr>
                <w:sz w:val="20"/>
                <w:szCs w:val="20"/>
              </w:rPr>
              <w:t>.201</w:t>
            </w:r>
            <w:r w:rsidR="008D258D">
              <w:rPr>
                <w:sz w:val="20"/>
                <w:szCs w:val="20"/>
              </w:rPr>
              <w:t>5</w:t>
            </w:r>
            <w:r w:rsidR="003A60BB">
              <w:rPr>
                <w:sz w:val="20"/>
                <w:szCs w:val="20"/>
                <w:lang w:val="fr-CA"/>
              </w:rPr>
              <w:pict>
                <v:rect id="_x0000_i1034"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F031E8">
          <w:headerReference w:type="default" r:id="rId17"/>
          <w:footerReference w:type="default" r:id="rId18"/>
          <w:headerReference w:type="first" r:id="rId19"/>
          <w:footerReference w:type="first" r:id="rId20"/>
          <w:pgSz w:w="12240" w:h="15840"/>
          <w:pgMar w:top="720" w:right="965" w:bottom="1080" w:left="1656" w:header="706" w:footer="706" w:gutter="0"/>
          <w:pgNumType w:start="39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B66683"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7C199E" w:rsidP="00CB3520">
      <w:pPr>
        <w:widowControl w:val="0"/>
        <w:rPr>
          <w:b/>
          <w:sz w:val="20"/>
          <w:szCs w:val="20"/>
        </w:rPr>
      </w:pPr>
      <w:r>
        <w:rPr>
          <w:b/>
          <w:sz w:val="20"/>
          <w:szCs w:val="20"/>
        </w:rPr>
        <w:t>M</w:t>
      </w:r>
      <w:r w:rsidR="00CB3520">
        <w:rPr>
          <w:b/>
          <w:sz w:val="20"/>
          <w:szCs w:val="20"/>
        </w:rPr>
        <w:t>AR</w:t>
      </w:r>
      <w:r>
        <w:rPr>
          <w:b/>
          <w:sz w:val="20"/>
          <w:szCs w:val="20"/>
        </w:rPr>
        <w:t>CH</w:t>
      </w:r>
      <w:r w:rsidR="00CB3520">
        <w:rPr>
          <w:b/>
          <w:sz w:val="20"/>
          <w:szCs w:val="20"/>
        </w:rPr>
        <w:t xml:space="preserve"> 2</w:t>
      </w:r>
      <w:r w:rsidR="00CB3520" w:rsidRPr="00C50A5C">
        <w:rPr>
          <w:b/>
          <w:sz w:val="20"/>
          <w:szCs w:val="20"/>
        </w:rPr>
        <w:t>, 201</w:t>
      </w:r>
      <w:r w:rsidR="00020DC3">
        <w:rPr>
          <w:b/>
          <w:sz w:val="20"/>
          <w:szCs w:val="20"/>
        </w:rPr>
        <w:t>5</w:t>
      </w:r>
      <w:r w:rsidR="00CB3520" w:rsidRPr="00C50A5C">
        <w:rPr>
          <w:b/>
          <w:sz w:val="20"/>
          <w:szCs w:val="20"/>
        </w:rPr>
        <w:t xml:space="preserve"> / LE </w:t>
      </w:r>
      <w:r w:rsidR="00CB3520">
        <w:rPr>
          <w:b/>
          <w:sz w:val="20"/>
          <w:szCs w:val="20"/>
        </w:rPr>
        <w:t xml:space="preserve">2 </w:t>
      </w:r>
      <w:r>
        <w:rPr>
          <w:b/>
          <w:sz w:val="20"/>
          <w:szCs w:val="20"/>
        </w:rPr>
        <w:t>M</w:t>
      </w:r>
      <w:r w:rsidR="00CB3520">
        <w:rPr>
          <w:b/>
          <w:sz w:val="20"/>
          <w:szCs w:val="20"/>
        </w:rPr>
        <w:t>AR</w:t>
      </w:r>
      <w:r>
        <w:rPr>
          <w:b/>
          <w:sz w:val="20"/>
          <w:szCs w:val="20"/>
        </w:rPr>
        <w:t>S</w:t>
      </w:r>
      <w:r w:rsidR="00CB3520"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EF23E1" w:rsidP="00CB3520">
      <w:pPr>
        <w:pStyle w:val="ListParagraph"/>
        <w:widowControl w:val="0"/>
        <w:numPr>
          <w:ilvl w:val="0"/>
          <w:numId w:val="1"/>
        </w:numPr>
        <w:ind w:hanging="720"/>
        <w:jc w:val="both"/>
        <w:rPr>
          <w:sz w:val="20"/>
          <w:szCs w:val="20"/>
        </w:rPr>
      </w:pPr>
      <w:r w:rsidRPr="00EF23E1">
        <w:rPr>
          <w:i/>
          <w:sz w:val="20"/>
          <w:szCs w:val="20"/>
        </w:rPr>
        <w:t>Her Majesty the Queen v. Erin Lee MacDonald</w:t>
      </w:r>
      <w:r w:rsidRPr="007C199E">
        <w:rPr>
          <w:sz w:val="20"/>
          <w:szCs w:val="20"/>
        </w:rPr>
        <w:t xml:space="preserve"> (N.S.) (Crim.) (By Leave)</w:t>
      </w:r>
      <w:r w:rsidRPr="00C50A5C">
        <w:rPr>
          <w:sz w:val="20"/>
          <w:szCs w:val="20"/>
        </w:rPr>
        <w:t xml:space="preserve"> </w:t>
      </w:r>
      <w:r w:rsidR="00CB3520" w:rsidRPr="00C50A5C">
        <w:rPr>
          <w:sz w:val="20"/>
          <w:szCs w:val="20"/>
        </w:rPr>
        <w:t>(3</w:t>
      </w:r>
      <w:r w:rsidR="00CB3520">
        <w:rPr>
          <w:sz w:val="20"/>
          <w:szCs w:val="20"/>
        </w:rPr>
        <w:t>62</w:t>
      </w:r>
      <w:r>
        <w:rPr>
          <w:sz w:val="20"/>
          <w:szCs w:val="20"/>
        </w:rPr>
        <w:t>38</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EF23E1" w:rsidP="00CB3520">
      <w:pPr>
        <w:pStyle w:val="ListParagraph"/>
        <w:widowControl w:val="0"/>
        <w:numPr>
          <w:ilvl w:val="0"/>
          <w:numId w:val="1"/>
        </w:numPr>
        <w:ind w:hanging="720"/>
        <w:jc w:val="both"/>
        <w:rPr>
          <w:sz w:val="20"/>
          <w:szCs w:val="20"/>
        </w:rPr>
      </w:pPr>
      <w:r w:rsidRPr="00EF23E1">
        <w:rPr>
          <w:i/>
          <w:sz w:val="20"/>
          <w:szCs w:val="20"/>
        </w:rPr>
        <w:t>Jason Boyachek v. Attorney General of Canada on behalf of the United States of America</w:t>
      </w:r>
      <w:r w:rsidRPr="007C199E">
        <w:rPr>
          <w:sz w:val="20"/>
          <w:szCs w:val="20"/>
        </w:rPr>
        <w:t xml:space="preserve"> (B.C.) (Crim.) (By</w:t>
      </w:r>
      <w:r w:rsidR="00E453A8">
        <w:rPr>
          <w:sz w:val="20"/>
          <w:szCs w:val="20"/>
        </w:rPr>
        <w:t> </w:t>
      </w:r>
      <w:r w:rsidRPr="007C199E">
        <w:rPr>
          <w:sz w:val="20"/>
          <w:szCs w:val="20"/>
        </w:rPr>
        <w:t>Leave)</w:t>
      </w:r>
      <w:r w:rsidRPr="00C612D0">
        <w:rPr>
          <w:sz w:val="20"/>
          <w:szCs w:val="20"/>
        </w:rPr>
        <w:t xml:space="preserve"> </w:t>
      </w:r>
      <w:r w:rsidR="00CB3520" w:rsidRPr="00C612D0">
        <w:rPr>
          <w:sz w:val="20"/>
          <w:szCs w:val="20"/>
        </w:rPr>
        <w:t>(3</w:t>
      </w:r>
      <w:r w:rsidR="00CB3520">
        <w:rPr>
          <w:sz w:val="20"/>
          <w:szCs w:val="20"/>
        </w:rPr>
        <w:t>6</w:t>
      </w:r>
      <w:r>
        <w:rPr>
          <w:sz w:val="20"/>
          <w:szCs w:val="20"/>
        </w:rPr>
        <w:t>17</w:t>
      </w:r>
      <w:r w:rsidR="00CB3520">
        <w:rPr>
          <w:sz w:val="20"/>
          <w:szCs w:val="20"/>
        </w:rPr>
        <w:t>8</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EF23E1" w:rsidP="00CB3520">
      <w:pPr>
        <w:pStyle w:val="ListParagraph"/>
        <w:widowControl w:val="0"/>
        <w:numPr>
          <w:ilvl w:val="0"/>
          <w:numId w:val="1"/>
        </w:numPr>
        <w:ind w:hanging="720"/>
        <w:jc w:val="both"/>
        <w:rPr>
          <w:sz w:val="20"/>
          <w:szCs w:val="20"/>
        </w:rPr>
      </w:pPr>
      <w:r w:rsidRPr="00EF23E1">
        <w:rPr>
          <w:i/>
          <w:sz w:val="20"/>
          <w:szCs w:val="20"/>
        </w:rPr>
        <w:t>Ali Tahmourpour v. Canadian Human Rights Commission et al.</w:t>
      </w:r>
      <w:r w:rsidRPr="007C199E">
        <w:rPr>
          <w:sz w:val="20"/>
          <w:szCs w:val="20"/>
        </w:rPr>
        <w:t xml:space="preserve"> (F.C.) (Civil) (By Leave)</w:t>
      </w:r>
      <w:r w:rsidRPr="00940CAD">
        <w:rPr>
          <w:sz w:val="20"/>
          <w:szCs w:val="20"/>
        </w:rPr>
        <w:t xml:space="preserve"> </w:t>
      </w:r>
      <w:r w:rsidR="00CB3520" w:rsidRPr="00940CAD">
        <w:rPr>
          <w:sz w:val="20"/>
          <w:szCs w:val="20"/>
        </w:rPr>
        <w:t>(3</w:t>
      </w:r>
      <w:r>
        <w:rPr>
          <w:sz w:val="20"/>
          <w:szCs w:val="20"/>
        </w:rPr>
        <w:t>6172</w:t>
      </w:r>
      <w:r w:rsidR="00CB3520" w:rsidRPr="00940CAD">
        <w:rPr>
          <w:sz w:val="20"/>
          <w:szCs w:val="20"/>
        </w:rPr>
        <w:t>)</w:t>
      </w:r>
    </w:p>
    <w:p w:rsidR="00CB3520" w:rsidRPr="00C50A5C" w:rsidRDefault="00CB3520" w:rsidP="00CB3520">
      <w:pPr>
        <w:widowControl w:val="0"/>
        <w:rPr>
          <w:sz w:val="20"/>
          <w:szCs w:val="20"/>
        </w:rPr>
      </w:pPr>
    </w:p>
    <w:p w:rsidR="00CB3520" w:rsidRPr="00C50A5C" w:rsidRDefault="00EF23E1" w:rsidP="00CB3520">
      <w:pPr>
        <w:pStyle w:val="ListParagraph"/>
        <w:widowControl w:val="0"/>
        <w:numPr>
          <w:ilvl w:val="0"/>
          <w:numId w:val="1"/>
        </w:numPr>
        <w:ind w:hanging="720"/>
        <w:jc w:val="both"/>
        <w:rPr>
          <w:sz w:val="20"/>
          <w:szCs w:val="20"/>
        </w:rPr>
      </w:pPr>
      <w:r w:rsidRPr="00EF23E1">
        <w:rPr>
          <w:i/>
          <w:sz w:val="20"/>
          <w:szCs w:val="20"/>
        </w:rPr>
        <w:t>Minister of Justice et al. v. Alberta Union of Provincial Employees et al.</w:t>
      </w:r>
      <w:r w:rsidRPr="007C199E">
        <w:rPr>
          <w:sz w:val="20"/>
          <w:szCs w:val="20"/>
        </w:rPr>
        <w:t xml:space="preserve"> (Alta.) (Civil) (By Leave)</w:t>
      </w:r>
      <w:r w:rsidRPr="00C50A5C">
        <w:rPr>
          <w:sz w:val="20"/>
          <w:szCs w:val="20"/>
        </w:rPr>
        <w:t xml:space="preserve"> </w:t>
      </w:r>
      <w:r w:rsidR="00CB3520" w:rsidRPr="00C50A5C">
        <w:rPr>
          <w:sz w:val="20"/>
          <w:szCs w:val="20"/>
        </w:rPr>
        <w:t>(3</w:t>
      </w:r>
      <w:r w:rsidR="00CB3520">
        <w:rPr>
          <w:sz w:val="20"/>
          <w:szCs w:val="20"/>
        </w:rPr>
        <w:t>6</w:t>
      </w:r>
      <w:r>
        <w:rPr>
          <w:sz w:val="20"/>
          <w:szCs w:val="20"/>
        </w:rPr>
        <w:t>234</w:t>
      </w:r>
      <w:r w:rsidR="00CB3520" w:rsidRPr="00C50A5C">
        <w:rPr>
          <w:sz w:val="20"/>
          <w:szCs w:val="20"/>
        </w:rPr>
        <w:t>)</w:t>
      </w:r>
    </w:p>
    <w:p w:rsidR="00CB3520" w:rsidRDefault="00CB3520" w:rsidP="00CB3520">
      <w:pPr>
        <w:widowControl w:val="0"/>
        <w:jc w:val="both"/>
        <w:rPr>
          <w:sz w:val="20"/>
          <w:szCs w:val="20"/>
        </w:rPr>
      </w:pPr>
    </w:p>
    <w:p w:rsidR="007C199E" w:rsidRDefault="007C199E" w:rsidP="00CB3520">
      <w:pPr>
        <w:widowControl w:val="0"/>
        <w:jc w:val="both"/>
        <w:rPr>
          <w:sz w:val="20"/>
          <w:szCs w:val="20"/>
        </w:rPr>
      </w:pPr>
    </w:p>
    <w:p w:rsidR="007C199E" w:rsidRPr="007C199E" w:rsidRDefault="007C199E" w:rsidP="007C199E">
      <w:pPr>
        <w:widowControl w:val="0"/>
        <w:jc w:val="center"/>
        <w:rPr>
          <w:b/>
          <w:sz w:val="20"/>
          <w:szCs w:val="20"/>
          <w:lang w:val="fr-CA"/>
        </w:rPr>
      </w:pPr>
      <w:r w:rsidRPr="007C199E">
        <w:rPr>
          <w:b/>
          <w:sz w:val="20"/>
          <w:szCs w:val="20"/>
          <w:lang w:val="fr-CA"/>
        </w:rPr>
        <w:t>CORAM: Abella, Karakatsanis and Côté JJ.</w:t>
      </w:r>
    </w:p>
    <w:p w:rsidR="007C199E" w:rsidRPr="00C50A5C" w:rsidRDefault="007C199E" w:rsidP="007C199E">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7C199E" w:rsidRPr="007C199E" w:rsidRDefault="007C199E" w:rsidP="00CB3520">
      <w:pPr>
        <w:widowControl w:val="0"/>
        <w:jc w:val="both"/>
        <w:rPr>
          <w:sz w:val="20"/>
          <w:szCs w:val="20"/>
          <w:lang w:val="fr-CA"/>
        </w:rPr>
      </w:pPr>
    </w:p>
    <w:p w:rsidR="00CB3520" w:rsidRPr="009C5D38" w:rsidRDefault="00EF23E1" w:rsidP="00CB3520">
      <w:pPr>
        <w:pStyle w:val="ListParagraph"/>
        <w:widowControl w:val="0"/>
        <w:numPr>
          <w:ilvl w:val="0"/>
          <w:numId w:val="1"/>
        </w:numPr>
        <w:ind w:hanging="720"/>
        <w:jc w:val="both"/>
        <w:rPr>
          <w:sz w:val="20"/>
          <w:szCs w:val="20"/>
        </w:rPr>
      </w:pPr>
      <w:r w:rsidRPr="00EF23E1">
        <w:rPr>
          <w:i/>
          <w:sz w:val="20"/>
          <w:szCs w:val="20"/>
        </w:rPr>
        <w:t>Shawn Curtis Keepness v. Her Majesty the Queen</w:t>
      </w:r>
      <w:r w:rsidRPr="007C199E">
        <w:rPr>
          <w:sz w:val="20"/>
          <w:szCs w:val="20"/>
        </w:rPr>
        <w:t xml:space="preserve"> (Sask.) (Crim.) (By Leave)</w:t>
      </w:r>
      <w:r w:rsidRPr="009C5D38">
        <w:rPr>
          <w:sz w:val="20"/>
          <w:szCs w:val="20"/>
        </w:rPr>
        <w:t xml:space="preserve"> </w:t>
      </w:r>
      <w:r w:rsidR="00CB3520" w:rsidRPr="009C5D38">
        <w:rPr>
          <w:sz w:val="20"/>
          <w:szCs w:val="20"/>
        </w:rPr>
        <w:t>(361</w:t>
      </w:r>
      <w:r>
        <w:rPr>
          <w:sz w:val="20"/>
          <w:szCs w:val="20"/>
        </w:rPr>
        <w:t>92</w:t>
      </w:r>
      <w:r w:rsidR="00CB3520" w:rsidRPr="009C5D38">
        <w:rPr>
          <w:sz w:val="20"/>
          <w:szCs w:val="20"/>
        </w:rPr>
        <w:t>)</w:t>
      </w:r>
    </w:p>
    <w:p w:rsidR="00CB3520" w:rsidRPr="00C16CB3" w:rsidRDefault="00CB3520" w:rsidP="00CB3520">
      <w:pPr>
        <w:widowControl w:val="0"/>
        <w:jc w:val="both"/>
        <w:rPr>
          <w:sz w:val="20"/>
          <w:szCs w:val="20"/>
          <w:lang w:val="fr-CA"/>
        </w:rPr>
      </w:pPr>
    </w:p>
    <w:p w:rsidR="00CB3520" w:rsidRPr="00EF23E1" w:rsidRDefault="00EF23E1" w:rsidP="00CB3520">
      <w:pPr>
        <w:pStyle w:val="ListParagraph"/>
        <w:widowControl w:val="0"/>
        <w:numPr>
          <w:ilvl w:val="0"/>
          <w:numId w:val="1"/>
        </w:numPr>
        <w:ind w:hanging="720"/>
        <w:jc w:val="both"/>
        <w:rPr>
          <w:sz w:val="20"/>
          <w:szCs w:val="20"/>
        </w:rPr>
      </w:pPr>
      <w:r w:rsidRPr="00EF23E1">
        <w:rPr>
          <w:i/>
          <w:sz w:val="20"/>
          <w:szCs w:val="20"/>
        </w:rPr>
        <w:t>Strand Theatre Ltd. v. City of Prince Albert</w:t>
      </w:r>
      <w:r w:rsidRPr="007C199E">
        <w:rPr>
          <w:sz w:val="20"/>
          <w:szCs w:val="20"/>
        </w:rPr>
        <w:t xml:space="preserve"> (Sask.) (Civil) (By Leave)</w:t>
      </w:r>
      <w:r w:rsidRPr="00EF23E1">
        <w:rPr>
          <w:sz w:val="20"/>
          <w:szCs w:val="20"/>
        </w:rPr>
        <w:t xml:space="preserve"> </w:t>
      </w:r>
      <w:r w:rsidR="00CB3520" w:rsidRPr="00EF23E1">
        <w:rPr>
          <w:sz w:val="20"/>
          <w:szCs w:val="20"/>
        </w:rPr>
        <w:t>(36</w:t>
      </w:r>
      <w:r w:rsidRPr="00EF23E1">
        <w:rPr>
          <w:sz w:val="20"/>
          <w:szCs w:val="20"/>
        </w:rPr>
        <w:t>1</w:t>
      </w:r>
      <w:r w:rsidR="00CB3520" w:rsidRPr="00EF23E1">
        <w:rPr>
          <w:sz w:val="20"/>
          <w:szCs w:val="20"/>
        </w:rPr>
        <w:t>3</w:t>
      </w:r>
      <w:r w:rsidRPr="00EF23E1">
        <w:rPr>
          <w:sz w:val="20"/>
          <w:szCs w:val="20"/>
        </w:rPr>
        <w:t>2</w:t>
      </w:r>
      <w:r w:rsidR="00CB3520" w:rsidRPr="00EF23E1">
        <w:rPr>
          <w:sz w:val="20"/>
          <w:szCs w:val="20"/>
        </w:rPr>
        <w:t>)</w:t>
      </w:r>
    </w:p>
    <w:p w:rsidR="00CB3520" w:rsidRPr="00EF23E1" w:rsidRDefault="00CB3520" w:rsidP="00CB3520">
      <w:pPr>
        <w:widowControl w:val="0"/>
        <w:jc w:val="both"/>
        <w:rPr>
          <w:sz w:val="20"/>
          <w:szCs w:val="20"/>
        </w:rPr>
      </w:pPr>
    </w:p>
    <w:p w:rsidR="00CB3520" w:rsidRPr="009C5D38" w:rsidRDefault="00EF23E1" w:rsidP="00CB3520">
      <w:pPr>
        <w:pStyle w:val="ListParagraph"/>
        <w:widowControl w:val="0"/>
        <w:numPr>
          <w:ilvl w:val="0"/>
          <w:numId w:val="1"/>
        </w:numPr>
        <w:ind w:hanging="720"/>
        <w:jc w:val="both"/>
        <w:rPr>
          <w:sz w:val="20"/>
          <w:szCs w:val="20"/>
        </w:rPr>
      </w:pPr>
      <w:r w:rsidRPr="00EF23E1">
        <w:rPr>
          <w:i/>
          <w:sz w:val="20"/>
          <w:szCs w:val="20"/>
        </w:rPr>
        <w:t>Harold Coombs et al. v. Attorney General of Canada</w:t>
      </w:r>
      <w:r w:rsidRPr="007C199E">
        <w:rPr>
          <w:sz w:val="20"/>
          <w:szCs w:val="20"/>
        </w:rPr>
        <w:t xml:space="preserve"> (F.C.) (Civil) (By Leave)</w:t>
      </w:r>
      <w:r w:rsidRPr="009C5D38">
        <w:rPr>
          <w:sz w:val="20"/>
          <w:szCs w:val="20"/>
        </w:rPr>
        <w:t xml:space="preserve"> </w:t>
      </w:r>
      <w:r w:rsidR="00CB3520" w:rsidRPr="009C5D38">
        <w:rPr>
          <w:sz w:val="20"/>
          <w:szCs w:val="20"/>
        </w:rPr>
        <w:t>(36</w:t>
      </w:r>
      <w:r>
        <w:rPr>
          <w:sz w:val="20"/>
          <w:szCs w:val="20"/>
        </w:rPr>
        <w:t>202</w:t>
      </w:r>
      <w:r w:rsidR="00CB3520" w:rsidRPr="009C5D38">
        <w:rPr>
          <w:sz w:val="20"/>
          <w:szCs w:val="20"/>
        </w:rPr>
        <w:t>)</w:t>
      </w:r>
    </w:p>
    <w:p w:rsidR="00CB3520" w:rsidRPr="009C5D38" w:rsidRDefault="00CB3520" w:rsidP="00CB3520">
      <w:pPr>
        <w:widowControl w:val="0"/>
        <w:jc w:val="both"/>
        <w:rPr>
          <w:sz w:val="20"/>
          <w:szCs w:val="20"/>
        </w:rPr>
      </w:pPr>
    </w:p>
    <w:p w:rsidR="00CB3520" w:rsidRPr="00EF23E1" w:rsidRDefault="00EF23E1" w:rsidP="00CB3520">
      <w:pPr>
        <w:pStyle w:val="ListParagraph"/>
        <w:widowControl w:val="0"/>
        <w:numPr>
          <w:ilvl w:val="0"/>
          <w:numId w:val="1"/>
        </w:numPr>
        <w:ind w:hanging="720"/>
        <w:jc w:val="both"/>
        <w:rPr>
          <w:sz w:val="20"/>
          <w:szCs w:val="20"/>
        </w:rPr>
      </w:pPr>
      <w:r w:rsidRPr="00DD39EE">
        <w:rPr>
          <w:i/>
          <w:sz w:val="20"/>
          <w:szCs w:val="20"/>
        </w:rPr>
        <w:t>Can-Win Leasing</w:t>
      </w:r>
      <w:r w:rsidR="00DD39EE" w:rsidRPr="00DD39EE">
        <w:rPr>
          <w:i/>
          <w:sz w:val="20"/>
          <w:szCs w:val="20"/>
        </w:rPr>
        <w:t xml:space="preserve"> (Toronto) Limited</w:t>
      </w:r>
      <w:r w:rsidRPr="00EF23E1">
        <w:rPr>
          <w:i/>
          <w:sz w:val="20"/>
          <w:szCs w:val="20"/>
        </w:rPr>
        <w:t xml:space="preserve"> v. Rafael Moncayo</w:t>
      </w:r>
      <w:r w:rsidRPr="007C199E">
        <w:rPr>
          <w:sz w:val="20"/>
          <w:szCs w:val="20"/>
        </w:rPr>
        <w:t xml:space="preserve"> (Toronto) Limited (Ont.) (Civil) (By Leave)</w:t>
      </w:r>
      <w:r w:rsidRPr="00EF23E1">
        <w:rPr>
          <w:sz w:val="20"/>
          <w:szCs w:val="20"/>
        </w:rPr>
        <w:t xml:space="preserve"> </w:t>
      </w:r>
      <w:r w:rsidR="00CB3520" w:rsidRPr="00EF23E1">
        <w:rPr>
          <w:sz w:val="20"/>
          <w:szCs w:val="20"/>
        </w:rPr>
        <w:t>(36</w:t>
      </w:r>
      <w:r w:rsidRPr="00EF23E1">
        <w:rPr>
          <w:sz w:val="20"/>
          <w:szCs w:val="20"/>
        </w:rPr>
        <w:t>195</w:t>
      </w:r>
      <w:r w:rsidR="00CB3520" w:rsidRPr="00EF23E1">
        <w:rPr>
          <w:sz w:val="20"/>
          <w:szCs w:val="20"/>
        </w:rPr>
        <w:t>)</w:t>
      </w:r>
    </w:p>
    <w:p w:rsidR="00CB3520" w:rsidRPr="00EF23E1" w:rsidRDefault="00CB3520" w:rsidP="00CB3520">
      <w:pPr>
        <w:widowControl w:val="0"/>
        <w:rPr>
          <w:sz w:val="20"/>
          <w:szCs w:val="20"/>
        </w:rPr>
      </w:pPr>
    </w:p>
    <w:p w:rsidR="007C199E" w:rsidRPr="00EF23E1" w:rsidRDefault="007C199E" w:rsidP="00CB3520">
      <w:pPr>
        <w:widowControl w:val="0"/>
        <w:rPr>
          <w:sz w:val="20"/>
          <w:szCs w:val="20"/>
        </w:rPr>
      </w:pPr>
    </w:p>
    <w:p w:rsidR="007C199E" w:rsidRPr="00C50A5C" w:rsidRDefault="007C199E" w:rsidP="007C199E">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7C199E" w:rsidRPr="00C50A5C" w:rsidRDefault="007C199E" w:rsidP="007C199E">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7C199E" w:rsidRDefault="007C199E" w:rsidP="00CB3520">
      <w:pPr>
        <w:widowControl w:val="0"/>
        <w:rPr>
          <w:sz w:val="20"/>
          <w:szCs w:val="20"/>
          <w:lang w:val="fr-CA"/>
        </w:rPr>
      </w:pPr>
    </w:p>
    <w:p w:rsidR="00CB3520" w:rsidRPr="00EF23E1" w:rsidRDefault="00EF23E1" w:rsidP="00CB3520">
      <w:pPr>
        <w:pStyle w:val="ListParagraph"/>
        <w:widowControl w:val="0"/>
        <w:numPr>
          <w:ilvl w:val="0"/>
          <w:numId w:val="1"/>
        </w:numPr>
        <w:ind w:hanging="720"/>
        <w:jc w:val="both"/>
        <w:rPr>
          <w:sz w:val="20"/>
          <w:szCs w:val="20"/>
        </w:rPr>
      </w:pPr>
      <w:r w:rsidRPr="00EF23E1">
        <w:rPr>
          <w:i/>
          <w:sz w:val="20"/>
          <w:szCs w:val="20"/>
        </w:rPr>
        <w:t>K.R.J. v. Her Majesty the Queen</w:t>
      </w:r>
      <w:r w:rsidRPr="007C199E">
        <w:rPr>
          <w:sz w:val="20"/>
          <w:szCs w:val="20"/>
        </w:rPr>
        <w:t xml:space="preserve"> (B.C.) (Crim.) (By Leave)</w:t>
      </w:r>
      <w:r w:rsidRPr="00EF23E1">
        <w:rPr>
          <w:sz w:val="20"/>
          <w:szCs w:val="20"/>
        </w:rPr>
        <w:t xml:space="preserve"> </w:t>
      </w:r>
      <w:r w:rsidR="00CB3520" w:rsidRPr="00EF23E1">
        <w:rPr>
          <w:sz w:val="20"/>
          <w:szCs w:val="20"/>
        </w:rPr>
        <w:t>(362</w:t>
      </w:r>
      <w:r w:rsidRPr="00EF23E1">
        <w:rPr>
          <w:sz w:val="20"/>
          <w:szCs w:val="20"/>
        </w:rPr>
        <w:t>00</w:t>
      </w:r>
      <w:r w:rsidR="00CB3520" w:rsidRPr="00EF23E1">
        <w:rPr>
          <w:sz w:val="20"/>
          <w:szCs w:val="20"/>
        </w:rPr>
        <w:t>)</w:t>
      </w:r>
    </w:p>
    <w:p w:rsidR="00CB3520" w:rsidRPr="00EF23E1" w:rsidRDefault="00CB3520" w:rsidP="00CB3520">
      <w:pPr>
        <w:widowControl w:val="0"/>
        <w:jc w:val="both"/>
        <w:rPr>
          <w:sz w:val="20"/>
          <w:szCs w:val="20"/>
        </w:rPr>
      </w:pPr>
    </w:p>
    <w:p w:rsidR="00CB3520" w:rsidRPr="00115C9E" w:rsidRDefault="00EF23E1" w:rsidP="00CB3520">
      <w:pPr>
        <w:pStyle w:val="ListParagraph"/>
        <w:widowControl w:val="0"/>
        <w:numPr>
          <w:ilvl w:val="0"/>
          <w:numId w:val="1"/>
        </w:numPr>
        <w:ind w:hanging="720"/>
        <w:jc w:val="both"/>
        <w:rPr>
          <w:sz w:val="20"/>
          <w:szCs w:val="20"/>
        </w:rPr>
      </w:pPr>
      <w:r w:rsidRPr="00EF23E1">
        <w:rPr>
          <w:i/>
          <w:sz w:val="20"/>
          <w:szCs w:val="20"/>
          <w:lang w:val="fr-CA"/>
        </w:rPr>
        <w:t>Peter Kaynes v. BP, PLC</w:t>
      </w:r>
      <w:r w:rsidRPr="00EF23E1">
        <w:rPr>
          <w:sz w:val="20"/>
          <w:szCs w:val="20"/>
          <w:lang w:val="fr-CA"/>
        </w:rPr>
        <w:t xml:space="preserve"> (Ont.) </w:t>
      </w:r>
      <w:r w:rsidRPr="007C199E">
        <w:rPr>
          <w:sz w:val="20"/>
          <w:szCs w:val="20"/>
        </w:rPr>
        <w:t>(Civil) (By Leave)</w:t>
      </w:r>
      <w:r w:rsidRPr="00115C9E">
        <w:rPr>
          <w:sz w:val="20"/>
          <w:szCs w:val="20"/>
        </w:rPr>
        <w:t xml:space="preserve"> </w:t>
      </w:r>
      <w:r w:rsidR="00CB3520" w:rsidRPr="00115C9E">
        <w:rPr>
          <w:sz w:val="20"/>
          <w:szCs w:val="20"/>
        </w:rPr>
        <w:t>(3</w:t>
      </w:r>
      <w:r>
        <w:rPr>
          <w:sz w:val="20"/>
          <w:szCs w:val="20"/>
        </w:rPr>
        <w:t>6</w:t>
      </w:r>
      <w:r w:rsidR="00CB3520">
        <w:rPr>
          <w:sz w:val="20"/>
          <w:szCs w:val="20"/>
        </w:rPr>
        <w:t>1</w:t>
      </w:r>
      <w:r>
        <w:rPr>
          <w:sz w:val="20"/>
          <w:szCs w:val="20"/>
        </w:rPr>
        <w:t>27</w:t>
      </w:r>
      <w:r w:rsidR="00CB3520" w:rsidRPr="00115C9E">
        <w:rPr>
          <w:sz w:val="20"/>
          <w:szCs w:val="20"/>
        </w:rPr>
        <w:t>)</w:t>
      </w:r>
    </w:p>
    <w:p w:rsidR="00CB3520" w:rsidRDefault="00CB3520" w:rsidP="00CB3520">
      <w:pPr>
        <w:widowControl w:val="0"/>
        <w:jc w:val="both"/>
        <w:rPr>
          <w:sz w:val="20"/>
          <w:szCs w:val="20"/>
        </w:rPr>
      </w:pPr>
    </w:p>
    <w:p w:rsidR="00CB3520" w:rsidRPr="00115C9E" w:rsidRDefault="00EF23E1" w:rsidP="00CB3520">
      <w:pPr>
        <w:pStyle w:val="ListParagraph"/>
        <w:widowControl w:val="0"/>
        <w:numPr>
          <w:ilvl w:val="0"/>
          <w:numId w:val="1"/>
        </w:numPr>
        <w:ind w:hanging="720"/>
        <w:jc w:val="both"/>
        <w:rPr>
          <w:sz w:val="20"/>
          <w:szCs w:val="20"/>
        </w:rPr>
      </w:pPr>
      <w:r w:rsidRPr="00EF23E1">
        <w:rPr>
          <w:i/>
          <w:sz w:val="20"/>
          <w:szCs w:val="20"/>
        </w:rPr>
        <w:t>Romandale Farms Limited et al. v. First Elgin Mills Developments Inc.</w:t>
      </w:r>
      <w:r w:rsidRPr="007C199E">
        <w:rPr>
          <w:sz w:val="20"/>
          <w:szCs w:val="20"/>
        </w:rPr>
        <w:t xml:space="preserve"> (Ont.) (Civil) (By Leave)</w:t>
      </w:r>
      <w:r w:rsidRPr="00115C9E">
        <w:rPr>
          <w:sz w:val="20"/>
          <w:szCs w:val="20"/>
        </w:rPr>
        <w:t xml:space="preserve"> </w:t>
      </w:r>
      <w:r w:rsidR="00CB3520" w:rsidRPr="00115C9E">
        <w:rPr>
          <w:sz w:val="20"/>
          <w:szCs w:val="20"/>
        </w:rPr>
        <w:t>(3</w:t>
      </w:r>
      <w:r w:rsidR="00CB3520">
        <w:rPr>
          <w:sz w:val="20"/>
          <w:szCs w:val="20"/>
        </w:rPr>
        <w:t>6</w:t>
      </w:r>
      <w:r>
        <w:rPr>
          <w:sz w:val="20"/>
          <w:szCs w:val="20"/>
        </w:rPr>
        <w:t>11</w:t>
      </w:r>
      <w:r w:rsidR="00CB3520">
        <w:rPr>
          <w:sz w:val="20"/>
          <w:szCs w:val="20"/>
        </w:rPr>
        <w:t>5</w:t>
      </w:r>
      <w:r w:rsidR="00CB3520" w:rsidRPr="00115C9E">
        <w:rPr>
          <w:sz w:val="20"/>
          <w:szCs w:val="20"/>
        </w:rPr>
        <w:t>)</w:t>
      </w:r>
    </w:p>
    <w:p w:rsidR="002E2327" w:rsidRPr="00CB3520" w:rsidRDefault="002E2327" w:rsidP="002E2327">
      <w:pPr>
        <w:widowControl w:val="0"/>
        <w:rPr>
          <w:sz w:val="20"/>
          <w:szCs w:val="20"/>
        </w:rPr>
      </w:pPr>
    </w:p>
    <w:p w:rsidR="002E2327" w:rsidRDefault="003A60BB" w:rsidP="002E2327">
      <w:pPr>
        <w:widowControl w:val="0"/>
        <w:rPr>
          <w:sz w:val="20"/>
          <w:szCs w:val="20"/>
        </w:rPr>
      </w:pPr>
      <w:r>
        <w:rPr>
          <w:sz w:val="20"/>
          <w:szCs w:val="20"/>
        </w:rPr>
        <w:pict>
          <v:rect id="_x0000_i1037" style="width:2in;height:1pt" o:hrpct="0" o:hralign="center" o:hrstd="t" o:hrnoshade="t" o:hr="t" fillcolor="black [3213]" stroked="f"/>
        </w:pict>
      </w:r>
    </w:p>
    <w:p w:rsidR="00D94028" w:rsidRDefault="00D94028" w:rsidP="002E2327">
      <w:pPr>
        <w:widowControl w:val="0"/>
        <w:rPr>
          <w:sz w:val="20"/>
          <w:szCs w:val="20"/>
        </w:rPr>
      </w:pPr>
    </w:p>
    <w:p w:rsidR="007C199E" w:rsidRPr="007C199E" w:rsidRDefault="007C199E" w:rsidP="007C199E">
      <w:pPr>
        <w:widowControl w:val="0"/>
        <w:rPr>
          <w:sz w:val="20"/>
          <w:szCs w:val="20"/>
        </w:rPr>
      </w:pPr>
    </w:p>
    <w:p w:rsidR="00D94028" w:rsidRDefault="00D94028" w:rsidP="007C199E">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B66683"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0D6E5D" w:rsidP="000E2959">
      <w:pPr>
        <w:rPr>
          <w:b/>
          <w:sz w:val="20"/>
          <w:szCs w:val="20"/>
        </w:rPr>
      </w:pPr>
      <w:r>
        <w:rPr>
          <w:b/>
          <w:sz w:val="20"/>
          <w:szCs w:val="20"/>
        </w:rPr>
        <w:t>M</w:t>
      </w:r>
      <w:r w:rsidR="000E2959" w:rsidRPr="00C50A5C">
        <w:rPr>
          <w:b/>
          <w:sz w:val="20"/>
          <w:szCs w:val="20"/>
        </w:rPr>
        <w:t>A</w:t>
      </w:r>
      <w:r w:rsidR="00681F61">
        <w:rPr>
          <w:b/>
          <w:sz w:val="20"/>
          <w:szCs w:val="20"/>
        </w:rPr>
        <w:t>R</w:t>
      </w:r>
      <w:r>
        <w:rPr>
          <w:b/>
          <w:sz w:val="20"/>
          <w:szCs w:val="20"/>
        </w:rPr>
        <w:t>CH</w:t>
      </w:r>
      <w:r w:rsidR="000E2959" w:rsidRPr="00C50A5C">
        <w:rPr>
          <w:b/>
          <w:sz w:val="20"/>
          <w:szCs w:val="20"/>
        </w:rPr>
        <w:t xml:space="preserve"> </w:t>
      </w:r>
      <w:r>
        <w:rPr>
          <w:b/>
          <w:sz w:val="20"/>
          <w:szCs w:val="20"/>
        </w:rPr>
        <w:t>5</w:t>
      </w:r>
      <w:r w:rsidR="000E2959" w:rsidRPr="00C50A5C">
        <w:rPr>
          <w:b/>
          <w:sz w:val="20"/>
          <w:szCs w:val="20"/>
        </w:rPr>
        <w:t>, 201</w:t>
      </w:r>
      <w:r w:rsidR="00681F61">
        <w:rPr>
          <w:b/>
          <w:sz w:val="20"/>
          <w:szCs w:val="20"/>
        </w:rPr>
        <w:t>5</w:t>
      </w:r>
      <w:r w:rsidR="000E2959" w:rsidRPr="00C50A5C">
        <w:rPr>
          <w:b/>
          <w:sz w:val="20"/>
          <w:szCs w:val="20"/>
        </w:rPr>
        <w:t xml:space="preserve"> / LE </w:t>
      </w:r>
      <w:r>
        <w:rPr>
          <w:b/>
          <w:sz w:val="20"/>
          <w:szCs w:val="20"/>
        </w:rPr>
        <w:t>5</w:t>
      </w:r>
      <w:r w:rsidR="000E2959" w:rsidRPr="00C50A5C">
        <w:rPr>
          <w:b/>
          <w:sz w:val="20"/>
          <w:szCs w:val="20"/>
        </w:rPr>
        <w:t xml:space="preserve"> </w:t>
      </w:r>
      <w:r>
        <w:rPr>
          <w:b/>
          <w:sz w:val="20"/>
          <w:szCs w:val="20"/>
        </w:rPr>
        <w:t>M</w:t>
      </w:r>
      <w:r w:rsidR="000E2959" w:rsidRPr="00C50A5C">
        <w:rPr>
          <w:b/>
          <w:sz w:val="20"/>
          <w:szCs w:val="20"/>
        </w:rPr>
        <w:t>A</w:t>
      </w:r>
      <w:r w:rsidR="00681F61">
        <w:rPr>
          <w:b/>
          <w:sz w:val="20"/>
          <w:szCs w:val="20"/>
        </w:rPr>
        <w:t>R</w:t>
      </w:r>
      <w:r>
        <w:rPr>
          <w:b/>
          <w:sz w:val="20"/>
          <w:szCs w:val="20"/>
        </w:rPr>
        <w:t>S</w:t>
      </w:r>
      <w:r w:rsidR="000E2959" w:rsidRPr="00C50A5C">
        <w:rPr>
          <w:b/>
          <w:sz w:val="20"/>
          <w:szCs w:val="20"/>
        </w:rPr>
        <w:t xml:space="preserve"> 201</w:t>
      </w:r>
      <w:r w:rsidR="00681F61">
        <w:rPr>
          <w:b/>
          <w:sz w:val="20"/>
          <w:szCs w:val="20"/>
        </w:rPr>
        <w:t>5</w:t>
      </w:r>
    </w:p>
    <w:p w:rsidR="000E2959" w:rsidRDefault="000E2959"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72F16" w:rsidRPr="00272F16" w:rsidTr="003431AF">
        <w:trPr>
          <w:cantSplit/>
        </w:trPr>
        <w:tc>
          <w:tcPr>
            <w:tcW w:w="1458" w:type="dxa"/>
          </w:tcPr>
          <w:p w:rsidR="00272F16" w:rsidRPr="00272F16" w:rsidRDefault="00272F16" w:rsidP="00272F16">
            <w:pPr>
              <w:rPr>
                <w:sz w:val="20"/>
              </w:rPr>
            </w:pPr>
            <w:r w:rsidRPr="00272F16">
              <w:rPr>
                <w:b/>
                <w:sz w:val="20"/>
                <w:lang w:val="fr-CA"/>
              </w:rPr>
              <w:t>35826</w:t>
            </w:r>
          </w:p>
          <w:p w:rsidR="00272F16" w:rsidRPr="00272F16" w:rsidRDefault="00272F16" w:rsidP="00272F16">
            <w:pPr>
              <w:rPr>
                <w:b/>
                <w:sz w:val="20"/>
                <w:lang w:val="fr-CA"/>
              </w:rPr>
            </w:pPr>
          </w:p>
        </w:tc>
        <w:tc>
          <w:tcPr>
            <w:tcW w:w="8118" w:type="dxa"/>
          </w:tcPr>
          <w:p w:rsidR="00272F16" w:rsidRPr="00272F16" w:rsidRDefault="00272F16" w:rsidP="00272F16">
            <w:pPr>
              <w:jc w:val="both"/>
              <w:rPr>
                <w:sz w:val="20"/>
              </w:rPr>
            </w:pPr>
            <w:r w:rsidRPr="00272F16">
              <w:rPr>
                <w:b/>
                <w:sz w:val="20"/>
                <w:u w:val="single"/>
              </w:rPr>
              <w:t>Jamuar Sharat Vijaya v. Her Majesty the Queen</w:t>
            </w:r>
            <w:r w:rsidRPr="00272F16">
              <w:rPr>
                <w:sz w:val="20"/>
              </w:rPr>
              <w:t xml:space="preserve"> (Ont.) (Criminal) (By Leave)</w:t>
            </w:r>
          </w:p>
          <w:p w:rsidR="00272F16" w:rsidRPr="00272F16" w:rsidRDefault="00272F16" w:rsidP="00272F16">
            <w:pPr>
              <w:jc w:val="both"/>
              <w:rPr>
                <w:sz w:val="20"/>
              </w:rPr>
            </w:pPr>
          </w:p>
        </w:tc>
      </w:tr>
      <w:tr w:rsidR="00272F16" w:rsidRPr="00272F16" w:rsidTr="003431AF">
        <w:trPr>
          <w:cantSplit/>
        </w:trPr>
        <w:tc>
          <w:tcPr>
            <w:tcW w:w="1458" w:type="dxa"/>
          </w:tcPr>
          <w:p w:rsidR="00272F16" w:rsidRPr="00272F16" w:rsidRDefault="00272F16" w:rsidP="00272F16">
            <w:pPr>
              <w:rPr>
                <w:sz w:val="20"/>
              </w:rPr>
            </w:pPr>
            <w:r w:rsidRPr="00272F16">
              <w:rPr>
                <w:sz w:val="20"/>
              </w:rPr>
              <w:t>Coram :</w:t>
            </w:r>
          </w:p>
        </w:tc>
        <w:tc>
          <w:tcPr>
            <w:tcW w:w="8118" w:type="dxa"/>
          </w:tcPr>
          <w:p w:rsidR="00272F16" w:rsidRPr="00272F16" w:rsidRDefault="00272F16" w:rsidP="00272F16">
            <w:pPr>
              <w:rPr>
                <w:sz w:val="20"/>
              </w:rPr>
            </w:pPr>
            <w:r w:rsidRPr="00272F16">
              <w:rPr>
                <w:sz w:val="20"/>
                <w:u w:val="single"/>
              </w:rPr>
              <w:t>Rothstein, Cromwell and Moldaver JJ.</w:t>
            </w:r>
          </w:p>
          <w:p w:rsidR="00272F16" w:rsidRPr="00272F16" w:rsidRDefault="00272F16" w:rsidP="00272F16">
            <w:pPr>
              <w:rPr>
                <w:sz w:val="20"/>
                <w:u w:val="single"/>
              </w:rPr>
            </w:pPr>
          </w:p>
        </w:tc>
      </w:tr>
      <w:tr w:rsidR="00272F16" w:rsidRPr="00B66683" w:rsidTr="003431AF">
        <w:trPr>
          <w:cantSplit/>
        </w:trPr>
        <w:tc>
          <w:tcPr>
            <w:tcW w:w="9576" w:type="dxa"/>
            <w:gridSpan w:val="2"/>
          </w:tcPr>
          <w:p w:rsidR="00272F16" w:rsidRPr="00272F16" w:rsidRDefault="00272F16" w:rsidP="00272F16">
            <w:pPr>
              <w:ind w:firstLine="720"/>
              <w:jc w:val="both"/>
              <w:rPr>
                <w:sz w:val="20"/>
              </w:rPr>
            </w:pPr>
            <w:r w:rsidRPr="00272F16">
              <w:rPr>
                <w:sz w:val="20"/>
              </w:rPr>
              <w:t>The application for leave to appeal from the judgment of the Ontario Superior Court of Justice, Number M331/13, 2014 ONSC 5687, dated September 30, 2014, is dismissed.</w:t>
            </w:r>
          </w:p>
          <w:p w:rsidR="00272F16" w:rsidRPr="00272F16" w:rsidRDefault="00272F16" w:rsidP="00272F16">
            <w:pPr>
              <w:jc w:val="both"/>
              <w:rPr>
                <w:sz w:val="20"/>
              </w:rPr>
            </w:pPr>
          </w:p>
          <w:p w:rsidR="00272F16" w:rsidRPr="00272F16" w:rsidRDefault="00272F16" w:rsidP="00272F16">
            <w:pPr>
              <w:ind w:firstLine="720"/>
              <w:jc w:val="both"/>
              <w:rPr>
                <w:sz w:val="20"/>
                <w:lang w:val="fr-CA"/>
              </w:rPr>
            </w:pPr>
            <w:r w:rsidRPr="00272F16">
              <w:rPr>
                <w:sz w:val="20"/>
                <w:lang w:val="fr-CA"/>
              </w:rPr>
              <w:t>La demande d’autorisation d’appel de l’arrêt de la Cour supérieure de justice de l’Ontario, numéro M331/13, 2014 ONSC 5687, daté du 30 septembre 2014, est rejetée.</w:t>
            </w:r>
          </w:p>
        </w:tc>
      </w:tr>
    </w:tbl>
    <w:p w:rsidR="000D6E5D" w:rsidRPr="00272F16" w:rsidRDefault="000D6E5D" w:rsidP="000E2959">
      <w:pPr>
        <w:rPr>
          <w:sz w:val="20"/>
          <w:szCs w:val="20"/>
          <w:lang w:val="fr-CA"/>
        </w:rPr>
      </w:pPr>
    </w:p>
    <w:p w:rsidR="000D6E5D" w:rsidRPr="001B157C" w:rsidRDefault="000D6E5D" w:rsidP="000D6E5D">
      <w:pPr>
        <w:rPr>
          <w:sz w:val="20"/>
          <w:szCs w:val="20"/>
          <w:u w:val="single"/>
        </w:rPr>
      </w:pPr>
      <w:r w:rsidRPr="001B157C">
        <w:rPr>
          <w:sz w:val="20"/>
          <w:szCs w:val="20"/>
          <w:u w:val="single"/>
        </w:rPr>
        <w:t>CASE SUMMARY</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44212" w:rsidRPr="00C45D88" w:rsidTr="00582919">
        <w:tc>
          <w:tcPr>
            <w:tcW w:w="5000" w:type="pct"/>
            <w:gridSpan w:val="3"/>
          </w:tcPr>
          <w:p w:rsidR="00B44212" w:rsidRPr="00C45D88" w:rsidRDefault="00B44212" w:rsidP="00582919">
            <w:pPr>
              <w:jc w:val="both"/>
              <w:rPr>
                <w:rFonts w:eastAsia="Calibri"/>
                <w:sz w:val="20"/>
              </w:rPr>
            </w:pPr>
            <w:r w:rsidRPr="00C45D88">
              <w:rPr>
                <w:rFonts w:eastAsia="Calibri"/>
                <w:i/>
                <w:sz w:val="20"/>
              </w:rPr>
              <w:t>Charter of Rights and Freedoms</w:t>
            </w:r>
            <w:r w:rsidRPr="00C45D88">
              <w:rPr>
                <w:rFonts w:eastAsia="Calibri"/>
                <w:sz w:val="20"/>
              </w:rPr>
              <w:t xml:space="preserve"> – Search and seizure – Remedy – Whether the applicant can satisfy the threshold to obtain leave to cross-examine on the basis of counsel’s submissions or whether the applicant must adduce some evidence in support of that request – Whether the application judge erred by ruling that in order to adduce such evidence the applicant was denied the usual right to compel witnesses in aid of his motion because the witnesses had provided information to the affiant – Whether the application judge erred in saying that these civilians were “sub-affiants” for whom leave to cross-examine is also required – Whether the application judge erred by requiring that, in order to meet the leave threshold, the applicant was not only required to establish erroneous or misleading information in the ITO (the excision of which would make the  warrant unsupportable) but also that the affiant knew or ought to have known about that erroneous or misleading information – Whether there is conflicting case law and unresolved issues which require guidance from this Court – </w:t>
            </w:r>
            <w:r w:rsidRPr="00C45D88">
              <w:rPr>
                <w:rFonts w:eastAsia="Calibri"/>
                <w:i/>
                <w:sz w:val="20"/>
              </w:rPr>
              <w:t>Canadian Charter of Rights and Freedoms</w:t>
            </w:r>
            <w:r w:rsidRPr="00C45D88">
              <w:rPr>
                <w:rFonts w:eastAsia="Calibri"/>
                <w:sz w:val="20"/>
              </w:rPr>
              <w:t xml:space="preserve"> ss. 8 and 24(1).</w:t>
            </w:r>
          </w:p>
        </w:tc>
      </w:tr>
      <w:tr w:rsidR="00B44212" w:rsidRPr="00C45D88" w:rsidTr="00582919">
        <w:tc>
          <w:tcPr>
            <w:tcW w:w="5000" w:type="pct"/>
            <w:gridSpan w:val="3"/>
          </w:tcPr>
          <w:p w:rsidR="00B44212" w:rsidRPr="00C45D88" w:rsidRDefault="00B44212" w:rsidP="00582919">
            <w:pPr>
              <w:jc w:val="both"/>
              <w:rPr>
                <w:rFonts w:eastAsia="Calibri"/>
                <w:sz w:val="20"/>
              </w:rPr>
            </w:pPr>
          </w:p>
        </w:tc>
      </w:tr>
      <w:tr w:rsidR="00B44212" w:rsidRPr="00C45D88" w:rsidTr="00582919">
        <w:tc>
          <w:tcPr>
            <w:tcW w:w="5000" w:type="pct"/>
            <w:gridSpan w:val="3"/>
          </w:tcPr>
          <w:p w:rsidR="00B44212" w:rsidRPr="00C45D88" w:rsidRDefault="00B44212" w:rsidP="00582919">
            <w:pPr>
              <w:jc w:val="both"/>
              <w:rPr>
                <w:rFonts w:eastAsia="Calibri"/>
                <w:sz w:val="20"/>
              </w:rPr>
            </w:pPr>
            <w:r w:rsidRPr="00C45D88">
              <w:rPr>
                <w:rFonts w:eastAsia="Calibri"/>
                <w:sz w:val="20"/>
              </w:rPr>
              <w:t xml:space="preserve">Following the March 14, 2014 disclosure ruling, a further issue arises in this application brought by the applicant pursuant to s. 24(1) of the </w:t>
            </w:r>
            <w:r w:rsidRPr="00C45D88">
              <w:rPr>
                <w:rFonts w:eastAsia="Calibri"/>
                <w:i/>
                <w:sz w:val="20"/>
              </w:rPr>
              <w:t>Charter</w:t>
            </w:r>
            <w:r w:rsidRPr="00C45D88">
              <w:rPr>
                <w:rFonts w:eastAsia="Calibri"/>
                <w:sz w:val="20"/>
              </w:rPr>
              <w:t xml:space="preserve"> to quash the search warrants.  At issue is whether the applicant can satisfy the threshold to obtain leave to cross-examine on the basis of counsel’s submissions or whether the applicant must adduce some evidence in support of that request.  On September 30, 2014, the application judge held that the applicant must be able to point to material in the record that would establish a foundation upon which the court could be satisfied that granting leave to cross-examine either the affiant or the sub-affiants is warranted.  Counsel’s submissions or assurances that such a foundation exists are not, by themselves, sufficient.</w:t>
            </w:r>
          </w:p>
          <w:p w:rsidR="00B44212" w:rsidRPr="00C45D88" w:rsidRDefault="00B44212" w:rsidP="00582919">
            <w:pPr>
              <w:jc w:val="both"/>
              <w:rPr>
                <w:rFonts w:eastAsia="Calibri"/>
                <w:sz w:val="20"/>
              </w:rPr>
            </w:pPr>
          </w:p>
        </w:tc>
      </w:tr>
      <w:tr w:rsidR="00B44212" w:rsidRPr="00C45D88" w:rsidTr="00582919">
        <w:tc>
          <w:tcPr>
            <w:tcW w:w="2427" w:type="pct"/>
          </w:tcPr>
          <w:p w:rsidR="00B44212" w:rsidRPr="00C45D88" w:rsidRDefault="00B44212" w:rsidP="00582919">
            <w:pPr>
              <w:jc w:val="both"/>
              <w:rPr>
                <w:rFonts w:eastAsia="Calibri"/>
                <w:sz w:val="20"/>
              </w:rPr>
            </w:pPr>
            <w:r w:rsidRPr="00C45D88">
              <w:rPr>
                <w:rFonts w:eastAsia="Calibri"/>
                <w:sz w:val="20"/>
              </w:rPr>
              <w:t>March 14, 2014</w:t>
            </w:r>
          </w:p>
          <w:p w:rsidR="00B44212" w:rsidRPr="00C45D88" w:rsidRDefault="00B44212" w:rsidP="00582919">
            <w:pPr>
              <w:jc w:val="both"/>
              <w:rPr>
                <w:rFonts w:eastAsia="Calibri"/>
                <w:sz w:val="20"/>
              </w:rPr>
            </w:pPr>
            <w:r w:rsidRPr="00C45D88">
              <w:rPr>
                <w:rFonts w:eastAsia="Calibri"/>
                <w:sz w:val="20"/>
              </w:rPr>
              <w:t>Ontario Superior Court of Justice</w:t>
            </w:r>
          </w:p>
          <w:p w:rsidR="00B44212" w:rsidRPr="00C45D88" w:rsidRDefault="00B44212" w:rsidP="00582919">
            <w:pPr>
              <w:jc w:val="both"/>
              <w:rPr>
                <w:rFonts w:eastAsia="Calibri"/>
                <w:sz w:val="20"/>
              </w:rPr>
            </w:pPr>
            <w:r w:rsidRPr="00C45D88">
              <w:rPr>
                <w:rFonts w:eastAsia="Calibri"/>
                <w:sz w:val="20"/>
              </w:rPr>
              <w:t>(Nordheimer J.)</w:t>
            </w:r>
          </w:p>
          <w:p w:rsidR="00B44212" w:rsidRPr="00C45D88" w:rsidRDefault="00B44212" w:rsidP="00582919">
            <w:pPr>
              <w:jc w:val="both"/>
              <w:rPr>
                <w:rFonts w:eastAsia="Calibri"/>
                <w:sz w:val="20"/>
              </w:rPr>
            </w:pPr>
            <w:r w:rsidRPr="00C45D88">
              <w:rPr>
                <w:rFonts w:eastAsia="Calibri"/>
                <w:sz w:val="20"/>
              </w:rPr>
              <w:t>2014 ONSC 1653</w:t>
            </w:r>
          </w:p>
          <w:p w:rsidR="00B44212" w:rsidRPr="00C45D88" w:rsidRDefault="00B44212" w:rsidP="00582919">
            <w:pPr>
              <w:jc w:val="both"/>
              <w:rPr>
                <w:rFonts w:eastAsia="Calibri"/>
                <w:sz w:val="20"/>
              </w:rPr>
            </w:pPr>
          </w:p>
        </w:tc>
        <w:tc>
          <w:tcPr>
            <w:tcW w:w="243" w:type="pct"/>
          </w:tcPr>
          <w:p w:rsidR="00B44212" w:rsidRPr="00C45D88" w:rsidRDefault="00B44212" w:rsidP="00582919">
            <w:pPr>
              <w:jc w:val="both"/>
              <w:rPr>
                <w:rFonts w:eastAsia="Calibri"/>
                <w:sz w:val="20"/>
              </w:rPr>
            </w:pPr>
          </w:p>
        </w:tc>
        <w:tc>
          <w:tcPr>
            <w:tcW w:w="2330" w:type="pct"/>
          </w:tcPr>
          <w:p w:rsidR="00B44212" w:rsidRPr="00C45D88" w:rsidRDefault="00B44212" w:rsidP="00582919">
            <w:pPr>
              <w:jc w:val="both"/>
              <w:rPr>
                <w:rFonts w:eastAsia="Calibri"/>
                <w:sz w:val="20"/>
              </w:rPr>
            </w:pPr>
            <w:r w:rsidRPr="00C45D88">
              <w:rPr>
                <w:rFonts w:eastAsia="Calibri"/>
                <w:sz w:val="20"/>
              </w:rPr>
              <w:t>Ruling:  applicant is entitled to disclosure of material referred to, or summarized, by the affiant in the Information to Obtain the warrant.</w:t>
            </w:r>
          </w:p>
        </w:tc>
      </w:tr>
      <w:tr w:rsidR="00B44212" w:rsidRPr="00C45D88" w:rsidTr="00582919">
        <w:tc>
          <w:tcPr>
            <w:tcW w:w="2427" w:type="pct"/>
          </w:tcPr>
          <w:p w:rsidR="00B44212" w:rsidRPr="00C45D88" w:rsidRDefault="00B44212" w:rsidP="00582919">
            <w:pPr>
              <w:jc w:val="both"/>
              <w:rPr>
                <w:rFonts w:eastAsia="Calibri"/>
                <w:sz w:val="20"/>
              </w:rPr>
            </w:pPr>
            <w:r w:rsidRPr="00C45D88">
              <w:rPr>
                <w:rFonts w:eastAsia="Calibri"/>
                <w:sz w:val="20"/>
              </w:rPr>
              <w:t>April 11, 2014</w:t>
            </w:r>
          </w:p>
          <w:p w:rsidR="00B44212" w:rsidRPr="00C45D88" w:rsidRDefault="00B44212" w:rsidP="00582919">
            <w:pPr>
              <w:jc w:val="both"/>
              <w:rPr>
                <w:rFonts w:eastAsia="Calibri"/>
                <w:sz w:val="20"/>
              </w:rPr>
            </w:pPr>
            <w:r w:rsidRPr="00C45D88">
              <w:rPr>
                <w:rFonts w:eastAsia="Calibri"/>
                <w:sz w:val="20"/>
              </w:rPr>
              <w:t>Supreme Court of Canada</w:t>
            </w:r>
          </w:p>
          <w:p w:rsidR="00B44212" w:rsidRPr="00C45D88" w:rsidRDefault="00B44212" w:rsidP="00582919">
            <w:pPr>
              <w:jc w:val="both"/>
              <w:rPr>
                <w:rFonts w:eastAsia="Calibri"/>
                <w:sz w:val="20"/>
              </w:rPr>
            </w:pPr>
          </w:p>
        </w:tc>
        <w:tc>
          <w:tcPr>
            <w:tcW w:w="243" w:type="pct"/>
          </w:tcPr>
          <w:p w:rsidR="00B44212" w:rsidRPr="00C45D88" w:rsidRDefault="00B44212" w:rsidP="00582919">
            <w:pPr>
              <w:jc w:val="both"/>
              <w:rPr>
                <w:rFonts w:eastAsia="Calibri"/>
                <w:sz w:val="20"/>
              </w:rPr>
            </w:pPr>
          </w:p>
        </w:tc>
        <w:tc>
          <w:tcPr>
            <w:tcW w:w="2330" w:type="pct"/>
          </w:tcPr>
          <w:p w:rsidR="00B44212" w:rsidRPr="00C45D88" w:rsidRDefault="00B44212" w:rsidP="00582919">
            <w:pPr>
              <w:jc w:val="both"/>
              <w:rPr>
                <w:rFonts w:eastAsia="Calibri"/>
                <w:sz w:val="20"/>
              </w:rPr>
            </w:pPr>
            <w:r w:rsidRPr="00C45D88">
              <w:rPr>
                <w:rFonts w:eastAsia="Calibri"/>
                <w:sz w:val="20"/>
              </w:rPr>
              <w:t>Application for leave to appeal filed.</w:t>
            </w:r>
          </w:p>
        </w:tc>
      </w:tr>
      <w:tr w:rsidR="00B44212" w:rsidRPr="00C45D88" w:rsidTr="00582919">
        <w:tc>
          <w:tcPr>
            <w:tcW w:w="2427" w:type="pct"/>
          </w:tcPr>
          <w:p w:rsidR="00B44212" w:rsidRPr="00C45D88" w:rsidRDefault="00B44212" w:rsidP="00582919">
            <w:pPr>
              <w:jc w:val="both"/>
              <w:rPr>
                <w:rFonts w:eastAsia="Calibri"/>
                <w:sz w:val="20"/>
              </w:rPr>
            </w:pPr>
            <w:r w:rsidRPr="00C45D88">
              <w:rPr>
                <w:rFonts w:eastAsia="Calibri"/>
                <w:sz w:val="20"/>
              </w:rPr>
              <w:t>July 3, 2014</w:t>
            </w:r>
          </w:p>
          <w:p w:rsidR="00B44212" w:rsidRPr="00C45D88" w:rsidRDefault="00B44212" w:rsidP="00582919">
            <w:pPr>
              <w:jc w:val="both"/>
              <w:rPr>
                <w:rFonts w:eastAsia="Calibri"/>
                <w:sz w:val="20"/>
              </w:rPr>
            </w:pPr>
            <w:r w:rsidRPr="00C45D88">
              <w:rPr>
                <w:rFonts w:eastAsia="Calibri"/>
                <w:sz w:val="20"/>
              </w:rPr>
              <w:t>Supreme Court of Canada</w:t>
            </w:r>
          </w:p>
          <w:p w:rsidR="00B44212" w:rsidRPr="00C45D88" w:rsidRDefault="00B44212" w:rsidP="00582919">
            <w:pPr>
              <w:jc w:val="both"/>
              <w:rPr>
                <w:rFonts w:eastAsia="Calibri"/>
                <w:sz w:val="20"/>
              </w:rPr>
            </w:pPr>
            <w:r w:rsidRPr="00C45D88">
              <w:rPr>
                <w:rFonts w:eastAsia="Calibri"/>
                <w:sz w:val="20"/>
              </w:rPr>
              <w:t>(Abella, Rothstein, Moldaver JJ.A.)</w:t>
            </w:r>
          </w:p>
          <w:p w:rsidR="00B44212" w:rsidRPr="00C45D88" w:rsidRDefault="00B44212" w:rsidP="00582919">
            <w:pPr>
              <w:jc w:val="both"/>
              <w:rPr>
                <w:rFonts w:eastAsia="Calibri"/>
                <w:sz w:val="20"/>
              </w:rPr>
            </w:pPr>
          </w:p>
        </w:tc>
        <w:tc>
          <w:tcPr>
            <w:tcW w:w="243" w:type="pct"/>
          </w:tcPr>
          <w:p w:rsidR="00B44212" w:rsidRPr="00C45D88" w:rsidRDefault="00B44212" w:rsidP="00582919">
            <w:pPr>
              <w:jc w:val="both"/>
              <w:rPr>
                <w:rFonts w:eastAsia="Calibri"/>
                <w:sz w:val="20"/>
              </w:rPr>
            </w:pPr>
          </w:p>
        </w:tc>
        <w:tc>
          <w:tcPr>
            <w:tcW w:w="2330" w:type="pct"/>
          </w:tcPr>
          <w:p w:rsidR="00B44212" w:rsidRPr="00C45D88" w:rsidRDefault="00B44212" w:rsidP="00582919">
            <w:pPr>
              <w:jc w:val="both"/>
              <w:rPr>
                <w:rFonts w:eastAsia="Calibri"/>
                <w:sz w:val="20"/>
              </w:rPr>
            </w:pPr>
            <w:r w:rsidRPr="00C45D88">
              <w:rPr>
                <w:rFonts w:eastAsia="Calibri"/>
                <w:sz w:val="20"/>
              </w:rPr>
              <w:t>Leave to appeal dismissed.</w:t>
            </w:r>
          </w:p>
        </w:tc>
      </w:tr>
      <w:tr w:rsidR="00B44212" w:rsidRPr="00C45D88" w:rsidTr="00272F16">
        <w:trPr>
          <w:cantSplit/>
        </w:trPr>
        <w:tc>
          <w:tcPr>
            <w:tcW w:w="2427" w:type="pct"/>
          </w:tcPr>
          <w:p w:rsidR="00B44212" w:rsidRPr="00C45D88" w:rsidRDefault="00B44212" w:rsidP="00582919">
            <w:pPr>
              <w:jc w:val="both"/>
              <w:rPr>
                <w:rFonts w:eastAsia="Calibri"/>
                <w:sz w:val="20"/>
              </w:rPr>
            </w:pPr>
            <w:r w:rsidRPr="00C45D88">
              <w:rPr>
                <w:rFonts w:eastAsia="Calibri"/>
                <w:sz w:val="20"/>
              </w:rPr>
              <w:lastRenderedPageBreak/>
              <w:t>September 30, 2014</w:t>
            </w:r>
          </w:p>
          <w:p w:rsidR="00B44212" w:rsidRPr="00C45D88" w:rsidRDefault="00B44212" w:rsidP="00582919">
            <w:pPr>
              <w:jc w:val="both"/>
              <w:rPr>
                <w:rFonts w:eastAsia="Calibri"/>
                <w:sz w:val="20"/>
              </w:rPr>
            </w:pPr>
            <w:r w:rsidRPr="00C45D88">
              <w:rPr>
                <w:rFonts w:eastAsia="Calibri"/>
                <w:sz w:val="20"/>
              </w:rPr>
              <w:t>Ontario Superior Court of Justice</w:t>
            </w:r>
          </w:p>
          <w:p w:rsidR="00B44212" w:rsidRPr="00C45D88" w:rsidRDefault="00B44212" w:rsidP="00582919">
            <w:pPr>
              <w:jc w:val="both"/>
              <w:rPr>
                <w:rFonts w:eastAsia="Calibri"/>
                <w:sz w:val="20"/>
                <w:lang w:val="fr-FR"/>
              </w:rPr>
            </w:pPr>
            <w:r w:rsidRPr="00C45D88">
              <w:rPr>
                <w:rFonts w:eastAsia="Calibri"/>
                <w:sz w:val="20"/>
                <w:lang w:val="fr-FR"/>
              </w:rPr>
              <w:t>(Nordheimer J.)</w:t>
            </w:r>
          </w:p>
          <w:p w:rsidR="00B44212" w:rsidRPr="00C45D88" w:rsidRDefault="00B44212" w:rsidP="00582919">
            <w:pPr>
              <w:jc w:val="both"/>
              <w:rPr>
                <w:rFonts w:eastAsia="Calibri"/>
                <w:sz w:val="20"/>
                <w:lang w:val="fr-FR"/>
              </w:rPr>
            </w:pPr>
            <w:r w:rsidRPr="00C45D88">
              <w:rPr>
                <w:rFonts w:eastAsia="Calibri"/>
                <w:sz w:val="20"/>
                <w:lang w:val="fr-FR"/>
              </w:rPr>
              <w:t>2014 ONSC 5687</w:t>
            </w:r>
          </w:p>
          <w:p w:rsidR="00B44212" w:rsidRPr="00C45D88" w:rsidRDefault="003A60BB" w:rsidP="00582919">
            <w:pPr>
              <w:jc w:val="both"/>
              <w:rPr>
                <w:rFonts w:eastAsia="Calibri"/>
                <w:sz w:val="20"/>
                <w:lang w:val="fr-FR"/>
              </w:rPr>
            </w:pPr>
            <w:hyperlink r:id="rId25" w:history="1">
              <w:r w:rsidR="00B44212" w:rsidRPr="00C45D88">
                <w:rPr>
                  <w:rFonts w:eastAsia="Calibri"/>
                  <w:color w:val="0000FF"/>
                  <w:sz w:val="20"/>
                  <w:u w:val="single"/>
                  <w:lang w:val="fr-FR"/>
                </w:rPr>
                <w:t>http://canlii.ca/t/gdrq5</w:t>
              </w:r>
            </w:hyperlink>
          </w:p>
          <w:p w:rsidR="00B44212" w:rsidRPr="00C45D88" w:rsidRDefault="00B44212" w:rsidP="00582919">
            <w:pPr>
              <w:jc w:val="both"/>
              <w:rPr>
                <w:rFonts w:eastAsia="Calibri"/>
                <w:sz w:val="20"/>
                <w:lang w:val="fr-FR"/>
              </w:rPr>
            </w:pPr>
          </w:p>
        </w:tc>
        <w:tc>
          <w:tcPr>
            <w:tcW w:w="243" w:type="pct"/>
          </w:tcPr>
          <w:p w:rsidR="00B44212" w:rsidRPr="00C45D88" w:rsidRDefault="00B44212" w:rsidP="00582919">
            <w:pPr>
              <w:jc w:val="both"/>
              <w:rPr>
                <w:rFonts w:eastAsia="Calibri"/>
                <w:sz w:val="20"/>
                <w:lang w:val="fr-FR"/>
              </w:rPr>
            </w:pPr>
          </w:p>
        </w:tc>
        <w:tc>
          <w:tcPr>
            <w:tcW w:w="2330" w:type="pct"/>
          </w:tcPr>
          <w:p w:rsidR="00B44212" w:rsidRPr="00C45D88" w:rsidRDefault="00B44212" w:rsidP="00582919">
            <w:pPr>
              <w:jc w:val="both"/>
              <w:rPr>
                <w:rFonts w:eastAsia="Calibri"/>
                <w:sz w:val="20"/>
              </w:rPr>
            </w:pPr>
            <w:r w:rsidRPr="00C45D88">
              <w:rPr>
                <w:rFonts w:eastAsia="Calibri"/>
                <w:sz w:val="20"/>
              </w:rPr>
              <w:t>Ruling:  the applicant must be able to point to material in the record that would establish a foundation upon which the court could be satisfied that granting leave to cross-examine either the affiant or the sub-affiants is warranted.</w:t>
            </w:r>
          </w:p>
        </w:tc>
      </w:tr>
      <w:tr w:rsidR="00B44212" w:rsidRPr="00C45D88" w:rsidTr="00272F16">
        <w:trPr>
          <w:cantSplit/>
        </w:trPr>
        <w:tc>
          <w:tcPr>
            <w:tcW w:w="2427" w:type="pct"/>
          </w:tcPr>
          <w:p w:rsidR="00B44212" w:rsidRPr="00C45D88" w:rsidRDefault="00B44212" w:rsidP="00582919">
            <w:pPr>
              <w:jc w:val="both"/>
              <w:rPr>
                <w:rFonts w:eastAsia="Calibri"/>
                <w:sz w:val="20"/>
              </w:rPr>
            </w:pPr>
            <w:r w:rsidRPr="00C45D88">
              <w:rPr>
                <w:rFonts w:eastAsia="Calibri"/>
                <w:sz w:val="20"/>
              </w:rPr>
              <w:t>November 28, 2014</w:t>
            </w:r>
          </w:p>
          <w:p w:rsidR="00B44212" w:rsidRPr="00C45D88" w:rsidRDefault="00B44212" w:rsidP="00582919">
            <w:pPr>
              <w:jc w:val="both"/>
              <w:rPr>
                <w:rFonts w:eastAsia="Calibri"/>
                <w:sz w:val="20"/>
              </w:rPr>
            </w:pPr>
            <w:r w:rsidRPr="00C45D88">
              <w:rPr>
                <w:rFonts w:eastAsia="Calibri"/>
                <w:sz w:val="20"/>
              </w:rPr>
              <w:t>Supreme Court of Canada</w:t>
            </w:r>
          </w:p>
        </w:tc>
        <w:tc>
          <w:tcPr>
            <w:tcW w:w="243" w:type="pct"/>
          </w:tcPr>
          <w:p w:rsidR="00B44212" w:rsidRPr="00C45D88" w:rsidRDefault="00B44212" w:rsidP="00582919">
            <w:pPr>
              <w:jc w:val="both"/>
              <w:rPr>
                <w:rFonts w:eastAsia="Calibri"/>
                <w:sz w:val="20"/>
              </w:rPr>
            </w:pPr>
          </w:p>
        </w:tc>
        <w:tc>
          <w:tcPr>
            <w:tcW w:w="2330" w:type="pct"/>
          </w:tcPr>
          <w:p w:rsidR="00B44212" w:rsidRPr="00C45D88" w:rsidRDefault="00B44212" w:rsidP="00582919">
            <w:pPr>
              <w:jc w:val="both"/>
              <w:rPr>
                <w:rFonts w:eastAsia="Calibri"/>
                <w:sz w:val="20"/>
              </w:rPr>
            </w:pPr>
            <w:r w:rsidRPr="00C45D88">
              <w:rPr>
                <w:rFonts w:eastAsia="Calibri"/>
                <w:sz w:val="20"/>
              </w:rPr>
              <w:t>Application for leave to appeal filed.</w:t>
            </w:r>
          </w:p>
        </w:tc>
      </w:tr>
    </w:tbl>
    <w:p w:rsidR="000D6E5D" w:rsidRDefault="000D6E5D" w:rsidP="000E2959">
      <w:pPr>
        <w:rPr>
          <w:sz w:val="20"/>
          <w:szCs w:val="20"/>
        </w:rPr>
      </w:pPr>
    </w:p>
    <w:p w:rsidR="000D6E5D" w:rsidRPr="00C50A5C" w:rsidRDefault="003A60BB" w:rsidP="000D6E5D">
      <w:pPr>
        <w:rPr>
          <w:sz w:val="20"/>
          <w:szCs w:val="20"/>
        </w:rPr>
      </w:pPr>
      <w:r>
        <w:rPr>
          <w:sz w:val="20"/>
          <w:szCs w:val="20"/>
          <w:lang w:val="fr-CA"/>
        </w:rPr>
        <w:pict>
          <v:rect id="_x0000_i1040" style="width:2in;height:1pt" o:hrpct="0" o:hralign="center" o:hrstd="t" o:hrnoshade="t" o:hr="t" fillcolor="black [3213]" stroked="f"/>
        </w:pict>
      </w:r>
    </w:p>
    <w:p w:rsidR="000D6E5D" w:rsidRDefault="000D6E5D" w:rsidP="000D6E5D">
      <w:pPr>
        <w:rPr>
          <w:sz w:val="20"/>
          <w:szCs w:val="20"/>
        </w:rPr>
      </w:pPr>
    </w:p>
    <w:p w:rsidR="000D6E5D" w:rsidRPr="001B157C" w:rsidRDefault="000D6E5D" w:rsidP="000D6E5D">
      <w:pPr>
        <w:rPr>
          <w:sz w:val="20"/>
          <w:szCs w:val="20"/>
          <w:u w:val="single"/>
          <w:lang w:val="fr-CA"/>
        </w:rPr>
      </w:pPr>
      <w:r w:rsidRPr="001B157C">
        <w:rPr>
          <w:sz w:val="20"/>
          <w:szCs w:val="20"/>
          <w:u w:val="single"/>
          <w:lang w:val="fr-CA"/>
        </w:rPr>
        <w:t>RÉSUMÉ DE L’AFFAIRE</w:t>
      </w:r>
    </w:p>
    <w:p w:rsidR="000D6E5D" w:rsidRDefault="000D6E5D"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44212" w:rsidRPr="00B66683" w:rsidTr="00582919">
        <w:tc>
          <w:tcPr>
            <w:tcW w:w="5000" w:type="pct"/>
            <w:gridSpan w:val="3"/>
          </w:tcPr>
          <w:p w:rsidR="00B44212" w:rsidRPr="00C45D88" w:rsidRDefault="00B44212" w:rsidP="00582919">
            <w:pPr>
              <w:jc w:val="both"/>
              <w:rPr>
                <w:rFonts w:eastAsia="Calibri"/>
                <w:sz w:val="20"/>
                <w:lang w:val="fr-CA"/>
              </w:rPr>
            </w:pPr>
            <w:r w:rsidRPr="00C45D88">
              <w:rPr>
                <w:rFonts w:eastAsia="Calibri"/>
                <w:i/>
                <w:sz w:val="20"/>
                <w:lang w:val="fr-CA"/>
              </w:rPr>
              <w:t>Charte des droits et libertés</w:t>
            </w:r>
            <w:r w:rsidRPr="00C45D88">
              <w:rPr>
                <w:rFonts w:eastAsia="Calibri"/>
                <w:sz w:val="20"/>
                <w:lang w:val="fr-CA"/>
              </w:rPr>
              <w:t xml:space="preserve"> – Fouilles, perquisitions et saisies – Recours – Est-ce que le demandeur peut atteindre le seuil de la preuve exigée pour obtenir l’autorisation de contre-interroger en se fondant sur les observations de l’avocat ou si le demandeur doit présenter des éléments de preuve à l’appui de la demande? – Est-ce que le juge des requêtes a commis une erreur en décidant que pour présenter de tels éléments de preuve, le demandeur s’est vu refuser le droit habituel de contraindre les témoins en appui à sa requête puisque les témoins avaient déjà fourni des renseignements au déposant ? – Est-ce que le juge des requêtes a commis une erreur en disant que ces civils sont des « sous-déposants » pour lesquels il est nécessaire d’obtenir une autorisation pour pouvoir les contre-interroger? – Est-ce que le juge des requêtes a commis une erreur en imposant que, pour atteindre le seuil de preuve exigée, le demandeur doive non seulement établir que la dénonciation contient des renseignements inexacts ou trompeurs (qui, s’ils sont supprimés, rendent le mandat injustifiable), mais aussi que le déposant sache ou aurait dû savoir qu’il y avait des renseignements inexacts ou trompeurs? – Y a-t-il des jurisprudences contradictoires et des questions non résolues qui requièrent des précisions de notre Cour? – </w:t>
            </w:r>
            <w:r w:rsidRPr="00C45D88">
              <w:rPr>
                <w:rFonts w:eastAsia="Calibri"/>
                <w:i/>
                <w:sz w:val="20"/>
                <w:lang w:val="fr-CA"/>
              </w:rPr>
              <w:t>Charte canadienne des droits et libertés</w:t>
            </w:r>
            <w:r w:rsidRPr="00C45D88">
              <w:rPr>
                <w:rFonts w:eastAsia="Calibri"/>
                <w:sz w:val="20"/>
                <w:lang w:val="fr-CA"/>
              </w:rPr>
              <w:t xml:space="preserve"> art. 8 et 24(1).</w:t>
            </w:r>
          </w:p>
        </w:tc>
      </w:tr>
      <w:tr w:rsidR="00B44212" w:rsidRPr="00B66683" w:rsidTr="00582919">
        <w:tc>
          <w:tcPr>
            <w:tcW w:w="5000" w:type="pct"/>
            <w:gridSpan w:val="3"/>
          </w:tcPr>
          <w:p w:rsidR="00B44212" w:rsidRPr="00C45D88" w:rsidRDefault="00B44212" w:rsidP="00582919">
            <w:pPr>
              <w:jc w:val="both"/>
              <w:rPr>
                <w:rFonts w:eastAsia="Calibri"/>
                <w:sz w:val="20"/>
                <w:lang w:val="fr-CA"/>
              </w:rPr>
            </w:pPr>
          </w:p>
        </w:tc>
      </w:tr>
      <w:tr w:rsidR="00B44212" w:rsidRPr="00B66683" w:rsidTr="00582919">
        <w:tc>
          <w:tcPr>
            <w:tcW w:w="5000" w:type="pct"/>
            <w:gridSpan w:val="3"/>
          </w:tcPr>
          <w:p w:rsidR="00B44212" w:rsidRPr="00C45D88" w:rsidRDefault="00B44212" w:rsidP="00582919">
            <w:pPr>
              <w:jc w:val="both"/>
              <w:rPr>
                <w:rFonts w:eastAsia="Calibri"/>
                <w:sz w:val="20"/>
                <w:lang w:val="fr-FR"/>
              </w:rPr>
            </w:pPr>
            <w:r w:rsidRPr="00C45D88">
              <w:rPr>
                <w:rFonts w:eastAsia="Calibri"/>
                <w:sz w:val="20"/>
                <w:lang w:val="fr-CA"/>
              </w:rPr>
              <w:t xml:space="preserve">Suite à la décision relative à la communication du 14 mars 2014, une autre question a été soulevée dans le cadre de la présente demande d’annulation de mandats de perquisition du demandeur présentée en application de l’art. 24(1) de la </w:t>
            </w:r>
            <w:r w:rsidRPr="00C45D88">
              <w:rPr>
                <w:rFonts w:eastAsia="Calibri"/>
                <w:i/>
                <w:sz w:val="20"/>
                <w:lang w:val="fr-CA"/>
              </w:rPr>
              <w:t xml:space="preserve">Charte.  </w:t>
            </w:r>
            <w:r w:rsidRPr="00C45D88">
              <w:rPr>
                <w:rFonts w:eastAsia="Calibri"/>
                <w:sz w:val="20"/>
                <w:lang w:val="fr-CA"/>
              </w:rPr>
              <w:t xml:space="preserve">La question en litige est de déterminer si le demandeur peut atteindre le seuil de preuve exigée pour obtenir l’autorisation de contre-interroger en se fondant sur les observations de l’avocat ou si le demandeur doit présenter des éléments de preuve à l’appui de la demande.  Le 30 septembre 2014, le juge des requêtes a décidé que le demandeur </w:t>
            </w:r>
            <w:r w:rsidRPr="00C45D88">
              <w:rPr>
                <w:rFonts w:eastAsia="Calibri"/>
                <w:sz w:val="20"/>
                <w:lang w:val="fr-FR"/>
              </w:rPr>
              <w:t>doit pouvoir indiquer les documents qui établiraient le fondement sur lequel la cour pourrait se baser pour être convaincue que l’octroi de l’autorisation de contre-interroger le déposant ou les sous-déposants est justifié.  Les observations de l’avocat et ses assurances qu’un tel fondement existe, à elles seules, ne sont pas suffisantes.</w:t>
            </w:r>
          </w:p>
          <w:p w:rsidR="00B44212" w:rsidRPr="00C45D88" w:rsidRDefault="00B44212" w:rsidP="00582919">
            <w:pPr>
              <w:jc w:val="both"/>
              <w:rPr>
                <w:rFonts w:eastAsia="Calibri"/>
                <w:sz w:val="20"/>
                <w:lang w:val="fr-FR"/>
              </w:rPr>
            </w:pPr>
          </w:p>
        </w:tc>
      </w:tr>
      <w:tr w:rsidR="00B44212" w:rsidRPr="00B66683" w:rsidTr="00582919">
        <w:tc>
          <w:tcPr>
            <w:tcW w:w="2427" w:type="pct"/>
          </w:tcPr>
          <w:p w:rsidR="00B44212" w:rsidRPr="00C45D88" w:rsidRDefault="00B44212" w:rsidP="00582919">
            <w:pPr>
              <w:jc w:val="both"/>
              <w:rPr>
                <w:rFonts w:eastAsia="Calibri"/>
                <w:sz w:val="20"/>
                <w:lang w:val="fr-CA"/>
              </w:rPr>
            </w:pPr>
            <w:r w:rsidRPr="00C45D88">
              <w:rPr>
                <w:rFonts w:eastAsia="Calibri"/>
                <w:sz w:val="20"/>
                <w:lang w:val="fr-CA"/>
              </w:rPr>
              <w:t>14 mars 2014</w:t>
            </w:r>
          </w:p>
          <w:p w:rsidR="00B44212" w:rsidRPr="00C45D88" w:rsidRDefault="00B44212" w:rsidP="00582919">
            <w:pPr>
              <w:jc w:val="both"/>
              <w:rPr>
                <w:rFonts w:eastAsia="Calibri"/>
                <w:sz w:val="20"/>
                <w:lang w:val="fr-CA"/>
              </w:rPr>
            </w:pPr>
            <w:r w:rsidRPr="00C45D88">
              <w:rPr>
                <w:rFonts w:eastAsia="Calibri"/>
                <w:sz w:val="20"/>
                <w:lang w:val="fr-CA"/>
              </w:rPr>
              <w:t>Cour supérieure de justice de l’Ontario</w:t>
            </w:r>
          </w:p>
          <w:p w:rsidR="00B44212" w:rsidRPr="00C45D88" w:rsidRDefault="00B44212" w:rsidP="00582919">
            <w:pPr>
              <w:jc w:val="both"/>
              <w:rPr>
                <w:rFonts w:eastAsia="Calibri"/>
                <w:sz w:val="20"/>
              </w:rPr>
            </w:pPr>
            <w:r w:rsidRPr="00C45D88">
              <w:rPr>
                <w:rFonts w:eastAsia="Calibri"/>
                <w:sz w:val="20"/>
              </w:rPr>
              <w:t>(Juge Nordheimer)</w:t>
            </w:r>
          </w:p>
          <w:p w:rsidR="00B44212" w:rsidRPr="00C45D88" w:rsidRDefault="00B44212" w:rsidP="00582919">
            <w:pPr>
              <w:jc w:val="both"/>
              <w:rPr>
                <w:rFonts w:eastAsia="Calibri"/>
                <w:sz w:val="20"/>
              </w:rPr>
            </w:pPr>
            <w:r w:rsidRPr="00C45D88">
              <w:rPr>
                <w:rFonts w:eastAsia="Calibri"/>
                <w:sz w:val="20"/>
              </w:rPr>
              <w:t>2014 ONSC 1653</w:t>
            </w:r>
          </w:p>
          <w:p w:rsidR="00B44212" w:rsidRPr="00C45D88" w:rsidRDefault="00B44212" w:rsidP="00582919">
            <w:pPr>
              <w:jc w:val="both"/>
              <w:rPr>
                <w:rFonts w:eastAsia="Calibri"/>
                <w:sz w:val="20"/>
              </w:rPr>
            </w:pPr>
          </w:p>
        </w:tc>
        <w:tc>
          <w:tcPr>
            <w:tcW w:w="243" w:type="pct"/>
          </w:tcPr>
          <w:p w:rsidR="00B44212" w:rsidRPr="00C45D88" w:rsidRDefault="00B44212" w:rsidP="00582919">
            <w:pPr>
              <w:jc w:val="both"/>
              <w:rPr>
                <w:rFonts w:eastAsia="Calibri"/>
                <w:sz w:val="20"/>
              </w:rPr>
            </w:pPr>
          </w:p>
        </w:tc>
        <w:tc>
          <w:tcPr>
            <w:tcW w:w="2330" w:type="pct"/>
          </w:tcPr>
          <w:p w:rsidR="00B44212" w:rsidRPr="00C45D88" w:rsidRDefault="00B44212" w:rsidP="00582919">
            <w:pPr>
              <w:jc w:val="both"/>
              <w:rPr>
                <w:rFonts w:eastAsia="Calibri"/>
                <w:sz w:val="20"/>
                <w:lang w:val="fr-CA"/>
              </w:rPr>
            </w:pPr>
            <w:r w:rsidRPr="00C45D88">
              <w:rPr>
                <w:rFonts w:eastAsia="Calibri"/>
                <w:sz w:val="20"/>
                <w:lang w:val="fr-FR"/>
              </w:rPr>
              <w:t>Décision: le demandeur a droit à la communication des documents auxquels le déposant réfère, ou qu’il résume, dans la dénonciation.</w:t>
            </w:r>
          </w:p>
        </w:tc>
      </w:tr>
      <w:tr w:rsidR="00B44212" w:rsidRPr="00C45D88" w:rsidTr="00582919">
        <w:tc>
          <w:tcPr>
            <w:tcW w:w="2427" w:type="pct"/>
          </w:tcPr>
          <w:p w:rsidR="00B44212" w:rsidRPr="00C45D88" w:rsidRDefault="00B44212" w:rsidP="00582919">
            <w:pPr>
              <w:jc w:val="both"/>
              <w:rPr>
                <w:rFonts w:eastAsia="Calibri"/>
                <w:sz w:val="20"/>
              </w:rPr>
            </w:pPr>
            <w:r w:rsidRPr="00C45D88">
              <w:rPr>
                <w:rFonts w:eastAsia="Calibri"/>
                <w:sz w:val="20"/>
              </w:rPr>
              <w:t>11 avril 2014</w:t>
            </w:r>
          </w:p>
          <w:p w:rsidR="00B44212" w:rsidRPr="00C45D88" w:rsidRDefault="00B44212" w:rsidP="00582919">
            <w:pPr>
              <w:jc w:val="both"/>
              <w:rPr>
                <w:rFonts w:eastAsia="Calibri"/>
                <w:sz w:val="20"/>
              </w:rPr>
            </w:pPr>
            <w:r w:rsidRPr="00C45D88">
              <w:rPr>
                <w:rFonts w:eastAsia="Calibri"/>
                <w:sz w:val="20"/>
              </w:rPr>
              <w:t>Cour suprême du Canada</w:t>
            </w:r>
          </w:p>
          <w:p w:rsidR="00B44212" w:rsidRPr="00C45D88" w:rsidRDefault="00B44212" w:rsidP="00582919">
            <w:pPr>
              <w:jc w:val="both"/>
              <w:rPr>
                <w:rFonts w:eastAsia="Calibri"/>
                <w:sz w:val="20"/>
              </w:rPr>
            </w:pPr>
          </w:p>
        </w:tc>
        <w:tc>
          <w:tcPr>
            <w:tcW w:w="243" w:type="pct"/>
          </w:tcPr>
          <w:p w:rsidR="00B44212" w:rsidRPr="00C45D88" w:rsidRDefault="00B44212" w:rsidP="00582919">
            <w:pPr>
              <w:jc w:val="both"/>
              <w:rPr>
                <w:rFonts w:eastAsia="Calibri"/>
                <w:sz w:val="20"/>
              </w:rPr>
            </w:pPr>
          </w:p>
        </w:tc>
        <w:tc>
          <w:tcPr>
            <w:tcW w:w="2330" w:type="pct"/>
          </w:tcPr>
          <w:p w:rsidR="00B44212" w:rsidRPr="00C45D88" w:rsidRDefault="00B44212" w:rsidP="00582919">
            <w:pPr>
              <w:jc w:val="both"/>
              <w:rPr>
                <w:rFonts w:eastAsia="Calibri"/>
                <w:sz w:val="20"/>
              </w:rPr>
            </w:pPr>
            <w:r w:rsidRPr="00C45D88">
              <w:rPr>
                <w:rFonts w:eastAsia="Calibri"/>
                <w:sz w:val="20"/>
              </w:rPr>
              <w:t>Demande d’autorisation d’appel déposée.</w:t>
            </w:r>
          </w:p>
        </w:tc>
      </w:tr>
      <w:tr w:rsidR="00B44212" w:rsidRPr="00C45D88" w:rsidTr="00582919">
        <w:tc>
          <w:tcPr>
            <w:tcW w:w="2427" w:type="pct"/>
          </w:tcPr>
          <w:p w:rsidR="00B44212" w:rsidRPr="00C45D88" w:rsidRDefault="00B44212" w:rsidP="00582919">
            <w:pPr>
              <w:jc w:val="both"/>
              <w:rPr>
                <w:rFonts w:eastAsia="Calibri"/>
                <w:sz w:val="20"/>
                <w:lang w:val="fr-CA"/>
              </w:rPr>
            </w:pPr>
            <w:r w:rsidRPr="00C45D88">
              <w:rPr>
                <w:rFonts w:eastAsia="Calibri"/>
                <w:sz w:val="20"/>
                <w:lang w:val="fr-CA"/>
              </w:rPr>
              <w:t>3 juillet 2014</w:t>
            </w:r>
          </w:p>
          <w:p w:rsidR="00B44212" w:rsidRPr="00C45D88" w:rsidRDefault="00B44212" w:rsidP="00582919">
            <w:pPr>
              <w:jc w:val="both"/>
              <w:rPr>
                <w:rFonts w:eastAsia="Calibri"/>
                <w:sz w:val="20"/>
                <w:lang w:val="fr-CA"/>
              </w:rPr>
            </w:pPr>
            <w:r w:rsidRPr="00C45D88">
              <w:rPr>
                <w:rFonts w:eastAsia="Calibri"/>
                <w:sz w:val="20"/>
                <w:lang w:val="fr-CA"/>
              </w:rPr>
              <w:t>Cour suprême du Canada</w:t>
            </w:r>
          </w:p>
          <w:p w:rsidR="00B44212" w:rsidRPr="00C45D88" w:rsidRDefault="00B44212" w:rsidP="00582919">
            <w:pPr>
              <w:jc w:val="both"/>
              <w:rPr>
                <w:rFonts w:eastAsia="Calibri"/>
                <w:sz w:val="20"/>
                <w:lang w:val="fr-CA"/>
              </w:rPr>
            </w:pPr>
            <w:r w:rsidRPr="00C45D88">
              <w:rPr>
                <w:rFonts w:eastAsia="Calibri"/>
                <w:sz w:val="20"/>
                <w:lang w:val="fr-CA"/>
              </w:rPr>
              <w:t>(Juges Abella, Rothstein et Moldaver)</w:t>
            </w:r>
          </w:p>
          <w:p w:rsidR="00B44212" w:rsidRPr="00C45D88" w:rsidRDefault="00B44212" w:rsidP="00582919">
            <w:pPr>
              <w:jc w:val="both"/>
              <w:rPr>
                <w:rFonts w:eastAsia="Calibri"/>
                <w:sz w:val="20"/>
                <w:lang w:val="fr-CA"/>
              </w:rPr>
            </w:pPr>
          </w:p>
        </w:tc>
        <w:tc>
          <w:tcPr>
            <w:tcW w:w="243" w:type="pct"/>
          </w:tcPr>
          <w:p w:rsidR="00B44212" w:rsidRPr="00C45D88" w:rsidRDefault="00B44212" w:rsidP="00582919">
            <w:pPr>
              <w:jc w:val="both"/>
              <w:rPr>
                <w:rFonts w:eastAsia="Calibri"/>
                <w:sz w:val="20"/>
                <w:lang w:val="fr-CA"/>
              </w:rPr>
            </w:pPr>
          </w:p>
        </w:tc>
        <w:tc>
          <w:tcPr>
            <w:tcW w:w="2330" w:type="pct"/>
          </w:tcPr>
          <w:p w:rsidR="00B44212" w:rsidRPr="00C45D88" w:rsidRDefault="00B44212" w:rsidP="00582919">
            <w:pPr>
              <w:jc w:val="both"/>
              <w:rPr>
                <w:rFonts w:eastAsia="Calibri"/>
                <w:sz w:val="20"/>
              </w:rPr>
            </w:pPr>
            <w:r w:rsidRPr="00C45D88">
              <w:rPr>
                <w:rFonts w:eastAsia="Calibri"/>
                <w:sz w:val="20"/>
              </w:rPr>
              <w:t>Demande d’autorisation d’appel rejetée.</w:t>
            </w:r>
          </w:p>
        </w:tc>
      </w:tr>
      <w:tr w:rsidR="00B44212" w:rsidRPr="00B66683" w:rsidTr="00272F16">
        <w:trPr>
          <w:cantSplit/>
        </w:trPr>
        <w:tc>
          <w:tcPr>
            <w:tcW w:w="2427" w:type="pct"/>
          </w:tcPr>
          <w:p w:rsidR="00B44212" w:rsidRPr="00C45D88" w:rsidRDefault="00B44212" w:rsidP="00582919">
            <w:pPr>
              <w:jc w:val="both"/>
              <w:rPr>
                <w:rFonts w:eastAsia="Calibri"/>
                <w:sz w:val="20"/>
                <w:lang w:val="fr-CA"/>
              </w:rPr>
            </w:pPr>
            <w:r w:rsidRPr="00C45D88">
              <w:rPr>
                <w:rFonts w:eastAsia="Calibri"/>
                <w:sz w:val="20"/>
                <w:lang w:val="fr-CA"/>
              </w:rPr>
              <w:t>30 septembre 2014</w:t>
            </w:r>
          </w:p>
          <w:p w:rsidR="00B44212" w:rsidRPr="00C45D88" w:rsidRDefault="00B44212" w:rsidP="00582919">
            <w:pPr>
              <w:jc w:val="both"/>
              <w:rPr>
                <w:rFonts w:eastAsia="Calibri"/>
                <w:sz w:val="20"/>
                <w:lang w:val="fr-CA"/>
              </w:rPr>
            </w:pPr>
            <w:r w:rsidRPr="00C45D88">
              <w:rPr>
                <w:rFonts w:eastAsia="Calibri"/>
                <w:sz w:val="20"/>
                <w:lang w:val="fr-CA"/>
              </w:rPr>
              <w:t>Cour supérieure de justice de l’Ontario</w:t>
            </w:r>
          </w:p>
          <w:p w:rsidR="00B44212" w:rsidRPr="00C45D88" w:rsidRDefault="00B44212" w:rsidP="00582919">
            <w:pPr>
              <w:jc w:val="both"/>
              <w:rPr>
                <w:rFonts w:eastAsia="Calibri"/>
                <w:sz w:val="20"/>
                <w:lang w:val="fr-CA"/>
              </w:rPr>
            </w:pPr>
            <w:r w:rsidRPr="00C45D88">
              <w:rPr>
                <w:rFonts w:eastAsia="Calibri"/>
                <w:sz w:val="20"/>
                <w:lang w:val="fr-CA"/>
              </w:rPr>
              <w:t>(Juge Nordheimer)</w:t>
            </w:r>
          </w:p>
          <w:p w:rsidR="00B44212" w:rsidRPr="00C45D88" w:rsidRDefault="00B44212" w:rsidP="00582919">
            <w:pPr>
              <w:jc w:val="both"/>
              <w:rPr>
                <w:rFonts w:eastAsia="Calibri"/>
                <w:sz w:val="20"/>
                <w:lang w:val="fr-CA"/>
              </w:rPr>
            </w:pPr>
            <w:r w:rsidRPr="00C45D88">
              <w:rPr>
                <w:rFonts w:eastAsia="Calibri"/>
                <w:sz w:val="20"/>
                <w:lang w:val="fr-CA"/>
              </w:rPr>
              <w:t>2014 ONSC 5687</w:t>
            </w:r>
          </w:p>
          <w:p w:rsidR="00B44212" w:rsidRPr="00C45D88" w:rsidRDefault="003A60BB" w:rsidP="00582919">
            <w:pPr>
              <w:jc w:val="both"/>
              <w:rPr>
                <w:rFonts w:eastAsia="Calibri"/>
                <w:sz w:val="20"/>
                <w:lang w:val="fr-FR"/>
              </w:rPr>
            </w:pPr>
            <w:hyperlink r:id="rId26" w:history="1">
              <w:r w:rsidR="00B44212" w:rsidRPr="00C45D88">
                <w:rPr>
                  <w:rFonts w:eastAsia="Calibri"/>
                  <w:color w:val="0000FF"/>
                  <w:sz w:val="20"/>
                  <w:u w:val="single"/>
                  <w:lang w:val="fr-CA"/>
                </w:rPr>
                <w:t>ht</w:t>
              </w:r>
              <w:r w:rsidR="00B44212" w:rsidRPr="00C45D88">
                <w:rPr>
                  <w:rFonts w:eastAsia="Calibri"/>
                  <w:color w:val="0000FF"/>
                  <w:sz w:val="20"/>
                  <w:u w:val="single"/>
                  <w:lang w:val="fr-FR"/>
                </w:rPr>
                <w:t>tp://canlii.ca/t/gdrq5</w:t>
              </w:r>
            </w:hyperlink>
          </w:p>
        </w:tc>
        <w:tc>
          <w:tcPr>
            <w:tcW w:w="243" w:type="pct"/>
          </w:tcPr>
          <w:p w:rsidR="00B44212" w:rsidRPr="00C45D88" w:rsidRDefault="00B44212" w:rsidP="00582919">
            <w:pPr>
              <w:jc w:val="both"/>
              <w:rPr>
                <w:rFonts w:eastAsia="Calibri"/>
                <w:sz w:val="20"/>
                <w:lang w:val="fr-FR"/>
              </w:rPr>
            </w:pPr>
          </w:p>
        </w:tc>
        <w:tc>
          <w:tcPr>
            <w:tcW w:w="2330" w:type="pct"/>
          </w:tcPr>
          <w:p w:rsidR="00B44212" w:rsidRPr="00C45D88" w:rsidRDefault="00B44212" w:rsidP="00582919">
            <w:pPr>
              <w:jc w:val="both"/>
              <w:rPr>
                <w:rFonts w:eastAsia="Calibri"/>
                <w:sz w:val="20"/>
                <w:lang w:val="fr-FR"/>
              </w:rPr>
            </w:pPr>
            <w:r w:rsidRPr="00C45D88">
              <w:rPr>
                <w:rFonts w:eastAsia="Calibri"/>
                <w:sz w:val="20"/>
                <w:lang w:val="fr-FR"/>
              </w:rPr>
              <w:t>Décision: le demandeur doit pouvoir indiquer les documents qui établiraient le fondement sur lequel la cour pourrait se baser pour être convaincue que l’octroi de l’autorisation de contre-interroger le déposant ou les sous-déposants est justifié.</w:t>
            </w:r>
          </w:p>
          <w:p w:rsidR="00B44212" w:rsidRPr="00C45D88" w:rsidRDefault="00B44212" w:rsidP="00582919">
            <w:pPr>
              <w:jc w:val="both"/>
              <w:rPr>
                <w:rFonts w:eastAsia="Calibri"/>
                <w:sz w:val="20"/>
                <w:lang w:val="fr-FR"/>
              </w:rPr>
            </w:pPr>
          </w:p>
        </w:tc>
      </w:tr>
      <w:tr w:rsidR="00B44212" w:rsidRPr="00C45D88" w:rsidTr="00272F16">
        <w:trPr>
          <w:cantSplit/>
        </w:trPr>
        <w:tc>
          <w:tcPr>
            <w:tcW w:w="2427" w:type="pct"/>
          </w:tcPr>
          <w:p w:rsidR="00B44212" w:rsidRPr="00C45D88" w:rsidRDefault="00B44212" w:rsidP="00582919">
            <w:pPr>
              <w:jc w:val="both"/>
              <w:rPr>
                <w:rFonts w:eastAsia="Calibri"/>
                <w:sz w:val="20"/>
                <w:lang w:val="fr-CA"/>
              </w:rPr>
            </w:pPr>
            <w:r w:rsidRPr="00C45D88">
              <w:rPr>
                <w:rFonts w:eastAsia="Calibri"/>
                <w:sz w:val="20"/>
                <w:lang w:val="fr-CA"/>
              </w:rPr>
              <w:t>28 novembre 2014</w:t>
            </w:r>
          </w:p>
          <w:p w:rsidR="00B44212" w:rsidRPr="00C45D88" w:rsidRDefault="00B44212" w:rsidP="00582919">
            <w:pPr>
              <w:jc w:val="both"/>
              <w:rPr>
                <w:rFonts w:eastAsia="Calibri"/>
                <w:sz w:val="20"/>
                <w:lang w:val="fr-CA"/>
              </w:rPr>
            </w:pPr>
            <w:r w:rsidRPr="00C45D88">
              <w:rPr>
                <w:rFonts w:eastAsia="Calibri"/>
                <w:sz w:val="20"/>
                <w:lang w:val="fr-CA"/>
              </w:rPr>
              <w:t>Cour suprême du Canada</w:t>
            </w:r>
          </w:p>
        </w:tc>
        <w:tc>
          <w:tcPr>
            <w:tcW w:w="243" w:type="pct"/>
          </w:tcPr>
          <w:p w:rsidR="00B44212" w:rsidRPr="00C45D88" w:rsidRDefault="00B44212" w:rsidP="00582919">
            <w:pPr>
              <w:jc w:val="both"/>
              <w:rPr>
                <w:rFonts w:eastAsia="Calibri"/>
                <w:sz w:val="20"/>
                <w:lang w:val="fr-CA"/>
              </w:rPr>
            </w:pPr>
          </w:p>
        </w:tc>
        <w:tc>
          <w:tcPr>
            <w:tcW w:w="2330" w:type="pct"/>
          </w:tcPr>
          <w:p w:rsidR="00B44212" w:rsidRPr="00C45D88" w:rsidRDefault="00B44212" w:rsidP="00582919">
            <w:pPr>
              <w:jc w:val="both"/>
              <w:rPr>
                <w:rFonts w:eastAsia="Calibri"/>
                <w:sz w:val="20"/>
              </w:rPr>
            </w:pPr>
            <w:r w:rsidRPr="00C45D88">
              <w:rPr>
                <w:rFonts w:eastAsia="Calibri"/>
                <w:sz w:val="20"/>
              </w:rPr>
              <w:t>Demande d’autorisation d’appel déposée.</w:t>
            </w:r>
          </w:p>
        </w:tc>
      </w:tr>
    </w:tbl>
    <w:p w:rsidR="000D6E5D" w:rsidRDefault="000D6E5D" w:rsidP="000E2959">
      <w:pPr>
        <w:rPr>
          <w:sz w:val="20"/>
          <w:szCs w:val="20"/>
        </w:rPr>
      </w:pPr>
    </w:p>
    <w:p w:rsidR="000D6E5D" w:rsidRDefault="003A60BB" w:rsidP="000D6E5D">
      <w:pPr>
        <w:rPr>
          <w:sz w:val="20"/>
          <w:szCs w:val="20"/>
        </w:rPr>
      </w:pPr>
      <w:r>
        <w:rPr>
          <w:sz w:val="20"/>
          <w:szCs w:val="20"/>
          <w:lang w:val="fr-CA"/>
        </w:rPr>
        <w:pict>
          <v:rect id="_x0000_i1041" style="width:2in;height:1pt" o:hrpct="0" o:hralign="center" o:hrstd="t" o:hrnoshade="t" o:hr="t" fillcolor="black [3213]" stroked="f"/>
        </w:pict>
      </w:r>
    </w:p>
    <w:p w:rsidR="000D6E5D" w:rsidRDefault="000D6E5D" w:rsidP="000D6E5D">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72F16" w:rsidRPr="00272F16" w:rsidTr="003431AF">
        <w:trPr>
          <w:cantSplit/>
        </w:trPr>
        <w:tc>
          <w:tcPr>
            <w:tcW w:w="1458" w:type="dxa"/>
          </w:tcPr>
          <w:p w:rsidR="00272F16" w:rsidRPr="00272F16" w:rsidRDefault="00272F16" w:rsidP="00272F16">
            <w:pPr>
              <w:rPr>
                <w:sz w:val="20"/>
              </w:rPr>
            </w:pPr>
            <w:r w:rsidRPr="00272F16">
              <w:rPr>
                <w:b/>
                <w:sz w:val="20"/>
                <w:lang w:val="fr-CA"/>
              </w:rPr>
              <w:t>36117</w:t>
            </w:r>
          </w:p>
          <w:p w:rsidR="00272F16" w:rsidRPr="00272F16" w:rsidRDefault="00272F16" w:rsidP="00272F16">
            <w:pPr>
              <w:rPr>
                <w:b/>
                <w:sz w:val="20"/>
                <w:lang w:val="fr-CA"/>
              </w:rPr>
            </w:pPr>
          </w:p>
        </w:tc>
        <w:tc>
          <w:tcPr>
            <w:tcW w:w="8118" w:type="dxa"/>
          </w:tcPr>
          <w:p w:rsidR="00272F16" w:rsidRPr="00272F16" w:rsidRDefault="00272F16" w:rsidP="00272F16">
            <w:pPr>
              <w:rPr>
                <w:sz w:val="20"/>
              </w:rPr>
            </w:pPr>
            <w:r w:rsidRPr="00272F16">
              <w:rPr>
                <w:b/>
                <w:sz w:val="20"/>
                <w:u w:val="single"/>
              </w:rPr>
              <w:t>Minister of Revenue v. Inter-leasing, Inc.</w:t>
            </w:r>
            <w:r w:rsidRPr="00272F16">
              <w:rPr>
                <w:sz w:val="20"/>
              </w:rPr>
              <w:t xml:space="preserve"> (Ont.) (Civil) (By Leave)</w:t>
            </w:r>
          </w:p>
          <w:p w:rsidR="00272F16" w:rsidRPr="00272F16" w:rsidRDefault="00272F16" w:rsidP="00272F16">
            <w:pPr>
              <w:rPr>
                <w:sz w:val="20"/>
              </w:rPr>
            </w:pPr>
          </w:p>
        </w:tc>
      </w:tr>
      <w:tr w:rsidR="00272F16" w:rsidRPr="00272F16" w:rsidTr="003431AF">
        <w:trPr>
          <w:cantSplit/>
        </w:trPr>
        <w:tc>
          <w:tcPr>
            <w:tcW w:w="1458" w:type="dxa"/>
          </w:tcPr>
          <w:p w:rsidR="00272F16" w:rsidRPr="00272F16" w:rsidRDefault="00272F16" w:rsidP="00272F16">
            <w:pPr>
              <w:rPr>
                <w:sz w:val="20"/>
              </w:rPr>
            </w:pPr>
            <w:r w:rsidRPr="00272F16">
              <w:rPr>
                <w:sz w:val="20"/>
              </w:rPr>
              <w:t>Coram :</w:t>
            </w:r>
          </w:p>
        </w:tc>
        <w:tc>
          <w:tcPr>
            <w:tcW w:w="8118" w:type="dxa"/>
          </w:tcPr>
          <w:p w:rsidR="00272F16" w:rsidRPr="00272F16" w:rsidRDefault="00272F16" w:rsidP="00272F16">
            <w:pPr>
              <w:rPr>
                <w:sz w:val="20"/>
              </w:rPr>
            </w:pPr>
            <w:r w:rsidRPr="00272F16">
              <w:rPr>
                <w:sz w:val="20"/>
                <w:u w:val="single"/>
              </w:rPr>
              <w:t>Rothstein, Cromwell and Moldaver JJ.</w:t>
            </w:r>
          </w:p>
          <w:p w:rsidR="00272F16" w:rsidRPr="00272F16" w:rsidRDefault="00272F16" w:rsidP="00272F16">
            <w:pPr>
              <w:rPr>
                <w:sz w:val="20"/>
                <w:u w:val="single"/>
              </w:rPr>
            </w:pPr>
          </w:p>
        </w:tc>
      </w:tr>
      <w:tr w:rsidR="00272F16" w:rsidRPr="00B66683" w:rsidTr="003431AF">
        <w:trPr>
          <w:cantSplit/>
        </w:trPr>
        <w:tc>
          <w:tcPr>
            <w:tcW w:w="9576" w:type="dxa"/>
            <w:gridSpan w:val="2"/>
          </w:tcPr>
          <w:p w:rsidR="00272F16" w:rsidRPr="00272F16" w:rsidRDefault="00272F16" w:rsidP="00272F16">
            <w:pPr>
              <w:ind w:firstLine="720"/>
              <w:jc w:val="both"/>
              <w:rPr>
                <w:sz w:val="20"/>
              </w:rPr>
            </w:pPr>
            <w:r w:rsidRPr="00272F16">
              <w:rPr>
                <w:sz w:val="20"/>
              </w:rPr>
              <w:t>The application for leave to appeal from the judgment of the Court of Appeal for Ontario, Number C57387, 2014 ONCA 575, dated August 7, 2014, is dismissed with costs.</w:t>
            </w:r>
          </w:p>
          <w:p w:rsidR="00272F16" w:rsidRPr="00272F16" w:rsidRDefault="00272F16" w:rsidP="00272F16">
            <w:pPr>
              <w:jc w:val="both"/>
              <w:rPr>
                <w:sz w:val="20"/>
              </w:rPr>
            </w:pPr>
          </w:p>
          <w:p w:rsidR="00272F16" w:rsidRPr="00272F16" w:rsidRDefault="00272F16" w:rsidP="00272F16">
            <w:pPr>
              <w:ind w:firstLine="720"/>
              <w:jc w:val="both"/>
              <w:rPr>
                <w:sz w:val="20"/>
                <w:lang w:val="fr-CA"/>
              </w:rPr>
            </w:pPr>
            <w:r w:rsidRPr="00272F16">
              <w:rPr>
                <w:sz w:val="20"/>
                <w:lang w:val="fr-CA"/>
              </w:rPr>
              <w:t>La demande d’autorisation d’appel de l’arrêt de la Cour d’appel de l’Ontario, numéro C57387, 2014 ONCA 575, daté du 7 août 2014, est rejetée avec dépens.</w:t>
            </w:r>
          </w:p>
        </w:tc>
      </w:tr>
    </w:tbl>
    <w:p w:rsidR="000D6E5D" w:rsidRPr="00272F16" w:rsidRDefault="000D6E5D" w:rsidP="000D6E5D">
      <w:pPr>
        <w:rPr>
          <w:sz w:val="20"/>
          <w:szCs w:val="20"/>
          <w:lang w:val="fr-CA"/>
        </w:rPr>
      </w:pPr>
    </w:p>
    <w:p w:rsidR="000D6E5D" w:rsidRPr="001B157C" w:rsidRDefault="000D6E5D" w:rsidP="000D6E5D">
      <w:pPr>
        <w:rPr>
          <w:sz w:val="20"/>
          <w:szCs w:val="20"/>
          <w:u w:val="single"/>
        </w:rPr>
      </w:pPr>
      <w:r w:rsidRPr="001B157C">
        <w:rPr>
          <w:sz w:val="20"/>
          <w:szCs w:val="20"/>
          <w:u w:val="single"/>
        </w:rPr>
        <w:t>CASE SUMMARY</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44212" w:rsidRPr="00C45D88" w:rsidTr="00582919">
        <w:tc>
          <w:tcPr>
            <w:tcW w:w="5000" w:type="pct"/>
            <w:gridSpan w:val="3"/>
          </w:tcPr>
          <w:p w:rsidR="00B44212" w:rsidRPr="00C45D88" w:rsidRDefault="00B44212" w:rsidP="00582919">
            <w:pPr>
              <w:jc w:val="both"/>
              <w:rPr>
                <w:sz w:val="20"/>
                <w:lang w:eastAsia="en-CA"/>
              </w:rPr>
            </w:pPr>
            <w:r w:rsidRPr="00C45D88">
              <w:rPr>
                <w:sz w:val="20"/>
                <w:lang w:eastAsia="en-CA"/>
              </w:rPr>
              <w:t xml:space="preserve">Taxation — Income tax — Interest payments — Tax assessments — Ontario </w:t>
            </w:r>
            <w:r w:rsidRPr="00C45D88">
              <w:rPr>
                <w:i/>
                <w:sz w:val="20"/>
                <w:lang w:eastAsia="en-CA"/>
              </w:rPr>
              <w:t>Corporations Tax Act</w:t>
            </w:r>
            <w:r w:rsidRPr="00C45D88">
              <w:rPr>
                <w:sz w:val="20"/>
                <w:lang w:eastAsia="en-CA"/>
              </w:rPr>
              <w:t>, R.S.O. 1990, c. C.40 — GAAR — Company appealing tax reassessment — Trial judge dismissing appeal and finding interest is income from a business carried on in Canada — Court of Appeal allowing Inter-Leasing’s appeal and setting aside trial order — Whether Court of Appeal erred in reversing finding that income was income from a business carried on by Inter-Leasing in Canada — Whether Court of Appeal erred in failing to apply GAAR with respect to Ontario corporate income tax — Whether Court of Appeal erred in finding income was not included in Inter-Leasing’s adjusted net income for purposes of CMT — Whether Court of Appeal erred in failing to apply GAAR with respect to CMT?</w:t>
            </w:r>
          </w:p>
        </w:tc>
      </w:tr>
      <w:tr w:rsidR="00B44212" w:rsidRPr="00C45D88" w:rsidTr="00582919">
        <w:tc>
          <w:tcPr>
            <w:tcW w:w="5000" w:type="pct"/>
            <w:gridSpan w:val="3"/>
          </w:tcPr>
          <w:p w:rsidR="00B44212" w:rsidRPr="00C45D88" w:rsidRDefault="00B44212" w:rsidP="00582919">
            <w:pPr>
              <w:jc w:val="both"/>
              <w:rPr>
                <w:rFonts w:eastAsia="Calibri"/>
                <w:sz w:val="20"/>
              </w:rPr>
            </w:pPr>
          </w:p>
        </w:tc>
      </w:tr>
      <w:tr w:rsidR="00B44212" w:rsidRPr="00C45D88" w:rsidTr="00582919">
        <w:tc>
          <w:tcPr>
            <w:tcW w:w="5000" w:type="pct"/>
            <w:gridSpan w:val="3"/>
          </w:tcPr>
          <w:p w:rsidR="00B44212" w:rsidRDefault="00B44212" w:rsidP="00582919">
            <w:pPr>
              <w:shd w:val="clear" w:color="auto" w:fill="FFFFFF"/>
              <w:jc w:val="both"/>
              <w:rPr>
                <w:sz w:val="20"/>
              </w:rPr>
            </w:pPr>
            <w:r w:rsidRPr="00C45D88">
              <w:rPr>
                <w:sz w:val="20"/>
              </w:rPr>
              <w:t xml:space="preserve">This appeal concerns the validity of a series of tax reassessments issued to the respondent, Inter-Leasing by the applicant, the Minister of Revenue under </w:t>
            </w:r>
            <w:r w:rsidRPr="00C45D88">
              <w:rPr>
                <w:iCs/>
                <w:sz w:val="20"/>
              </w:rPr>
              <w:t>Ontario’s</w:t>
            </w:r>
            <w:r w:rsidRPr="00C45D88">
              <w:rPr>
                <w:i/>
                <w:iCs/>
                <w:sz w:val="20"/>
              </w:rPr>
              <w:t xml:space="preserve"> </w:t>
            </w:r>
            <w:hyperlink r:id="rId27" w:history="1">
              <w:r w:rsidRPr="00C45D88">
                <w:rPr>
                  <w:i/>
                  <w:iCs/>
                  <w:color w:val="027ABB"/>
                  <w:sz w:val="20"/>
                </w:rPr>
                <w:t>Corporations Tax Act</w:t>
              </w:r>
              <w:r w:rsidRPr="00C45D88">
                <w:rPr>
                  <w:color w:val="027ABB"/>
                  <w:sz w:val="20"/>
                </w:rPr>
                <w:t>, R.S.O. 1990, c. C.40</w:t>
              </w:r>
            </w:hyperlink>
            <w:r w:rsidRPr="00C45D88">
              <w:rPr>
                <w:sz w:val="20"/>
              </w:rPr>
              <w:t xml:space="preserve">. </w:t>
            </w:r>
          </w:p>
          <w:p w:rsidR="00B44212" w:rsidRPr="00C45D88" w:rsidRDefault="00B44212" w:rsidP="00582919">
            <w:pPr>
              <w:shd w:val="clear" w:color="auto" w:fill="FFFFFF"/>
              <w:jc w:val="both"/>
              <w:rPr>
                <w:sz w:val="20"/>
              </w:rPr>
            </w:pPr>
          </w:p>
          <w:p w:rsidR="00B44212" w:rsidRDefault="00B44212" w:rsidP="00582919">
            <w:pPr>
              <w:shd w:val="clear" w:color="auto" w:fill="FFFFFF"/>
              <w:jc w:val="both"/>
              <w:rPr>
                <w:sz w:val="20"/>
              </w:rPr>
            </w:pPr>
            <w:r w:rsidRPr="00C45D88">
              <w:rPr>
                <w:sz w:val="20"/>
              </w:rPr>
              <w:t xml:space="preserve">Under the tax reassessments, Inter-Leasing is obliged to pay tax on certain interest payments it received during its 2001 to 2004 taxation years as well as interest on the arrears. For the purposes of corporate income tax, the Minister included $271, 756, 874 in Inter-Leasing’s income for the taxation years.  </w:t>
            </w:r>
          </w:p>
          <w:p w:rsidR="00B44212" w:rsidRPr="00C45D88" w:rsidRDefault="00B44212" w:rsidP="00582919">
            <w:pPr>
              <w:shd w:val="clear" w:color="auto" w:fill="FFFFFF"/>
              <w:jc w:val="both"/>
              <w:rPr>
                <w:sz w:val="20"/>
              </w:rPr>
            </w:pPr>
          </w:p>
          <w:p w:rsidR="00B44212" w:rsidRPr="00C45D88" w:rsidRDefault="00B44212" w:rsidP="00582919">
            <w:pPr>
              <w:shd w:val="clear" w:color="auto" w:fill="FFFFFF"/>
              <w:jc w:val="both"/>
              <w:rPr>
                <w:sz w:val="20"/>
              </w:rPr>
            </w:pPr>
            <w:r w:rsidRPr="00C45D88">
              <w:rPr>
                <w:sz w:val="20"/>
              </w:rPr>
              <w:t>Inter-Leasing appealed the tax reassessments.  The trial judge dismissed the appeal.  The Court of Appeal allowed the appeal and set aside the judgment of Aston J.</w:t>
            </w:r>
          </w:p>
          <w:p w:rsidR="00B44212" w:rsidRPr="00C45D88" w:rsidRDefault="00B44212" w:rsidP="00582919">
            <w:pPr>
              <w:jc w:val="both"/>
              <w:rPr>
                <w:rFonts w:eastAsia="Calibri"/>
                <w:sz w:val="20"/>
              </w:rPr>
            </w:pPr>
          </w:p>
        </w:tc>
      </w:tr>
      <w:tr w:rsidR="00B44212" w:rsidRPr="00C45D88" w:rsidTr="00582919">
        <w:tc>
          <w:tcPr>
            <w:tcW w:w="2427" w:type="pct"/>
          </w:tcPr>
          <w:p w:rsidR="00B44212" w:rsidRPr="00C45D88" w:rsidRDefault="00B44212" w:rsidP="00582919">
            <w:pPr>
              <w:jc w:val="both"/>
              <w:rPr>
                <w:rFonts w:eastAsia="Calibri"/>
                <w:sz w:val="20"/>
              </w:rPr>
            </w:pPr>
            <w:r w:rsidRPr="00C45D88">
              <w:rPr>
                <w:rFonts w:eastAsia="Calibri"/>
                <w:sz w:val="20"/>
              </w:rPr>
              <w:t>June 26, 2013</w:t>
            </w:r>
          </w:p>
          <w:p w:rsidR="00B44212" w:rsidRPr="00C45D88" w:rsidRDefault="00B44212" w:rsidP="00582919">
            <w:pPr>
              <w:jc w:val="both"/>
              <w:rPr>
                <w:rFonts w:eastAsia="Calibri"/>
                <w:sz w:val="20"/>
              </w:rPr>
            </w:pPr>
            <w:r w:rsidRPr="00C45D88">
              <w:rPr>
                <w:rFonts w:eastAsia="Calibri"/>
                <w:sz w:val="20"/>
              </w:rPr>
              <w:t>Ontario Superior Court of Justice</w:t>
            </w:r>
          </w:p>
          <w:p w:rsidR="00B44212" w:rsidRPr="00C45D88" w:rsidRDefault="00B44212" w:rsidP="00582919">
            <w:pPr>
              <w:jc w:val="both"/>
              <w:rPr>
                <w:rFonts w:eastAsia="Calibri"/>
                <w:sz w:val="20"/>
              </w:rPr>
            </w:pPr>
            <w:r w:rsidRPr="00C45D88">
              <w:rPr>
                <w:rFonts w:eastAsia="Calibri"/>
                <w:sz w:val="20"/>
              </w:rPr>
              <w:t>(Aston J.)</w:t>
            </w:r>
          </w:p>
          <w:p w:rsidR="00B44212" w:rsidRPr="00C45D88" w:rsidRDefault="003A60BB" w:rsidP="00582919">
            <w:pPr>
              <w:jc w:val="both"/>
              <w:rPr>
                <w:rFonts w:eastAsia="Calibri"/>
                <w:sz w:val="20"/>
              </w:rPr>
            </w:pPr>
            <w:hyperlink r:id="rId28" w:history="1">
              <w:r w:rsidR="00B44212" w:rsidRPr="00C45D88">
                <w:rPr>
                  <w:rFonts w:eastAsia="Calibri"/>
                  <w:color w:val="0000FF"/>
                  <w:sz w:val="20"/>
                  <w:u w:val="single"/>
                </w:rPr>
                <w:t>2013 ONSC 2927</w:t>
              </w:r>
            </w:hyperlink>
          </w:p>
          <w:p w:rsidR="00B44212" w:rsidRPr="00C45D88" w:rsidRDefault="00B44212" w:rsidP="00582919">
            <w:pPr>
              <w:jc w:val="both"/>
              <w:rPr>
                <w:rFonts w:eastAsia="Calibri"/>
                <w:sz w:val="20"/>
              </w:rPr>
            </w:pPr>
          </w:p>
        </w:tc>
        <w:tc>
          <w:tcPr>
            <w:tcW w:w="243" w:type="pct"/>
          </w:tcPr>
          <w:p w:rsidR="00B44212" w:rsidRPr="00C45D88" w:rsidRDefault="00B44212" w:rsidP="00582919">
            <w:pPr>
              <w:jc w:val="both"/>
              <w:rPr>
                <w:rFonts w:eastAsia="Calibri"/>
                <w:sz w:val="20"/>
              </w:rPr>
            </w:pPr>
          </w:p>
        </w:tc>
        <w:tc>
          <w:tcPr>
            <w:tcW w:w="2330" w:type="pct"/>
          </w:tcPr>
          <w:p w:rsidR="00B44212" w:rsidRPr="00C45D88" w:rsidRDefault="00B44212" w:rsidP="00582919">
            <w:pPr>
              <w:jc w:val="both"/>
              <w:rPr>
                <w:rFonts w:eastAsia="Calibri"/>
                <w:sz w:val="20"/>
              </w:rPr>
            </w:pPr>
            <w:r w:rsidRPr="00C45D88">
              <w:rPr>
                <w:rFonts w:eastAsia="Calibri"/>
                <w:sz w:val="20"/>
              </w:rPr>
              <w:t xml:space="preserve">Appeal dismissed. </w:t>
            </w:r>
          </w:p>
        </w:tc>
      </w:tr>
      <w:tr w:rsidR="00B44212" w:rsidRPr="00C45D88" w:rsidTr="00272F16">
        <w:trPr>
          <w:cantSplit/>
        </w:trPr>
        <w:tc>
          <w:tcPr>
            <w:tcW w:w="2427" w:type="pct"/>
          </w:tcPr>
          <w:p w:rsidR="00B44212" w:rsidRPr="00C45D88" w:rsidRDefault="00B44212" w:rsidP="00582919">
            <w:pPr>
              <w:jc w:val="both"/>
              <w:rPr>
                <w:rFonts w:eastAsia="Calibri"/>
                <w:sz w:val="20"/>
              </w:rPr>
            </w:pPr>
            <w:r w:rsidRPr="00C45D88">
              <w:rPr>
                <w:rFonts w:eastAsia="Calibri"/>
                <w:sz w:val="20"/>
              </w:rPr>
              <w:t>August 7, 2014</w:t>
            </w:r>
          </w:p>
          <w:p w:rsidR="00B44212" w:rsidRPr="00C45D88" w:rsidRDefault="00B44212" w:rsidP="00582919">
            <w:pPr>
              <w:jc w:val="both"/>
              <w:rPr>
                <w:rFonts w:eastAsia="Calibri"/>
                <w:sz w:val="20"/>
              </w:rPr>
            </w:pPr>
            <w:r w:rsidRPr="00C45D88">
              <w:rPr>
                <w:rFonts w:eastAsia="Calibri"/>
                <w:sz w:val="20"/>
              </w:rPr>
              <w:t>Court of Appeal for Ontario</w:t>
            </w:r>
          </w:p>
          <w:p w:rsidR="00B44212" w:rsidRPr="00C45D88" w:rsidRDefault="00B44212" w:rsidP="00582919">
            <w:pPr>
              <w:jc w:val="both"/>
              <w:rPr>
                <w:rFonts w:eastAsia="Calibri"/>
                <w:sz w:val="20"/>
              </w:rPr>
            </w:pPr>
            <w:r w:rsidRPr="00C45D88">
              <w:rPr>
                <w:rFonts w:eastAsia="Calibri"/>
                <w:sz w:val="20"/>
              </w:rPr>
              <w:t>(Weiler, Hourigan and Pardu JJ.A.)</w:t>
            </w:r>
          </w:p>
          <w:p w:rsidR="00B44212" w:rsidRPr="00C45D88" w:rsidRDefault="003A60BB" w:rsidP="00582919">
            <w:pPr>
              <w:jc w:val="both"/>
              <w:rPr>
                <w:rFonts w:eastAsia="Calibri"/>
                <w:sz w:val="20"/>
              </w:rPr>
            </w:pPr>
            <w:hyperlink r:id="rId29" w:history="1">
              <w:r w:rsidR="00B44212" w:rsidRPr="00C45D88">
                <w:rPr>
                  <w:rFonts w:eastAsia="Calibri"/>
                  <w:color w:val="0000FF"/>
                  <w:sz w:val="20"/>
                  <w:u w:val="single"/>
                </w:rPr>
                <w:t>2014 ONCA 575</w:t>
              </w:r>
            </w:hyperlink>
          </w:p>
          <w:p w:rsidR="00B44212" w:rsidRPr="00C45D88" w:rsidRDefault="00B44212" w:rsidP="00582919">
            <w:pPr>
              <w:jc w:val="both"/>
              <w:rPr>
                <w:rFonts w:eastAsia="Calibri"/>
                <w:sz w:val="20"/>
              </w:rPr>
            </w:pPr>
            <w:r w:rsidRPr="00C45D88">
              <w:rPr>
                <w:rFonts w:eastAsia="Calibri"/>
                <w:sz w:val="20"/>
              </w:rPr>
              <w:t>File No.: C57387</w:t>
            </w:r>
          </w:p>
          <w:p w:rsidR="00B44212" w:rsidRPr="00C45D88" w:rsidRDefault="00B44212" w:rsidP="00582919">
            <w:pPr>
              <w:jc w:val="both"/>
              <w:rPr>
                <w:rFonts w:eastAsia="Calibri"/>
                <w:sz w:val="20"/>
              </w:rPr>
            </w:pPr>
          </w:p>
        </w:tc>
        <w:tc>
          <w:tcPr>
            <w:tcW w:w="243" w:type="pct"/>
          </w:tcPr>
          <w:p w:rsidR="00B44212" w:rsidRPr="00C45D88" w:rsidRDefault="00B44212" w:rsidP="00582919">
            <w:pPr>
              <w:jc w:val="both"/>
              <w:rPr>
                <w:rFonts w:eastAsia="Calibri"/>
                <w:sz w:val="20"/>
              </w:rPr>
            </w:pPr>
          </w:p>
        </w:tc>
        <w:tc>
          <w:tcPr>
            <w:tcW w:w="2330" w:type="pct"/>
          </w:tcPr>
          <w:p w:rsidR="00B44212" w:rsidRPr="00C45D88" w:rsidRDefault="00B44212" w:rsidP="00582919">
            <w:pPr>
              <w:jc w:val="both"/>
              <w:rPr>
                <w:rFonts w:eastAsia="Calibri"/>
                <w:sz w:val="20"/>
              </w:rPr>
            </w:pPr>
            <w:r w:rsidRPr="00C45D88">
              <w:rPr>
                <w:rFonts w:eastAsia="Calibri"/>
                <w:sz w:val="20"/>
              </w:rPr>
              <w:t xml:space="preserve">Appeal allowed and judgment of Aston J. set aside. </w:t>
            </w:r>
          </w:p>
        </w:tc>
      </w:tr>
      <w:tr w:rsidR="00B44212" w:rsidRPr="00C45D88" w:rsidTr="00272F16">
        <w:trPr>
          <w:cantSplit/>
        </w:trPr>
        <w:tc>
          <w:tcPr>
            <w:tcW w:w="2427" w:type="pct"/>
          </w:tcPr>
          <w:p w:rsidR="00B44212" w:rsidRPr="00C45D88" w:rsidRDefault="00B44212" w:rsidP="00582919">
            <w:pPr>
              <w:jc w:val="both"/>
              <w:rPr>
                <w:rFonts w:eastAsia="Calibri"/>
                <w:sz w:val="20"/>
              </w:rPr>
            </w:pPr>
            <w:r w:rsidRPr="00C45D88">
              <w:rPr>
                <w:rFonts w:eastAsia="Calibri"/>
                <w:sz w:val="20"/>
              </w:rPr>
              <w:t>October 6, 2014</w:t>
            </w:r>
          </w:p>
          <w:p w:rsidR="00B44212" w:rsidRPr="00C45D88" w:rsidRDefault="00B44212" w:rsidP="00582919">
            <w:pPr>
              <w:jc w:val="both"/>
              <w:rPr>
                <w:rFonts w:eastAsia="Calibri"/>
                <w:sz w:val="20"/>
              </w:rPr>
            </w:pPr>
            <w:r w:rsidRPr="00C45D88">
              <w:rPr>
                <w:rFonts w:eastAsia="Calibri"/>
                <w:sz w:val="20"/>
              </w:rPr>
              <w:t>Supreme Court of Canada</w:t>
            </w:r>
          </w:p>
        </w:tc>
        <w:tc>
          <w:tcPr>
            <w:tcW w:w="243" w:type="pct"/>
          </w:tcPr>
          <w:p w:rsidR="00B44212" w:rsidRPr="00C45D88" w:rsidRDefault="00B44212" w:rsidP="00582919">
            <w:pPr>
              <w:jc w:val="both"/>
              <w:rPr>
                <w:rFonts w:eastAsia="Calibri"/>
                <w:sz w:val="20"/>
              </w:rPr>
            </w:pPr>
          </w:p>
        </w:tc>
        <w:tc>
          <w:tcPr>
            <w:tcW w:w="2330" w:type="pct"/>
          </w:tcPr>
          <w:p w:rsidR="00B44212" w:rsidRPr="00C45D88" w:rsidRDefault="00B44212" w:rsidP="00582919">
            <w:pPr>
              <w:jc w:val="both"/>
              <w:rPr>
                <w:rFonts w:eastAsia="Calibri"/>
                <w:sz w:val="20"/>
              </w:rPr>
            </w:pPr>
            <w:r w:rsidRPr="00C45D88">
              <w:rPr>
                <w:rFonts w:eastAsia="Calibri"/>
                <w:sz w:val="20"/>
              </w:rPr>
              <w:t>Application for leave to appeal filed.</w:t>
            </w:r>
          </w:p>
        </w:tc>
      </w:tr>
    </w:tbl>
    <w:p w:rsidR="000D6E5D" w:rsidRDefault="000D6E5D" w:rsidP="000D6E5D">
      <w:pPr>
        <w:rPr>
          <w:sz w:val="20"/>
          <w:szCs w:val="20"/>
        </w:rPr>
      </w:pPr>
    </w:p>
    <w:p w:rsidR="000D6E5D" w:rsidRPr="00C50A5C" w:rsidRDefault="003A60BB" w:rsidP="000D6E5D">
      <w:pPr>
        <w:rPr>
          <w:sz w:val="20"/>
          <w:szCs w:val="20"/>
        </w:rPr>
      </w:pPr>
      <w:r>
        <w:rPr>
          <w:sz w:val="20"/>
          <w:szCs w:val="20"/>
          <w:lang w:val="fr-CA"/>
        </w:rPr>
        <w:pict>
          <v:rect id="_x0000_i1042" style="width:2in;height:1pt" o:hrpct="0" o:hralign="center" o:hrstd="t" o:hrnoshade="t" o:hr="t" fillcolor="black [3213]" stroked="f"/>
        </w:pict>
      </w:r>
    </w:p>
    <w:p w:rsidR="000D6E5D" w:rsidRDefault="000D6E5D" w:rsidP="000D6E5D">
      <w:pPr>
        <w:rPr>
          <w:sz w:val="20"/>
          <w:szCs w:val="20"/>
        </w:rPr>
      </w:pPr>
    </w:p>
    <w:p w:rsidR="000D6E5D" w:rsidRPr="001B157C" w:rsidRDefault="000D6E5D" w:rsidP="000D6E5D">
      <w:pPr>
        <w:rPr>
          <w:sz w:val="20"/>
          <w:szCs w:val="20"/>
          <w:u w:val="single"/>
          <w:lang w:val="fr-CA"/>
        </w:rPr>
      </w:pPr>
      <w:r w:rsidRPr="001B157C">
        <w:rPr>
          <w:sz w:val="20"/>
          <w:szCs w:val="20"/>
          <w:u w:val="single"/>
          <w:lang w:val="fr-CA"/>
        </w:rPr>
        <w:t>RÉSUMÉ DE L’AFFAIRE</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44212" w:rsidRPr="00B66683" w:rsidTr="00582919">
        <w:tc>
          <w:tcPr>
            <w:tcW w:w="5000" w:type="pct"/>
            <w:gridSpan w:val="3"/>
          </w:tcPr>
          <w:p w:rsidR="00B44212" w:rsidRPr="00C45D88" w:rsidRDefault="00B44212" w:rsidP="00582919">
            <w:pPr>
              <w:jc w:val="both"/>
              <w:rPr>
                <w:sz w:val="20"/>
                <w:lang w:val="fr-CA" w:eastAsia="en-CA"/>
              </w:rPr>
            </w:pPr>
            <w:r w:rsidRPr="00C45D88">
              <w:rPr>
                <w:sz w:val="20"/>
                <w:lang w:val="fr-CA" w:eastAsia="en-CA"/>
              </w:rPr>
              <w:t xml:space="preserve">Droit fiscal — Impôt sur le revenu — Paiements d’intérêts — Cotisations d’impôt — Ontario </w:t>
            </w:r>
            <w:r w:rsidRPr="00C45D88">
              <w:rPr>
                <w:i/>
                <w:sz w:val="20"/>
                <w:lang w:val="fr-CA" w:eastAsia="en-CA"/>
              </w:rPr>
              <w:t>Loi sur l’imposition des sociétés</w:t>
            </w:r>
            <w:r w:rsidRPr="00C45D88">
              <w:rPr>
                <w:sz w:val="20"/>
                <w:lang w:val="fr-CA" w:eastAsia="en-CA"/>
              </w:rPr>
              <w:t>, L.R.O. 1990, c. C.40 — RGAÉ — La société a interjeté appel de la cotisation d’impôt — Le juge du procès a rejeté l’appel et a déterminé que l’intérêt constituait un revenu d’une entreprise exploitée au Canada — La Cour d’appel a accueilli l’appel d’Inter-Leasing et a annulé la décision du juge du procès — Est-ce que la Cour d’appel a commis une erreur en infirmant la décision selon laquelle l’intérêt constituait un revenu d’une entreprise exploitée au Canada? — Est-ce que la Cour d’appel a commis une erreur en n’appliquant pas RGAÉ relativement à l’impôt sur le revenu des sociétés en Ontario? — Est-ce que la Cour d’appel a commis une erreur en décidant que l’intérêt n’était pas inclus dans le revenu net rajusté d’Inter-Leasing aux fins de l’impôt minimum (CMT)? — Est-ce que la Cour d’appel a commis une erreur en n’appliquant pas RGAÉ relativement à l’impôt minimum (CMT)?</w:t>
            </w:r>
          </w:p>
        </w:tc>
      </w:tr>
      <w:tr w:rsidR="00B44212" w:rsidRPr="00B66683" w:rsidTr="00582919">
        <w:tc>
          <w:tcPr>
            <w:tcW w:w="5000" w:type="pct"/>
            <w:gridSpan w:val="3"/>
          </w:tcPr>
          <w:p w:rsidR="00B44212" w:rsidRPr="00C45D88" w:rsidRDefault="00B44212" w:rsidP="00582919">
            <w:pPr>
              <w:jc w:val="both"/>
              <w:rPr>
                <w:rFonts w:eastAsia="Calibri"/>
                <w:sz w:val="20"/>
                <w:lang w:val="fr-CA"/>
              </w:rPr>
            </w:pPr>
          </w:p>
        </w:tc>
      </w:tr>
      <w:tr w:rsidR="00B44212" w:rsidRPr="00B66683" w:rsidTr="00582919">
        <w:tc>
          <w:tcPr>
            <w:tcW w:w="5000" w:type="pct"/>
            <w:gridSpan w:val="3"/>
          </w:tcPr>
          <w:p w:rsidR="00B44212" w:rsidRDefault="00B44212" w:rsidP="00582919">
            <w:pPr>
              <w:shd w:val="clear" w:color="auto" w:fill="FFFFFF"/>
              <w:jc w:val="both"/>
              <w:rPr>
                <w:sz w:val="20"/>
                <w:lang w:val="fr-CA"/>
              </w:rPr>
            </w:pPr>
            <w:r w:rsidRPr="00C45D88">
              <w:rPr>
                <w:sz w:val="20"/>
                <w:lang w:val="fr-CA"/>
              </w:rPr>
              <w:t xml:space="preserve">Le présent pourvoi porte sur la validité d’une série de nouvelles cotisations d’impôt qui ont été délivrées à l’intimé, Inter-Leasing par le demandeur, le Ministre du Revenu en vertu de la loi de l’Ontario </w:t>
            </w:r>
            <w:hyperlink r:id="rId30" w:history="1">
              <w:r w:rsidRPr="00C45D88">
                <w:rPr>
                  <w:i/>
                  <w:iCs/>
                  <w:color w:val="027ABB"/>
                  <w:sz w:val="20"/>
                  <w:lang w:val="fr-CA"/>
                </w:rPr>
                <w:t>Loi sur l’imposition des sociétés</w:t>
              </w:r>
              <w:r w:rsidRPr="00C45D88">
                <w:rPr>
                  <w:color w:val="027ABB"/>
                  <w:sz w:val="20"/>
                  <w:lang w:val="fr-CA"/>
                </w:rPr>
                <w:t>, L.R.O. 1990, c. C.40</w:t>
              </w:r>
            </w:hyperlink>
            <w:r w:rsidRPr="00C45D88">
              <w:rPr>
                <w:sz w:val="20"/>
                <w:lang w:val="fr-CA"/>
              </w:rPr>
              <w:t xml:space="preserve">. </w:t>
            </w:r>
          </w:p>
          <w:p w:rsidR="00B44212" w:rsidRPr="00C45D88" w:rsidRDefault="00B44212" w:rsidP="00582919">
            <w:pPr>
              <w:shd w:val="clear" w:color="auto" w:fill="FFFFFF"/>
              <w:jc w:val="both"/>
              <w:rPr>
                <w:sz w:val="20"/>
                <w:lang w:val="fr-CA"/>
              </w:rPr>
            </w:pPr>
          </w:p>
          <w:p w:rsidR="00B44212" w:rsidRDefault="00B44212" w:rsidP="00582919">
            <w:pPr>
              <w:shd w:val="clear" w:color="auto" w:fill="FFFFFF"/>
              <w:jc w:val="both"/>
              <w:rPr>
                <w:sz w:val="20"/>
                <w:lang w:val="fr-CA"/>
              </w:rPr>
            </w:pPr>
            <w:r w:rsidRPr="00C45D88">
              <w:rPr>
                <w:sz w:val="20"/>
                <w:lang w:val="fr-CA"/>
              </w:rPr>
              <w:t xml:space="preserve">En vertu des nouvelles cotisations d’impôt, Inter-Leasing est tenue de payer l’impôt sur certains paiements d’intérêts reçus durant les années d’imposition 2001 à 2004 en plus de l’intérêt sur l’arriéré.  Aux fins de l’impôt sur le revenu des sociétés, le ministre a inclu 271 $, 756 $ et 874 $ au revenu d’Inter-Leasing pour les années d’imposition.   </w:t>
            </w:r>
          </w:p>
          <w:p w:rsidR="00B44212" w:rsidRPr="00C45D88" w:rsidRDefault="00B44212" w:rsidP="00582919">
            <w:pPr>
              <w:shd w:val="clear" w:color="auto" w:fill="FFFFFF"/>
              <w:jc w:val="both"/>
              <w:rPr>
                <w:sz w:val="20"/>
                <w:lang w:val="fr-CA"/>
              </w:rPr>
            </w:pPr>
          </w:p>
          <w:p w:rsidR="00B44212" w:rsidRPr="00C45D88" w:rsidRDefault="00B44212" w:rsidP="00582919">
            <w:pPr>
              <w:shd w:val="clear" w:color="auto" w:fill="FFFFFF"/>
              <w:jc w:val="both"/>
              <w:rPr>
                <w:sz w:val="20"/>
                <w:lang w:val="fr-CA"/>
              </w:rPr>
            </w:pPr>
            <w:r w:rsidRPr="00C45D88">
              <w:rPr>
                <w:sz w:val="20"/>
                <w:lang w:val="fr-CA"/>
              </w:rPr>
              <w:t>Inter-Leasing a interjeté appel des nouvelles cotisations d’impôt.  Le juge du procès a rejeté l’appel.  La Cour d’appel a accueilli l’appel et a annulé la décision du juge Aston.</w:t>
            </w:r>
          </w:p>
          <w:p w:rsidR="00B44212" w:rsidRPr="00C45D88" w:rsidRDefault="00B44212" w:rsidP="00582919">
            <w:pPr>
              <w:jc w:val="both"/>
              <w:rPr>
                <w:rFonts w:eastAsia="Calibri"/>
                <w:sz w:val="20"/>
                <w:lang w:val="fr-CA"/>
              </w:rPr>
            </w:pPr>
          </w:p>
        </w:tc>
      </w:tr>
      <w:tr w:rsidR="00B44212" w:rsidRPr="00C45D88" w:rsidTr="00582919">
        <w:tc>
          <w:tcPr>
            <w:tcW w:w="2427" w:type="pct"/>
          </w:tcPr>
          <w:p w:rsidR="00B44212" w:rsidRPr="00C45D88" w:rsidRDefault="00B44212" w:rsidP="00582919">
            <w:pPr>
              <w:jc w:val="both"/>
              <w:rPr>
                <w:rFonts w:eastAsia="Calibri"/>
                <w:sz w:val="20"/>
                <w:lang w:val="fr-CA"/>
              </w:rPr>
            </w:pPr>
            <w:r w:rsidRPr="00C45D88">
              <w:rPr>
                <w:rFonts w:eastAsia="Calibri"/>
                <w:sz w:val="20"/>
                <w:lang w:val="fr-CA"/>
              </w:rPr>
              <w:t>26 juin 2013</w:t>
            </w:r>
          </w:p>
          <w:p w:rsidR="00B44212" w:rsidRPr="00C45D88" w:rsidRDefault="00B44212" w:rsidP="00582919">
            <w:pPr>
              <w:jc w:val="both"/>
              <w:rPr>
                <w:rFonts w:eastAsia="Calibri"/>
                <w:sz w:val="20"/>
                <w:lang w:val="fr-CA"/>
              </w:rPr>
            </w:pPr>
            <w:r w:rsidRPr="00C45D88">
              <w:rPr>
                <w:rFonts w:eastAsia="Calibri"/>
                <w:sz w:val="20"/>
                <w:lang w:val="fr-CA"/>
              </w:rPr>
              <w:t xml:space="preserve">Cour supérieure de justice de l’Ontario </w:t>
            </w:r>
          </w:p>
          <w:p w:rsidR="00B44212" w:rsidRPr="00C45D88" w:rsidRDefault="00B44212" w:rsidP="00582919">
            <w:pPr>
              <w:jc w:val="both"/>
              <w:rPr>
                <w:rFonts w:eastAsia="Calibri"/>
                <w:sz w:val="20"/>
              </w:rPr>
            </w:pPr>
            <w:r w:rsidRPr="00C45D88">
              <w:rPr>
                <w:rFonts w:eastAsia="Calibri"/>
                <w:sz w:val="20"/>
              </w:rPr>
              <w:t>(Juge Aston)</w:t>
            </w:r>
          </w:p>
          <w:p w:rsidR="00B44212" w:rsidRPr="00C45D88" w:rsidRDefault="003A60BB" w:rsidP="00582919">
            <w:pPr>
              <w:jc w:val="both"/>
              <w:rPr>
                <w:rFonts w:eastAsia="Calibri"/>
                <w:sz w:val="20"/>
              </w:rPr>
            </w:pPr>
            <w:hyperlink r:id="rId31" w:history="1">
              <w:r w:rsidR="00B44212" w:rsidRPr="00C45D88">
                <w:rPr>
                  <w:rFonts w:eastAsia="Calibri"/>
                  <w:color w:val="0000FF"/>
                  <w:sz w:val="20"/>
                  <w:u w:val="single"/>
                </w:rPr>
                <w:t>2013 ONSC 2927</w:t>
              </w:r>
            </w:hyperlink>
          </w:p>
          <w:p w:rsidR="00B44212" w:rsidRPr="00C45D88" w:rsidRDefault="00B44212" w:rsidP="00582919">
            <w:pPr>
              <w:jc w:val="both"/>
              <w:rPr>
                <w:rFonts w:eastAsia="Calibri"/>
                <w:sz w:val="20"/>
              </w:rPr>
            </w:pPr>
          </w:p>
        </w:tc>
        <w:tc>
          <w:tcPr>
            <w:tcW w:w="243" w:type="pct"/>
          </w:tcPr>
          <w:p w:rsidR="00B44212" w:rsidRPr="00C45D88" w:rsidRDefault="00B44212" w:rsidP="00582919">
            <w:pPr>
              <w:jc w:val="both"/>
              <w:rPr>
                <w:rFonts w:eastAsia="Calibri"/>
                <w:sz w:val="20"/>
              </w:rPr>
            </w:pPr>
          </w:p>
        </w:tc>
        <w:tc>
          <w:tcPr>
            <w:tcW w:w="2330" w:type="pct"/>
          </w:tcPr>
          <w:p w:rsidR="00B44212" w:rsidRPr="00C45D88" w:rsidRDefault="00B44212" w:rsidP="00582919">
            <w:pPr>
              <w:jc w:val="both"/>
              <w:rPr>
                <w:rFonts w:eastAsia="Calibri"/>
                <w:sz w:val="20"/>
              </w:rPr>
            </w:pPr>
            <w:r w:rsidRPr="00C45D88">
              <w:rPr>
                <w:rFonts w:eastAsia="Calibri"/>
                <w:sz w:val="20"/>
              </w:rPr>
              <w:t xml:space="preserve">Appel rejeté. </w:t>
            </w:r>
          </w:p>
        </w:tc>
      </w:tr>
      <w:tr w:rsidR="00B44212" w:rsidRPr="00B66683" w:rsidTr="00582919">
        <w:tc>
          <w:tcPr>
            <w:tcW w:w="2427" w:type="pct"/>
          </w:tcPr>
          <w:p w:rsidR="00B44212" w:rsidRPr="00C45D88" w:rsidRDefault="00B44212" w:rsidP="00582919">
            <w:pPr>
              <w:jc w:val="both"/>
              <w:rPr>
                <w:rFonts w:eastAsia="Calibri"/>
                <w:sz w:val="20"/>
                <w:lang w:val="fr-CA"/>
              </w:rPr>
            </w:pPr>
            <w:r w:rsidRPr="00C45D88">
              <w:rPr>
                <w:rFonts w:eastAsia="Calibri"/>
                <w:sz w:val="20"/>
                <w:lang w:val="fr-CA"/>
              </w:rPr>
              <w:t>7 août 2014</w:t>
            </w:r>
          </w:p>
          <w:p w:rsidR="00B44212" w:rsidRPr="00C45D88" w:rsidRDefault="00B44212" w:rsidP="00582919">
            <w:pPr>
              <w:jc w:val="both"/>
              <w:rPr>
                <w:rFonts w:eastAsia="Calibri"/>
                <w:sz w:val="20"/>
                <w:lang w:val="fr-CA"/>
              </w:rPr>
            </w:pPr>
            <w:r w:rsidRPr="00C45D88">
              <w:rPr>
                <w:rFonts w:eastAsia="Calibri"/>
                <w:sz w:val="20"/>
                <w:lang w:val="fr-CA"/>
              </w:rPr>
              <w:t>Cour d’appel de l’Ontario</w:t>
            </w:r>
          </w:p>
          <w:p w:rsidR="00B44212" w:rsidRPr="00C45D88" w:rsidRDefault="00B44212" w:rsidP="00582919">
            <w:pPr>
              <w:jc w:val="both"/>
              <w:rPr>
                <w:rFonts w:eastAsia="Calibri"/>
                <w:sz w:val="20"/>
                <w:lang w:val="fr-CA"/>
              </w:rPr>
            </w:pPr>
            <w:r w:rsidRPr="00C45D88">
              <w:rPr>
                <w:rFonts w:eastAsia="Calibri"/>
                <w:sz w:val="20"/>
                <w:lang w:val="fr-CA"/>
              </w:rPr>
              <w:t>(Juges Weiler, Hourigan et Pardu)</w:t>
            </w:r>
          </w:p>
          <w:p w:rsidR="00B44212" w:rsidRPr="00C45D88" w:rsidRDefault="003A60BB" w:rsidP="00582919">
            <w:pPr>
              <w:jc w:val="both"/>
              <w:rPr>
                <w:rFonts w:eastAsia="Calibri"/>
                <w:sz w:val="20"/>
              </w:rPr>
            </w:pPr>
            <w:hyperlink r:id="rId32" w:history="1">
              <w:r w:rsidR="00B44212" w:rsidRPr="00C45D88">
                <w:rPr>
                  <w:rFonts w:eastAsia="Calibri"/>
                  <w:color w:val="0000FF"/>
                  <w:sz w:val="20"/>
                  <w:u w:val="single"/>
                </w:rPr>
                <w:t>2014 ONCA 575</w:t>
              </w:r>
            </w:hyperlink>
          </w:p>
          <w:p w:rsidR="00B44212" w:rsidRPr="00C45D88" w:rsidRDefault="00B44212" w:rsidP="00582919">
            <w:pPr>
              <w:jc w:val="both"/>
              <w:rPr>
                <w:rFonts w:eastAsia="Calibri"/>
                <w:sz w:val="20"/>
              </w:rPr>
            </w:pPr>
            <w:r w:rsidRPr="00C45D88">
              <w:rPr>
                <w:rFonts w:eastAsia="Calibri"/>
                <w:sz w:val="20"/>
              </w:rPr>
              <w:t>File No.: C57387</w:t>
            </w:r>
          </w:p>
          <w:p w:rsidR="00B44212" w:rsidRPr="00C45D88" w:rsidRDefault="00B44212" w:rsidP="00582919">
            <w:pPr>
              <w:jc w:val="both"/>
              <w:rPr>
                <w:rFonts w:eastAsia="Calibri"/>
                <w:sz w:val="20"/>
              </w:rPr>
            </w:pPr>
          </w:p>
        </w:tc>
        <w:tc>
          <w:tcPr>
            <w:tcW w:w="243" w:type="pct"/>
          </w:tcPr>
          <w:p w:rsidR="00B44212" w:rsidRPr="00C45D88" w:rsidRDefault="00B44212" w:rsidP="00582919">
            <w:pPr>
              <w:jc w:val="both"/>
              <w:rPr>
                <w:rFonts w:eastAsia="Calibri"/>
                <w:sz w:val="20"/>
              </w:rPr>
            </w:pPr>
          </w:p>
        </w:tc>
        <w:tc>
          <w:tcPr>
            <w:tcW w:w="2330" w:type="pct"/>
          </w:tcPr>
          <w:p w:rsidR="00B44212" w:rsidRPr="00C45D88" w:rsidRDefault="00B44212" w:rsidP="00582919">
            <w:pPr>
              <w:jc w:val="both"/>
              <w:rPr>
                <w:rFonts w:eastAsia="Calibri"/>
                <w:sz w:val="20"/>
                <w:lang w:val="fr-CA"/>
              </w:rPr>
            </w:pPr>
            <w:r w:rsidRPr="00C45D88">
              <w:rPr>
                <w:rFonts w:eastAsia="Calibri"/>
                <w:sz w:val="20"/>
                <w:lang w:val="fr-CA"/>
              </w:rPr>
              <w:t>Appel accueilli et la décision du juge Aston est annulée.</w:t>
            </w:r>
          </w:p>
        </w:tc>
      </w:tr>
      <w:tr w:rsidR="00B44212" w:rsidRPr="00C45D88" w:rsidTr="00582919">
        <w:tc>
          <w:tcPr>
            <w:tcW w:w="2427" w:type="pct"/>
          </w:tcPr>
          <w:p w:rsidR="00B44212" w:rsidRPr="00C45D88" w:rsidRDefault="00B44212" w:rsidP="00582919">
            <w:pPr>
              <w:jc w:val="both"/>
              <w:rPr>
                <w:rFonts w:eastAsia="Calibri"/>
                <w:sz w:val="20"/>
                <w:lang w:val="fr-CA"/>
              </w:rPr>
            </w:pPr>
            <w:r w:rsidRPr="00C45D88">
              <w:rPr>
                <w:rFonts w:eastAsia="Calibri"/>
                <w:sz w:val="20"/>
                <w:lang w:val="fr-CA"/>
              </w:rPr>
              <w:t>6 octobre 2014</w:t>
            </w:r>
          </w:p>
          <w:p w:rsidR="00B44212" w:rsidRPr="00C45D88" w:rsidRDefault="00B44212" w:rsidP="00582919">
            <w:pPr>
              <w:jc w:val="both"/>
              <w:rPr>
                <w:rFonts w:eastAsia="Calibri"/>
                <w:sz w:val="20"/>
                <w:lang w:val="fr-CA"/>
              </w:rPr>
            </w:pPr>
            <w:r w:rsidRPr="00C45D88">
              <w:rPr>
                <w:rFonts w:eastAsia="Calibri"/>
                <w:sz w:val="20"/>
                <w:lang w:val="fr-CA"/>
              </w:rPr>
              <w:t>Cour suprême du Canada</w:t>
            </w:r>
          </w:p>
        </w:tc>
        <w:tc>
          <w:tcPr>
            <w:tcW w:w="243" w:type="pct"/>
          </w:tcPr>
          <w:p w:rsidR="00B44212" w:rsidRPr="00C45D88" w:rsidRDefault="00B44212" w:rsidP="00582919">
            <w:pPr>
              <w:jc w:val="both"/>
              <w:rPr>
                <w:rFonts w:eastAsia="Calibri"/>
                <w:sz w:val="20"/>
                <w:lang w:val="fr-CA"/>
              </w:rPr>
            </w:pPr>
          </w:p>
        </w:tc>
        <w:tc>
          <w:tcPr>
            <w:tcW w:w="2330" w:type="pct"/>
          </w:tcPr>
          <w:p w:rsidR="00B44212" w:rsidRPr="00C45D88" w:rsidRDefault="00B44212" w:rsidP="00582919">
            <w:pPr>
              <w:jc w:val="both"/>
              <w:rPr>
                <w:rFonts w:eastAsia="Calibri"/>
                <w:sz w:val="20"/>
              </w:rPr>
            </w:pPr>
            <w:r w:rsidRPr="00C45D88">
              <w:rPr>
                <w:rFonts w:eastAsia="Calibri"/>
                <w:sz w:val="20"/>
              </w:rPr>
              <w:t>Demande d’autorisation d’appel déposée.</w:t>
            </w:r>
          </w:p>
        </w:tc>
      </w:tr>
    </w:tbl>
    <w:p w:rsidR="000D6E5D" w:rsidRDefault="000D6E5D" w:rsidP="000D6E5D">
      <w:pPr>
        <w:rPr>
          <w:sz w:val="20"/>
          <w:szCs w:val="20"/>
        </w:rPr>
      </w:pPr>
    </w:p>
    <w:p w:rsidR="000D6E5D" w:rsidRDefault="003A60BB" w:rsidP="000D6E5D">
      <w:pPr>
        <w:rPr>
          <w:sz w:val="20"/>
          <w:szCs w:val="20"/>
        </w:rPr>
      </w:pPr>
      <w:r>
        <w:rPr>
          <w:sz w:val="20"/>
          <w:szCs w:val="20"/>
          <w:lang w:val="fr-CA"/>
        </w:rPr>
        <w:pict>
          <v:rect id="_x0000_i1043" style="width:2in;height:1pt" o:hrpct="0" o:hralign="center" o:hrstd="t" o:hrnoshade="t" o:hr="t" fillcolor="black [3213]" stroked="f"/>
        </w:pict>
      </w:r>
    </w:p>
    <w:p w:rsidR="000D6E5D" w:rsidRDefault="000D6E5D" w:rsidP="000D6E5D">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72F16" w:rsidRPr="00272F16" w:rsidTr="003431AF">
        <w:trPr>
          <w:cantSplit/>
        </w:trPr>
        <w:tc>
          <w:tcPr>
            <w:tcW w:w="1458" w:type="dxa"/>
          </w:tcPr>
          <w:p w:rsidR="00272F16" w:rsidRPr="00272F16" w:rsidRDefault="00272F16" w:rsidP="00272F16">
            <w:pPr>
              <w:rPr>
                <w:sz w:val="20"/>
              </w:rPr>
            </w:pPr>
            <w:r w:rsidRPr="00272F16">
              <w:rPr>
                <w:b/>
                <w:sz w:val="20"/>
                <w:lang w:val="fr-CA"/>
              </w:rPr>
              <w:t>36122</w:t>
            </w:r>
          </w:p>
          <w:p w:rsidR="00272F16" w:rsidRPr="00272F16" w:rsidRDefault="00272F16" w:rsidP="00272F16">
            <w:pPr>
              <w:rPr>
                <w:b/>
                <w:sz w:val="20"/>
                <w:lang w:val="fr-CA"/>
              </w:rPr>
            </w:pPr>
          </w:p>
        </w:tc>
        <w:tc>
          <w:tcPr>
            <w:tcW w:w="8118" w:type="dxa"/>
          </w:tcPr>
          <w:p w:rsidR="00272F16" w:rsidRPr="00272F16" w:rsidRDefault="00272F16" w:rsidP="00272F16">
            <w:pPr>
              <w:jc w:val="both"/>
              <w:rPr>
                <w:sz w:val="20"/>
              </w:rPr>
            </w:pPr>
            <w:r w:rsidRPr="00272F16">
              <w:rPr>
                <w:b/>
                <w:sz w:val="20"/>
                <w:u w:val="single"/>
              </w:rPr>
              <w:t>Applied Consumer &amp; Clinical Evaluations Inc. v. Vicky Karen Strudwick</w:t>
            </w:r>
            <w:r w:rsidRPr="00272F16">
              <w:rPr>
                <w:sz w:val="20"/>
              </w:rPr>
              <w:t xml:space="preserve"> (Ont.) (Civil) (By Leave)</w:t>
            </w:r>
          </w:p>
          <w:p w:rsidR="00272F16" w:rsidRPr="00272F16" w:rsidRDefault="00272F16" w:rsidP="00272F16">
            <w:pPr>
              <w:jc w:val="both"/>
              <w:rPr>
                <w:sz w:val="20"/>
              </w:rPr>
            </w:pPr>
          </w:p>
        </w:tc>
      </w:tr>
      <w:tr w:rsidR="00272F16" w:rsidRPr="00272F16" w:rsidTr="003431AF">
        <w:trPr>
          <w:cantSplit/>
        </w:trPr>
        <w:tc>
          <w:tcPr>
            <w:tcW w:w="1458" w:type="dxa"/>
          </w:tcPr>
          <w:p w:rsidR="00272F16" w:rsidRPr="00272F16" w:rsidRDefault="00272F16" w:rsidP="00272F16">
            <w:pPr>
              <w:rPr>
                <w:sz w:val="20"/>
              </w:rPr>
            </w:pPr>
            <w:r w:rsidRPr="00272F16">
              <w:rPr>
                <w:sz w:val="20"/>
              </w:rPr>
              <w:t>Coram :</w:t>
            </w:r>
          </w:p>
        </w:tc>
        <w:tc>
          <w:tcPr>
            <w:tcW w:w="8118" w:type="dxa"/>
          </w:tcPr>
          <w:p w:rsidR="00272F16" w:rsidRPr="00272F16" w:rsidRDefault="00272F16" w:rsidP="00272F16">
            <w:pPr>
              <w:rPr>
                <w:sz w:val="20"/>
              </w:rPr>
            </w:pPr>
            <w:r w:rsidRPr="00272F16">
              <w:rPr>
                <w:sz w:val="20"/>
                <w:u w:val="single"/>
              </w:rPr>
              <w:t>McLachlin C.J. and Wagner and Gascon JJ.</w:t>
            </w:r>
          </w:p>
          <w:p w:rsidR="00272F16" w:rsidRPr="00272F16" w:rsidRDefault="00272F16" w:rsidP="00272F16">
            <w:pPr>
              <w:rPr>
                <w:sz w:val="20"/>
                <w:u w:val="single"/>
              </w:rPr>
            </w:pPr>
          </w:p>
        </w:tc>
      </w:tr>
      <w:tr w:rsidR="00272F16" w:rsidRPr="00B66683" w:rsidTr="003431AF">
        <w:trPr>
          <w:cantSplit/>
        </w:trPr>
        <w:tc>
          <w:tcPr>
            <w:tcW w:w="9576" w:type="dxa"/>
            <w:gridSpan w:val="2"/>
          </w:tcPr>
          <w:p w:rsidR="00272F16" w:rsidRPr="00272F16" w:rsidRDefault="00272F16" w:rsidP="00272F16">
            <w:pPr>
              <w:ind w:firstLine="720"/>
              <w:jc w:val="both"/>
              <w:rPr>
                <w:sz w:val="20"/>
              </w:rPr>
            </w:pPr>
            <w:r w:rsidRPr="00272F16">
              <w:rPr>
                <w:sz w:val="20"/>
              </w:rPr>
              <w:t xml:space="preserve">The application for leave to appeal from the judgment of the Court of Appeal for Ontario, Number C58588, 2014 ONCA 588, dated August 14, 2014, is dismissed with costs in accordance with the Tariff of fees and disbursements set out in Schedule B of the </w:t>
            </w:r>
            <w:r w:rsidRPr="00272F16">
              <w:rPr>
                <w:i/>
                <w:sz w:val="20"/>
              </w:rPr>
              <w:t>Rules of the Supreme Court of Canada</w:t>
            </w:r>
            <w:r w:rsidRPr="00272F16">
              <w:rPr>
                <w:sz w:val="20"/>
              </w:rPr>
              <w:t>.</w:t>
            </w:r>
          </w:p>
          <w:p w:rsidR="00272F16" w:rsidRPr="00272F16" w:rsidRDefault="00272F16" w:rsidP="00272F16">
            <w:pPr>
              <w:jc w:val="both"/>
              <w:rPr>
                <w:sz w:val="20"/>
              </w:rPr>
            </w:pPr>
          </w:p>
          <w:p w:rsidR="00272F16" w:rsidRPr="00272F16" w:rsidRDefault="00272F16" w:rsidP="00272F16">
            <w:pPr>
              <w:ind w:firstLine="720"/>
              <w:jc w:val="both"/>
              <w:rPr>
                <w:sz w:val="20"/>
                <w:lang w:val="fr-CA"/>
              </w:rPr>
            </w:pPr>
            <w:r w:rsidRPr="00272F16">
              <w:rPr>
                <w:sz w:val="20"/>
                <w:lang w:val="fr-CA"/>
              </w:rPr>
              <w:t xml:space="preserve">La demande d’autorisation d’appel de l’arrêt de la Cour d’appel de l’Ontario, numéro C58588, 2014 ONCA 588, daté du 14 août 2014, est rejetée avec dépens conformément au Tarif des honoraires et débours énoncés à l’annexe B des </w:t>
            </w:r>
            <w:r w:rsidRPr="00272F16">
              <w:rPr>
                <w:i/>
                <w:sz w:val="20"/>
                <w:lang w:val="fr-CA"/>
              </w:rPr>
              <w:t>Règles de la Cour suprême du Canada</w:t>
            </w:r>
            <w:r w:rsidRPr="00272F16">
              <w:rPr>
                <w:sz w:val="20"/>
                <w:lang w:val="fr-CA"/>
              </w:rPr>
              <w:t>.</w:t>
            </w:r>
          </w:p>
        </w:tc>
      </w:tr>
    </w:tbl>
    <w:p w:rsidR="000D6E5D" w:rsidRPr="00272F16" w:rsidRDefault="000D6E5D" w:rsidP="000D6E5D">
      <w:pPr>
        <w:rPr>
          <w:sz w:val="20"/>
          <w:szCs w:val="20"/>
          <w:lang w:val="fr-CA"/>
        </w:rPr>
      </w:pPr>
    </w:p>
    <w:p w:rsidR="000D6E5D" w:rsidRPr="001B157C" w:rsidRDefault="000D6E5D" w:rsidP="000D6E5D">
      <w:pPr>
        <w:rPr>
          <w:sz w:val="20"/>
          <w:szCs w:val="20"/>
          <w:u w:val="single"/>
        </w:rPr>
      </w:pPr>
      <w:r w:rsidRPr="001B157C">
        <w:rPr>
          <w:sz w:val="20"/>
          <w:szCs w:val="20"/>
          <w:u w:val="single"/>
        </w:rPr>
        <w:t>CASE SUMMARY</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44212" w:rsidRPr="00C45D88" w:rsidTr="00582919">
        <w:tc>
          <w:tcPr>
            <w:tcW w:w="5000" w:type="pct"/>
            <w:gridSpan w:val="3"/>
          </w:tcPr>
          <w:p w:rsidR="00B44212" w:rsidRPr="00C45D88" w:rsidRDefault="00B44212" w:rsidP="00582919">
            <w:pPr>
              <w:jc w:val="both"/>
              <w:rPr>
                <w:rFonts w:eastAsia="Calibri"/>
                <w:sz w:val="20"/>
              </w:rPr>
            </w:pPr>
            <w:r w:rsidRPr="00C45D88">
              <w:rPr>
                <w:rFonts w:eastAsia="Calibri"/>
                <w:sz w:val="20"/>
              </w:rPr>
              <w:t>Appeals — Judgments and orders — Noting in default — Respondent commencing action against the applicant — Respondent noting the applicant in default — Applicant’s motion to set aside the noting of default dismissed — Court of Appeal dismissing appeal — Whether the lower courts applied the appropriate test for setting aside a noting in default — Whether the noting in default was tainted by a jurisdictional or procedural irregularity.</w:t>
            </w:r>
          </w:p>
        </w:tc>
      </w:tr>
      <w:tr w:rsidR="00B44212" w:rsidRPr="00C45D88" w:rsidTr="00582919">
        <w:tc>
          <w:tcPr>
            <w:tcW w:w="5000" w:type="pct"/>
            <w:gridSpan w:val="3"/>
          </w:tcPr>
          <w:p w:rsidR="00B44212" w:rsidRPr="00C45D88" w:rsidRDefault="00B44212" w:rsidP="00582919">
            <w:pPr>
              <w:jc w:val="both"/>
              <w:rPr>
                <w:rFonts w:eastAsia="Calibri"/>
                <w:sz w:val="20"/>
              </w:rPr>
            </w:pPr>
          </w:p>
        </w:tc>
      </w:tr>
      <w:tr w:rsidR="00B44212" w:rsidRPr="00C45D88" w:rsidTr="00582919">
        <w:tc>
          <w:tcPr>
            <w:tcW w:w="5000" w:type="pct"/>
            <w:gridSpan w:val="3"/>
          </w:tcPr>
          <w:p w:rsidR="00B44212" w:rsidRPr="00C45D88" w:rsidRDefault="00B44212" w:rsidP="00582919">
            <w:pPr>
              <w:jc w:val="both"/>
              <w:rPr>
                <w:rFonts w:eastAsia="Calibri"/>
                <w:sz w:val="20"/>
              </w:rPr>
            </w:pPr>
            <w:r w:rsidRPr="00C45D88">
              <w:rPr>
                <w:rFonts w:eastAsia="Calibri"/>
                <w:sz w:val="20"/>
              </w:rPr>
              <w:t xml:space="preserve">The respondent, Ms. Strudwick commenced a wrongful dismissal suit against her former employer, the applicant, Applied Consumer &amp; Clinical Evaluations Inc.  The Statement of Claim was served on Applied Consumer on January 19, 2012 and a Notice of Intent to Defend was filed on January 27, 2012.  </w:t>
            </w:r>
          </w:p>
          <w:p w:rsidR="00B44212" w:rsidRPr="00C45D88" w:rsidRDefault="00B44212" w:rsidP="00582919">
            <w:pPr>
              <w:jc w:val="both"/>
              <w:rPr>
                <w:rFonts w:eastAsia="Calibri"/>
                <w:sz w:val="20"/>
              </w:rPr>
            </w:pPr>
          </w:p>
          <w:p w:rsidR="00B44212" w:rsidRPr="00C45D88" w:rsidRDefault="00B44212" w:rsidP="00582919">
            <w:pPr>
              <w:jc w:val="both"/>
              <w:rPr>
                <w:rFonts w:eastAsia="Calibri"/>
                <w:sz w:val="20"/>
              </w:rPr>
            </w:pPr>
            <w:r w:rsidRPr="00C45D88">
              <w:rPr>
                <w:rFonts w:eastAsia="Calibri"/>
                <w:sz w:val="20"/>
              </w:rPr>
              <w:t xml:space="preserve">On November 16, 2012, an order was issued striking portions of the Statement of Claim and specifying other amendments.  Amended Statements of Claim went between the parties over the next several months. </w:t>
            </w:r>
          </w:p>
          <w:p w:rsidR="00B44212" w:rsidRPr="00C45D88" w:rsidRDefault="00B44212" w:rsidP="00582919">
            <w:pPr>
              <w:jc w:val="both"/>
              <w:rPr>
                <w:rFonts w:eastAsia="Calibri"/>
                <w:sz w:val="20"/>
              </w:rPr>
            </w:pPr>
          </w:p>
          <w:p w:rsidR="00B44212" w:rsidRPr="00C45D88" w:rsidRDefault="00B44212" w:rsidP="00582919">
            <w:pPr>
              <w:jc w:val="both"/>
              <w:rPr>
                <w:rFonts w:eastAsia="Calibri"/>
                <w:sz w:val="20"/>
              </w:rPr>
            </w:pPr>
            <w:r w:rsidRPr="00C45D88">
              <w:rPr>
                <w:rFonts w:eastAsia="Calibri"/>
                <w:sz w:val="20"/>
              </w:rPr>
              <w:t>On September 6, 2013, Ms. Strudwick moved to have Applied Consumer noted in default.  Applied Consumer’s motion to set aside the noting in default was dismissed.  The Court of Appeal dismissed the appeal.</w:t>
            </w:r>
          </w:p>
          <w:p w:rsidR="00B44212" w:rsidRPr="00C45D88" w:rsidRDefault="00B44212" w:rsidP="00582919">
            <w:pPr>
              <w:jc w:val="both"/>
              <w:rPr>
                <w:rFonts w:eastAsia="Calibri"/>
                <w:sz w:val="20"/>
              </w:rPr>
            </w:pPr>
          </w:p>
        </w:tc>
      </w:tr>
      <w:tr w:rsidR="00B44212" w:rsidRPr="00C45D88" w:rsidTr="00582919">
        <w:tc>
          <w:tcPr>
            <w:tcW w:w="2427" w:type="pct"/>
          </w:tcPr>
          <w:p w:rsidR="00B44212" w:rsidRPr="00C45D88" w:rsidRDefault="00B44212" w:rsidP="00582919">
            <w:pPr>
              <w:jc w:val="both"/>
              <w:rPr>
                <w:rFonts w:eastAsia="Calibri"/>
                <w:sz w:val="20"/>
              </w:rPr>
            </w:pPr>
            <w:r w:rsidRPr="00C45D88">
              <w:rPr>
                <w:rFonts w:eastAsia="Calibri"/>
                <w:sz w:val="20"/>
              </w:rPr>
              <w:t>March 10, 2014</w:t>
            </w:r>
          </w:p>
          <w:p w:rsidR="00B44212" w:rsidRPr="00C45D88" w:rsidRDefault="00B44212" w:rsidP="00582919">
            <w:pPr>
              <w:jc w:val="both"/>
              <w:rPr>
                <w:rFonts w:eastAsia="Calibri"/>
                <w:sz w:val="20"/>
              </w:rPr>
            </w:pPr>
            <w:r w:rsidRPr="00C45D88">
              <w:rPr>
                <w:rFonts w:eastAsia="Calibri"/>
                <w:sz w:val="20"/>
              </w:rPr>
              <w:t>Ontario Superior Court of Justice</w:t>
            </w:r>
          </w:p>
          <w:p w:rsidR="00B44212" w:rsidRPr="00C45D88" w:rsidRDefault="00B44212" w:rsidP="00582919">
            <w:pPr>
              <w:jc w:val="both"/>
              <w:rPr>
                <w:rFonts w:eastAsia="Calibri"/>
                <w:sz w:val="20"/>
              </w:rPr>
            </w:pPr>
            <w:r w:rsidRPr="00C45D88">
              <w:rPr>
                <w:rFonts w:eastAsia="Calibri"/>
                <w:sz w:val="20"/>
              </w:rPr>
              <w:t>(Spence J.)</w:t>
            </w:r>
          </w:p>
        </w:tc>
        <w:tc>
          <w:tcPr>
            <w:tcW w:w="243" w:type="pct"/>
          </w:tcPr>
          <w:p w:rsidR="00B44212" w:rsidRPr="00C45D88" w:rsidRDefault="00B44212" w:rsidP="00582919">
            <w:pPr>
              <w:jc w:val="both"/>
              <w:rPr>
                <w:rFonts w:eastAsia="Calibri"/>
                <w:sz w:val="20"/>
              </w:rPr>
            </w:pPr>
          </w:p>
        </w:tc>
        <w:tc>
          <w:tcPr>
            <w:tcW w:w="2330" w:type="pct"/>
          </w:tcPr>
          <w:p w:rsidR="00B44212" w:rsidRPr="00C45D88" w:rsidRDefault="00B44212" w:rsidP="00582919">
            <w:pPr>
              <w:jc w:val="both"/>
              <w:rPr>
                <w:rFonts w:eastAsia="Calibri"/>
                <w:sz w:val="20"/>
              </w:rPr>
            </w:pPr>
            <w:r w:rsidRPr="00C45D88">
              <w:rPr>
                <w:rFonts w:eastAsia="Calibri"/>
                <w:sz w:val="20"/>
              </w:rPr>
              <w:t>Applied Consumer &amp; Clinical Evaluations Inc.’s motion to set aside the noting of default dismissed.  Ms. Strudwick’s motion for judgment adjourned to be heard at a later date.</w:t>
            </w:r>
          </w:p>
          <w:p w:rsidR="00B44212" w:rsidRPr="00C45D88" w:rsidRDefault="00B44212" w:rsidP="00582919">
            <w:pPr>
              <w:jc w:val="both"/>
              <w:rPr>
                <w:rFonts w:eastAsia="Calibri"/>
                <w:sz w:val="20"/>
              </w:rPr>
            </w:pPr>
          </w:p>
        </w:tc>
      </w:tr>
      <w:tr w:rsidR="00B44212" w:rsidRPr="00C45D88" w:rsidTr="00582919">
        <w:tc>
          <w:tcPr>
            <w:tcW w:w="2427" w:type="pct"/>
          </w:tcPr>
          <w:p w:rsidR="00B44212" w:rsidRPr="00C45D88" w:rsidRDefault="00B44212" w:rsidP="00582919">
            <w:pPr>
              <w:jc w:val="both"/>
              <w:rPr>
                <w:rFonts w:eastAsia="Calibri"/>
                <w:sz w:val="20"/>
              </w:rPr>
            </w:pPr>
            <w:r w:rsidRPr="00C45D88">
              <w:rPr>
                <w:rFonts w:eastAsia="Calibri"/>
                <w:sz w:val="20"/>
              </w:rPr>
              <w:t>August 14, 2014</w:t>
            </w:r>
          </w:p>
          <w:p w:rsidR="00B44212" w:rsidRPr="00C45D88" w:rsidRDefault="00B44212" w:rsidP="00582919">
            <w:pPr>
              <w:jc w:val="both"/>
              <w:rPr>
                <w:rFonts w:eastAsia="Calibri"/>
                <w:sz w:val="20"/>
              </w:rPr>
            </w:pPr>
            <w:r w:rsidRPr="00C45D88">
              <w:rPr>
                <w:rFonts w:eastAsia="Calibri"/>
                <w:sz w:val="20"/>
              </w:rPr>
              <w:t>Court of Appeal for Ontario</w:t>
            </w:r>
          </w:p>
          <w:p w:rsidR="00B44212" w:rsidRPr="00C45D88" w:rsidRDefault="00B44212" w:rsidP="00582919">
            <w:pPr>
              <w:jc w:val="both"/>
              <w:rPr>
                <w:rFonts w:eastAsia="Calibri"/>
                <w:sz w:val="20"/>
              </w:rPr>
            </w:pPr>
            <w:r w:rsidRPr="00C45D88">
              <w:rPr>
                <w:rFonts w:eastAsia="Calibri"/>
                <w:sz w:val="20"/>
              </w:rPr>
              <w:t>(Doherty, Laskin and Epstein JJ.A.)</w:t>
            </w:r>
          </w:p>
          <w:p w:rsidR="00B44212" w:rsidRPr="00C45D88" w:rsidRDefault="003A60BB" w:rsidP="00582919">
            <w:pPr>
              <w:jc w:val="both"/>
              <w:rPr>
                <w:rFonts w:eastAsia="Calibri"/>
                <w:sz w:val="20"/>
              </w:rPr>
            </w:pPr>
            <w:hyperlink r:id="rId33" w:history="1">
              <w:r w:rsidR="00B44212" w:rsidRPr="00C45D88">
                <w:rPr>
                  <w:rFonts w:eastAsia="Calibri"/>
                  <w:color w:val="0000FF"/>
                  <w:sz w:val="20"/>
                  <w:u w:val="single"/>
                </w:rPr>
                <w:t>2014 ONCA 588</w:t>
              </w:r>
            </w:hyperlink>
          </w:p>
          <w:p w:rsidR="00B44212" w:rsidRPr="00C45D88" w:rsidRDefault="00B44212" w:rsidP="00582919">
            <w:pPr>
              <w:jc w:val="both"/>
              <w:rPr>
                <w:rFonts w:eastAsia="Calibri"/>
                <w:sz w:val="20"/>
              </w:rPr>
            </w:pPr>
            <w:r w:rsidRPr="00C45D88">
              <w:rPr>
                <w:rFonts w:eastAsia="Calibri"/>
                <w:sz w:val="20"/>
              </w:rPr>
              <w:t>File No.: C58588</w:t>
            </w:r>
          </w:p>
          <w:p w:rsidR="00B44212" w:rsidRPr="00C45D88" w:rsidRDefault="00B44212" w:rsidP="00582919">
            <w:pPr>
              <w:jc w:val="both"/>
              <w:rPr>
                <w:rFonts w:eastAsia="Calibri"/>
                <w:sz w:val="20"/>
              </w:rPr>
            </w:pPr>
          </w:p>
        </w:tc>
        <w:tc>
          <w:tcPr>
            <w:tcW w:w="243" w:type="pct"/>
          </w:tcPr>
          <w:p w:rsidR="00B44212" w:rsidRPr="00C45D88" w:rsidRDefault="00B44212" w:rsidP="00582919">
            <w:pPr>
              <w:jc w:val="both"/>
              <w:rPr>
                <w:rFonts w:eastAsia="Calibri"/>
                <w:sz w:val="20"/>
              </w:rPr>
            </w:pPr>
          </w:p>
        </w:tc>
        <w:tc>
          <w:tcPr>
            <w:tcW w:w="2330" w:type="pct"/>
          </w:tcPr>
          <w:p w:rsidR="00B44212" w:rsidRPr="00C45D88" w:rsidRDefault="00B44212" w:rsidP="00582919">
            <w:pPr>
              <w:jc w:val="both"/>
              <w:rPr>
                <w:rFonts w:eastAsia="Calibri"/>
                <w:sz w:val="20"/>
              </w:rPr>
            </w:pPr>
            <w:r w:rsidRPr="00C45D88">
              <w:rPr>
                <w:rFonts w:eastAsia="Calibri"/>
                <w:sz w:val="20"/>
              </w:rPr>
              <w:t>Appeal dismissed.</w:t>
            </w:r>
          </w:p>
        </w:tc>
      </w:tr>
      <w:tr w:rsidR="00B44212" w:rsidRPr="00C45D88" w:rsidTr="00582919">
        <w:tc>
          <w:tcPr>
            <w:tcW w:w="2427" w:type="pct"/>
          </w:tcPr>
          <w:p w:rsidR="00B44212" w:rsidRPr="00C45D88" w:rsidRDefault="00B44212" w:rsidP="00582919">
            <w:pPr>
              <w:jc w:val="both"/>
              <w:rPr>
                <w:rFonts w:eastAsia="Calibri"/>
                <w:sz w:val="20"/>
              </w:rPr>
            </w:pPr>
            <w:r w:rsidRPr="00C45D88">
              <w:rPr>
                <w:rFonts w:eastAsia="Calibri"/>
                <w:sz w:val="20"/>
              </w:rPr>
              <w:t>October 9, 2014</w:t>
            </w:r>
          </w:p>
          <w:p w:rsidR="00B44212" w:rsidRPr="00C45D88" w:rsidRDefault="00B44212" w:rsidP="00582919">
            <w:pPr>
              <w:jc w:val="both"/>
              <w:rPr>
                <w:rFonts w:eastAsia="Calibri"/>
                <w:sz w:val="20"/>
              </w:rPr>
            </w:pPr>
            <w:r w:rsidRPr="00C45D88">
              <w:rPr>
                <w:rFonts w:eastAsia="Calibri"/>
                <w:sz w:val="20"/>
              </w:rPr>
              <w:t>Supreme Court of Canada</w:t>
            </w:r>
          </w:p>
        </w:tc>
        <w:tc>
          <w:tcPr>
            <w:tcW w:w="243" w:type="pct"/>
          </w:tcPr>
          <w:p w:rsidR="00B44212" w:rsidRPr="00C45D88" w:rsidRDefault="00B44212" w:rsidP="00582919">
            <w:pPr>
              <w:jc w:val="both"/>
              <w:rPr>
                <w:rFonts w:eastAsia="Calibri"/>
                <w:sz w:val="20"/>
              </w:rPr>
            </w:pPr>
          </w:p>
        </w:tc>
        <w:tc>
          <w:tcPr>
            <w:tcW w:w="2330" w:type="pct"/>
          </w:tcPr>
          <w:p w:rsidR="00B44212" w:rsidRPr="00C45D88" w:rsidRDefault="00B44212" w:rsidP="00582919">
            <w:pPr>
              <w:jc w:val="both"/>
              <w:rPr>
                <w:rFonts w:eastAsia="Calibri"/>
                <w:sz w:val="20"/>
              </w:rPr>
            </w:pPr>
            <w:r w:rsidRPr="00C45D88">
              <w:rPr>
                <w:rFonts w:eastAsia="Calibri"/>
                <w:sz w:val="20"/>
              </w:rPr>
              <w:t>Application for leave to appeal filed.</w:t>
            </w:r>
          </w:p>
        </w:tc>
      </w:tr>
    </w:tbl>
    <w:p w:rsidR="000D6E5D" w:rsidRDefault="000D6E5D" w:rsidP="000D6E5D">
      <w:pPr>
        <w:rPr>
          <w:sz w:val="20"/>
          <w:szCs w:val="20"/>
        </w:rPr>
      </w:pPr>
    </w:p>
    <w:p w:rsidR="000D6E5D" w:rsidRPr="00C50A5C" w:rsidRDefault="003A60BB" w:rsidP="000D6E5D">
      <w:pPr>
        <w:rPr>
          <w:sz w:val="20"/>
          <w:szCs w:val="20"/>
        </w:rPr>
      </w:pPr>
      <w:r>
        <w:rPr>
          <w:sz w:val="20"/>
          <w:szCs w:val="20"/>
          <w:lang w:val="fr-CA"/>
        </w:rPr>
        <w:pict>
          <v:rect id="_x0000_i1044" style="width:2in;height:1pt" o:hrpct="0" o:hralign="center" o:hrstd="t" o:hrnoshade="t" o:hr="t" fillcolor="black [3213]" stroked="f"/>
        </w:pict>
      </w:r>
    </w:p>
    <w:p w:rsidR="000D6E5D" w:rsidRDefault="000D6E5D" w:rsidP="000D6E5D">
      <w:pPr>
        <w:rPr>
          <w:sz w:val="20"/>
          <w:szCs w:val="20"/>
        </w:rPr>
      </w:pPr>
    </w:p>
    <w:p w:rsidR="000D6E5D" w:rsidRPr="001B157C" w:rsidRDefault="000D6E5D" w:rsidP="000D6E5D">
      <w:pPr>
        <w:rPr>
          <w:sz w:val="20"/>
          <w:szCs w:val="20"/>
          <w:u w:val="single"/>
          <w:lang w:val="fr-CA"/>
        </w:rPr>
      </w:pPr>
      <w:r w:rsidRPr="001B157C">
        <w:rPr>
          <w:sz w:val="20"/>
          <w:szCs w:val="20"/>
          <w:u w:val="single"/>
          <w:lang w:val="fr-CA"/>
        </w:rPr>
        <w:t>RÉSUMÉ DE L’AFFAIRE</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44212" w:rsidRPr="00B66683" w:rsidTr="00582919">
        <w:tc>
          <w:tcPr>
            <w:tcW w:w="5000" w:type="pct"/>
            <w:gridSpan w:val="3"/>
          </w:tcPr>
          <w:p w:rsidR="00B44212" w:rsidRPr="00C45D88" w:rsidRDefault="00B44212" w:rsidP="00582919">
            <w:pPr>
              <w:contextualSpacing/>
              <w:jc w:val="both"/>
              <w:rPr>
                <w:rFonts w:eastAsia="Calibri"/>
                <w:sz w:val="20"/>
                <w:lang w:val="fr-CA"/>
              </w:rPr>
            </w:pPr>
            <w:r w:rsidRPr="00C45D88">
              <w:rPr>
                <w:rFonts w:eastAsia="Calibri"/>
                <w:sz w:val="20"/>
                <w:lang w:val="fr-CA"/>
              </w:rPr>
              <w:t>Appels — Jugements et ordonnances — Constatation du défaut — L’intimée a intenté une action contre la demanderesse — L’intimée a fait constater le défaut de la demanderesse — La requête de la demanderesse en annulation de la constatation du défaut a été rejetée — La Cour d’appel a rejeté l’appel — Les juridictions inférieures ont-elles appliqué le bon critère pour annuler une constatation du défaut? — La constatation du défaut était-elle entachée d’une irrégularité de compétence ou de procédure?</w:t>
            </w:r>
          </w:p>
        </w:tc>
      </w:tr>
      <w:tr w:rsidR="00B44212" w:rsidRPr="00B66683" w:rsidTr="00582919">
        <w:tc>
          <w:tcPr>
            <w:tcW w:w="5000" w:type="pct"/>
            <w:gridSpan w:val="3"/>
          </w:tcPr>
          <w:p w:rsidR="00B44212" w:rsidRPr="00C45D88" w:rsidRDefault="00B44212" w:rsidP="00582919">
            <w:pPr>
              <w:contextualSpacing/>
              <w:jc w:val="both"/>
              <w:rPr>
                <w:rFonts w:eastAsia="Calibri"/>
                <w:sz w:val="20"/>
                <w:lang w:val="fr-CA"/>
              </w:rPr>
            </w:pPr>
          </w:p>
        </w:tc>
      </w:tr>
      <w:tr w:rsidR="00B44212" w:rsidRPr="00C45D88" w:rsidTr="00582919">
        <w:tc>
          <w:tcPr>
            <w:tcW w:w="5000" w:type="pct"/>
            <w:gridSpan w:val="3"/>
          </w:tcPr>
          <w:p w:rsidR="00B44212" w:rsidRPr="00C45D88" w:rsidRDefault="00B44212" w:rsidP="00582919">
            <w:pPr>
              <w:contextualSpacing/>
              <w:jc w:val="both"/>
              <w:rPr>
                <w:rFonts w:eastAsia="Calibri"/>
                <w:sz w:val="20"/>
                <w:lang w:val="fr-CA"/>
              </w:rPr>
            </w:pPr>
            <w:r w:rsidRPr="00C45D88">
              <w:rPr>
                <w:rFonts w:eastAsia="Calibri"/>
                <w:sz w:val="20"/>
                <w:lang w:val="fr-CA"/>
              </w:rPr>
              <w:t xml:space="preserve">L’intimée, Mme Strudwick, a intenté une poursuite en congédiement injustifié contre son ancien employeur, la demanderesse, Applied Consumer &amp; Clinical Evaluations Inc.  Une déclaration a été signifiée à Applied Consumer le 19 janvier 2012 et un avis d’intention de présenter une défense a été déposé le 27 janvier 2012.  </w:t>
            </w:r>
          </w:p>
          <w:p w:rsidR="00B44212" w:rsidRPr="00C45D88" w:rsidRDefault="00B44212" w:rsidP="00582919">
            <w:pPr>
              <w:contextualSpacing/>
              <w:jc w:val="both"/>
              <w:rPr>
                <w:rFonts w:eastAsia="Calibri"/>
                <w:sz w:val="20"/>
                <w:lang w:val="fr-CA"/>
              </w:rPr>
            </w:pPr>
          </w:p>
          <w:p w:rsidR="00B44212" w:rsidRPr="00C45D88" w:rsidRDefault="00B44212" w:rsidP="00582919">
            <w:pPr>
              <w:contextualSpacing/>
              <w:jc w:val="both"/>
              <w:rPr>
                <w:rFonts w:eastAsia="Calibri"/>
                <w:sz w:val="20"/>
                <w:lang w:val="fr-CA"/>
              </w:rPr>
            </w:pPr>
            <w:r w:rsidRPr="00C45D88">
              <w:rPr>
                <w:rFonts w:eastAsia="Calibri"/>
                <w:sz w:val="20"/>
                <w:lang w:val="fr-CA"/>
              </w:rPr>
              <w:t xml:space="preserve">Le 16 novembre 2012, une ordonnance a été prononcée, radiant des parties de la déclaration et précisant d’autres modifications.  Des déclarations modifiées ont été échangées entre les parties au cours des mois qui ont suivi. </w:t>
            </w:r>
          </w:p>
          <w:p w:rsidR="00B44212" w:rsidRPr="00C45D88" w:rsidRDefault="00B44212" w:rsidP="00582919">
            <w:pPr>
              <w:contextualSpacing/>
              <w:jc w:val="both"/>
              <w:rPr>
                <w:rFonts w:eastAsia="Calibri"/>
                <w:sz w:val="20"/>
                <w:lang w:val="fr-CA"/>
              </w:rPr>
            </w:pPr>
          </w:p>
          <w:p w:rsidR="00B44212" w:rsidRPr="00C45D88" w:rsidRDefault="00B44212" w:rsidP="00582919">
            <w:pPr>
              <w:contextualSpacing/>
              <w:jc w:val="both"/>
              <w:rPr>
                <w:rFonts w:eastAsia="Calibri"/>
                <w:sz w:val="20"/>
                <w:lang w:val="fr-CA"/>
              </w:rPr>
            </w:pPr>
            <w:r w:rsidRPr="00C45D88">
              <w:rPr>
                <w:rFonts w:eastAsia="Calibri"/>
                <w:sz w:val="20"/>
                <w:lang w:val="fr-CA"/>
              </w:rPr>
              <w:t>Le 6 septembre 2013, Mme Strudwick a présenté une motion pour faire constater le défaut d’Applied Consumer.  La motion d’Applied Consumer en annulation de la constatation du défaut a été rejetée.  La Cour d’appel a rejeté l’appel.</w:t>
            </w:r>
          </w:p>
          <w:p w:rsidR="00B44212" w:rsidRPr="00C45D88" w:rsidRDefault="00B44212" w:rsidP="00582919">
            <w:pPr>
              <w:contextualSpacing/>
              <w:jc w:val="both"/>
              <w:rPr>
                <w:rFonts w:eastAsia="Calibri"/>
                <w:sz w:val="20"/>
                <w:lang w:val="fr-CA"/>
              </w:rPr>
            </w:pPr>
          </w:p>
        </w:tc>
      </w:tr>
      <w:tr w:rsidR="00B44212" w:rsidRPr="00B66683" w:rsidTr="00582919">
        <w:tc>
          <w:tcPr>
            <w:tcW w:w="2427" w:type="pct"/>
          </w:tcPr>
          <w:p w:rsidR="00B44212" w:rsidRPr="00C45D88" w:rsidRDefault="00B44212" w:rsidP="00582919">
            <w:pPr>
              <w:contextualSpacing/>
              <w:jc w:val="both"/>
              <w:rPr>
                <w:rFonts w:eastAsia="Calibri"/>
                <w:sz w:val="20"/>
                <w:lang w:val="fr-CA"/>
              </w:rPr>
            </w:pPr>
            <w:r w:rsidRPr="00C45D88">
              <w:rPr>
                <w:rFonts w:eastAsia="Calibri"/>
                <w:sz w:val="20"/>
                <w:lang w:val="fr-CA"/>
              </w:rPr>
              <w:t>10 mars 2014</w:t>
            </w:r>
          </w:p>
          <w:p w:rsidR="00B44212" w:rsidRPr="00C45D88" w:rsidRDefault="00B44212" w:rsidP="00582919">
            <w:pPr>
              <w:contextualSpacing/>
              <w:jc w:val="both"/>
              <w:rPr>
                <w:rFonts w:eastAsia="Calibri"/>
                <w:sz w:val="20"/>
                <w:lang w:val="fr-CA"/>
              </w:rPr>
            </w:pPr>
            <w:r w:rsidRPr="00C45D88">
              <w:rPr>
                <w:rFonts w:eastAsia="Calibri"/>
                <w:sz w:val="20"/>
                <w:lang w:val="fr-CA"/>
              </w:rPr>
              <w:t>Cour supérieure de justice de l’Ontario</w:t>
            </w:r>
          </w:p>
          <w:p w:rsidR="00B44212" w:rsidRPr="00C45D88" w:rsidRDefault="00B44212" w:rsidP="00582919">
            <w:pPr>
              <w:contextualSpacing/>
              <w:jc w:val="both"/>
              <w:rPr>
                <w:rFonts w:eastAsia="Calibri"/>
                <w:sz w:val="20"/>
                <w:lang w:val="fr-CA"/>
              </w:rPr>
            </w:pPr>
            <w:r w:rsidRPr="00C45D88">
              <w:rPr>
                <w:rFonts w:eastAsia="Calibri"/>
                <w:sz w:val="20"/>
                <w:lang w:val="fr-CA"/>
              </w:rPr>
              <w:t>(Juge Spence)</w:t>
            </w:r>
          </w:p>
        </w:tc>
        <w:tc>
          <w:tcPr>
            <w:tcW w:w="243" w:type="pct"/>
          </w:tcPr>
          <w:p w:rsidR="00B44212" w:rsidRPr="00C45D88" w:rsidRDefault="00B44212" w:rsidP="00582919">
            <w:pPr>
              <w:contextualSpacing/>
              <w:jc w:val="both"/>
              <w:rPr>
                <w:rFonts w:eastAsia="Calibri"/>
                <w:sz w:val="20"/>
                <w:lang w:val="fr-CA"/>
              </w:rPr>
            </w:pPr>
          </w:p>
        </w:tc>
        <w:tc>
          <w:tcPr>
            <w:tcW w:w="2330" w:type="pct"/>
          </w:tcPr>
          <w:p w:rsidR="00B44212" w:rsidRPr="00C45D88" w:rsidRDefault="00B44212" w:rsidP="00582919">
            <w:pPr>
              <w:contextualSpacing/>
              <w:jc w:val="both"/>
              <w:rPr>
                <w:rFonts w:eastAsia="Calibri"/>
                <w:sz w:val="20"/>
                <w:lang w:val="fr-CA"/>
              </w:rPr>
            </w:pPr>
            <w:r w:rsidRPr="00C45D88">
              <w:rPr>
                <w:rFonts w:eastAsia="Calibri"/>
                <w:sz w:val="20"/>
                <w:lang w:val="fr-CA"/>
              </w:rPr>
              <w:t>Rejet de la motion d’Applied Consumer &amp; Clinical Evaluations Inc. en vue d’annuler la constatation du défaut.  Ajournement de la motion en jugement de Mme Strudwick pour audition à une date ultérieure.</w:t>
            </w:r>
          </w:p>
          <w:p w:rsidR="00B44212" w:rsidRPr="00C45D88" w:rsidRDefault="00B44212" w:rsidP="00582919">
            <w:pPr>
              <w:contextualSpacing/>
              <w:jc w:val="both"/>
              <w:rPr>
                <w:rFonts w:eastAsia="Calibri"/>
                <w:sz w:val="20"/>
                <w:lang w:val="fr-CA"/>
              </w:rPr>
            </w:pPr>
          </w:p>
        </w:tc>
      </w:tr>
      <w:tr w:rsidR="00B44212" w:rsidRPr="00C45D88" w:rsidTr="00582919">
        <w:tc>
          <w:tcPr>
            <w:tcW w:w="2427" w:type="pct"/>
          </w:tcPr>
          <w:p w:rsidR="00B44212" w:rsidRPr="00C45D88" w:rsidRDefault="00B44212" w:rsidP="00582919">
            <w:pPr>
              <w:contextualSpacing/>
              <w:jc w:val="both"/>
              <w:rPr>
                <w:rFonts w:eastAsia="Calibri"/>
                <w:sz w:val="20"/>
                <w:lang w:val="fr-CA"/>
              </w:rPr>
            </w:pPr>
            <w:r w:rsidRPr="00C45D88">
              <w:rPr>
                <w:rFonts w:eastAsia="Calibri"/>
                <w:sz w:val="20"/>
                <w:lang w:val="fr-CA"/>
              </w:rPr>
              <w:t>14 août 2014</w:t>
            </w:r>
          </w:p>
          <w:p w:rsidR="00B44212" w:rsidRPr="00C45D88" w:rsidRDefault="00B44212" w:rsidP="00582919">
            <w:pPr>
              <w:contextualSpacing/>
              <w:jc w:val="both"/>
              <w:rPr>
                <w:rFonts w:eastAsia="Calibri"/>
                <w:sz w:val="20"/>
                <w:lang w:val="fr-CA"/>
              </w:rPr>
            </w:pPr>
            <w:r w:rsidRPr="00C45D88">
              <w:rPr>
                <w:rFonts w:eastAsia="Calibri"/>
                <w:sz w:val="20"/>
                <w:lang w:val="fr-CA"/>
              </w:rPr>
              <w:t>Cour d’appel de l’Ontario</w:t>
            </w:r>
          </w:p>
          <w:p w:rsidR="00B44212" w:rsidRPr="00C45D88" w:rsidRDefault="00B44212" w:rsidP="00582919">
            <w:pPr>
              <w:contextualSpacing/>
              <w:jc w:val="both"/>
              <w:rPr>
                <w:rFonts w:eastAsia="Calibri"/>
                <w:sz w:val="20"/>
                <w:lang w:val="fr-CA"/>
              </w:rPr>
            </w:pPr>
            <w:r w:rsidRPr="00C45D88">
              <w:rPr>
                <w:rFonts w:eastAsia="Calibri"/>
                <w:sz w:val="20"/>
                <w:lang w:val="fr-CA"/>
              </w:rPr>
              <w:t>(Juges Doherty, Laskin et Epstein)</w:t>
            </w:r>
          </w:p>
          <w:p w:rsidR="00B44212" w:rsidRPr="00C45D88" w:rsidRDefault="003A60BB" w:rsidP="00582919">
            <w:pPr>
              <w:contextualSpacing/>
              <w:jc w:val="both"/>
              <w:rPr>
                <w:rFonts w:eastAsia="Calibri"/>
                <w:sz w:val="20"/>
                <w:lang w:val="fr-CA"/>
              </w:rPr>
            </w:pPr>
            <w:hyperlink r:id="rId34" w:history="1">
              <w:r w:rsidR="00B44212" w:rsidRPr="00C45D88">
                <w:rPr>
                  <w:rFonts w:eastAsia="Calibri"/>
                  <w:color w:val="0000FF"/>
                  <w:sz w:val="20"/>
                  <w:u w:val="single"/>
                  <w:lang w:val="fr-CA"/>
                </w:rPr>
                <w:t>2014 ONCA 588</w:t>
              </w:r>
            </w:hyperlink>
          </w:p>
          <w:p w:rsidR="00B44212" w:rsidRPr="00C45D88" w:rsidRDefault="00B44212" w:rsidP="00582919">
            <w:pPr>
              <w:contextualSpacing/>
              <w:jc w:val="both"/>
              <w:rPr>
                <w:rFonts w:eastAsia="Calibri"/>
                <w:sz w:val="20"/>
                <w:lang w:val="fr-CA"/>
              </w:rPr>
            </w:pPr>
            <w:r w:rsidRPr="00C45D88">
              <w:rPr>
                <w:rFonts w:eastAsia="Calibri"/>
                <w:sz w:val="20"/>
                <w:lang w:val="fr-CA"/>
              </w:rPr>
              <w:t>N</w:t>
            </w:r>
            <w:r w:rsidRPr="00C45D88">
              <w:rPr>
                <w:rFonts w:eastAsia="Calibri"/>
                <w:sz w:val="20"/>
                <w:vertAlign w:val="superscript"/>
                <w:lang w:val="fr-CA"/>
              </w:rPr>
              <w:t>o</w:t>
            </w:r>
            <w:r w:rsidRPr="00C45D88">
              <w:rPr>
                <w:rFonts w:eastAsia="Calibri"/>
                <w:sz w:val="20"/>
                <w:lang w:val="fr-CA"/>
              </w:rPr>
              <w:t xml:space="preserve"> du greffe : C58588</w:t>
            </w:r>
          </w:p>
          <w:p w:rsidR="00B44212" w:rsidRPr="00C45D88" w:rsidRDefault="00B44212" w:rsidP="00582919">
            <w:pPr>
              <w:contextualSpacing/>
              <w:jc w:val="both"/>
              <w:rPr>
                <w:rFonts w:eastAsia="Calibri"/>
                <w:sz w:val="20"/>
                <w:lang w:val="fr-CA"/>
              </w:rPr>
            </w:pPr>
          </w:p>
        </w:tc>
        <w:tc>
          <w:tcPr>
            <w:tcW w:w="243" w:type="pct"/>
          </w:tcPr>
          <w:p w:rsidR="00B44212" w:rsidRPr="00C45D88" w:rsidRDefault="00B44212" w:rsidP="00582919">
            <w:pPr>
              <w:contextualSpacing/>
              <w:jc w:val="both"/>
              <w:rPr>
                <w:rFonts w:eastAsia="Calibri"/>
                <w:sz w:val="20"/>
                <w:lang w:val="fr-CA"/>
              </w:rPr>
            </w:pPr>
          </w:p>
        </w:tc>
        <w:tc>
          <w:tcPr>
            <w:tcW w:w="2330" w:type="pct"/>
          </w:tcPr>
          <w:p w:rsidR="00B44212" w:rsidRPr="00C45D88" w:rsidRDefault="00B44212" w:rsidP="00582919">
            <w:pPr>
              <w:contextualSpacing/>
              <w:jc w:val="both"/>
              <w:rPr>
                <w:rFonts w:eastAsia="Calibri"/>
                <w:sz w:val="20"/>
                <w:lang w:val="fr-CA"/>
              </w:rPr>
            </w:pPr>
            <w:r w:rsidRPr="00C45D88">
              <w:rPr>
                <w:rFonts w:eastAsia="Calibri"/>
                <w:sz w:val="20"/>
                <w:lang w:val="fr-CA"/>
              </w:rPr>
              <w:t>Rejet de l’appel.</w:t>
            </w:r>
          </w:p>
        </w:tc>
      </w:tr>
      <w:tr w:rsidR="00B44212" w:rsidRPr="00B66683" w:rsidTr="00582919">
        <w:tc>
          <w:tcPr>
            <w:tcW w:w="2427" w:type="pct"/>
          </w:tcPr>
          <w:p w:rsidR="00B44212" w:rsidRPr="00C45D88" w:rsidRDefault="00B44212" w:rsidP="00582919">
            <w:pPr>
              <w:contextualSpacing/>
              <w:jc w:val="both"/>
              <w:rPr>
                <w:rFonts w:eastAsia="Calibri"/>
                <w:sz w:val="20"/>
                <w:lang w:val="fr-CA"/>
              </w:rPr>
            </w:pPr>
            <w:r w:rsidRPr="00C45D88">
              <w:rPr>
                <w:rFonts w:eastAsia="Calibri"/>
                <w:sz w:val="20"/>
                <w:lang w:val="fr-CA"/>
              </w:rPr>
              <w:t>9 octobre 2014</w:t>
            </w:r>
          </w:p>
          <w:p w:rsidR="00B44212" w:rsidRPr="00C45D88" w:rsidRDefault="00B44212" w:rsidP="00582919">
            <w:pPr>
              <w:contextualSpacing/>
              <w:jc w:val="both"/>
              <w:rPr>
                <w:rFonts w:eastAsia="Calibri"/>
                <w:sz w:val="20"/>
                <w:lang w:val="fr-CA"/>
              </w:rPr>
            </w:pPr>
            <w:r w:rsidRPr="00C45D88">
              <w:rPr>
                <w:rFonts w:eastAsia="Calibri"/>
                <w:sz w:val="20"/>
                <w:lang w:val="fr-CA"/>
              </w:rPr>
              <w:t>Cour suprême du Canada</w:t>
            </w:r>
          </w:p>
        </w:tc>
        <w:tc>
          <w:tcPr>
            <w:tcW w:w="243" w:type="pct"/>
          </w:tcPr>
          <w:p w:rsidR="00B44212" w:rsidRPr="00C45D88" w:rsidRDefault="00B44212" w:rsidP="00582919">
            <w:pPr>
              <w:contextualSpacing/>
              <w:jc w:val="both"/>
              <w:rPr>
                <w:rFonts w:eastAsia="Calibri"/>
                <w:sz w:val="20"/>
                <w:lang w:val="fr-CA"/>
              </w:rPr>
            </w:pPr>
          </w:p>
        </w:tc>
        <w:tc>
          <w:tcPr>
            <w:tcW w:w="2330" w:type="pct"/>
          </w:tcPr>
          <w:p w:rsidR="00B44212" w:rsidRPr="00C45D88" w:rsidRDefault="00B44212" w:rsidP="00582919">
            <w:pPr>
              <w:contextualSpacing/>
              <w:jc w:val="both"/>
              <w:rPr>
                <w:rFonts w:eastAsia="Calibri"/>
                <w:sz w:val="20"/>
                <w:lang w:val="fr-CA"/>
              </w:rPr>
            </w:pPr>
            <w:r w:rsidRPr="00C45D88">
              <w:rPr>
                <w:rFonts w:eastAsia="Calibri"/>
                <w:sz w:val="20"/>
                <w:lang w:val="fr-CA"/>
              </w:rPr>
              <w:t>Dépôt de la demande d’autorisation d’appel.</w:t>
            </w:r>
          </w:p>
          <w:p w:rsidR="00B44212" w:rsidRPr="00C45D88" w:rsidRDefault="00B44212" w:rsidP="00582919">
            <w:pPr>
              <w:contextualSpacing/>
              <w:jc w:val="both"/>
              <w:rPr>
                <w:rFonts w:eastAsia="Calibri"/>
                <w:sz w:val="20"/>
                <w:lang w:val="fr-CA"/>
              </w:rPr>
            </w:pPr>
          </w:p>
        </w:tc>
      </w:tr>
    </w:tbl>
    <w:p w:rsidR="000D6E5D" w:rsidRPr="00B44212" w:rsidRDefault="000D6E5D" w:rsidP="000D6E5D">
      <w:pPr>
        <w:rPr>
          <w:sz w:val="20"/>
          <w:szCs w:val="20"/>
          <w:lang w:val="fr-CA"/>
        </w:rPr>
      </w:pPr>
    </w:p>
    <w:p w:rsidR="000D6E5D" w:rsidRDefault="003A60BB" w:rsidP="000D6E5D">
      <w:pPr>
        <w:rPr>
          <w:sz w:val="20"/>
          <w:szCs w:val="20"/>
        </w:rPr>
      </w:pPr>
      <w:r>
        <w:rPr>
          <w:sz w:val="20"/>
          <w:szCs w:val="20"/>
          <w:lang w:val="fr-CA"/>
        </w:rPr>
        <w:pict>
          <v:rect id="_x0000_i1045" style="width:2in;height:1pt" o:hrpct="0" o:hralign="center" o:hrstd="t" o:hrnoshade="t" o:hr="t" fillcolor="black [3213]" stroked="f"/>
        </w:pict>
      </w:r>
    </w:p>
    <w:p w:rsidR="000D6E5D" w:rsidRDefault="000D6E5D" w:rsidP="000D6E5D">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72F16" w:rsidRPr="00272F16" w:rsidTr="003431AF">
        <w:trPr>
          <w:cantSplit/>
        </w:trPr>
        <w:tc>
          <w:tcPr>
            <w:tcW w:w="1458" w:type="dxa"/>
          </w:tcPr>
          <w:p w:rsidR="00272F16" w:rsidRPr="00272F16" w:rsidRDefault="00272F16" w:rsidP="00272F16">
            <w:pPr>
              <w:rPr>
                <w:sz w:val="20"/>
              </w:rPr>
            </w:pPr>
            <w:r w:rsidRPr="00272F16">
              <w:rPr>
                <w:b/>
                <w:sz w:val="20"/>
                <w:lang w:val="fr-CA"/>
              </w:rPr>
              <w:t>36126</w:t>
            </w:r>
          </w:p>
          <w:p w:rsidR="00272F16" w:rsidRPr="00272F16" w:rsidRDefault="00272F16" w:rsidP="00272F16">
            <w:pPr>
              <w:rPr>
                <w:b/>
                <w:sz w:val="20"/>
                <w:lang w:val="fr-CA"/>
              </w:rPr>
            </w:pPr>
          </w:p>
        </w:tc>
        <w:tc>
          <w:tcPr>
            <w:tcW w:w="8118" w:type="dxa"/>
          </w:tcPr>
          <w:p w:rsidR="00272F16" w:rsidRPr="00272F16" w:rsidRDefault="00272F16" w:rsidP="00272F16">
            <w:pPr>
              <w:jc w:val="both"/>
              <w:rPr>
                <w:sz w:val="20"/>
              </w:rPr>
            </w:pPr>
            <w:r w:rsidRPr="00272F16">
              <w:rPr>
                <w:b/>
                <w:sz w:val="20"/>
                <w:u w:val="single"/>
              </w:rPr>
              <w:t>Sunterra Beef Ltd. v. Shell Canada Products and Shell Canada Limited</w:t>
            </w:r>
            <w:r w:rsidRPr="00272F16">
              <w:rPr>
                <w:sz w:val="20"/>
              </w:rPr>
              <w:t xml:space="preserve"> (Alta.) (Civil) (By Leave)</w:t>
            </w:r>
          </w:p>
          <w:p w:rsidR="00272F16" w:rsidRPr="00272F16" w:rsidRDefault="00272F16" w:rsidP="00272F16">
            <w:pPr>
              <w:jc w:val="both"/>
              <w:rPr>
                <w:sz w:val="20"/>
              </w:rPr>
            </w:pPr>
          </w:p>
        </w:tc>
      </w:tr>
      <w:tr w:rsidR="00272F16" w:rsidRPr="00272F16" w:rsidTr="003431AF">
        <w:trPr>
          <w:cantSplit/>
        </w:trPr>
        <w:tc>
          <w:tcPr>
            <w:tcW w:w="1458" w:type="dxa"/>
          </w:tcPr>
          <w:p w:rsidR="00272F16" w:rsidRPr="00272F16" w:rsidRDefault="00272F16" w:rsidP="00272F16">
            <w:pPr>
              <w:rPr>
                <w:sz w:val="20"/>
              </w:rPr>
            </w:pPr>
            <w:r w:rsidRPr="00272F16">
              <w:rPr>
                <w:sz w:val="20"/>
              </w:rPr>
              <w:t>Coram :</w:t>
            </w:r>
          </w:p>
        </w:tc>
        <w:tc>
          <w:tcPr>
            <w:tcW w:w="8118" w:type="dxa"/>
          </w:tcPr>
          <w:p w:rsidR="00272F16" w:rsidRPr="00272F16" w:rsidRDefault="00272F16" w:rsidP="00272F16">
            <w:pPr>
              <w:rPr>
                <w:sz w:val="20"/>
              </w:rPr>
            </w:pPr>
            <w:r w:rsidRPr="00272F16">
              <w:rPr>
                <w:sz w:val="20"/>
                <w:u w:val="single"/>
              </w:rPr>
              <w:t>Rothstein, Cromwell and Moldaver JJ.</w:t>
            </w:r>
          </w:p>
          <w:p w:rsidR="00272F16" w:rsidRPr="00272F16" w:rsidRDefault="00272F16" w:rsidP="00272F16">
            <w:pPr>
              <w:rPr>
                <w:sz w:val="20"/>
                <w:u w:val="single"/>
              </w:rPr>
            </w:pPr>
          </w:p>
        </w:tc>
      </w:tr>
      <w:tr w:rsidR="00272F16" w:rsidRPr="00B66683" w:rsidTr="003431AF">
        <w:trPr>
          <w:cantSplit/>
        </w:trPr>
        <w:tc>
          <w:tcPr>
            <w:tcW w:w="9576" w:type="dxa"/>
            <w:gridSpan w:val="2"/>
          </w:tcPr>
          <w:p w:rsidR="00272F16" w:rsidRPr="00272F16" w:rsidRDefault="00272F16" w:rsidP="00272F16">
            <w:pPr>
              <w:ind w:firstLine="720"/>
              <w:jc w:val="both"/>
              <w:rPr>
                <w:sz w:val="20"/>
              </w:rPr>
            </w:pPr>
            <w:r w:rsidRPr="00272F16">
              <w:rPr>
                <w:sz w:val="20"/>
              </w:rPr>
              <w:t>The application for leave to appeal from the judgment of the Court of Appeal of Alberta (Calgary), Number 1301-0133-AC, 2014 ABCA 243, dated August 14, 2014, is dismissed with costs.</w:t>
            </w:r>
          </w:p>
          <w:p w:rsidR="00272F16" w:rsidRPr="00272F16" w:rsidRDefault="00272F16" w:rsidP="00272F16">
            <w:pPr>
              <w:jc w:val="both"/>
              <w:rPr>
                <w:sz w:val="20"/>
              </w:rPr>
            </w:pPr>
          </w:p>
          <w:p w:rsidR="00272F16" w:rsidRPr="00272F16" w:rsidRDefault="00272F16" w:rsidP="00272F16">
            <w:pPr>
              <w:ind w:firstLine="720"/>
              <w:jc w:val="both"/>
              <w:rPr>
                <w:sz w:val="20"/>
                <w:lang w:val="fr-CA"/>
              </w:rPr>
            </w:pPr>
            <w:r w:rsidRPr="00272F16">
              <w:rPr>
                <w:sz w:val="20"/>
                <w:lang w:val="fr-CA"/>
              </w:rPr>
              <w:t>La demande d’autorisation d’appel de l’arrêt de la Cour d'appel de l’Alberta (Calgary), numéro 1301-0133-AC, 2014 ABCA 243, daté du 14 août 2014, est rejetée avec dépens.</w:t>
            </w:r>
          </w:p>
        </w:tc>
      </w:tr>
    </w:tbl>
    <w:p w:rsidR="000D6E5D" w:rsidRPr="00272F16" w:rsidRDefault="000D6E5D" w:rsidP="000D6E5D">
      <w:pPr>
        <w:rPr>
          <w:sz w:val="20"/>
          <w:szCs w:val="20"/>
          <w:lang w:val="fr-CA"/>
        </w:rPr>
      </w:pPr>
    </w:p>
    <w:p w:rsidR="000D6E5D" w:rsidRPr="001B157C" w:rsidRDefault="000D6E5D" w:rsidP="000D6E5D">
      <w:pPr>
        <w:rPr>
          <w:sz w:val="20"/>
          <w:szCs w:val="20"/>
          <w:u w:val="single"/>
        </w:rPr>
      </w:pPr>
      <w:r w:rsidRPr="001B157C">
        <w:rPr>
          <w:sz w:val="20"/>
          <w:szCs w:val="20"/>
          <w:u w:val="single"/>
        </w:rPr>
        <w:t>CASE SUMMARY</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06FFD" w:rsidRPr="00C45D88" w:rsidTr="00582919">
        <w:tc>
          <w:tcPr>
            <w:tcW w:w="5000" w:type="pct"/>
            <w:gridSpan w:val="3"/>
          </w:tcPr>
          <w:p w:rsidR="00F06FFD" w:rsidRPr="00C45D88" w:rsidRDefault="00F06FFD" w:rsidP="00582919">
            <w:pPr>
              <w:jc w:val="both"/>
              <w:rPr>
                <w:rFonts w:eastAsia="Calibri"/>
                <w:sz w:val="20"/>
              </w:rPr>
            </w:pPr>
            <w:r w:rsidRPr="00C45D88">
              <w:rPr>
                <w:rFonts w:eastAsia="Calibri"/>
                <w:sz w:val="20"/>
              </w:rPr>
              <w:t xml:space="preserve">Property – Real property – Land registration – Contracts – Interpretation – Extrinsic evidence – Where contractual language reveals one possible clear and unambiguous interpretation, when is it appropriate to consider extrinsic evidence – How is a judge to distinguish between inadmissible extrinsic evidence and evidence of surrounding circumstances – When is something considered part of the “factual matrix” rather than extrinsic evidence – Can parties to the sale of properties structure a package deal in order to defeat the contractual rights of a third party – When two quarter sections of land are contained on a single certificate of title, are they considered to be one land or parcel – Does improvement to a portion of the land or parcel on a single title result in improvement of the entire land or parcel or only a portion thereof – When can a court in Canada force a party to proceed by way of an application where it has found that there are material facts in dispute – What test should be used to determine whether a dispute is significantly factual in order to require an action as opposed to an application – Is a clearly-worded notice provision in a Canadian commercial agreement to be strictly complied with – When can a decision maker read down the requirements for notice – </w:t>
            </w:r>
            <w:r w:rsidRPr="00C45D88">
              <w:rPr>
                <w:rFonts w:eastAsia="Calibri"/>
                <w:i/>
                <w:sz w:val="20"/>
              </w:rPr>
              <w:t>Sattva Capital Corp. v. Creston Moly Corp</w:t>
            </w:r>
            <w:r w:rsidRPr="00C45D88">
              <w:rPr>
                <w:rFonts w:eastAsia="Calibri"/>
                <w:sz w:val="20"/>
              </w:rPr>
              <w:t xml:space="preserve">., 2014 SCC 53. </w:t>
            </w:r>
          </w:p>
        </w:tc>
      </w:tr>
      <w:tr w:rsidR="00F06FFD" w:rsidRPr="00C45D88" w:rsidTr="00582919">
        <w:tc>
          <w:tcPr>
            <w:tcW w:w="5000" w:type="pct"/>
            <w:gridSpan w:val="3"/>
          </w:tcPr>
          <w:p w:rsidR="00F06FFD" w:rsidRPr="00C45D88" w:rsidRDefault="00F06FFD" w:rsidP="00582919">
            <w:pPr>
              <w:jc w:val="both"/>
              <w:rPr>
                <w:rFonts w:eastAsia="Calibri"/>
                <w:sz w:val="20"/>
              </w:rPr>
            </w:pPr>
          </w:p>
        </w:tc>
      </w:tr>
      <w:tr w:rsidR="00F06FFD" w:rsidRPr="00C45D88" w:rsidTr="00582919">
        <w:tc>
          <w:tcPr>
            <w:tcW w:w="5000" w:type="pct"/>
            <w:gridSpan w:val="3"/>
          </w:tcPr>
          <w:p w:rsidR="00F06FFD" w:rsidRPr="00C45D88" w:rsidRDefault="00F06FFD" w:rsidP="00582919">
            <w:pPr>
              <w:jc w:val="both"/>
              <w:rPr>
                <w:rFonts w:eastAsia="Calibri"/>
                <w:sz w:val="20"/>
              </w:rPr>
            </w:pPr>
            <w:r w:rsidRPr="00C45D88">
              <w:rPr>
                <w:rFonts w:eastAsia="Calibri"/>
                <w:sz w:val="20"/>
              </w:rPr>
              <w:t xml:space="preserve">The applicant’s predecessor-in-title (“Purchaser”) approached the respondents (“Vendor”) to purchase the southwest quarter of a section of land north of Calgary.  Because the Vendor wanted to take advantage of escalating land values, the parties negotiated a clause which would trigger an obligation by the Purchaser to pay additional consideration to the Vendor in the event that within 5 years, the Vendor sold one or more of its remaining quarter sections in an unimproved state for a greater value than its appraised value on the date of the agreement.  The clause stipulated that “the subsequent addition of water and sewer connections to the boundary of one or more quarter section” would not be deemed to render land “improved”, and the Vendor registered a vendor’s lien caveat against the southwest quarter.  When the Vendor sold the northwest and northeast quarter sections, the Purchaser refused to pay the additional consideration.  The Vendor filed an Originating Notice seeking a declaration that it was entitled to a valid vendor’s lien of $6,328,000 plus GST and interest.  The Purchaser argued, </w:t>
            </w:r>
            <w:r w:rsidRPr="00C45D88">
              <w:rPr>
                <w:rFonts w:eastAsia="Calibri"/>
                <w:i/>
                <w:sz w:val="20"/>
              </w:rPr>
              <w:t>inter alia</w:t>
            </w:r>
            <w:r w:rsidRPr="00C45D88">
              <w:rPr>
                <w:rFonts w:eastAsia="Calibri"/>
                <w:sz w:val="20"/>
              </w:rPr>
              <w:t>, that the lands had been improved by the addition of a waterline that did not fall within the deeming provision, it was given insufficient notice of the sale, and an Originating Notice was not the proper process, given the disputed facts.  The Court of Queen’s Bench of Alberta granted the declaration and the Court of Appeal of Alberta dismissed the appeal.</w:t>
            </w:r>
          </w:p>
          <w:p w:rsidR="00F06FFD" w:rsidRPr="00C45D88" w:rsidRDefault="00F06FFD" w:rsidP="00582919">
            <w:pPr>
              <w:jc w:val="both"/>
              <w:rPr>
                <w:rFonts w:eastAsia="Calibri"/>
                <w:sz w:val="20"/>
              </w:rPr>
            </w:pPr>
          </w:p>
        </w:tc>
      </w:tr>
      <w:tr w:rsidR="00F06FFD" w:rsidRPr="00C45D88" w:rsidTr="00582919">
        <w:tc>
          <w:tcPr>
            <w:tcW w:w="2427" w:type="pct"/>
          </w:tcPr>
          <w:p w:rsidR="00F06FFD" w:rsidRPr="00C45D88" w:rsidRDefault="00F06FFD" w:rsidP="00582919">
            <w:pPr>
              <w:jc w:val="both"/>
              <w:rPr>
                <w:rFonts w:eastAsia="Calibri"/>
                <w:sz w:val="20"/>
              </w:rPr>
            </w:pPr>
            <w:r w:rsidRPr="00C45D88">
              <w:rPr>
                <w:rFonts w:eastAsia="Calibri"/>
                <w:sz w:val="20"/>
              </w:rPr>
              <w:t>March 28, 2013</w:t>
            </w:r>
          </w:p>
          <w:p w:rsidR="00F06FFD" w:rsidRPr="00C45D88" w:rsidRDefault="00F06FFD" w:rsidP="00582919">
            <w:pPr>
              <w:jc w:val="both"/>
              <w:rPr>
                <w:rFonts w:eastAsia="Calibri"/>
                <w:sz w:val="20"/>
              </w:rPr>
            </w:pPr>
            <w:r w:rsidRPr="00C45D88">
              <w:rPr>
                <w:rFonts w:eastAsia="Calibri"/>
                <w:sz w:val="20"/>
              </w:rPr>
              <w:t>Court of Queen’s Bench of Alberta</w:t>
            </w:r>
          </w:p>
          <w:p w:rsidR="00F06FFD" w:rsidRPr="00C45D88" w:rsidRDefault="00F06FFD" w:rsidP="00582919">
            <w:pPr>
              <w:jc w:val="both"/>
              <w:rPr>
                <w:rFonts w:eastAsia="Calibri"/>
                <w:sz w:val="20"/>
              </w:rPr>
            </w:pPr>
            <w:r w:rsidRPr="00C45D88">
              <w:rPr>
                <w:rFonts w:eastAsia="Calibri"/>
                <w:sz w:val="20"/>
              </w:rPr>
              <w:t>(Park J.)</w:t>
            </w:r>
          </w:p>
          <w:p w:rsidR="00F06FFD" w:rsidRPr="00C45D88" w:rsidRDefault="003A60BB" w:rsidP="00582919">
            <w:pPr>
              <w:jc w:val="both"/>
              <w:rPr>
                <w:rFonts w:eastAsia="Calibri"/>
                <w:sz w:val="20"/>
              </w:rPr>
            </w:pPr>
            <w:hyperlink r:id="rId35" w:history="1">
              <w:r w:rsidR="00F06FFD" w:rsidRPr="00C45D88">
                <w:rPr>
                  <w:rFonts w:eastAsia="Calibri"/>
                  <w:color w:val="0000FF"/>
                  <w:sz w:val="20"/>
                  <w:u w:val="single"/>
                </w:rPr>
                <w:t>2013 ABQB 193</w:t>
              </w:r>
            </w:hyperlink>
          </w:p>
          <w:p w:rsidR="00F06FFD" w:rsidRPr="00C45D88" w:rsidRDefault="00F06FFD" w:rsidP="00582919">
            <w:pPr>
              <w:jc w:val="both"/>
              <w:rPr>
                <w:rFonts w:eastAsia="Calibri"/>
                <w:sz w:val="20"/>
              </w:rPr>
            </w:pPr>
          </w:p>
        </w:tc>
        <w:tc>
          <w:tcPr>
            <w:tcW w:w="243" w:type="pct"/>
          </w:tcPr>
          <w:p w:rsidR="00F06FFD" w:rsidRPr="00C45D88" w:rsidRDefault="00F06FFD" w:rsidP="00582919">
            <w:pPr>
              <w:jc w:val="both"/>
              <w:rPr>
                <w:rFonts w:eastAsia="Calibri"/>
                <w:sz w:val="20"/>
              </w:rPr>
            </w:pPr>
          </w:p>
        </w:tc>
        <w:tc>
          <w:tcPr>
            <w:tcW w:w="2330" w:type="pct"/>
          </w:tcPr>
          <w:p w:rsidR="00F06FFD" w:rsidRPr="00C45D88" w:rsidRDefault="00F06FFD" w:rsidP="00582919">
            <w:pPr>
              <w:jc w:val="both"/>
              <w:rPr>
                <w:rFonts w:eastAsia="Calibri"/>
                <w:sz w:val="20"/>
              </w:rPr>
            </w:pPr>
            <w:r w:rsidRPr="00C45D88">
              <w:rPr>
                <w:rFonts w:eastAsia="Calibri"/>
                <w:sz w:val="20"/>
              </w:rPr>
              <w:t>Declaration granted that the respondents’ vendor lien caveat was valid</w:t>
            </w:r>
          </w:p>
        </w:tc>
      </w:tr>
      <w:tr w:rsidR="00F06FFD" w:rsidRPr="00C45D88" w:rsidTr="00582919">
        <w:tc>
          <w:tcPr>
            <w:tcW w:w="2427" w:type="pct"/>
          </w:tcPr>
          <w:p w:rsidR="00F06FFD" w:rsidRPr="00C45D88" w:rsidRDefault="00F06FFD" w:rsidP="00582919">
            <w:pPr>
              <w:jc w:val="both"/>
              <w:rPr>
                <w:rFonts w:eastAsia="Calibri"/>
                <w:sz w:val="20"/>
              </w:rPr>
            </w:pPr>
            <w:r w:rsidRPr="00C45D88">
              <w:rPr>
                <w:rFonts w:eastAsia="Calibri"/>
                <w:sz w:val="20"/>
              </w:rPr>
              <w:t>August 14, 2014</w:t>
            </w:r>
          </w:p>
          <w:p w:rsidR="00F06FFD" w:rsidRPr="00C45D88" w:rsidRDefault="00F06FFD" w:rsidP="00582919">
            <w:pPr>
              <w:jc w:val="both"/>
              <w:rPr>
                <w:rFonts w:eastAsia="Calibri"/>
                <w:sz w:val="20"/>
              </w:rPr>
            </w:pPr>
            <w:r w:rsidRPr="00C45D88">
              <w:rPr>
                <w:rFonts w:eastAsia="Calibri"/>
                <w:sz w:val="20"/>
              </w:rPr>
              <w:t>Court of Appeal of Alberta (Calgary)</w:t>
            </w:r>
          </w:p>
          <w:p w:rsidR="00F06FFD" w:rsidRPr="00C45D88" w:rsidRDefault="00F06FFD" w:rsidP="00582919">
            <w:pPr>
              <w:jc w:val="both"/>
              <w:rPr>
                <w:rFonts w:eastAsia="Calibri"/>
                <w:sz w:val="20"/>
              </w:rPr>
            </w:pPr>
            <w:r w:rsidRPr="00C45D88">
              <w:rPr>
                <w:rFonts w:eastAsia="Calibri"/>
                <w:sz w:val="20"/>
              </w:rPr>
              <w:t>(Martin, O'Ferrall and Veldhuis JJ.A.)</w:t>
            </w:r>
          </w:p>
          <w:p w:rsidR="00F06FFD" w:rsidRPr="00C45D88" w:rsidRDefault="003A60BB" w:rsidP="00582919">
            <w:pPr>
              <w:jc w:val="both"/>
              <w:rPr>
                <w:rFonts w:eastAsia="Calibri"/>
                <w:sz w:val="20"/>
              </w:rPr>
            </w:pPr>
            <w:hyperlink r:id="rId36" w:history="1">
              <w:r w:rsidR="00F06FFD" w:rsidRPr="00C45D88">
                <w:rPr>
                  <w:rFonts w:eastAsia="Calibri"/>
                  <w:color w:val="0000FF"/>
                  <w:sz w:val="20"/>
                  <w:u w:val="single"/>
                </w:rPr>
                <w:t>2014 ABCA 243</w:t>
              </w:r>
            </w:hyperlink>
            <w:r w:rsidR="00F06FFD" w:rsidRPr="00C45D88">
              <w:rPr>
                <w:rFonts w:eastAsia="Calibri"/>
                <w:sz w:val="20"/>
              </w:rPr>
              <w:t>;</w:t>
            </w:r>
          </w:p>
          <w:p w:rsidR="00F06FFD" w:rsidRPr="00C45D88" w:rsidRDefault="00F06FFD" w:rsidP="00582919">
            <w:pPr>
              <w:jc w:val="both"/>
              <w:rPr>
                <w:rFonts w:eastAsia="Calibri"/>
                <w:sz w:val="20"/>
              </w:rPr>
            </w:pPr>
          </w:p>
        </w:tc>
        <w:tc>
          <w:tcPr>
            <w:tcW w:w="243" w:type="pct"/>
          </w:tcPr>
          <w:p w:rsidR="00F06FFD" w:rsidRPr="00C45D88" w:rsidRDefault="00F06FFD" w:rsidP="00582919">
            <w:pPr>
              <w:jc w:val="both"/>
              <w:rPr>
                <w:rFonts w:eastAsia="Calibri"/>
                <w:sz w:val="20"/>
              </w:rPr>
            </w:pPr>
          </w:p>
        </w:tc>
        <w:tc>
          <w:tcPr>
            <w:tcW w:w="2330" w:type="pct"/>
          </w:tcPr>
          <w:p w:rsidR="00F06FFD" w:rsidRPr="00C45D88" w:rsidRDefault="00F06FFD" w:rsidP="00582919">
            <w:pPr>
              <w:jc w:val="both"/>
              <w:rPr>
                <w:rFonts w:eastAsia="Calibri"/>
                <w:sz w:val="20"/>
              </w:rPr>
            </w:pPr>
            <w:r w:rsidRPr="00C45D88">
              <w:rPr>
                <w:rFonts w:eastAsia="Calibri"/>
                <w:sz w:val="20"/>
              </w:rPr>
              <w:t>Appeal dismissed</w:t>
            </w:r>
          </w:p>
        </w:tc>
      </w:tr>
      <w:tr w:rsidR="00F06FFD" w:rsidRPr="00C45D88" w:rsidTr="00582919">
        <w:tc>
          <w:tcPr>
            <w:tcW w:w="2427" w:type="pct"/>
          </w:tcPr>
          <w:p w:rsidR="00F06FFD" w:rsidRPr="00C45D88" w:rsidRDefault="00F06FFD" w:rsidP="00582919">
            <w:pPr>
              <w:jc w:val="both"/>
              <w:rPr>
                <w:rFonts w:eastAsia="Calibri"/>
                <w:sz w:val="20"/>
              </w:rPr>
            </w:pPr>
            <w:r w:rsidRPr="00C45D88">
              <w:rPr>
                <w:rFonts w:eastAsia="Calibri"/>
                <w:sz w:val="20"/>
              </w:rPr>
              <w:t>October 10, 2014</w:t>
            </w:r>
          </w:p>
          <w:p w:rsidR="00F06FFD" w:rsidRPr="00C45D88" w:rsidRDefault="00F06FFD" w:rsidP="00582919">
            <w:pPr>
              <w:jc w:val="both"/>
              <w:rPr>
                <w:rFonts w:eastAsia="Calibri"/>
                <w:sz w:val="20"/>
              </w:rPr>
            </w:pPr>
            <w:r w:rsidRPr="00C45D88">
              <w:rPr>
                <w:rFonts w:eastAsia="Calibri"/>
                <w:sz w:val="20"/>
              </w:rPr>
              <w:t>Supreme Court of Canada</w:t>
            </w:r>
          </w:p>
        </w:tc>
        <w:tc>
          <w:tcPr>
            <w:tcW w:w="243" w:type="pct"/>
          </w:tcPr>
          <w:p w:rsidR="00F06FFD" w:rsidRPr="00C45D88" w:rsidRDefault="00F06FFD" w:rsidP="00582919">
            <w:pPr>
              <w:jc w:val="both"/>
              <w:rPr>
                <w:rFonts w:eastAsia="Calibri"/>
                <w:sz w:val="20"/>
              </w:rPr>
            </w:pPr>
          </w:p>
        </w:tc>
        <w:tc>
          <w:tcPr>
            <w:tcW w:w="2330" w:type="pct"/>
          </w:tcPr>
          <w:p w:rsidR="00F06FFD" w:rsidRPr="00C45D88" w:rsidRDefault="00F06FFD" w:rsidP="00582919">
            <w:pPr>
              <w:jc w:val="both"/>
              <w:rPr>
                <w:rFonts w:eastAsia="Calibri"/>
                <w:sz w:val="20"/>
              </w:rPr>
            </w:pPr>
            <w:r w:rsidRPr="00C45D88">
              <w:rPr>
                <w:rFonts w:eastAsia="Calibri"/>
                <w:sz w:val="20"/>
              </w:rPr>
              <w:t>Application for leave to appeal filed</w:t>
            </w:r>
          </w:p>
        </w:tc>
      </w:tr>
    </w:tbl>
    <w:p w:rsidR="000D6E5D" w:rsidRDefault="000D6E5D" w:rsidP="000D6E5D">
      <w:pPr>
        <w:rPr>
          <w:sz w:val="20"/>
          <w:szCs w:val="20"/>
        </w:rPr>
      </w:pPr>
    </w:p>
    <w:p w:rsidR="000D6E5D" w:rsidRPr="00C50A5C" w:rsidRDefault="003A60BB" w:rsidP="000D6E5D">
      <w:pPr>
        <w:rPr>
          <w:sz w:val="20"/>
          <w:szCs w:val="20"/>
        </w:rPr>
      </w:pPr>
      <w:r>
        <w:rPr>
          <w:sz w:val="20"/>
          <w:szCs w:val="20"/>
          <w:lang w:val="fr-CA"/>
        </w:rPr>
        <w:pict>
          <v:rect id="_x0000_i1046" style="width:2in;height:1pt" o:hrpct="0" o:hralign="center" o:hrstd="t" o:hrnoshade="t" o:hr="t" fillcolor="black [3213]" stroked="f"/>
        </w:pict>
      </w:r>
    </w:p>
    <w:p w:rsidR="000D6E5D" w:rsidRDefault="000D6E5D" w:rsidP="000D6E5D">
      <w:pPr>
        <w:rPr>
          <w:sz w:val="20"/>
          <w:szCs w:val="20"/>
        </w:rPr>
      </w:pPr>
    </w:p>
    <w:p w:rsidR="000D6E5D" w:rsidRPr="001B157C" w:rsidRDefault="000D6E5D" w:rsidP="000D6E5D">
      <w:pPr>
        <w:rPr>
          <w:sz w:val="20"/>
          <w:szCs w:val="20"/>
          <w:u w:val="single"/>
          <w:lang w:val="fr-CA"/>
        </w:rPr>
      </w:pPr>
      <w:r w:rsidRPr="001B157C">
        <w:rPr>
          <w:sz w:val="20"/>
          <w:szCs w:val="20"/>
          <w:u w:val="single"/>
          <w:lang w:val="fr-CA"/>
        </w:rPr>
        <w:t>RÉSUMÉ DE L’AFFAIRE</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06FFD" w:rsidRPr="00B66683" w:rsidTr="00582919">
        <w:tc>
          <w:tcPr>
            <w:tcW w:w="5000" w:type="pct"/>
            <w:gridSpan w:val="3"/>
          </w:tcPr>
          <w:p w:rsidR="00F06FFD" w:rsidRPr="00C45D88" w:rsidRDefault="00F06FFD" w:rsidP="00582919">
            <w:pPr>
              <w:jc w:val="both"/>
              <w:rPr>
                <w:rFonts w:eastAsia="Calibri"/>
                <w:sz w:val="20"/>
                <w:lang w:val="fr-CA"/>
              </w:rPr>
            </w:pPr>
            <w:r w:rsidRPr="00C45D88">
              <w:rPr>
                <w:rFonts w:eastAsia="Calibri"/>
                <w:sz w:val="20"/>
                <w:lang w:val="fr-CA"/>
              </w:rPr>
              <w:t xml:space="preserve">Biens – Biens réels – Enregistrement foncier – Contrats – Interprétation – Preuve extrinsèque – Lorsque les termes du contrat révèlent une seule interprétation claire et non équivoque, quand convient-il d’examiner la preuve extrinsèque? – Comment doit faire le juge pour distinguer la preuve extrinsèque inadmissible et la preuve des circonstances de l’affaire? – Quand peut-on considérer une chose comme faisant partie du contexte factuel plutôt que de la preuve extrinsèque? – Est-ce que les parties à la vente de propriétés peuvent mettre en place une proposition globale en vue de contrecarrer les droits contractuels d’un tiers? – Lorsque deux quarts de sections de terrain se trouvent sur un seul certificat de titre de propriété, sont-ils considérés comme étant un seul terrain ou une seule parcelle? – Est-ce que les améliorations à une partie de terre ou de parcelle sur un seul titre donnent lieu à des améliorations à toute la terre ou la parcelle ou seulement à une partie de celle-ci? – Quand est-il possible pour un tribunal au Canada de forcer une partie à procéder par voie de demande lorsqu’il a conclu qu’il y a une contestation des faits pertinents? – Quel critère devrait être utilisé pour déterminer si le litige est essentiellement au sujet des faits de sorte qu’il doive nécessiter une action plutôt qu’une demande? – Est-ce qu’une disposition relative à l’avis clairement énoncée dans un contrat commercial canadien doit être respectée rigoureusement? – Quand est-il possible pour un décideur d’atténuer les exigences relatives à l’avis? – </w:t>
            </w:r>
            <w:r w:rsidRPr="00C45D88">
              <w:rPr>
                <w:rFonts w:eastAsia="Calibri"/>
                <w:i/>
                <w:sz w:val="20"/>
                <w:lang w:val="fr-CA"/>
              </w:rPr>
              <w:t>Sattva Capital Corp. c. Creston Moly Corp</w:t>
            </w:r>
            <w:r w:rsidRPr="00C45D88">
              <w:rPr>
                <w:rFonts w:eastAsia="Calibri"/>
                <w:sz w:val="20"/>
                <w:lang w:val="fr-CA"/>
              </w:rPr>
              <w:t xml:space="preserve">., 2014 CSC 53. </w:t>
            </w:r>
          </w:p>
        </w:tc>
      </w:tr>
      <w:tr w:rsidR="00F06FFD" w:rsidRPr="00B66683" w:rsidTr="00582919">
        <w:tc>
          <w:tcPr>
            <w:tcW w:w="5000" w:type="pct"/>
            <w:gridSpan w:val="3"/>
          </w:tcPr>
          <w:p w:rsidR="00F06FFD" w:rsidRPr="00C45D88" w:rsidRDefault="00F06FFD" w:rsidP="00582919">
            <w:pPr>
              <w:jc w:val="both"/>
              <w:rPr>
                <w:rFonts w:eastAsia="Calibri"/>
                <w:sz w:val="20"/>
                <w:lang w:val="fr-CA"/>
              </w:rPr>
            </w:pPr>
          </w:p>
        </w:tc>
      </w:tr>
      <w:tr w:rsidR="00F06FFD" w:rsidRPr="00B66683" w:rsidTr="00582919">
        <w:tc>
          <w:tcPr>
            <w:tcW w:w="5000" w:type="pct"/>
            <w:gridSpan w:val="3"/>
          </w:tcPr>
          <w:p w:rsidR="00F06FFD" w:rsidRPr="00C45D88" w:rsidRDefault="00F06FFD" w:rsidP="00582919">
            <w:pPr>
              <w:jc w:val="both"/>
              <w:rPr>
                <w:rFonts w:eastAsia="Calibri"/>
                <w:sz w:val="20"/>
                <w:lang w:val="fr-CA"/>
              </w:rPr>
            </w:pPr>
            <w:r w:rsidRPr="00C45D88">
              <w:rPr>
                <w:rFonts w:eastAsia="Calibri"/>
                <w:sz w:val="20"/>
                <w:lang w:val="fr-CA"/>
              </w:rPr>
              <w:t>Le prédécesseur en titre du demandeur (« l’acheteur ») a approché les intimés (« le vendeur ») au sujet de l’achat du quart de section sud-ouest d’un terrain au nord de Calgary.  Puisque le vendeur voulait profiter de la croissance de la valeur des terrains, les parties ont négocié une clause qui déclencherait une obligation de l’acheteur de payer une contrepartie additionnelle au vendeur dans le cas où, dans une période de 5 ans, le vendeur vendait un ou plusieurs quarts de section de terrain restant dans un état non amélioré pour une valeur supérieure à la valeur estimative à la date du contrat.  La clause stipulait que « l’ajout subséquent d’une ligne d’eau ou d’une conduite d’égouts à la frontière d’un ou de plusieurs quarts de section » ne serait pas réputé être une amélioration au terrain, et le vendeur a enregistré un caveat du privilège de vendeur sur le quart sud-ouest.  Lorsque le vendeur a vendu les quarts de section nord-ouest et nord-est, l’acheteur a refusé de payer une contrepartie additionnelle.  Le vendeur a déposé un avis introductif d’instance afin d’obtenir une déclaration à l’effet qu’il avait droit à un privilège de vendeur valide pour la somme de 6 328 000 $ plus TPS et intérêt.  L’acheteur a notamment soutenu que les terrains avaient été améliorés par l’ajout d’une ligne d’eau qui n’était pas visé par la clause déterminative, que l’avis de vente était insuffisant, et qu’un avis introductif d’instance n’était pas le mécanisme approprié étant donné les faits contestés.  La Cour du Banc de la Reine de l’Alberta a accordé la déclaration et la Cour d’appel de l’Alberta a rejeté l’appel.</w:t>
            </w:r>
          </w:p>
          <w:p w:rsidR="00F06FFD" w:rsidRPr="00C45D88" w:rsidRDefault="00F06FFD" w:rsidP="00582919">
            <w:pPr>
              <w:jc w:val="both"/>
              <w:rPr>
                <w:rFonts w:eastAsia="Calibri"/>
                <w:sz w:val="20"/>
                <w:lang w:val="fr-CA"/>
              </w:rPr>
            </w:pPr>
          </w:p>
        </w:tc>
      </w:tr>
      <w:tr w:rsidR="00F06FFD" w:rsidRPr="00B66683" w:rsidTr="00582919">
        <w:tc>
          <w:tcPr>
            <w:tcW w:w="2427" w:type="pct"/>
          </w:tcPr>
          <w:p w:rsidR="00F06FFD" w:rsidRPr="00C45D88" w:rsidRDefault="00F06FFD" w:rsidP="00582919">
            <w:pPr>
              <w:jc w:val="both"/>
              <w:rPr>
                <w:rFonts w:eastAsia="Calibri"/>
                <w:sz w:val="20"/>
                <w:lang w:val="fr-CA"/>
              </w:rPr>
            </w:pPr>
            <w:r w:rsidRPr="00C45D88">
              <w:rPr>
                <w:rFonts w:eastAsia="Calibri"/>
                <w:sz w:val="20"/>
                <w:lang w:val="fr-CA"/>
              </w:rPr>
              <w:t>28 mars 2013</w:t>
            </w:r>
          </w:p>
          <w:p w:rsidR="00F06FFD" w:rsidRPr="00C45D88" w:rsidRDefault="00F06FFD" w:rsidP="00582919">
            <w:pPr>
              <w:jc w:val="both"/>
              <w:rPr>
                <w:rFonts w:eastAsia="Calibri"/>
                <w:sz w:val="20"/>
                <w:lang w:val="fr-CA"/>
              </w:rPr>
            </w:pPr>
            <w:r w:rsidRPr="00C45D88">
              <w:rPr>
                <w:rFonts w:eastAsia="Calibri"/>
                <w:sz w:val="20"/>
                <w:lang w:val="fr-CA"/>
              </w:rPr>
              <w:t>Cour du Banc de la Reine de l’Alberta</w:t>
            </w:r>
          </w:p>
          <w:p w:rsidR="00F06FFD" w:rsidRPr="00C45D88" w:rsidRDefault="00F06FFD" w:rsidP="00582919">
            <w:pPr>
              <w:jc w:val="both"/>
              <w:rPr>
                <w:rFonts w:eastAsia="Calibri"/>
                <w:sz w:val="20"/>
              </w:rPr>
            </w:pPr>
            <w:r w:rsidRPr="00C45D88">
              <w:rPr>
                <w:rFonts w:eastAsia="Calibri"/>
                <w:sz w:val="20"/>
              </w:rPr>
              <w:t>(Juge Park)</w:t>
            </w:r>
          </w:p>
          <w:p w:rsidR="00F06FFD" w:rsidRPr="00C45D88" w:rsidRDefault="003A60BB" w:rsidP="00582919">
            <w:pPr>
              <w:jc w:val="both"/>
              <w:rPr>
                <w:rFonts w:eastAsia="Calibri"/>
                <w:sz w:val="20"/>
              </w:rPr>
            </w:pPr>
            <w:hyperlink r:id="rId37" w:history="1">
              <w:r w:rsidR="00F06FFD" w:rsidRPr="00C45D88">
                <w:rPr>
                  <w:rFonts w:eastAsia="Calibri"/>
                  <w:color w:val="0000FF"/>
                  <w:sz w:val="20"/>
                  <w:u w:val="single"/>
                </w:rPr>
                <w:t>2013 ABQB 193</w:t>
              </w:r>
            </w:hyperlink>
          </w:p>
          <w:p w:rsidR="00F06FFD" w:rsidRPr="00C45D88" w:rsidRDefault="00F06FFD" w:rsidP="00582919">
            <w:pPr>
              <w:jc w:val="both"/>
              <w:rPr>
                <w:rFonts w:eastAsia="Calibri"/>
                <w:sz w:val="20"/>
              </w:rPr>
            </w:pPr>
          </w:p>
        </w:tc>
        <w:tc>
          <w:tcPr>
            <w:tcW w:w="243" w:type="pct"/>
          </w:tcPr>
          <w:p w:rsidR="00F06FFD" w:rsidRPr="00C45D88" w:rsidRDefault="00F06FFD" w:rsidP="00582919">
            <w:pPr>
              <w:jc w:val="both"/>
              <w:rPr>
                <w:rFonts w:eastAsia="Calibri"/>
                <w:sz w:val="20"/>
              </w:rPr>
            </w:pPr>
          </w:p>
        </w:tc>
        <w:tc>
          <w:tcPr>
            <w:tcW w:w="2330" w:type="pct"/>
          </w:tcPr>
          <w:p w:rsidR="00F06FFD" w:rsidRPr="00C45D88" w:rsidRDefault="00F06FFD" w:rsidP="00582919">
            <w:pPr>
              <w:jc w:val="both"/>
              <w:rPr>
                <w:rFonts w:eastAsia="Calibri"/>
                <w:sz w:val="20"/>
                <w:lang w:val="fr-CA"/>
              </w:rPr>
            </w:pPr>
            <w:r w:rsidRPr="00C45D88">
              <w:rPr>
                <w:rFonts w:eastAsia="Calibri"/>
                <w:sz w:val="20"/>
                <w:lang w:val="fr-CA"/>
              </w:rPr>
              <w:t>Déclaration à l’effet que le « caveat » du privilège de vendeur des intimés était valide, accordée</w:t>
            </w:r>
          </w:p>
        </w:tc>
      </w:tr>
      <w:tr w:rsidR="00F06FFD" w:rsidRPr="00C45D88" w:rsidTr="00582919">
        <w:tc>
          <w:tcPr>
            <w:tcW w:w="2427" w:type="pct"/>
          </w:tcPr>
          <w:p w:rsidR="00F06FFD" w:rsidRPr="00C45D88" w:rsidRDefault="00F06FFD" w:rsidP="00582919">
            <w:pPr>
              <w:jc w:val="both"/>
              <w:rPr>
                <w:rFonts w:eastAsia="Calibri"/>
                <w:sz w:val="20"/>
                <w:lang w:val="fr-CA"/>
              </w:rPr>
            </w:pPr>
            <w:r w:rsidRPr="00C45D88">
              <w:rPr>
                <w:rFonts w:eastAsia="Calibri"/>
                <w:sz w:val="20"/>
                <w:lang w:val="fr-CA"/>
              </w:rPr>
              <w:t>14 août 2014</w:t>
            </w:r>
          </w:p>
          <w:p w:rsidR="00F06FFD" w:rsidRPr="00C45D88" w:rsidRDefault="00F06FFD" w:rsidP="00582919">
            <w:pPr>
              <w:jc w:val="both"/>
              <w:rPr>
                <w:rFonts w:eastAsia="Calibri"/>
                <w:sz w:val="20"/>
                <w:lang w:val="fr-CA"/>
              </w:rPr>
            </w:pPr>
            <w:r w:rsidRPr="00C45D88">
              <w:rPr>
                <w:rFonts w:eastAsia="Calibri"/>
                <w:sz w:val="20"/>
                <w:lang w:val="fr-CA"/>
              </w:rPr>
              <w:t>Cour d’appel de l’Alberta (Calgary)</w:t>
            </w:r>
          </w:p>
          <w:p w:rsidR="00F06FFD" w:rsidRPr="00C45D88" w:rsidRDefault="00F06FFD" w:rsidP="00582919">
            <w:pPr>
              <w:jc w:val="both"/>
              <w:rPr>
                <w:rFonts w:eastAsia="Calibri"/>
                <w:sz w:val="20"/>
                <w:lang w:val="fr-CA"/>
              </w:rPr>
            </w:pPr>
            <w:r w:rsidRPr="00C45D88">
              <w:rPr>
                <w:rFonts w:eastAsia="Calibri"/>
                <w:sz w:val="20"/>
                <w:lang w:val="fr-CA"/>
              </w:rPr>
              <w:t>(Juges Martin, O'Ferrall et Veldhuis)</w:t>
            </w:r>
          </w:p>
          <w:p w:rsidR="00F06FFD" w:rsidRPr="00C45D88" w:rsidRDefault="003A60BB" w:rsidP="00582919">
            <w:pPr>
              <w:jc w:val="both"/>
              <w:rPr>
                <w:rFonts w:eastAsia="Calibri"/>
                <w:sz w:val="20"/>
              </w:rPr>
            </w:pPr>
            <w:hyperlink r:id="rId38" w:history="1">
              <w:r w:rsidR="00F06FFD" w:rsidRPr="00C45D88">
                <w:rPr>
                  <w:rFonts w:eastAsia="Calibri"/>
                  <w:color w:val="0000FF"/>
                  <w:sz w:val="20"/>
                  <w:u w:val="single"/>
                </w:rPr>
                <w:t>2014 ABCA 243</w:t>
              </w:r>
            </w:hyperlink>
            <w:r w:rsidR="00F06FFD" w:rsidRPr="00C45D88">
              <w:rPr>
                <w:rFonts w:eastAsia="Calibri"/>
                <w:sz w:val="20"/>
              </w:rPr>
              <w:t>;</w:t>
            </w:r>
          </w:p>
          <w:p w:rsidR="00F06FFD" w:rsidRPr="00C45D88" w:rsidRDefault="00F06FFD" w:rsidP="00582919">
            <w:pPr>
              <w:jc w:val="both"/>
              <w:rPr>
                <w:rFonts w:eastAsia="Calibri"/>
                <w:sz w:val="20"/>
              </w:rPr>
            </w:pPr>
          </w:p>
        </w:tc>
        <w:tc>
          <w:tcPr>
            <w:tcW w:w="243" w:type="pct"/>
          </w:tcPr>
          <w:p w:rsidR="00F06FFD" w:rsidRPr="00C45D88" w:rsidRDefault="00F06FFD" w:rsidP="00582919">
            <w:pPr>
              <w:jc w:val="both"/>
              <w:rPr>
                <w:rFonts w:eastAsia="Calibri"/>
                <w:sz w:val="20"/>
              </w:rPr>
            </w:pPr>
          </w:p>
        </w:tc>
        <w:tc>
          <w:tcPr>
            <w:tcW w:w="2330" w:type="pct"/>
          </w:tcPr>
          <w:p w:rsidR="00F06FFD" w:rsidRPr="00C45D88" w:rsidRDefault="00F06FFD" w:rsidP="00582919">
            <w:pPr>
              <w:jc w:val="both"/>
              <w:rPr>
                <w:rFonts w:eastAsia="Calibri"/>
                <w:sz w:val="20"/>
              </w:rPr>
            </w:pPr>
            <w:r w:rsidRPr="00C45D88">
              <w:rPr>
                <w:rFonts w:eastAsia="Calibri"/>
                <w:sz w:val="20"/>
              </w:rPr>
              <w:t>Appel rejeté</w:t>
            </w:r>
          </w:p>
        </w:tc>
      </w:tr>
      <w:tr w:rsidR="00F06FFD" w:rsidRPr="00C45D88" w:rsidTr="00582919">
        <w:tc>
          <w:tcPr>
            <w:tcW w:w="2427" w:type="pct"/>
          </w:tcPr>
          <w:p w:rsidR="00F06FFD" w:rsidRPr="00C45D88" w:rsidRDefault="00F06FFD" w:rsidP="00582919">
            <w:pPr>
              <w:jc w:val="both"/>
              <w:rPr>
                <w:rFonts w:eastAsia="Calibri"/>
                <w:sz w:val="20"/>
                <w:lang w:val="fr-CA"/>
              </w:rPr>
            </w:pPr>
            <w:r w:rsidRPr="00C45D88">
              <w:rPr>
                <w:rFonts w:eastAsia="Calibri"/>
                <w:sz w:val="20"/>
                <w:lang w:val="fr-CA"/>
              </w:rPr>
              <w:t>10 octobre 2014</w:t>
            </w:r>
          </w:p>
          <w:p w:rsidR="00F06FFD" w:rsidRPr="00C45D88" w:rsidRDefault="00F06FFD" w:rsidP="00582919">
            <w:pPr>
              <w:jc w:val="both"/>
              <w:rPr>
                <w:rFonts w:eastAsia="Calibri"/>
                <w:sz w:val="20"/>
                <w:lang w:val="fr-CA"/>
              </w:rPr>
            </w:pPr>
            <w:r w:rsidRPr="00C45D88">
              <w:rPr>
                <w:rFonts w:eastAsia="Calibri"/>
                <w:sz w:val="20"/>
                <w:lang w:val="fr-CA"/>
              </w:rPr>
              <w:t>Cour suprême du Canada</w:t>
            </w:r>
          </w:p>
        </w:tc>
        <w:tc>
          <w:tcPr>
            <w:tcW w:w="243" w:type="pct"/>
          </w:tcPr>
          <w:p w:rsidR="00F06FFD" w:rsidRPr="00C45D88" w:rsidRDefault="00F06FFD" w:rsidP="00582919">
            <w:pPr>
              <w:jc w:val="both"/>
              <w:rPr>
                <w:rFonts w:eastAsia="Calibri"/>
                <w:sz w:val="20"/>
                <w:lang w:val="fr-CA"/>
              </w:rPr>
            </w:pPr>
          </w:p>
        </w:tc>
        <w:tc>
          <w:tcPr>
            <w:tcW w:w="2330" w:type="pct"/>
          </w:tcPr>
          <w:p w:rsidR="00F06FFD" w:rsidRPr="00C45D88" w:rsidRDefault="00F06FFD" w:rsidP="00582919">
            <w:pPr>
              <w:jc w:val="both"/>
              <w:rPr>
                <w:rFonts w:eastAsia="Calibri"/>
                <w:sz w:val="20"/>
              </w:rPr>
            </w:pPr>
            <w:r w:rsidRPr="00C45D88">
              <w:rPr>
                <w:rFonts w:eastAsia="Calibri"/>
                <w:sz w:val="20"/>
                <w:lang w:val="fr-CA"/>
              </w:rPr>
              <w:t xml:space="preserve">Demande d’autorisation d’appel déposée </w:t>
            </w:r>
          </w:p>
        </w:tc>
      </w:tr>
    </w:tbl>
    <w:p w:rsidR="000D6E5D" w:rsidRDefault="000D6E5D" w:rsidP="000D6E5D">
      <w:pPr>
        <w:rPr>
          <w:sz w:val="20"/>
          <w:szCs w:val="20"/>
        </w:rPr>
      </w:pPr>
    </w:p>
    <w:p w:rsidR="000D6E5D" w:rsidRDefault="003A60BB" w:rsidP="000D6E5D">
      <w:pPr>
        <w:rPr>
          <w:sz w:val="20"/>
          <w:szCs w:val="20"/>
        </w:rPr>
      </w:pPr>
      <w:r>
        <w:rPr>
          <w:sz w:val="20"/>
          <w:szCs w:val="20"/>
          <w:lang w:val="fr-CA"/>
        </w:rPr>
        <w:pict>
          <v:rect id="_x0000_i1047" style="width:2in;height:1pt" o:hrpct="0" o:hralign="center" o:hrstd="t" o:hrnoshade="t" o:hr="t" fillcolor="black [3213]" stroked="f"/>
        </w:pict>
      </w:r>
    </w:p>
    <w:p w:rsidR="000D6E5D" w:rsidRDefault="000D6E5D" w:rsidP="000D6E5D">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72F16" w:rsidRPr="00272F16" w:rsidTr="003431AF">
        <w:trPr>
          <w:cantSplit/>
        </w:trPr>
        <w:tc>
          <w:tcPr>
            <w:tcW w:w="1458" w:type="dxa"/>
          </w:tcPr>
          <w:p w:rsidR="00272F16" w:rsidRPr="00272F16" w:rsidRDefault="00272F16" w:rsidP="00272F16">
            <w:pPr>
              <w:rPr>
                <w:sz w:val="20"/>
              </w:rPr>
            </w:pPr>
            <w:r w:rsidRPr="00272F16">
              <w:rPr>
                <w:b/>
                <w:sz w:val="20"/>
                <w:lang w:val="fr-CA"/>
              </w:rPr>
              <w:t>36128</w:t>
            </w:r>
          </w:p>
          <w:p w:rsidR="00272F16" w:rsidRPr="00272F16" w:rsidRDefault="00272F16" w:rsidP="00272F16">
            <w:pPr>
              <w:rPr>
                <w:b/>
                <w:sz w:val="20"/>
                <w:lang w:val="fr-CA"/>
              </w:rPr>
            </w:pPr>
          </w:p>
        </w:tc>
        <w:tc>
          <w:tcPr>
            <w:tcW w:w="8118" w:type="dxa"/>
          </w:tcPr>
          <w:p w:rsidR="00272F16" w:rsidRPr="00272F16" w:rsidRDefault="00272F16" w:rsidP="00272F16">
            <w:pPr>
              <w:jc w:val="both"/>
              <w:rPr>
                <w:sz w:val="20"/>
              </w:rPr>
            </w:pPr>
            <w:r w:rsidRPr="00272F16">
              <w:rPr>
                <w:b/>
                <w:sz w:val="20"/>
                <w:u w:val="single"/>
              </w:rPr>
              <w:t>Total Oilfield Rentals Limited Partnership v. Attorney General of Canada</w:t>
            </w:r>
            <w:r w:rsidRPr="00272F16">
              <w:rPr>
                <w:sz w:val="20"/>
              </w:rPr>
              <w:t xml:space="preserve"> (Alta.) (Civil) (By Leave)</w:t>
            </w:r>
          </w:p>
          <w:p w:rsidR="00272F16" w:rsidRPr="00272F16" w:rsidRDefault="00272F16" w:rsidP="00272F16">
            <w:pPr>
              <w:jc w:val="both"/>
              <w:rPr>
                <w:sz w:val="20"/>
              </w:rPr>
            </w:pPr>
          </w:p>
        </w:tc>
      </w:tr>
      <w:tr w:rsidR="00272F16" w:rsidRPr="00272F16" w:rsidTr="003431AF">
        <w:trPr>
          <w:cantSplit/>
        </w:trPr>
        <w:tc>
          <w:tcPr>
            <w:tcW w:w="1458" w:type="dxa"/>
          </w:tcPr>
          <w:p w:rsidR="00272F16" w:rsidRPr="00272F16" w:rsidRDefault="00272F16" w:rsidP="00272F16">
            <w:pPr>
              <w:rPr>
                <w:sz w:val="20"/>
              </w:rPr>
            </w:pPr>
            <w:r w:rsidRPr="00272F16">
              <w:rPr>
                <w:sz w:val="20"/>
              </w:rPr>
              <w:t>Coram :</w:t>
            </w:r>
          </w:p>
        </w:tc>
        <w:tc>
          <w:tcPr>
            <w:tcW w:w="8118" w:type="dxa"/>
          </w:tcPr>
          <w:p w:rsidR="00272F16" w:rsidRPr="00272F16" w:rsidRDefault="00272F16" w:rsidP="00272F16">
            <w:pPr>
              <w:rPr>
                <w:sz w:val="20"/>
              </w:rPr>
            </w:pPr>
            <w:r w:rsidRPr="00272F16">
              <w:rPr>
                <w:sz w:val="20"/>
                <w:u w:val="single"/>
              </w:rPr>
              <w:t>McLachlin C.J. and Wagner and Gascon JJ.</w:t>
            </w:r>
          </w:p>
          <w:p w:rsidR="00272F16" w:rsidRPr="00272F16" w:rsidRDefault="00272F16" w:rsidP="00272F16">
            <w:pPr>
              <w:rPr>
                <w:sz w:val="20"/>
                <w:u w:val="single"/>
              </w:rPr>
            </w:pPr>
          </w:p>
        </w:tc>
      </w:tr>
      <w:tr w:rsidR="00272F16" w:rsidRPr="00B66683" w:rsidTr="003431AF">
        <w:trPr>
          <w:cantSplit/>
        </w:trPr>
        <w:tc>
          <w:tcPr>
            <w:tcW w:w="9576" w:type="dxa"/>
            <w:gridSpan w:val="2"/>
          </w:tcPr>
          <w:p w:rsidR="00272F16" w:rsidRPr="00272F16" w:rsidRDefault="00272F16" w:rsidP="00272F16">
            <w:pPr>
              <w:ind w:firstLine="720"/>
              <w:jc w:val="both"/>
              <w:rPr>
                <w:sz w:val="20"/>
              </w:rPr>
            </w:pPr>
            <w:r w:rsidRPr="00272F16">
              <w:rPr>
                <w:sz w:val="20"/>
              </w:rPr>
              <w:t>The application for leave to appeal from the judgment of the Court of Appeal of Alberta (Calgary), Number 1301-0158-AC, 2014 ABCA 250, dated August 14, 2014, is dismissed with costs to the Attorney General of Canada.</w:t>
            </w:r>
          </w:p>
          <w:p w:rsidR="00272F16" w:rsidRPr="00272F16" w:rsidRDefault="00272F16" w:rsidP="00272F16">
            <w:pPr>
              <w:jc w:val="both"/>
              <w:rPr>
                <w:sz w:val="20"/>
              </w:rPr>
            </w:pPr>
          </w:p>
          <w:p w:rsidR="00272F16" w:rsidRPr="00272F16" w:rsidRDefault="00272F16" w:rsidP="00272F16">
            <w:pPr>
              <w:ind w:firstLine="720"/>
              <w:jc w:val="both"/>
              <w:rPr>
                <w:sz w:val="20"/>
                <w:lang w:val="fr-CA"/>
              </w:rPr>
            </w:pPr>
            <w:r w:rsidRPr="00272F16">
              <w:rPr>
                <w:sz w:val="20"/>
                <w:lang w:val="fr-CA"/>
              </w:rPr>
              <w:t>La demande d’autorisation d’appel de l’arrêt de la Cour d'appel de l’Alberta (Calgary), numéro 1301-0158-AC, 2014 ABCA 250, daté du 14 août 2014, est rejetée avec dépens en faveur du Procureur général du Canada.</w:t>
            </w:r>
          </w:p>
        </w:tc>
      </w:tr>
    </w:tbl>
    <w:p w:rsidR="000D6E5D" w:rsidRPr="00272F16" w:rsidRDefault="000D6E5D" w:rsidP="000D6E5D">
      <w:pPr>
        <w:rPr>
          <w:sz w:val="20"/>
          <w:szCs w:val="20"/>
          <w:lang w:val="fr-CA"/>
        </w:rPr>
      </w:pPr>
    </w:p>
    <w:p w:rsidR="000D6E5D" w:rsidRPr="001B157C" w:rsidRDefault="000D6E5D" w:rsidP="000D6E5D">
      <w:pPr>
        <w:rPr>
          <w:sz w:val="20"/>
          <w:szCs w:val="20"/>
          <w:u w:val="single"/>
        </w:rPr>
      </w:pPr>
      <w:r w:rsidRPr="001B157C">
        <w:rPr>
          <w:sz w:val="20"/>
          <w:szCs w:val="20"/>
          <w:u w:val="single"/>
        </w:rPr>
        <w:t>CASE SUMMARY</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06FFD" w:rsidRPr="00C45D88" w:rsidTr="00582919">
        <w:tc>
          <w:tcPr>
            <w:tcW w:w="5000" w:type="pct"/>
            <w:gridSpan w:val="3"/>
          </w:tcPr>
          <w:p w:rsidR="00F06FFD" w:rsidRPr="00C45D88" w:rsidRDefault="00F06FFD" w:rsidP="00582919">
            <w:pPr>
              <w:jc w:val="both"/>
              <w:rPr>
                <w:rFonts w:eastAsia="Calibri"/>
                <w:sz w:val="20"/>
              </w:rPr>
            </w:pPr>
            <w:r w:rsidRPr="00C45D88">
              <w:rPr>
                <w:rFonts w:eastAsia="Calibri"/>
                <w:sz w:val="20"/>
              </w:rPr>
              <w:t xml:space="preserve">Constitutional law – Division of powers – Interprovincial transportation – Company engaged in rental of oilfield equipment also involved in transportation of that equipment and other goods within province of Alberta and across provincial boundaries – Assessment of jurisdiction when integrated operation has different aspects to its business – Whether Court of Appeal erred in holding that federal transportation act and associated regulations apply to applicant’s trucking operations? – </w:t>
            </w:r>
            <w:r w:rsidRPr="00C45D88">
              <w:rPr>
                <w:rFonts w:eastAsia="Calibri"/>
                <w:i/>
                <w:sz w:val="20"/>
              </w:rPr>
              <w:t>Motor Vehicle Transportation Act</w:t>
            </w:r>
            <w:r w:rsidRPr="00C45D88">
              <w:rPr>
                <w:rFonts w:eastAsia="Calibri"/>
                <w:sz w:val="20"/>
              </w:rPr>
              <w:t>, R.C.S. 185, c. 29 (3</w:t>
            </w:r>
            <w:r w:rsidRPr="00C45D88">
              <w:rPr>
                <w:rFonts w:eastAsia="Calibri"/>
                <w:sz w:val="20"/>
                <w:vertAlign w:val="superscript"/>
              </w:rPr>
              <w:t>rd</w:t>
            </w:r>
            <w:r w:rsidRPr="00C45D88">
              <w:rPr>
                <w:rFonts w:eastAsia="Calibri"/>
                <w:sz w:val="20"/>
              </w:rPr>
              <w:t xml:space="preserve"> supp.) – </w:t>
            </w:r>
            <w:r w:rsidRPr="00C45D88">
              <w:rPr>
                <w:rFonts w:eastAsia="Calibri"/>
                <w:i/>
                <w:sz w:val="20"/>
              </w:rPr>
              <w:t>Constitution Act</w:t>
            </w:r>
            <w:r w:rsidRPr="00C45D88">
              <w:rPr>
                <w:rFonts w:eastAsia="Calibri"/>
                <w:sz w:val="20"/>
              </w:rPr>
              <w:t>, 1867, s. 92(10)(</w:t>
            </w:r>
            <w:r w:rsidRPr="00C45D88">
              <w:rPr>
                <w:rFonts w:eastAsia="Calibri"/>
                <w:i/>
                <w:sz w:val="20"/>
              </w:rPr>
              <w:t>a</w:t>
            </w:r>
            <w:r w:rsidRPr="00C45D88">
              <w:rPr>
                <w:rFonts w:eastAsia="Calibri"/>
                <w:sz w:val="20"/>
              </w:rPr>
              <w:t xml:space="preserve">). </w:t>
            </w:r>
          </w:p>
        </w:tc>
      </w:tr>
      <w:tr w:rsidR="00F06FFD" w:rsidRPr="00C45D88" w:rsidTr="00582919">
        <w:tc>
          <w:tcPr>
            <w:tcW w:w="5000" w:type="pct"/>
            <w:gridSpan w:val="3"/>
          </w:tcPr>
          <w:p w:rsidR="00F06FFD" w:rsidRPr="00C45D88" w:rsidRDefault="00F06FFD" w:rsidP="00582919">
            <w:pPr>
              <w:jc w:val="both"/>
              <w:rPr>
                <w:rFonts w:eastAsia="Calibri"/>
                <w:sz w:val="20"/>
              </w:rPr>
            </w:pPr>
          </w:p>
        </w:tc>
      </w:tr>
      <w:tr w:rsidR="00F06FFD" w:rsidRPr="00C45D88" w:rsidTr="00582919">
        <w:tc>
          <w:tcPr>
            <w:tcW w:w="5000" w:type="pct"/>
            <w:gridSpan w:val="3"/>
          </w:tcPr>
          <w:p w:rsidR="00F06FFD" w:rsidRPr="00C45D88" w:rsidRDefault="00F06FFD" w:rsidP="00582919">
            <w:pPr>
              <w:jc w:val="both"/>
              <w:rPr>
                <w:rFonts w:eastAsia="Calibri"/>
                <w:sz w:val="20"/>
              </w:rPr>
            </w:pPr>
            <w:r w:rsidRPr="00C45D88">
              <w:rPr>
                <w:rFonts w:eastAsia="Calibri"/>
                <w:sz w:val="20"/>
              </w:rPr>
              <w:t>Total Oilfield Rentals Limited Partnership (“Total”) is an Alberta company that describes itself as being engaged in the rental of equipment in the oilfield industry.  It has 14 branch offices in Alberta, 3 in British Columbia and 2 in Saskatchewan.  Total’s trucking operations consist mainly of delivering and retrieving rental equipment to and from its customers’ job sites.  When a customer requests a piece of rental equipment, it is normally dispatched from Total’s closest rental branch within the province where the customer is located.  However, when needed equipment is not within the job site’s province, it is shipped across provincial boundaries from the nearest location in the next province.</w:t>
            </w:r>
          </w:p>
          <w:p w:rsidR="00F06FFD" w:rsidRPr="00C45D88" w:rsidRDefault="00F06FFD" w:rsidP="00582919">
            <w:pPr>
              <w:jc w:val="both"/>
              <w:rPr>
                <w:rFonts w:eastAsia="Calibri"/>
                <w:sz w:val="20"/>
              </w:rPr>
            </w:pPr>
          </w:p>
          <w:p w:rsidR="00F06FFD" w:rsidRPr="00C45D88" w:rsidRDefault="00F06FFD" w:rsidP="00582919">
            <w:pPr>
              <w:jc w:val="both"/>
              <w:rPr>
                <w:rFonts w:eastAsia="Calibri"/>
                <w:sz w:val="20"/>
              </w:rPr>
            </w:pPr>
            <w:r w:rsidRPr="00C45D88">
              <w:rPr>
                <w:rFonts w:eastAsia="Calibri"/>
                <w:sz w:val="20"/>
              </w:rPr>
              <w:t xml:space="preserve">In 2011, a $10,000 administrative penalty was levied against Total for violating the </w:t>
            </w:r>
            <w:r w:rsidRPr="00C45D88">
              <w:rPr>
                <w:rFonts w:eastAsia="Calibri"/>
                <w:i/>
                <w:sz w:val="20"/>
              </w:rPr>
              <w:t>Commercial Vehicles Drivers’ Hours of Service Regulations</w:t>
            </w:r>
            <w:r w:rsidRPr="00C45D88">
              <w:rPr>
                <w:rFonts w:eastAsia="Calibri"/>
                <w:sz w:val="20"/>
              </w:rPr>
              <w:t xml:space="preserve">, SOR/2005-313, enacted pursuant to the federal </w:t>
            </w:r>
            <w:r w:rsidRPr="00C45D88">
              <w:rPr>
                <w:rFonts w:eastAsia="Calibri"/>
                <w:i/>
                <w:sz w:val="20"/>
              </w:rPr>
              <w:t>Motor Vehicle Transportation Act</w:t>
            </w:r>
            <w:r w:rsidRPr="00C45D88">
              <w:rPr>
                <w:rFonts w:eastAsia="Calibri"/>
                <w:sz w:val="20"/>
              </w:rPr>
              <w:t>, R.C.S. 1985, c. 29 (3</w:t>
            </w:r>
            <w:r w:rsidRPr="00C45D88">
              <w:rPr>
                <w:rFonts w:eastAsia="Calibri"/>
                <w:sz w:val="20"/>
                <w:vertAlign w:val="superscript"/>
              </w:rPr>
              <w:t>rd</w:t>
            </w:r>
            <w:r w:rsidRPr="00C45D88">
              <w:rPr>
                <w:rFonts w:eastAsia="Calibri"/>
                <w:sz w:val="20"/>
              </w:rPr>
              <w:t xml:space="preserve"> Supp.).  Total challenged the constitutional applicability of the federal Regulations to its trucking operations.  It sought a declaration that it was governed by less stringent and onerous provincial highways and motor vehicle legislation and regulations.</w:t>
            </w:r>
          </w:p>
          <w:p w:rsidR="00F06FFD" w:rsidRPr="00C45D88" w:rsidRDefault="00F06FFD" w:rsidP="00582919">
            <w:pPr>
              <w:jc w:val="both"/>
              <w:rPr>
                <w:rFonts w:eastAsia="Calibri"/>
                <w:sz w:val="20"/>
              </w:rPr>
            </w:pPr>
          </w:p>
        </w:tc>
      </w:tr>
      <w:tr w:rsidR="00F06FFD" w:rsidRPr="00C45D88" w:rsidTr="00582919">
        <w:tc>
          <w:tcPr>
            <w:tcW w:w="2427" w:type="pct"/>
          </w:tcPr>
          <w:p w:rsidR="00F06FFD" w:rsidRPr="00C45D88" w:rsidRDefault="00F06FFD" w:rsidP="00582919">
            <w:pPr>
              <w:jc w:val="both"/>
              <w:rPr>
                <w:rFonts w:eastAsia="Calibri"/>
                <w:sz w:val="20"/>
              </w:rPr>
            </w:pPr>
            <w:r w:rsidRPr="00C45D88">
              <w:rPr>
                <w:rFonts w:eastAsia="Calibri"/>
                <w:sz w:val="20"/>
              </w:rPr>
              <w:t>May 3, 2013</w:t>
            </w:r>
          </w:p>
          <w:p w:rsidR="00F06FFD" w:rsidRPr="00C45D88" w:rsidRDefault="00F06FFD" w:rsidP="00582919">
            <w:pPr>
              <w:jc w:val="both"/>
              <w:rPr>
                <w:rFonts w:eastAsia="Calibri"/>
                <w:sz w:val="20"/>
              </w:rPr>
            </w:pPr>
            <w:r w:rsidRPr="00C45D88">
              <w:rPr>
                <w:rFonts w:eastAsia="Calibri"/>
                <w:sz w:val="20"/>
              </w:rPr>
              <w:t>Court of Queen’s Bench of Alberta</w:t>
            </w:r>
          </w:p>
          <w:p w:rsidR="00F06FFD" w:rsidRPr="00C45D88" w:rsidRDefault="00F06FFD" w:rsidP="00582919">
            <w:pPr>
              <w:jc w:val="both"/>
              <w:rPr>
                <w:rFonts w:eastAsia="Calibri"/>
                <w:sz w:val="20"/>
              </w:rPr>
            </w:pPr>
            <w:r w:rsidRPr="00C45D88">
              <w:rPr>
                <w:rFonts w:eastAsia="Calibri"/>
                <w:sz w:val="20"/>
              </w:rPr>
              <w:t>(Hall J.)</w:t>
            </w:r>
          </w:p>
          <w:p w:rsidR="00F06FFD" w:rsidRPr="00C45D88" w:rsidRDefault="003A60BB" w:rsidP="00582919">
            <w:pPr>
              <w:jc w:val="both"/>
              <w:rPr>
                <w:rFonts w:eastAsia="Calibri"/>
                <w:sz w:val="20"/>
              </w:rPr>
            </w:pPr>
            <w:hyperlink r:id="rId39" w:history="1">
              <w:r w:rsidR="00F06FFD" w:rsidRPr="00C45D88">
                <w:rPr>
                  <w:rFonts w:eastAsia="Calibri"/>
                  <w:color w:val="0000FF"/>
                  <w:sz w:val="20"/>
                  <w:u w:val="single"/>
                </w:rPr>
                <w:t>2013 ABQB 263</w:t>
              </w:r>
            </w:hyperlink>
          </w:p>
          <w:p w:rsidR="00F06FFD" w:rsidRPr="00C45D88" w:rsidRDefault="00F06FFD" w:rsidP="00582919">
            <w:pPr>
              <w:jc w:val="both"/>
              <w:rPr>
                <w:rFonts w:eastAsia="Calibri"/>
                <w:sz w:val="20"/>
              </w:rPr>
            </w:pPr>
            <w:r w:rsidRPr="00C45D88">
              <w:rPr>
                <w:rFonts w:eastAsia="Calibri"/>
                <w:sz w:val="20"/>
              </w:rPr>
              <w:t>Court File No. 1201-00477</w:t>
            </w:r>
          </w:p>
          <w:p w:rsidR="00F06FFD" w:rsidRPr="00C45D88" w:rsidRDefault="00F06FFD" w:rsidP="00582919">
            <w:pPr>
              <w:jc w:val="both"/>
              <w:rPr>
                <w:rFonts w:eastAsia="Calibri"/>
                <w:sz w:val="20"/>
              </w:rPr>
            </w:pPr>
          </w:p>
        </w:tc>
        <w:tc>
          <w:tcPr>
            <w:tcW w:w="243" w:type="pct"/>
          </w:tcPr>
          <w:p w:rsidR="00F06FFD" w:rsidRPr="00C45D88" w:rsidRDefault="00F06FFD" w:rsidP="00582919">
            <w:pPr>
              <w:jc w:val="both"/>
              <w:rPr>
                <w:rFonts w:eastAsia="Calibri"/>
                <w:sz w:val="20"/>
              </w:rPr>
            </w:pPr>
          </w:p>
        </w:tc>
        <w:tc>
          <w:tcPr>
            <w:tcW w:w="2330" w:type="pct"/>
          </w:tcPr>
          <w:p w:rsidR="00F06FFD" w:rsidRPr="00C45D88" w:rsidRDefault="00F06FFD" w:rsidP="00582919">
            <w:pPr>
              <w:jc w:val="both"/>
              <w:rPr>
                <w:rFonts w:eastAsia="Calibri"/>
                <w:sz w:val="20"/>
              </w:rPr>
            </w:pPr>
            <w:r w:rsidRPr="00C45D88">
              <w:rPr>
                <w:rFonts w:eastAsia="Calibri"/>
                <w:sz w:val="20"/>
              </w:rPr>
              <w:t>Applicant’s trucking operation declared to be governed by provincial highways and motor vehicle legislation and regulations</w:t>
            </w:r>
          </w:p>
        </w:tc>
      </w:tr>
      <w:tr w:rsidR="00F06FFD" w:rsidRPr="00C45D88" w:rsidTr="00582919">
        <w:tc>
          <w:tcPr>
            <w:tcW w:w="2427" w:type="pct"/>
          </w:tcPr>
          <w:p w:rsidR="00F06FFD" w:rsidRPr="00C45D88" w:rsidRDefault="00F06FFD" w:rsidP="00582919">
            <w:pPr>
              <w:jc w:val="both"/>
              <w:rPr>
                <w:rFonts w:eastAsia="Calibri"/>
                <w:sz w:val="20"/>
              </w:rPr>
            </w:pPr>
            <w:r w:rsidRPr="00C45D88">
              <w:rPr>
                <w:rFonts w:eastAsia="Calibri"/>
                <w:sz w:val="20"/>
              </w:rPr>
              <w:t>August 14, 2014</w:t>
            </w:r>
          </w:p>
          <w:p w:rsidR="00F06FFD" w:rsidRPr="00C45D88" w:rsidRDefault="00F06FFD" w:rsidP="00582919">
            <w:pPr>
              <w:jc w:val="both"/>
              <w:rPr>
                <w:rFonts w:eastAsia="Calibri"/>
                <w:sz w:val="20"/>
              </w:rPr>
            </w:pPr>
            <w:r w:rsidRPr="00C45D88">
              <w:rPr>
                <w:rFonts w:eastAsia="Calibri"/>
                <w:sz w:val="20"/>
              </w:rPr>
              <w:t>Court of Appeal of Alberta (Calgary)</w:t>
            </w:r>
          </w:p>
          <w:p w:rsidR="00F06FFD" w:rsidRPr="00C45D88" w:rsidRDefault="00F06FFD" w:rsidP="00582919">
            <w:pPr>
              <w:jc w:val="both"/>
              <w:rPr>
                <w:rFonts w:eastAsia="Calibri"/>
                <w:sz w:val="20"/>
              </w:rPr>
            </w:pPr>
            <w:r w:rsidRPr="00C45D88">
              <w:rPr>
                <w:rFonts w:eastAsia="Calibri"/>
                <w:sz w:val="20"/>
              </w:rPr>
              <w:t xml:space="preserve">(Slatter J.A. (dissenting) and O’Ferrall and </w:t>
            </w:r>
          </w:p>
          <w:p w:rsidR="00F06FFD" w:rsidRPr="00C45D88" w:rsidRDefault="00F06FFD" w:rsidP="00582919">
            <w:pPr>
              <w:jc w:val="both"/>
              <w:rPr>
                <w:rFonts w:eastAsia="Calibri"/>
                <w:sz w:val="20"/>
              </w:rPr>
            </w:pPr>
            <w:r w:rsidRPr="00C45D88">
              <w:rPr>
                <w:rFonts w:eastAsia="Calibri"/>
                <w:sz w:val="20"/>
              </w:rPr>
              <w:t>Veldhuis JJ.A.)</w:t>
            </w:r>
          </w:p>
          <w:p w:rsidR="00F06FFD" w:rsidRPr="00C45D88" w:rsidRDefault="003A60BB" w:rsidP="00582919">
            <w:pPr>
              <w:jc w:val="both"/>
              <w:rPr>
                <w:rFonts w:eastAsia="Calibri"/>
                <w:sz w:val="20"/>
              </w:rPr>
            </w:pPr>
            <w:hyperlink r:id="rId40" w:history="1">
              <w:r w:rsidR="00F06FFD" w:rsidRPr="00C45D88">
                <w:rPr>
                  <w:rFonts w:eastAsia="Calibri"/>
                  <w:color w:val="0000FF"/>
                  <w:sz w:val="20"/>
                  <w:u w:val="single"/>
                </w:rPr>
                <w:t>2014 ABCA 250</w:t>
              </w:r>
            </w:hyperlink>
            <w:r w:rsidR="00F06FFD" w:rsidRPr="00C45D88">
              <w:rPr>
                <w:rFonts w:eastAsia="Calibri"/>
                <w:sz w:val="20"/>
              </w:rPr>
              <w:t xml:space="preserve"> </w:t>
            </w:r>
          </w:p>
          <w:p w:rsidR="00F06FFD" w:rsidRPr="00C45D88" w:rsidRDefault="00F06FFD" w:rsidP="00582919">
            <w:pPr>
              <w:jc w:val="both"/>
              <w:rPr>
                <w:rFonts w:eastAsia="Calibri"/>
                <w:sz w:val="20"/>
              </w:rPr>
            </w:pPr>
            <w:r w:rsidRPr="00C45D88">
              <w:rPr>
                <w:rFonts w:eastAsia="Calibri"/>
                <w:sz w:val="20"/>
              </w:rPr>
              <w:t>Docket No. 1301-0158-AC</w:t>
            </w:r>
          </w:p>
          <w:p w:rsidR="00F06FFD" w:rsidRPr="00C45D88" w:rsidRDefault="00F06FFD" w:rsidP="00582919">
            <w:pPr>
              <w:jc w:val="both"/>
              <w:rPr>
                <w:rFonts w:eastAsia="Calibri"/>
                <w:sz w:val="20"/>
              </w:rPr>
            </w:pPr>
          </w:p>
        </w:tc>
        <w:tc>
          <w:tcPr>
            <w:tcW w:w="243" w:type="pct"/>
          </w:tcPr>
          <w:p w:rsidR="00F06FFD" w:rsidRPr="00C45D88" w:rsidRDefault="00F06FFD" w:rsidP="00582919">
            <w:pPr>
              <w:jc w:val="both"/>
              <w:rPr>
                <w:rFonts w:eastAsia="Calibri"/>
                <w:sz w:val="20"/>
              </w:rPr>
            </w:pPr>
          </w:p>
        </w:tc>
        <w:tc>
          <w:tcPr>
            <w:tcW w:w="2330" w:type="pct"/>
          </w:tcPr>
          <w:p w:rsidR="00F06FFD" w:rsidRPr="00C45D88" w:rsidRDefault="00F06FFD" w:rsidP="00582919">
            <w:pPr>
              <w:jc w:val="both"/>
              <w:rPr>
                <w:rFonts w:eastAsia="Calibri"/>
                <w:sz w:val="20"/>
              </w:rPr>
            </w:pPr>
            <w:r w:rsidRPr="00C45D88">
              <w:rPr>
                <w:rFonts w:eastAsia="Calibri"/>
                <w:sz w:val="20"/>
              </w:rPr>
              <w:t xml:space="preserve">Appeal allowed; Applicant’s trucking operations found to constitute a federal transportation undertaking; </w:t>
            </w:r>
            <w:r w:rsidRPr="00C45D88">
              <w:rPr>
                <w:rFonts w:eastAsia="Calibri"/>
                <w:i/>
                <w:sz w:val="20"/>
              </w:rPr>
              <w:t>Motor Vehicle Transport Act</w:t>
            </w:r>
            <w:r w:rsidRPr="00C45D88">
              <w:rPr>
                <w:rFonts w:eastAsia="Calibri"/>
                <w:sz w:val="20"/>
              </w:rPr>
              <w:t>, R.S.C. 1985, c. 29 (3</w:t>
            </w:r>
            <w:r w:rsidRPr="00C45D88">
              <w:rPr>
                <w:rFonts w:eastAsia="Calibri"/>
                <w:sz w:val="20"/>
                <w:vertAlign w:val="superscript"/>
              </w:rPr>
              <w:t>rd</w:t>
            </w:r>
            <w:r w:rsidRPr="00C45D88">
              <w:rPr>
                <w:rFonts w:eastAsia="Calibri"/>
                <w:sz w:val="20"/>
              </w:rPr>
              <w:t xml:space="preserve"> Supp.) and associated regulations held to apply to applicant’s trucking operations</w:t>
            </w:r>
          </w:p>
        </w:tc>
      </w:tr>
      <w:tr w:rsidR="00F06FFD" w:rsidRPr="00C45D88" w:rsidTr="00582919">
        <w:tc>
          <w:tcPr>
            <w:tcW w:w="2427" w:type="pct"/>
          </w:tcPr>
          <w:p w:rsidR="00F06FFD" w:rsidRPr="00C45D88" w:rsidRDefault="00F06FFD" w:rsidP="00582919">
            <w:pPr>
              <w:jc w:val="both"/>
              <w:rPr>
                <w:rFonts w:eastAsia="Calibri"/>
                <w:sz w:val="20"/>
              </w:rPr>
            </w:pPr>
            <w:r w:rsidRPr="00C45D88">
              <w:rPr>
                <w:rFonts w:eastAsia="Calibri"/>
                <w:sz w:val="20"/>
              </w:rPr>
              <w:t>October 14, 2014</w:t>
            </w:r>
          </w:p>
          <w:p w:rsidR="00F06FFD" w:rsidRPr="00C45D88" w:rsidRDefault="00F06FFD" w:rsidP="00582919">
            <w:pPr>
              <w:jc w:val="both"/>
              <w:rPr>
                <w:rFonts w:eastAsia="Calibri"/>
                <w:sz w:val="20"/>
              </w:rPr>
            </w:pPr>
            <w:r w:rsidRPr="00C45D88">
              <w:rPr>
                <w:rFonts w:eastAsia="Calibri"/>
                <w:sz w:val="20"/>
              </w:rPr>
              <w:t>Supreme Court of Canada</w:t>
            </w:r>
          </w:p>
        </w:tc>
        <w:tc>
          <w:tcPr>
            <w:tcW w:w="243" w:type="pct"/>
          </w:tcPr>
          <w:p w:rsidR="00F06FFD" w:rsidRPr="00C45D88" w:rsidRDefault="00F06FFD" w:rsidP="00582919">
            <w:pPr>
              <w:jc w:val="both"/>
              <w:rPr>
                <w:rFonts w:eastAsia="Calibri"/>
                <w:sz w:val="20"/>
              </w:rPr>
            </w:pPr>
          </w:p>
        </w:tc>
        <w:tc>
          <w:tcPr>
            <w:tcW w:w="2330" w:type="pct"/>
          </w:tcPr>
          <w:p w:rsidR="00F06FFD" w:rsidRPr="00C45D88" w:rsidRDefault="00F06FFD" w:rsidP="00582919">
            <w:pPr>
              <w:jc w:val="both"/>
              <w:rPr>
                <w:rFonts w:eastAsia="Calibri"/>
                <w:sz w:val="20"/>
              </w:rPr>
            </w:pPr>
            <w:r w:rsidRPr="00C45D88">
              <w:rPr>
                <w:rFonts w:eastAsia="Calibri"/>
                <w:sz w:val="20"/>
              </w:rPr>
              <w:t>Application for leave to appeal filed</w:t>
            </w:r>
          </w:p>
        </w:tc>
      </w:tr>
    </w:tbl>
    <w:p w:rsidR="000D6E5D" w:rsidRDefault="000D6E5D" w:rsidP="000D6E5D">
      <w:pPr>
        <w:rPr>
          <w:sz w:val="20"/>
          <w:szCs w:val="20"/>
        </w:rPr>
      </w:pPr>
    </w:p>
    <w:p w:rsidR="000D6E5D" w:rsidRPr="00C50A5C" w:rsidRDefault="003A60BB" w:rsidP="000D6E5D">
      <w:pPr>
        <w:rPr>
          <w:sz w:val="20"/>
          <w:szCs w:val="20"/>
        </w:rPr>
      </w:pPr>
      <w:r>
        <w:rPr>
          <w:sz w:val="20"/>
          <w:szCs w:val="20"/>
          <w:lang w:val="fr-CA"/>
        </w:rPr>
        <w:pict>
          <v:rect id="_x0000_i1048" style="width:2in;height:1pt" o:hrpct="0" o:hralign="center" o:hrstd="t" o:hrnoshade="t" o:hr="t" fillcolor="black [3213]" stroked="f"/>
        </w:pict>
      </w:r>
    </w:p>
    <w:p w:rsidR="000D6E5D" w:rsidRDefault="000D6E5D" w:rsidP="000D6E5D">
      <w:pPr>
        <w:rPr>
          <w:sz w:val="20"/>
          <w:szCs w:val="20"/>
        </w:rPr>
      </w:pPr>
    </w:p>
    <w:p w:rsidR="000D6E5D" w:rsidRPr="001B157C" w:rsidRDefault="000D6E5D" w:rsidP="000D6E5D">
      <w:pPr>
        <w:rPr>
          <w:sz w:val="20"/>
          <w:szCs w:val="20"/>
          <w:u w:val="single"/>
          <w:lang w:val="fr-CA"/>
        </w:rPr>
      </w:pPr>
      <w:r w:rsidRPr="001B157C">
        <w:rPr>
          <w:sz w:val="20"/>
          <w:szCs w:val="20"/>
          <w:u w:val="single"/>
          <w:lang w:val="fr-CA"/>
        </w:rPr>
        <w:t>RÉSUMÉ DE L’AFFAIRE</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06FFD" w:rsidRPr="00B66683" w:rsidTr="00582919">
        <w:tc>
          <w:tcPr>
            <w:tcW w:w="5000" w:type="pct"/>
            <w:gridSpan w:val="3"/>
          </w:tcPr>
          <w:p w:rsidR="00F06FFD" w:rsidRPr="00C45D88" w:rsidRDefault="00F06FFD" w:rsidP="00582919">
            <w:pPr>
              <w:jc w:val="both"/>
              <w:rPr>
                <w:rFonts w:eastAsia="Calibri"/>
                <w:sz w:val="20"/>
                <w:lang w:val="fr-CA"/>
              </w:rPr>
            </w:pPr>
            <w:r w:rsidRPr="00C45D88">
              <w:rPr>
                <w:rFonts w:eastAsia="Calibri"/>
                <w:sz w:val="20"/>
                <w:lang w:val="fr-CA"/>
              </w:rPr>
              <w:t xml:space="preserve">Droit constitutionnel – Partage des compétences – Transport interprovincial – La compagnie exploite une entreprise de location d’équipement de champ de pétrole et fait aussi le transport de cet équipement et d’autres biens, à l’intérieur de la province de l’Alberta et d’une province à une autre – Appréciation de la compétence lorsque les activités intégrées de l’entreprise comportent différents aspects – La Cour d’appel a-t-elle eu tort de statuer que la loi fédérale sur les transports et les règlements connexes s’appliquent aux activités de camionnage de la demanderesse? – </w:t>
            </w:r>
            <w:r w:rsidRPr="00C45D88">
              <w:rPr>
                <w:rFonts w:eastAsia="Calibri"/>
                <w:i/>
                <w:sz w:val="20"/>
                <w:lang w:val="fr-CA"/>
              </w:rPr>
              <w:t>Loi sur les transports routiers</w:t>
            </w:r>
            <w:r w:rsidRPr="00C45D88">
              <w:rPr>
                <w:rFonts w:eastAsia="Calibri"/>
                <w:sz w:val="20"/>
                <w:lang w:val="fr-CA"/>
              </w:rPr>
              <w:t>, L.R.C. 185, ch. 29 (3</w:t>
            </w:r>
            <w:r w:rsidRPr="00C45D88">
              <w:rPr>
                <w:rFonts w:eastAsia="Calibri"/>
                <w:sz w:val="20"/>
                <w:vertAlign w:val="superscript"/>
                <w:lang w:val="fr-CA"/>
              </w:rPr>
              <w:t>e</w:t>
            </w:r>
            <w:r w:rsidRPr="00C45D88">
              <w:rPr>
                <w:rFonts w:eastAsia="Calibri"/>
                <w:sz w:val="20"/>
                <w:lang w:val="fr-CA"/>
              </w:rPr>
              <w:t xml:space="preserve"> suppl.) – </w:t>
            </w:r>
            <w:r w:rsidRPr="00C45D88">
              <w:rPr>
                <w:rFonts w:eastAsia="Calibri"/>
                <w:i/>
                <w:sz w:val="20"/>
                <w:lang w:val="fr-CA"/>
              </w:rPr>
              <w:t>Loi constitutionnelle de 1867</w:t>
            </w:r>
            <w:r w:rsidRPr="00C45D88">
              <w:rPr>
                <w:rFonts w:eastAsia="Calibri"/>
                <w:sz w:val="20"/>
                <w:lang w:val="fr-CA"/>
              </w:rPr>
              <w:t>, al. 92(10)</w:t>
            </w:r>
            <w:r w:rsidRPr="00C45D88">
              <w:rPr>
                <w:rFonts w:eastAsia="Calibri"/>
                <w:i/>
                <w:sz w:val="20"/>
                <w:lang w:val="fr-CA"/>
              </w:rPr>
              <w:t>a)</w:t>
            </w:r>
            <w:r w:rsidRPr="00C45D88">
              <w:rPr>
                <w:rFonts w:eastAsia="Calibri"/>
                <w:sz w:val="20"/>
                <w:lang w:val="fr-CA"/>
              </w:rPr>
              <w:t xml:space="preserve">. </w:t>
            </w:r>
          </w:p>
        </w:tc>
      </w:tr>
      <w:tr w:rsidR="00F06FFD" w:rsidRPr="00B66683" w:rsidTr="00582919">
        <w:tc>
          <w:tcPr>
            <w:tcW w:w="5000" w:type="pct"/>
            <w:gridSpan w:val="3"/>
          </w:tcPr>
          <w:p w:rsidR="00F06FFD" w:rsidRPr="00C45D88" w:rsidRDefault="00F06FFD" w:rsidP="00582919">
            <w:pPr>
              <w:jc w:val="both"/>
              <w:rPr>
                <w:rFonts w:eastAsia="Calibri"/>
                <w:sz w:val="20"/>
                <w:lang w:val="fr-CA"/>
              </w:rPr>
            </w:pPr>
          </w:p>
        </w:tc>
      </w:tr>
      <w:tr w:rsidR="00F06FFD" w:rsidRPr="00B66683" w:rsidTr="00582919">
        <w:tc>
          <w:tcPr>
            <w:tcW w:w="5000" w:type="pct"/>
            <w:gridSpan w:val="3"/>
          </w:tcPr>
          <w:p w:rsidR="00F06FFD" w:rsidRPr="00C45D88" w:rsidRDefault="00F06FFD" w:rsidP="00582919">
            <w:pPr>
              <w:jc w:val="both"/>
              <w:rPr>
                <w:rFonts w:eastAsia="Calibri"/>
                <w:sz w:val="20"/>
                <w:lang w:val="fr-CA"/>
              </w:rPr>
            </w:pPr>
            <w:r w:rsidRPr="00C45D88">
              <w:rPr>
                <w:rFonts w:eastAsia="Calibri"/>
                <w:sz w:val="20"/>
                <w:lang w:val="fr-CA"/>
              </w:rPr>
              <w:t>Total Oilfield Rentals Limited Partnership (« Total ») est une compagnie albertaine qui se décrit comme une entreprise de location d’équipement dans le secteur des champs de pétrole.  Elle a quatorze succursales en Alberta, trois en Colombie-Britannique et deux en Saskatchewan.  Les activités de camionnage de Total consistent principalement à livrer l’équipement de location aux chantiers de sa clientèle et à le récupérer par la suite.  Lorsqu’un client demande une pièce d’équipement de location, elle est normalement livrée à partir de la succursale de location de Total la plus proche à l’intérieur de la province où se trouve le client.  Toutefois, lorsque l’équipement requis ne se trouve pas dans la province où est situé le chantier, il est expédié d’une province à une autre à partir de l’emplacement le plus proche dans la province voisine.</w:t>
            </w:r>
          </w:p>
          <w:p w:rsidR="00F06FFD" w:rsidRPr="00C45D88" w:rsidRDefault="00F06FFD" w:rsidP="00582919">
            <w:pPr>
              <w:jc w:val="both"/>
              <w:rPr>
                <w:rFonts w:eastAsia="Calibri"/>
                <w:sz w:val="20"/>
                <w:lang w:val="fr-CA"/>
              </w:rPr>
            </w:pPr>
          </w:p>
          <w:p w:rsidR="00F06FFD" w:rsidRPr="00C45D88" w:rsidRDefault="00F06FFD" w:rsidP="00582919">
            <w:pPr>
              <w:jc w:val="both"/>
              <w:rPr>
                <w:rFonts w:eastAsia="Calibri"/>
                <w:sz w:val="20"/>
                <w:lang w:val="fr-CA"/>
              </w:rPr>
            </w:pPr>
            <w:r w:rsidRPr="00C45D88">
              <w:rPr>
                <w:rFonts w:eastAsia="Calibri"/>
                <w:sz w:val="20"/>
                <w:lang w:val="fr-CA"/>
              </w:rPr>
              <w:t xml:space="preserve">En 2011, Total s’est vu imposer une pénalité administrative de 10 000 $ pour avoir violé le </w:t>
            </w:r>
            <w:r w:rsidRPr="00C45D88">
              <w:rPr>
                <w:rFonts w:eastAsia="Calibri"/>
                <w:i/>
                <w:sz w:val="20"/>
                <w:lang w:val="fr-CA"/>
              </w:rPr>
              <w:t>Règlement sur les heures de service des conducteurs de véhicules utilitaires</w:t>
            </w:r>
            <w:r w:rsidRPr="00C45D88">
              <w:rPr>
                <w:rFonts w:eastAsia="Calibri"/>
                <w:sz w:val="20"/>
                <w:lang w:val="fr-CA"/>
              </w:rPr>
              <w:t xml:space="preserve">, DORS/2005-313, pris sous le régime de la </w:t>
            </w:r>
            <w:r w:rsidRPr="00C45D88">
              <w:rPr>
                <w:rFonts w:eastAsia="Calibri"/>
                <w:i/>
                <w:sz w:val="20"/>
                <w:lang w:val="fr-CA"/>
              </w:rPr>
              <w:t>Loi sur les transports routiers</w:t>
            </w:r>
            <w:r w:rsidRPr="00C45D88">
              <w:rPr>
                <w:rFonts w:eastAsia="Calibri"/>
                <w:sz w:val="20"/>
                <w:lang w:val="fr-CA"/>
              </w:rPr>
              <w:t>, L.R.C. 1985, ch. 29 (3</w:t>
            </w:r>
            <w:r w:rsidRPr="00C45D88">
              <w:rPr>
                <w:rFonts w:eastAsia="Calibri"/>
                <w:sz w:val="20"/>
                <w:vertAlign w:val="superscript"/>
                <w:lang w:val="fr-CA"/>
              </w:rPr>
              <w:t>e</w:t>
            </w:r>
            <w:r w:rsidRPr="00C45D88">
              <w:rPr>
                <w:rFonts w:eastAsia="Calibri"/>
                <w:sz w:val="20"/>
                <w:lang w:val="fr-CA"/>
              </w:rPr>
              <w:t xml:space="preserve"> suppl.).  Total a contesté l’applicabilité constitutionnelle du règlement fédéral à ses activités de camionnage.  Elle a sollicité un jugement déclarant qu’elle était régie par les lois et les règlements provinciaux sur la voirie et les transports routiers, moins rigoureux et onéreux.</w:t>
            </w:r>
          </w:p>
          <w:p w:rsidR="00F06FFD" w:rsidRPr="00C45D88" w:rsidRDefault="00F06FFD" w:rsidP="00582919">
            <w:pPr>
              <w:jc w:val="both"/>
              <w:rPr>
                <w:rFonts w:eastAsia="Calibri"/>
                <w:sz w:val="20"/>
                <w:lang w:val="fr-CA"/>
              </w:rPr>
            </w:pPr>
          </w:p>
        </w:tc>
      </w:tr>
      <w:tr w:rsidR="00F06FFD" w:rsidRPr="00B66683" w:rsidTr="00582919">
        <w:tc>
          <w:tcPr>
            <w:tcW w:w="2427" w:type="pct"/>
          </w:tcPr>
          <w:p w:rsidR="00F06FFD" w:rsidRPr="00C45D88" w:rsidRDefault="00F06FFD" w:rsidP="00582919">
            <w:pPr>
              <w:jc w:val="both"/>
              <w:rPr>
                <w:rFonts w:eastAsia="Calibri"/>
                <w:sz w:val="20"/>
                <w:lang w:val="fr-CA"/>
              </w:rPr>
            </w:pPr>
            <w:r w:rsidRPr="00C45D88">
              <w:rPr>
                <w:rFonts w:eastAsia="Calibri"/>
                <w:sz w:val="20"/>
                <w:lang w:val="fr-CA"/>
              </w:rPr>
              <w:t>3 mai 2013</w:t>
            </w:r>
          </w:p>
          <w:p w:rsidR="00F06FFD" w:rsidRPr="00C45D88" w:rsidRDefault="00F06FFD" w:rsidP="00582919">
            <w:pPr>
              <w:jc w:val="both"/>
              <w:rPr>
                <w:rFonts w:eastAsia="Calibri"/>
                <w:sz w:val="20"/>
                <w:lang w:val="fr-CA"/>
              </w:rPr>
            </w:pPr>
            <w:r w:rsidRPr="00C45D88">
              <w:rPr>
                <w:rFonts w:eastAsia="Calibri"/>
                <w:sz w:val="20"/>
                <w:lang w:val="fr-CA"/>
              </w:rPr>
              <w:t>Cour du Banc de la Reine de l’Alberta</w:t>
            </w:r>
          </w:p>
          <w:p w:rsidR="00F06FFD" w:rsidRPr="00C45D88" w:rsidRDefault="00F06FFD" w:rsidP="00582919">
            <w:pPr>
              <w:jc w:val="both"/>
              <w:rPr>
                <w:rFonts w:eastAsia="Calibri"/>
                <w:sz w:val="20"/>
              </w:rPr>
            </w:pPr>
            <w:r w:rsidRPr="00C45D88">
              <w:rPr>
                <w:rFonts w:eastAsia="Calibri"/>
                <w:sz w:val="20"/>
              </w:rPr>
              <w:t>(Juge Hall)</w:t>
            </w:r>
          </w:p>
          <w:p w:rsidR="00F06FFD" w:rsidRPr="00C45D88" w:rsidRDefault="003A60BB" w:rsidP="00582919">
            <w:pPr>
              <w:jc w:val="both"/>
              <w:rPr>
                <w:rFonts w:eastAsia="Calibri"/>
                <w:sz w:val="20"/>
              </w:rPr>
            </w:pPr>
            <w:hyperlink r:id="rId41" w:history="1">
              <w:r w:rsidR="00F06FFD" w:rsidRPr="00C45D88">
                <w:rPr>
                  <w:rFonts w:eastAsia="Calibri"/>
                  <w:color w:val="0000FF"/>
                  <w:sz w:val="20"/>
                  <w:u w:val="single"/>
                </w:rPr>
                <w:t>2013 ABQB 263</w:t>
              </w:r>
            </w:hyperlink>
          </w:p>
          <w:p w:rsidR="00F06FFD" w:rsidRPr="00C45D88" w:rsidRDefault="00F06FFD" w:rsidP="00582919">
            <w:pPr>
              <w:jc w:val="both"/>
              <w:rPr>
                <w:rFonts w:eastAsia="Calibri"/>
                <w:sz w:val="20"/>
              </w:rPr>
            </w:pPr>
            <w:r w:rsidRPr="00C45D88">
              <w:rPr>
                <w:rFonts w:eastAsia="Calibri"/>
                <w:sz w:val="20"/>
              </w:rPr>
              <w:t>N</w:t>
            </w:r>
            <w:r w:rsidRPr="00C45D88">
              <w:rPr>
                <w:rFonts w:eastAsia="Calibri"/>
                <w:sz w:val="20"/>
                <w:vertAlign w:val="superscript"/>
              </w:rPr>
              <w:t>o</w:t>
            </w:r>
            <w:r w:rsidRPr="00C45D88">
              <w:rPr>
                <w:rFonts w:eastAsia="Calibri"/>
                <w:sz w:val="20"/>
              </w:rPr>
              <w:t xml:space="preserve"> du greffe 1201-00477</w:t>
            </w:r>
          </w:p>
          <w:p w:rsidR="00F06FFD" w:rsidRPr="00C45D88" w:rsidRDefault="00F06FFD" w:rsidP="00582919">
            <w:pPr>
              <w:jc w:val="both"/>
              <w:rPr>
                <w:rFonts w:eastAsia="Calibri"/>
                <w:sz w:val="20"/>
              </w:rPr>
            </w:pPr>
          </w:p>
        </w:tc>
        <w:tc>
          <w:tcPr>
            <w:tcW w:w="243" w:type="pct"/>
          </w:tcPr>
          <w:p w:rsidR="00F06FFD" w:rsidRPr="00C45D88" w:rsidRDefault="00F06FFD" w:rsidP="00582919">
            <w:pPr>
              <w:jc w:val="both"/>
              <w:rPr>
                <w:rFonts w:eastAsia="Calibri"/>
                <w:sz w:val="20"/>
              </w:rPr>
            </w:pPr>
          </w:p>
        </w:tc>
        <w:tc>
          <w:tcPr>
            <w:tcW w:w="2330" w:type="pct"/>
          </w:tcPr>
          <w:p w:rsidR="00F06FFD" w:rsidRPr="00C45D88" w:rsidRDefault="00F06FFD" w:rsidP="00582919">
            <w:pPr>
              <w:jc w:val="both"/>
              <w:rPr>
                <w:rFonts w:eastAsia="Calibri"/>
                <w:sz w:val="20"/>
                <w:lang w:val="fr-CA"/>
              </w:rPr>
            </w:pPr>
            <w:r w:rsidRPr="00C45D88">
              <w:rPr>
                <w:rFonts w:eastAsia="Calibri"/>
                <w:sz w:val="20"/>
                <w:lang w:val="fr-CA"/>
              </w:rPr>
              <w:t>Jugement déclarant que l’entreprise de camionnage de la demanderesse est régie par les lois et les règlements provinciaux sur la voirie et les transports routiers</w:t>
            </w:r>
          </w:p>
        </w:tc>
      </w:tr>
      <w:tr w:rsidR="00F06FFD" w:rsidRPr="00B66683" w:rsidTr="00582919">
        <w:tc>
          <w:tcPr>
            <w:tcW w:w="2427" w:type="pct"/>
          </w:tcPr>
          <w:p w:rsidR="00F06FFD" w:rsidRPr="00C45D88" w:rsidRDefault="00F06FFD" w:rsidP="00582919">
            <w:pPr>
              <w:jc w:val="both"/>
              <w:rPr>
                <w:rFonts w:eastAsia="Calibri"/>
                <w:sz w:val="20"/>
                <w:lang w:val="fr-CA"/>
              </w:rPr>
            </w:pPr>
            <w:r w:rsidRPr="00C45D88">
              <w:rPr>
                <w:rFonts w:eastAsia="Calibri"/>
                <w:sz w:val="20"/>
                <w:lang w:val="fr-CA"/>
              </w:rPr>
              <w:t>14 août 2014</w:t>
            </w:r>
          </w:p>
          <w:p w:rsidR="00F06FFD" w:rsidRPr="00C45D88" w:rsidRDefault="00F06FFD" w:rsidP="00582919">
            <w:pPr>
              <w:jc w:val="both"/>
              <w:rPr>
                <w:rFonts w:eastAsia="Calibri"/>
                <w:sz w:val="20"/>
                <w:lang w:val="fr-CA"/>
              </w:rPr>
            </w:pPr>
            <w:r w:rsidRPr="00C45D88">
              <w:rPr>
                <w:rFonts w:eastAsia="Calibri"/>
                <w:sz w:val="20"/>
                <w:lang w:val="fr-CA"/>
              </w:rPr>
              <w:t>Cour d’appel de l’Alberta (Calgary)</w:t>
            </w:r>
          </w:p>
          <w:p w:rsidR="00F06FFD" w:rsidRPr="00C45D88" w:rsidRDefault="00F06FFD" w:rsidP="00582919">
            <w:pPr>
              <w:jc w:val="both"/>
              <w:rPr>
                <w:rFonts w:eastAsia="Calibri"/>
                <w:sz w:val="20"/>
                <w:lang w:val="fr-CA"/>
              </w:rPr>
            </w:pPr>
            <w:r w:rsidRPr="00C45D88">
              <w:rPr>
                <w:rFonts w:eastAsia="Calibri"/>
                <w:sz w:val="20"/>
                <w:lang w:val="fr-CA"/>
              </w:rPr>
              <w:t>(Juges Slatter, (dissident), O’Ferrall et</w:t>
            </w:r>
          </w:p>
          <w:p w:rsidR="00F06FFD" w:rsidRPr="00C45D88" w:rsidRDefault="00F06FFD" w:rsidP="00582919">
            <w:pPr>
              <w:jc w:val="both"/>
              <w:rPr>
                <w:rFonts w:eastAsia="Calibri"/>
                <w:sz w:val="20"/>
                <w:lang w:val="fr-CA"/>
              </w:rPr>
            </w:pPr>
            <w:r w:rsidRPr="00C45D88">
              <w:rPr>
                <w:rFonts w:eastAsia="Calibri"/>
                <w:sz w:val="20"/>
                <w:lang w:val="fr-CA"/>
              </w:rPr>
              <w:t>Veldhuis)</w:t>
            </w:r>
          </w:p>
          <w:p w:rsidR="00F06FFD" w:rsidRPr="00C45D88" w:rsidRDefault="003A60BB" w:rsidP="00582919">
            <w:pPr>
              <w:jc w:val="both"/>
              <w:rPr>
                <w:rFonts w:eastAsia="Calibri"/>
                <w:sz w:val="20"/>
                <w:lang w:val="fr-CA"/>
              </w:rPr>
            </w:pPr>
            <w:hyperlink r:id="rId42" w:history="1">
              <w:r w:rsidR="00F06FFD" w:rsidRPr="00C45D88">
                <w:rPr>
                  <w:rFonts w:eastAsia="Calibri"/>
                  <w:color w:val="0000FF"/>
                  <w:sz w:val="20"/>
                  <w:u w:val="single"/>
                  <w:lang w:val="fr-CA"/>
                </w:rPr>
                <w:t>2014 ABCA 250</w:t>
              </w:r>
            </w:hyperlink>
            <w:r w:rsidR="00F06FFD" w:rsidRPr="00C45D88">
              <w:rPr>
                <w:rFonts w:eastAsia="Calibri"/>
                <w:sz w:val="20"/>
                <w:lang w:val="fr-CA"/>
              </w:rPr>
              <w:t xml:space="preserve"> </w:t>
            </w:r>
          </w:p>
          <w:p w:rsidR="00F06FFD" w:rsidRPr="00C45D88" w:rsidRDefault="00F06FFD" w:rsidP="00582919">
            <w:pPr>
              <w:jc w:val="both"/>
              <w:rPr>
                <w:rFonts w:eastAsia="Calibri"/>
                <w:sz w:val="20"/>
                <w:lang w:val="fr-CA"/>
              </w:rPr>
            </w:pPr>
            <w:r w:rsidRPr="00C45D88">
              <w:rPr>
                <w:rFonts w:eastAsia="Calibri"/>
                <w:sz w:val="20"/>
                <w:lang w:val="fr-CA"/>
              </w:rPr>
              <w:t>N</w:t>
            </w:r>
            <w:r w:rsidRPr="00C45D88">
              <w:rPr>
                <w:rFonts w:eastAsia="Calibri"/>
                <w:sz w:val="20"/>
                <w:vertAlign w:val="superscript"/>
                <w:lang w:val="fr-CA"/>
              </w:rPr>
              <w:t>o</w:t>
            </w:r>
            <w:r w:rsidRPr="00C45D88">
              <w:rPr>
                <w:rFonts w:eastAsia="Calibri"/>
                <w:sz w:val="20"/>
                <w:lang w:val="fr-CA"/>
              </w:rPr>
              <w:t xml:space="preserve"> du greffe 1301-0158-AC</w:t>
            </w:r>
          </w:p>
          <w:p w:rsidR="00F06FFD" w:rsidRPr="00C45D88" w:rsidRDefault="00F06FFD" w:rsidP="00582919">
            <w:pPr>
              <w:jc w:val="both"/>
              <w:rPr>
                <w:rFonts w:eastAsia="Calibri"/>
                <w:sz w:val="20"/>
                <w:lang w:val="fr-CA"/>
              </w:rPr>
            </w:pPr>
          </w:p>
        </w:tc>
        <w:tc>
          <w:tcPr>
            <w:tcW w:w="243" w:type="pct"/>
          </w:tcPr>
          <w:p w:rsidR="00F06FFD" w:rsidRPr="00C45D88" w:rsidRDefault="00F06FFD" w:rsidP="00582919">
            <w:pPr>
              <w:jc w:val="both"/>
              <w:rPr>
                <w:rFonts w:eastAsia="Calibri"/>
                <w:sz w:val="20"/>
                <w:lang w:val="fr-CA"/>
              </w:rPr>
            </w:pPr>
          </w:p>
        </w:tc>
        <w:tc>
          <w:tcPr>
            <w:tcW w:w="2330" w:type="pct"/>
          </w:tcPr>
          <w:p w:rsidR="00F06FFD" w:rsidRDefault="00F06FFD" w:rsidP="00582919">
            <w:pPr>
              <w:jc w:val="both"/>
              <w:rPr>
                <w:rFonts w:eastAsia="Calibri"/>
                <w:sz w:val="20"/>
                <w:lang w:val="fr-CA"/>
              </w:rPr>
            </w:pPr>
            <w:r w:rsidRPr="00C45D88">
              <w:rPr>
                <w:rFonts w:eastAsia="Calibri"/>
                <w:sz w:val="20"/>
                <w:lang w:val="fr-CA"/>
              </w:rPr>
              <w:t xml:space="preserve">Décision accueillant l’appel; jugement portant que les activités de camionnage de la demanderesse constituent une entreprise de transport fédérale; jugement déclarant que la </w:t>
            </w:r>
            <w:r w:rsidRPr="00C45D88">
              <w:rPr>
                <w:rFonts w:eastAsia="Calibri"/>
                <w:i/>
                <w:sz w:val="20"/>
                <w:lang w:val="fr-CA"/>
              </w:rPr>
              <w:t>Loi sur les transports routiers</w:t>
            </w:r>
            <w:r w:rsidRPr="00C45D88">
              <w:rPr>
                <w:rFonts w:eastAsia="Calibri"/>
                <w:sz w:val="20"/>
                <w:lang w:val="fr-CA"/>
              </w:rPr>
              <w:t>, L.R.C. 1985, ch. 29 (3</w:t>
            </w:r>
            <w:r w:rsidRPr="00C45D88">
              <w:rPr>
                <w:rFonts w:eastAsia="Calibri"/>
                <w:sz w:val="20"/>
                <w:vertAlign w:val="superscript"/>
                <w:lang w:val="fr-CA"/>
              </w:rPr>
              <w:t>e</w:t>
            </w:r>
            <w:r w:rsidRPr="00C45D88">
              <w:rPr>
                <w:rFonts w:eastAsia="Calibri"/>
                <w:sz w:val="20"/>
                <w:lang w:val="fr-CA"/>
              </w:rPr>
              <w:t xml:space="preserve"> suppl.) et le règlement connexe s’appliquent aux activités de camionnage de la demanderesse</w:t>
            </w:r>
          </w:p>
          <w:p w:rsidR="00F06FFD" w:rsidRPr="00C45D88" w:rsidRDefault="00F06FFD" w:rsidP="00582919">
            <w:pPr>
              <w:jc w:val="both"/>
              <w:rPr>
                <w:rFonts w:eastAsia="Calibri"/>
                <w:sz w:val="20"/>
                <w:lang w:val="fr-CA"/>
              </w:rPr>
            </w:pPr>
          </w:p>
        </w:tc>
      </w:tr>
      <w:tr w:rsidR="00F06FFD" w:rsidRPr="00B66683" w:rsidTr="00582919">
        <w:tc>
          <w:tcPr>
            <w:tcW w:w="2427" w:type="pct"/>
          </w:tcPr>
          <w:p w:rsidR="00F06FFD" w:rsidRPr="00C45D88" w:rsidRDefault="00F06FFD" w:rsidP="00582919">
            <w:pPr>
              <w:jc w:val="both"/>
              <w:rPr>
                <w:rFonts w:eastAsia="Calibri"/>
                <w:sz w:val="20"/>
                <w:lang w:val="fr-CA"/>
              </w:rPr>
            </w:pPr>
            <w:r w:rsidRPr="00C45D88">
              <w:rPr>
                <w:rFonts w:eastAsia="Calibri"/>
                <w:sz w:val="20"/>
                <w:lang w:val="fr-CA"/>
              </w:rPr>
              <w:t>14 octobre 2014</w:t>
            </w:r>
          </w:p>
          <w:p w:rsidR="00F06FFD" w:rsidRPr="00C45D88" w:rsidRDefault="00F06FFD" w:rsidP="00582919">
            <w:pPr>
              <w:jc w:val="both"/>
              <w:rPr>
                <w:rFonts w:eastAsia="Calibri"/>
                <w:sz w:val="20"/>
                <w:lang w:val="fr-CA"/>
              </w:rPr>
            </w:pPr>
            <w:r w:rsidRPr="00C45D88">
              <w:rPr>
                <w:rFonts w:eastAsia="Calibri"/>
                <w:sz w:val="20"/>
                <w:lang w:val="fr-CA"/>
              </w:rPr>
              <w:t>Cour suprême du Canada</w:t>
            </w:r>
          </w:p>
        </w:tc>
        <w:tc>
          <w:tcPr>
            <w:tcW w:w="243" w:type="pct"/>
          </w:tcPr>
          <w:p w:rsidR="00F06FFD" w:rsidRPr="00C45D88" w:rsidRDefault="00F06FFD" w:rsidP="00582919">
            <w:pPr>
              <w:jc w:val="both"/>
              <w:rPr>
                <w:rFonts w:eastAsia="Calibri"/>
                <w:sz w:val="20"/>
                <w:lang w:val="fr-CA"/>
              </w:rPr>
            </w:pPr>
          </w:p>
        </w:tc>
        <w:tc>
          <w:tcPr>
            <w:tcW w:w="2330" w:type="pct"/>
          </w:tcPr>
          <w:p w:rsidR="00F06FFD" w:rsidRPr="00C45D88" w:rsidRDefault="00F06FFD" w:rsidP="00582919">
            <w:pPr>
              <w:jc w:val="both"/>
              <w:rPr>
                <w:rFonts w:eastAsia="Calibri"/>
                <w:sz w:val="20"/>
                <w:lang w:val="fr-CA"/>
              </w:rPr>
            </w:pPr>
            <w:r w:rsidRPr="00C45D88">
              <w:rPr>
                <w:rFonts w:eastAsia="Calibri"/>
                <w:sz w:val="20"/>
                <w:lang w:val="fr-CA"/>
              </w:rPr>
              <w:t>Dépôt de la demande d’autorisation d’appel</w:t>
            </w:r>
          </w:p>
        </w:tc>
      </w:tr>
    </w:tbl>
    <w:p w:rsidR="000D6E5D" w:rsidRPr="00F06FFD" w:rsidRDefault="000D6E5D" w:rsidP="000D6E5D">
      <w:pPr>
        <w:rPr>
          <w:sz w:val="20"/>
          <w:szCs w:val="20"/>
          <w:lang w:val="fr-CA"/>
        </w:rPr>
      </w:pPr>
    </w:p>
    <w:p w:rsidR="000D6E5D" w:rsidRDefault="003A60BB" w:rsidP="000D6E5D">
      <w:pPr>
        <w:rPr>
          <w:sz w:val="20"/>
          <w:szCs w:val="20"/>
        </w:rPr>
      </w:pPr>
      <w:r>
        <w:rPr>
          <w:sz w:val="20"/>
          <w:szCs w:val="20"/>
          <w:lang w:val="fr-CA"/>
        </w:rPr>
        <w:pict>
          <v:rect id="_x0000_i1049" style="width:2in;height:1pt" o:hrpct="0" o:hralign="center" o:hrstd="t" o:hrnoshade="t" o:hr="t" fillcolor="black [3213]" stroked="f"/>
        </w:pict>
      </w:r>
    </w:p>
    <w:p w:rsidR="000D6E5D" w:rsidRDefault="000D6E5D" w:rsidP="000D6E5D">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72F16" w:rsidRPr="00272F16" w:rsidTr="003431AF">
        <w:trPr>
          <w:cantSplit/>
        </w:trPr>
        <w:tc>
          <w:tcPr>
            <w:tcW w:w="1458" w:type="dxa"/>
          </w:tcPr>
          <w:p w:rsidR="00272F16" w:rsidRPr="00272F16" w:rsidRDefault="00272F16" w:rsidP="00272F16">
            <w:pPr>
              <w:rPr>
                <w:sz w:val="20"/>
              </w:rPr>
            </w:pPr>
            <w:r w:rsidRPr="00272F16">
              <w:rPr>
                <w:b/>
                <w:sz w:val="20"/>
                <w:lang w:val="fr-CA"/>
              </w:rPr>
              <w:t>36136</w:t>
            </w:r>
          </w:p>
          <w:p w:rsidR="00272F16" w:rsidRPr="00272F16" w:rsidRDefault="00272F16" w:rsidP="00272F16">
            <w:pPr>
              <w:rPr>
                <w:b/>
                <w:sz w:val="20"/>
                <w:lang w:val="fr-CA"/>
              </w:rPr>
            </w:pPr>
          </w:p>
        </w:tc>
        <w:tc>
          <w:tcPr>
            <w:tcW w:w="8118" w:type="dxa"/>
          </w:tcPr>
          <w:p w:rsidR="00272F16" w:rsidRPr="00272F16" w:rsidRDefault="00272F16" w:rsidP="00272F16">
            <w:pPr>
              <w:jc w:val="both"/>
              <w:rPr>
                <w:sz w:val="20"/>
                <w:lang w:val="fr-CA"/>
              </w:rPr>
            </w:pPr>
            <w:r w:rsidRPr="00272F16">
              <w:rPr>
                <w:b/>
                <w:sz w:val="20"/>
                <w:u w:val="single"/>
                <w:lang w:val="fr-CA"/>
              </w:rPr>
              <w:t>Conseil des Innus de Ekuanitshit c. Procureur général du Canada, en sa qualité de jurisconsulte du Conseil privé de Sa Majesté pour le Canada, Honorable Keith Ashfield, en sa capacité de Ministre des Pêches et des Océans Canada, Honorable Denis Lebel, en sa capacité de Ministre des Transports Canada, Honorable Joe Oliver, en sa capacité de Ministre des Ressources Naturelles Canada</w:t>
            </w:r>
            <w:r w:rsidR="008674EC">
              <w:rPr>
                <w:b/>
                <w:sz w:val="20"/>
                <w:u w:val="single"/>
                <w:lang w:val="fr-CA"/>
              </w:rPr>
              <w:t xml:space="preserve"> et</w:t>
            </w:r>
            <w:r w:rsidRPr="00272F16">
              <w:rPr>
                <w:b/>
                <w:sz w:val="20"/>
                <w:u w:val="single"/>
                <w:lang w:val="fr-CA"/>
              </w:rPr>
              <w:t xml:space="preserve"> Nalcor Energy</w:t>
            </w:r>
            <w:r w:rsidRPr="00272F16">
              <w:rPr>
                <w:sz w:val="20"/>
                <w:lang w:val="fr-CA"/>
              </w:rPr>
              <w:t xml:space="preserve"> (C.F.) (Civile) (Autorisation)</w:t>
            </w:r>
          </w:p>
          <w:p w:rsidR="00272F16" w:rsidRPr="00272F16" w:rsidRDefault="00272F16" w:rsidP="00272F16">
            <w:pPr>
              <w:jc w:val="both"/>
              <w:rPr>
                <w:sz w:val="20"/>
                <w:lang w:val="fr-CA"/>
              </w:rPr>
            </w:pPr>
          </w:p>
        </w:tc>
      </w:tr>
      <w:tr w:rsidR="00272F16" w:rsidRPr="00B66683" w:rsidTr="003431AF">
        <w:trPr>
          <w:cantSplit/>
        </w:trPr>
        <w:tc>
          <w:tcPr>
            <w:tcW w:w="1458" w:type="dxa"/>
          </w:tcPr>
          <w:p w:rsidR="00272F16" w:rsidRPr="00272F16" w:rsidRDefault="00272F16" w:rsidP="00272F16">
            <w:pPr>
              <w:rPr>
                <w:sz w:val="20"/>
              </w:rPr>
            </w:pPr>
            <w:r w:rsidRPr="00272F16">
              <w:rPr>
                <w:sz w:val="20"/>
              </w:rPr>
              <w:t>Coram :</w:t>
            </w:r>
          </w:p>
        </w:tc>
        <w:tc>
          <w:tcPr>
            <w:tcW w:w="8118" w:type="dxa"/>
          </w:tcPr>
          <w:p w:rsidR="00272F16" w:rsidRPr="00272F16" w:rsidRDefault="00272F16" w:rsidP="00272F16">
            <w:pPr>
              <w:rPr>
                <w:sz w:val="20"/>
                <w:lang w:val="fr-CA"/>
              </w:rPr>
            </w:pPr>
            <w:r w:rsidRPr="00272F16">
              <w:rPr>
                <w:sz w:val="20"/>
                <w:u w:val="single"/>
                <w:lang w:val="fr-CA"/>
              </w:rPr>
              <w:t>La juge en chef McLachlin et les juges Wagner et Gascon</w:t>
            </w:r>
          </w:p>
          <w:p w:rsidR="00272F16" w:rsidRPr="00272F16" w:rsidRDefault="00272F16" w:rsidP="00272F16">
            <w:pPr>
              <w:rPr>
                <w:sz w:val="20"/>
                <w:u w:val="single"/>
                <w:lang w:val="fr-CA"/>
              </w:rPr>
            </w:pPr>
          </w:p>
        </w:tc>
      </w:tr>
      <w:tr w:rsidR="00272F16" w:rsidRPr="00272F16" w:rsidTr="003431AF">
        <w:trPr>
          <w:cantSplit/>
        </w:trPr>
        <w:tc>
          <w:tcPr>
            <w:tcW w:w="9576" w:type="dxa"/>
            <w:gridSpan w:val="2"/>
          </w:tcPr>
          <w:p w:rsidR="00272F16" w:rsidRPr="00272F16" w:rsidRDefault="00272F16" w:rsidP="00272F16">
            <w:pPr>
              <w:ind w:firstLine="720"/>
              <w:jc w:val="both"/>
              <w:rPr>
                <w:sz w:val="20"/>
                <w:lang w:val="fr-CA"/>
              </w:rPr>
            </w:pPr>
            <w:r w:rsidRPr="00272F16">
              <w:rPr>
                <w:sz w:val="20"/>
                <w:lang w:val="fr-CA"/>
              </w:rPr>
              <w:t>La demande d’autorisation d’appel de l’arrêt de la Cour d’appel fédérale, numéro A-196-13, 2014 CAF 189, daté du 22 août 2014, est rejetée avec dépens.</w:t>
            </w:r>
          </w:p>
          <w:p w:rsidR="00272F16" w:rsidRPr="00272F16" w:rsidRDefault="00272F16" w:rsidP="00272F16">
            <w:pPr>
              <w:jc w:val="both"/>
              <w:rPr>
                <w:sz w:val="20"/>
                <w:lang w:val="fr-CA"/>
              </w:rPr>
            </w:pPr>
          </w:p>
          <w:p w:rsidR="00272F16" w:rsidRPr="00272F16" w:rsidRDefault="00272F16" w:rsidP="00272F16">
            <w:pPr>
              <w:ind w:firstLine="720"/>
              <w:jc w:val="both"/>
              <w:rPr>
                <w:sz w:val="20"/>
              </w:rPr>
            </w:pPr>
            <w:r w:rsidRPr="00272F16">
              <w:rPr>
                <w:sz w:val="20"/>
              </w:rPr>
              <w:t>The application for leave to appeal from the judgment of the Federal Court of Appeal, Number A-196-13, 2014 FCA 189, dated August 22, 2014, is dismissed with costs.</w:t>
            </w:r>
          </w:p>
        </w:tc>
      </w:tr>
    </w:tbl>
    <w:p w:rsidR="000D6E5D" w:rsidRDefault="000D6E5D" w:rsidP="000D6E5D">
      <w:pPr>
        <w:rPr>
          <w:sz w:val="20"/>
          <w:szCs w:val="20"/>
        </w:rPr>
      </w:pPr>
    </w:p>
    <w:p w:rsidR="000D6E5D" w:rsidRPr="001B157C" w:rsidRDefault="000D6E5D" w:rsidP="000D6E5D">
      <w:pPr>
        <w:rPr>
          <w:sz w:val="20"/>
          <w:szCs w:val="20"/>
          <w:u w:val="single"/>
        </w:rPr>
      </w:pPr>
      <w:r w:rsidRPr="001B157C">
        <w:rPr>
          <w:sz w:val="20"/>
          <w:szCs w:val="20"/>
          <w:u w:val="single"/>
        </w:rPr>
        <w:t>CASE SUMMARY</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223D8" w:rsidRPr="00C45D88" w:rsidTr="00582919">
        <w:tc>
          <w:tcPr>
            <w:tcW w:w="5000" w:type="pct"/>
            <w:gridSpan w:val="3"/>
          </w:tcPr>
          <w:p w:rsidR="00B223D8" w:rsidRPr="00C45D88" w:rsidRDefault="00B223D8" w:rsidP="00582919">
            <w:pPr>
              <w:jc w:val="both"/>
              <w:rPr>
                <w:rFonts w:eastAsia="Calibri"/>
                <w:sz w:val="20"/>
              </w:rPr>
            </w:pPr>
            <w:r w:rsidRPr="00C45D88">
              <w:rPr>
                <w:rFonts w:eastAsia="Calibri"/>
                <w:sz w:val="20"/>
              </w:rPr>
              <w:t>Environmental law – Environmental assessment – Consultation of Aboriginal peoples – Project planning construction of hydroelectric dams – Timing and adequacy of consultation – Requirements for authorizing project with environmental impact – Whether consultation should be held at time of strategic, higher-level decision or later, after issuance of regulatory permit – Whether compliant with environmental assessment regulations to authorize project when no construction date set</w:t>
            </w:r>
          </w:p>
        </w:tc>
      </w:tr>
      <w:tr w:rsidR="00B223D8" w:rsidRPr="00C45D88" w:rsidTr="00582919">
        <w:tc>
          <w:tcPr>
            <w:tcW w:w="5000" w:type="pct"/>
            <w:gridSpan w:val="3"/>
          </w:tcPr>
          <w:p w:rsidR="00B223D8" w:rsidRPr="00C45D88" w:rsidRDefault="00B223D8" w:rsidP="00582919">
            <w:pPr>
              <w:jc w:val="both"/>
              <w:rPr>
                <w:rFonts w:eastAsia="Calibri"/>
                <w:sz w:val="20"/>
              </w:rPr>
            </w:pPr>
          </w:p>
        </w:tc>
      </w:tr>
      <w:tr w:rsidR="00B223D8" w:rsidRPr="00C45D88" w:rsidTr="00582919">
        <w:tc>
          <w:tcPr>
            <w:tcW w:w="5000" w:type="pct"/>
            <w:gridSpan w:val="3"/>
          </w:tcPr>
          <w:p w:rsidR="00B223D8" w:rsidRPr="00C45D88" w:rsidRDefault="00B223D8" w:rsidP="00582919">
            <w:pPr>
              <w:jc w:val="both"/>
              <w:rPr>
                <w:rFonts w:eastAsia="Calibri"/>
                <w:color w:val="000000"/>
                <w:sz w:val="20"/>
              </w:rPr>
            </w:pPr>
            <w:r w:rsidRPr="00C45D88">
              <w:rPr>
                <w:rFonts w:eastAsia="Calibri"/>
                <w:sz w:val="20"/>
              </w:rPr>
              <w:t xml:space="preserve">In 2006, </w:t>
            </w:r>
            <w:r w:rsidRPr="00C45D88">
              <w:rPr>
                <w:rFonts w:eastAsia="Calibri"/>
                <w:color w:val="000000"/>
                <w:sz w:val="20"/>
              </w:rPr>
              <w:t>Newfoundland and Labrador Hydro, now Nalcor Energy (“Nalcor”), announced its intention to build two hydroelectric plants on the Churchill River, Newfoundland and Labrador, at Gull Island and Muskrat Falls.  The construction of the plants would result in inundating an area of 126 km</w:t>
            </w:r>
            <w:r w:rsidRPr="00C45D88">
              <w:rPr>
                <w:rFonts w:eastAsia="Calibri"/>
                <w:color w:val="000000"/>
                <w:sz w:val="20"/>
                <w:vertAlign w:val="superscript"/>
              </w:rPr>
              <w:t>2</w:t>
            </w:r>
            <w:r w:rsidRPr="00C45D88">
              <w:rPr>
                <w:rFonts w:eastAsia="Calibri"/>
                <w:color w:val="000000"/>
                <w:sz w:val="20"/>
              </w:rPr>
              <w:t>.</w:t>
            </w:r>
          </w:p>
          <w:p w:rsidR="00B223D8" w:rsidRPr="00C45D88" w:rsidRDefault="00B223D8" w:rsidP="00582919">
            <w:pPr>
              <w:jc w:val="both"/>
              <w:rPr>
                <w:rFonts w:eastAsia="Calibri"/>
                <w:color w:val="000000"/>
                <w:sz w:val="20"/>
              </w:rPr>
            </w:pPr>
          </w:p>
          <w:p w:rsidR="00B223D8" w:rsidRPr="00C45D88" w:rsidRDefault="00B223D8" w:rsidP="00582919">
            <w:pPr>
              <w:jc w:val="both"/>
              <w:rPr>
                <w:rFonts w:eastAsia="Calibri"/>
                <w:sz w:val="20"/>
              </w:rPr>
            </w:pPr>
            <w:r w:rsidRPr="00C45D88">
              <w:rPr>
                <w:rFonts w:eastAsia="Calibri"/>
                <w:color w:val="000000"/>
                <w:sz w:val="20"/>
              </w:rPr>
              <w:t>The project was subject to a provincial and a federal environmental assessment performed by the Joint Review Panel. From March 2009 and April 2011, the Panel gathered submissions from various stakeholders, including the applicant, the</w:t>
            </w:r>
            <w:r w:rsidRPr="00C45D88">
              <w:rPr>
                <w:rFonts w:eastAsia="Calibri"/>
                <w:sz w:val="20"/>
              </w:rPr>
              <w:t xml:space="preserve"> Conseil des Innus de Ekuanitshit, on the environmental impact of the project proposed by Nalcor</w:t>
            </w:r>
            <w:r w:rsidRPr="00C45D88">
              <w:rPr>
                <w:rFonts w:eastAsia="Calibri"/>
                <w:color w:val="000000"/>
                <w:sz w:val="20"/>
              </w:rPr>
              <w:t>.  Moreover, in March and April 2011, the Panel held public hearings during which various stakeholders, including the applicant, made submissions.  In its report, the Panel found that the project was likely to cause significant adverse environmental and socioeconomic effects, but that the potentially significant economic benefits that it would generate, although uncertain, would compensate for these risks</w:t>
            </w:r>
            <w:r w:rsidRPr="00C45D88">
              <w:rPr>
                <w:rFonts w:eastAsia="Calibri"/>
                <w:sz w:val="20"/>
              </w:rPr>
              <w:t>.  The Report also made more than 80 recommendations about the mitigation measures and the additional information that would be required on some aspects so that the Project could move forward.  According to the Panel, the Project’s impact on Quebec Aboriginals land and resource uses, after implementation of the mitigation measures proposed by Nalcor and those recommended by the Panel, would be adverse, but not significant.</w:t>
            </w:r>
          </w:p>
          <w:p w:rsidR="00B223D8" w:rsidRPr="00C45D88" w:rsidRDefault="00B223D8" w:rsidP="00582919">
            <w:pPr>
              <w:jc w:val="both"/>
              <w:rPr>
                <w:rFonts w:eastAsia="Calibri"/>
                <w:color w:val="000000"/>
                <w:sz w:val="20"/>
              </w:rPr>
            </w:pPr>
          </w:p>
          <w:p w:rsidR="00B223D8" w:rsidRPr="00C45D88" w:rsidRDefault="00B223D8" w:rsidP="00582919">
            <w:pPr>
              <w:jc w:val="both"/>
              <w:rPr>
                <w:rFonts w:eastAsia="Calibri"/>
                <w:sz w:val="20"/>
              </w:rPr>
            </w:pPr>
            <w:r w:rsidRPr="00C45D88">
              <w:rPr>
                <w:rFonts w:eastAsia="Calibri"/>
                <w:sz w:val="20"/>
              </w:rPr>
              <w:t xml:space="preserve">In reply to the Panel’s report, the federal government found that the energy, socioeconomic and environmental benefits of the hydroelectric plant project outweighed its adverse environmental effects.  On March 12, 2012, the Governor in Council adopted an order approving the federal government’s response and authorizing, under the </w:t>
            </w:r>
            <w:r w:rsidRPr="00C45D88">
              <w:rPr>
                <w:rFonts w:eastAsia="Calibri"/>
                <w:i/>
                <w:sz w:val="20"/>
              </w:rPr>
              <w:t>Canadian Environmental Assessment Act</w:t>
            </w:r>
            <w:r w:rsidRPr="00C45D88">
              <w:rPr>
                <w:rFonts w:eastAsia="Calibri"/>
                <w:sz w:val="20"/>
              </w:rPr>
              <w:t>, S.C. 1992, c. 37 [Repealed, 2012, c. 19, s. 66] (the “</w:t>
            </w:r>
            <w:r w:rsidRPr="00C45D88">
              <w:rPr>
                <w:rFonts w:eastAsia="Calibri"/>
                <w:i/>
                <w:sz w:val="20"/>
              </w:rPr>
              <w:t>CEEA</w:t>
            </w:r>
            <w:r w:rsidRPr="00C45D88">
              <w:rPr>
                <w:rFonts w:eastAsia="Calibri"/>
                <w:sz w:val="20"/>
              </w:rPr>
              <w:t xml:space="preserve">”), Fisheries and Oceans Canada, Transport Canada and Natural Resources Canada to follow up on the Panel’s report.  Three days later, and in accordance with s. 37(1) of the </w:t>
            </w:r>
            <w:r w:rsidRPr="00C45D88">
              <w:rPr>
                <w:rFonts w:eastAsia="Calibri"/>
                <w:i/>
                <w:sz w:val="20"/>
              </w:rPr>
              <w:t>CEEA</w:t>
            </w:r>
            <w:r w:rsidRPr="00C45D88">
              <w:rPr>
                <w:rFonts w:eastAsia="Calibri"/>
                <w:sz w:val="20"/>
              </w:rPr>
              <w:t>, Fisheries and Oceans Canada, Transport Canada and Natural Resources Canada (“the responsible authorities”) decided that they would allow the implementation of the project if certain environmental mitigation measures were applied.</w:t>
            </w:r>
          </w:p>
          <w:p w:rsidR="00B223D8" w:rsidRPr="00C45D88" w:rsidRDefault="00B223D8" w:rsidP="00582919">
            <w:pPr>
              <w:jc w:val="both"/>
              <w:rPr>
                <w:rFonts w:eastAsia="Calibri"/>
                <w:sz w:val="20"/>
              </w:rPr>
            </w:pPr>
          </w:p>
          <w:p w:rsidR="00B223D8" w:rsidRPr="00C45D88" w:rsidRDefault="00B223D8" w:rsidP="00582919">
            <w:pPr>
              <w:jc w:val="both"/>
              <w:rPr>
                <w:rFonts w:eastAsia="Calibri"/>
                <w:sz w:val="20"/>
              </w:rPr>
            </w:pPr>
            <w:r w:rsidRPr="00C45D88">
              <w:rPr>
                <w:rFonts w:eastAsia="Calibri"/>
                <w:sz w:val="20"/>
              </w:rPr>
              <w:t>The applicant filed an application for judicial review with the Federal Court challenging the lawfulness of the order dated March 12, 2012, and the decision made by the responsible authorities allowing the implementation of the hydroelectric project.</w:t>
            </w:r>
          </w:p>
          <w:p w:rsidR="00B223D8" w:rsidRPr="00C45D88" w:rsidRDefault="00B223D8" w:rsidP="00582919">
            <w:pPr>
              <w:jc w:val="both"/>
              <w:rPr>
                <w:rFonts w:eastAsia="Calibri"/>
                <w:sz w:val="20"/>
              </w:rPr>
            </w:pPr>
          </w:p>
        </w:tc>
      </w:tr>
      <w:tr w:rsidR="00B223D8" w:rsidRPr="00C45D88" w:rsidTr="00582919">
        <w:tc>
          <w:tcPr>
            <w:tcW w:w="2427" w:type="pct"/>
          </w:tcPr>
          <w:p w:rsidR="00B223D8" w:rsidRPr="00C45D88" w:rsidRDefault="00B223D8" w:rsidP="00582919">
            <w:pPr>
              <w:jc w:val="both"/>
              <w:rPr>
                <w:rFonts w:eastAsia="Calibri"/>
                <w:sz w:val="20"/>
              </w:rPr>
            </w:pPr>
            <w:r w:rsidRPr="00C45D88">
              <w:rPr>
                <w:rFonts w:eastAsia="Calibri"/>
                <w:sz w:val="20"/>
              </w:rPr>
              <w:t>April 23, 2013</w:t>
            </w:r>
          </w:p>
          <w:p w:rsidR="00B223D8" w:rsidRPr="00C45D88" w:rsidRDefault="00B223D8" w:rsidP="00582919">
            <w:pPr>
              <w:jc w:val="both"/>
              <w:rPr>
                <w:rFonts w:eastAsia="Calibri"/>
                <w:sz w:val="20"/>
              </w:rPr>
            </w:pPr>
            <w:r w:rsidRPr="00C45D88">
              <w:rPr>
                <w:rFonts w:eastAsia="Calibri"/>
                <w:sz w:val="20"/>
              </w:rPr>
              <w:t>Federal Court</w:t>
            </w:r>
          </w:p>
          <w:p w:rsidR="00B223D8" w:rsidRPr="00C45D88" w:rsidRDefault="00B223D8" w:rsidP="00582919">
            <w:pPr>
              <w:jc w:val="both"/>
              <w:rPr>
                <w:rFonts w:eastAsia="Calibri"/>
                <w:sz w:val="20"/>
              </w:rPr>
            </w:pPr>
            <w:r w:rsidRPr="00C45D88">
              <w:rPr>
                <w:rFonts w:eastAsia="Calibri"/>
                <w:sz w:val="20"/>
              </w:rPr>
              <w:t>(Scott J.)</w:t>
            </w:r>
          </w:p>
          <w:p w:rsidR="00B223D8" w:rsidRPr="00C45D88" w:rsidRDefault="003A60BB" w:rsidP="00582919">
            <w:pPr>
              <w:jc w:val="both"/>
              <w:rPr>
                <w:rFonts w:eastAsia="Calibri"/>
                <w:sz w:val="20"/>
              </w:rPr>
            </w:pPr>
            <w:hyperlink r:id="rId43" w:history="1">
              <w:r w:rsidR="00B223D8" w:rsidRPr="00C45D88">
                <w:rPr>
                  <w:rFonts w:eastAsia="Calibri"/>
                  <w:color w:val="0000FF"/>
                  <w:sz w:val="20"/>
                  <w:u w:val="single"/>
                </w:rPr>
                <w:t>2013 FC 418</w:t>
              </w:r>
            </w:hyperlink>
          </w:p>
          <w:p w:rsidR="00B223D8" w:rsidRPr="00C45D88" w:rsidRDefault="00B223D8" w:rsidP="00582919">
            <w:pPr>
              <w:jc w:val="both"/>
              <w:rPr>
                <w:rFonts w:eastAsia="Calibri"/>
                <w:sz w:val="20"/>
              </w:rPr>
            </w:pPr>
            <w:r w:rsidRPr="00C45D88">
              <w:rPr>
                <w:rFonts w:eastAsia="Calibri"/>
                <w:sz w:val="20"/>
              </w:rPr>
              <w:t>Docket No. T-778-12</w:t>
            </w:r>
          </w:p>
          <w:p w:rsidR="00B223D8" w:rsidRPr="00C45D88" w:rsidRDefault="00B223D8" w:rsidP="00582919">
            <w:pPr>
              <w:jc w:val="both"/>
              <w:rPr>
                <w:rFonts w:eastAsia="Calibri"/>
                <w:sz w:val="20"/>
              </w:rPr>
            </w:pPr>
          </w:p>
        </w:tc>
        <w:tc>
          <w:tcPr>
            <w:tcW w:w="243" w:type="pct"/>
          </w:tcPr>
          <w:p w:rsidR="00B223D8" w:rsidRPr="00C45D88" w:rsidRDefault="00B223D8" w:rsidP="00582919">
            <w:pPr>
              <w:jc w:val="both"/>
              <w:rPr>
                <w:rFonts w:eastAsia="Calibri"/>
                <w:sz w:val="20"/>
              </w:rPr>
            </w:pPr>
          </w:p>
        </w:tc>
        <w:tc>
          <w:tcPr>
            <w:tcW w:w="2330" w:type="pct"/>
          </w:tcPr>
          <w:p w:rsidR="00B223D8" w:rsidRPr="00C45D88" w:rsidRDefault="00B223D8" w:rsidP="00582919">
            <w:pPr>
              <w:jc w:val="both"/>
              <w:rPr>
                <w:rFonts w:eastAsia="Calibri"/>
                <w:sz w:val="20"/>
              </w:rPr>
            </w:pPr>
            <w:r w:rsidRPr="00C45D88">
              <w:rPr>
                <w:rFonts w:eastAsia="Calibri"/>
                <w:sz w:val="20"/>
              </w:rPr>
              <w:t xml:space="preserve">Application for judicial review dismissed </w:t>
            </w:r>
          </w:p>
        </w:tc>
      </w:tr>
      <w:tr w:rsidR="00B223D8" w:rsidRPr="00C45D88" w:rsidTr="00582919">
        <w:tc>
          <w:tcPr>
            <w:tcW w:w="2427" w:type="pct"/>
          </w:tcPr>
          <w:p w:rsidR="00B223D8" w:rsidRPr="00C45D88" w:rsidRDefault="00B223D8" w:rsidP="00582919">
            <w:pPr>
              <w:jc w:val="both"/>
              <w:rPr>
                <w:rFonts w:eastAsia="Calibri"/>
                <w:sz w:val="20"/>
              </w:rPr>
            </w:pPr>
            <w:r w:rsidRPr="00C45D88">
              <w:rPr>
                <w:rFonts w:eastAsia="Calibri"/>
                <w:sz w:val="20"/>
              </w:rPr>
              <w:t>August 22, 2014</w:t>
            </w:r>
          </w:p>
          <w:p w:rsidR="00B223D8" w:rsidRPr="00C45D88" w:rsidRDefault="00B223D8" w:rsidP="00582919">
            <w:pPr>
              <w:jc w:val="both"/>
              <w:rPr>
                <w:rFonts w:eastAsia="Calibri"/>
                <w:sz w:val="20"/>
              </w:rPr>
            </w:pPr>
            <w:r w:rsidRPr="00C45D88">
              <w:rPr>
                <w:rFonts w:eastAsia="Calibri"/>
                <w:sz w:val="20"/>
              </w:rPr>
              <w:t>Federal Court of Appeal</w:t>
            </w:r>
          </w:p>
          <w:p w:rsidR="00B223D8" w:rsidRPr="00C45D88" w:rsidRDefault="00B223D8" w:rsidP="00582919">
            <w:pPr>
              <w:jc w:val="both"/>
              <w:rPr>
                <w:rFonts w:eastAsia="Calibri"/>
                <w:sz w:val="20"/>
              </w:rPr>
            </w:pPr>
            <w:r w:rsidRPr="00C45D88">
              <w:rPr>
                <w:rFonts w:eastAsia="Calibri"/>
                <w:sz w:val="20"/>
              </w:rPr>
              <w:t>(Gauthier, Mainville and Boivin JJ.A.)</w:t>
            </w:r>
          </w:p>
          <w:p w:rsidR="00B223D8" w:rsidRPr="00C45D88" w:rsidRDefault="003A60BB" w:rsidP="00582919">
            <w:pPr>
              <w:jc w:val="both"/>
              <w:rPr>
                <w:rFonts w:eastAsia="Calibri"/>
                <w:sz w:val="20"/>
              </w:rPr>
            </w:pPr>
            <w:hyperlink r:id="rId44" w:history="1">
              <w:r w:rsidR="00B223D8" w:rsidRPr="00C45D88">
                <w:rPr>
                  <w:rFonts w:eastAsia="Calibri"/>
                  <w:color w:val="0000FF"/>
                  <w:sz w:val="20"/>
                  <w:u w:val="single"/>
                </w:rPr>
                <w:t>2014 FCA 189</w:t>
              </w:r>
            </w:hyperlink>
          </w:p>
          <w:p w:rsidR="00B223D8" w:rsidRPr="00C45D88" w:rsidRDefault="00B223D8" w:rsidP="00582919">
            <w:pPr>
              <w:jc w:val="both"/>
              <w:rPr>
                <w:rFonts w:eastAsia="Calibri"/>
                <w:sz w:val="20"/>
              </w:rPr>
            </w:pPr>
            <w:r w:rsidRPr="00C45D88">
              <w:rPr>
                <w:rFonts w:eastAsia="Calibri"/>
                <w:sz w:val="20"/>
              </w:rPr>
              <w:t>Docket No. A-196-13</w:t>
            </w:r>
          </w:p>
          <w:p w:rsidR="00B223D8" w:rsidRPr="00C45D88" w:rsidRDefault="00B223D8" w:rsidP="00582919">
            <w:pPr>
              <w:jc w:val="both"/>
              <w:rPr>
                <w:rFonts w:eastAsia="Calibri"/>
                <w:sz w:val="20"/>
              </w:rPr>
            </w:pPr>
          </w:p>
        </w:tc>
        <w:tc>
          <w:tcPr>
            <w:tcW w:w="243" w:type="pct"/>
          </w:tcPr>
          <w:p w:rsidR="00B223D8" w:rsidRPr="00C45D88" w:rsidRDefault="00B223D8" w:rsidP="00582919">
            <w:pPr>
              <w:jc w:val="both"/>
              <w:rPr>
                <w:rFonts w:eastAsia="Calibri"/>
                <w:sz w:val="20"/>
              </w:rPr>
            </w:pPr>
          </w:p>
        </w:tc>
        <w:tc>
          <w:tcPr>
            <w:tcW w:w="2330" w:type="pct"/>
          </w:tcPr>
          <w:p w:rsidR="00B223D8" w:rsidRPr="00C45D88" w:rsidRDefault="00B223D8" w:rsidP="00582919">
            <w:pPr>
              <w:jc w:val="both"/>
              <w:rPr>
                <w:rFonts w:eastAsia="Calibri"/>
                <w:sz w:val="20"/>
              </w:rPr>
            </w:pPr>
            <w:r w:rsidRPr="00C45D88">
              <w:rPr>
                <w:rFonts w:eastAsia="Calibri"/>
                <w:sz w:val="20"/>
              </w:rPr>
              <w:t>Appeal dismissed</w:t>
            </w:r>
          </w:p>
        </w:tc>
      </w:tr>
      <w:tr w:rsidR="00B223D8" w:rsidRPr="00C45D88" w:rsidTr="00582919">
        <w:tc>
          <w:tcPr>
            <w:tcW w:w="2427" w:type="pct"/>
          </w:tcPr>
          <w:p w:rsidR="00B223D8" w:rsidRPr="00C45D88" w:rsidRDefault="00B223D8" w:rsidP="00582919">
            <w:pPr>
              <w:jc w:val="both"/>
              <w:rPr>
                <w:rFonts w:eastAsia="Calibri"/>
                <w:sz w:val="20"/>
              </w:rPr>
            </w:pPr>
            <w:r w:rsidRPr="00C45D88">
              <w:rPr>
                <w:rFonts w:eastAsia="Calibri"/>
                <w:sz w:val="20"/>
              </w:rPr>
              <w:t>October 21, 2014</w:t>
            </w:r>
          </w:p>
          <w:p w:rsidR="00B223D8" w:rsidRPr="00C45D88" w:rsidRDefault="00B223D8" w:rsidP="00582919">
            <w:pPr>
              <w:jc w:val="both"/>
              <w:rPr>
                <w:rFonts w:eastAsia="Calibri"/>
                <w:sz w:val="20"/>
              </w:rPr>
            </w:pPr>
            <w:r w:rsidRPr="00C45D88">
              <w:rPr>
                <w:rFonts w:eastAsia="Calibri"/>
                <w:sz w:val="20"/>
              </w:rPr>
              <w:t>Supreme Court of Canada</w:t>
            </w:r>
          </w:p>
        </w:tc>
        <w:tc>
          <w:tcPr>
            <w:tcW w:w="243" w:type="pct"/>
          </w:tcPr>
          <w:p w:rsidR="00B223D8" w:rsidRPr="00C45D88" w:rsidRDefault="00B223D8" w:rsidP="00582919">
            <w:pPr>
              <w:jc w:val="both"/>
              <w:rPr>
                <w:rFonts w:eastAsia="Calibri"/>
                <w:sz w:val="20"/>
              </w:rPr>
            </w:pPr>
          </w:p>
        </w:tc>
        <w:tc>
          <w:tcPr>
            <w:tcW w:w="2330" w:type="pct"/>
          </w:tcPr>
          <w:p w:rsidR="00B223D8" w:rsidRPr="00C45D88" w:rsidRDefault="00B223D8" w:rsidP="00582919">
            <w:pPr>
              <w:jc w:val="both"/>
              <w:rPr>
                <w:rFonts w:eastAsia="Calibri"/>
                <w:sz w:val="20"/>
              </w:rPr>
            </w:pPr>
            <w:r w:rsidRPr="00C45D88">
              <w:rPr>
                <w:rFonts w:eastAsia="Calibri"/>
                <w:sz w:val="20"/>
              </w:rPr>
              <w:t>Application for leave to appeal filed</w:t>
            </w:r>
          </w:p>
        </w:tc>
      </w:tr>
    </w:tbl>
    <w:p w:rsidR="000D6E5D" w:rsidRDefault="000D6E5D" w:rsidP="000D6E5D">
      <w:pPr>
        <w:rPr>
          <w:sz w:val="20"/>
          <w:szCs w:val="20"/>
        </w:rPr>
      </w:pPr>
    </w:p>
    <w:p w:rsidR="000D6E5D" w:rsidRPr="00C50A5C" w:rsidRDefault="003A60BB" w:rsidP="000D6E5D">
      <w:pPr>
        <w:rPr>
          <w:sz w:val="20"/>
          <w:szCs w:val="20"/>
        </w:rPr>
      </w:pPr>
      <w:r>
        <w:rPr>
          <w:sz w:val="20"/>
          <w:szCs w:val="20"/>
          <w:lang w:val="fr-CA"/>
        </w:rPr>
        <w:pict>
          <v:rect id="_x0000_i1050" style="width:2in;height:1pt" o:hrpct="0" o:hralign="center" o:hrstd="t" o:hrnoshade="t" o:hr="t" fillcolor="black [3213]" stroked="f"/>
        </w:pict>
      </w:r>
    </w:p>
    <w:p w:rsidR="000D6E5D" w:rsidRDefault="000D6E5D" w:rsidP="000D6E5D">
      <w:pPr>
        <w:rPr>
          <w:sz w:val="20"/>
          <w:szCs w:val="20"/>
        </w:rPr>
      </w:pPr>
    </w:p>
    <w:p w:rsidR="000D6E5D" w:rsidRPr="001B157C" w:rsidRDefault="000D6E5D" w:rsidP="000D6E5D">
      <w:pPr>
        <w:rPr>
          <w:sz w:val="20"/>
          <w:szCs w:val="20"/>
          <w:u w:val="single"/>
          <w:lang w:val="fr-CA"/>
        </w:rPr>
      </w:pPr>
      <w:r w:rsidRPr="001B157C">
        <w:rPr>
          <w:sz w:val="20"/>
          <w:szCs w:val="20"/>
          <w:u w:val="single"/>
          <w:lang w:val="fr-CA"/>
        </w:rPr>
        <w:t>RÉSUMÉ DE L’AFFAIRE</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223D8" w:rsidRPr="00B66683" w:rsidTr="00582919">
        <w:tc>
          <w:tcPr>
            <w:tcW w:w="5000" w:type="pct"/>
            <w:gridSpan w:val="3"/>
          </w:tcPr>
          <w:p w:rsidR="00B223D8" w:rsidRPr="00C45D88" w:rsidRDefault="00B223D8" w:rsidP="00582919">
            <w:pPr>
              <w:jc w:val="both"/>
              <w:rPr>
                <w:rFonts w:eastAsia="Calibri"/>
                <w:sz w:val="20"/>
                <w:lang w:val="fr-CA"/>
              </w:rPr>
            </w:pPr>
            <w:r w:rsidRPr="00C45D88">
              <w:rPr>
                <w:rFonts w:eastAsia="Calibri"/>
                <w:sz w:val="20"/>
                <w:lang w:val="fr-CA"/>
              </w:rPr>
              <w:t>Droit de l’environnement – Évaluation environnementale – Consultation de peuples autochtones – Projet prévoyant construction de barrages hydroélectriques – Moment auquel consultation doit avoir lieu et suffisance de celle-ci – Exigences pour autorisation de projet ayant impact environnemental – Est-ce que consultation doit être mené lors de décision stratégique en haut lieu ou plutôt en aval, après l’émission du permis réglementaire? – Est-il conforme aux règles d’évaluation environnementale d’autoriser un projet alors qu’aucune date n’est prévue pour la construction du projet?</w:t>
            </w:r>
          </w:p>
        </w:tc>
      </w:tr>
      <w:tr w:rsidR="00B223D8" w:rsidRPr="00B66683" w:rsidTr="00582919">
        <w:tc>
          <w:tcPr>
            <w:tcW w:w="5000" w:type="pct"/>
            <w:gridSpan w:val="3"/>
          </w:tcPr>
          <w:p w:rsidR="00B223D8" w:rsidRPr="00C45D88" w:rsidRDefault="00B223D8" w:rsidP="00582919">
            <w:pPr>
              <w:jc w:val="both"/>
              <w:rPr>
                <w:rFonts w:eastAsia="Calibri"/>
                <w:sz w:val="20"/>
                <w:lang w:val="fr-CA"/>
              </w:rPr>
            </w:pPr>
          </w:p>
        </w:tc>
      </w:tr>
      <w:tr w:rsidR="00B223D8" w:rsidRPr="00560020" w:rsidTr="00582919">
        <w:tc>
          <w:tcPr>
            <w:tcW w:w="5000" w:type="pct"/>
            <w:gridSpan w:val="3"/>
          </w:tcPr>
          <w:p w:rsidR="00B223D8" w:rsidRPr="00C45D88" w:rsidRDefault="00B223D8" w:rsidP="00582919">
            <w:pPr>
              <w:jc w:val="both"/>
              <w:rPr>
                <w:rFonts w:eastAsia="Calibri"/>
                <w:color w:val="000000"/>
                <w:sz w:val="20"/>
                <w:lang w:val="fr-CA"/>
              </w:rPr>
            </w:pPr>
            <w:r w:rsidRPr="00C45D88">
              <w:rPr>
                <w:rFonts w:eastAsia="Calibri"/>
                <w:sz w:val="20"/>
                <w:lang w:val="fr-CA"/>
              </w:rPr>
              <w:t xml:space="preserve">En 2006, </w:t>
            </w:r>
            <w:r w:rsidRPr="00C45D88">
              <w:rPr>
                <w:rFonts w:eastAsia="Calibri"/>
                <w:color w:val="000000"/>
                <w:sz w:val="20"/>
                <w:lang w:val="fr-CA"/>
              </w:rPr>
              <w:t xml:space="preserve">Hydro Terre-Neuve-et-Labrador, maintenant Nalcor Energy (« Nalcor »), annonce son intention de construire deux centrales hydroélectriques </w:t>
            </w:r>
            <w:r w:rsidRPr="00C45D88">
              <w:rPr>
                <w:rFonts w:eastAsia="Calibri"/>
                <w:sz w:val="20"/>
                <w:lang w:val="fr-CA"/>
              </w:rPr>
              <w:t>sur le fleuve Churchill à Terre-Neuve-et-Labrador</w:t>
            </w:r>
            <w:r w:rsidRPr="00C45D88">
              <w:rPr>
                <w:rFonts w:eastAsia="Calibri"/>
                <w:color w:val="000000"/>
                <w:sz w:val="20"/>
                <w:lang w:val="fr-CA"/>
              </w:rPr>
              <w:t>, respectivement à Gull Island et Muskrat Falls.  La construction des centrales aurait pour effet d’inonder des territoires d’un total de 126 km</w:t>
            </w:r>
            <w:r w:rsidRPr="00C45D88">
              <w:rPr>
                <w:rFonts w:eastAsia="Calibri"/>
                <w:color w:val="000000"/>
                <w:sz w:val="20"/>
                <w:vertAlign w:val="superscript"/>
                <w:lang w:val="fr-CA"/>
              </w:rPr>
              <w:t>2</w:t>
            </w:r>
            <w:r w:rsidRPr="00C45D88">
              <w:rPr>
                <w:rFonts w:eastAsia="Calibri"/>
                <w:color w:val="000000"/>
                <w:sz w:val="20"/>
                <w:lang w:val="fr-CA"/>
              </w:rPr>
              <w:t>.</w:t>
            </w:r>
          </w:p>
          <w:p w:rsidR="00B223D8" w:rsidRPr="00C45D88" w:rsidRDefault="00B223D8" w:rsidP="00582919">
            <w:pPr>
              <w:jc w:val="both"/>
              <w:rPr>
                <w:rFonts w:eastAsia="Calibri"/>
                <w:color w:val="000000"/>
                <w:sz w:val="20"/>
                <w:lang w:val="fr-CA"/>
              </w:rPr>
            </w:pPr>
          </w:p>
          <w:p w:rsidR="00B223D8" w:rsidRPr="00C45D88" w:rsidRDefault="00B223D8" w:rsidP="00582919">
            <w:pPr>
              <w:jc w:val="both"/>
              <w:rPr>
                <w:rFonts w:eastAsia="Calibri"/>
                <w:sz w:val="20"/>
                <w:lang w:val="fr-FR"/>
              </w:rPr>
            </w:pPr>
            <w:r w:rsidRPr="00C45D88">
              <w:rPr>
                <w:rFonts w:eastAsia="Calibri"/>
                <w:color w:val="000000"/>
                <w:sz w:val="20"/>
                <w:lang w:val="fr-CA"/>
              </w:rPr>
              <w:t xml:space="preserve">Le projet est soumis à une évaluation environnementale à la fois provinciale et fédérale effectuée par une Commission d’examen conjoint.  De mars 2009 à avril 2011, la Commission recueille les observations de nombreux intervenants, y inclus le demandeur </w:t>
            </w:r>
            <w:r w:rsidRPr="00C45D88">
              <w:rPr>
                <w:rFonts w:eastAsia="Calibri"/>
                <w:sz w:val="20"/>
                <w:lang w:val="fr-CA"/>
              </w:rPr>
              <w:t xml:space="preserve">le Conseil des Innus de Ekuanitshit, concernant l’impact environnemental du projet proposé par Nalcor. </w:t>
            </w:r>
            <w:r w:rsidRPr="00C45D88">
              <w:rPr>
                <w:rFonts w:eastAsia="Calibri"/>
                <w:color w:val="000000"/>
                <w:sz w:val="20"/>
                <w:lang w:val="fr-CA"/>
              </w:rPr>
              <w:t xml:space="preserve"> De plus, en mars et avril 2011, la Commission procède à des audiences publiques dans le cadre desquelles divers intervenants, y inclus le demandeur, présentent leurs observations.  Dans son rapport, la Commission conclut que le projet </w:t>
            </w:r>
            <w:r w:rsidRPr="00C45D88">
              <w:rPr>
                <w:rFonts w:eastAsia="Calibri"/>
                <w:sz w:val="20"/>
                <w:lang w:val="fr-CA"/>
              </w:rPr>
              <w:t>risque d’entraîner d’importants effets environnementaux et socioéconomiques négatifs, mais que les retombées économiques potentiellement importantes – quoiqu’incertaines – qu’il générerait compenseraient ces risques.  Le Rapport formule également plus de 80 recommandations à propos des mesures d’atténuation et de l’information additionnelle qui sera requise sur certains aspects pour que le Projet puisse aller de l’avant.  Selon la Commission</w:t>
            </w:r>
            <w:r w:rsidRPr="00C45D88">
              <w:rPr>
                <w:rFonts w:eastAsia="Calibri"/>
                <w:sz w:val="20"/>
                <w:lang w:val="fr-FR"/>
              </w:rPr>
              <w:t xml:space="preserve"> les effets du projet sur les activités d’utilisation des ressources et du territoire par les groupes autochtones du Québec, une fois que les mesures d’atténuation proposées par Nalcor et celles recommandées par la commission auront été mises en œuvre, seraient négatifs, mais ne seraient pas importants.</w:t>
            </w:r>
          </w:p>
          <w:p w:rsidR="00B223D8" w:rsidRPr="00C45D88" w:rsidRDefault="00B223D8" w:rsidP="00582919">
            <w:pPr>
              <w:jc w:val="both"/>
              <w:rPr>
                <w:rFonts w:eastAsia="Calibri"/>
                <w:color w:val="000000"/>
                <w:sz w:val="20"/>
                <w:lang w:val="fr-FR"/>
              </w:rPr>
            </w:pPr>
          </w:p>
          <w:p w:rsidR="00B223D8" w:rsidRPr="00C45D88" w:rsidRDefault="00B223D8" w:rsidP="00582919">
            <w:pPr>
              <w:jc w:val="both"/>
              <w:rPr>
                <w:rFonts w:eastAsia="Calibri"/>
                <w:sz w:val="20"/>
                <w:lang w:val="fr-CA"/>
              </w:rPr>
            </w:pPr>
            <w:r w:rsidRPr="00C45D88">
              <w:rPr>
                <w:rFonts w:eastAsia="Calibri"/>
                <w:sz w:val="20"/>
                <w:lang w:val="fr-CA"/>
              </w:rPr>
              <w:t xml:space="preserve">En réponse au rapport de la Commission, le gouvernement fédéral conclut que les avantages énergétiques, socioéconomiques et environnementaux du projet de centrale hydroélectrique surpassaient ses effets environnementaux négatifs.  Le 12 mars 2002, le gouverneur en conseil adopte un décret approuvant la réponse du gouvernement fédéral et permettant, aux termes de la </w:t>
            </w:r>
            <w:r w:rsidRPr="00C45D88">
              <w:rPr>
                <w:rFonts w:eastAsia="Calibri"/>
                <w:i/>
                <w:sz w:val="20"/>
                <w:lang w:val="fr-CA"/>
              </w:rPr>
              <w:t>Loi canadienne sur l’évaluation environnementale</w:t>
            </w:r>
            <w:r w:rsidRPr="00C45D88">
              <w:rPr>
                <w:rFonts w:eastAsia="Calibri"/>
                <w:sz w:val="20"/>
                <w:lang w:val="fr-CA"/>
              </w:rPr>
              <w:t>, L.C. 1992, c. 37 [Abrogée, 2012, ch. 19, art. 66] (« </w:t>
            </w:r>
            <w:r w:rsidRPr="00C45D88">
              <w:rPr>
                <w:rFonts w:eastAsia="Calibri"/>
                <w:i/>
                <w:sz w:val="20"/>
                <w:lang w:val="fr-CA"/>
              </w:rPr>
              <w:t>LCÉE</w:t>
            </w:r>
            <w:r w:rsidRPr="00C45D88">
              <w:rPr>
                <w:rFonts w:eastAsia="Calibri"/>
                <w:sz w:val="20"/>
                <w:lang w:val="fr-CA"/>
              </w:rPr>
              <w:t xml:space="preserve"> »), à Pêches et Océans Canada, Transports Canada et Ressources Naturelles Canada de donner suite au rapport de la Commission.  Trois jours plus tard et conformément aux termes du para. 37(1) de la </w:t>
            </w:r>
            <w:r w:rsidRPr="00C45D88">
              <w:rPr>
                <w:rFonts w:eastAsia="Calibri"/>
                <w:i/>
                <w:sz w:val="20"/>
                <w:lang w:val="fr-CA"/>
              </w:rPr>
              <w:t>LCÉE</w:t>
            </w:r>
            <w:r w:rsidRPr="00C45D88">
              <w:rPr>
                <w:rFonts w:eastAsia="Calibri"/>
                <w:sz w:val="20"/>
                <w:lang w:val="fr-CA"/>
              </w:rPr>
              <w:t>, Pêches et Océans Canada, Transports Canada et Ressources Naturelles Canada (« les autorités responsables ») décident qu’elles permettent la mise en œuvre du projet hydroélectrique si certaines mesures d’atténuation sont appliquées.</w:t>
            </w:r>
          </w:p>
          <w:p w:rsidR="00B223D8" w:rsidRPr="00C45D88" w:rsidRDefault="00B223D8" w:rsidP="00582919">
            <w:pPr>
              <w:jc w:val="both"/>
              <w:rPr>
                <w:rFonts w:eastAsia="Calibri"/>
                <w:sz w:val="20"/>
                <w:lang w:val="fr-CA"/>
              </w:rPr>
            </w:pPr>
          </w:p>
          <w:p w:rsidR="00B223D8" w:rsidRPr="00C45D88" w:rsidRDefault="00B223D8" w:rsidP="00582919">
            <w:pPr>
              <w:jc w:val="both"/>
              <w:rPr>
                <w:rFonts w:eastAsia="Calibri"/>
                <w:sz w:val="20"/>
                <w:lang w:val="fr-CA"/>
              </w:rPr>
            </w:pPr>
            <w:r w:rsidRPr="00C45D88">
              <w:rPr>
                <w:rFonts w:eastAsia="Calibri"/>
                <w:sz w:val="20"/>
                <w:lang w:val="fr-CA"/>
              </w:rPr>
              <w:t>Le demandeur dépose une demande de révision judiciaire en Cour fédérale contestant la légalité d’un décret du 12 mars 2012 ainsi que la décision prise par les autorités responsables de permettre la mise en œuvre du projet hydroélectrique.</w:t>
            </w:r>
          </w:p>
          <w:p w:rsidR="00B223D8" w:rsidRPr="00C45D88" w:rsidRDefault="00B223D8" w:rsidP="00582919">
            <w:pPr>
              <w:jc w:val="both"/>
              <w:rPr>
                <w:rFonts w:eastAsia="Calibri"/>
                <w:sz w:val="20"/>
                <w:lang w:val="fr-CA"/>
              </w:rPr>
            </w:pPr>
          </w:p>
        </w:tc>
      </w:tr>
      <w:tr w:rsidR="00B223D8" w:rsidRPr="00560020" w:rsidTr="00582919">
        <w:tc>
          <w:tcPr>
            <w:tcW w:w="2427" w:type="pct"/>
          </w:tcPr>
          <w:p w:rsidR="00B223D8" w:rsidRPr="00C45D88" w:rsidRDefault="00B223D8" w:rsidP="00582919">
            <w:pPr>
              <w:jc w:val="both"/>
              <w:rPr>
                <w:rFonts w:eastAsia="Calibri"/>
                <w:sz w:val="20"/>
                <w:lang w:val="fr-CA"/>
              </w:rPr>
            </w:pPr>
            <w:r w:rsidRPr="00C45D88">
              <w:rPr>
                <w:rFonts w:eastAsia="Calibri"/>
                <w:sz w:val="20"/>
                <w:lang w:val="fr-CA"/>
              </w:rPr>
              <w:t>Le 23 avril 2013</w:t>
            </w:r>
          </w:p>
          <w:p w:rsidR="00B223D8" w:rsidRPr="00C45D88" w:rsidRDefault="00B223D8" w:rsidP="00582919">
            <w:pPr>
              <w:jc w:val="both"/>
              <w:rPr>
                <w:rFonts w:eastAsia="Calibri"/>
                <w:sz w:val="20"/>
                <w:lang w:val="fr-CA"/>
              </w:rPr>
            </w:pPr>
            <w:r w:rsidRPr="00C45D88">
              <w:rPr>
                <w:rFonts w:eastAsia="Calibri"/>
                <w:sz w:val="20"/>
                <w:lang w:val="fr-CA"/>
              </w:rPr>
              <w:t>Cour fédérale</w:t>
            </w:r>
          </w:p>
          <w:p w:rsidR="00B223D8" w:rsidRPr="00C45D88" w:rsidRDefault="00B223D8" w:rsidP="00582919">
            <w:pPr>
              <w:jc w:val="both"/>
              <w:rPr>
                <w:rFonts w:eastAsia="Calibri"/>
                <w:sz w:val="20"/>
                <w:lang w:val="fr-CA"/>
              </w:rPr>
            </w:pPr>
            <w:r w:rsidRPr="00C45D88">
              <w:rPr>
                <w:rFonts w:eastAsia="Calibri"/>
                <w:sz w:val="20"/>
                <w:lang w:val="fr-CA"/>
              </w:rPr>
              <w:t>(Le juge Scott)</w:t>
            </w:r>
          </w:p>
          <w:p w:rsidR="00B223D8" w:rsidRPr="00C45D88" w:rsidRDefault="003A60BB" w:rsidP="00582919">
            <w:pPr>
              <w:jc w:val="both"/>
              <w:rPr>
                <w:rFonts w:eastAsia="Calibri"/>
                <w:sz w:val="20"/>
                <w:lang w:val="fr-CA"/>
              </w:rPr>
            </w:pPr>
            <w:hyperlink r:id="rId45" w:history="1">
              <w:r w:rsidR="00B223D8" w:rsidRPr="00C45D88">
                <w:rPr>
                  <w:rFonts w:eastAsia="Calibri"/>
                  <w:color w:val="0000FF"/>
                  <w:sz w:val="20"/>
                  <w:u w:val="single"/>
                  <w:lang w:val="fr-CA"/>
                </w:rPr>
                <w:t>2013 CF 418</w:t>
              </w:r>
            </w:hyperlink>
          </w:p>
          <w:p w:rsidR="00B223D8" w:rsidRPr="00C45D88" w:rsidRDefault="00B223D8" w:rsidP="00582919">
            <w:pPr>
              <w:jc w:val="both"/>
              <w:rPr>
                <w:rFonts w:eastAsia="Calibri"/>
                <w:sz w:val="20"/>
                <w:lang w:val="fr-CA"/>
              </w:rPr>
            </w:pPr>
            <w:r w:rsidRPr="00C45D88">
              <w:rPr>
                <w:rFonts w:eastAsia="Calibri"/>
                <w:sz w:val="20"/>
                <w:lang w:val="fr-CA"/>
              </w:rPr>
              <w:t>No. de dossier T-778-12</w:t>
            </w:r>
          </w:p>
          <w:p w:rsidR="00B223D8" w:rsidRPr="00C45D88" w:rsidRDefault="00B223D8" w:rsidP="00582919">
            <w:pPr>
              <w:jc w:val="both"/>
              <w:rPr>
                <w:rFonts w:eastAsia="Calibri"/>
                <w:sz w:val="20"/>
                <w:lang w:val="fr-CA"/>
              </w:rPr>
            </w:pPr>
          </w:p>
        </w:tc>
        <w:tc>
          <w:tcPr>
            <w:tcW w:w="243" w:type="pct"/>
          </w:tcPr>
          <w:p w:rsidR="00B223D8" w:rsidRPr="00C45D88" w:rsidRDefault="00B223D8" w:rsidP="00582919">
            <w:pPr>
              <w:jc w:val="both"/>
              <w:rPr>
                <w:rFonts w:eastAsia="Calibri"/>
                <w:sz w:val="20"/>
                <w:lang w:val="fr-FR"/>
              </w:rPr>
            </w:pPr>
          </w:p>
        </w:tc>
        <w:tc>
          <w:tcPr>
            <w:tcW w:w="2330" w:type="pct"/>
          </w:tcPr>
          <w:p w:rsidR="00B223D8" w:rsidRPr="00C45D88" w:rsidRDefault="00B223D8" w:rsidP="00582919">
            <w:pPr>
              <w:jc w:val="both"/>
              <w:rPr>
                <w:rFonts w:eastAsia="Calibri"/>
                <w:sz w:val="20"/>
                <w:lang w:val="fr-CA"/>
              </w:rPr>
            </w:pPr>
            <w:r w:rsidRPr="00C45D88">
              <w:rPr>
                <w:rFonts w:eastAsia="Calibri"/>
                <w:sz w:val="20"/>
                <w:lang w:val="fr-CA"/>
              </w:rPr>
              <w:t xml:space="preserve">Demande de révision judiciaire, rejetée </w:t>
            </w:r>
          </w:p>
        </w:tc>
      </w:tr>
      <w:tr w:rsidR="00B223D8" w:rsidRPr="00C45D88" w:rsidTr="00582919">
        <w:tc>
          <w:tcPr>
            <w:tcW w:w="2427" w:type="pct"/>
          </w:tcPr>
          <w:p w:rsidR="00B223D8" w:rsidRPr="00C45D88" w:rsidRDefault="00B223D8" w:rsidP="00582919">
            <w:pPr>
              <w:jc w:val="both"/>
              <w:rPr>
                <w:rFonts w:eastAsia="Calibri"/>
                <w:sz w:val="20"/>
                <w:lang w:val="fr-CA"/>
              </w:rPr>
            </w:pPr>
            <w:r w:rsidRPr="00C45D88">
              <w:rPr>
                <w:rFonts w:eastAsia="Calibri"/>
                <w:sz w:val="20"/>
                <w:lang w:val="fr-CA"/>
              </w:rPr>
              <w:t>Le 22 août 2014</w:t>
            </w:r>
          </w:p>
          <w:p w:rsidR="00B223D8" w:rsidRPr="00C45D88" w:rsidRDefault="00B223D8" w:rsidP="00582919">
            <w:pPr>
              <w:jc w:val="both"/>
              <w:rPr>
                <w:rFonts w:eastAsia="Calibri"/>
                <w:sz w:val="20"/>
                <w:lang w:val="fr-CA"/>
              </w:rPr>
            </w:pPr>
            <w:r w:rsidRPr="00C45D88">
              <w:rPr>
                <w:rFonts w:eastAsia="Calibri"/>
                <w:sz w:val="20"/>
                <w:lang w:val="fr-CA"/>
              </w:rPr>
              <w:t>Cour d’appel fédérale</w:t>
            </w:r>
          </w:p>
          <w:p w:rsidR="00B223D8" w:rsidRPr="00C45D88" w:rsidRDefault="00B223D8" w:rsidP="00582919">
            <w:pPr>
              <w:jc w:val="both"/>
              <w:rPr>
                <w:rFonts w:eastAsia="Calibri"/>
                <w:sz w:val="20"/>
                <w:lang w:val="fr-CA"/>
              </w:rPr>
            </w:pPr>
            <w:r w:rsidRPr="00C45D88">
              <w:rPr>
                <w:rFonts w:eastAsia="Calibri"/>
                <w:sz w:val="20"/>
                <w:lang w:val="fr-CA"/>
              </w:rPr>
              <w:t>(Les juges Gauthier, Mainville et Boivin)</w:t>
            </w:r>
          </w:p>
          <w:p w:rsidR="00B223D8" w:rsidRPr="00C45D88" w:rsidRDefault="003A60BB" w:rsidP="00582919">
            <w:pPr>
              <w:jc w:val="both"/>
              <w:rPr>
                <w:rFonts w:eastAsia="Calibri"/>
                <w:sz w:val="20"/>
                <w:lang w:val="fr-CA"/>
              </w:rPr>
            </w:pPr>
            <w:hyperlink r:id="rId46" w:history="1">
              <w:r w:rsidR="00B223D8" w:rsidRPr="00C45D88">
                <w:rPr>
                  <w:rFonts w:eastAsia="Calibri"/>
                  <w:color w:val="0000FF"/>
                  <w:sz w:val="20"/>
                  <w:u w:val="single"/>
                  <w:lang w:val="fr-CA"/>
                </w:rPr>
                <w:t>2014 CAF 189</w:t>
              </w:r>
            </w:hyperlink>
          </w:p>
          <w:p w:rsidR="00B223D8" w:rsidRPr="00C45D88" w:rsidRDefault="00B223D8" w:rsidP="00582919">
            <w:pPr>
              <w:jc w:val="both"/>
              <w:rPr>
                <w:rFonts w:eastAsia="Calibri"/>
                <w:sz w:val="20"/>
                <w:lang w:val="fr-CA"/>
              </w:rPr>
            </w:pPr>
            <w:r w:rsidRPr="00C45D88">
              <w:rPr>
                <w:rFonts w:eastAsia="Calibri"/>
                <w:sz w:val="20"/>
                <w:lang w:val="fr-CA"/>
              </w:rPr>
              <w:t>No. de dossier A-196-13</w:t>
            </w:r>
          </w:p>
          <w:p w:rsidR="00B223D8" w:rsidRPr="00C45D88" w:rsidRDefault="00B223D8" w:rsidP="00582919">
            <w:pPr>
              <w:jc w:val="both"/>
              <w:rPr>
                <w:rFonts w:eastAsia="Calibri"/>
                <w:sz w:val="20"/>
                <w:lang w:val="fr-CA"/>
              </w:rPr>
            </w:pPr>
          </w:p>
        </w:tc>
        <w:tc>
          <w:tcPr>
            <w:tcW w:w="243" w:type="pct"/>
          </w:tcPr>
          <w:p w:rsidR="00B223D8" w:rsidRPr="00C45D88" w:rsidRDefault="00B223D8" w:rsidP="00582919">
            <w:pPr>
              <w:jc w:val="both"/>
              <w:rPr>
                <w:rFonts w:eastAsia="Calibri"/>
                <w:sz w:val="20"/>
                <w:lang w:val="fr-FR"/>
              </w:rPr>
            </w:pPr>
          </w:p>
        </w:tc>
        <w:tc>
          <w:tcPr>
            <w:tcW w:w="2330" w:type="pct"/>
          </w:tcPr>
          <w:p w:rsidR="00B223D8" w:rsidRPr="00C45D88" w:rsidRDefault="00B223D8" w:rsidP="00582919">
            <w:pPr>
              <w:jc w:val="both"/>
              <w:rPr>
                <w:rFonts w:eastAsia="Calibri"/>
                <w:sz w:val="20"/>
                <w:lang w:val="fr-CA"/>
              </w:rPr>
            </w:pPr>
            <w:r w:rsidRPr="00C45D88">
              <w:rPr>
                <w:rFonts w:eastAsia="Calibri"/>
                <w:sz w:val="20"/>
                <w:lang w:val="fr-CA"/>
              </w:rPr>
              <w:t>Appel rejeté</w:t>
            </w:r>
          </w:p>
        </w:tc>
      </w:tr>
      <w:tr w:rsidR="00B223D8" w:rsidRPr="00C45D88" w:rsidTr="00582919">
        <w:tc>
          <w:tcPr>
            <w:tcW w:w="2427" w:type="pct"/>
          </w:tcPr>
          <w:p w:rsidR="00B223D8" w:rsidRPr="00C45D88" w:rsidRDefault="00B223D8" w:rsidP="00582919">
            <w:pPr>
              <w:jc w:val="both"/>
              <w:rPr>
                <w:rFonts w:eastAsia="Calibri"/>
                <w:sz w:val="20"/>
                <w:lang w:val="fr-CA"/>
              </w:rPr>
            </w:pPr>
            <w:r w:rsidRPr="00C45D88">
              <w:rPr>
                <w:rFonts w:eastAsia="Calibri"/>
                <w:sz w:val="20"/>
                <w:lang w:val="fr-CA"/>
              </w:rPr>
              <w:t>Le 21 octobre 2014</w:t>
            </w:r>
          </w:p>
          <w:p w:rsidR="00B223D8" w:rsidRPr="00C45D88" w:rsidRDefault="00B223D8" w:rsidP="00582919">
            <w:pPr>
              <w:jc w:val="both"/>
              <w:rPr>
                <w:rFonts w:eastAsia="Calibri"/>
                <w:sz w:val="20"/>
                <w:lang w:val="fr-FR"/>
              </w:rPr>
            </w:pPr>
            <w:r w:rsidRPr="00C45D88">
              <w:rPr>
                <w:rFonts w:eastAsia="Calibri"/>
                <w:sz w:val="20"/>
                <w:lang w:val="fr-CA"/>
              </w:rPr>
              <w:t>Cour suprême du Canada</w:t>
            </w:r>
          </w:p>
        </w:tc>
        <w:tc>
          <w:tcPr>
            <w:tcW w:w="243" w:type="pct"/>
          </w:tcPr>
          <w:p w:rsidR="00B223D8" w:rsidRPr="00C45D88" w:rsidRDefault="00B223D8" w:rsidP="00582919">
            <w:pPr>
              <w:jc w:val="both"/>
              <w:rPr>
                <w:rFonts w:eastAsia="Calibri"/>
                <w:sz w:val="20"/>
                <w:lang w:val="fr-FR"/>
              </w:rPr>
            </w:pPr>
          </w:p>
        </w:tc>
        <w:tc>
          <w:tcPr>
            <w:tcW w:w="2330" w:type="pct"/>
          </w:tcPr>
          <w:p w:rsidR="00B223D8" w:rsidRPr="00C45D88" w:rsidRDefault="00B223D8" w:rsidP="00582919">
            <w:pPr>
              <w:jc w:val="both"/>
              <w:rPr>
                <w:rFonts w:eastAsia="Calibri"/>
                <w:sz w:val="20"/>
                <w:lang w:val="fr-CA"/>
              </w:rPr>
            </w:pPr>
            <w:r w:rsidRPr="00C45D88">
              <w:rPr>
                <w:rFonts w:eastAsia="Calibri"/>
                <w:sz w:val="20"/>
                <w:lang w:val="fr-CA"/>
              </w:rPr>
              <w:t>Demande d'autorisation d'appel déposée</w:t>
            </w:r>
          </w:p>
        </w:tc>
      </w:tr>
    </w:tbl>
    <w:p w:rsidR="000D6E5D" w:rsidRDefault="000D6E5D" w:rsidP="000D6E5D">
      <w:pPr>
        <w:rPr>
          <w:sz w:val="20"/>
          <w:szCs w:val="20"/>
        </w:rPr>
      </w:pPr>
    </w:p>
    <w:p w:rsidR="000D6E5D" w:rsidRDefault="003A60BB" w:rsidP="000D6E5D">
      <w:pPr>
        <w:rPr>
          <w:sz w:val="20"/>
          <w:szCs w:val="20"/>
        </w:rPr>
      </w:pPr>
      <w:r>
        <w:rPr>
          <w:sz w:val="20"/>
          <w:szCs w:val="20"/>
          <w:lang w:val="fr-CA"/>
        </w:rPr>
        <w:pict>
          <v:rect id="_x0000_i1051" style="width:2in;height:1pt" o:hrpct="0" o:hralign="center" o:hrstd="t" o:hrnoshade="t" o:hr="t" fillcolor="black [3213]" stroked="f"/>
        </w:pict>
      </w:r>
    </w:p>
    <w:p w:rsidR="00A15D0E" w:rsidRDefault="00A15D0E">
      <w:pPr>
        <w:rPr>
          <w:sz w:val="20"/>
          <w:szCs w:val="20"/>
        </w:rPr>
      </w:pPr>
      <w:r>
        <w:rPr>
          <w:sz w:val="20"/>
          <w:szCs w:val="20"/>
        </w:rPr>
        <w:br w:type="page"/>
      </w: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72F16" w:rsidRPr="00272F16" w:rsidTr="003431AF">
        <w:trPr>
          <w:cantSplit/>
        </w:trPr>
        <w:tc>
          <w:tcPr>
            <w:tcW w:w="1458" w:type="dxa"/>
          </w:tcPr>
          <w:p w:rsidR="00272F16" w:rsidRPr="00272F16" w:rsidRDefault="00272F16" w:rsidP="00272F16">
            <w:pPr>
              <w:rPr>
                <w:sz w:val="20"/>
              </w:rPr>
            </w:pPr>
            <w:r w:rsidRPr="00272F16">
              <w:rPr>
                <w:b/>
                <w:sz w:val="20"/>
                <w:lang w:val="fr-CA"/>
              </w:rPr>
              <w:t>36152</w:t>
            </w:r>
          </w:p>
          <w:p w:rsidR="00272F16" w:rsidRPr="00272F16" w:rsidRDefault="00272F16" w:rsidP="00272F16">
            <w:pPr>
              <w:rPr>
                <w:b/>
                <w:sz w:val="20"/>
                <w:lang w:val="fr-CA"/>
              </w:rPr>
            </w:pPr>
          </w:p>
        </w:tc>
        <w:tc>
          <w:tcPr>
            <w:tcW w:w="8118" w:type="dxa"/>
          </w:tcPr>
          <w:p w:rsidR="00272F16" w:rsidRPr="00272F16" w:rsidRDefault="00272F16" w:rsidP="00272F16">
            <w:pPr>
              <w:jc w:val="both"/>
              <w:rPr>
                <w:sz w:val="20"/>
              </w:rPr>
            </w:pPr>
            <w:r w:rsidRPr="00272F16">
              <w:rPr>
                <w:b/>
                <w:sz w:val="20"/>
                <w:u w:val="single"/>
              </w:rPr>
              <w:t>Eian Gill v. Human Rights Tribunal of Ontario, Hamilton Professional Fire Fighters’ Association, International Association of Fire Fighters’ Local 288</w:t>
            </w:r>
            <w:r w:rsidR="00A15D0E">
              <w:rPr>
                <w:b/>
                <w:sz w:val="20"/>
                <w:u w:val="single"/>
              </w:rPr>
              <w:t xml:space="preserve"> and</w:t>
            </w:r>
            <w:r w:rsidRPr="00272F16">
              <w:rPr>
                <w:b/>
                <w:sz w:val="20"/>
                <w:u w:val="single"/>
              </w:rPr>
              <w:t xml:space="preserve"> City of Hamilton</w:t>
            </w:r>
            <w:r w:rsidRPr="00272F16">
              <w:rPr>
                <w:sz w:val="20"/>
              </w:rPr>
              <w:t xml:space="preserve"> (Ont.) (Civil) (By Leave)</w:t>
            </w:r>
          </w:p>
          <w:p w:rsidR="00272F16" w:rsidRPr="00272F16" w:rsidRDefault="00272F16" w:rsidP="00272F16">
            <w:pPr>
              <w:jc w:val="both"/>
              <w:rPr>
                <w:sz w:val="20"/>
              </w:rPr>
            </w:pPr>
          </w:p>
        </w:tc>
      </w:tr>
      <w:tr w:rsidR="00272F16" w:rsidRPr="00272F16" w:rsidTr="003431AF">
        <w:trPr>
          <w:cantSplit/>
        </w:trPr>
        <w:tc>
          <w:tcPr>
            <w:tcW w:w="1458" w:type="dxa"/>
          </w:tcPr>
          <w:p w:rsidR="00272F16" w:rsidRPr="00272F16" w:rsidRDefault="00272F16" w:rsidP="00272F16">
            <w:pPr>
              <w:rPr>
                <w:sz w:val="20"/>
              </w:rPr>
            </w:pPr>
            <w:r w:rsidRPr="00272F16">
              <w:rPr>
                <w:sz w:val="20"/>
              </w:rPr>
              <w:t>Coram :</w:t>
            </w:r>
          </w:p>
        </w:tc>
        <w:tc>
          <w:tcPr>
            <w:tcW w:w="8118" w:type="dxa"/>
          </w:tcPr>
          <w:p w:rsidR="00272F16" w:rsidRPr="00272F16" w:rsidRDefault="00272F16" w:rsidP="00272F16">
            <w:pPr>
              <w:rPr>
                <w:sz w:val="20"/>
              </w:rPr>
            </w:pPr>
            <w:r w:rsidRPr="00272F16">
              <w:rPr>
                <w:sz w:val="20"/>
                <w:u w:val="single"/>
              </w:rPr>
              <w:t>Rothstein, Cromwell and Moldaver JJ.</w:t>
            </w:r>
          </w:p>
          <w:p w:rsidR="00272F16" w:rsidRPr="00272F16" w:rsidRDefault="00272F16" w:rsidP="00272F16">
            <w:pPr>
              <w:rPr>
                <w:sz w:val="20"/>
                <w:u w:val="single"/>
              </w:rPr>
            </w:pPr>
          </w:p>
        </w:tc>
      </w:tr>
      <w:tr w:rsidR="00272F16" w:rsidRPr="00560020" w:rsidTr="003431AF">
        <w:trPr>
          <w:cantSplit/>
        </w:trPr>
        <w:tc>
          <w:tcPr>
            <w:tcW w:w="9576" w:type="dxa"/>
            <w:gridSpan w:val="2"/>
          </w:tcPr>
          <w:p w:rsidR="00272F16" w:rsidRPr="00272F16" w:rsidRDefault="00272F16" w:rsidP="00272F16">
            <w:pPr>
              <w:ind w:firstLine="720"/>
              <w:jc w:val="both"/>
              <w:rPr>
                <w:sz w:val="20"/>
              </w:rPr>
            </w:pPr>
            <w:r w:rsidRPr="00272F16">
              <w:rPr>
                <w:sz w:val="20"/>
              </w:rPr>
              <w:t>The application for leave to appeal from the judgment of the Court of Appeal for Ontario, Number M43732, dated September 5, 2014, is dismissed with costs to the respondents the Hamilton Professional Fire Fighters’ Association, International Association of Fire Fighters’, Local 288 and the City of Hamilton.</w:t>
            </w:r>
          </w:p>
          <w:p w:rsidR="00272F16" w:rsidRPr="00272F16" w:rsidRDefault="00272F16" w:rsidP="00272F16">
            <w:pPr>
              <w:jc w:val="both"/>
              <w:rPr>
                <w:sz w:val="20"/>
              </w:rPr>
            </w:pPr>
          </w:p>
          <w:p w:rsidR="00272F16" w:rsidRPr="00272F16" w:rsidRDefault="00272F16" w:rsidP="00272F16">
            <w:pPr>
              <w:ind w:firstLine="720"/>
              <w:jc w:val="both"/>
              <w:rPr>
                <w:sz w:val="20"/>
                <w:lang w:val="fr-CA"/>
              </w:rPr>
            </w:pPr>
            <w:r w:rsidRPr="00272F16">
              <w:rPr>
                <w:sz w:val="20"/>
                <w:lang w:val="fr-CA"/>
              </w:rPr>
              <w:t>La demande d’autorisation d’appel de l’arrêt de la Cour d’appel de l’Ontario, numéro M43732, daté du 5 septembre 2014, est rejetée avec dépens aux intimés Hamilton Professional Fire Fighters’ Association, International Association of Fire Fighters’ Local 288 et la Ville de Hamilton.</w:t>
            </w:r>
          </w:p>
        </w:tc>
      </w:tr>
    </w:tbl>
    <w:p w:rsidR="000D6E5D" w:rsidRPr="00272F16" w:rsidRDefault="000D6E5D" w:rsidP="000D6E5D">
      <w:pPr>
        <w:rPr>
          <w:sz w:val="20"/>
          <w:szCs w:val="20"/>
          <w:lang w:val="fr-CA"/>
        </w:rPr>
      </w:pPr>
    </w:p>
    <w:p w:rsidR="000D6E5D" w:rsidRPr="001B157C" w:rsidRDefault="000D6E5D" w:rsidP="000D6E5D">
      <w:pPr>
        <w:rPr>
          <w:sz w:val="20"/>
          <w:szCs w:val="20"/>
          <w:u w:val="single"/>
        </w:rPr>
      </w:pPr>
      <w:r w:rsidRPr="001B157C">
        <w:rPr>
          <w:sz w:val="20"/>
          <w:szCs w:val="20"/>
          <w:u w:val="single"/>
        </w:rPr>
        <w:t>CASE SUMMARY</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223D8" w:rsidRPr="00C45D88" w:rsidTr="00582919">
        <w:tc>
          <w:tcPr>
            <w:tcW w:w="5000" w:type="pct"/>
            <w:gridSpan w:val="3"/>
          </w:tcPr>
          <w:p w:rsidR="00B223D8" w:rsidRPr="00C45D88" w:rsidRDefault="00B223D8" w:rsidP="00582919">
            <w:pPr>
              <w:jc w:val="both"/>
              <w:rPr>
                <w:rFonts w:eastAsia="Calibri"/>
                <w:sz w:val="20"/>
              </w:rPr>
            </w:pPr>
            <w:r w:rsidRPr="00C45D88">
              <w:rPr>
                <w:rFonts w:eastAsia="Calibri"/>
                <w:sz w:val="20"/>
              </w:rPr>
              <w:t>Human rights – Discrimination – Age – Collective agreement containing provision requiring professional fire fighters to retire at age 60 – Applicant challenging provision as discriminatory before Tribunal that had recently upheld validity of similar provision – Challenge dismissed as applicant unsuccessful in demonstrating that result would be different in his case – Whether Court of Appeal erred in denying leave to appeal from decision dismissing application for judicial review?</w:t>
            </w:r>
            <w:r w:rsidRPr="00C45D88">
              <w:rPr>
                <w:rFonts w:eastAsia="Calibri"/>
                <w:sz w:val="20"/>
                <w:highlight w:val="yellow"/>
              </w:rPr>
              <w:t xml:space="preserve"> </w:t>
            </w:r>
          </w:p>
        </w:tc>
      </w:tr>
      <w:tr w:rsidR="00B223D8" w:rsidRPr="00C45D88" w:rsidTr="00582919">
        <w:tc>
          <w:tcPr>
            <w:tcW w:w="5000" w:type="pct"/>
            <w:gridSpan w:val="3"/>
          </w:tcPr>
          <w:p w:rsidR="00B223D8" w:rsidRPr="00C45D88" w:rsidRDefault="00B223D8" w:rsidP="00582919">
            <w:pPr>
              <w:jc w:val="both"/>
              <w:rPr>
                <w:rFonts w:eastAsia="Calibri"/>
                <w:sz w:val="20"/>
              </w:rPr>
            </w:pPr>
          </w:p>
        </w:tc>
      </w:tr>
      <w:tr w:rsidR="00B223D8" w:rsidRPr="00C45D88" w:rsidTr="00582919">
        <w:tc>
          <w:tcPr>
            <w:tcW w:w="5000" w:type="pct"/>
            <w:gridSpan w:val="3"/>
          </w:tcPr>
          <w:p w:rsidR="00B223D8" w:rsidRPr="00C45D88" w:rsidRDefault="00B223D8" w:rsidP="00582919">
            <w:pPr>
              <w:jc w:val="both"/>
              <w:rPr>
                <w:rFonts w:eastAsia="Calibri"/>
                <w:sz w:val="20"/>
              </w:rPr>
            </w:pPr>
            <w:r w:rsidRPr="00C45D88">
              <w:rPr>
                <w:rFonts w:eastAsia="Calibri"/>
                <w:sz w:val="20"/>
              </w:rPr>
              <w:t xml:space="preserve">The applicant was required to retire from his position as a suppression firefighter when he turned 60, pursuant to the collective agreement between the Hamilton Professional Fire Fighters’ Association (the “Association”) and the City of Hamilton (the “City”).  The City offered him accommodation in the form of a position as a communications officer.  He refused. </w:t>
            </w:r>
          </w:p>
          <w:p w:rsidR="00B223D8" w:rsidRPr="00C45D88" w:rsidRDefault="00B223D8" w:rsidP="00582919">
            <w:pPr>
              <w:jc w:val="both"/>
              <w:rPr>
                <w:rFonts w:eastAsia="Calibri"/>
                <w:sz w:val="20"/>
              </w:rPr>
            </w:pPr>
          </w:p>
          <w:p w:rsidR="00B223D8" w:rsidRPr="00C45D88" w:rsidRDefault="00B223D8" w:rsidP="00582919">
            <w:pPr>
              <w:jc w:val="both"/>
              <w:rPr>
                <w:rFonts w:eastAsia="Calibri"/>
                <w:sz w:val="20"/>
              </w:rPr>
            </w:pPr>
            <w:r w:rsidRPr="00C45D88">
              <w:rPr>
                <w:rFonts w:eastAsia="Calibri"/>
                <w:sz w:val="20"/>
              </w:rPr>
              <w:t xml:space="preserve">In early 2011, the applicant filed applications with the Human Rights Tribunal of Ontario against the City and the Association alleging that the mandatory retirement provision in the collective agreement discriminated against him on the basis of age, contrary to s. 5 of the </w:t>
            </w:r>
            <w:r w:rsidRPr="00C45D88">
              <w:rPr>
                <w:rFonts w:eastAsia="Calibri"/>
                <w:i/>
                <w:sz w:val="20"/>
              </w:rPr>
              <w:t>Human Rights Code</w:t>
            </w:r>
            <w:r w:rsidRPr="00C45D88">
              <w:rPr>
                <w:rFonts w:eastAsia="Calibri"/>
                <w:sz w:val="20"/>
              </w:rPr>
              <w:t xml:space="preserve">, R.S.O. 1990, c. H.19.  The Association filed a request with the Tribunal for a summary hearing. It maintained that there was no basis upon which the Tribunal could find a violation of s. 5 of the </w:t>
            </w:r>
            <w:r w:rsidRPr="00C45D88">
              <w:rPr>
                <w:rFonts w:eastAsia="Calibri"/>
                <w:i/>
                <w:sz w:val="20"/>
              </w:rPr>
              <w:t xml:space="preserve">Code </w:t>
            </w:r>
            <w:r w:rsidRPr="00C45D88">
              <w:rPr>
                <w:rFonts w:eastAsia="Calibri"/>
                <w:sz w:val="20"/>
              </w:rPr>
              <w:t xml:space="preserve">due to the Tribunal’s own decision, rendered 14 months earlier, in </w:t>
            </w:r>
            <w:r w:rsidRPr="00C45D88">
              <w:rPr>
                <w:rFonts w:eastAsia="Calibri"/>
                <w:i/>
                <w:sz w:val="20"/>
              </w:rPr>
              <w:t>Espey v. London (City)</w:t>
            </w:r>
            <w:r w:rsidRPr="00C45D88">
              <w:rPr>
                <w:rFonts w:eastAsia="Calibri"/>
                <w:sz w:val="20"/>
              </w:rPr>
              <w:t xml:space="preserve">, 2008 HRTO 412.  In that case, the Tribunal had upheld a similar mandatory retirement provision contained in the collective agreement between the City of London and that city’s Fire Fighters’ Association. </w:t>
            </w:r>
          </w:p>
          <w:p w:rsidR="00B223D8" w:rsidRPr="00C45D88" w:rsidRDefault="00B223D8" w:rsidP="00582919">
            <w:pPr>
              <w:jc w:val="both"/>
              <w:rPr>
                <w:rFonts w:eastAsia="Calibri"/>
                <w:sz w:val="20"/>
              </w:rPr>
            </w:pPr>
          </w:p>
          <w:p w:rsidR="00B223D8" w:rsidRPr="00C45D88" w:rsidRDefault="00B223D8" w:rsidP="00582919">
            <w:pPr>
              <w:jc w:val="both"/>
              <w:rPr>
                <w:rFonts w:eastAsia="Calibri"/>
                <w:sz w:val="20"/>
              </w:rPr>
            </w:pPr>
            <w:r w:rsidRPr="00C45D88">
              <w:rPr>
                <w:rFonts w:eastAsia="Calibri"/>
                <w:sz w:val="20"/>
              </w:rPr>
              <w:t>The Human Rights Tribunal granted the Association’s request for a summary hearing.</w:t>
            </w:r>
          </w:p>
          <w:p w:rsidR="00B223D8" w:rsidRPr="00C45D88" w:rsidRDefault="00B223D8" w:rsidP="00582919">
            <w:pPr>
              <w:jc w:val="both"/>
              <w:rPr>
                <w:rFonts w:eastAsia="Calibri"/>
                <w:sz w:val="20"/>
              </w:rPr>
            </w:pPr>
          </w:p>
        </w:tc>
      </w:tr>
      <w:tr w:rsidR="00B223D8" w:rsidRPr="00C45D88" w:rsidTr="00582919">
        <w:tc>
          <w:tcPr>
            <w:tcW w:w="2427" w:type="pct"/>
          </w:tcPr>
          <w:p w:rsidR="00B223D8" w:rsidRPr="00C45D88" w:rsidRDefault="00B223D8" w:rsidP="00582919">
            <w:pPr>
              <w:jc w:val="both"/>
              <w:rPr>
                <w:rFonts w:eastAsia="Calibri"/>
                <w:sz w:val="20"/>
              </w:rPr>
            </w:pPr>
            <w:r w:rsidRPr="00C45D88">
              <w:rPr>
                <w:rFonts w:eastAsia="Calibri"/>
                <w:sz w:val="20"/>
              </w:rPr>
              <w:t>August 1, 2012</w:t>
            </w:r>
          </w:p>
          <w:p w:rsidR="00B223D8" w:rsidRPr="00C45D88" w:rsidRDefault="00B223D8" w:rsidP="00582919">
            <w:pPr>
              <w:jc w:val="both"/>
              <w:rPr>
                <w:rFonts w:eastAsia="Calibri"/>
                <w:sz w:val="20"/>
              </w:rPr>
            </w:pPr>
            <w:r w:rsidRPr="00C45D88">
              <w:rPr>
                <w:rFonts w:eastAsia="Calibri"/>
                <w:sz w:val="20"/>
              </w:rPr>
              <w:t>Human Rights Tribunal of Ontario</w:t>
            </w:r>
          </w:p>
          <w:p w:rsidR="00B223D8" w:rsidRPr="00C45D88" w:rsidRDefault="00B223D8" w:rsidP="00582919">
            <w:pPr>
              <w:jc w:val="both"/>
              <w:rPr>
                <w:rFonts w:eastAsia="Calibri"/>
                <w:sz w:val="20"/>
              </w:rPr>
            </w:pPr>
            <w:r w:rsidRPr="00C45D88">
              <w:rPr>
                <w:rFonts w:eastAsia="Calibri"/>
                <w:sz w:val="20"/>
              </w:rPr>
              <w:t>Wright, David (adjudicator)</w:t>
            </w:r>
          </w:p>
          <w:p w:rsidR="00B223D8" w:rsidRPr="00C45D88" w:rsidRDefault="003A60BB" w:rsidP="00582919">
            <w:pPr>
              <w:jc w:val="both"/>
              <w:rPr>
                <w:rFonts w:eastAsia="Calibri"/>
                <w:sz w:val="20"/>
              </w:rPr>
            </w:pPr>
            <w:hyperlink r:id="rId47" w:history="1">
              <w:r w:rsidR="00B223D8" w:rsidRPr="00C45D88">
                <w:rPr>
                  <w:rFonts w:eastAsia="Calibri"/>
                  <w:color w:val="0000FF"/>
                  <w:sz w:val="20"/>
                  <w:u w:val="single"/>
                </w:rPr>
                <w:t>2012 HRTO 1506</w:t>
              </w:r>
            </w:hyperlink>
          </w:p>
          <w:p w:rsidR="00B223D8" w:rsidRPr="00C45D88" w:rsidRDefault="00B223D8" w:rsidP="00582919">
            <w:pPr>
              <w:jc w:val="both"/>
              <w:rPr>
                <w:rFonts w:eastAsia="Calibri"/>
                <w:sz w:val="20"/>
              </w:rPr>
            </w:pPr>
            <w:r w:rsidRPr="00C45D88">
              <w:rPr>
                <w:rFonts w:eastAsia="Calibri"/>
                <w:sz w:val="20"/>
              </w:rPr>
              <w:t>File Nos. 2011-07964-I; 2011-07991-I</w:t>
            </w:r>
          </w:p>
          <w:p w:rsidR="00B223D8" w:rsidRPr="00C45D88" w:rsidRDefault="00B223D8" w:rsidP="00582919">
            <w:pPr>
              <w:jc w:val="both"/>
              <w:rPr>
                <w:rFonts w:eastAsia="Calibri"/>
                <w:sz w:val="20"/>
              </w:rPr>
            </w:pPr>
          </w:p>
        </w:tc>
        <w:tc>
          <w:tcPr>
            <w:tcW w:w="243" w:type="pct"/>
          </w:tcPr>
          <w:p w:rsidR="00B223D8" w:rsidRPr="00C45D88" w:rsidRDefault="00B223D8" w:rsidP="00582919">
            <w:pPr>
              <w:jc w:val="both"/>
              <w:rPr>
                <w:rFonts w:eastAsia="Calibri"/>
                <w:sz w:val="20"/>
              </w:rPr>
            </w:pPr>
          </w:p>
        </w:tc>
        <w:tc>
          <w:tcPr>
            <w:tcW w:w="2330" w:type="pct"/>
          </w:tcPr>
          <w:p w:rsidR="00B223D8" w:rsidRPr="00C45D88" w:rsidRDefault="00B223D8" w:rsidP="00582919">
            <w:pPr>
              <w:jc w:val="both"/>
              <w:rPr>
                <w:rFonts w:eastAsia="Calibri"/>
                <w:sz w:val="20"/>
              </w:rPr>
            </w:pPr>
            <w:r w:rsidRPr="00C45D88">
              <w:rPr>
                <w:rFonts w:eastAsia="Calibri"/>
                <w:sz w:val="20"/>
              </w:rPr>
              <w:t xml:space="preserve">Applications brought pursuant to the </w:t>
            </w:r>
            <w:r w:rsidRPr="00C45D88">
              <w:rPr>
                <w:rFonts w:eastAsia="Calibri"/>
                <w:i/>
                <w:sz w:val="20"/>
              </w:rPr>
              <w:t>Human Rights Code</w:t>
            </w:r>
            <w:r w:rsidRPr="00C45D88">
              <w:rPr>
                <w:rFonts w:eastAsia="Calibri"/>
                <w:sz w:val="20"/>
              </w:rPr>
              <w:t>, R.S.O. 1990, c. H.19, dismissed</w:t>
            </w:r>
          </w:p>
        </w:tc>
      </w:tr>
      <w:tr w:rsidR="00B223D8" w:rsidRPr="00C45D88" w:rsidTr="00582919">
        <w:tc>
          <w:tcPr>
            <w:tcW w:w="2427" w:type="pct"/>
          </w:tcPr>
          <w:p w:rsidR="00B223D8" w:rsidRPr="00C45D88" w:rsidRDefault="00B223D8" w:rsidP="00582919">
            <w:pPr>
              <w:jc w:val="both"/>
              <w:rPr>
                <w:rFonts w:eastAsia="Calibri"/>
                <w:sz w:val="20"/>
              </w:rPr>
            </w:pPr>
            <w:r w:rsidRPr="00C45D88">
              <w:rPr>
                <w:rFonts w:eastAsia="Calibri"/>
                <w:sz w:val="20"/>
              </w:rPr>
              <w:t>March 24, 2014</w:t>
            </w:r>
          </w:p>
          <w:p w:rsidR="00B223D8" w:rsidRPr="00C45D88" w:rsidRDefault="00B223D8" w:rsidP="00582919">
            <w:pPr>
              <w:jc w:val="both"/>
              <w:rPr>
                <w:rFonts w:eastAsia="Calibri"/>
                <w:sz w:val="20"/>
              </w:rPr>
            </w:pPr>
            <w:r w:rsidRPr="00C45D88">
              <w:rPr>
                <w:rFonts w:eastAsia="Calibri"/>
                <w:sz w:val="20"/>
              </w:rPr>
              <w:t>Ontario Superior Court of Justice</w:t>
            </w:r>
          </w:p>
          <w:p w:rsidR="00B223D8" w:rsidRPr="00C45D88" w:rsidRDefault="00B223D8" w:rsidP="00582919">
            <w:pPr>
              <w:jc w:val="both"/>
              <w:rPr>
                <w:rFonts w:eastAsia="Calibri"/>
                <w:sz w:val="20"/>
              </w:rPr>
            </w:pPr>
            <w:r w:rsidRPr="00C45D88">
              <w:rPr>
                <w:rFonts w:eastAsia="Calibri"/>
                <w:sz w:val="20"/>
              </w:rPr>
              <w:t xml:space="preserve">(Marrocco, A.C.J.S.C. and Whitaker and </w:t>
            </w:r>
          </w:p>
          <w:p w:rsidR="00B223D8" w:rsidRPr="00C45D88" w:rsidRDefault="00B223D8" w:rsidP="00582919">
            <w:pPr>
              <w:jc w:val="both"/>
              <w:rPr>
                <w:rFonts w:eastAsia="Calibri"/>
                <w:sz w:val="20"/>
              </w:rPr>
            </w:pPr>
            <w:r w:rsidRPr="00C45D88">
              <w:rPr>
                <w:rFonts w:eastAsia="Calibri"/>
                <w:sz w:val="20"/>
              </w:rPr>
              <w:t>Ellies JJ.)</w:t>
            </w:r>
          </w:p>
          <w:p w:rsidR="00B223D8" w:rsidRPr="00C45D88" w:rsidRDefault="003A60BB" w:rsidP="00582919">
            <w:pPr>
              <w:jc w:val="both"/>
              <w:rPr>
                <w:rFonts w:eastAsia="Calibri"/>
                <w:sz w:val="20"/>
              </w:rPr>
            </w:pPr>
            <w:hyperlink r:id="rId48" w:history="1">
              <w:r w:rsidR="00B223D8" w:rsidRPr="00C45D88">
                <w:rPr>
                  <w:rFonts w:eastAsia="Calibri"/>
                  <w:color w:val="0000FF"/>
                  <w:sz w:val="20"/>
                  <w:u w:val="single"/>
                </w:rPr>
                <w:t>2014 ONSC 1840</w:t>
              </w:r>
            </w:hyperlink>
          </w:p>
          <w:p w:rsidR="00B223D8" w:rsidRPr="00C45D88" w:rsidRDefault="00B223D8" w:rsidP="00582919">
            <w:pPr>
              <w:jc w:val="both"/>
              <w:rPr>
                <w:rFonts w:eastAsia="Calibri"/>
                <w:sz w:val="20"/>
              </w:rPr>
            </w:pPr>
            <w:r w:rsidRPr="00C45D88">
              <w:rPr>
                <w:rFonts w:eastAsia="Calibri"/>
                <w:sz w:val="20"/>
              </w:rPr>
              <w:t>Court file No. DC-13-450</w:t>
            </w:r>
          </w:p>
          <w:p w:rsidR="00B223D8" w:rsidRPr="00C45D88" w:rsidRDefault="00B223D8" w:rsidP="00582919">
            <w:pPr>
              <w:jc w:val="both"/>
              <w:rPr>
                <w:rFonts w:eastAsia="Calibri"/>
                <w:sz w:val="20"/>
              </w:rPr>
            </w:pPr>
          </w:p>
        </w:tc>
        <w:tc>
          <w:tcPr>
            <w:tcW w:w="243" w:type="pct"/>
          </w:tcPr>
          <w:p w:rsidR="00B223D8" w:rsidRPr="00C45D88" w:rsidRDefault="00B223D8" w:rsidP="00582919">
            <w:pPr>
              <w:jc w:val="both"/>
              <w:rPr>
                <w:rFonts w:eastAsia="Calibri"/>
                <w:sz w:val="20"/>
              </w:rPr>
            </w:pPr>
          </w:p>
        </w:tc>
        <w:tc>
          <w:tcPr>
            <w:tcW w:w="2330" w:type="pct"/>
          </w:tcPr>
          <w:p w:rsidR="00B223D8" w:rsidRPr="00C45D88" w:rsidRDefault="00B223D8" w:rsidP="00582919">
            <w:pPr>
              <w:jc w:val="both"/>
              <w:rPr>
                <w:rFonts w:eastAsia="Calibri"/>
                <w:sz w:val="20"/>
              </w:rPr>
            </w:pPr>
            <w:r w:rsidRPr="00C45D88">
              <w:rPr>
                <w:rFonts w:eastAsia="Calibri"/>
                <w:sz w:val="20"/>
              </w:rPr>
              <w:t>Application for judicial review of the decision of the Human Rights Tribunal, dismissed</w:t>
            </w:r>
          </w:p>
        </w:tc>
      </w:tr>
      <w:tr w:rsidR="00B223D8" w:rsidRPr="00C45D88" w:rsidTr="00582919">
        <w:tc>
          <w:tcPr>
            <w:tcW w:w="2427" w:type="pct"/>
          </w:tcPr>
          <w:p w:rsidR="00B223D8" w:rsidRPr="00C45D88" w:rsidRDefault="00B223D8" w:rsidP="00582919">
            <w:pPr>
              <w:jc w:val="both"/>
              <w:rPr>
                <w:rFonts w:eastAsia="Calibri"/>
                <w:sz w:val="20"/>
              </w:rPr>
            </w:pPr>
            <w:r w:rsidRPr="00C45D88">
              <w:rPr>
                <w:rFonts w:eastAsia="Calibri"/>
                <w:sz w:val="20"/>
              </w:rPr>
              <w:t>September 5, 2014</w:t>
            </w:r>
          </w:p>
          <w:p w:rsidR="00B223D8" w:rsidRPr="00C45D88" w:rsidRDefault="00B223D8" w:rsidP="00582919">
            <w:pPr>
              <w:jc w:val="both"/>
              <w:rPr>
                <w:rFonts w:eastAsia="Calibri"/>
                <w:sz w:val="20"/>
              </w:rPr>
            </w:pPr>
            <w:r w:rsidRPr="00C45D88">
              <w:rPr>
                <w:rFonts w:eastAsia="Calibri"/>
                <w:sz w:val="20"/>
              </w:rPr>
              <w:t>Court of Appeal for Ontario</w:t>
            </w:r>
          </w:p>
          <w:p w:rsidR="00B223D8" w:rsidRPr="00C45D88" w:rsidRDefault="00B223D8" w:rsidP="00582919">
            <w:pPr>
              <w:jc w:val="both"/>
              <w:rPr>
                <w:rFonts w:eastAsia="Calibri"/>
                <w:sz w:val="20"/>
              </w:rPr>
            </w:pPr>
            <w:r w:rsidRPr="00C45D88">
              <w:rPr>
                <w:rFonts w:eastAsia="Calibri"/>
                <w:sz w:val="20"/>
              </w:rPr>
              <w:t>(Weiler, Laskin and van Rensburg JJ.A.)</w:t>
            </w:r>
          </w:p>
          <w:p w:rsidR="00B223D8" w:rsidRPr="00C45D88" w:rsidRDefault="00B223D8" w:rsidP="00582919">
            <w:pPr>
              <w:jc w:val="both"/>
              <w:rPr>
                <w:rFonts w:eastAsia="Calibri"/>
                <w:sz w:val="20"/>
              </w:rPr>
            </w:pPr>
            <w:r w:rsidRPr="00C45D88">
              <w:rPr>
                <w:rFonts w:eastAsia="Calibri"/>
                <w:sz w:val="20"/>
              </w:rPr>
              <w:t>Docket No. M43732</w:t>
            </w:r>
          </w:p>
          <w:p w:rsidR="00B223D8" w:rsidRPr="00C45D88" w:rsidRDefault="00B223D8" w:rsidP="00582919">
            <w:pPr>
              <w:jc w:val="both"/>
              <w:rPr>
                <w:rFonts w:eastAsia="Calibri"/>
                <w:sz w:val="20"/>
              </w:rPr>
            </w:pPr>
          </w:p>
        </w:tc>
        <w:tc>
          <w:tcPr>
            <w:tcW w:w="243" w:type="pct"/>
          </w:tcPr>
          <w:p w:rsidR="00B223D8" w:rsidRPr="00C45D88" w:rsidRDefault="00B223D8" w:rsidP="00582919">
            <w:pPr>
              <w:jc w:val="both"/>
              <w:rPr>
                <w:rFonts w:eastAsia="Calibri"/>
                <w:sz w:val="20"/>
              </w:rPr>
            </w:pPr>
          </w:p>
        </w:tc>
        <w:tc>
          <w:tcPr>
            <w:tcW w:w="2330" w:type="pct"/>
          </w:tcPr>
          <w:p w:rsidR="00B223D8" w:rsidRPr="00C45D88" w:rsidRDefault="00B223D8" w:rsidP="00582919">
            <w:pPr>
              <w:jc w:val="both"/>
              <w:rPr>
                <w:rFonts w:eastAsia="Calibri"/>
                <w:sz w:val="20"/>
              </w:rPr>
            </w:pPr>
            <w:r w:rsidRPr="00C45D88">
              <w:rPr>
                <w:rFonts w:eastAsia="Calibri"/>
                <w:sz w:val="20"/>
              </w:rPr>
              <w:t>Application for leave to appeal dismissed</w:t>
            </w:r>
          </w:p>
        </w:tc>
      </w:tr>
      <w:tr w:rsidR="00B223D8" w:rsidRPr="00C45D88" w:rsidTr="00582919">
        <w:tc>
          <w:tcPr>
            <w:tcW w:w="2427" w:type="pct"/>
          </w:tcPr>
          <w:p w:rsidR="00B223D8" w:rsidRPr="00C45D88" w:rsidRDefault="00B223D8" w:rsidP="00582919">
            <w:pPr>
              <w:jc w:val="both"/>
              <w:rPr>
                <w:rFonts w:eastAsia="Calibri"/>
                <w:sz w:val="20"/>
              </w:rPr>
            </w:pPr>
            <w:r w:rsidRPr="00C45D88">
              <w:rPr>
                <w:rFonts w:eastAsia="Calibri"/>
                <w:sz w:val="20"/>
              </w:rPr>
              <w:t>November 3, 2014</w:t>
            </w:r>
          </w:p>
          <w:p w:rsidR="00B223D8" w:rsidRPr="00C45D88" w:rsidRDefault="00B223D8" w:rsidP="00582919">
            <w:pPr>
              <w:jc w:val="both"/>
              <w:rPr>
                <w:rFonts w:eastAsia="Calibri"/>
                <w:sz w:val="20"/>
              </w:rPr>
            </w:pPr>
            <w:r w:rsidRPr="00C45D88">
              <w:rPr>
                <w:rFonts w:eastAsia="Calibri"/>
                <w:sz w:val="20"/>
              </w:rPr>
              <w:t>Supreme Court of Canada</w:t>
            </w:r>
          </w:p>
        </w:tc>
        <w:tc>
          <w:tcPr>
            <w:tcW w:w="243" w:type="pct"/>
          </w:tcPr>
          <w:p w:rsidR="00B223D8" w:rsidRPr="00C45D88" w:rsidRDefault="00B223D8" w:rsidP="00582919">
            <w:pPr>
              <w:jc w:val="both"/>
              <w:rPr>
                <w:rFonts w:eastAsia="Calibri"/>
                <w:sz w:val="20"/>
              </w:rPr>
            </w:pPr>
          </w:p>
        </w:tc>
        <w:tc>
          <w:tcPr>
            <w:tcW w:w="2330" w:type="pct"/>
          </w:tcPr>
          <w:p w:rsidR="00B223D8" w:rsidRPr="00C45D88" w:rsidRDefault="00B223D8" w:rsidP="00582919">
            <w:pPr>
              <w:jc w:val="both"/>
              <w:rPr>
                <w:rFonts w:eastAsia="Calibri"/>
                <w:sz w:val="20"/>
              </w:rPr>
            </w:pPr>
            <w:r w:rsidRPr="00C45D88">
              <w:rPr>
                <w:rFonts w:eastAsia="Calibri"/>
                <w:sz w:val="20"/>
              </w:rPr>
              <w:t>Application for leave to appeal filed</w:t>
            </w:r>
          </w:p>
        </w:tc>
      </w:tr>
    </w:tbl>
    <w:p w:rsidR="000D6E5D" w:rsidRDefault="000D6E5D" w:rsidP="000D6E5D">
      <w:pPr>
        <w:rPr>
          <w:sz w:val="20"/>
          <w:szCs w:val="20"/>
        </w:rPr>
      </w:pPr>
    </w:p>
    <w:p w:rsidR="000D6E5D" w:rsidRPr="00C50A5C" w:rsidRDefault="003A60BB" w:rsidP="000D6E5D">
      <w:pPr>
        <w:rPr>
          <w:sz w:val="20"/>
          <w:szCs w:val="20"/>
        </w:rPr>
      </w:pPr>
      <w:r>
        <w:rPr>
          <w:sz w:val="20"/>
          <w:szCs w:val="20"/>
          <w:lang w:val="fr-CA"/>
        </w:rPr>
        <w:pict>
          <v:rect id="_x0000_i1052" style="width:2in;height:1pt" o:hrpct="0" o:hralign="center" o:hrstd="t" o:hrnoshade="t" o:hr="t" fillcolor="black [3213]" stroked="f"/>
        </w:pict>
      </w:r>
    </w:p>
    <w:p w:rsidR="000D6E5D" w:rsidRDefault="000D6E5D" w:rsidP="000D6E5D">
      <w:pPr>
        <w:rPr>
          <w:sz w:val="20"/>
          <w:szCs w:val="20"/>
        </w:rPr>
      </w:pPr>
    </w:p>
    <w:p w:rsidR="000D6E5D" w:rsidRPr="001B157C" w:rsidRDefault="000D6E5D" w:rsidP="000D6E5D">
      <w:pPr>
        <w:rPr>
          <w:sz w:val="20"/>
          <w:szCs w:val="20"/>
          <w:u w:val="single"/>
          <w:lang w:val="fr-CA"/>
        </w:rPr>
      </w:pPr>
      <w:r w:rsidRPr="001B157C">
        <w:rPr>
          <w:sz w:val="20"/>
          <w:szCs w:val="20"/>
          <w:u w:val="single"/>
          <w:lang w:val="fr-CA"/>
        </w:rPr>
        <w:t>RÉSUMÉ DE L’AFFAIRE</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223D8" w:rsidRPr="00560020" w:rsidTr="00582919">
        <w:tc>
          <w:tcPr>
            <w:tcW w:w="5000" w:type="pct"/>
            <w:gridSpan w:val="3"/>
          </w:tcPr>
          <w:p w:rsidR="00B223D8" w:rsidRPr="00C45D88" w:rsidRDefault="00B223D8" w:rsidP="00582919">
            <w:pPr>
              <w:jc w:val="both"/>
              <w:rPr>
                <w:rFonts w:eastAsia="Calibri"/>
                <w:sz w:val="20"/>
                <w:lang w:val="fr-CA"/>
              </w:rPr>
            </w:pPr>
            <w:r w:rsidRPr="00C45D88">
              <w:rPr>
                <w:rFonts w:eastAsia="Calibri"/>
                <w:sz w:val="20"/>
                <w:lang w:val="fr-CA"/>
              </w:rPr>
              <w:t>Droits de la personne – Discrimination – Âge – La convention collective renferme une disposition qui oblige les pompiers professionnels à prendre leur retraite à l’âge de 60 ans – Le demandeur conteste la disposition, plaidant qu’elle est discriminatoire, devant le Tribunal qui avait récemment confirmé la validité d’une disposition semblable – La contestation a été rejetée car le demandeur n’avait pas démontré que le résultat serait différent en l’espèce – La Cour d’appel a-t-elle eu tort de refuser l’autorisation d’appel de la décision rejetant la demande de contrôle judiciaire?</w:t>
            </w:r>
            <w:r w:rsidRPr="00C45D88">
              <w:rPr>
                <w:rFonts w:eastAsia="Calibri"/>
                <w:sz w:val="20"/>
                <w:highlight w:val="yellow"/>
                <w:lang w:val="fr-CA"/>
              </w:rPr>
              <w:t xml:space="preserve"> </w:t>
            </w:r>
          </w:p>
        </w:tc>
      </w:tr>
      <w:tr w:rsidR="00B223D8" w:rsidRPr="00560020" w:rsidTr="00582919">
        <w:tc>
          <w:tcPr>
            <w:tcW w:w="5000" w:type="pct"/>
            <w:gridSpan w:val="3"/>
          </w:tcPr>
          <w:p w:rsidR="00B223D8" w:rsidRPr="00C45D88" w:rsidRDefault="00B223D8" w:rsidP="00582919">
            <w:pPr>
              <w:jc w:val="both"/>
              <w:rPr>
                <w:rFonts w:eastAsia="Calibri"/>
                <w:sz w:val="20"/>
                <w:lang w:val="fr-CA"/>
              </w:rPr>
            </w:pPr>
          </w:p>
        </w:tc>
      </w:tr>
      <w:tr w:rsidR="00B223D8" w:rsidRPr="00560020" w:rsidTr="00582919">
        <w:tc>
          <w:tcPr>
            <w:tcW w:w="5000" w:type="pct"/>
            <w:gridSpan w:val="3"/>
          </w:tcPr>
          <w:p w:rsidR="00B223D8" w:rsidRPr="00C45D88" w:rsidRDefault="00B223D8" w:rsidP="00582919">
            <w:pPr>
              <w:jc w:val="both"/>
              <w:rPr>
                <w:rFonts w:eastAsia="Calibri"/>
                <w:sz w:val="20"/>
                <w:lang w:val="fr-CA"/>
              </w:rPr>
            </w:pPr>
            <w:r w:rsidRPr="00C45D88">
              <w:rPr>
                <w:rFonts w:eastAsia="Calibri"/>
                <w:sz w:val="20"/>
                <w:lang w:val="fr-CA"/>
              </w:rPr>
              <w:t xml:space="preserve">À l’âge de 60 ans, le demandeur, qui occupait un poste de sapeur-pompier, a été obligé de prendre sa retraite en vertu de la convention collective conclue entre la Hamilton Professional Fire Fighters’ Association (l’« Association ») et la Ville de Hamilton (la « Ville »).  En guise d’accommodement, la Ville lui a offert un poste d’agent de communication.  Il a refusé. </w:t>
            </w:r>
          </w:p>
          <w:p w:rsidR="00B223D8" w:rsidRPr="00C45D88" w:rsidRDefault="00B223D8" w:rsidP="00582919">
            <w:pPr>
              <w:jc w:val="both"/>
              <w:rPr>
                <w:rFonts w:eastAsia="Calibri"/>
                <w:sz w:val="20"/>
                <w:lang w:val="fr-CA"/>
              </w:rPr>
            </w:pPr>
          </w:p>
          <w:p w:rsidR="00B223D8" w:rsidRPr="00C45D88" w:rsidRDefault="00B223D8" w:rsidP="00582919">
            <w:pPr>
              <w:jc w:val="both"/>
              <w:rPr>
                <w:rFonts w:eastAsia="Calibri"/>
                <w:sz w:val="20"/>
                <w:lang w:val="fr-CA"/>
              </w:rPr>
            </w:pPr>
            <w:r w:rsidRPr="00C45D88">
              <w:rPr>
                <w:rFonts w:eastAsia="Calibri"/>
                <w:sz w:val="20"/>
                <w:lang w:val="fr-CA"/>
              </w:rPr>
              <w:t xml:space="preserve">Au début de 2011, le demandeur a déposé au Tribunal des droits de la personne de l’Ontario des demandes contre la Ville et l’Association, alléguant que la disposition de départ à la retraite obligatoire prévue dans la convention collective était discriminatoire à son égard sur le fondement de l’âge, contrairement à l’art. 5 du </w:t>
            </w:r>
            <w:r w:rsidRPr="00C45D88">
              <w:rPr>
                <w:rFonts w:eastAsia="Calibri"/>
                <w:i/>
                <w:sz w:val="20"/>
                <w:lang w:val="fr-CA"/>
              </w:rPr>
              <w:t>Code des droits de la personne</w:t>
            </w:r>
            <w:r w:rsidRPr="00C45D88">
              <w:rPr>
                <w:rFonts w:eastAsia="Calibri"/>
                <w:sz w:val="20"/>
                <w:lang w:val="fr-CA"/>
              </w:rPr>
              <w:t xml:space="preserve">, L.R.O. 1990, ch. H.19.  L’Association a déposé au Tribunal une demande en jugement sommaire.  Elle soutenait que le Tribunal ne pouvait pas conclure à une violation de l’art. 5 du </w:t>
            </w:r>
            <w:r w:rsidRPr="00C45D88">
              <w:rPr>
                <w:rFonts w:eastAsia="Calibri"/>
                <w:i/>
                <w:sz w:val="20"/>
                <w:lang w:val="fr-CA"/>
              </w:rPr>
              <w:t>Code</w:t>
            </w:r>
            <w:r w:rsidRPr="00C45D88">
              <w:rPr>
                <w:rFonts w:eastAsia="Calibri"/>
                <w:sz w:val="20"/>
                <w:lang w:val="fr-CA"/>
              </w:rPr>
              <w:t>,</w:t>
            </w:r>
            <w:r w:rsidRPr="00C45D88">
              <w:rPr>
                <w:rFonts w:eastAsia="Calibri"/>
                <w:i/>
                <w:sz w:val="20"/>
                <w:lang w:val="fr-CA"/>
              </w:rPr>
              <w:t xml:space="preserve"> </w:t>
            </w:r>
            <w:r w:rsidRPr="00C45D88">
              <w:rPr>
                <w:rFonts w:eastAsia="Calibri"/>
                <w:sz w:val="20"/>
                <w:lang w:val="fr-CA"/>
              </w:rPr>
              <w:t xml:space="preserve">compte tenu de la décision que le Tribunal avait rendue 14 mois auparavant, dans </w:t>
            </w:r>
            <w:r w:rsidRPr="00C45D88">
              <w:rPr>
                <w:rFonts w:eastAsia="Calibri"/>
                <w:i/>
                <w:sz w:val="20"/>
                <w:lang w:val="fr-CA"/>
              </w:rPr>
              <w:t>Espey c. London (Ville)</w:t>
            </w:r>
            <w:r w:rsidRPr="00C45D88">
              <w:rPr>
                <w:rFonts w:eastAsia="Calibri"/>
                <w:sz w:val="20"/>
                <w:lang w:val="fr-CA"/>
              </w:rPr>
              <w:t xml:space="preserve">, 2008 HRTO 412.  Dans cette affaire, le Tribunal avait confirmé la validité d’une disposition semblable de départ à la retraite obligatoire prévue dans la convention collective conclue entre la Ville de London et l’association des pompiers de cette ville. </w:t>
            </w:r>
          </w:p>
          <w:p w:rsidR="00B223D8" w:rsidRPr="00C45D88" w:rsidRDefault="00B223D8" w:rsidP="00582919">
            <w:pPr>
              <w:jc w:val="both"/>
              <w:rPr>
                <w:rFonts w:eastAsia="Calibri"/>
                <w:sz w:val="20"/>
                <w:lang w:val="fr-CA"/>
              </w:rPr>
            </w:pPr>
          </w:p>
          <w:p w:rsidR="00B223D8" w:rsidRPr="00C45D88" w:rsidRDefault="00B223D8" w:rsidP="00582919">
            <w:pPr>
              <w:jc w:val="both"/>
              <w:rPr>
                <w:rFonts w:eastAsia="Calibri"/>
                <w:sz w:val="20"/>
                <w:lang w:val="fr-CA"/>
              </w:rPr>
            </w:pPr>
            <w:r w:rsidRPr="00C45D88">
              <w:rPr>
                <w:rFonts w:eastAsia="Calibri"/>
                <w:sz w:val="20"/>
                <w:lang w:val="fr-CA"/>
              </w:rPr>
              <w:t xml:space="preserve">Le Tribunal des droits de la personne a accueilli la demande de l’Association en audience sommaire. </w:t>
            </w:r>
          </w:p>
          <w:p w:rsidR="00B223D8" w:rsidRPr="00C45D88" w:rsidRDefault="00B223D8" w:rsidP="00582919">
            <w:pPr>
              <w:jc w:val="both"/>
              <w:rPr>
                <w:rFonts w:eastAsia="Calibri"/>
                <w:sz w:val="20"/>
                <w:lang w:val="fr-CA"/>
              </w:rPr>
            </w:pPr>
          </w:p>
        </w:tc>
      </w:tr>
      <w:tr w:rsidR="00B223D8" w:rsidRPr="00C45D88" w:rsidTr="00582919">
        <w:tc>
          <w:tcPr>
            <w:tcW w:w="2427" w:type="pct"/>
          </w:tcPr>
          <w:p w:rsidR="00B223D8" w:rsidRPr="00C45D88" w:rsidRDefault="00B223D8" w:rsidP="00582919">
            <w:pPr>
              <w:jc w:val="both"/>
              <w:rPr>
                <w:rFonts w:eastAsia="Calibri"/>
                <w:sz w:val="20"/>
                <w:lang w:val="fr-CA"/>
              </w:rPr>
            </w:pPr>
            <w:r w:rsidRPr="00C45D88">
              <w:rPr>
                <w:rFonts w:eastAsia="Calibri"/>
                <w:sz w:val="20"/>
                <w:lang w:val="fr-CA"/>
              </w:rPr>
              <w:t>1</w:t>
            </w:r>
            <w:r w:rsidRPr="00C45D88">
              <w:rPr>
                <w:rFonts w:eastAsia="Calibri"/>
                <w:sz w:val="20"/>
                <w:vertAlign w:val="superscript"/>
                <w:lang w:val="fr-CA"/>
              </w:rPr>
              <w:t>er</w:t>
            </w:r>
            <w:r w:rsidRPr="00C45D88">
              <w:rPr>
                <w:rFonts w:eastAsia="Calibri"/>
                <w:sz w:val="20"/>
                <w:lang w:val="fr-CA"/>
              </w:rPr>
              <w:t xml:space="preserve"> août 2012</w:t>
            </w:r>
          </w:p>
          <w:p w:rsidR="00B223D8" w:rsidRPr="00C45D88" w:rsidRDefault="00B223D8" w:rsidP="00582919">
            <w:pPr>
              <w:jc w:val="both"/>
              <w:rPr>
                <w:rFonts w:eastAsia="Calibri"/>
                <w:sz w:val="20"/>
                <w:lang w:val="fr-CA"/>
              </w:rPr>
            </w:pPr>
            <w:r w:rsidRPr="00C45D88">
              <w:rPr>
                <w:rFonts w:eastAsia="Calibri"/>
                <w:sz w:val="20"/>
                <w:lang w:val="fr-CA"/>
              </w:rPr>
              <w:t>Tribunal des droits de la personne de l’Ontario</w:t>
            </w:r>
          </w:p>
          <w:p w:rsidR="00B223D8" w:rsidRPr="00C45D88" w:rsidRDefault="00B223D8" w:rsidP="00582919">
            <w:pPr>
              <w:jc w:val="both"/>
              <w:rPr>
                <w:rFonts w:eastAsia="Calibri"/>
                <w:sz w:val="20"/>
              </w:rPr>
            </w:pPr>
            <w:r w:rsidRPr="00C45D88">
              <w:rPr>
                <w:rFonts w:eastAsia="Calibri"/>
                <w:sz w:val="20"/>
              </w:rPr>
              <w:t>Wright, David (arbitre)</w:t>
            </w:r>
          </w:p>
          <w:p w:rsidR="00B223D8" w:rsidRPr="00C45D88" w:rsidRDefault="003A60BB" w:rsidP="00582919">
            <w:pPr>
              <w:jc w:val="both"/>
              <w:rPr>
                <w:rFonts w:eastAsia="Calibri"/>
                <w:sz w:val="20"/>
              </w:rPr>
            </w:pPr>
            <w:hyperlink r:id="rId49" w:history="1">
              <w:r w:rsidR="00B223D8" w:rsidRPr="00C45D88">
                <w:rPr>
                  <w:rFonts w:eastAsia="Calibri"/>
                  <w:color w:val="0000FF"/>
                  <w:sz w:val="20"/>
                  <w:u w:val="single"/>
                </w:rPr>
                <w:t>2012 HRTO 1506</w:t>
              </w:r>
            </w:hyperlink>
          </w:p>
          <w:p w:rsidR="00B223D8" w:rsidRPr="00C45D88" w:rsidRDefault="00B223D8" w:rsidP="00582919">
            <w:pPr>
              <w:jc w:val="both"/>
              <w:rPr>
                <w:rFonts w:eastAsia="Calibri"/>
                <w:sz w:val="20"/>
              </w:rPr>
            </w:pPr>
            <w:r w:rsidRPr="00C45D88">
              <w:rPr>
                <w:rFonts w:eastAsia="Calibri"/>
                <w:sz w:val="20"/>
              </w:rPr>
              <w:t>N</w:t>
            </w:r>
            <w:r w:rsidRPr="00C45D88">
              <w:rPr>
                <w:rFonts w:eastAsia="Calibri"/>
                <w:sz w:val="20"/>
                <w:vertAlign w:val="superscript"/>
              </w:rPr>
              <w:t>os</w:t>
            </w:r>
            <w:r w:rsidRPr="00C45D88">
              <w:rPr>
                <w:rFonts w:eastAsia="Calibri"/>
                <w:sz w:val="20"/>
              </w:rPr>
              <w:t xml:space="preserve"> du greffe 2011-07964-I; 2011-07991-I</w:t>
            </w:r>
          </w:p>
          <w:p w:rsidR="00B223D8" w:rsidRPr="00C45D88" w:rsidRDefault="00B223D8" w:rsidP="00582919">
            <w:pPr>
              <w:jc w:val="both"/>
              <w:rPr>
                <w:rFonts w:eastAsia="Calibri"/>
                <w:sz w:val="20"/>
              </w:rPr>
            </w:pPr>
          </w:p>
        </w:tc>
        <w:tc>
          <w:tcPr>
            <w:tcW w:w="243" w:type="pct"/>
          </w:tcPr>
          <w:p w:rsidR="00B223D8" w:rsidRPr="00C45D88" w:rsidRDefault="00B223D8" w:rsidP="00582919">
            <w:pPr>
              <w:jc w:val="both"/>
              <w:rPr>
                <w:rFonts w:eastAsia="Calibri"/>
                <w:sz w:val="20"/>
              </w:rPr>
            </w:pPr>
          </w:p>
        </w:tc>
        <w:tc>
          <w:tcPr>
            <w:tcW w:w="2330" w:type="pct"/>
          </w:tcPr>
          <w:p w:rsidR="00B223D8" w:rsidRPr="00C45D88" w:rsidRDefault="00B223D8" w:rsidP="00582919">
            <w:pPr>
              <w:jc w:val="both"/>
              <w:rPr>
                <w:rFonts w:eastAsia="Calibri"/>
                <w:sz w:val="20"/>
                <w:lang w:val="fr-CA"/>
              </w:rPr>
            </w:pPr>
            <w:r w:rsidRPr="00C45D88">
              <w:rPr>
                <w:rFonts w:eastAsia="Calibri"/>
                <w:sz w:val="20"/>
                <w:lang w:val="fr-CA"/>
              </w:rPr>
              <w:t xml:space="preserve">Rejet des demandes présentées sous le régime du </w:t>
            </w:r>
            <w:r w:rsidRPr="00C45D88">
              <w:rPr>
                <w:rFonts w:eastAsia="Calibri"/>
                <w:i/>
                <w:sz w:val="20"/>
                <w:lang w:val="fr-CA"/>
              </w:rPr>
              <w:t>Code des droits de la personne</w:t>
            </w:r>
            <w:r w:rsidRPr="00C45D88">
              <w:rPr>
                <w:rFonts w:eastAsia="Calibri"/>
                <w:sz w:val="20"/>
                <w:lang w:val="fr-CA"/>
              </w:rPr>
              <w:t>, L.R.O. 1990, ch. H.19</w:t>
            </w:r>
          </w:p>
        </w:tc>
      </w:tr>
      <w:tr w:rsidR="00B223D8" w:rsidRPr="00560020" w:rsidTr="00582919">
        <w:tc>
          <w:tcPr>
            <w:tcW w:w="2427" w:type="pct"/>
          </w:tcPr>
          <w:p w:rsidR="00B223D8" w:rsidRPr="00C45D88" w:rsidRDefault="00B223D8" w:rsidP="00582919">
            <w:pPr>
              <w:jc w:val="both"/>
              <w:rPr>
                <w:rFonts w:eastAsia="Calibri"/>
                <w:sz w:val="20"/>
                <w:lang w:val="fr-CA"/>
              </w:rPr>
            </w:pPr>
            <w:r w:rsidRPr="00C45D88">
              <w:rPr>
                <w:rFonts w:eastAsia="Calibri"/>
                <w:sz w:val="20"/>
                <w:lang w:val="fr-CA"/>
              </w:rPr>
              <w:t>24 mars 2014</w:t>
            </w:r>
          </w:p>
          <w:p w:rsidR="00B223D8" w:rsidRPr="00C45D88" w:rsidRDefault="00B223D8" w:rsidP="00582919">
            <w:pPr>
              <w:jc w:val="both"/>
              <w:rPr>
                <w:rFonts w:eastAsia="Calibri"/>
                <w:sz w:val="20"/>
                <w:lang w:val="fr-CA"/>
              </w:rPr>
            </w:pPr>
            <w:r w:rsidRPr="00C45D88">
              <w:rPr>
                <w:rFonts w:eastAsia="Calibri"/>
                <w:sz w:val="20"/>
                <w:lang w:val="fr-CA"/>
              </w:rPr>
              <w:t>Cour supérieure de justice de l’Ontario</w:t>
            </w:r>
          </w:p>
          <w:p w:rsidR="00B223D8" w:rsidRPr="00C45D88" w:rsidRDefault="00B223D8" w:rsidP="00582919">
            <w:pPr>
              <w:jc w:val="both"/>
              <w:rPr>
                <w:rFonts w:eastAsia="Calibri"/>
                <w:sz w:val="20"/>
                <w:lang w:val="fr-CA"/>
              </w:rPr>
            </w:pPr>
            <w:r w:rsidRPr="00C45D88">
              <w:rPr>
                <w:rFonts w:eastAsia="Calibri"/>
                <w:sz w:val="20"/>
                <w:lang w:val="fr-CA"/>
              </w:rPr>
              <w:t>(Juge en chef adjoint Marrocco, juges Whitaker et Ellies)</w:t>
            </w:r>
          </w:p>
          <w:p w:rsidR="00B223D8" w:rsidRPr="00C45D88" w:rsidRDefault="003A60BB" w:rsidP="00582919">
            <w:pPr>
              <w:jc w:val="both"/>
              <w:rPr>
                <w:rFonts w:eastAsia="Calibri"/>
                <w:sz w:val="20"/>
                <w:lang w:val="fr-CA"/>
              </w:rPr>
            </w:pPr>
            <w:hyperlink r:id="rId50" w:history="1">
              <w:r w:rsidR="00B223D8" w:rsidRPr="00C45D88">
                <w:rPr>
                  <w:rFonts w:eastAsia="Calibri"/>
                  <w:color w:val="0000FF"/>
                  <w:sz w:val="20"/>
                  <w:u w:val="single"/>
                  <w:lang w:val="fr-CA"/>
                </w:rPr>
                <w:t>2014 ONSC 1840</w:t>
              </w:r>
            </w:hyperlink>
          </w:p>
          <w:p w:rsidR="00B223D8" w:rsidRPr="00C45D88" w:rsidRDefault="00B223D8" w:rsidP="00582919">
            <w:pPr>
              <w:jc w:val="both"/>
              <w:rPr>
                <w:rFonts w:eastAsia="Calibri"/>
                <w:sz w:val="20"/>
                <w:lang w:val="fr-CA"/>
              </w:rPr>
            </w:pPr>
            <w:r w:rsidRPr="00C45D88">
              <w:rPr>
                <w:rFonts w:eastAsia="Calibri"/>
                <w:sz w:val="20"/>
                <w:lang w:val="fr-CA"/>
              </w:rPr>
              <w:t>N</w:t>
            </w:r>
            <w:r w:rsidRPr="00C45D88">
              <w:rPr>
                <w:rFonts w:eastAsia="Calibri"/>
                <w:sz w:val="20"/>
                <w:vertAlign w:val="superscript"/>
                <w:lang w:val="fr-CA"/>
              </w:rPr>
              <w:t>o</w:t>
            </w:r>
            <w:r w:rsidRPr="00C45D88">
              <w:rPr>
                <w:rFonts w:eastAsia="Calibri"/>
                <w:sz w:val="20"/>
                <w:lang w:val="fr-CA"/>
              </w:rPr>
              <w:t xml:space="preserve"> du greffe DC-13-450</w:t>
            </w:r>
          </w:p>
          <w:p w:rsidR="00B223D8" w:rsidRPr="00C45D88" w:rsidRDefault="00B223D8" w:rsidP="00582919">
            <w:pPr>
              <w:jc w:val="both"/>
              <w:rPr>
                <w:rFonts w:eastAsia="Calibri"/>
                <w:sz w:val="20"/>
                <w:lang w:val="fr-CA"/>
              </w:rPr>
            </w:pPr>
          </w:p>
        </w:tc>
        <w:tc>
          <w:tcPr>
            <w:tcW w:w="243" w:type="pct"/>
          </w:tcPr>
          <w:p w:rsidR="00B223D8" w:rsidRPr="00C45D88" w:rsidRDefault="00B223D8" w:rsidP="00582919">
            <w:pPr>
              <w:jc w:val="both"/>
              <w:rPr>
                <w:rFonts w:eastAsia="Calibri"/>
                <w:sz w:val="20"/>
                <w:lang w:val="fr-CA"/>
              </w:rPr>
            </w:pPr>
          </w:p>
        </w:tc>
        <w:tc>
          <w:tcPr>
            <w:tcW w:w="2330" w:type="pct"/>
          </w:tcPr>
          <w:p w:rsidR="00B223D8" w:rsidRPr="00C45D88" w:rsidRDefault="00B223D8" w:rsidP="00582919">
            <w:pPr>
              <w:jc w:val="both"/>
              <w:rPr>
                <w:rFonts w:eastAsia="Calibri"/>
                <w:sz w:val="20"/>
                <w:lang w:val="fr-CA"/>
              </w:rPr>
            </w:pPr>
            <w:r w:rsidRPr="00C45D88">
              <w:rPr>
                <w:rFonts w:eastAsia="Calibri"/>
                <w:sz w:val="20"/>
                <w:lang w:val="fr-CA"/>
              </w:rPr>
              <w:t>Rejet de la demande de contrôle judiciaire de la décision du Tribunal des droits de la personne</w:t>
            </w:r>
          </w:p>
        </w:tc>
      </w:tr>
      <w:tr w:rsidR="00B223D8" w:rsidRPr="00560020" w:rsidTr="00582919">
        <w:tc>
          <w:tcPr>
            <w:tcW w:w="2427" w:type="pct"/>
          </w:tcPr>
          <w:p w:rsidR="00B223D8" w:rsidRPr="00C45D88" w:rsidRDefault="00B223D8" w:rsidP="00582919">
            <w:pPr>
              <w:jc w:val="both"/>
              <w:rPr>
                <w:rFonts w:eastAsia="Calibri"/>
                <w:sz w:val="20"/>
                <w:lang w:val="fr-CA"/>
              </w:rPr>
            </w:pPr>
            <w:r w:rsidRPr="00C45D88">
              <w:rPr>
                <w:rFonts w:eastAsia="Calibri"/>
                <w:sz w:val="20"/>
                <w:lang w:val="fr-CA"/>
              </w:rPr>
              <w:t>5 septembre 2014</w:t>
            </w:r>
          </w:p>
          <w:p w:rsidR="00B223D8" w:rsidRPr="00C45D88" w:rsidRDefault="00B223D8" w:rsidP="00582919">
            <w:pPr>
              <w:jc w:val="both"/>
              <w:rPr>
                <w:rFonts w:eastAsia="Calibri"/>
                <w:sz w:val="20"/>
                <w:lang w:val="fr-CA"/>
              </w:rPr>
            </w:pPr>
            <w:r w:rsidRPr="00C45D88">
              <w:rPr>
                <w:rFonts w:eastAsia="Calibri"/>
                <w:sz w:val="20"/>
                <w:lang w:val="fr-CA"/>
              </w:rPr>
              <w:t>Cour d’appel de l’Ontario</w:t>
            </w:r>
          </w:p>
          <w:p w:rsidR="00B223D8" w:rsidRPr="00C45D88" w:rsidRDefault="00B223D8" w:rsidP="00582919">
            <w:pPr>
              <w:jc w:val="both"/>
              <w:rPr>
                <w:rFonts w:eastAsia="Calibri"/>
                <w:sz w:val="20"/>
                <w:lang w:val="fr-CA"/>
              </w:rPr>
            </w:pPr>
            <w:r w:rsidRPr="00C45D88">
              <w:rPr>
                <w:rFonts w:eastAsia="Calibri"/>
                <w:sz w:val="20"/>
                <w:lang w:val="fr-CA"/>
              </w:rPr>
              <w:t>(Juges Weiler, Laskin et van Rensburg)</w:t>
            </w:r>
          </w:p>
          <w:p w:rsidR="00B223D8" w:rsidRPr="00C45D88" w:rsidRDefault="00B223D8" w:rsidP="00582919">
            <w:pPr>
              <w:jc w:val="both"/>
              <w:rPr>
                <w:rFonts w:eastAsia="Calibri"/>
                <w:sz w:val="20"/>
                <w:lang w:val="fr-CA"/>
              </w:rPr>
            </w:pPr>
            <w:r w:rsidRPr="00C45D88">
              <w:rPr>
                <w:rFonts w:eastAsia="Calibri"/>
                <w:sz w:val="20"/>
                <w:lang w:val="fr-CA"/>
              </w:rPr>
              <w:t>N</w:t>
            </w:r>
            <w:r w:rsidRPr="00C45D88">
              <w:rPr>
                <w:rFonts w:eastAsia="Calibri"/>
                <w:sz w:val="20"/>
                <w:vertAlign w:val="superscript"/>
                <w:lang w:val="fr-CA"/>
              </w:rPr>
              <w:t>o</w:t>
            </w:r>
            <w:r w:rsidRPr="00C45D88">
              <w:rPr>
                <w:rFonts w:eastAsia="Calibri"/>
                <w:sz w:val="20"/>
                <w:lang w:val="fr-CA"/>
              </w:rPr>
              <w:t xml:space="preserve"> du greffe M43732</w:t>
            </w:r>
          </w:p>
          <w:p w:rsidR="00B223D8" w:rsidRPr="00C45D88" w:rsidRDefault="00B223D8" w:rsidP="00582919">
            <w:pPr>
              <w:jc w:val="both"/>
              <w:rPr>
                <w:rFonts w:eastAsia="Calibri"/>
                <w:sz w:val="20"/>
                <w:lang w:val="fr-CA"/>
              </w:rPr>
            </w:pPr>
          </w:p>
        </w:tc>
        <w:tc>
          <w:tcPr>
            <w:tcW w:w="243" w:type="pct"/>
          </w:tcPr>
          <w:p w:rsidR="00B223D8" w:rsidRPr="00C45D88" w:rsidRDefault="00B223D8" w:rsidP="00582919">
            <w:pPr>
              <w:jc w:val="both"/>
              <w:rPr>
                <w:rFonts w:eastAsia="Calibri"/>
                <w:sz w:val="20"/>
                <w:lang w:val="fr-CA"/>
              </w:rPr>
            </w:pPr>
          </w:p>
        </w:tc>
        <w:tc>
          <w:tcPr>
            <w:tcW w:w="2330" w:type="pct"/>
          </w:tcPr>
          <w:p w:rsidR="00B223D8" w:rsidRPr="00C45D88" w:rsidRDefault="00B223D8" w:rsidP="00582919">
            <w:pPr>
              <w:jc w:val="both"/>
              <w:rPr>
                <w:rFonts w:eastAsia="Calibri"/>
                <w:sz w:val="20"/>
                <w:lang w:val="fr-CA"/>
              </w:rPr>
            </w:pPr>
            <w:r w:rsidRPr="00C45D88">
              <w:rPr>
                <w:rFonts w:eastAsia="Calibri"/>
                <w:sz w:val="20"/>
                <w:lang w:val="fr-CA"/>
              </w:rPr>
              <w:t>Rejet de la demande d’autorisation d’appel</w:t>
            </w:r>
          </w:p>
        </w:tc>
      </w:tr>
      <w:tr w:rsidR="00B223D8" w:rsidRPr="00560020" w:rsidTr="00582919">
        <w:tc>
          <w:tcPr>
            <w:tcW w:w="2427" w:type="pct"/>
          </w:tcPr>
          <w:p w:rsidR="00B223D8" w:rsidRPr="00C45D88" w:rsidRDefault="00B223D8" w:rsidP="00582919">
            <w:pPr>
              <w:jc w:val="both"/>
              <w:rPr>
                <w:rFonts w:eastAsia="Calibri"/>
                <w:sz w:val="20"/>
                <w:lang w:val="fr-CA"/>
              </w:rPr>
            </w:pPr>
            <w:r w:rsidRPr="00C45D88">
              <w:rPr>
                <w:rFonts w:eastAsia="Calibri"/>
                <w:sz w:val="20"/>
                <w:lang w:val="fr-CA"/>
              </w:rPr>
              <w:t>3 novembre 2014</w:t>
            </w:r>
          </w:p>
          <w:p w:rsidR="00B223D8" w:rsidRPr="00C45D88" w:rsidRDefault="00B223D8" w:rsidP="00582919">
            <w:pPr>
              <w:jc w:val="both"/>
              <w:rPr>
                <w:rFonts w:eastAsia="Calibri"/>
                <w:sz w:val="20"/>
                <w:lang w:val="fr-CA"/>
              </w:rPr>
            </w:pPr>
            <w:r w:rsidRPr="00C45D88">
              <w:rPr>
                <w:rFonts w:eastAsia="Calibri"/>
                <w:sz w:val="20"/>
                <w:lang w:val="fr-CA"/>
              </w:rPr>
              <w:t>Cour suprême du Canada</w:t>
            </w:r>
          </w:p>
        </w:tc>
        <w:tc>
          <w:tcPr>
            <w:tcW w:w="243" w:type="pct"/>
          </w:tcPr>
          <w:p w:rsidR="00B223D8" w:rsidRPr="00C45D88" w:rsidRDefault="00B223D8" w:rsidP="00582919">
            <w:pPr>
              <w:jc w:val="both"/>
              <w:rPr>
                <w:rFonts w:eastAsia="Calibri"/>
                <w:sz w:val="20"/>
                <w:lang w:val="fr-CA"/>
              </w:rPr>
            </w:pPr>
          </w:p>
        </w:tc>
        <w:tc>
          <w:tcPr>
            <w:tcW w:w="2330" w:type="pct"/>
          </w:tcPr>
          <w:p w:rsidR="00B223D8" w:rsidRPr="00C45D88" w:rsidRDefault="00B223D8" w:rsidP="00582919">
            <w:pPr>
              <w:jc w:val="both"/>
              <w:rPr>
                <w:rFonts w:eastAsia="Calibri"/>
                <w:sz w:val="20"/>
                <w:lang w:val="fr-CA"/>
              </w:rPr>
            </w:pPr>
            <w:r w:rsidRPr="00C45D88">
              <w:rPr>
                <w:rFonts w:eastAsia="Calibri"/>
                <w:sz w:val="20"/>
                <w:lang w:val="fr-CA"/>
              </w:rPr>
              <w:t>Dépôt de la demande d’autorisation d’appel</w:t>
            </w:r>
          </w:p>
        </w:tc>
      </w:tr>
    </w:tbl>
    <w:p w:rsidR="000D6E5D" w:rsidRPr="00B223D8" w:rsidRDefault="000D6E5D" w:rsidP="000D6E5D">
      <w:pPr>
        <w:rPr>
          <w:sz w:val="20"/>
          <w:szCs w:val="20"/>
          <w:lang w:val="fr-CA"/>
        </w:rPr>
      </w:pPr>
    </w:p>
    <w:p w:rsidR="000D6E5D" w:rsidRDefault="003A60BB" w:rsidP="000D6E5D">
      <w:pPr>
        <w:rPr>
          <w:sz w:val="20"/>
          <w:szCs w:val="20"/>
        </w:rPr>
      </w:pPr>
      <w:r>
        <w:rPr>
          <w:sz w:val="20"/>
          <w:szCs w:val="20"/>
          <w:lang w:val="fr-CA"/>
        </w:rPr>
        <w:pict>
          <v:rect id="_x0000_i1053" style="width:2in;height:1pt" o:hrpct="0" o:hralign="center" o:hrstd="t" o:hrnoshade="t" o:hr="t" fillcolor="black [3213]" stroked="f"/>
        </w:pict>
      </w:r>
    </w:p>
    <w:p w:rsidR="000D6E5D" w:rsidRDefault="000D6E5D" w:rsidP="000D6E5D">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72F16" w:rsidRPr="00272F16" w:rsidTr="003431AF">
        <w:trPr>
          <w:cantSplit/>
        </w:trPr>
        <w:tc>
          <w:tcPr>
            <w:tcW w:w="1458" w:type="dxa"/>
          </w:tcPr>
          <w:p w:rsidR="00272F16" w:rsidRPr="00272F16" w:rsidRDefault="00272F16" w:rsidP="00272F16">
            <w:pPr>
              <w:rPr>
                <w:sz w:val="20"/>
              </w:rPr>
            </w:pPr>
            <w:r w:rsidRPr="00272F16">
              <w:rPr>
                <w:b/>
                <w:sz w:val="20"/>
                <w:lang w:val="fr-CA"/>
              </w:rPr>
              <w:t>36161</w:t>
            </w:r>
          </w:p>
          <w:p w:rsidR="00272F16" w:rsidRPr="00272F16" w:rsidRDefault="00272F16" w:rsidP="00272F16">
            <w:pPr>
              <w:rPr>
                <w:b/>
                <w:sz w:val="20"/>
                <w:lang w:val="fr-CA"/>
              </w:rPr>
            </w:pPr>
          </w:p>
        </w:tc>
        <w:tc>
          <w:tcPr>
            <w:tcW w:w="8118" w:type="dxa"/>
          </w:tcPr>
          <w:p w:rsidR="00272F16" w:rsidRPr="00272F16" w:rsidRDefault="00272F16" w:rsidP="00272F16">
            <w:pPr>
              <w:rPr>
                <w:sz w:val="20"/>
              </w:rPr>
            </w:pPr>
            <w:r w:rsidRPr="00272F16">
              <w:rPr>
                <w:b/>
                <w:sz w:val="20"/>
                <w:u w:val="single"/>
              </w:rPr>
              <w:t>L.V.R. v. Her Majesty the Queen</w:t>
            </w:r>
            <w:r w:rsidRPr="00272F16">
              <w:rPr>
                <w:sz w:val="20"/>
              </w:rPr>
              <w:t xml:space="preserve"> (B.C.) (Criminal) (By Leave)</w:t>
            </w:r>
          </w:p>
          <w:p w:rsidR="00272F16" w:rsidRPr="00272F16" w:rsidRDefault="00272F16" w:rsidP="00272F16">
            <w:pPr>
              <w:rPr>
                <w:sz w:val="20"/>
              </w:rPr>
            </w:pPr>
          </w:p>
        </w:tc>
      </w:tr>
      <w:tr w:rsidR="00272F16" w:rsidRPr="00272F16" w:rsidTr="003431AF">
        <w:trPr>
          <w:cantSplit/>
        </w:trPr>
        <w:tc>
          <w:tcPr>
            <w:tcW w:w="1458" w:type="dxa"/>
          </w:tcPr>
          <w:p w:rsidR="00272F16" w:rsidRPr="00272F16" w:rsidRDefault="00272F16" w:rsidP="00272F16">
            <w:pPr>
              <w:rPr>
                <w:sz w:val="20"/>
              </w:rPr>
            </w:pPr>
            <w:r w:rsidRPr="00272F16">
              <w:rPr>
                <w:sz w:val="20"/>
              </w:rPr>
              <w:t>Coram :</w:t>
            </w:r>
          </w:p>
        </w:tc>
        <w:tc>
          <w:tcPr>
            <w:tcW w:w="8118" w:type="dxa"/>
          </w:tcPr>
          <w:p w:rsidR="00272F16" w:rsidRPr="00272F16" w:rsidRDefault="00272F16" w:rsidP="00272F16">
            <w:pPr>
              <w:rPr>
                <w:sz w:val="20"/>
              </w:rPr>
            </w:pPr>
            <w:r w:rsidRPr="00272F16">
              <w:rPr>
                <w:sz w:val="20"/>
                <w:u w:val="single"/>
              </w:rPr>
              <w:t>Rothstein, Cromwell and Moldaver JJ.</w:t>
            </w:r>
          </w:p>
          <w:p w:rsidR="00272F16" w:rsidRPr="00272F16" w:rsidRDefault="00272F16" w:rsidP="00272F16">
            <w:pPr>
              <w:rPr>
                <w:sz w:val="20"/>
                <w:u w:val="single"/>
              </w:rPr>
            </w:pPr>
          </w:p>
        </w:tc>
      </w:tr>
      <w:tr w:rsidR="00272F16" w:rsidRPr="00560020" w:rsidTr="003431AF">
        <w:trPr>
          <w:cantSplit/>
        </w:trPr>
        <w:tc>
          <w:tcPr>
            <w:tcW w:w="9576" w:type="dxa"/>
            <w:gridSpan w:val="2"/>
          </w:tcPr>
          <w:p w:rsidR="00272F16" w:rsidRPr="00272F16" w:rsidRDefault="00272F16" w:rsidP="00272F16">
            <w:pPr>
              <w:ind w:firstLine="720"/>
              <w:jc w:val="both"/>
              <w:rPr>
                <w:sz w:val="20"/>
              </w:rPr>
            </w:pPr>
            <w:r w:rsidRPr="00272F16">
              <w:rPr>
                <w:sz w:val="20"/>
              </w:rPr>
              <w:t>The application for leave to appeal from the judgment of the Court of Appeal for British Columbia (Vancouver), Number CA039981, 2014 BCCA 349, dated September 12, 2014, is dismissed.</w:t>
            </w:r>
          </w:p>
          <w:p w:rsidR="00272F16" w:rsidRPr="00272F16" w:rsidRDefault="00272F16" w:rsidP="00272F16">
            <w:pPr>
              <w:jc w:val="both"/>
              <w:rPr>
                <w:sz w:val="20"/>
              </w:rPr>
            </w:pPr>
          </w:p>
          <w:p w:rsidR="00272F16" w:rsidRPr="00272F16" w:rsidRDefault="00272F16" w:rsidP="00272F16">
            <w:pPr>
              <w:ind w:firstLine="720"/>
              <w:jc w:val="both"/>
              <w:rPr>
                <w:sz w:val="20"/>
                <w:lang w:val="fr-CA"/>
              </w:rPr>
            </w:pPr>
            <w:r w:rsidRPr="00272F16">
              <w:rPr>
                <w:sz w:val="20"/>
                <w:lang w:val="fr-CA"/>
              </w:rPr>
              <w:t>La demande d’autorisation d’appel de l’arrêt de la Cour d’appel de la Colombie-Britannique (Vancouver), numéro CA039981, 2014 BCCA 349, daté du 12 septembre 2014, est rejetée.</w:t>
            </w:r>
          </w:p>
        </w:tc>
      </w:tr>
    </w:tbl>
    <w:p w:rsidR="000D6E5D" w:rsidRPr="00272F16" w:rsidRDefault="000D6E5D" w:rsidP="000D6E5D">
      <w:pPr>
        <w:rPr>
          <w:sz w:val="20"/>
          <w:szCs w:val="20"/>
          <w:lang w:val="fr-CA"/>
        </w:rPr>
      </w:pPr>
    </w:p>
    <w:p w:rsidR="000D6E5D" w:rsidRPr="001B157C" w:rsidRDefault="000D6E5D" w:rsidP="000D6E5D">
      <w:pPr>
        <w:rPr>
          <w:sz w:val="20"/>
          <w:szCs w:val="20"/>
          <w:u w:val="single"/>
        </w:rPr>
      </w:pPr>
      <w:r w:rsidRPr="001B157C">
        <w:rPr>
          <w:sz w:val="20"/>
          <w:szCs w:val="20"/>
          <w:u w:val="single"/>
        </w:rPr>
        <w:t>CASE SUMMARY</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01D4E" w:rsidRPr="00C45D88" w:rsidTr="00582919">
        <w:tc>
          <w:tcPr>
            <w:tcW w:w="5000" w:type="pct"/>
            <w:gridSpan w:val="3"/>
          </w:tcPr>
          <w:p w:rsidR="00501D4E" w:rsidRPr="00C45D88" w:rsidRDefault="00501D4E" w:rsidP="00582919">
            <w:pPr>
              <w:jc w:val="both"/>
              <w:rPr>
                <w:rFonts w:eastAsia="Calibri"/>
                <w:smallCaps/>
                <w:sz w:val="20"/>
              </w:rPr>
            </w:pPr>
            <w:r w:rsidRPr="00C45D88">
              <w:rPr>
                <w:rFonts w:eastAsia="Calibri"/>
                <w:smallCaps/>
                <w:sz w:val="20"/>
              </w:rPr>
              <w:t xml:space="preserve">(Publication </w:t>
            </w:r>
            <w:r>
              <w:rPr>
                <w:rFonts w:eastAsia="Calibri"/>
                <w:smallCaps/>
                <w:sz w:val="20"/>
              </w:rPr>
              <w:t>B</w:t>
            </w:r>
            <w:r w:rsidRPr="00C45D88">
              <w:rPr>
                <w:rFonts w:eastAsia="Calibri"/>
                <w:smallCaps/>
                <w:sz w:val="20"/>
              </w:rPr>
              <w:t xml:space="preserve">an in </w:t>
            </w:r>
            <w:r>
              <w:rPr>
                <w:rFonts w:eastAsia="Calibri"/>
                <w:smallCaps/>
                <w:sz w:val="20"/>
              </w:rPr>
              <w:t>C</w:t>
            </w:r>
            <w:r w:rsidRPr="00C45D88">
              <w:rPr>
                <w:rFonts w:eastAsia="Calibri"/>
                <w:smallCaps/>
                <w:sz w:val="20"/>
              </w:rPr>
              <w:t xml:space="preserve">ase) (Publication </w:t>
            </w:r>
            <w:r>
              <w:rPr>
                <w:rFonts w:eastAsia="Calibri"/>
                <w:smallCaps/>
                <w:sz w:val="20"/>
              </w:rPr>
              <w:t>B</w:t>
            </w:r>
            <w:r w:rsidRPr="00C45D88">
              <w:rPr>
                <w:rFonts w:eastAsia="Calibri"/>
                <w:smallCaps/>
                <w:sz w:val="20"/>
              </w:rPr>
              <w:t xml:space="preserve">an on </w:t>
            </w:r>
            <w:r>
              <w:rPr>
                <w:rFonts w:eastAsia="Calibri"/>
                <w:smallCaps/>
                <w:sz w:val="20"/>
              </w:rPr>
              <w:t>P</w:t>
            </w:r>
            <w:r w:rsidRPr="00C45D88">
              <w:rPr>
                <w:rFonts w:eastAsia="Calibri"/>
                <w:smallCaps/>
                <w:sz w:val="20"/>
              </w:rPr>
              <w:t>arty)</w:t>
            </w:r>
          </w:p>
          <w:p w:rsidR="00501D4E" w:rsidRPr="00C45D88" w:rsidRDefault="00501D4E" w:rsidP="00582919">
            <w:pPr>
              <w:jc w:val="both"/>
              <w:rPr>
                <w:rFonts w:eastAsia="Calibri"/>
                <w:smallCaps/>
                <w:sz w:val="20"/>
              </w:rPr>
            </w:pPr>
          </w:p>
          <w:p w:rsidR="00501D4E" w:rsidRPr="00C45D88" w:rsidRDefault="00501D4E" w:rsidP="00582919">
            <w:pPr>
              <w:jc w:val="both"/>
              <w:rPr>
                <w:rFonts w:eastAsia="Calibri"/>
                <w:sz w:val="20"/>
              </w:rPr>
            </w:pPr>
            <w:r w:rsidRPr="00C45D88">
              <w:rPr>
                <w:rFonts w:eastAsia="Calibri"/>
                <w:sz w:val="20"/>
              </w:rPr>
              <w:t xml:space="preserve">Criminal law – Sexual Exploitation – </w:t>
            </w:r>
            <w:r w:rsidRPr="00C45D88">
              <w:rPr>
                <w:rFonts w:eastAsia="Calibri"/>
                <w:i/>
                <w:sz w:val="20"/>
              </w:rPr>
              <w:t>Mens rea</w:t>
            </w:r>
            <w:r w:rsidRPr="00C45D88">
              <w:rPr>
                <w:rFonts w:eastAsia="Calibri"/>
                <w:sz w:val="20"/>
              </w:rPr>
              <w:t xml:space="preserve"> – Defence of mistake of fact – Whether an honest but mistaken belief in the absence of a position of trust or authority or relationship of dependency must be reasonably held to amount to a defence to a charge of sexual exploitation under s. 153 of the </w:t>
            </w:r>
            <w:r w:rsidRPr="00C45D88">
              <w:rPr>
                <w:rFonts w:eastAsia="Calibri"/>
                <w:i/>
                <w:sz w:val="20"/>
              </w:rPr>
              <w:t>Criminal Code</w:t>
            </w:r>
            <w:r w:rsidRPr="00C45D88">
              <w:rPr>
                <w:rFonts w:eastAsia="Calibri"/>
                <w:sz w:val="20"/>
              </w:rPr>
              <w:t>, R.S.C. 1985, c. C-46 – Whether the trial judge erred in relying on the consistency of the complainant’s prior statement with her evidence in finding her to be a credible witness and whether in doing so he created a risk of a miscarriage of justice.</w:t>
            </w:r>
          </w:p>
        </w:tc>
      </w:tr>
      <w:tr w:rsidR="00501D4E" w:rsidRPr="00C45D88" w:rsidTr="00582919">
        <w:tc>
          <w:tcPr>
            <w:tcW w:w="5000" w:type="pct"/>
            <w:gridSpan w:val="3"/>
          </w:tcPr>
          <w:p w:rsidR="00501D4E" w:rsidRPr="00C45D88" w:rsidRDefault="00501D4E" w:rsidP="00582919">
            <w:pPr>
              <w:jc w:val="both"/>
              <w:rPr>
                <w:rFonts w:eastAsia="Calibri"/>
                <w:sz w:val="20"/>
              </w:rPr>
            </w:pPr>
          </w:p>
        </w:tc>
      </w:tr>
      <w:tr w:rsidR="00501D4E" w:rsidRPr="00C45D88" w:rsidTr="00582919">
        <w:tc>
          <w:tcPr>
            <w:tcW w:w="5000" w:type="pct"/>
            <w:gridSpan w:val="3"/>
          </w:tcPr>
          <w:p w:rsidR="00501D4E" w:rsidRPr="00C45D88" w:rsidRDefault="00501D4E" w:rsidP="00582919">
            <w:pPr>
              <w:jc w:val="both"/>
              <w:rPr>
                <w:rFonts w:eastAsia="Calibri"/>
                <w:sz w:val="20"/>
              </w:rPr>
            </w:pPr>
            <w:r w:rsidRPr="00C45D88">
              <w:rPr>
                <w:rFonts w:eastAsia="Calibri"/>
                <w:sz w:val="20"/>
              </w:rPr>
              <w:t xml:space="preserve">The applicant, L.V.R., was convicted of several sexual offences in relation to his ex-common law wife’s daughter, one of which was the offence of sexual exploitation (s. 153 </w:t>
            </w:r>
            <w:r w:rsidRPr="00C45D88">
              <w:rPr>
                <w:rFonts w:eastAsia="Calibri"/>
                <w:i/>
                <w:sz w:val="20"/>
              </w:rPr>
              <w:t>Criminal Code</w:t>
            </w:r>
            <w:r w:rsidRPr="00C45D88">
              <w:rPr>
                <w:rFonts w:eastAsia="Calibri"/>
                <w:sz w:val="20"/>
              </w:rPr>
              <w:t>).  At trial, L.V.R. testified that once the complainant turned 14 years old, his parental relationship with her had evolved into a friendship.  He asserted that he no longer believed he was in a position of authority or trust in respect of the complainant.  The trial judge rejected the applicant’s evidence, finding it “nonsensical to suggest that their relationship evolved away from a parental-type relationship” (para. 160).  On appeal, L.V.R. argued, among other things, that the trial judge failed to properly consider his defence of honest but mistaken belief. In his view, the trial judge only considered whether he was in a position of trust or authority in relation to the complainant on an objective standard, whereas a subjective belief that he was not in such a relationship, honestly held, was sufficient to establish his defence.  The Court of Appeal dismissed the appeal.</w:t>
            </w:r>
          </w:p>
          <w:p w:rsidR="00501D4E" w:rsidRPr="00C45D88" w:rsidRDefault="00501D4E" w:rsidP="00582919">
            <w:pPr>
              <w:jc w:val="both"/>
              <w:rPr>
                <w:rFonts w:eastAsia="Calibri"/>
                <w:sz w:val="20"/>
              </w:rPr>
            </w:pPr>
          </w:p>
        </w:tc>
      </w:tr>
      <w:tr w:rsidR="00501D4E" w:rsidRPr="00C45D88" w:rsidTr="00582919">
        <w:tc>
          <w:tcPr>
            <w:tcW w:w="2427" w:type="pct"/>
          </w:tcPr>
          <w:p w:rsidR="00501D4E" w:rsidRPr="00C45D88" w:rsidRDefault="00501D4E" w:rsidP="00582919">
            <w:pPr>
              <w:jc w:val="both"/>
              <w:rPr>
                <w:rFonts w:eastAsia="Calibri"/>
                <w:sz w:val="20"/>
              </w:rPr>
            </w:pPr>
            <w:r w:rsidRPr="00C45D88">
              <w:rPr>
                <w:rFonts w:eastAsia="Calibri"/>
                <w:sz w:val="20"/>
              </w:rPr>
              <w:t>July 8, 2011</w:t>
            </w:r>
          </w:p>
          <w:p w:rsidR="00501D4E" w:rsidRPr="00C45D88" w:rsidRDefault="00501D4E" w:rsidP="00582919">
            <w:pPr>
              <w:jc w:val="both"/>
              <w:rPr>
                <w:rFonts w:eastAsia="Calibri"/>
                <w:sz w:val="20"/>
              </w:rPr>
            </w:pPr>
            <w:r w:rsidRPr="00C45D88">
              <w:rPr>
                <w:rFonts w:eastAsia="Calibri"/>
                <w:sz w:val="20"/>
              </w:rPr>
              <w:t>Supreme Court of British Columbia</w:t>
            </w:r>
          </w:p>
          <w:p w:rsidR="00501D4E" w:rsidRPr="00C45D88" w:rsidRDefault="00501D4E" w:rsidP="00582919">
            <w:pPr>
              <w:jc w:val="both"/>
              <w:rPr>
                <w:rFonts w:eastAsia="Calibri"/>
                <w:sz w:val="20"/>
              </w:rPr>
            </w:pPr>
            <w:r w:rsidRPr="00C45D88">
              <w:rPr>
                <w:rFonts w:eastAsia="Calibri"/>
                <w:sz w:val="20"/>
              </w:rPr>
              <w:t>(Grauer J.)</w:t>
            </w:r>
          </w:p>
          <w:p w:rsidR="00501D4E" w:rsidRPr="00C45D88" w:rsidRDefault="003A60BB" w:rsidP="00582919">
            <w:pPr>
              <w:jc w:val="both"/>
              <w:rPr>
                <w:rFonts w:eastAsia="Calibri"/>
                <w:sz w:val="20"/>
              </w:rPr>
            </w:pPr>
            <w:hyperlink r:id="rId51" w:history="1">
              <w:r w:rsidR="00501D4E" w:rsidRPr="00C45D88">
                <w:rPr>
                  <w:rFonts w:eastAsia="Calibri"/>
                  <w:color w:val="0000FF"/>
                  <w:sz w:val="20"/>
                  <w:u w:val="single"/>
                </w:rPr>
                <w:t>2011 BCSC 1152</w:t>
              </w:r>
            </w:hyperlink>
          </w:p>
        </w:tc>
        <w:tc>
          <w:tcPr>
            <w:tcW w:w="243" w:type="pct"/>
          </w:tcPr>
          <w:p w:rsidR="00501D4E" w:rsidRPr="00C45D88" w:rsidRDefault="00501D4E" w:rsidP="00582919">
            <w:pPr>
              <w:jc w:val="both"/>
              <w:rPr>
                <w:rFonts w:eastAsia="Calibri"/>
                <w:sz w:val="20"/>
              </w:rPr>
            </w:pPr>
          </w:p>
        </w:tc>
        <w:tc>
          <w:tcPr>
            <w:tcW w:w="2330" w:type="pct"/>
          </w:tcPr>
          <w:p w:rsidR="00501D4E" w:rsidRPr="00C45D88" w:rsidRDefault="00501D4E" w:rsidP="00582919">
            <w:pPr>
              <w:jc w:val="both"/>
              <w:rPr>
                <w:rFonts w:eastAsia="Calibri"/>
                <w:sz w:val="20"/>
              </w:rPr>
            </w:pPr>
            <w:r w:rsidRPr="00C45D88">
              <w:rPr>
                <w:rFonts w:eastAsia="Calibri"/>
                <w:sz w:val="20"/>
              </w:rPr>
              <w:t xml:space="preserve">Convictions entered against applicant on counts of sexual interference (s. 151 of the </w:t>
            </w:r>
            <w:r w:rsidRPr="00C45D88">
              <w:rPr>
                <w:rFonts w:eastAsia="Calibri"/>
                <w:i/>
                <w:sz w:val="20"/>
              </w:rPr>
              <w:t>Criminal Code</w:t>
            </w:r>
            <w:r w:rsidRPr="00C45D88">
              <w:rPr>
                <w:rFonts w:eastAsia="Calibri"/>
                <w:sz w:val="20"/>
              </w:rPr>
              <w:t>), sexual exploitation (s. 153(1)(</w:t>
            </w:r>
            <w:r w:rsidRPr="00C45D88">
              <w:rPr>
                <w:rFonts w:eastAsia="Calibri"/>
                <w:i/>
                <w:sz w:val="20"/>
              </w:rPr>
              <w:t>a</w:t>
            </w:r>
            <w:r w:rsidRPr="00C45D88">
              <w:rPr>
                <w:rFonts w:eastAsia="Calibri"/>
                <w:sz w:val="20"/>
              </w:rPr>
              <w:t xml:space="preserve">) of the </w:t>
            </w:r>
            <w:r w:rsidRPr="00C45D88">
              <w:rPr>
                <w:rFonts w:eastAsia="Calibri"/>
                <w:i/>
                <w:sz w:val="20"/>
              </w:rPr>
              <w:t>Criminal Code</w:t>
            </w:r>
            <w:r w:rsidRPr="00C45D88">
              <w:rPr>
                <w:rFonts w:eastAsia="Calibri"/>
                <w:sz w:val="20"/>
              </w:rPr>
              <w:t xml:space="preserve">), uttering threats (s. 264.1(1) of the </w:t>
            </w:r>
            <w:r w:rsidRPr="00C45D88">
              <w:rPr>
                <w:rFonts w:eastAsia="Calibri"/>
                <w:i/>
                <w:sz w:val="20"/>
              </w:rPr>
              <w:t>Criminal Code</w:t>
            </w:r>
            <w:r w:rsidRPr="00C45D88">
              <w:rPr>
                <w:rFonts w:eastAsia="Calibri"/>
                <w:sz w:val="20"/>
              </w:rPr>
              <w:t xml:space="preserve">) and making child pornography (s. 163.1(2) of the </w:t>
            </w:r>
            <w:r w:rsidRPr="00C45D88">
              <w:rPr>
                <w:rFonts w:eastAsia="Calibri"/>
                <w:i/>
                <w:sz w:val="20"/>
              </w:rPr>
              <w:t>Criminal Code</w:t>
            </w:r>
            <w:r w:rsidRPr="00C45D88">
              <w:rPr>
                <w:rFonts w:eastAsia="Calibri"/>
                <w:sz w:val="20"/>
              </w:rPr>
              <w:t>)</w:t>
            </w:r>
          </w:p>
          <w:p w:rsidR="00501D4E" w:rsidRPr="00C45D88" w:rsidRDefault="00501D4E" w:rsidP="00582919">
            <w:pPr>
              <w:jc w:val="both"/>
              <w:rPr>
                <w:rFonts w:eastAsia="Calibri"/>
                <w:sz w:val="20"/>
              </w:rPr>
            </w:pPr>
          </w:p>
        </w:tc>
      </w:tr>
      <w:tr w:rsidR="00501D4E" w:rsidRPr="00C45D88" w:rsidTr="00582919">
        <w:tc>
          <w:tcPr>
            <w:tcW w:w="2427" w:type="pct"/>
          </w:tcPr>
          <w:p w:rsidR="00501D4E" w:rsidRPr="00C45D88" w:rsidRDefault="00501D4E" w:rsidP="00582919">
            <w:pPr>
              <w:jc w:val="both"/>
              <w:rPr>
                <w:rFonts w:eastAsia="Calibri"/>
                <w:sz w:val="20"/>
              </w:rPr>
            </w:pPr>
            <w:r w:rsidRPr="00C45D88">
              <w:rPr>
                <w:rFonts w:eastAsia="Calibri"/>
                <w:sz w:val="20"/>
              </w:rPr>
              <w:t>September 12, 2014</w:t>
            </w:r>
          </w:p>
          <w:p w:rsidR="00501D4E" w:rsidRPr="00C45D88" w:rsidRDefault="00501D4E" w:rsidP="00582919">
            <w:pPr>
              <w:jc w:val="both"/>
              <w:rPr>
                <w:rFonts w:eastAsia="Calibri"/>
                <w:sz w:val="20"/>
              </w:rPr>
            </w:pPr>
            <w:r w:rsidRPr="00C45D88">
              <w:rPr>
                <w:rFonts w:eastAsia="Calibri"/>
                <w:sz w:val="20"/>
              </w:rPr>
              <w:t xml:space="preserve">Court of Appeal for British Columbia </w:t>
            </w:r>
          </w:p>
          <w:p w:rsidR="00501D4E" w:rsidRPr="00C45D88" w:rsidRDefault="00501D4E" w:rsidP="00582919">
            <w:pPr>
              <w:jc w:val="both"/>
              <w:rPr>
                <w:rFonts w:eastAsia="Calibri"/>
                <w:sz w:val="20"/>
              </w:rPr>
            </w:pPr>
            <w:r w:rsidRPr="00C45D88">
              <w:rPr>
                <w:rFonts w:eastAsia="Calibri"/>
                <w:sz w:val="20"/>
              </w:rPr>
              <w:t>(Newbury, Saunders and Harris JJ.A.)</w:t>
            </w:r>
          </w:p>
          <w:p w:rsidR="00501D4E" w:rsidRPr="00C45D88" w:rsidRDefault="003A60BB" w:rsidP="00582919">
            <w:pPr>
              <w:jc w:val="both"/>
              <w:rPr>
                <w:rFonts w:eastAsia="Calibri"/>
                <w:sz w:val="20"/>
              </w:rPr>
            </w:pPr>
            <w:hyperlink r:id="rId52" w:history="1">
              <w:r w:rsidR="00501D4E" w:rsidRPr="00C45D88">
                <w:rPr>
                  <w:rFonts w:eastAsia="Calibri"/>
                  <w:color w:val="0000FF"/>
                  <w:sz w:val="20"/>
                  <w:u w:val="single"/>
                </w:rPr>
                <w:t>2014 BCCA 349</w:t>
              </w:r>
            </w:hyperlink>
          </w:p>
          <w:p w:rsidR="00501D4E" w:rsidRPr="00C45D88" w:rsidRDefault="00501D4E" w:rsidP="00582919">
            <w:pPr>
              <w:jc w:val="both"/>
              <w:rPr>
                <w:rFonts w:eastAsia="Calibri"/>
                <w:sz w:val="20"/>
              </w:rPr>
            </w:pPr>
          </w:p>
        </w:tc>
        <w:tc>
          <w:tcPr>
            <w:tcW w:w="243" w:type="pct"/>
          </w:tcPr>
          <w:p w:rsidR="00501D4E" w:rsidRPr="00C45D88" w:rsidRDefault="00501D4E" w:rsidP="00582919">
            <w:pPr>
              <w:jc w:val="both"/>
              <w:rPr>
                <w:rFonts w:eastAsia="Calibri"/>
                <w:sz w:val="20"/>
              </w:rPr>
            </w:pPr>
          </w:p>
        </w:tc>
        <w:tc>
          <w:tcPr>
            <w:tcW w:w="2330" w:type="pct"/>
          </w:tcPr>
          <w:p w:rsidR="00501D4E" w:rsidRPr="00C45D88" w:rsidRDefault="00501D4E" w:rsidP="00582919">
            <w:pPr>
              <w:jc w:val="both"/>
              <w:rPr>
                <w:rFonts w:eastAsia="Calibri"/>
                <w:sz w:val="20"/>
              </w:rPr>
            </w:pPr>
            <w:r w:rsidRPr="00C45D88">
              <w:rPr>
                <w:rFonts w:eastAsia="Calibri"/>
                <w:sz w:val="20"/>
              </w:rPr>
              <w:t>Appeal dismissed</w:t>
            </w:r>
          </w:p>
        </w:tc>
      </w:tr>
    </w:tbl>
    <w:p w:rsidR="00A15D0E" w:rsidRDefault="00A15D0E">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01D4E" w:rsidRPr="00C45D88" w:rsidTr="00582919">
        <w:tc>
          <w:tcPr>
            <w:tcW w:w="2427" w:type="pct"/>
          </w:tcPr>
          <w:p w:rsidR="00501D4E" w:rsidRPr="00C45D88" w:rsidRDefault="00501D4E" w:rsidP="00582919">
            <w:pPr>
              <w:jc w:val="both"/>
              <w:rPr>
                <w:rFonts w:eastAsia="Calibri"/>
                <w:sz w:val="20"/>
              </w:rPr>
            </w:pPr>
            <w:r w:rsidRPr="00C45D88">
              <w:rPr>
                <w:rFonts w:eastAsia="Calibri"/>
                <w:sz w:val="20"/>
              </w:rPr>
              <w:t>November 6, 2014</w:t>
            </w:r>
          </w:p>
          <w:p w:rsidR="00501D4E" w:rsidRPr="00C45D88" w:rsidRDefault="00501D4E" w:rsidP="00582919">
            <w:pPr>
              <w:jc w:val="both"/>
              <w:rPr>
                <w:rFonts w:eastAsia="Calibri"/>
                <w:sz w:val="20"/>
              </w:rPr>
            </w:pPr>
            <w:r w:rsidRPr="00C45D88">
              <w:rPr>
                <w:rFonts w:eastAsia="Calibri"/>
                <w:sz w:val="20"/>
              </w:rPr>
              <w:t>Supreme Court of Canada</w:t>
            </w:r>
          </w:p>
        </w:tc>
        <w:tc>
          <w:tcPr>
            <w:tcW w:w="243" w:type="pct"/>
          </w:tcPr>
          <w:p w:rsidR="00501D4E" w:rsidRPr="00C45D88" w:rsidRDefault="00501D4E" w:rsidP="00582919">
            <w:pPr>
              <w:jc w:val="both"/>
              <w:rPr>
                <w:rFonts w:eastAsia="Calibri"/>
                <w:sz w:val="20"/>
              </w:rPr>
            </w:pPr>
          </w:p>
        </w:tc>
        <w:tc>
          <w:tcPr>
            <w:tcW w:w="2330" w:type="pct"/>
          </w:tcPr>
          <w:p w:rsidR="00501D4E" w:rsidRPr="00C45D88" w:rsidRDefault="00501D4E" w:rsidP="00582919">
            <w:pPr>
              <w:jc w:val="both"/>
              <w:rPr>
                <w:rFonts w:eastAsia="Calibri"/>
                <w:sz w:val="20"/>
              </w:rPr>
            </w:pPr>
            <w:r w:rsidRPr="00C45D88">
              <w:rPr>
                <w:rFonts w:eastAsia="Calibri"/>
                <w:sz w:val="20"/>
              </w:rPr>
              <w:t>Application for leave to appeal filed</w:t>
            </w:r>
          </w:p>
        </w:tc>
      </w:tr>
    </w:tbl>
    <w:p w:rsidR="000D6E5D" w:rsidRDefault="000D6E5D" w:rsidP="000D6E5D">
      <w:pPr>
        <w:rPr>
          <w:sz w:val="20"/>
          <w:szCs w:val="20"/>
        </w:rPr>
      </w:pPr>
    </w:p>
    <w:p w:rsidR="000D6E5D" w:rsidRPr="00C50A5C" w:rsidRDefault="003A60BB" w:rsidP="000D6E5D">
      <w:pPr>
        <w:rPr>
          <w:sz w:val="20"/>
          <w:szCs w:val="20"/>
        </w:rPr>
      </w:pPr>
      <w:r>
        <w:rPr>
          <w:sz w:val="20"/>
          <w:szCs w:val="20"/>
          <w:lang w:val="fr-CA"/>
        </w:rPr>
        <w:pict>
          <v:rect id="_x0000_i1054" style="width:2in;height:1pt" o:hrpct="0" o:hralign="center" o:hrstd="t" o:hrnoshade="t" o:hr="t" fillcolor="black [3213]" stroked="f"/>
        </w:pict>
      </w:r>
    </w:p>
    <w:p w:rsidR="00272F16" w:rsidRDefault="00272F16">
      <w:pPr>
        <w:rPr>
          <w:sz w:val="20"/>
          <w:szCs w:val="20"/>
        </w:rPr>
      </w:pPr>
    </w:p>
    <w:p w:rsidR="000D6E5D" w:rsidRPr="001B157C" w:rsidRDefault="000D6E5D" w:rsidP="000D6E5D">
      <w:pPr>
        <w:rPr>
          <w:sz w:val="20"/>
          <w:szCs w:val="20"/>
          <w:u w:val="single"/>
          <w:lang w:val="fr-CA"/>
        </w:rPr>
      </w:pPr>
      <w:r w:rsidRPr="001B157C">
        <w:rPr>
          <w:sz w:val="20"/>
          <w:szCs w:val="20"/>
          <w:u w:val="single"/>
          <w:lang w:val="fr-CA"/>
        </w:rPr>
        <w:t>RÉSUMÉ DE L’AFFAIRE</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01D4E" w:rsidRPr="00560020" w:rsidTr="00582919">
        <w:tc>
          <w:tcPr>
            <w:tcW w:w="5000" w:type="pct"/>
            <w:gridSpan w:val="3"/>
          </w:tcPr>
          <w:p w:rsidR="00501D4E" w:rsidRPr="00C45D88" w:rsidRDefault="00501D4E" w:rsidP="00582919">
            <w:pPr>
              <w:jc w:val="both"/>
              <w:rPr>
                <w:rFonts w:eastAsia="Calibri"/>
                <w:smallCaps/>
                <w:sz w:val="20"/>
                <w:lang w:val="fr-CA"/>
              </w:rPr>
            </w:pPr>
            <w:r w:rsidRPr="00C45D88">
              <w:rPr>
                <w:rFonts w:eastAsia="Calibri"/>
                <w:smallCaps/>
                <w:sz w:val="20"/>
                <w:lang w:val="fr-CA"/>
              </w:rPr>
              <w:t>(Ordonnance de non-publication dans le dossier)</w:t>
            </w:r>
            <w:r>
              <w:rPr>
                <w:rFonts w:eastAsia="Calibri"/>
                <w:smallCaps/>
                <w:sz w:val="20"/>
                <w:lang w:val="fr-CA"/>
              </w:rPr>
              <w:t xml:space="preserve"> </w:t>
            </w:r>
            <w:r w:rsidRPr="00C45D88">
              <w:rPr>
                <w:rFonts w:eastAsia="Calibri"/>
                <w:smallCaps/>
                <w:sz w:val="20"/>
                <w:lang w:val="fr-CA"/>
              </w:rPr>
              <w:t>(Ordonnance de non-publication visant une partie)</w:t>
            </w:r>
          </w:p>
          <w:p w:rsidR="00501D4E" w:rsidRPr="00C45D88" w:rsidRDefault="00501D4E" w:rsidP="00582919">
            <w:pPr>
              <w:jc w:val="both"/>
              <w:rPr>
                <w:rFonts w:eastAsia="Calibri"/>
                <w:smallCaps/>
                <w:sz w:val="20"/>
                <w:lang w:val="fr-CA"/>
              </w:rPr>
            </w:pPr>
          </w:p>
          <w:p w:rsidR="00501D4E" w:rsidRPr="00C45D88" w:rsidRDefault="00501D4E" w:rsidP="00582919">
            <w:pPr>
              <w:jc w:val="both"/>
              <w:rPr>
                <w:rFonts w:eastAsia="Calibri"/>
                <w:sz w:val="20"/>
                <w:lang w:val="fr-CA"/>
              </w:rPr>
            </w:pPr>
            <w:r w:rsidRPr="00C45D88">
              <w:rPr>
                <w:rFonts w:eastAsia="Calibri"/>
                <w:sz w:val="20"/>
                <w:lang w:val="fr-CA"/>
              </w:rPr>
              <w:t xml:space="preserve">Droit criminel – Exploitation sexuelle – </w:t>
            </w:r>
            <w:r w:rsidRPr="00C45D88">
              <w:rPr>
                <w:rFonts w:eastAsia="Calibri"/>
                <w:i/>
                <w:sz w:val="20"/>
                <w:lang w:val="fr-CA"/>
              </w:rPr>
              <w:t>Mens rea</w:t>
            </w:r>
            <w:r w:rsidRPr="00C45D88">
              <w:rPr>
                <w:rFonts w:eastAsia="Calibri"/>
                <w:sz w:val="20"/>
                <w:lang w:val="fr-CA"/>
              </w:rPr>
              <w:t xml:space="preserve"> – Moyen de défense d’erreur de fait – Est-ce qu’une croyance sincère mais erronée, en l’absence d’une position de confiance, d’une situation d’autorité ou d’un rapport de dépendance, doit raisonnablement équivaloir à une défense à l’accusation d’exploitation sexuelle en vertu de l’art. 153 du </w:t>
            </w:r>
            <w:r w:rsidRPr="00C45D88">
              <w:rPr>
                <w:rFonts w:eastAsia="Calibri"/>
                <w:i/>
                <w:sz w:val="20"/>
                <w:lang w:val="fr-CA"/>
              </w:rPr>
              <w:t>Code criminel</w:t>
            </w:r>
            <w:r w:rsidRPr="00C45D88">
              <w:rPr>
                <w:rFonts w:eastAsia="Calibri"/>
                <w:sz w:val="20"/>
                <w:lang w:val="fr-CA"/>
              </w:rPr>
              <w:t xml:space="preserve">, L.R.C. 1985, c. C-46? – Est-ce que le juge du procès a commis une erreur en se fondant sur la cohérence de la  plaignante dans sa déclaration antérieure et sa preuve pour conclure qu’elle était un témoin crédible et si, ce faisant, le juge a créé un risque d’erreur judiciaire? </w:t>
            </w:r>
          </w:p>
        </w:tc>
      </w:tr>
      <w:tr w:rsidR="00501D4E" w:rsidRPr="00560020" w:rsidTr="00582919">
        <w:tc>
          <w:tcPr>
            <w:tcW w:w="5000" w:type="pct"/>
            <w:gridSpan w:val="3"/>
          </w:tcPr>
          <w:p w:rsidR="00501D4E" w:rsidRPr="00C45D88" w:rsidRDefault="00501D4E" w:rsidP="00582919">
            <w:pPr>
              <w:jc w:val="both"/>
              <w:rPr>
                <w:rFonts w:eastAsia="Calibri"/>
                <w:sz w:val="20"/>
                <w:lang w:val="fr-CA"/>
              </w:rPr>
            </w:pPr>
          </w:p>
        </w:tc>
      </w:tr>
      <w:tr w:rsidR="00501D4E" w:rsidRPr="00C45D88" w:rsidTr="00582919">
        <w:tc>
          <w:tcPr>
            <w:tcW w:w="5000" w:type="pct"/>
            <w:gridSpan w:val="3"/>
          </w:tcPr>
          <w:p w:rsidR="00501D4E" w:rsidRPr="00C45D88" w:rsidRDefault="00501D4E" w:rsidP="00582919">
            <w:pPr>
              <w:jc w:val="both"/>
              <w:rPr>
                <w:rFonts w:eastAsia="Calibri"/>
                <w:sz w:val="20"/>
                <w:lang w:val="fr-CA"/>
              </w:rPr>
            </w:pPr>
            <w:r w:rsidRPr="00C45D88">
              <w:rPr>
                <w:rFonts w:eastAsia="Calibri"/>
                <w:sz w:val="20"/>
                <w:lang w:val="fr-CA"/>
              </w:rPr>
              <w:t xml:space="preserve">Le demandeur, L.V.R., a été déclaré coupable de plusieurs infractions d’ordre sexuel en relation avec la fille de son ancienne conjointe de fait, notamment l’infraction d’exploitation sexuelle (art. 153 </w:t>
            </w:r>
            <w:r w:rsidRPr="00C45D88">
              <w:rPr>
                <w:rFonts w:eastAsia="Calibri"/>
                <w:i/>
                <w:sz w:val="20"/>
                <w:lang w:val="fr-CA"/>
              </w:rPr>
              <w:t>Code criminel</w:t>
            </w:r>
            <w:r w:rsidRPr="00C45D88">
              <w:rPr>
                <w:rFonts w:eastAsia="Calibri"/>
                <w:sz w:val="20"/>
                <w:lang w:val="fr-CA"/>
              </w:rPr>
              <w:t>).  Au procès, L.V.R. a témoigné qu’une fois que la plaignante a atteint l’âge de 14 ans, sa relation avec elle a changé d’un lien parental à une amitié.  Il a affirmé qu’il ne croyait plus être dans une situation d’autorité ou dans une position de confiance par rapport à la plaignante.  Le juge du procès a rejeté la preuve du demandeur, en concluant qu’il était « dénué de sens de suggérer que leur relation a évolué de façon à ne plus être une relation de type parental » (para. 160).  En appel, L.V.R. a soutenu, notamment, que le juge du procès a omis de tenir compte de façon appropriée de sa défense de croyance sincère mais erronée.  À son avis, le juge du procès a seulement examiné s’il était dans une position de confiance ou une situation d’autorité par rapport à la plaignante selon une norme objective, alors qu’une croyance subjective – et sincère – qu’il n’était pas dans une telle relation, était suffisante pour établir sa défense.  La Cour d’appel a rejeté l’appel.</w:t>
            </w:r>
          </w:p>
          <w:p w:rsidR="00501D4E" w:rsidRPr="00C45D88" w:rsidRDefault="00501D4E" w:rsidP="00582919">
            <w:pPr>
              <w:jc w:val="both"/>
              <w:rPr>
                <w:rFonts w:eastAsia="Calibri"/>
                <w:sz w:val="20"/>
                <w:lang w:val="fr-CA"/>
              </w:rPr>
            </w:pPr>
          </w:p>
        </w:tc>
      </w:tr>
      <w:tr w:rsidR="00501D4E" w:rsidRPr="00560020" w:rsidTr="00582919">
        <w:tc>
          <w:tcPr>
            <w:tcW w:w="2427" w:type="pct"/>
          </w:tcPr>
          <w:p w:rsidR="00501D4E" w:rsidRPr="00C45D88" w:rsidRDefault="00501D4E" w:rsidP="00582919">
            <w:pPr>
              <w:jc w:val="both"/>
              <w:rPr>
                <w:rFonts w:eastAsia="Calibri"/>
                <w:sz w:val="20"/>
                <w:lang w:val="fr-CA"/>
              </w:rPr>
            </w:pPr>
            <w:r w:rsidRPr="00C45D88">
              <w:rPr>
                <w:rFonts w:eastAsia="Calibri"/>
                <w:sz w:val="20"/>
                <w:lang w:val="fr-CA"/>
              </w:rPr>
              <w:t>8 juillet 2011</w:t>
            </w:r>
          </w:p>
          <w:p w:rsidR="00501D4E" w:rsidRPr="00C45D88" w:rsidRDefault="00501D4E" w:rsidP="00582919">
            <w:pPr>
              <w:jc w:val="both"/>
              <w:rPr>
                <w:rFonts w:eastAsia="Calibri"/>
                <w:sz w:val="20"/>
                <w:lang w:val="fr-CA"/>
              </w:rPr>
            </w:pPr>
            <w:r w:rsidRPr="00C45D88">
              <w:rPr>
                <w:rFonts w:eastAsia="Calibri"/>
                <w:sz w:val="20"/>
                <w:lang w:val="fr-CA"/>
              </w:rPr>
              <w:t xml:space="preserve">Cour suprême de la Colombie-Britannique </w:t>
            </w:r>
          </w:p>
          <w:p w:rsidR="00501D4E" w:rsidRPr="00C45D88" w:rsidRDefault="00501D4E" w:rsidP="00582919">
            <w:pPr>
              <w:jc w:val="both"/>
              <w:rPr>
                <w:rFonts w:eastAsia="Calibri"/>
                <w:sz w:val="20"/>
              </w:rPr>
            </w:pPr>
            <w:r w:rsidRPr="00C45D88">
              <w:rPr>
                <w:rFonts w:eastAsia="Calibri"/>
                <w:sz w:val="20"/>
              </w:rPr>
              <w:t>(Juge Grauer)</w:t>
            </w:r>
          </w:p>
          <w:p w:rsidR="00501D4E" w:rsidRPr="00C45D88" w:rsidRDefault="003A60BB" w:rsidP="00582919">
            <w:pPr>
              <w:jc w:val="both"/>
              <w:rPr>
                <w:rFonts w:eastAsia="Calibri"/>
                <w:sz w:val="20"/>
              </w:rPr>
            </w:pPr>
            <w:hyperlink r:id="rId53" w:history="1">
              <w:r w:rsidR="00501D4E" w:rsidRPr="00C45D88">
                <w:rPr>
                  <w:rFonts w:eastAsia="Calibri"/>
                  <w:color w:val="0000FF"/>
                  <w:sz w:val="20"/>
                  <w:u w:val="single"/>
                </w:rPr>
                <w:t>2011 BCSC 1152</w:t>
              </w:r>
            </w:hyperlink>
          </w:p>
        </w:tc>
        <w:tc>
          <w:tcPr>
            <w:tcW w:w="243" w:type="pct"/>
          </w:tcPr>
          <w:p w:rsidR="00501D4E" w:rsidRPr="00C45D88" w:rsidRDefault="00501D4E" w:rsidP="00582919">
            <w:pPr>
              <w:jc w:val="both"/>
              <w:rPr>
                <w:rFonts w:eastAsia="Calibri"/>
                <w:sz w:val="20"/>
              </w:rPr>
            </w:pPr>
          </w:p>
        </w:tc>
        <w:tc>
          <w:tcPr>
            <w:tcW w:w="2330" w:type="pct"/>
          </w:tcPr>
          <w:p w:rsidR="00501D4E" w:rsidRPr="00C45D88" w:rsidRDefault="00501D4E" w:rsidP="00582919">
            <w:pPr>
              <w:jc w:val="both"/>
              <w:rPr>
                <w:rFonts w:eastAsia="Calibri"/>
                <w:sz w:val="20"/>
                <w:lang w:val="fr-CA"/>
              </w:rPr>
            </w:pPr>
            <w:r w:rsidRPr="00C45D88">
              <w:rPr>
                <w:rFonts w:eastAsia="Calibri"/>
                <w:sz w:val="20"/>
                <w:lang w:val="fr-CA"/>
              </w:rPr>
              <w:t xml:space="preserve">Déclarations de culpabilité relativement aux chefs d’accusation de contacts sexuels (art. 151 du </w:t>
            </w:r>
            <w:r w:rsidRPr="00C45D88">
              <w:rPr>
                <w:rFonts w:eastAsia="Calibri"/>
                <w:i/>
                <w:sz w:val="20"/>
                <w:lang w:val="fr-CA"/>
              </w:rPr>
              <w:t>Code criminel</w:t>
            </w:r>
            <w:r w:rsidRPr="00C45D88">
              <w:rPr>
                <w:rFonts w:eastAsia="Calibri"/>
                <w:sz w:val="20"/>
                <w:lang w:val="fr-CA"/>
              </w:rPr>
              <w:t>), exploitation sexuelle (art. 153(1)</w:t>
            </w:r>
            <w:r w:rsidRPr="00C45D88">
              <w:rPr>
                <w:rFonts w:eastAsia="Calibri"/>
                <w:i/>
                <w:sz w:val="20"/>
                <w:lang w:val="fr-CA"/>
              </w:rPr>
              <w:t>a</w:t>
            </w:r>
            <w:r w:rsidRPr="00C45D88">
              <w:rPr>
                <w:rFonts w:eastAsia="Calibri"/>
                <w:sz w:val="20"/>
                <w:lang w:val="fr-CA"/>
              </w:rPr>
              <w:t xml:space="preserve">) du </w:t>
            </w:r>
            <w:r w:rsidRPr="00C45D88">
              <w:rPr>
                <w:rFonts w:eastAsia="Calibri"/>
                <w:i/>
                <w:sz w:val="20"/>
                <w:lang w:val="fr-CA"/>
              </w:rPr>
              <w:t xml:space="preserve">Code criminel) </w:t>
            </w:r>
            <w:r w:rsidRPr="00C45D88">
              <w:rPr>
                <w:rFonts w:eastAsia="Calibri"/>
                <w:sz w:val="20"/>
                <w:lang w:val="fr-CA"/>
              </w:rPr>
              <w:t xml:space="preserve">avoir proféré des menaces (art. 264.1(1) du </w:t>
            </w:r>
            <w:r w:rsidRPr="00C45D88">
              <w:rPr>
                <w:rFonts w:eastAsia="Calibri"/>
                <w:i/>
                <w:sz w:val="20"/>
                <w:lang w:val="fr-CA"/>
              </w:rPr>
              <w:t>Code criminel</w:t>
            </w:r>
            <w:r w:rsidRPr="00C45D88">
              <w:rPr>
                <w:rFonts w:eastAsia="Calibri"/>
                <w:sz w:val="20"/>
                <w:lang w:val="fr-CA"/>
              </w:rPr>
              <w:t xml:space="preserve">) et production de pornographie juvénile (art. 163.1(2) du </w:t>
            </w:r>
            <w:r w:rsidRPr="00C45D88">
              <w:rPr>
                <w:rFonts w:eastAsia="Calibri"/>
                <w:i/>
                <w:sz w:val="20"/>
                <w:lang w:val="fr-CA"/>
              </w:rPr>
              <w:t>Code criminel Code</w:t>
            </w:r>
            <w:r w:rsidRPr="00C45D88">
              <w:rPr>
                <w:rFonts w:eastAsia="Calibri"/>
                <w:sz w:val="20"/>
                <w:lang w:val="fr-CA"/>
              </w:rPr>
              <w:t>) prononcées contre le demandeur</w:t>
            </w:r>
          </w:p>
          <w:p w:rsidR="00501D4E" w:rsidRPr="00C45D88" w:rsidRDefault="00501D4E" w:rsidP="00582919">
            <w:pPr>
              <w:jc w:val="both"/>
              <w:rPr>
                <w:rFonts w:eastAsia="Calibri"/>
                <w:sz w:val="20"/>
                <w:lang w:val="fr-CA"/>
              </w:rPr>
            </w:pPr>
          </w:p>
        </w:tc>
      </w:tr>
      <w:tr w:rsidR="00501D4E" w:rsidRPr="00C45D88" w:rsidTr="00582919">
        <w:tc>
          <w:tcPr>
            <w:tcW w:w="2427" w:type="pct"/>
          </w:tcPr>
          <w:p w:rsidR="00501D4E" w:rsidRPr="00C45D88" w:rsidRDefault="00501D4E" w:rsidP="00582919">
            <w:pPr>
              <w:jc w:val="both"/>
              <w:rPr>
                <w:rFonts w:eastAsia="Calibri"/>
                <w:sz w:val="20"/>
                <w:lang w:val="fr-CA"/>
              </w:rPr>
            </w:pPr>
            <w:r w:rsidRPr="00C45D88">
              <w:rPr>
                <w:rFonts w:eastAsia="Calibri"/>
                <w:sz w:val="20"/>
                <w:lang w:val="fr-CA"/>
              </w:rPr>
              <w:t>12 septembre 2014</w:t>
            </w:r>
          </w:p>
          <w:p w:rsidR="00501D4E" w:rsidRPr="00C45D88" w:rsidRDefault="00501D4E" w:rsidP="00582919">
            <w:pPr>
              <w:jc w:val="both"/>
              <w:rPr>
                <w:rFonts w:eastAsia="Calibri"/>
                <w:sz w:val="20"/>
                <w:lang w:val="fr-CA"/>
              </w:rPr>
            </w:pPr>
            <w:r w:rsidRPr="00C45D88">
              <w:rPr>
                <w:rFonts w:eastAsia="Calibri"/>
                <w:sz w:val="20"/>
                <w:lang w:val="fr-CA"/>
              </w:rPr>
              <w:t xml:space="preserve">Cour d’appel de la Colombie-Britannique  </w:t>
            </w:r>
          </w:p>
          <w:p w:rsidR="00501D4E" w:rsidRPr="00C45D88" w:rsidRDefault="00501D4E" w:rsidP="00582919">
            <w:pPr>
              <w:jc w:val="both"/>
              <w:rPr>
                <w:rFonts w:eastAsia="Calibri"/>
                <w:sz w:val="20"/>
                <w:lang w:val="fr-CA"/>
              </w:rPr>
            </w:pPr>
            <w:r w:rsidRPr="00C45D88">
              <w:rPr>
                <w:rFonts w:eastAsia="Calibri"/>
                <w:sz w:val="20"/>
                <w:lang w:val="fr-CA"/>
              </w:rPr>
              <w:t>(Juges Newbury, Saunders et Harris)</w:t>
            </w:r>
          </w:p>
          <w:p w:rsidR="00501D4E" w:rsidRPr="00C45D88" w:rsidRDefault="003A60BB" w:rsidP="00582919">
            <w:pPr>
              <w:jc w:val="both"/>
              <w:rPr>
                <w:rFonts w:eastAsia="Calibri"/>
                <w:sz w:val="20"/>
              </w:rPr>
            </w:pPr>
            <w:hyperlink r:id="rId54" w:history="1">
              <w:r w:rsidR="00501D4E" w:rsidRPr="00C45D88">
                <w:rPr>
                  <w:rFonts w:eastAsia="Calibri"/>
                  <w:color w:val="0000FF"/>
                  <w:sz w:val="20"/>
                  <w:u w:val="single"/>
                </w:rPr>
                <w:t>2014 BCCA 349</w:t>
              </w:r>
            </w:hyperlink>
          </w:p>
          <w:p w:rsidR="00501D4E" w:rsidRPr="00C45D88" w:rsidRDefault="00501D4E" w:rsidP="00582919">
            <w:pPr>
              <w:jc w:val="both"/>
              <w:rPr>
                <w:rFonts w:eastAsia="Calibri"/>
                <w:sz w:val="20"/>
              </w:rPr>
            </w:pPr>
          </w:p>
        </w:tc>
        <w:tc>
          <w:tcPr>
            <w:tcW w:w="243" w:type="pct"/>
          </w:tcPr>
          <w:p w:rsidR="00501D4E" w:rsidRPr="00C45D88" w:rsidRDefault="00501D4E" w:rsidP="00582919">
            <w:pPr>
              <w:jc w:val="both"/>
              <w:rPr>
                <w:rFonts w:eastAsia="Calibri"/>
                <w:sz w:val="20"/>
              </w:rPr>
            </w:pPr>
          </w:p>
        </w:tc>
        <w:tc>
          <w:tcPr>
            <w:tcW w:w="2330" w:type="pct"/>
          </w:tcPr>
          <w:p w:rsidR="00501D4E" w:rsidRPr="00C45D88" w:rsidRDefault="00501D4E" w:rsidP="00582919">
            <w:pPr>
              <w:jc w:val="both"/>
              <w:rPr>
                <w:rFonts w:eastAsia="Calibri"/>
                <w:sz w:val="20"/>
              </w:rPr>
            </w:pPr>
            <w:r w:rsidRPr="00C45D88">
              <w:rPr>
                <w:rFonts w:eastAsia="Calibri"/>
                <w:sz w:val="20"/>
              </w:rPr>
              <w:t>Appel rejeté</w:t>
            </w:r>
          </w:p>
        </w:tc>
      </w:tr>
      <w:tr w:rsidR="00501D4E" w:rsidRPr="00C45D88" w:rsidTr="00582919">
        <w:tc>
          <w:tcPr>
            <w:tcW w:w="2427" w:type="pct"/>
          </w:tcPr>
          <w:p w:rsidR="00501D4E" w:rsidRPr="00C45D88" w:rsidRDefault="00501D4E" w:rsidP="00582919">
            <w:pPr>
              <w:jc w:val="both"/>
              <w:rPr>
                <w:rFonts w:eastAsia="Calibri"/>
                <w:sz w:val="20"/>
                <w:lang w:val="fr-CA"/>
              </w:rPr>
            </w:pPr>
            <w:r w:rsidRPr="00C45D88">
              <w:rPr>
                <w:rFonts w:eastAsia="Calibri"/>
                <w:sz w:val="20"/>
                <w:lang w:val="fr-CA"/>
              </w:rPr>
              <w:t>6 novembre 2014</w:t>
            </w:r>
          </w:p>
          <w:p w:rsidR="00501D4E" w:rsidRPr="00C45D88" w:rsidRDefault="00501D4E" w:rsidP="00582919">
            <w:pPr>
              <w:jc w:val="both"/>
              <w:rPr>
                <w:rFonts w:eastAsia="Calibri"/>
                <w:sz w:val="20"/>
                <w:lang w:val="fr-CA"/>
              </w:rPr>
            </w:pPr>
            <w:r w:rsidRPr="00C45D88">
              <w:rPr>
                <w:rFonts w:eastAsia="Calibri"/>
                <w:sz w:val="20"/>
                <w:lang w:val="fr-CA"/>
              </w:rPr>
              <w:t>Cour suprême du Canada</w:t>
            </w:r>
          </w:p>
        </w:tc>
        <w:tc>
          <w:tcPr>
            <w:tcW w:w="243" w:type="pct"/>
          </w:tcPr>
          <w:p w:rsidR="00501D4E" w:rsidRPr="00C45D88" w:rsidRDefault="00501D4E" w:rsidP="00582919">
            <w:pPr>
              <w:jc w:val="both"/>
              <w:rPr>
                <w:rFonts w:eastAsia="Calibri"/>
                <w:sz w:val="20"/>
                <w:lang w:val="fr-CA"/>
              </w:rPr>
            </w:pPr>
          </w:p>
        </w:tc>
        <w:tc>
          <w:tcPr>
            <w:tcW w:w="2330" w:type="pct"/>
          </w:tcPr>
          <w:p w:rsidR="00501D4E" w:rsidRPr="00C45D88" w:rsidRDefault="00501D4E" w:rsidP="00582919">
            <w:pPr>
              <w:jc w:val="both"/>
              <w:rPr>
                <w:rFonts w:eastAsia="Calibri"/>
                <w:sz w:val="20"/>
              </w:rPr>
            </w:pPr>
            <w:r w:rsidRPr="00C45D88">
              <w:rPr>
                <w:rFonts w:eastAsia="Calibri"/>
                <w:sz w:val="20"/>
                <w:lang w:val="fr-CA"/>
              </w:rPr>
              <w:t xml:space="preserve">Demande d’autorisation d’appel déposée </w:t>
            </w:r>
          </w:p>
        </w:tc>
      </w:tr>
    </w:tbl>
    <w:p w:rsidR="000D6E5D" w:rsidRDefault="000D6E5D" w:rsidP="000D6E5D">
      <w:pPr>
        <w:rPr>
          <w:sz w:val="20"/>
          <w:szCs w:val="20"/>
        </w:rPr>
      </w:pPr>
    </w:p>
    <w:p w:rsidR="000D6E5D" w:rsidRDefault="003A60BB" w:rsidP="000D6E5D">
      <w:pPr>
        <w:rPr>
          <w:sz w:val="20"/>
          <w:szCs w:val="20"/>
        </w:rPr>
      </w:pPr>
      <w:r>
        <w:rPr>
          <w:sz w:val="20"/>
          <w:szCs w:val="20"/>
          <w:lang w:val="fr-CA"/>
        </w:rPr>
        <w:pict>
          <v:rect id="_x0000_i1055" style="width:2in;height:1pt" o:hrpct="0" o:hralign="center" o:hrstd="t" o:hrnoshade="t" o:hr="t" fillcolor="black [3213]" stroked="f"/>
        </w:pict>
      </w:r>
    </w:p>
    <w:p w:rsidR="00A15D0E" w:rsidRDefault="00A15D0E">
      <w:pPr>
        <w:rPr>
          <w:sz w:val="20"/>
          <w:szCs w:val="20"/>
        </w:rPr>
      </w:pPr>
      <w:r>
        <w:rPr>
          <w:sz w:val="20"/>
          <w:szCs w:val="20"/>
        </w:rPr>
        <w:br w:type="page"/>
      </w: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72F16" w:rsidRPr="00272F16" w:rsidTr="003431AF">
        <w:trPr>
          <w:cantSplit/>
        </w:trPr>
        <w:tc>
          <w:tcPr>
            <w:tcW w:w="1458" w:type="dxa"/>
          </w:tcPr>
          <w:p w:rsidR="00272F16" w:rsidRPr="00272F16" w:rsidRDefault="00272F16" w:rsidP="00272F16">
            <w:pPr>
              <w:rPr>
                <w:sz w:val="20"/>
              </w:rPr>
            </w:pPr>
            <w:r w:rsidRPr="00272F16">
              <w:rPr>
                <w:b/>
                <w:sz w:val="20"/>
                <w:lang w:val="fr-CA"/>
              </w:rPr>
              <w:t>36164</w:t>
            </w:r>
          </w:p>
          <w:p w:rsidR="00272F16" w:rsidRPr="00272F16" w:rsidRDefault="00272F16" w:rsidP="00272F16">
            <w:pPr>
              <w:rPr>
                <w:b/>
                <w:sz w:val="20"/>
                <w:lang w:val="fr-CA"/>
              </w:rPr>
            </w:pPr>
          </w:p>
        </w:tc>
        <w:tc>
          <w:tcPr>
            <w:tcW w:w="8118" w:type="dxa"/>
          </w:tcPr>
          <w:p w:rsidR="00272F16" w:rsidRPr="00272F16" w:rsidRDefault="00272F16" w:rsidP="00272F16">
            <w:pPr>
              <w:rPr>
                <w:sz w:val="20"/>
              </w:rPr>
            </w:pPr>
            <w:r w:rsidRPr="00272F16">
              <w:rPr>
                <w:b/>
                <w:sz w:val="20"/>
                <w:u w:val="single"/>
              </w:rPr>
              <w:t>Her Majesty the Queen v. Rodney J. Gillis</w:t>
            </w:r>
            <w:r w:rsidRPr="00272F16">
              <w:rPr>
                <w:sz w:val="20"/>
              </w:rPr>
              <w:t xml:space="preserve"> (N.B.) (Criminal) (By Leave)</w:t>
            </w:r>
          </w:p>
          <w:p w:rsidR="00272F16" w:rsidRPr="00272F16" w:rsidRDefault="00272F16" w:rsidP="00272F16">
            <w:pPr>
              <w:rPr>
                <w:sz w:val="20"/>
              </w:rPr>
            </w:pPr>
          </w:p>
        </w:tc>
      </w:tr>
      <w:tr w:rsidR="00272F16" w:rsidRPr="00272F16" w:rsidTr="003431AF">
        <w:trPr>
          <w:cantSplit/>
        </w:trPr>
        <w:tc>
          <w:tcPr>
            <w:tcW w:w="1458" w:type="dxa"/>
          </w:tcPr>
          <w:p w:rsidR="00272F16" w:rsidRPr="00272F16" w:rsidRDefault="00272F16" w:rsidP="00272F16">
            <w:pPr>
              <w:rPr>
                <w:sz w:val="20"/>
              </w:rPr>
            </w:pPr>
            <w:r w:rsidRPr="00272F16">
              <w:rPr>
                <w:sz w:val="20"/>
              </w:rPr>
              <w:t>Coram :</w:t>
            </w:r>
          </w:p>
        </w:tc>
        <w:tc>
          <w:tcPr>
            <w:tcW w:w="8118" w:type="dxa"/>
          </w:tcPr>
          <w:p w:rsidR="00272F16" w:rsidRPr="00272F16" w:rsidRDefault="00272F16" w:rsidP="00272F16">
            <w:pPr>
              <w:rPr>
                <w:sz w:val="20"/>
              </w:rPr>
            </w:pPr>
            <w:r w:rsidRPr="00272F16">
              <w:rPr>
                <w:sz w:val="20"/>
                <w:u w:val="single"/>
              </w:rPr>
              <w:t>Rothstein, Cromwell and Moldaver JJ.</w:t>
            </w:r>
          </w:p>
          <w:p w:rsidR="00272F16" w:rsidRPr="00272F16" w:rsidRDefault="00272F16" w:rsidP="00272F16">
            <w:pPr>
              <w:rPr>
                <w:sz w:val="20"/>
                <w:u w:val="single"/>
              </w:rPr>
            </w:pPr>
          </w:p>
        </w:tc>
      </w:tr>
      <w:tr w:rsidR="00272F16" w:rsidRPr="00560020" w:rsidTr="003431AF">
        <w:trPr>
          <w:cantSplit/>
        </w:trPr>
        <w:tc>
          <w:tcPr>
            <w:tcW w:w="9576" w:type="dxa"/>
            <w:gridSpan w:val="2"/>
          </w:tcPr>
          <w:p w:rsidR="00272F16" w:rsidRPr="00272F16" w:rsidRDefault="00272F16" w:rsidP="00272F16">
            <w:pPr>
              <w:ind w:firstLine="720"/>
              <w:jc w:val="both"/>
              <w:rPr>
                <w:sz w:val="20"/>
              </w:rPr>
            </w:pPr>
            <w:r w:rsidRPr="00272F16">
              <w:rPr>
                <w:sz w:val="20"/>
              </w:rPr>
              <w:t>The application for leave to appeal from the judgment of the Court of Appeal of New Brunswick, Number 70-13-CA, 2014 NBCA 58, dated September 9, 2014, is dismissed.</w:t>
            </w:r>
          </w:p>
          <w:p w:rsidR="00272F16" w:rsidRPr="00272F16" w:rsidRDefault="00272F16" w:rsidP="00272F16">
            <w:pPr>
              <w:jc w:val="both"/>
              <w:rPr>
                <w:sz w:val="20"/>
              </w:rPr>
            </w:pPr>
          </w:p>
          <w:p w:rsidR="00272F16" w:rsidRPr="00272F16" w:rsidRDefault="00272F16" w:rsidP="00272F16">
            <w:pPr>
              <w:ind w:firstLine="720"/>
              <w:jc w:val="both"/>
              <w:rPr>
                <w:sz w:val="20"/>
                <w:lang w:val="fr-CA"/>
              </w:rPr>
            </w:pPr>
            <w:r w:rsidRPr="00272F16">
              <w:rPr>
                <w:sz w:val="20"/>
                <w:lang w:val="fr-CA"/>
              </w:rPr>
              <w:t>La demande d’autorisation d’appel de l’arrêt de la Cour d’appel du Nouveau-Brunswick, numéro 70-13-CA, 2014 NBCA 58, daté du 9 septembre 2014, est rejetée.</w:t>
            </w:r>
          </w:p>
        </w:tc>
      </w:tr>
    </w:tbl>
    <w:p w:rsidR="000D6E5D" w:rsidRPr="00272F16" w:rsidRDefault="000D6E5D" w:rsidP="000D6E5D">
      <w:pPr>
        <w:rPr>
          <w:sz w:val="20"/>
          <w:szCs w:val="20"/>
          <w:lang w:val="fr-CA"/>
        </w:rPr>
      </w:pPr>
    </w:p>
    <w:p w:rsidR="000D6E5D" w:rsidRPr="001B157C" w:rsidRDefault="000D6E5D" w:rsidP="000D6E5D">
      <w:pPr>
        <w:rPr>
          <w:sz w:val="20"/>
          <w:szCs w:val="20"/>
          <w:u w:val="single"/>
        </w:rPr>
      </w:pPr>
      <w:r w:rsidRPr="001B157C">
        <w:rPr>
          <w:sz w:val="20"/>
          <w:szCs w:val="20"/>
          <w:u w:val="single"/>
        </w:rPr>
        <w:t>CASE SUMMARY</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01D4E" w:rsidRPr="00C45D88" w:rsidTr="00582919">
        <w:tc>
          <w:tcPr>
            <w:tcW w:w="5000" w:type="pct"/>
            <w:gridSpan w:val="3"/>
          </w:tcPr>
          <w:p w:rsidR="00501D4E" w:rsidRPr="00C45D88" w:rsidRDefault="00501D4E" w:rsidP="00582919">
            <w:pPr>
              <w:jc w:val="both"/>
              <w:rPr>
                <w:rFonts w:eastAsia="Calibri"/>
                <w:sz w:val="20"/>
              </w:rPr>
            </w:pPr>
            <w:r w:rsidRPr="00C45D88">
              <w:rPr>
                <w:rFonts w:eastAsia="Calibri"/>
                <w:sz w:val="20"/>
              </w:rPr>
              <w:t xml:space="preserve">Criminal Law – Appeal – Evidence – Whether Court of Appeal gave sufficient deference to trial judge’s factual and credibility findings – Whether Court of Appeal erred in finding factual and credibility findings displayed palpable and overriding errors and misapprehensions of evidence – Whether rule in </w:t>
            </w:r>
            <w:r w:rsidRPr="00C45D88">
              <w:rPr>
                <w:rFonts w:eastAsia="Calibri"/>
                <w:i/>
                <w:sz w:val="20"/>
              </w:rPr>
              <w:t>Browne v. Dunn</w:t>
            </w:r>
            <w:r w:rsidRPr="00C45D88">
              <w:rPr>
                <w:rFonts w:eastAsia="Calibri"/>
                <w:sz w:val="20"/>
              </w:rPr>
              <w:t xml:space="preserve"> (1893), 6 R. 67, extends to questions put to an accused by trial judge and requires trial judge to ignore inconsistencies in evidence not put to witness – Whether Court of Appeal erred in its handling of the trial judge’s findings and use of ethical violations by accused?</w:t>
            </w:r>
          </w:p>
        </w:tc>
      </w:tr>
      <w:tr w:rsidR="00501D4E" w:rsidRPr="00C45D88" w:rsidTr="00582919">
        <w:tc>
          <w:tcPr>
            <w:tcW w:w="5000" w:type="pct"/>
            <w:gridSpan w:val="3"/>
          </w:tcPr>
          <w:p w:rsidR="00501D4E" w:rsidRPr="00C45D88" w:rsidRDefault="00501D4E" w:rsidP="00582919">
            <w:pPr>
              <w:jc w:val="both"/>
              <w:rPr>
                <w:rFonts w:eastAsia="Calibri"/>
                <w:sz w:val="20"/>
              </w:rPr>
            </w:pPr>
          </w:p>
        </w:tc>
      </w:tr>
      <w:tr w:rsidR="00501D4E" w:rsidRPr="00C45D88" w:rsidTr="00582919">
        <w:tc>
          <w:tcPr>
            <w:tcW w:w="5000" w:type="pct"/>
            <w:gridSpan w:val="3"/>
          </w:tcPr>
          <w:p w:rsidR="00501D4E" w:rsidRPr="00C45D88" w:rsidRDefault="00501D4E" w:rsidP="00582919">
            <w:pPr>
              <w:jc w:val="both"/>
              <w:rPr>
                <w:rFonts w:eastAsia="Calibri"/>
                <w:sz w:val="20"/>
              </w:rPr>
            </w:pPr>
            <w:r w:rsidRPr="00C45D88">
              <w:rPr>
                <w:rFonts w:eastAsia="Calibri"/>
                <w:sz w:val="20"/>
              </w:rPr>
              <w:t>Rodney Gillis, an experienced litigation lawyer, was representing a client in criminal proceedings based on alleged misconduct in the course of the client’s former employment.  The client and the employer also were the parties in two civil actions.  During a break in the preliminary inquiry in the criminal proceedings, Mr. Gillis presented an offer to settle all three actions to Mr. Landry, the employer’s general manager.  Mr. Gillis handed Mr. Landry a scrap piece of paper with a written summary of the offer, including the words: “Criminal – Offer No Evidence”.  Based on that conversation and the written offer, Mr. Gillis was charged with attempting to obstruct, pervert or defeat the course of justice in a judicial proceeding by attempting to dissuade a person by threats, bribes or other corrupt means from giving evidence. The Crown alleges that Mr. Gillis proposed that Mr. Landry should take steps to ensure that witnesses failed to attend or testify at the criminal trial.  Mr. Landry testified that Mr. Gillis said: “They’re your witnesses, make sure they don’t testify and the Crown won’t have a case.”  Mr. Gillis denied making such a statement. He and his law partner testified that the phrase “Criminal – Offer No Evidence” reflected intent to ask Crown counsel to offer no evidence at the opening of the criminal trial.</w:t>
            </w:r>
          </w:p>
          <w:p w:rsidR="00501D4E" w:rsidRPr="00C45D88" w:rsidRDefault="00501D4E" w:rsidP="00582919">
            <w:pPr>
              <w:jc w:val="both"/>
              <w:rPr>
                <w:rFonts w:eastAsia="Calibri"/>
                <w:sz w:val="20"/>
              </w:rPr>
            </w:pPr>
          </w:p>
        </w:tc>
      </w:tr>
      <w:tr w:rsidR="00501D4E" w:rsidRPr="00C45D88" w:rsidTr="00582919">
        <w:tc>
          <w:tcPr>
            <w:tcW w:w="2427" w:type="pct"/>
          </w:tcPr>
          <w:p w:rsidR="00501D4E" w:rsidRPr="00C45D88" w:rsidRDefault="00501D4E" w:rsidP="00582919">
            <w:pPr>
              <w:jc w:val="both"/>
              <w:rPr>
                <w:rFonts w:eastAsia="Calibri"/>
                <w:sz w:val="20"/>
              </w:rPr>
            </w:pPr>
            <w:r w:rsidRPr="00C45D88">
              <w:rPr>
                <w:rFonts w:eastAsia="Calibri"/>
                <w:sz w:val="20"/>
              </w:rPr>
              <w:t>January 31, 2013</w:t>
            </w:r>
          </w:p>
          <w:p w:rsidR="00501D4E" w:rsidRPr="00C45D88" w:rsidRDefault="00501D4E" w:rsidP="00582919">
            <w:pPr>
              <w:jc w:val="both"/>
              <w:rPr>
                <w:rFonts w:eastAsia="Calibri"/>
                <w:sz w:val="20"/>
              </w:rPr>
            </w:pPr>
            <w:r w:rsidRPr="00C45D88">
              <w:rPr>
                <w:rFonts w:eastAsia="Calibri"/>
                <w:sz w:val="20"/>
              </w:rPr>
              <w:t>Provincial Court of New Brunswick</w:t>
            </w:r>
          </w:p>
          <w:p w:rsidR="00501D4E" w:rsidRPr="00C45D88" w:rsidRDefault="00501D4E" w:rsidP="00582919">
            <w:pPr>
              <w:jc w:val="both"/>
              <w:rPr>
                <w:rFonts w:eastAsia="Calibri"/>
                <w:sz w:val="20"/>
              </w:rPr>
            </w:pPr>
            <w:r w:rsidRPr="00C45D88">
              <w:rPr>
                <w:rFonts w:eastAsia="Calibri"/>
                <w:sz w:val="20"/>
              </w:rPr>
              <w:t>(Lampert J.)</w:t>
            </w:r>
          </w:p>
          <w:p w:rsidR="00501D4E" w:rsidRPr="00C45D88" w:rsidRDefault="003A60BB" w:rsidP="00582919">
            <w:pPr>
              <w:jc w:val="both"/>
              <w:rPr>
                <w:rFonts w:eastAsia="Calibri"/>
                <w:sz w:val="20"/>
              </w:rPr>
            </w:pPr>
            <w:hyperlink r:id="rId55" w:history="1">
              <w:r w:rsidR="00501D4E" w:rsidRPr="00C45D88">
                <w:rPr>
                  <w:rFonts w:eastAsia="Calibri"/>
                  <w:color w:val="0000FF"/>
                  <w:sz w:val="20"/>
                  <w:u w:val="single"/>
                </w:rPr>
                <w:t>2013 NBPC 3</w:t>
              </w:r>
            </w:hyperlink>
          </w:p>
          <w:p w:rsidR="00501D4E" w:rsidRPr="00C45D88" w:rsidRDefault="00501D4E" w:rsidP="00582919">
            <w:pPr>
              <w:jc w:val="both"/>
              <w:rPr>
                <w:rFonts w:eastAsia="Calibri"/>
                <w:sz w:val="20"/>
              </w:rPr>
            </w:pPr>
          </w:p>
        </w:tc>
        <w:tc>
          <w:tcPr>
            <w:tcW w:w="243" w:type="pct"/>
          </w:tcPr>
          <w:p w:rsidR="00501D4E" w:rsidRPr="00C45D88" w:rsidRDefault="00501D4E" w:rsidP="00582919">
            <w:pPr>
              <w:jc w:val="both"/>
              <w:rPr>
                <w:rFonts w:eastAsia="Calibri"/>
                <w:sz w:val="20"/>
              </w:rPr>
            </w:pPr>
          </w:p>
        </w:tc>
        <w:tc>
          <w:tcPr>
            <w:tcW w:w="2330" w:type="pct"/>
          </w:tcPr>
          <w:p w:rsidR="00501D4E" w:rsidRPr="00C45D88" w:rsidRDefault="00501D4E" w:rsidP="00582919">
            <w:pPr>
              <w:jc w:val="both"/>
              <w:rPr>
                <w:rFonts w:eastAsia="Calibri"/>
                <w:sz w:val="20"/>
              </w:rPr>
            </w:pPr>
            <w:r w:rsidRPr="00C45D88">
              <w:rPr>
                <w:rFonts w:eastAsia="Calibri"/>
                <w:sz w:val="20"/>
              </w:rPr>
              <w:t xml:space="preserve">Conviction:  Attempting to obstruct, pervert or defeat the course of justice in a judicial proceeding </w:t>
            </w:r>
          </w:p>
        </w:tc>
      </w:tr>
      <w:tr w:rsidR="00501D4E" w:rsidRPr="00C45D88" w:rsidTr="00582919">
        <w:tc>
          <w:tcPr>
            <w:tcW w:w="2427" w:type="pct"/>
          </w:tcPr>
          <w:p w:rsidR="00501D4E" w:rsidRPr="00C45D88" w:rsidRDefault="00501D4E" w:rsidP="00582919">
            <w:pPr>
              <w:jc w:val="both"/>
              <w:rPr>
                <w:rFonts w:eastAsia="Calibri"/>
                <w:sz w:val="20"/>
              </w:rPr>
            </w:pPr>
            <w:r w:rsidRPr="00C45D88">
              <w:rPr>
                <w:rFonts w:eastAsia="Calibri"/>
                <w:sz w:val="20"/>
              </w:rPr>
              <w:t>September 9, 2014</w:t>
            </w:r>
          </w:p>
          <w:p w:rsidR="00501D4E" w:rsidRPr="00C45D88" w:rsidRDefault="00501D4E" w:rsidP="00582919">
            <w:pPr>
              <w:jc w:val="both"/>
              <w:rPr>
                <w:rFonts w:eastAsia="Calibri"/>
                <w:sz w:val="20"/>
              </w:rPr>
            </w:pPr>
            <w:r w:rsidRPr="00C45D88">
              <w:rPr>
                <w:rFonts w:eastAsia="Calibri"/>
                <w:sz w:val="20"/>
              </w:rPr>
              <w:t>Court of Appeal of New Brunswick</w:t>
            </w:r>
          </w:p>
          <w:p w:rsidR="00501D4E" w:rsidRPr="00C45D88" w:rsidRDefault="00501D4E" w:rsidP="00582919">
            <w:pPr>
              <w:jc w:val="both"/>
              <w:rPr>
                <w:rFonts w:eastAsia="Calibri"/>
                <w:sz w:val="20"/>
                <w:lang w:val="fr-CA"/>
              </w:rPr>
            </w:pPr>
            <w:r w:rsidRPr="00C45D88">
              <w:rPr>
                <w:rFonts w:eastAsia="Calibri"/>
                <w:sz w:val="20"/>
                <w:lang w:val="fr-CA"/>
              </w:rPr>
              <w:t>(Drapeau, Larlee, Deschênes JJ.A.)</w:t>
            </w:r>
          </w:p>
          <w:p w:rsidR="00501D4E" w:rsidRPr="00C45D88" w:rsidRDefault="00501D4E" w:rsidP="00582919">
            <w:pPr>
              <w:jc w:val="both"/>
              <w:rPr>
                <w:rFonts w:eastAsia="Calibri"/>
                <w:sz w:val="20"/>
                <w:lang w:val="fr-CA"/>
              </w:rPr>
            </w:pPr>
            <w:r w:rsidRPr="00C45D88">
              <w:rPr>
                <w:rFonts w:eastAsia="Calibri"/>
                <w:sz w:val="20"/>
                <w:lang w:val="fr-CA"/>
              </w:rPr>
              <w:t xml:space="preserve">70-13-CA; </w:t>
            </w:r>
            <w:hyperlink r:id="rId56" w:history="1">
              <w:r w:rsidRPr="00C45D88">
                <w:rPr>
                  <w:rFonts w:eastAsia="Calibri"/>
                  <w:color w:val="0000FF"/>
                  <w:sz w:val="20"/>
                  <w:u w:val="single"/>
                  <w:lang w:val="fr-CA"/>
                </w:rPr>
                <w:t>2014 NBCA 58</w:t>
              </w:r>
            </w:hyperlink>
            <w:r w:rsidRPr="00C45D88">
              <w:rPr>
                <w:rFonts w:eastAsia="Calibri"/>
                <w:sz w:val="20"/>
                <w:lang w:val="fr-CA"/>
              </w:rPr>
              <w:t xml:space="preserve"> </w:t>
            </w:r>
          </w:p>
          <w:p w:rsidR="00501D4E" w:rsidRPr="00C45D88" w:rsidRDefault="00501D4E" w:rsidP="00582919">
            <w:pPr>
              <w:jc w:val="both"/>
              <w:rPr>
                <w:rFonts w:eastAsia="Calibri"/>
                <w:sz w:val="20"/>
                <w:lang w:val="fr-CA"/>
              </w:rPr>
            </w:pPr>
          </w:p>
        </w:tc>
        <w:tc>
          <w:tcPr>
            <w:tcW w:w="243" w:type="pct"/>
          </w:tcPr>
          <w:p w:rsidR="00501D4E" w:rsidRPr="00C45D88" w:rsidRDefault="00501D4E" w:rsidP="00582919">
            <w:pPr>
              <w:jc w:val="both"/>
              <w:rPr>
                <w:rFonts w:eastAsia="Calibri"/>
                <w:sz w:val="20"/>
                <w:lang w:val="fr-CA"/>
              </w:rPr>
            </w:pPr>
          </w:p>
        </w:tc>
        <w:tc>
          <w:tcPr>
            <w:tcW w:w="2330" w:type="pct"/>
          </w:tcPr>
          <w:p w:rsidR="00501D4E" w:rsidRPr="00C45D88" w:rsidRDefault="00501D4E" w:rsidP="00582919">
            <w:pPr>
              <w:jc w:val="both"/>
              <w:rPr>
                <w:rFonts w:eastAsia="Calibri"/>
                <w:sz w:val="20"/>
              </w:rPr>
            </w:pPr>
            <w:r w:rsidRPr="00C45D88">
              <w:rPr>
                <w:rFonts w:eastAsia="Calibri"/>
                <w:sz w:val="20"/>
              </w:rPr>
              <w:t>Appeal allowed:  Conviction quashed and new trial ordered</w:t>
            </w:r>
          </w:p>
        </w:tc>
      </w:tr>
      <w:tr w:rsidR="00501D4E" w:rsidRPr="00C45D88" w:rsidTr="00582919">
        <w:tc>
          <w:tcPr>
            <w:tcW w:w="2427" w:type="pct"/>
          </w:tcPr>
          <w:p w:rsidR="00501D4E" w:rsidRPr="00C45D88" w:rsidRDefault="00501D4E" w:rsidP="00582919">
            <w:pPr>
              <w:jc w:val="both"/>
              <w:rPr>
                <w:rFonts w:eastAsia="Calibri"/>
                <w:sz w:val="20"/>
              </w:rPr>
            </w:pPr>
            <w:r w:rsidRPr="00C45D88">
              <w:rPr>
                <w:rFonts w:eastAsia="Calibri"/>
                <w:sz w:val="20"/>
              </w:rPr>
              <w:t>November 10, 2014</w:t>
            </w:r>
          </w:p>
          <w:p w:rsidR="00501D4E" w:rsidRPr="00C45D88" w:rsidRDefault="00501D4E" w:rsidP="00582919">
            <w:pPr>
              <w:jc w:val="both"/>
              <w:rPr>
                <w:rFonts w:eastAsia="Calibri"/>
                <w:sz w:val="20"/>
              </w:rPr>
            </w:pPr>
            <w:r w:rsidRPr="00C45D88">
              <w:rPr>
                <w:rFonts w:eastAsia="Calibri"/>
                <w:sz w:val="20"/>
              </w:rPr>
              <w:t>Supreme Court of Canada</w:t>
            </w:r>
          </w:p>
        </w:tc>
        <w:tc>
          <w:tcPr>
            <w:tcW w:w="243" w:type="pct"/>
          </w:tcPr>
          <w:p w:rsidR="00501D4E" w:rsidRPr="00C45D88" w:rsidRDefault="00501D4E" w:rsidP="00582919">
            <w:pPr>
              <w:jc w:val="both"/>
              <w:rPr>
                <w:rFonts w:eastAsia="Calibri"/>
                <w:sz w:val="20"/>
              </w:rPr>
            </w:pPr>
          </w:p>
        </w:tc>
        <w:tc>
          <w:tcPr>
            <w:tcW w:w="2330" w:type="pct"/>
          </w:tcPr>
          <w:p w:rsidR="00501D4E" w:rsidRPr="00C45D88" w:rsidRDefault="00501D4E" w:rsidP="00582919">
            <w:pPr>
              <w:jc w:val="both"/>
              <w:rPr>
                <w:rFonts w:eastAsia="Calibri"/>
                <w:sz w:val="20"/>
              </w:rPr>
            </w:pPr>
            <w:r w:rsidRPr="00C45D88">
              <w:rPr>
                <w:rFonts w:eastAsia="Calibri"/>
                <w:sz w:val="20"/>
              </w:rPr>
              <w:t>Application for leave to appeal filed</w:t>
            </w:r>
          </w:p>
        </w:tc>
      </w:tr>
    </w:tbl>
    <w:p w:rsidR="000D6E5D" w:rsidRDefault="000D6E5D" w:rsidP="000D6E5D">
      <w:pPr>
        <w:rPr>
          <w:sz w:val="20"/>
          <w:szCs w:val="20"/>
        </w:rPr>
      </w:pPr>
    </w:p>
    <w:p w:rsidR="000D6E5D" w:rsidRPr="00C50A5C" w:rsidRDefault="003A60BB" w:rsidP="000D6E5D">
      <w:pPr>
        <w:rPr>
          <w:sz w:val="20"/>
          <w:szCs w:val="20"/>
        </w:rPr>
      </w:pPr>
      <w:r>
        <w:rPr>
          <w:sz w:val="20"/>
          <w:szCs w:val="20"/>
          <w:lang w:val="fr-CA"/>
        </w:rPr>
        <w:pict>
          <v:rect id="_x0000_i1056" style="width:2in;height:1pt" o:hrpct="0" o:hralign="center" o:hrstd="t" o:hrnoshade="t" o:hr="t" fillcolor="black [3213]" stroked="f"/>
        </w:pict>
      </w:r>
    </w:p>
    <w:p w:rsidR="000D6E5D" w:rsidRDefault="000D6E5D" w:rsidP="000D6E5D">
      <w:pPr>
        <w:rPr>
          <w:sz w:val="20"/>
          <w:szCs w:val="20"/>
        </w:rPr>
      </w:pPr>
    </w:p>
    <w:p w:rsidR="000D6E5D" w:rsidRPr="001B157C" w:rsidRDefault="000D6E5D" w:rsidP="000D6E5D">
      <w:pPr>
        <w:rPr>
          <w:sz w:val="20"/>
          <w:szCs w:val="20"/>
          <w:u w:val="single"/>
          <w:lang w:val="fr-CA"/>
        </w:rPr>
      </w:pPr>
      <w:r w:rsidRPr="001B157C">
        <w:rPr>
          <w:sz w:val="20"/>
          <w:szCs w:val="20"/>
          <w:u w:val="single"/>
          <w:lang w:val="fr-CA"/>
        </w:rPr>
        <w:t>RÉSUMÉ DE L’AFFAIRE</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01D4E" w:rsidRPr="00560020" w:rsidTr="00582919">
        <w:tc>
          <w:tcPr>
            <w:tcW w:w="5000" w:type="pct"/>
            <w:gridSpan w:val="3"/>
          </w:tcPr>
          <w:p w:rsidR="00501D4E" w:rsidRPr="00C45D88" w:rsidRDefault="00501D4E" w:rsidP="00582919">
            <w:pPr>
              <w:jc w:val="both"/>
              <w:rPr>
                <w:rFonts w:eastAsia="Calibri"/>
                <w:sz w:val="20"/>
                <w:lang w:val="fr-CA"/>
              </w:rPr>
            </w:pPr>
            <w:r w:rsidRPr="00C45D88">
              <w:rPr>
                <w:rFonts w:eastAsia="Calibri"/>
                <w:sz w:val="20"/>
                <w:lang w:val="fr-CA"/>
              </w:rPr>
              <w:t xml:space="preserve">Droit criminel – Appel – Preuve – La Cour d’appel a-t-elle manifesté suffisamment de déférence envers les conclusions du juge du procès concernant les faits et la crédibilité? – La Cour d’appel a-t-elle eu tort de conclure que les conclusions concernant les faits et la crédibilité étaient entachées d’erreurs manifestes et dominantes et témoignaient d’une interprétation erronée de la preuve? – La règle dans </w:t>
            </w:r>
            <w:r w:rsidRPr="00C45D88">
              <w:rPr>
                <w:rFonts w:eastAsia="Calibri"/>
                <w:i/>
                <w:sz w:val="20"/>
                <w:lang w:val="fr-CA"/>
              </w:rPr>
              <w:t>Browne c. Dunn</w:t>
            </w:r>
            <w:r w:rsidRPr="00C45D88">
              <w:rPr>
                <w:rFonts w:eastAsia="Calibri"/>
                <w:sz w:val="20"/>
                <w:lang w:val="fr-CA"/>
              </w:rPr>
              <w:t xml:space="preserve"> (1893), 6 R. 67, s’étend-elle aux questions posées à l’accusé par le juge du procès et oblige-t-elle le juge à faire abstraction des contradictions dans la preuve qui n’est pas été présentée à un témoin? – La Cour d’appel a-t-elle commis une erreur dans son traitement des conclusions du juge du procès et de l’utilisation par ce dernier des fautes déontologiques de l’accusé?</w:t>
            </w:r>
          </w:p>
        </w:tc>
      </w:tr>
      <w:tr w:rsidR="00501D4E" w:rsidRPr="00560020" w:rsidTr="00582919">
        <w:tc>
          <w:tcPr>
            <w:tcW w:w="5000" w:type="pct"/>
            <w:gridSpan w:val="3"/>
          </w:tcPr>
          <w:p w:rsidR="00501D4E" w:rsidRPr="00C45D88" w:rsidRDefault="00501D4E" w:rsidP="00582919">
            <w:pPr>
              <w:jc w:val="both"/>
              <w:rPr>
                <w:rFonts w:eastAsia="Calibri"/>
                <w:sz w:val="20"/>
                <w:lang w:val="fr-CA"/>
              </w:rPr>
            </w:pPr>
          </w:p>
        </w:tc>
      </w:tr>
      <w:tr w:rsidR="00501D4E" w:rsidRPr="00560020" w:rsidTr="00582919">
        <w:tc>
          <w:tcPr>
            <w:tcW w:w="5000" w:type="pct"/>
            <w:gridSpan w:val="3"/>
          </w:tcPr>
          <w:p w:rsidR="00501D4E" w:rsidRPr="00C45D88" w:rsidRDefault="00501D4E" w:rsidP="00582919">
            <w:pPr>
              <w:jc w:val="both"/>
              <w:rPr>
                <w:rFonts w:eastAsia="Calibri"/>
                <w:sz w:val="20"/>
                <w:lang w:val="fr-CA"/>
              </w:rPr>
            </w:pPr>
            <w:r w:rsidRPr="00C45D88">
              <w:rPr>
                <w:rFonts w:eastAsia="Calibri"/>
                <w:sz w:val="20"/>
                <w:lang w:val="fr-CA"/>
              </w:rPr>
              <w:t>Rodney Gillis, un avocat plaidant d’expérience, représentait un client dans une instance criminelle fondée sur une faute qu’aurait commise le client dans le cadre de l’emploi que ce dernier occupait antérieurement.  Le client et l’employeur étaient également parties à deux actions au civil.  Pendant une pause à l’enquête préliminaire dans l’instance criminelle, M</w:t>
            </w:r>
            <w:r w:rsidRPr="00C45D88">
              <w:rPr>
                <w:rFonts w:eastAsia="Calibri"/>
                <w:sz w:val="20"/>
                <w:vertAlign w:val="superscript"/>
                <w:lang w:val="fr-CA"/>
              </w:rPr>
              <w:t>e </w:t>
            </w:r>
            <w:r w:rsidRPr="00C45D88">
              <w:rPr>
                <w:rFonts w:eastAsia="Calibri"/>
                <w:sz w:val="20"/>
                <w:lang w:val="fr-CA"/>
              </w:rPr>
              <w:t>Gillis a présenté à M. Landry, le directeur général de l’employeur, une offre de règlement amiable des trois actions.  Maître Gillis a remis à M. Landry un bout de papier sur lequel était inscrit un résumé de l’offre, y compris la mention : [</w:t>
            </w:r>
            <w:r w:rsidRPr="00C45D88">
              <w:rPr>
                <w:rFonts w:eastAsia="Calibri"/>
                <w:smallCaps/>
                <w:sz w:val="20"/>
                <w:lang w:val="fr-CA"/>
              </w:rPr>
              <w:t>traduction</w:t>
            </w:r>
            <w:r w:rsidRPr="00C45D88">
              <w:rPr>
                <w:rFonts w:eastAsia="Calibri"/>
                <w:sz w:val="20"/>
                <w:lang w:val="fr-CA"/>
              </w:rPr>
              <w:t>] « Au criminel – ne présenter aucune preuve ».  Sur le fondement de cette conversation et de l’offre écrite, M</w:t>
            </w:r>
            <w:r w:rsidRPr="00C45D88">
              <w:rPr>
                <w:rFonts w:eastAsia="Calibri"/>
                <w:sz w:val="20"/>
                <w:vertAlign w:val="superscript"/>
                <w:lang w:val="fr-CA"/>
              </w:rPr>
              <w:t>e</w:t>
            </w:r>
            <w:r w:rsidRPr="00C45D88">
              <w:rPr>
                <w:rFonts w:eastAsia="Calibri"/>
                <w:sz w:val="20"/>
                <w:lang w:val="fr-CA"/>
              </w:rPr>
              <w:t> Gillis a été accusé d’avoir tenté d’entraver, de détourner ou de contrecarrer le cours de la justice dans une procédure judiciaire en essayant, par des menaces, des pots-de-vin ou d’autres moyens de corruption, de dissuader une personne de témoigner.  Le ministère public allègue que M</w:t>
            </w:r>
            <w:r w:rsidRPr="00C45D88">
              <w:rPr>
                <w:rFonts w:eastAsia="Calibri"/>
                <w:sz w:val="20"/>
                <w:vertAlign w:val="superscript"/>
                <w:lang w:val="fr-CA"/>
              </w:rPr>
              <w:t>e</w:t>
            </w:r>
            <w:r w:rsidRPr="00C45D88">
              <w:rPr>
                <w:rFonts w:eastAsia="Calibri"/>
                <w:sz w:val="20"/>
                <w:lang w:val="fr-CA"/>
              </w:rPr>
              <w:t> Gillis a proposé que M. Landry prenne des mesures pour faire en sorte que des témoins ne se présentent pas ou ne témoignent pas au procès criminel.  Dans son témoignage, M. Landry a affirmé que M</w:t>
            </w:r>
            <w:r w:rsidRPr="00C45D88">
              <w:rPr>
                <w:rFonts w:eastAsia="Calibri"/>
                <w:sz w:val="20"/>
                <w:vertAlign w:val="superscript"/>
                <w:lang w:val="fr-CA"/>
              </w:rPr>
              <w:t>e</w:t>
            </w:r>
            <w:r w:rsidRPr="00C45D88">
              <w:rPr>
                <w:rFonts w:eastAsia="Calibri"/>
                <w:sz w:val="20"/>
                <w:lang w:val="fr-CA"/>
              </w:rPr>
              <w:t> Gillis lui aurait dit : [</w:t>
            </w:r>
            <w:r w:rsidRPr="00C45D88">
              <w:rPr>
                <w:rFonts w:eastAsia="Calibri"/>
                <w:smallCaps/>
                <w:sz w:val="20"/>
                <w:lang w:val="fr-CA"/>
              </w:rPr>
              <w:t>traduction</w:t>
            </w:r>
            <w:r w:rsidRPr="00C45D88">
              <w:rPr>
                <w:rFonts w:eastAsia="Calibri"/>
                <w:sz w:val="20"/>
                <w:lang w:val="fr-CA"/>
              </w:rPr>
              <w:t xml:space="preserve">] « Ce sont vos témoins, donc faites en sorte qu’ils ne témoignent pas et le ministère public n’aura pas de preuve ».  Maître Gillis nie avoir fait une telle déclaration. Lui et son associé ont prétendu dans leur témoignage que la formule « Au criminel – ne présenter aucune preuve » reflétait leur intention de demander au substitut du procureur général de ne présenter aucune preuve à l’ouverture du procès criminel. </w:t>
            </w:r>
          </w:p>
          <w:p w:rsidR="00501D4E" w:rsidRPr="00C45D88" w:rsidRDefault="00501D4E" w:rsidP="00582919">
            <w:pPr>
              <w:jc w:val="both"/>
              <w:rPr>
                <w:rFonts w:eastAsia="Calibri"/>
                <w:sz w:val="20"/>
                <w:lang w:val="fr-CA"/>
              </w:rPr>
            </w:pPr>
          </w:p>
        </w:tc>
      </w:tr>
      <w:tr w:rsidR="00501D4E" w:rsidRPr="00560020" w:rsidTr="00582919">
        <w:tc>
          <w:tcPr>
            <w:tcW w:w="2427" w:type="pct"/>
          </w:tcPr>
          <w:p w:rsidR="00501D4E" w:rsidRPr="00C45D88" w:rsidRDefault="00501D4E" w:rsidP="00582919">
            <w:pPr>
              <w:jc w:val="both"/>
              <w:rPr>
                <w:rFonts w:eastAsia="Calibri"/>
                <w:sz w:val="20"/>
                <w:lang w:val="fr-CA"/>
              </w:rPr>
            </w:pPr>
            <w:r w:rsidRPr="00C45D88">
              <w:rPr>
                <w:rFonts w:eastAsia="Calibri"/>
                <w:sz w:val="20"/>
                <w:lang w:val="fr-CA"/>
              </w:rPr>
              <w:t>31 janvier 2013</w:t>
            </w:r>
          </w:p>
          <w:p w:rsidR="00501D4E" w:rsidRPr="00C45D88" w:rsidRDefault="00501D4E" w:rsidP="00582919">
            <w:pPr>
              <w:jc w:val="both"/>
              <w:rPr>
                <w:rFonts w:eastAsia="Calibri"/>
                <w:sz w:val="20"/>
                <w:lang w:val="fr-CA"/>
              </w:rPr>
            </w:pPr>
            <w:r w:rsidRPr="00C45D88">
              <w:rPr>
                <w:rFonts w:eastAsia="Calibri"/>
                <w:sz w:val="20"/>
                <w:lang w:val="fr-CA"/>
              </w:rPr>
              <w:t>Cour provinciale du Nouveau-Brunswick</w:t>
            </w:r>
          </w:p>
          <w:p w:rsidR="00501D4E" w:rsidRPr="00C45D88" w:rsidRDefault="00501D4E" w:rsidP="00582919">
            <w:pPr>
              <w:jc w:val="both"/>
              <w:rPr>
                <w:rFonts w:eastAsia="Calibri"/>
                <w:sz w:val="20"/>
                <w:lang w:val="fr-CA"/>
              </w:rPr>
            </w:pPr>
            <w:r w:rsidRPr="00C45D88">
              <w:rPr>
                <w:rFonts w:eastAsia="Calibri"/>
                <w:sz w:val="20"/>
                <w:lang w:val="fr-CA"/>
              </w:rPr>
              <w:t>(Juge Lampert)</w:t>
            </w:r>
          </w:p>
          <w:p w:rsidR="00501D4E" w:rsidRPr="00C45D88" w:rsidRDefault="003A60BB" w:rsidP="00582919">
            <w:pPr>
              <w:jc w:val="both"/>
              <w:rPr>
                <w:rFonts w:eastAsia="Calibri"/>
                <w:sz w:val="20"/>
                <w:lang w:val="fr-CA"/>
              </w:rPr>
            </w:pPr>
            <w:hyperlink r:id="rId57" w:history="1">
              <w:r w:rsidR="00501D4E" w:rsidRPr="00C45D88">
                <w:rPr>
                  <w:rFonts w:eastAsia="Calibri"/>
                  <w:color w:val="0000FF"/>
                  <w:sz w:val="20"/>
                  <w:u w:val="single"/>
                  <w:lang w:val="fr-CA"/>
                </w:rPr>
                <w:t>2013 NBPC 3</w:t>
              </w:r>
            </w:hyperlink>
          </w:p>
          <w:p w:rsidR="00501D4E" w:rsidRPr="00C45D88" w:rsidRDefault="00501D4E" w:rsidP="00582919">
            <w:pPr>
              <w:jc w:val="both"/>
              <w:rPr>
                <w:rFonts w:eastAsia="Calibri"/>
                <w:sz w:val="20"/>
                <w:lang w:val="fr-CA"/>
              </w:rPr>
            </w:pPr>
          </w:p>
        </w:tc>
        <w:tc>
          <w:tcPr>
            <w:tcW w:w="243" w:type="pct"/>
          </w:tcPr>
          <w:p w:rsidR="00501D4E" w:rsidRPr="00C45D88" w:rsidRDefault="00501D4E" w:rsidP="00582919">
            <w:pPr>
              <w:jc w:val="both"/>
              <w:rPr>
                <w:rFonts w:eastAsia="Calibri"/>
                <w:sz w:val="20"/>
                <w:lang w:val="fr-CA"/>
              </w:rPr>
            </w:pPr>
          </w:p>
        </w:tc>
        <w:tc>
          <w:tcPr>
            <w:tcW w:w="2330" w:type="pct"/>
          </w:tcPr>
          <w:p w:rsidR="00501D4E" w:rsidRPr="00C45D88" w:rsidRDefault="00501D4E" w:rsidP="00582919">
            <w:pPr>
              <w:jc w:val="both"/>
              <w:rPr>
                <w:rFonts w:eastAsia="Calibri"/>
                <w:sz w:val="20"/>
                <w:lang w:val="fr-CA"/>
              </w:rPr>
            </w:pPr>
            <w:r w:rsidRPr="00C45D88">
              <w:rPr>
                <w:rFonts w:eastAsia="Calibri"/>
                <w:sz w:val="20"/>
                <w:lang w:val="fr-CA"/>
              </w:rPr>
              <w:t xml:space="preserve">Déclaration de culpabilité : tentative d’entraver, de détourner ou de contrecarrer le cours de la justice dans une procédure judiciaire </w:t>
            </w:r>
          </w:p>
        </w:tc>
      </w:tr>
      <w:tr w:rsidR="00501D4E" w:rsidRPr="00560020" w:rsidTr="00582919">
        <w:tc>
          <w:tcPr>
            <w:tcW w:w="2427" w:type="pct"/>
          </w:tcPr>
          <w:p w:rsidR="00501D4E" w:rsidRPr="00C45D88" w:rsidRDefault="00501D4E" w:rsidP="00582919">
            <w:pPr>
              <w:jc w:val="both"/>
              <w:rPr>
                <w:rFonts w:eastAsia="Calibri"/>
                <w:sz w:val="20"/>
                <w:lang w:val="fr-CA"/>
              </w:rPr>
            </w:pPr>
            <w:r w:rsidRPr="00C45D88">
              <w:rPr>
                <w:rFonts w:eastAsia="Calibri"/>
                <w:sz w:val="20"/>
                <w:lang w:val="fr-CA"/>
              </w:rPr>
              <w:t>9 septembre 2014</w:t>
            </w:r>
          </w:p>
          <w:p w:rsidR="00501D4E" w:rsidRPr="00C45D88" w:rsidRDefault="00501D4E" w:rsidP="00582919">
            <w:pPr>
              <w:jc w:val="both"/>
              <w:rPr>
                <w:rFonts w:eastAsia="Calibri"/>
                <w:sz w:val="20"/>
                <w:lang w:val="fr-CA"/>
              </w:rPr>
            </w:pPr>
            <w:r w:rsidRPr="00C45D88">
              <w:rPr>
                <w:rFonts w:eastAsia="Calibri"/>
                <w:sz w:val="20"/>
                <w:lang w:val="fr-CA"/>
              </w:rPr>
              <w:t>Cour d’appel du Nouveau-Brunswick</w:t>
            </w:r>
          </w:p>
          <w:p w:rsidR="00501D4E" w:rsidRPr="00C45D88" w:rsidRDefault="00501D4E" w:rsidP="00582919">
            <w:pPr>
              <w:jc w:val="both"/>
              <w:rPr>
                <w:rFonts w:eastAsia="Calibri"/>
                <w:sz w:val="20"/>
                <w:lang w:val="fr-CA"/>
              </w:rPr>
            </w:pPr>
            <w:r w:rsidRPr="00C45D88">
              <w:rPr>
                <w:rFonts w:eastAsia="Calibri"/>
                <w:sz w:val="20"/>
                <w:lang w:val="fr-CA"/>
              </w:rPr>
              <w:t>(Juges Drapeau, Larlee et Deschênes)</w:t>
            </w:r>
          </w:p>
          <w:p w:rsidR="00501D4E" w:rsidRPr="00C45D88" w:rsidRDefault="00501D4E" w:rsidP="00582919">
            <w:pPr>
              <w:jc w:val="both"/>
              <w:rPr>
                <w:rFonts w:eastAsia="Calibri"/>
                <w:sz w:val="20"/>
                <w:lang w:val="fr-CA"/>
              </w:rPr>
            </w:pPr>
            <w:r w:rsidRPr="00C45D88">
              <w:rPr>
                <w:rFonts w:eastAsia="Calibri"/>
                <w:sz w:val="20"/>
                <w:lang w:val="fr-CA"/>
              </w:rPr>
              <w:t xml:space="preserve">70-13-CA; </w:t>
            </w:r>
            <w:hyperlink r:id="rId58" w:history="1">
              <w:r w:rsidRPr="00C45D88">
                <w:rPr>
                  <w:rFonts w:eastAsia="Calibri"/>
                  <w:color w:val="0000FF"/>
                  <w:sz w:val="20"/>
                  <w:u w:val="single"/>
                  <w:lang w:val="fr-CA"/>
                </w:rPr>
                <w:t>2014 NBCA 58</w:t>
              </w:r>
            </w:hyperlink>
          </w:p>
          <w:p w:rsidR="00501D4E" w:rsidRPr="00C45D88" w:rsidRDefault="00501D4E" w:rsidP="00582919">
            <w:pPr>
              <w:jc w:val="both"/>
              <w:rPr>
                <w:rFonts w:eastAsia="Calibri"/>
                <w:sz w:val="20"/>
                <w:lang w:val="fr-CA"/>
              </w:rPr>
            </w:pPr>
          </w:p>
        </w:tc>
        <w:tc>
          <w:tcPr>
            <w:tcW w:w="243" w:type="pct"/>
          </w:tcPr>
          <w:p w:rsidR="00501D4E" w:rsidRPr="00C45D88" w:rsidRDefault="00501D4E" w:rsidP="00582919">
            <w:pPr>
              <w:jc w:val="both"/>
              <w:rPr>
                <w:rFonts w:eastAsia="Calibri"/>
                <w:sz w:val="20"/>
                <w:lang w:val="fr-CA"/>
              </w:rPr>
            </w:pPr>
          </w:p>
        </w:tc>
        <w:tc>
          <w:tcPr>
            <w:tcW w:w="2330" w:type="pct"/>
          </w:tcPr>
          <w:p w:rsidR="00501D4E" w:rsidRPr="00C45D88" w:rsidRDefault="00501D4E" w:rsidP="00582919">
            <w:pPr>
              <w:jc w:val="both"/>
              <w:rPr>
                <w:rFonts w:eastAsia="Calibri"/>
                <w:sz w:val="20"/>
                <w:lang w:val="fr-CA"/>
              </w:rPr>
            </w:pPr>
            <w:r w:rsidRPr="00C45D88">
              <w:rPr>
                <w:rFonts w:eastAsia="Calibri"/>
                <w:sz w:val="20"/>
                <w:lang w:val="fr-CA"/>
              </w:rPr>
              <w:t>Arrêt faisant droit à l’appel : annulation de la déclaration de culpabilité et ordonnance de nouveau procès</w:t>
            </w:r>
          </w:p>
        </w:tc>
      </w:tr>
      <w:tr w:rsidR="00501D4E" w:rsidRPr="00560020" w:rsidTr="00582919">
        <w:tc>
          <w:tcPr>
            <w:tcW w:w="2427" w:type="pct"/>
          </w:tcPr>
          <w:p w:rsidR="00501D4E" w:rsidRPr="00C45D88" w:rsidRDefault="00501D4E" w:rsidP="00582919">
            <w:pPr>
              <w:jc w:val="both"/>
              <w:rPr>
                <w:rFonts w:eastAsia="Calibri"/>
                <w:sz w:val="20"/>
                <w:lang w:val="fr-CA"/>
              </w:rPr>
            </w:pPr>
            <w:r w:rsidRPr="00C45D88">
              <w:rPr>
                <w:rFonts w:eastAsia="Calibri"/>
                <w:sz w:val="20"/>
                <w:lang w:val="fr-CA"/>
              </w:rPr>
              <w:t>10 novembre 2014</w:t>
            </w:r>
          </w:p>
          <w:p w:rsidR="00501D4E" w:rsidRPr="00C45D88" w:rsidRDefault="00501D4E" w:rsidP="00582919">
            <w:pPr>
              <w:jc w:val="both"/>
              <w:rPr>
                <w:rFonts w:eastAsia="Calibri"/>
                <w:sz w:val="20"/>
                <w:lang w:val="fr-CA"/>
              </w:rPr>
            </w:pPr>
            <w:r w:rsidRPr="00C45D88">
              <w:rPr>
                <w:rFonts w:eastAsia="Calibri"/>
                <w:sz w:val="20"/>
                <w:lang w:val="fr-CA"/>
              </w:rPr>
              <w:t>Cour suprême du Canada</w:t>
            </w:r>
          </w:p>
        </w:tc>
        <w:tc>
          <w:tcPr>
            <w:tcW w:w="243" w:type="pct"/>
          </w:tcPr>
          <w:p w:rsidR="00501D4E" w:rsidRPr="00C45D88" w:rsidRDefault="00501D4E" w:rsidP="00582919">
            <w:pPr>
              <w:jc w:val="both"/>
              <w:rPr>
                <w:rFonts w:eastAsia="Calibri"/>
                <w:sz w:val="20"/>
                <w:lang w:val="fr-CA"/>
              </w:rPr>
            </w:pPr>
          </w:p>
        </w:tc>
        <w:tc>
          <w:tcPr>
            <w:tcW w:w="2330" w:type="pct"/>
          </w:tcPr>
          <w:p w:rsidR="00501D4E" w:rsidRPr="00C45D88" w:rsidRDefault="00501D4E" w:rsidP="00582919">
            <w:pPr>
              <w:jc w:val="both"/>
              <w:rPr>
                <w:rFonts w:eastAsia="Calibri"/>
                <w:sz w:val="20"/>
                <w:lang w:val="fr-CA"/>
              </w:rPr>
            </w:pPr>
            <w:r w:rsidRPr="00C45D88">
              <w:rPr>
                <w:rFonts w:eastAsia="Calibri"/>
                <w:sz w:val="20"/>
                <w:lang w:val="fr-CA"/>
              </w:rPr>
              <w:t>Dépôt de la demande d’autorisation d’appel</w:t>
            </w:r>
          </w:p>
        </w:tc>
      </w:tr>
    </w:tbl>
    <w:p w:rsidR="000D6E5D" w:rsidRPr="00501D4E" w:rsidRDefault="000D6E5D" w:rsidP="000D6E5D">
      <w:pPr>
        <w:rPr>
          <w:sz w:val="20"/>
          <w:szCs w:val="20"/>
          <w:lang w:val="fr-CA"/>
        </w:rPr>
      </w:pPr>
    </w:p>
    <w:p w:rsidR="000D6E5D" w:rsidRDefault="003A60BB" w:rsidP="000D6E5D">
      <w:pPr>
        <w:rPr>
          <w:sz w:val="20"/>
          <w:szCs w:val="20"/>
        </w:rPr>
      </w:pPr>
      <w:r>
        <w:rPr>
          <w:sz w:val="20"/>
          <w:szCs w:val="20"/>
          <w:lang w:val="fr-CA"/>
        </w:rPr>
        <w:pict>
          <v:rect id="_x0000_i1057" style="width:2in;height:1pt" o:hrpct="0" o:hralign="center" o:hrstd="t" o:hrnoshade="t" o:hr="t" fillcolor="black [3213]" stroked="f"/>
        </w:pict>
      </w:r>
    </w:p>
    <w:p w:rsidR="000D6E5D" w:rsidRDefault="000D6E5D" w:rsidP="000D6E5D">
      <w:pPr>
        <w:rPr>
          <w:sz w:val="20"/>
          <w:szCs w:val="20"/>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72F16" w:rsidRPr="00272F16" w:rsidTr="003431AF">
        <w:trPr>
          <w:cantSplit/>
        </w:trPr>
        <w:tc>
          <w:tcPr>
            <w:tcW w:w="1458" w:type="dxa"/>
          </w:tcPr>
          <w:p w:rsidR="00272F16" w:rsidRPr="00272F16" w:rsidRDefault="00272F16" w:rsidP="00272F16">
            <w:pPr>
              <w:rPr>
                <w:sz w:val="20"/>
              </w:rPr>
            </w:pPr>
            <w:r w:rsidRPr="00272F16">
              <w:rPr>
                <w:b/>
                <w:sz w:val="20"/>
                <w:lang w:val="fr-CA"/>
              </w:rPr>
              <w:t>36176</w:t>
            </w:r>
          </w:p>
          <w:p w:rsidR="00272F16" w:rsidRPr="00272F16" w:rsidRDefault="00272F16" w:rsidP="00272F16">
            <w:pPr>
              <w:rPr>
                <w:b/>
                <w:sz w:val="20"/>
                <w:lang w:val="fr-CA"/>
              </w:rPr>
            </w:pPr>
          </w:p>
        </w:tc>
        <w:tc>
          <w:tcPr>
            <w:tcW w:w="8118" w:type="dxa"/>
          </w:tcPr>
          <w:p w:rsidR="00272F16" w:rsidRPr="00272F16" w:rsidRDefault="00272F16" w:rsidP="00272F16">
            <w:pPr>
              <w:jc w:val="both"/>
              <w:rPr>
                <w:sz w:val="20"/>
              </w:rPr>
            </w:pPr>
            <w:r w:rsidRPr="00272F16">
              <w:rPr>
                <w:b/>
                <w:sz w:val="20"/>
                <w:u w:val="single"/>
              </w:rPr>
              <w:t>Michael Peter Lorintt, named executor of the will of Ferenc Mihaly Boda, also known as Frank Boda, also known as Frank Mihaly Boda v. Lajos Ferenc Boda</w:t>
            </w:r>
            <w:r w:rsidRPr="00272F16">
              <w:rPr>
                <w:sz w:val="20"/>
              </w:rPr>
              <w:t xml:space="preserve"> (B.C.) (Civil) (By Leave)</w:t>
            </w:r>
          </w:p>
          <w:p w:rsidR="00272F16" w:rsidRPr="00272F16" w:rsidRDefault="00272F16" w:rsidP="00272F16">
            <w:pPr>
              <w:jc w:val="both"/>
              <w:rPr>
                <w:sz w:val="20"/>
              </w:rPr>
            </w:pPr>
          </w:p>
        </w:tc>
      </w:tr>
      <w:tr w:rsidR="00272F16" w:rsidRPr="00272F16" w:rsidTr="003431AF">
        <w:trPr>
          <w:cantSplit/>
        </w:trPr>
        <w:tc>
          <w:tcPr>
            <w:tcW w:w="1458" w:type="dxa"/>
          </w:tcPr>
          <w:p w:rsidR="00272F16" w:rsidRPr="00272F16" w:rsidRDefault="00272F16" w:rsidP="00272F16">
            <w:pPr>
              <w:rPr>
                <w:sz w:val="20"/>
              </w:rPr>
            </w:pPr>
            <w:r w:rsidRPr="00272F16">
              <w:rPr>
                <w:sz w:val="20"/>
              </w:rPr>
              <w:t>Coram :</w:t>
            </w:r>
          </w:p>
        </w:tc>
        <w:tc>
          <w:tcPr>
            <w:tcW w:w="8118" w:type="dxa"/>
          </w:tcPr>
          <w:p w:rsidR="00272F16" w:rsidRPr="00272F16" w:rsidRDefault="00272F16" w:rsidP="00272F16">
            <w:pPr>
              <w:rPr>
                <w:sz w:val="20"/>
              </w:rPr>
            </w:pPr>
            <w:r w:rsidRPr="00272F16">
              <w:rPr>
                <w:sz w:val="20"/>
                <w:u w:val="single"/>
              </w:rPr>
              <w:t>McLachlin C.J. and Wagner and Gascon JJ.</w:t>
            </w:r>
          </w:p>
          <w:p w:rsidR="00272F16" w:rsidRPr="00272F16" w:rsidRDefault="00272F16" w:rsidP="00272F16">
            <w:pPr>
              <w:rPr>
                <w:sz w:val="20"/>
                <w:u w:val="single"/>
              </w:rPr>
            </w:pPr>
          </w:p>
        </w:tc>
      </w:tr>
      <w:tr w:rsidR="00272F16" w:rsidRPr="00560020" w:rsidTr="003431AF">
        <w:trPr>
          <w:cantSplit/>
        </w:trPr>
        <w:tc>
          <w:tcPr>
            <w:tcW w:w="9576" w:type="dxa"/>
            <w:gridSpan w:val="2"/>
          </w:tcPr>
          <w:p w:rsidR="00272F16" w:rsidRPr="00272F16" w:rsidRDefault="00272F16" w:rsidP="00272F16">
            <w:pPr>
              <w:ind w:firstLine="720"/>
              <w:jc w:val="both"/>
              <w:rPr>
                <w:sz w:val="20"/>
              </w:rPr>
            </w:pPr>
            <w:r w:rsidRPr="00272F16">
              <w:rPr>
                <w:sz w:val="20"/>
              </w:rPr>
              <w:t>The application for leave to appeal from the judgment of the Court of Appeal for British Columbia (Vancouver), Number CA038912, 2014 BCCA 354, dated September 16, 2014, is dismissed with costs.</w:t>
            </w:r>
          </w:p>
          <w:p w:rsidR="00272F16" w:rsidRPr="00272F16" w:rsidRDefault="00272F16" w:rsidP="00272F16">
            <w:pPr>
              <w:jc w:val="both"/>
              <w:rPr>
                <w:sz w:val="20"/>
              </w:rPr>
            </w:pPr>
          </w:p>
          <w:p w:rsidR="00272F16" w:rsidRPr="00272F16" w:rsidRDefault="00272F16" w:rsidP="00272F16">
            <w:pPr>
              <w:ind w:firstLine="720"/>
              <w:jc w:val="both"/>
              <w:rPr>
                <w:sz w:val="20"/>
                <w:lang w:val="fr-CA"/>
              </w:rPr>
            </w:pPr>
            <w:r w:rsidRPr="00272F16">
              <w:rPr>
                <w:sz w:val="20"/>
                <w:lang w:val="fr-CA"/>
              </w:rPr>
              <w:t>La demande d’autorisation d’appel de l’arrêt de la Cour d’appel de la Colombie-Britannique (Vancouver), numéro CA038912, 2014 BCCA 354, daté du 16 septembre 2014, est rejetée avec dépens.</w:t>
            </w:r>
          </w:p>
        </w:tc>
      </w:tr>
    </w:tbl>
    <w:p w:rsidR="000D6E5D" w:rsidRPr="00272F16" w:rsidRDefault="000D6E5D" w:rsidP="000D6E5D">
      <w:pPr>
        <w:rPr>
          <w:sz w:val="20"/>
          <w:szCs w:val="20"/>
          <w:lang w:val="fr-CA"/>
        </w:rPr>
      </w:pPr>
    </w:p>
    <w:p w:rsidR="000D6E5D" w:rsidRPr="001B157C" w:rsidRDefault="000D6E5D" w:rsidP="000D6E5D">
      <w:pPr>
        <w:rPr>
          <w:sz w:val="20"/>
          <w:szCs w:val="20"/>
          <w:u w:val="single"/>
        </w:rPr>
      </w:pPr>
      <w:r w:rsidRPr="001B157C">
        <w:rPr>
          <w:sz w:val="20"/>
          <w:szCs w:val="20"/>
          <w:u w:val="single"/>
        </w:rPr>
        <w:t>CASE SUMMARY</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01D4E" w:rsidRPr="00C45D88" w:rsidTr="00582919">
        <w:tc>
          <w:tcPr>
            <w:tcW w:w="5000" w:type="pct"/>
            <w:gridSpan w:val="3"/>
          </w:tcPr>
          <w:p w:rsidR="00501D4E" w:rsidRPr="00C45D88" w:rsidRDefault="00501D4E" w:rsidP="00582919">
            <w:pPr>
              <w:jc w:val="both"/>
              <w:rPr>
                <w:rFonts w:eastAsia="Calibri"/>
                <w:sz w:val="20"/>
              </w:rPr>
            </w:pPr>
            <w:r w:rsidRPr="00C45D88">
              <w:rPr>
                <w:rFonts w:eastAsia="Calibri"/>
                <w:sz w:val="20"/>
              </w:rPr>
              <w:t xml:space="preserve">Wills and Estates – Wills – Presumption of resulting trust – Trusts – Gifts – Can the presumption of resulting trust in gratuitous transfer cases be rebutted without proof that the transferor understands the transfer to be irrevocable – Does </w:t>
            </w:r>
            <w:r w:rsidRPr="00C45D88">
              <w:rPr>
                <w:rFonts w:eastAsia="Calibri"/>
                <w:i/>
                <w:sz w:val="20"/>
              </w:rPr>
              <w:t>Geffen v. Goodman Estate</w:t>
            </w:r>
            <w:r w:rsidRPr="00C45D88">
              <w:rPr>
                <w:rFonts w:eastAsia="Calibri"/>
                <w:sz w:val="20"/>
              </w:rPr>
              <w:t>, [1991] 2 S.C.R. 353, intend that every gratuitous transfer between parent and child triggers a presumption of undue influence – If not, which parent and child relationships have that effect.</w:t>
            </w:r>
          </w:p>
        </w:tc>
      </w:tr>
      <w:tr w:rsidR="00501D4E" w:rsidRPr="00C45D88" w:rsidTr="00582919">
        <w:tc>
          <w:tcPr>
            <w:tcW w:w="5000" w:type="pct"/>
            <w:gridSpan w:val="3"/>
          </w:tcPr>
          <w:p w:rsidR="00501D4E" w:rsidRPr="00C45D88" w:rsidRDefault="00501D4E" w:rsidP="00582919">
            <w:pPr>
              <w:jc w:val="both"/>
              <w:rPr>
                <w:rFonts w:eastAsia="Calibri"/>
                <w:sz w:val="20"/>
              </w:rPr>
            </w:pPr>
          </w:p>
        </w:tc>
      </w:tr>
      <w:tr w:rsidR="00501D4E" w:rsidRPr="00C45D88" w:rsidTr="00582919">
        <w:tc>
          <w:tcPr>
            <w:tcW w:w="5000" w:type="pct"/>
            <w:gridSpan w:val="3"/>
          </w:tcPr>
          <w:p w:rsidR="00501D4E" w:rsidRPr="00C45D88" w:rsidRDefault="00501D4E" w:rsidP="00582919">
            <w:pPr>
              <w:jc w:val="both"/>
              <w:rPr>
                <w:rFonts w:eastAsia="Calibri"/>
                <w:sz w:val="20"/>
              </w:rPr>
            </w:pPr>
            <w:r w:rsidRPr="00C45D88">
              <w:rPr>
                <w:rFonts w:eastAsia="Calibri"/>
                <w:sz w:val="20"/>
              </w:rPr>
              <w:t xml:space="preserve">Frank Boda (the “father”) and the respondent (the “son”) visited a law office where the father indicated that he wanted to transfer his home in Vancouver (the “Property”) to his son.  After some discussion it was decided that the Property would be transferred to father and son as joint tenants.  The father and son subsequently fought.  Although the father contacted the lawyer to say he had changed his mind, he never initiated the steps necessary to end the joint tenancy. When the father died eight years later, the applicant, as the executor of the father’s will, commenced proceedings seeking a declaration that the transfer was a gratuitous transfer and that the son holds the Property in trust for the estate.  Alternatively, he alleged that the Property was transferred as a result of undue influence.  The son brought an application for orders that the allegations and relief sought by the executor in regard to the transfer of the Property be dismissed.  The executor brought an application for a declaration that the son holds the Property in trust for the estate. </w:t>
            </w:r>
          </w:p>
          <w:p w:rsidR="00501D4E" w:rsidRPr="00C45D88" w:rsidRDefault="00501D4E" w:rsidP="00582919">
            <w:pPr>
              <w:jc w:val="both"/>
              <w:rPr>
                <w:rFonts w:eastAsia="Calibri"/>
                <w:sz w:val="20"/>
              </w:rPr>
            </w:pPr>
          </w:p>
          <w:p w:rsidR="00501D4E" w:rsidRPr="00C45D88" w:rsidRDefault="00501D4E" w:rsidP="00582919">
            <w:pPr>
              <w:jc w:val="both"/>
              <w:rPr>
                <w:rFonts w:eastAsia="Calibri"/>
                <w:sz w:val="20"/>
              </w:rPr>
            </w:pPr>
            <w:r w:rsidRPr="00C45D88">
              <w:rPr>
                <w:rFonts w:eastAsia="Calibri"/>
                <w:sz w:val="20"/>
              </w:rPr>
              <w:t>The Supreme Court of British Columbia allowed the son’s application and dismissed the executor’s application.  The Court found that the father had intended to gift the Property to the son and that the relationship between the parties was such that the presumption of undue influence did not apply.  Alternatively, if the presumption of undue influence applied, it was rebutted on the evidence.  The executor’s appeal was dismissed by the Court of Appeal for British Columbia.</w:t>
            </w:r>
          </w:p>
          <w:p w:rsidR="00501D4E" w:rsidRPr="00C45D88" w:rsidRDefault="00501D4E" w:rsidP="00582919">
            <w:pPr>
              <w:jc w:val="both"/>
              <w:rPr>
                <w:rFonts w:eastAsia="Calibri"/>
                <w:sz w:val="20"/>
              </w:rPr>
            </w:pPr>
          </w:p>
        </w:tc>
      </w:tr>
      <w:tr w:rsidR="00501D4E" w:rsidRPr="00C45D88" w:rsidTr="00582919">
        <w:tc>
          <w:tcPr>
            <w:tcW w:w="2427" w:type="pct"/>
          </w:tcPr>
          <w:p w:rsidR="00501D4E" w:rsidRPr="00C45D88" w:rsidRDefault="00501D4E" w:rsidP="00582919">
            <w:pPr>
              <w:jc w:val="both"/>
              <w:rPr>
                <w:rFonts w:eastAsia="Calibri"/>
                <w:sz w:val="20"/>
              </w:rPr>
            </w:pPr>
            <w:r w:rsidRPr="00C45D88">
              <w:rPr>
                <w:rFonts w:eastAsia="Calibri"/>
                <w:sz w:val="20"/>
              </w:rPr>
              <w:t>February 24, 2011</w:t>
            </w:r>
          </w:p>
          <w:p w:rsidR="00501D4E" w:rsidRPr="00C45D88" w:rsidRDefault="00501D4E" w:rsidP="00582919">
            <w:pPr>
              <w:jc w:val="both"/>
              <w:rPr>
                <w:rFonts w:eastAsia="Calibri"/>
                <w:sz w:val="20"/>
              </w:rPr>
            </w:pPr>
            <w:r w:rsidRPr="00C45D88">
              <w:rPr>
                <w:rFonts w:eastAsia="Calibri"/>
                <w:sz w:val="20"/>
              </w:rPr>
              <w:t>Supreme Court of British Columbia</w:t>
            </w:r>
          </w:p>
          <w:p w:rsidR="00501D4E" w:rsidRPr="00C45D88" w:rsidRDefault="00501D4E" w:rsidP="00582919">
            <w:pPr>
              <w:jc w:val="both"/>
              <w:rPr>
                <w:rFonts w:eastAsia="Calibri"/>
                <w:sz w:val="20"/>
              </w:rPr>
            </w:pPr>
            <w:r w:rsidRPr="00C45D88">
              <w:rPr>
                <w:rFonts w:eastAsia="Calibri"/>
                <w:sz w:val="20"/>
              </w:rPr>
              <w:t>(Silverman J.)</w:t>
            </w:r>
          </w:p>
          <w:p w:rsidR="00501D4E" w:rsidRPr="00C45D88" w:rsidRDefault="00501D4E" w:rsidP="00582919">
            <w:pPr>
              <w:jc w:val="both"/>
              <w:rPr>
                <w:rFonts w:eastAsia="Calibri"/>
                <w:sz w:val="20"/>
              </w:rPr>
            </w:pPr>
            <w:r w:rsidRPr="00C45D88">
              <w:rPr>
                <w:rFonts w:eastAsia="Calibri"/>
                <w:sz w:val="20"/>
              </w:rPr>
              <w:t>S086460</w:t>
            </w:r>
          </w:p>
          <w:p w:rsidR="00501D4E" w:rsidRPr="00C45D88" w:rsidRDefault="00501D4E" w:rsidP="00582919">
            <w:pPr>
              <w:jc w:val="both"/>
              <w:rPr>
                <w:rFonts w:eastAsia="Calibri"/>
                <w:sz w:val="20"/>
              </w:rPr>
            </w:pPr>
          </w:p>
        </w:tc>
        <w:tc>
          <w:tcPr>
            <w:tcW w:w="243" w:type="pct"/>
          </w:tcPr>
          <w:p w:rsidR="00501D4E" w:rsidRPr="00C45D88" w:rsidRDefault="00501D4E" w:rsidP="00582919">
            <w:pPr>
              <w:jc w:val="both"/>
              <w:rPr>
                <w:rFonts w:eastAsia="Calibri"/>
                <w:sz w:val="20"/>
              </w:rPr>
            </w:pPr>
          </w:p>
        </w:tc>
        <w:tc>
          <w:tcPr>
            <w:tcW w:w="2330" w:type="pct"/>
          </w:tcPr>
          <w:p w:rsidR="00501D4E" w:rsidRPr="00C45D88" w:rsidRDefault="00501D4E" w:rsidP="00582919">
            <w:pPr>
              <w:jc w:val="both"/>
              <w:rPr>
                <w:rFonts w:eastAsia="Calibri"/>
                <w:sz w:val="20"/>
              </w:rPr>
            </w:pPr>
            <w:r w:rsidRPr="00C45D88">
              <w:rPr>
                <w:rFonts w:eastAsia="Calibri"/>
                <w:sz w:val="20"/>
              </w:rPr>
              <w:t>Respondent’s application allowed; applicant’s application dismissed</w:t>
            </w:r>
          </w:p>
        </w:tc>
      </w:tr>
      <w:tr w:rsidR="00501D4E" w:rsidRPr="00C45D88" w:rsidTr="00582919">
        <w:tc>
          <w:tcPr>
            <w:tcW w:w="2427" w:type="pct"/>
          </w:tcPr>
          <w:p w:rsidR="00501D4E" w:rsidRPr="00C45D88" w:rsidRDefault="00501D4E" w:rsidP="00582919">
            <w:pPr>
              <w:jc w:val="both"/>
              <w:rPr>
                <w:rFonts w:eastAsia="Calibri"/>
                <w:sz w:val="20"/>
              </w:rPr>
            </w:pPr>
            <w:r w:rsidRPr="00C45D88">
              <w:rPr>
                <w:rFonts w:eastAsia="Calibri"/>
                <w:sz w:val="20"/>
              </w:rPr>
              <w:t>September 16, 2014</w:t>
            </w:r>
          </w:p>
          <w:p w:rsidR="00501D4E" w:rsidRPr="00C45D88" w:rsidRDefault="00501D4E" w:rsidP="00582919">
            <w:pPr>
              <w:jc w:val="both"/>
              <w:rPr>
                <w:rFonts w:eastAsia="Calibri"/>
                <w:sz w:val="20"/>
              </w:rPr>
            </w:pPr>
            <w:r w:rsidRPr="00C45D88">
              <w:rPr>
                <w:rFonts w:eastAsia="Calibri"/>
                <w:sz w:val="20"/>
              </w:rPr>
              <w:t xml:space="preserve">Court of Appeal for British Columbia </w:t>
            </w:r>
          </w:p>
          <w:p w:rsidR="00501D4E" w:rsidRPr="00C45D88" w:rsidRDefault="00501D4E" w:rsidP="00582919">
            <w:pPr>
              <w:jc w:val="both"/>
              <w:rPr>
                <w:rFonts w:eastAsia="Calibri"/>
                <w:sz w:val="20"/>
              </w:rPr>
            </w:pPr>
            <w:r w:rsidRPr="00C45D88">
              <w:rPr>
                <w:rFonts w:eastAsia="Calibri"/>
                <w:sz w:val="20"/>
              </w:rPr>
              <w:t>(Vancouver)</w:t>
            </w:r>
          </w:p>
          <w:p w:rsidR="00501D4E" w:rsidRPr="00C45D88" w:rsidRDefault="00501D4E" w:rsidP="00582919">
            <w:pPr>
              <w:jc w:val="both"/>
              <w:rPr>
                <w:rFonts w:eastAsia="Calibri"/>
                <w:sz w:val="20"/>
              </w:rPr>
            </w:pPr>
            <w:r w:rsidRPr="00C45D88">
              <w:rPr>
                <w:rFonts w:eastAsia="Calibri"/>
                <w:sz w:val="20"/>
              </w:rPr>
              <w:t>(Saunders, Frankel and Goepel JJ.A.)</w:t>
            </w:r>
          </w:p>
          <w:p w:rsidR="00501D4E" w:rsidRPr="00C45D88" w:rsidRDefault="003A60BB" w:rsidP="00582919">
            <w:pPr>
              <w:jc w:val="both"/>
              <w:rPr>
                <w:rFonts w:eastAsia="Calibri"/>
                <w:sz w:val="20"/>
              </w:rPr>
            </w:pPr>
            <w:hyperlink r:id="rId59" w:history="1">
              <w:r w:rsidR="00501D4E" w:rsidRPr="00C45D88">
                <w:rPr>
                  <w:rFonts w:eastAsia="Calibri"/>
                  <w:color w:val="0000FF"/>
                  <w:sz w:val="20"/>
                  <w:u w:val="single"/>
                </w:rPr>
                <w:t>2014 BCCA 354</w:t>
              </w:r>
            </w:hyperlink>
            <w:r w:rsidR="00501D4E" w:rsidRPr="00C45D88">
              <w:rPr>
                <w:rFonts w:eastAsia="Calibri"/>
                <w:sz w:val="20"/>
              </w:rPr>
              <w:t>; CA038912</w:t>
            </w:r>
          </w:p>
          <w:p w:rsidR="00501D4E" w:rsidRPr="00C45D88" w:rsidRDefault="00501D4E" w:rsidP="00582919">
            <w:pPr>
              <w:jc w:val="both"/>
              <w:rPr>
                <w:rFonts w:eastAsia="Calibri"/>
                <w:sz w:val="20"/>
              </w:rPr>
            </w:pPr>
          </w:p>
        </w:tc>
        <w:tc>
          <w:tcPr>
            <w:tcW w:w="243" w:type="pct"/>
          </w:tcPr>
          <w:p w:rsidR="00501D4E" w:rsidRPr="00C45D88" w:rsidRDefault="00501D4E" w:rsidP="00582919">
            <w:pPr>
              <w:jc w:val="both"/>
              <w:rPr>
                <w:rFonts w:eastAsia="Calibri"/>
                <w:sz w:val="20"/>
              </w:rPr>
            </w:pPr>
          </w:p>
        </w:tc>
        <w:tc>
          <w:tcPr>
            <w:tcW w:w="2330" w:type="pct"/>
          </w:tcPr>
          <w:p w:rsidR="00501D4E" w:rsidRPr="00C45D88" w:rsidRDefault="00501D4E" w:rsidP="00582919">
            <w:pPr>
              <w:jc w:val="both"/>
              <w:rPr>
                <w:rFonts w:eastAsia="Calibri"/>
                <w:sz w:val="20"/>
              </w:rPr>
            </w:pPr>
            <w:r w:rsidRPr="00C45D88">
              <w:rPr>
                <w:rFonts w:eastAsia="Calibri"/>
                <w:sz w:val="20"/>
              </w:rPr>
              <w:t>Appeal dismissed</w:t>
            </w:r>
          </w:p>
        </w:tc>
      </w:tr>
      <w:tr w:rsidR="00501D4E" w:rsidRPr="00C45D88" w:rsidTr="00582919">
        <w:tc>
          <w:tcPr>
            <w:tcW w:w="2427" w:type="pct"/>
          </w:tcPr>
          <w:p w:rsidR="00501D4E" w:rsidRPr="00C45D88" w:rsidRDefault="00501D4E" w:rsidP="00582919">
            <w:pPr>
              <w:jc w:val="both"/>
              <w:rPr>
                <w:rFonts w:eastAsia="Calibri"/>
                <w:sz w:val="20"/>
              </w:rPr>
            </w:pPr>
            <w:r w:rsidRPr="00C45D88">
              <w:rPr>
                <w:rFonts w:eastAsia="Calibri"/>
                <w:sz w:val="20"/>
              </w:rPr>
              <w:t>November 17, 2014</w:t>
            </w:r>
          </w:p>
          <w:p w:rsidR="00501D4E" w:rsidRPr="00C45D88" w:rsidRDefault="00501D4E" w:rsidP="00582919">
            <w:pPr>
              <w:jc w:val="both"/>
              <w:rPr>
                <w:rFonts w:eastAsia="Calibri"/>
                <w:sz w:val="20"/>
              </w:rPr>
            </w:pPr>
            <w:r w:rsidRPr="00C45D88">
              <w:rPr>
                <w:rFonts w:eastAsia="Calibri"/>
                <w:sz w:val="20"/>
              </w:rPr>
              <w:t>Supreme Court of Canada</w:t>
            </w:r>
          </w:p>
        </w:tc>
        <w:tc>
          <w:tcPr>
            <w:tcW w:w="243" w:type="pct"/>
          </w:tcPr>
          <w:p w:rsidR="00501D4E" w:rsidRPr="00C45D88" w:rsidRDefault="00501D4E" w:rsidP="00582919">
            <w:pPr>
              <w:jc w:val="both"/>
              <w:rPr>
                <w:rFonts w:eastAsia="Calibri"/>
                <w:sz w:val="20"/>
              </w:rPr>
            </w:pPr>
          </w:p>
        </w:tc>
        <w:tc>
          <w:tcPr>
            <w:tcW w:w="2330" w:type="pct"/>
          </w:tcPr>
          <w:p w:rsidR="00501D4E" w:rsidRPr="00C45D88" w:rsidRDefault="00501D4E" w:rsidP="00582919">
            <w:pPr>
              <w:jc w:val="both"/>
              <w:rPr>
                <w:rFonts w:eastAsia="Calibri"/>
                <w:sz w:val="20"/>
              </w:rPr>
            </w:pPr>
            <w:r w:rsidRPr="00C45D88">
              <w:rPr>
                <w:rFonts w:eastAsia="Calibri"/>
                <w:sz w:val="20"/>
              </w:rPr>
              <w:t>Application for leave to appeal filed</w:t>
            </w:r>
          </w:p>
        </w:tc>
      </w:tr>
    </w:tbl>
    <w:p w:rsidR="000D6E5D" w:rsidRDefault="000D6E5D" w:rsidP="000D6E5D">
      <w:pPr>
        <w:rPr>
          <w:sz w:val="20"/>
          <w:szCs w:val="20"/>
        </w:rPr>
      </w:pPr>
    </w:p>
    <w:p w:rsidR="000D6E5D" w:rsidRPr="00C50A5C" w:rsidRDefault="003A60BB" w:rsidP="000D6E5D">
      <w:pPr>
        <w:rPr>
          <w:sz w:val="20"/>
          <w:szCs w:val="20"/>
        </w:rPr>
      </w:pPr>
      <w:r>
        <w:rPr>
          <w:sz w:val="20"/>
          <w:szCs w:val="20"/>
          <w:lang w:val="fr-CA"/>
        </w:rPr>
        <w:pict>
          <v:rect id="_x0000_i1058" style="width:2in;height:1pt" o:hrpct="0" o:hralign="center" o:hrstd="t" o:hrnoshade="t" o:hr="t" fillcolor="black [3213]" stroked="f"/>
        </w:pict>
      </w:r>
    </w:p>
    <w:p w:rsidR="000D6E5D" w:rsidRDefault="000D6E5D" w:rsidP="000D6E5D">
      <w:pPr>
        <w:rPr>
          <w:sz w:val="20"/>
          <w:szCs w:val="20"/>
        </w:rPr>
      </w:pPr>
    </w:p>
    <w:p w:rsidR="000D6E5D" w:rsidRPr="001B157C" w:rsidRDefault="000D6E5D" w:rsidP="000D6E5D">
      <w:pPr>
        <w:rPr>
          <w:sz w:val="20"/>
          <w:szCs w:val="20"/>
          <w:u w:val="single"/>
          <w:lang w:val="fr-CA"/>
        </w:rPr>
      </w:pPr>
      <w:r w:rsidRPr="001B157C">
        <w:rPr>
          <w:sz w:val="20"/>
          <w:szCs w:val="20"/>
          <w:u w:val="single"/>
          <w:lang w:val="fr-CA"/>
        </w:rPr>
        <w:t>RÉSUMÉ DE L’AFFAIRE</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01D4E" w:rsidRPr="00560020" w:rsidTr="00582919">
        <w:tc>
          <w:tcPr>
            <w:tcW w:w="5000" w:type="pct"/>
            <w:gridSpan w:val="3"/>
          </w:tcPr>
          <w:p w:rsidR="00501D4E" w:rsidRPr="00C45D88" w:rsidRDefault="00501D4E" w:rsidP="00582919">
            <w:pPr>
              <w:jc w:val="both"/>
              <w:rPr>
                <w:rFonts w:eastAsia="Calibri"/>
                <w:sz w:val="20"/>
                <w:lang w:val="fr-CA"/>
              </w:rPr>
            </w:pPr>
            <w:r w:rsidRPr="00C45D88">
              <w:rPr>
                <w:rFonts w:eastAsia="Calibri"/>
                <w:sz w:val="20"/>
                <w:lang w:val="fr-CA"/>
              </w:rPr>
              <w:t xml:space="preserve">Successions – Testaments – Présomption de fiducie résultoire – Fiducies – Donations – La présomption de fiducie résultoire dans les affaires de transfert à titre gratuit peut-elle être réfutée sans prouver que l’auteur du transfert comprenait que le transfert était irrévocable? – L’arrêt </w:t>
            </w:r>
            <w:r w:rsidRPr="00C45D88">
              <w:rPr>
                <w:rFonts w:eastAsia="Calibri"/>
                <w:i/>
                <w:sz w:val="20"/>
                <w:lang w:val="fr-CA"/>
              </w:rPr>
              <w:t>Geffen c. Succession Goodman</w:t>
            </w:r>
            <w:r w:rsidRPr="00C45D88">
              <w:rPr>
                <w:rFonts w:eastAsia="Calibri"/>
                <w:sz w:val="20"/>
                <w:lang w:val="fr-CA"/>
              </w:rPr>
              <w:t>, [1991] 2 R.C.S. 353, veut-il que tout transfert à titre gratuit entre un parent et son enfant fasse jouer une présomption d’abus d’influence? – Dans la négative, quelles relations parents-enfants ont cet effet?</w:t>
            </w:r>
          </w:p>
        </w:tc>
      </w:tr>
      <w:tr w:rsidR="00501D4E" w:rsidRPr="00560020" w:rsidTr="00582919">
        <w:tc>
          <w:tcPr>
            <w:tcW w:w="5000" w:type="pct"/>
            <w:gridSpan w:val="3"/>
          </w:tcPr>
          <w:p w:rsidR="00501D4E" w:rsidRPr="00C45D88" w:rsidRDefault="00501D4E" w:rsidP="00582919">
            <w:pPr>
              <w:jc w:val="both"/>
              <w:rPr>
                <w:rFonts w:eastAsia="Calibri"/>
                <w:sz w:val="20"/>
                <w:lang w:val="fr-CA"/>
              </w:rPr>
            </w:pPr>
          </w:p>
        </w:tc>
      </w:tr>
      <w:tr w:rsidR="00501D4E" w:rsidRPr="00560020" w:rsidTr="00582919">
        <w:tc>
          <w:tcPr>
            <w:tcW w:w="5000" w:type="pct"/>
            <w:gridSpan w:val="3"/>
          </w:tcPr>
          <w:p w:rsidR="00501D4E" w:rsidRPr="00C45D88" w:rsidRDefault="00501D4E" w:rsidP="00582919">
            <w:pPr>
              <w:jc w:val="both"/>
              <w:rPr>
                <w:rFonts w:eastAsia="Calibri"/>
                <w:sz w:val="20"/>
                <w:lang w:val="fr-CA"/>
              </w:rPr>
            </w:pPr>
            <w:r w:rsidRPr="00C45D88">
              <w:rPr>
                <w:rFonts w:eastAsia="Calibri"/>
                <w:sz w:val="20"/>
                <w:lang w:val="fr-CA"/>
              </w:rPr>
              <w:t xml:space="preserve">Frank Boda (le « père ») et l’intimé (le « fils ») ont consulté un cabinet d’avocats où le père a fait part de son intention de transférer sa maison à Vancouver (le « bien ») à son fils.  Après quelques discussions, il a été décidé que le bien serait transféré au père et au fils à titre de tenants conjoints.  Le père et le fils se sont disputés par la suite.  Même si le père a communiqué avec l’avocat pour dire qu’il avait changé d’idée, il n’a jamais fait les démarches nécessaires pour mettre fin à la tenance conjointe.  Lorsque le père est décédé huit ans plus tard, le demandeur, en qualité d’exécuteur du testament du père, a introduit une instance pour obtenir un jugement déclarant que le transfert avait été fait à titre gratuit et que le fils détenait le bien en fiducie pour la succession.  Subsidiairement, il a allégué que le bien avait été transféré à la suite d’un abus d’influence.  Le fils a introduit une demande pour obtenir des ordonnances rejetant les allégations et la réparation demandée par l’exécuteur à l’égard du transfert du bien.  L’exécuteur a présenté une demande de jugement déclarant que le fils détenait le bien en fiducie pour la succession. </w:t>
            </w:r>
          </w:p>
          <w:p w:rsidR="00501D4E" w:rsidRPr="00C45D88" w:rsidRDefault="00501D4E" w:rsidP="00582919">
            <w:pPr>
              <w:jc w:val="both"/>
              <w:rPr>
                <w:rFonts w:eastAsia="Calibri"/>
                <w:sz w:val="20"/>
                <w:lang w:val="fr-CA"/>
              </w:rPr>
            </w:pPr>
          </w:p>
          <w:p w:rsidR="00501D4E" w:rsidRPr="00C45D88" w:rsidRDefault="00501D4E" w:rsidP="00582919">
            <w:pPr>
              <w:jc w:val="both"/>
              <w:rPr>
                <w:rFonts w:eastAsia="Calibri"/>
                <w:sz w:val="20"/>
                <w:lang w:val="fr-CA"/>
              </w:rPr>
            </w:pPr>
            <w:r w:rsidRPr="00C45D88">
              <w:rPr>
                <w:rFonts w:eastAsia="Calibri"/>
                <w:sz w:val="20"/>
                <w:lang w:val="fr-CA"/>
              </w:rPr>
              <w:t>La Cour suprême de la Colombie-Britannique a accueilli la demande du fils et rejeté la demande de l’exécuteur.  La Cour a conclu que le père avait eu l’intention de faire donation du bien au fils et que la relation entre les parties faisait en sorte que la présomption d’abus d’influence ne s’appliquait pas.  Subsidiairement, si la présomption d’influence indue s’appliquait, elle avait été réfutée d’après la preuve.  La Cour d’appel de la Colombie-Britannique a rejeté l’appel de l’exécuteur.</w:t>
            </w:r>
          </w:p>
          <w:p w:rsidR="00501D4E" w:rsidRPr="00C45D88" w:rsidRDefault="00501D4E" w:rsidP="00582919">
            <w:pPr>
              <w:jc w:val="both"/>
              <w:rPr>
                <w:rFonts w:eastAsia="Calibri"/>
                <w:sz w:val="20"/>
                <w:lang w:val="fr-CA"/>
              </w:rPr>
            </w:pPr>
          </w:p>
        </w:tc>
      </w:tr>
      <w:tr w:rsidR="00501D4E" w:rsidRPr="00560020" w:rsidTr="00582919">
        <w:tc>
          <w:tcPr>
            <w:tcW w:w="2427" w:type="pct"/>
          </w:tcPr>
          <w:p w:rsidR="00501D4E" w:rsidRPr="00C45D88" w:rsidRDefault="00501D4E" w:rsidP="00582919">
            <w:pPr>
              <w:jc w:val="both"/>
              <w:rPr>
                <w:rFonts w:eastAsia="Calibri"/>
                <w:sz w:val="20"/>
                <w:lang w:val="fr-CA"/>
              </w:rPr>
            </w:pPr>
            <w:r w:rsidRPr="00C45D88">
              <w:rPr>
                <w:rFonts w:eastAsia="Calibri"/>
                <w:sz w:val="20"/>
                <w:lang w:val="fr-CA"/>
              </w:rPr>
              <w:t>24 février 2011</w:t>
            </w:r>
          </w:p>
          <w:p w:rsidR="00501D4E" w:rsidRPr="00C45D88" w:rsidRDefault="00501D4E" w:rsidP="00582919">
            <w:pPr>
              <w:jc w:val="both"/>
              <w:rPr>
                <w:rFonts w:eastAsia="Calibri"/>
                <w:sz w:val="20"/>
                <w:lang w:val="fr-CA"/>
              </w:rPr>
            </w:pPr>
            <w:r w:rsidRPr="00C45D88">
              <w:rPr>
                <w:rFonts w:eastAsia="Calibri"/>
                <w:sz w:val="20"/>
                <w:lang w:val="fr-CA"/>
              </w:rPr>
              <w:t>Cour suprême de la Colombie-Britannique</w:t>
            </w:r>
          </w:p>
          <w:p w:rsidR="00501D4E" w:rsidRPr="00C45D88" w:rsidRDefault="00501D4E" w:rsidP="00582919">
            <w:pPr>
              <w:jc w:val="both"/>
              <w:rPr>
                <w:rFonts w:eastAsia="Calibri"/>
                <w:sz w:val="20"/>
                <w:lang w:val="fr-CA"/>
              </w:rPr>
            </w:pPr>
            <w:r w:rsidRPr="00C45D88">
              <w:rPr>
                <w:rFonts w:eastAsia="Calibri"/>
                <w:sz w:val="20"/>
                <w:lang w:val="fr-CA"/>
              </w:rPr>
              <w:t>(Juge Silverman)</w:t>
            </w:r>
          </w:p>
          <w:p w:rsidR="00501D4E" w:rsidRPr="00C45D88" w:rsidRDefault="00501D4E" w:rsidP="00582919">
            <w:pPr>
              <w:jc w:val="both"/>
              <w:rPr>
                <w:rFonts w:eastAsia="Calibri"/>
                <w:sz w:val="20"/>
                <w:lang w:val="fr-CA"/>
              </w:rPr>
            </w:pPr>
            <w:r w:rsidRPr="00C45D88">
              <w:rPr>
                <w:rFonts w:eastAsia="Calibri"/>
                <w:sz w:val="20"/>
                <w:lang w:val="fr-CA"/>
              </w:rPr>
              <w:t>S086460</w:t>
            </w:r>
          </w:p>
          <w:p w:rsidR="00501D4E" w:rsidRPr="00C45D88" w:rsidRDefault="00501D4E" w:rsidP="00582919">
            <w:pPr>
              <w:jc w:val="both"/>
              <w:rPr>
                <w:rFonts w:eastAsia="Calibri"/>
                <w:sz w:val="20"/>
                <w:lang w:val="fr-CA"/>
              </w:rPr>
            </w:pPr>
          </w:p>
        </w:tc>
        <w:tc>
          <w:tcPr>
            <w:tcW w:w="243" w:type="pct"/>
          </w:tcPr>
          <w:p w:rsidR="00501D4E" w:rsidRPr="00C45D88" w:rsidRDefault="00501D4E" w:rsidP="00582919">
            <w:pPr>
              <w:jc w:val="both"/>
              <w:rPr>
                <w:rFonts w:eastAsia="Calibri"/>
                <w:sz w:val="20"/>
                <w:lang w:val="fr-CA"/>
              </w:rPr>
            </w:pPr>
          </w:p>
        </w:tc>
        <w:tc>
          <w:tcPr>
            <w:tcW w:w="2330" w:type="pct"/>
          </w:tcPr>
          <w:p w:rsidR="00501D4E" w:rsidRPr="00C45D88" w:rsidRDefault="00501D4E" w:rsidP="00582919">
            <w:pPr>
              <w:jc w:val="both"/>
              <w:rPr>
                <w:rFonts w:eastAsia="Calibri"/>
                <w:sz w:val="20"/>
                <w:lang w:val="fr-CA"/>
              </w:rPr>
            </w:pPr>
            <w:r w:rsidRPr="00C45D88">
              <w:rPr>
                <w:rFonts w:eastAsia="Calibri"/>
                <w:sz w:val="20"/>
                <w:lang w:val="fr-CA"/>
              </w:rPr>
              <w:t>Décision accueillant la demande de l’intimé; rejet de la demande du demandeur.</w:t>
            </w:r>
          </w:p>
        </w:tc>
      </w:tr>
      <w:tr w:rsidR="00501D4E" w:rsidRPr="00C45D88" w:rsidTr="00582919">
        <w:tc>
          <w:tcPr>
            <w:tcW w:w="2427" w:type="pct"/>
          </w:tcPr>
          <w:p w:rsidR="00501D4E" w:rsidRPr="00C45D88" w:rsidRDefault="00501D4E" w:rsidP="00582919">
            <w:pPr>
              <w:jc w:val="both"/>
              <w:rPr>
                <w:rFonts w:eastAsia="Calibri"/>
                <w:sz w:val="20"/>
                <w:lang w:val="fr-CA"/>
              </w:rPr>
            </w:pPr>
            <w:r w:rsidRPr="00C45D88">
              <w:rPr>
                <w:rFonts w:eastAsia="Calibri"/>
                <w:sz w:val="20"/>
                <w:lang w:val="fr-CA"/>
              </w:rPr>
              <w:t>16 septembre 2014</w:t>
            </w:r>
          </w:p>
          <w:p w:rsidR="00501D4E" w:rsidRPr="00C45D88" w:rsidRDefault="00501D4E" w:rsidP="00582919">
            <w:pPr>
              <w:jc w:val="both"/>
              <w:rPr>
                <w:rFonts w:eastAsia="Calibri"/>
                <w:sz w:val="20"/>
                <w:lang w:val="fr-CA"/>
              </w:rPr>
            </w:pPr>
            <w:r w:rsidRPr="00C45D88">
              <w:rPr>
                <w:rFonts w:eastAsia="Calibri"/>
                <w:sz w:val="20"/>
                <w:lang w:val="fr-CA"/>
              </w:rPr>
              <w:t>Cour d’appel de la Colombie-Britannique</w:t>
            </w:r>
          </w:p>
          <w:p w:rsidR="00501D4E" w:rsidRPr="00C45D88" w:rsidRDefault="00501D4E" w:rsidP="00582919">
            <w:pPr>
              <w:jc w:val="both"/>
              <w:rPr>
                <w:rFonts w:eastAsia="Calibri"/>
                <w:sz w:val="20"/>
                <w:lang w:val="fr-CA"/>
              </w:rPr>
            </w:pPr>
            <w:r w:rsidRPr="00C45D88">
              <w:rPr>
                <w:rFonts w:eastAsia="Calibri"/>
                <w:sz w:val="20"/>
                <w:lang w:val="fr-CA"/>
              </w:rPr>
              <w:t>(Vancouver)</w:t>
            </w:r>
          </w:p>
          <w:p w:rsidR="00501D4E" w:rsidRPr="00C45D88" w:rsidRDefault="00501D4E" w:rsidP="00582919">
            <w:pPr>
              <w:jc w:val="both"/>
              <w:rPr>
                <w:rFonts w:eastAsia="Calibri"/>
                <w:sz w:val="20"/>
                <w:lang w:val="fr-CA"/>
              </w:rPr>
            </w:pPr>
            <w:r w:rsidRPr="00C45D88">
              <w:rPr>
                <w:rFonts w:eastAsia="Calibri"/>
                <w:sz w:val="20"/>
                <w:lang w:val="fr-CA"/>
              </w:rPr>
              <w:t>(Juges Saunders, Frankel et Goepel)</w:t>
            </w:r>
          </w:p>
          <w:p w:rsidR="00501D4E" w:rsidRPr="00C45D88" w:rsidRDefault="003A60BB" w:rsidP="00582919">
            <w:pPr>
              <w:jc w:val="both"/>
              <w:rPr>
                <w:rFonts w:eastAsia="Calibri"/>
                <w:sz w:val="20"/>
                <w:lang w:val="fr-CA"/>
              </w:rPr>
            </w:pPr>
            <w:hyperlink r:id="rId60" w:history="1">
              <w:r w:rsidR="00501D4E" w:rsidRPr="00C45D88">
                <w:rPr>
                  <w:rFonts w:eastAsia="Calibri"/>
                  <w:color w:val="0000FF"/>
                  <w:sz w:val="20"/>
                  <w:u w:val="single"/>
                  <w:lang w:val="fr-CA"/>
                </w:rPr>
                <w:t>2014 BCCA 354</w:t>
              </w:r>
            </w:hyperlink>
            <w:r w:rsidR="00501D4E" w:rsidRPr="00C45D88">
              <w:rPr>
                <w:rFonts w:eastAsia="Calibri"/>
                <w:sz w:val="20"/>
                <w:lang w:val="fr-CA"/>
              </w:rPr>
              <w:t>; CA038912</w:t>
            </w:r>
          </w:p>
          <w:p w:rsidR="00501D4E" w:rsidRPr="00C45D88" w:rsidRDefault="00501D4E" w:rsidP="00582919">
            <w:pPr>
              <w:jc w:val="both"/>
              <w:rPr>
                <w:rFonts w:eastAsia="Calibri"/>
                <w:sz w:val="20"/>
                <w:lang w:val="fr-CA"/>
              </w:rPr>
            </w:pPr>
          </w:p>
        </w:tc>
        <w:tc>
          <w:tcPr>
            <w:tcW w:w="243" w:type="pct"/>
          </w:tcPr>
          <w:p w:rsidR="00501D4E" w:rsidRPr="00C45D88" w:rsidRDefault="00501D4E" w:rsidP="00582919">
            <w:pPr>
              <w:jc w:val="both"/>
              <w:rPr>
                <w:rFonts w:eastAsia="Calibri"/>
                <w:sz w:val="20"/>
                <w:lang w:val="fr-CA"/>
              </w:rPr>
            </w:pPr>
          </w:p>
        </w:tc>
        <w:tc>
          <w:tcPr>
            <w:tcW w:w="2330" w:type="pct"/>
          </w:tcPr>
          <w:p w:rsidR="00501D4E" w:rsidRPr="00C45D88" w:rsidRDefault="00501D4E" w:rsidP="00582919">
            <w:pPr>
              <w:jc w:val="both"/>
              <w:rPr>
                <w:rFonts w:eastAsia="Calibri"/>
                <w:sz w:val="20"/>
                <w:lang w:val="fr-CA"/>
              </w:rPr>
            </w:pPr>
            <w:r w:rsidRPr="00C45D88">
              <w:rPr>
                <w:rFonts w:eastAsia="Calibri"/>
                <w:sz w:val="20"/>
                <w:lang w:val="fr-CA"/>
              </w:rPr>
              <w:t>Rejet de l’appel</w:t>
            </w:r>
          </w:p>
        </w:tc>
      </w:tr>
      <w:tr w:rsidR="00501D4E" w:rsidRPr="00560020" w:rsidTr="00582919">
        <w:tc>
          <w:tcPr>
            <w:tcW w:w="2427" w:type="pct"/>
          </w:tcPr>
          <w:p w:rsidR="00501D4E" w:rsidRPr="00C45D88" w:rsidRDefault="00501D4E" w:rsidP="00582919">
            <w:pPr>
              <w:jc w:val="both"/>
              <w:rPr>
                <w:rFonts w:eastAsia="Calibri"/>
                <w:sz w:val="20"/>
                <w:lang w:val="fr-CA"/>
              </w:rPr>
            </w:pPr>
            <w:r w:rsidRPr="00C45D88">
              <w:rPr>
                <w:rFonts w:eastAsia="Calibri"/>
                <w:sz w:val="20"/>
                <w:lang w:val="fr-CA"/>
              </w:rPr>
              <w:t>17 novembre 2014</w:t>
            </w:r>
          </w:p>
          <w:p w:rsidR="00501D4E" w:rsidRPr="00C45D88" w:rsidRDefault="00501D4E" w:rsidP="00582919">
            <w:pPr>
              <w:jc w:val="both"/>
              <w:rPr>
                <w:rFonts w:eastAsia="Calibri"/>
                <w:sz w:val="20"/>
                <w:lang w:val="fr-CA"/>
              </w:rPr>
            </w:pPr>
            <w:r w:rsidRPr="00C45D88">
              <w:rPr>
                <w:rFonts w:eastAsia="Calibri"/>
                <w:sz w:val="20"/>
                <w:lang w:val="fr-CA"/>
              </w:rPr>
              <w:t>Cour suprême du Canada</w:t>
            </w:r>
          </w:p>
        </w:tc>
        <w:tc>
          <w:tcPr>
            <w:tcW w:w="243" w:type="pct"/>
          </w:tcPr>
          <w:p w:rsidR="00501D4E" w:rsidRPr="00C45D88" w:rsidRDefault="00501D4E" w:rsidP="00582919">
            <w:pPr>
              <w:jc w:val="both"/>
              <w:rPr>
                <w:rFonts w:eastAsia="Calibri"/>
                <w:sz w:val="20"/>
                <w:lang w:val="fr-CA"/>
              </w:rPr>
            </w:pPr>
          </w:p>
        </w:tc>
        <w:tc>
          <w:tcPr>
            <w:tcW w:w="2330" w:type="pct"/>
          </w:tcPr>
          <w:p w:rsidR="00501D4E" w:rsidRPr="00C45D88" w:rsidRDefault="00501D4E" w:rsidP="00582919">
            <w:pPr>
              <w:jc w:val="both"/>
              <w:rPr>
                <w:rFonts w:eastAsia="Calibri"/>
                <w:sz w:val="20"/>
                <w:lang w:val="fr-CA"/>
              </w:rPr>
            </w:pPr>
            <w:r w:rsidRPr="00C45D88">
              <w:rPr>
                <w:rFonts w:eastAsia="Calibri"/>
                <w:sz w:val="20"/>
                <w:lang w:val="fr-CA"/>
              </w:rPr>
              <w:t>Dépôt de la demande d’autorisation d’appel</w:t>
            </w:r>
          </w:p>
        </w:tc>
      </w:tr>
    </w:tbl>
    <w:p w:rsidR="000D6E5D" w:rsidRPr="00501D4E" w:rsidRDefault="000D6E5D" w:rsidP="000D6E5D">
      <w:pPr>
        <w:rPr>
          <w:sz w:val="20"/>
          <w:szCs w:val="20"/>
          <w:lang w:val="fr-CA"/>
        </w:rPr>
      </w:pPr>
    </w:p>
    <w:p w:rsidR="000D6E5D" w:rsidRDefault="003A60BB" w:rsidP="000D6E5D">
      <w:pPr>
        <w:rPr>
          <w:sz w:val="20"/>
          <w:szCs w:val="20"/>
        </w:rPr>
      </w:pPr>
      <w:r>
        <w:rPr>
          <w:sz w:val="20"/>
          <w:szCs w:val="20"/>
          <w:lang w:val="fr-CA"/>
        </w:rPr>
        <w:pict>
          <v:rect id="_x0000_i1059" style="width:2in;height:1pt" o:hrpct="0" o:hralign="center" o:hrstd="t" o:hrnoshade="t" o:hr="t" fillcolor="black [3213]" stroked="f"/>
        </w:pict>
      </w:r>
    </w:p>
    <w:p w:rsidR="000D6E5D" w:rsidRDefault="000D6E5D" w:rsidP="000D6E5D">
      <w:pPr>
        <w:rPr>
          <w:sz w:val="20"/>
          <w:szCs w:val="20"/>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72F16" w:rsidRPr="00272F16" w:rsidTr="003431AF">
        <w:trPr>
          <w:cantSplit/>
        </w:trPr>
        <w:tc>
          <w:tcPr>
            <w:tcW w:w="1458" w:type="dxa"/>
          </w:tcPr>
          <w:p w:rsidR="00272F16" w:rsidRPr="00272F16" w:rsidRDefault="00272F16" w:rsidP="00272F16">
            <w:pPr>
              <w:rPr>
                <w:sz w:val="20"/>
              </w:rPr>
            </w:pPr>
            <w:r w:rsidRPr="00272F16">
              <w:rPr>
                <w:b/>
                <w:sz w:val="20"/>
                <w:lang w:val="fr-CA"/>
              </w:rPr>
              <w:t>36179</w:t>
            </w:r>
          </w:p>
          <w:p w:rsidR="00272F16" w:rsidRPr="00272F16" w:rsidRDefault="00272F16" w:rsidP="00272F16">
            <w:pPr>
              <w:rPr>
                <w:b/>
                <w:sz w:val="20"/>
                <w:lang w:val="fr-CA"/>
              </w:rPr>
            </w:pPr>
          </w:p>
        </w:tc>
        <w:tc>
          <w:tcPr>
            <w:tcW w:w="8118" w:type="dxa"/>
          </w:tcPr>
          <w:p w:rsidR="00272F16" w:rsidRPr="00272F16" w:rsidRDefault="00272F16" w:rsidP="00272F16">
            <w:pPr>
              <w:rPr>
                <w:sz w:val="20"/>
              </w:rPr>
            </w:pPr>
            <w:r w:rsidRPr="00272F16">
              <w:rPr>
                <w:b/>
                <w:sz w:val="20"/>
                <w:u w:val="single"/>
              </w:rPr>
              <w:t>Derek Riesberry v. Her Majesty the Queen</w:t>
            </w:r>
            <w:r w:rsidRPr="00272F16">
              <w:rPr>
                <w:sz w:val="20"/>
              </w:rPr>
              <w:t xml:space="preserve"> (Ont.) (Criminal) (As of Right / By Leave)</w:t>
            </w:r>
          </w:p>
          <w:p w:rsidR="00272F16" w:rsidRPr="00272F16" w:rsidRDefault="00272F16" w:rsidP="00272F16">
            <w:pPr>
              <w:rPr>
                <w:sz w:val="20"/>
              </w:rPr>
            </w:pPr>
          </w:p>
        </w:tc>
      </w:tr>
      <w:tr w:rsidR="00272F16" w:rsidRPr="00272F16" w:rsidTr="003431AF">
        <w:trPr>
          <w:cantSplit/>
        </w:trPr>
        <w:tc>
          <w:tcPr>
            <w:tcW w:w="1458" w:type="dxa"/>
          </w:tcPr>
          <w:p w:rsidR="00272F16" w:rsidRPr="00272F16" w:rsidRDefault="00272F16" w:rsidP="00272F16">
            <w:pPr>
              <w:rPr>
                <w:sz w:val="20"/>
              </w:rPr>
            </w:pPr>
            <w:r w:rsidRPr="00272F16">
              <w:rPr>
                <w:sz w:val="20"/>
              </w:rPr>
              <w:t>Coram :</w:t>
            </w:r>
          </w:p>
        </w:tc>
        <w:tc>
          <w:tcPr>
            <w:tcW w:w="8118" w:type="dxa"/>
          </w:tcPr>
          <w:p w:rsidR="00272F16" w:rsidRPr="00272F16" w:rsidRDefault="00272F16" w:rsidP="00272F16">
            <w:pPr>
              <w:rPr>
                <w:sz w:val="20"/>
              </w:rPr>
            </w:pPr>
            <w:r w:rsidRPr="00272F16">
              <w:rPr>
                <w:sz w:val="20"/>
                <w:u w:val="single"/>
              </w:rPr>
              <w:t>McLachlin C.J. and Wagner and Gascon JJ.</w:t>
            </w:r>
          </w:p>
          <w:p w:rsidR="00272F16" w:rsidRPr="00272F16" w:rsidRDefault="00272F16" w:rsidP="00272F16">
            <w:pPr>
              <w:rPr>
                <w:sz w:val="20"/>
                <w:u w:val="single"/>
              </w:rPr>
            </w:pPr>
          </w:p>
        </w:tc>
      </w:tr>
      <w:tr w:rsidR="00272F16" w:rsidRPr="00560020" w:rsidTr="003431AF">
        <w:trPr>
          <w:cantSplit/>
        </w:trPr>
        <w:tc>
          <w:tcPr>
            <w:tcW w:w="9576" w:type="dxa"/>
            <w:gridSpan w:val="2"/>
          </w:tcPr>
          <w:p w:rsidR="00272F16" w:rsidRPr="00272F16" w:rsidRDefault="00272F16" w:rsidP="00272F16">
            <w:pPr>
              <w:ind w:firstLine="720"/>
              <w:jc w:val="both"/>
              <w:rPr>
                <w:sz w:val="20"/>
              </w:rPr>
            </w:pPr>
            <w:r w:rsidRPr="00272F16">
              <w:rPr>
                <w:sz w:val="20"/>
              </w:rPr>
              <w:t>The application for leave to appeal from the judgment of the Court of Appeal for Ontario, Number C57616, 2014 ONCA 744, dated October 28, 2014, is granted.</w:t>
            </w:r>
          </w:p>
          <w:p w:rsidR="00272F16" w:rsidRPr="00272F16" w:rsidRDefault="00272F16" w:rsidP="00272F16">
            <w:pPr>
              <w:jc w:val="both"/>
              <w:rPr>
                <w:sz w:val="20"/>
              </w:rPr>
            </w:pPr>
          </w:p>
          <w:p w:rsidR="00272F16" w:rsidRPr="00272F16" w:rsidRDefault="00272F16" w:rsidP="00272F16">
            <w:pPr>
              <w:ind w:firstLine="720"/>
              <w:jc w:val="both"/>
              <w:rPr>
                <w:sz w:val="20"/>
                <w:lang w:val="fr-CA"/>
              </w:rPr>
            </w:pPr>
            <w:r w:rsidRPr="00272F16">
              <w:rPr>
                <w:sz w:val="20"/>
                <w:lang w:val="fr-CA"/>
              </w:rPr>
              <w:t>La demande d’autorisation d’appel de l’arrêt de la Cour d’appel de l’Ontario, numéro C57616, 2014 ONCA 744, daté du 28 octobre 2014, est accueillie.</w:t>
            </w:r>
          </w:p>
        </w:tc>
      </w:tr>
    </w:tbl>
    <w:p w:rsidR="000D6E5D" w:rsidRPr="00272F16" w:rsidRDefault="000D6E5D" w:rsidP="000D6E5D">
      <w:pPr>
        <w:rPr>
          <w:sz w:val="20"/>
          <w:szCs w:val="20"/>
          <w:lang w:val="fr-CA"/>
        </w:rPr>
      </w:pPr>
    </w:p>
    <w:p w:rsidR="000D6E5D" w:rsidRPr="001B157C" w:rsidRDefault="000D6E5D" w:rsidP="000D6E5D">
      <w:pPr>
        <w:rPr>
          <w:sz w:val="20"/>
          <w:szCs w:val="20"/>
          <w:u w:val="single"/>
        </w:rPr>
      </w:pPr>
      <w:r w:rsidRPr="001B157C">
        <w:rPr>
          <w:sz w:val="20"/>
          <w:szCs w:val="20"/>
          <w:u w:val="single"/>
        </w:rPr>
        <w:t>CASE SUMMARY</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61F19" w:rsidRPr="00C45D88" w:rsidTr="00582919">
        <w:tc>
          <w:tcPr>
            <w:tcW w:w="5000" w:type="pct"/>
            <w:gridSpan w:val="3"/>
          </w:tcPr>
          <w:p w:rsidR="00361F19" w:rsidRPr="00C45D88" w:rsidRDefault="00361F19" w:rsidP="00582919">
            <w:pPr>
              <w:jc w:val="both"/>
              <w:rPr>
                <w:rFonts w:eastAsia="Calibri"/>
                <w:sz w:val="20"/>
              </w:rPr>
            </w:pPr>
            <w:r w:rsidRPr="00C45D88">
              <w:rPr>
                <w:rFonts w:eastAsia="Calibri"/>
                <w:sz w:val="20"/>
              </w:rPr>
              <w:t xml:space="preserve">Criminal law – Attempted cheating at play and cheating at play – “Game” as defined in s. 197 of the </w:t>
            </w:r>
            <w:r w:rsidRPr="00C45D88">
              <w:rPr>
                <w:rFonts w:eastAsia="Calibri"/>
                <w:i/>
                <w:sz w:val="20"/>
              </w:rPr>
              <w:t>Criminal Code</w:t>
            </w:r>
            <w:r w:rsidRPr="00C45D88">
              <w:rPr>
                <w:rFonts w:eastAsia="Calibri"/>
                <w:sz w:val="20"/>
              </w:rPr>
              <w:t xml:space="preserve">, R.S.C. 1985, c. C46 – Whether the trial judge erred in his interpretation of a “game” as it is defined in ss. 197 and 209 of the </w:t>
            </w:r>
            <w:r w:rsidRPr="00C45D88">
              <w:rPr>
                <w:rFonts w:eastAsia="Calibri"/>
                <w:i/>
                <w:sz w:val="20"/>
              </w:rPr>
              <w:t>Criminal Code</w:t>
            </w:r>
            <w:r w:rsidRPr="00C45D88">
              <w:rPr>
                <w:rFonts w:eastAsia="Calibri"/>
                <w:sz w:val="20"/>
              </w:rPr>
              <w:t>.</w:t>
            </w:r>
          </w:p>
        </w:tc>
      </w:tr>
      <w:tr w:rsidR="00361F19" w:rsidRPr="00C45D88" w:rsidTr="00582919">
        <w:tc>
          <w:tcPr>
            <w:tcW w:w="5000" w:type="pct"/>
            <w:gridSpan w:val="3"/>
          </w:tcPr>
          <w:p w:rsidR="00361F19" w:rsidRPr="00C45D88" w:rsidRDefault="00361F19" w:rsidP="00582919">
            <w:pPr>
              <w:jc w:val="both"/>
              <w:rPr>
                <w:rFonts w:eastAsia="Calibri"/>
                <w:sz w:val="20"/>
              </w:rPr>
            </w:pPr>
          </w:p>
        </w:tc>
      </w:tr>
      <w:tr w:rsidR="00361F19" w:rsidRPr="00C45D88" w:rsidTr="00582919">
        <w:tc>
          <w:tcPr>
            <w:tcW w:w="5000" w:type="pct"/>
            <w:gridSpan w:val="3"/>
          </w:tcPr>
          <w:p w:rsidR="00361F19" w:rsidRPr="00C45D88" w:rsidRDefault="00361F19" w:rsidP="00582919">
            <w:pPr>
              <w:jc w:val="both"/>
              <w:rPr>
                <w:rFonts w:eastAsia="Calibri"/>
                <w:sz w:val="20"/>
              </w:rPr>
            </w:pPr>
            <w:r w:rsidRPr="00C45D88">
              <w:rPr>
                <w:rFonts w:eastAsia="Calibri"/>
                <w:sz w:val="20"/>
              </w:rPr>
              <w:t xml:space="preserve">The applicant, Mr. Riesberry, was acquitted on charges of defrauding the public of money wagered on the outcome of a horse race exceeding $5,000, cheating while playing a game with the intent to defraud members of the public engaged in wagering money on the outcome of a horse race, attempting to defraud the public of money to be wagered on the outcome of a horse race exceeding $5,000, and attempting to cheat while playing a game with the intent to defraud members of the public who would be engaged in the wagering of money on the outcome of a horse race.  Mr. Riesberry is a licensed trainer of Standardbred horses under the </w:t>
            </w:r>
            <w:r w:rsidRPr="00C45D88">
              <w:rPr>
                <w:rFonts w:eastAsia="Calibri"/>
                <w:i/>
                <w:sz w:val="20"/>
              </w:rPr>
              <w:t>Racing Commission Act, 2000</w:t>
            </w:r>
            <w:r w:rsidRPr="00C45D88">
              <w:rPr>
                <w:rFonts w:eastAsia="Calibri"/>
                <w:sz w:val="20"/>
              </w:rPr>
              <w:t xml:space="preserve">, S.O. 2000, c. 20, and is subject to the Ontario Racing Commission’s </w:t>
            </w:r>
            <w:r w:rsidRPr="00C45D88">
              <w:rPr>
                <w:rFonts w:eastAsia="Calibri"/>
                <w:i/>
                <w:sz w:val="20"/>
              </w:rPr>
              <w:t>Rules of Standardbred Racing</w:t>
            </w:r>
            <w:r w:rsidRPr="00C45D88">
              <w:rPr>
                <w:rFonts w:eastAsia="Calibri"/>
                <w:sz w:val="20"/>
              </w:rPr>
              <w:t xml:space="preserve">.  He was videotaped injecting a substance into the trachea of a horse at a raceway and a syringe containing performance-enhancing drugs was discovered in his truck.  On the fraud and attempted fraud charges, the trial judge found that the Crown had not proven deprivation beyond a reasonable doubt.  On the cheating charges, the trial judge concluded that horseracing is not a game within the meaning of s. 197 of the </w:t>
            </w:r>
            <w:r w:rsidRPr="00C45D88">
              <w:rPr>
                <w:rFonts w:eastAsia="Calibri"/>
                <w:i/>
                <w:sz w:val="20"/>
              </w:rPr>
              <w:t>Criminal Code</w:t>
            </w:r>
            <w:r w:rsidRPr="00C45D88">
              <w:rPr>
                <w:rFonts w:eastAsia="Calibri"/>
                <w:sz w:val="20"/>
              </w:rPr>
              <w:t>, that the betting public was too remote from Mr. Riesberry ’s act of cheating, and that the betting public was not deceived by his cheating because there was no evidence that anybody placed any bet in reliance or non-reliance on the fact that the horse may have been injected with a performance-enhancing drug.  The Court of Appeal allowed the appeal, ordered a new trial on the cheating and attempted cheating charges, and entered convictions on the charges of fraud and attempted fraud.</w:t>
            </w:r>
          </w:p>
          <w:p w:rsidR="00361F19" w:rsidRPr="00C45D88" w:rsidRDefault="00361F19" w:rsidP="00582919">
            <w:pPr>
              <w:jc w:val="both"/>
              <w:rPr>
                <w:rFonts w:eastAsia="Calibri"/>
                <w:sz w:val="20"/>
              </w:rPr>
            </w:pPr>
          </w:p>
        </w:tc>
      </w:tr>
      <w:tr w:rsidR="00361F19" w:rsidRPr="00C45D88" w:rsidTr="00582919">
        <w:tc>
          <w:tcPr>
            <w:tcW w:w="2427" w:type="pct"/>
          </w:tcPr>
          <w:p w:rsidR="00361F19" w:rsidRPr="00C45D88" w:rsidRDefault="00361F19" w:rsidP="00582919">
            <w:pPr>
              <w:jc w:val="both"/>
              <w:rPr>
                <w:rFonts w:eastAsia="Calibri"/>
                <w:sz w:val="20"/>
              </w:rPr>
            </w:pPr>
            <w:r w:rsidRPr="00C45D88">
              <w:rPr>
                <w:rFonts w:eastAsia="Calibri"/>
                <w:sz w:val="20"/>
              </w:rPr>
              <w:t>August 15, 2013</w:t>
            </w:r>
          </w:p>
          <w:p w:rsidR="00361F19" w:rsidRPr="00C45D88" w:rsidRDefault="00361F19" w:rsidP="00582919">
            <w:pPr>
              <w:jc w:val="both"/>
              <w:rPr>
                <w:rFonts w:eastAsia="Calibri"/>
                <w:sz w:val="20"/>
              </w:rPr>
            </w:pPr>
            <w:r w:rsidRPr="00C45D88">
              <w:rPr>
                <w:rFonts w:eastAsia="Calibri"/>
                <w:sz w:val="20"/>
              </w:rPr>
              <w:t>Ontario Superior Court of Justice</w:t>
            </w:r>
          </w:p>
          <w:p w:rsidR="00361F19" w:rsidRPr="00C45D88" w:rsidRDefault="00361F19" w:rsidP="00582919">
            <w:pPr>
              <w:jc w:val="both"/>
              <w:rPr>
                <w:rFonts w:eastAsia="Calibri"/>
                <w:sz w:val="20"/>
              </w:rPr>
            </w:pPr>
            <w:r w:rsidRPr="00C45D88">
              <w:rPr>
                <w:rFonts w:eastAsia="Calibri"/>
                <w:sz w:val="20"/>
              </w:rPr>
              <w:t>(Rogin J.)</w:t>
            </w:r>
          </w:p>
        </w:tc>
        <w:tc>
          <w:tcPr>
            <w:tcW w:w="243" w:type="pct"/>
          </w:tcPr>
          <w:p w:rsidR="00361F19" w:rsidRPr="00C45D88" w:rsidRDefault="00361F19" w:rsidP="00582919">
            <w:pPr>
              <w:jc w:val="both"/>
              <w:rPr>
                <w:rFonts w:eastAsia="Calibri"/>
                <w:sz w:val="20"/>
              </w:rPr>
            </w:pPr>
          </w:p>
        </w:tc>
        <w:tc>
          <w:tcPr>
            <w:tcW w:w="2330" w:type="pct"/>
          </w:tcPr>
          <w:p w:rsidR="00361F19" w:rsidRPr="00C45D88" w:rsidRDefault="00361F19" w:rsidP="00582919">
            <w:pPr>
              <w:jc w:val="both"/>
              <w:rPr>
                <w:rFonts w:eastAsia="Calibri"/>
                <w:sz w:val="20"/>
              </w:rPr>
            </w:pPr>
            <w:r w:rsidRPr="00C45D88">
              <w:rPr>
                <w:rFonts w:eastAsia="Calibri"/>
                <w:sz w:val="20"/>
              </w:rPr>
              <w:t xml:space="preserve">Applicant acquitted of several offences, including attempted cheating at play and cheating at play contrary to s. 209 of the </w:t>
            </w:r>
            <w:r w:rsidRPr="00C45D88">
              <w:rPr>
                <w:rFonts w:eastAsia="Calibri"/>
                <w:i/>
                <w:sz w:val="20"/>
              </w:rPr>
              <w:t>Criminal Code</w:t>
            </w:r>
          </w:p>
          <w:p w:rsidR="00361F19" w:rsidRPr="00C45D88" w:rsidRDefault="00361F19" w:rsidP="00582919">
            <w:pPr>
              <w:jc w:val="both"/>
              <w:rPr>
                <w:rFonts w:eastAsia="Calibri"/>
                <w:sz w:val="20"/>
              </w:rPr>
            </w:pPr>
          </w:p>
        </w:tc>
      </w:tr>
      <w:tr w:rsidR="00361F19" w:rsidRPr="00C45D88" w:rsidTr="00582919">
        <w:tc>
          <w:tcPr>
            <w:tcW w:w="2427" w:type="pct"/>
          </w:tcPr>
          <w:p w:rsidR="00361F19" w:rsidRPr="00C45D88" w:rsidRDefault="00361F19" w:rsidP="00582919">
            <w:pPr>
              <w:jc w:val="both"/>
              <w:rPr>
                <w:rFonts w:eastAsia="Calibri"/>
                <w:sz w:val="20"/>
              </w:rPr>
            </w:pPr>
            <w:r w:rsidRPr="00C45D88">
              <w:rPr>
                <w:rFonts w:eastAsia="Calibri"/>
                <w:sz w:val="20"/>
              </w:rPr>
              <w:t>October 28, 2014</w:t>
            </w:r>
          </w:p>
          <w:p w:rsidR="00361F19" w:rsidRPr="00C45D88" w:rsidRDefault="00361F19" w:rsidP="00582919">
            <w:pPr>
              <w:jc w:val="both"/>
              <w:rPr>
                <w:rFonts w:eastAsia="Calibri"/>
                <w:sz w:val="20"/>
              </w:rPr>
            </w:pPr>
            <w:r w:rsidRPr="00C45D88">
              <w:rPr>
                <w:rFonts w:eastAsia="Calibri"/>
                <w:sz w:val="20"/>
              </w:rPr>
              <w:t>Court of Appeal for Ontario</w:t>
            </w:r>
          </w:p>
          <w:p w:rsidR="00361F19" w:rsidRPr="00C45D88" w:rsidRDefault="00361F19" w:rsidP="00582919">
            <w:pPr>
              <w:jc w:val="both"/>
              <w:rPr>
                <w:rFonts w:eastAsia="Calibri"/>
                <w:sz w:val="20"/>
              </w:rPr>
            </w:pPr>
            <w:r w:rsidRPr="00C45D88">
              <w:rPr>
                <w:rFonts w:eastAsia="Calibri"/>
                <w:sz w:val="20"/>
              </w:rPr>
              <w:t>(Simmons, Rouleau and Tulloch JJ.A.)</w:t>
            </w:r>
          </w:p>
          <w:p w:rsidR="00361F19" w:rsidRPr="00C45D88" w:rsidRDefault="003A60BB" w:rsidP="00582919">
            <w:pPr>
              <w:jc w:val="both"/>
              <w:rPr>
                <w:rFonts w:eastAsia="Calibri"/>
                <w:sz w:val="20"/>
              </w:rPr>
            </w:pPr>
            <w:hyperlink r:id="rId61" w:history="1">
              <w:r w:rsidR="00361F19" w:rsidRPr="00C45D88">
                <w:rPr>
                  <w:rFonts w:eastAsia="Calibri"/>
                  <w:color w:val="0000FF"/>
                  <w:sz w:val="20"/>
                  <w:u w:val="single"/>
                </w:rPr>
                <w:t>2014 ONCA 744</w:t>
              </w:r>
            </w:hyperlink>
          </w:p>
          <w:p w:rsidR="00361F19" w:rsidRPr="00C45D88" w:rsidRDefault="00361F19" w:rsidP="00582919">
            <w:pPr>
              <w:jc w:val="both"/>
              <w:rPr>
                <w:rFonts w:eastAsia="Calibri"/>
                <w:sz w:val="20"/>
              </w:rPr>
            </w:pPr>
          </w:p>
        </w:tc>
        <w:tc>
          <w:tcPr>
            <w:tcW w:w="243" w:type="pct"/>
          </w:tcPr>
          <w:p w:rsidR="00361F19" w:rsidRPr="00C45D88" w:rsidRDefault="00361F19" w:rsidP="00582919">
            <w:pPr>
              <w:jc w:val="both"/>
              <w:rPr>
                <w:rFonts w:eastAsia="Calibri"/>
                <w:sz w:val="20"/>
              </w:rPr>
            </w:pPr>
          </w:p>
        </w:tc>
        <w:tc>
          <w:tcPr>
            <w:tcW w:w="2330" w:type="pct"/>
          </w:tcPr>
          <w:p w:rsidR="00361F19" w:rsidRPr="00C45D88" w:rsidRDefault="00361F19" w:rsidP="00582919">
            <w:pPr>
              <w:jc w:val="both"/>
              <w:rPr>
                <w:rFonts w:eastAsia="Calibri"/>
                <w:sz w:val="20"/>
              </w:rPr>
            </w:pPr>
            <w:r w:rsidRPr="00C45D88">
              <w:rPr>
                <w:rFonts w:eastAsia="Calibri"/>
                <w:sz w:val="20"/>
              </w:rPr>
              <w:t>Appeal allowed; new trial ordered on counts of attempted cheating at play and cheating at play</w:t>
            </w:r>
          </w:p>
        </w:tc>
      </w:tr>
      <w:tr w:rsidR="00361F19" w:rsidRPr="00C45D88" w:rsidTr="00582919">
        <w:tc>
          <w:tcPr>
            <w:tcW w:w="2427" w:type="pct"/>
          </w:tcPr>
          <w:p w:rsidR="00361F19" w:rsidRPr="00C45D88" w:rsidRDefault="00361F19" w:rsidP="00582919">
            <w:pPr>
              <w:jc w:val="both"/>
              <w:rPr>
                <w:rFonts w:eastAsia="Calibri"/>
                <w:sz w:val="20"/>
              </w:rPr>
            </w:pPr>
            <w:r w:rsidRPr="00C45D88">
              <w:rPr>
                <w:rFonts w:eastAsia="Calibri"/>
                <w:sz w:val="20"/>
              </w:rPr>
              <w:t>November 14, 2014</w:t>
            </w:r>
          </w:p>
          <w:p w:rsidR="00361F19" w:rsidRPr="00C45D88" w:rsidRDefault="00361F19" w:rsidP="00582919">
            <w:pPr>
              <w:jc w:val="both"/>
              <w:rPr>
                <w:rFonts w:eastAsia="Calibri"/>
                <w:sz w:val="20"/>
              </w:rPr>
            </w:pPr>
            <w:r w:rsidRPr="00C45D88">
              <w:rPr>
                <w:rFonts w:eastAsia="Calibri"/>
                <w:sz w:val="20"/>
              </w:rPr>
              <w:t>Supreme Court of Canada</w:t>
            </w:r>
          </w:p>
        </w:tc>
        <w:tc>
          <w:tcPr>
            <w:tcW w:w="243" w:type="pct"/>
          </w:tcPr>
          <w:p w:rsidR="00361F19" w:rsidRPr="00C45D88" w:rsidRDefault="00361F19" w:rsidP="00582919">
            <w:pPr>
              <w:jc w:val="both"/>
              <w:rPr>
                <w:rFonts w:eastAsia="Calibri"/>
                <w:sz w:val="20"/>
              </w:rPr>
            </w:pPr>
          </w:p>
        </w:tc>
        <w:tc>
          <w:tcPr>
            <w:tcW w:w="2330" w:type="pct"/>
          </w:tcPr>
          <w:p w:rsidR="00361F19" w:rsidRPr="00C45D88" w:rsidRDefault="00361F19" w:rsidP="00582919">
            <w:pPr>
              <w:jc w:val="both"/>
              <w:rPr>
                <w:rFonts w:eastAsia="Calibri"/>
                <w:sz w:val="20"/>
              </w:rPr>
            </w:pPr>
            <w:r w:rsidRPr="00C45D88">
              <w:rPr>
                <w:rFonts w:eastAsia="Calibri"/>
                <w:sz w:val="20"/>
              </w:rPr>
              <w:t>Notice of appeal as of right filed pursuant to s. 691(2)(</w:t>
            </w:r>
            <w:r w:rsidRPr="00C45D88">
              <w:rPr>
                <w:rFonts w:eastAsia="Calibri"/>
                <w:i/>
                <w:sz w:val="20"/>
              </w:rPr>
              <w:t>b</w:t>
            </w:r>
            <w:r w:rsidRPr="00C45D88">
              <w:rPr>
                <w:rFonts w:eastAsia="Calibri"/>
                <w:sz w:val="20"/>
              </w:rPr>
              <w:t xml:space="preserve">) of the </w:t>
            </w:r>
            <w:r w:rsidRPr="00C45D88">
              <w:rPr>
                <w:rFonts w:eastAsia="Calibri"/>
                <w:i/>
                <w:sz w:val="20"/>
              </w:rPr>
              <w:t>Criminal Code</w:t>
            </w:r>
            <w:r w:rsidRPr="00C45D88">
              <w:rPr>
                <w:rFonts w:eastAsia="Calibri"/>
                <w:sz w:val="20"/>
              </w:rPr>
              <w:t xml:space="preserve"> on counts of attempted fraud and fraud</w:t>
            </w:r>
          </w:p>
          <w:p w:rsidR="00361F19" w:rsidRPr="00C45D88" w:rsidRDefault="00361F19" w:rsidP="00582919">
            <w:pPr>
              <w:jc w:val="both"/>
              <w:rPr>
                <w:rFonts w:eastAsia="Calibri"/>
                <w:sz w:val="20"/>
              </w:rPr>
            </w:pPr>
          </w:p>
        </w:tc>
      </w:tr>
      <w:tr w:rsidR="00361F19" w:rsidRPr="00C45D88" w:rsidTr="00582919">
        <w:tc>
          <w:tcPr>
            <w:tcW w:w="2427" w:type="pct"/>
          </w:tcPr>
          <w:p w:rsidR="00361F19" w:rsidRPr="00C45D88" w:rsidRDefault="00361F19" w:rsidP="00582919">
            <w:pPr>
              <w:jc w:val="both"/>
              <w:rPr>
                <w:rFonts w:eastAsia="Calibri"/>
                <w:sz w:val="20"/>
              </w:rPr>
            </w:pPr>
            <w:r w:rsidRPr="00C45D88">
              <w:rPr>
                <w:rFonts w:eastAsia="Calibri"/>
                <w:sz w:val="20"/>
              </w:rPr>
              <w:t>December 29, 2014</w:t>
            </w:r>
          </w:p>
          <w:p w:rsidR="00361F19" w:rsidRPr="00C45D88" w:rsidRDefault="00361F19" w:rsidP="00582919">
            <w:pPr>
              <w:jc w:val="both"/>
              <w:rPr>
                <w:rFonts w:eastAsia="Calibri"/>
                <w:sz w:val="20"/>
              </w:rPr>
            </w:pPr>
            <w:r w:rsidRPr="00C45D88">
              <w:rPr>
                <w:rFonts w:eastAsia="Calibri"/>
                <w:sz w:val="20"/>
              </w:rPr>
              <w:t xml:space="preserve">Supreme Court of Canada </w:t>
            </w:r>
          </w:p>
        </w:tc>
        <w:tc>
          <w:tcPr>
            <w:tcW w:w="243" w:type="pct"/>
          </w:tcPr>
          <w:p w:rsidR="00361F19" w:rsidRPr="00C45D88" w:rsidRDefault="00361F19" w:rsidP="00582919">
            <w:pPr>
              <w:jc w:val="both"/>
              <w:rPr>
                <w:rFonts w:eastAsia="Calibri"/>
                <w:sz w:val="20"/>
              </w:rPr>
            </w:pPr>
          </w:p>
        </w:tc>
        <w:tc>
          <w:tcPr>
            <w:tcW w:w="2330" w:type="pct"/>
          </w:tcPr>
          <w:p w:rsidR="00361F19" w:rsidRPr="00C45D88" w:rsidRDefault="00361F19" w:rsidP="00582919">
            <w:pPr>
              <w:jc w:val="both"/>
              <w:rPr>
                <w:rFonts w:eastAsia="Calibri"/>
                <w:sz w:val="20"/>
              </w:rPr>
            </w:pPr>
            <w:r w:rsidRPr="00C45D88">
              <w:rPr>
                <w:rFonts w:eastAsia="Calibri"/>
                <w:sz w:val="20"/>
              </w:rPr>
              <w:t>Application for leave to appeal filed pursuant to s. 691(2)(</w:t>
            </w:r>
            <w:r w:rsidRPr="00C45D88">
              <w:rPr>
                <w:rFonts w:eastAsia="Calibri"/>
                <w:i/>
                <w:sz w:val="20"/>
              </w:rPr>
              <w:t>c</w:t>
            </w:r>
            <w:r w:rsidRPr="00C45D88">
              <w:rPr>
                <w:rFonts w:eastAsia="Calibri"/>
                <w:sz w:val="20"/>
              </w:rPr>
              <w:t xml:space="preserve">) of the </w:t>
            </w:r>
            <w:r w:rsidRPr="00C45D88">
              <w:rPr>
                <w:rFonts w:eastAsia="Calibri"/>
                <w:i/>
                <w:sz w:val="20"/>
              </w:rPr>
              <w:t>Criminal Code</w:t>
            </w:r>
          </w:p>
        </w:tc>
      </w:tr>
    </w:tbl>
    <w:p w:rsidR="000D6E5D" w:rsidRDefault="000D6E5D" w:rsidP="000D6E5D">
      <w:pPr>
        <w:rPr>
          <w:sz w:val="20"/>
          <w:szCs w:val="20"/>
        </w:rPr>
      </w:pPr>
    </w:p>
    <w:p w:rsidR="000D6E5D" w:rsidRPr="00C50A5C" w:rsidRDefault="003A60BB" w:rsidP="000D6E5D">
      <w:pPr>
        <w:rPr>
          <w:sz w:val="20"/>
          <w:szCs w:val="20"/>
        </w:rPr>
      </w:pPr>
      <w:r>
        <w:rPr>
          <w:sz w:val="20"/>
          <w:szCs w:val="20"/>
          <w:lang w:val="fr-CA"/>
        </w:rPr>
        <w:pict>
          <v:rect id="_x0000_i1060" style="width:2in;height:1pt" o:hrpct="0" o:hralign="center" o:hrstd="t" o:hrnoshade="t" o:hr="t" fillcolor="black [3213]" stroked="f"/>
        </w:pict>
      </w:r>
    </w:p>
    <w:p w:rsidR="000D6E5D" w:rsidRDefault="000D6E5D" w:rsidP="000D6E5D">
      <w:pPr>
        <w:rPr>
          <w:sz w:val="20"/>
          <w:szCs w:val="20"/>
        </w:rPr>
      </w:pPr>
    </w:p>
    <w:p w:rsidR="000D6E5D" w:rsidRPr="001B157C" w:rsidRDefault="000D6E5D" w:rsidP="000D6E5D">
      <w:pPr>
        <w:rPr>
          <w:sz w:val="20"/>
          <w:szCs w:val="20"/>
          <w:u w:val="single"/>
          <w:lang w:val="fr-CA"/>
        </w:rPr>
      </w:pPr>
      <w:r w:rsidRPr="001B157C">
        <w:rPr>
          <w:sz w:val="20"/>
          <w:szCs w:val="20"/>
          <w:u w:val="single"/>
          <w:lang w:val="fr-CA"/>
        </w:rPr>
        <w:t>RÉSUMÉ DE L’AFFAIRE</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61F19" w:rsidRPr="00560020" w:rsidTr="00582919">
        <w:tc>
          <w:tcPr>
            <w:tcW w:w="5000" w:type="pct"/>
            <w:gridSpan w:val="3"/>
          </w:tcPr>
          <w:p w:rsidR="00361F19" w:rsidRPr="00C45D88" w:rsidRDefault="00361F19" w:rsidP="00582919">
            <w:pPr>
              <w:jc w:val="both"/>
              <w:rPr>
                <w:rFonts w:eastAsia="Calibri"/>
                <w:sz w:val="20"/>
                <w:lang w:val="fr-CA"/>
              </w:rPr>
            </w:pPr>
            <w:r w:rsidRPr="00C45D88">
              <w:rPr>
                <w:rFonts w:eastAsia="Calibri"/>
                <w:sz w:val="20"/>
                <w:lang w:val="fr-CA"/>
              </w:rPr>
              <w:t xml:space="preserve">Droit criminel – Tentative de tricherie au jeu et tricherie au jeu – « jeu » au sens de l’art. 197 du </w:t>
            </w:r>
            <w:r w:rsidRPr="00C45D88">
              <w:rPr>
                <w:rFonts w:eastAsia="Calibri"/>
                <w:i/>
                <w:sz w:val="20"/>
                <w:lang w:val="fr-CA"/>
              </w:rPr>
              <w:t>Code criminel</w:t>
            </w:r>
            <w:r w:rsidRPr="00C45D88">
              <w:rPr>
                <w:rFonts w:eastAsia="Calibri"/>
                <w:sz w:val="20"/>
                <w:lang w:val="fr-CA"/>
              </w:rPr>
              <w:t xml:space="preserve">, L.R.C. 1985, ch. C46 – Le juge du procès a-t-il commis une erreur dans son interprétation du mot « jeu » au sens des art. 197 et 209 du </w:t>
            </w:r>
            <w:r w:rsidRPr="00C45D88">
              <w:rPr>
                <w:rFonts w:eastAsia="Calibri"/>
                <w:i/>
                <w:sz w:val="20"/>
                <w:lang w:val="fr-CA"/>
              </w:rPr>
              <w:t>Code criminel</w:t>
            </w:r>
            <w:r w:rsidRPr="00C45D88">
              <w:rPr>
                <w:rFonts w:eastAsia="Calibri"/>
                <w:sz w:val="20"/>
                <w:lang w:val="fr-CA"/>
              </w:rPr>
              <w:t>?</w:t>
            </w:r>
          </w:p>
        </w:tc>
      </w:tr>
      <w:tr w:rsidR="00361F19" w:rsidRPr="00560020" w:rsidTr="00582919">
        <w:tc>
          <w:tcPr>
            <w:tcW w:w="5000" w:type="pct"/>
            <w:gridSpan w:val="3"/>
          </w:tcPr>
          <w:p w:rsidR="00361F19" w:rsidRPr="00C45D88" w:rsidRDefault="00361F19" w:rsidP="00582919">
            <w:pPr>
              <w:jc w:val="both"/>
              <w:rPr>
                <w:rFonts w:eastAsia="Calibri"/>
                <w:sz w:val="20"/>
                <w:lang w:val="fr-CA"/>
              </w:rPr>
            </w:pPr>
          </w:p>
        </w:tc>
      </w:tr>
      <w:tr w:rsidR="00361F19" w:rsidRPr="00560020" w:rsidTr="00582919">
        <w:tc>
          <w:tcPr>
            <w:tcW w:w="5000" w:type="pct"/>
            <w:gridSpan w:val="3"/>
          </w:tcPr>
          <w:p w:rsidR="00361F19" w:rsidRPr="00C45D88" w:rsidRDefault="00361F19" w:rsidP="00582919">
            <w:pPr>
              <w:jc w:val="both"/>
              <w:rPr>
                <w:rFonts w:eastAsia="Calibri"/>
                <w:sz w:val="20"/>
                <w:lang w:val="fr-CA"/>
              </w:rPr>
            </w:pPr>
            <w:r w:rsidRPr="00C45D88">
              <w:rPr>
                <w:rFonts w:eastAsia="Calibri"/>
                <w:sz w:val="20"/>
                <w:lang w:val="fr-CA"/>
              </w:rPr>
              <w:t xml:space="preserve">Le demandeur, M. Riesberry, a été acquitté relativement à des accusations d’avoir escroqué le public de plus de 5 000 $ misés sur l’issue d’une course de chevaux, triché alors qu’il jouait un jeu dans le but d’escroquer des membres du public qui pariaient de l’argent sur l’issue d’une course de chevaux, tenté d’escroqué le public des plus de 5 000 $ qui devaient être misés sur le résultat d’une course de chevaux et tenté de tricher alors qu’il jouait un jeu dans le but d’escroquer des membres du public qui allaient miser de l’argent sur le résultat d’une course de chevaux.  M. Riesberry est un entraîneur accrédité de chevaux standardbred en vertu de la </w:t>
            </w:r>
            <w:r w:rsidRPr="00C45D88">
              <w:rPr>
                <w:rFonts w:eastAsia="Calibri"/>
                <w:i/>
                <w:sz w:val="20"/>
                <w:lang w:val="fr-CA"/>
              </w:rPr>
              <w:t>Loi de 2000 sur la Commission des courses de chevaux</w:t>
            </w:r>
            <w:r w:rsidRPr="00C45D88">
              <w:rPr>
                <w:rFonts w:eastAsia="Calibri"/>
                <w:sz w:val="20"/>
                <w:lang w:val="fr-CA"/>
              </w:rPr>
              <w:t xml:space="preserve">, L.O. 2000, ch. 20, en plus d’être assujetti aux </w:t>
            </w:r>
            <w:r w:rsidRPr="00C45D88">
              <w:rPr>
                <w:rFonts w:eastAsia="Calibri"/>
                <w:i/>
                <w:sz w:val="20"/>
                <w:lang w:val="fr-CA"/>
              </w:rPr>
              <w:t>Règles sur les courses de chevaux de race</w:t>
            </w:r>
            <w:r w:rsidRPr="00C45D88">
              <w:rPr>
                <w:rFonts w:eastAsia="Calibri"/>
                <w:sz w:val="20"/>
                <w:lang w:val="fr-CA"/>
              </w:rPr>
              <w:t xml:space="preserve"> </w:t>
            </w:r>
            <w:r w:rsidRPr="00C45D88">
              <w:rPr>
                <w:rFonts w:eastAsia="Calibri"/>
                <w:i/>
                <w:sz w:val="20"/>
                <w:lang w:val="fr-CA"/>
              </w:rPr>
              <w:t xml:space="preserve">Standardbred </w:t>
            </w:r>
            <w:r w:rsidRPr="00C45D88">
              <w:rPr>
                <w:rFonts w:eastAsia="Calibri"/>
                <w:sz w:val="20"/>
                <w:lang w:val="fr-CA"/>
              </w:rPr>
              <w:t xml:space="preserve">de la Commission des courses de chevaux.  Il a été filmé alors qu’il injectait une substance dans la trachée d’un cheval à un hippodrome, et une seringue contenant des drogues améliorant la performance a été découverte dans sa camionnette.  Pour ce qui est des accusations de fraude et de tentative de fraude, le juge du procès a conclu que le ministère public n’avait pas établi la privation hors de tout doute raisonnable.  En ce qui concerne l’accusation de tricherie, il a conclu que les courses de chevaux n’étaient pas un jeu au sens de l’art. 197 du </w:t>
            </w:r>
            <w:r w:rsidRPr="00C45D88">
              <w:rPr>
                <w:rFonts w:eastAsia="Calibri"/>
                <w:i/>
                <w:sz w:val="20"/>
                <w:lang w:val="fr-CA"/>
              </w:rPr>
              <w:t>Code criminel</w:t>
            </w:r>
            <w:r w:rsidRPr="00C45D88">
              <w:rPr>
                <w:rFonts w:eastAsia="Calibri"/>
                <w:sz w:val="20"/>
                <w:lang w:val="fr-CA"/>
              </w:rPr>
              <w:t>, que les parieurs étaient trop éloignés de la tricherie de M. Riesberry et que ces derniers n’avaient pas été trompés par sa tricherie, car rien ne prouvait que quelqu’un avait parié de l’argent en se fondant ou non sur la possibilité qu’on ait injecté au cheval une drogue améliorant la performance.  La Cour d’appel a fait droit à l’appel, ordonné la tenue d’un nouveau procès à l’égard des accusations de tricherie et de tentative de tricherie et inscrit des déclarations de culpabilité de fraude et de tentative de fraude.</w:t>
            </w:r>
          </w:p>
          <w:p w:rsidR="00361F19" w:rsidRPr="00C45D88" w:rsidRDefault="00361F19" w:rsidP="00582919">
            <w:pPr>
              <w:jc w:val="both"/>
              <w:rPr>
                <w:rFonts w:eastAsia="Calibri"/>
                <w:sz w:val="20"/>
                <w:lang w:val="fr-CA"/>
              </w:rPr>
            </w:pPr>
          </w:p>
        </w:tc>
      </w:tr>
      <w:tr w:rsidR="00361F19" w:rsidRPr="00560020" w:rsidTr="00582919">
        <w:tc>
          <w:tcPr>
            <w:tcW w:w="2427" w:type="pct"/>
          </w:tcPr>
          <w:p w:rsidR="00361F19" w:rsidRPr="00C45D88" w:rsidRDefault="00361F19" w:rsidP="00582919">
            <w:pPr>
              <w:jc w:val="both"/>
              <w:rPr>
                <w:rFonts w:eastAsia="Calibri"/>
                <w:sz w:val="20"/>
                <w:lang w:val="fr-CA"/>
              </w:rPr>
            </w:pPr>
            <w:r w:rsidRPr="00C45D88">
              <w:rPr>
                <w:rFonts w:eastAsia="Calibri"/>
                <w:sz w:val="20"/>
                <w:lang w:val="fr-CA"/>
              </w:rPr>
              <w:t>15 août 2013</w:t>
            </w:r>
          </w:p>
          <w:p w:rsidR="00361F19" w:rsidRPr="00C45D88" w:rsidRDefault="00361F19" w:rsidP="00582919">
            <w:pPr>
              <w:jc w:val="both"/>
              <w:rPr>
                <w:rFonts w:eastAsia="Calibri"/>
                <w:sz w:val="20"/>
                <w:lang w:val="fr-CA"/>
              </w:rPr>
            </w:pPr>
            <w:r w:rsidRPr="00C45D88">
              <w:rPr>
                <w:rFonts w:eastAsia="Calibri"/>
                <w:sz w:val="20"/>
                <w:lang w:val="fr-CA"/>
              </w:rPr>
              <w:t xml:space="preserve">Cour supérieure de justice de l’Ontario </w:t>
            </w:r>
          </w:p>
          <w:p w:rsidR="00361F19" w:rsidRPr="00C45D88" w:rsidRDefault="00361F19" w:rsidP="00582919">
            <w:pPr>
              <w:jc w:val="both"/>
              <w:rPr>
                <w:rFonts w:eastAsia="Calibri"/>
                <w:sz w:val="20"/>
              </w:rPr>
            </w:pPr>
            <w:r w:rsidRPr="00C45D88">
              <w:rPr>
                <w:rFonts w:eastAsia="Calibri"/>
                <w:sz w:val="20"/>
              </w:rPr>
              <w:t>(Juge Rogin)</w:t>
            </w:r>
          </w:p>
        </w:tc>
        <w:tc>
          <w:tcPr>
            <w:tcW w:w="243" w:type="pct"/>
          </w:tcPr>
          <w:p w:rsidR="00361F19" w:rsidRPr="00C45D88" w:rsidRDefault="00361F19" w:rsidP="00582919">
            <w:pPr>
              <w:jc w:val="both"/>
              <w:rPr>
                <w:rFonts w:eastAsia="Calibri"/>
                <w:sz w:val="20"/>
              </w:rPr>
            </w:pPr>
          </w:p>
        </w:tc>
        <w:tc>
          <w:tcPr>
            <w:tcW w:w="2330" w:type="pct"/>
          </w:tcPr>
          <w:p w:rsidR="00361F19" w:rsidRPr="00C45D88" w:rsidRDefault="00361F19" w:rsidP="00582919">
            <w:pPr>
              <w:jc w:val="both"/>
              <w:rPr>
                <w:rFonts w:eastAsia="Calibri"/>
                <w:sz w:val="20"/>
                <w:lang w:val="fr-CA"/>
              </w:rPr>
            </w:pPr>
            <w:r w:rsidRPr="00C45D88">
              <w:rPr>
                <w:rFonts w:eastAsia="Calibri"/>
                <w:sz w:val="20"/>
                <w:lang w:val="fr-CA"/>
              </w:rPr>
              <w:t xml:space="preserve">Acquittement du demandeur relativement à plusieurs infractions, y compris tentative de tricherie au jeu et tricherie au jeu, en contravention de l’art. 209 du </w:t>
            </w:r>
            <w:r w:rsidRPr="00C45D88">
              <w:rPr>
                <w:rFonts w:eastAsia="Calibri"/>
                <w:i/>
                <w:sz w:val="20"/>
                <w:lang w:val="fr-CA"/>
              </w:rPr>
              <w:t>Code criminel</w:t>
            </w:r>
          </w:p>
          <w:p w:rsidR="00361F19" w:rsidRPr="00C45D88" w:rsidRDefault="00361F19" w:rsidP="00582919">
            <w:pPr>
              <w:jc w:val="both"/>
              <w:rPr>
                <w:rFonts w:eastAsia="Calibri"/>
                <w:sz w:val="20"/>
                <w:lang w:val="fr-CA"/>
              </w:rPr>
            </w:pPr>
          </w:p>
        </w:tc>
      </w:tr>
      <w:tr w:rsidR="00361F19" w:rsidRPr="00560020" w:rsidTr="00272F16">
        <w:trPr>
          <w:cantSplit/>
        </w:trPr>
        <w:tc>
          <w:tcPr>
            <w:tcW w:w="2427" w:type="pct"/>
          </w:tcPr>
          <w:p w:rsidR="00361F19" w:rsidRPr="00C45D88" w:rsidRDefault="00361F19" w:rsidP="00582919">
            <w:pPr>
              <w:jc w:val="both"/>
              <w:rPr>
                <w:rFonts w:eastAsia="Calibri"/>
                <w:sz w:val="20"/>
                <w:lang w:val="fr-CA"/>
              </w:rPr>
            </w:pPr>
            <w:r w:rsidRPr="00C45D88">
              <w:rPr>
                <w:rFonts w:eastAsia="Calibri"/>
                <w:sz w:val="20"/>
                <w:lang w:val="fr-CA"/>
              </w:rPr>
              <w:t>28 octobre 2014</w:t>
            </w:r>
          </w:p>
          <w:p w:rsidR="00361F19" w:rsidRPr="00C45D88" w:rsidRDefault="00361F19" w:rsidP="00582919">
            <w:pPr>
              <w:jc w:val="both"/>
              <w:rPr>
                <w:rFonts w:eastAsia="Calibri"/>
                <w:sz w:val="20"/>
                <w:lang w:val="fr-CA"/>
              </w:rPr>
            </w:pPr>
            <w:r w:rsidRPr="00C45D88">
              <w:rPr>
                <w:rFonts w:eastAsia="Calibri"/>
                <w:sz w:val="20"/>
                <w:lang w:val="fr-CA"/>
              </w:rPr>
              <w:t>Cour d’appel de l’Ontario</w:t>
            </w:r>
          </w:p>
          <w:p w:rsidR="00361F19" w:rsidRPr="00C45D88" w:rsidRDefault="00361F19" w:rsidP="00582919">
            <w:pPr>
              <w:jc w:val="both"/>
              <w:rPr>
                <w:rFonts w:eastAsia="Calibri"/>
                <w:sz w:val="20"/>
                <w:lang w:val="fr-CA"/>
              </w:rPr>
            </w:pPr>
            <w:r w:rsidRPr="00C45D88">
              <w:rPr>
                <w:rFonts w:eastAsia="Calibri"/>
                <w:sz w:val="20"/>
                <w:lang w:val="fr-CA"/>
              </w:rPr>
              <w:t>(Juges Simmons, Rouleau et Tulloch)</w:t>
            </w:r>
          </w:p>
          <w:p w:rsidR="00361F19" w:rsidRPr="00C45D88" w:rsidRDefault="003A60BB" w:rsidP="00582919">
            <w:pPr>
              <w:jc w:val="both"/>
              <w:rPr>
                <w:rFonts w:eastAsia="Calibri"/>
                <w:sz w:val="20"/>
              </w:rPr>
            </w:pPr>
            <w:hyperlink r:id="rId62" w:history="1">
              <w:r w:rsidR="00361F19" w:rsidRPr="00C45D88">
                <w:rPr>
                  <w:rFonts w:eastAsia="Calibri"/>
                  <w:color w:val="0000FF"/>
                  <w:sz w:val="20"/>
                  <w:u w:val="single"/>
                </w:rPr>
                <w:t>2014 ONCA 744</w:t>
              </w:r>
            </w:hyperlink>
          </w:p>
          <w:p w:rsidR="00361F19" w:rsidRPr="00C45D88" w:rsidRDefault="00361F19" w:rsidP="00582919">
            <w:pPr>
              <w:jc w:val="both"/>
              <w:rPr>
                <w:rFonts w:eastAsia="Calibri"/>
                <w:sz w:val="20"/>
              </w:rPr>
            </w:pPr>
          </w:p>
        </w:tc>
        <w:tc>
          <w:tcPr>
            <w:tcW w:w="243" w:type="pct"/>
          </w:tcPr>
          <w:p w:rsidR="00361F19" w:rsidRPr="00C45D88" w:rsidRDefault="00361F19" w:rsidP="00582919">
            <w:pPr>
              <w:jc w:val="both"/>
              <w:rPr>
                <w:rFonts w:eastAsia="Calibri"/>
                <w:sz w:val="20"/>
              </w:rPr>
            </w:pPr>
          </w:p>
        </w:tc>
        <w:tc>
          <w:tcPr>
            <w:tcW w:w="2330" w:type="pct"/>
          </w:tcPr>
          <w:p w:rsidR="00361F19" w:rsidRPr="00C45D88" w:rsidRDefault="00361F19" w:rsidP="00582919">
            <w:pPr>
              <w:jc w:val="both"/>
              <w:rPr>
                <w:rFonts w:eastAsia="Calibri"/>
                <w:sz w:val="20"/>
                <w:lang w:val="fr-CA"/>
              </w:rPr>
            </w:pPr>
            <w:r w:rsidRPr="00C45D88">
              <w:rPr>
                <w:rFonts w:eastAsia="Calibri"/>
                <w:sz w:val="20"/>
                <w:lang w:val="fr-CA"/>
              </w:rPr>
              <w:t>Appel accueilli; nouveau procès ordonné à l’égard des chefs de tentative de tricherie au jeu et de tricherie au jeu</w:t>
            </w:r>
          </w:p>
        </w:tc>
      </w:tr>
      <w:tr w:rsidR="00361F19" w:rsidRPr="00560020" w:rsidTr="00272F16">
        <w:trPr>
          <w:cantSplit/>
        </w:trPr>
        <w:tc>
          <w:tcPr>
            <w:tcW w:w="2427" w:type="pct"/>
          </w:tcPr>
          <w:p w:rsidR="00361F19" w:rsidRPr="00C45D88" w:rsidRDefault="00361F19" w:rsidP="00582919">
            <w:pPr>
              <w:jc w:val="both"/>
              <w:rPr>
                <w:rFonts w:eastAsia="Calibri"/>
                <w:sz w:val="20"/>
                <w:lang w:val="fr-CA"/>
              </w:rPr>
            </w:pPr>
            <w:r w:rsidRPr="00C45D88">
              <w:rPr>
                <w:rFonts w:eastAsia="Calibri"/>
                <w:sz w:val="20"/>
                <w:lang w:val="fr-CA"/>
              </w:rPr>
              <w:t>14 novembre 2014</w:t>
            </w:r>
          </w:p>
          <w:p w:rsidR="00361F19" w:rsidRPr="00C45D88" w:rsidRDefault="00361F19" w:rsidP="00582919">
            <w:pPr>
              <w:jc w:val="both"/>
              <w:rPr>
                <w:rFonts w:eastAsia="Calibri"/>
                <w:sz w:val="20"/>
                <w:lang w:val="fr-CA"/>
              </w:rPr>
            </w:pPr>
            <w:r w:rsidRPr="00C45D88">
              <w:rPr>
                <w:rFonts w:eastAsia="Calibri"/>
                <w:sz w:val="20"/>
                <w:lang w:val="fr-CA"/>
              </w:rPr>
              <w:t>Cour suprême du Canada</w:t>
            </w:r>
          </w:p>
        </w:tc>
        <w:tc>
          <w:tcPr>
            <w:tcW w:w="243" w:type="pct"/>
          </w:tcPr>
          <w:p w:rsidR="00361F19" w:rsidRPr="00C45D88" w:rsidRDefault="00361F19" w:rsidP="00582919">
            <w:pPr>
              <w:jc w:val="both"/>
              <w:rPr>
                <w:rFonts w:eastAsia="Calibri"/>
                <w:sz w:val="20"/>
                <w:lang w:val="fr-CA"/>
              </w:rPr>
            </w:pPr>
          </w:p>
        </w:tc>
        <w:tc>
          <w:tcPr>
            <w:tcW w:w="2330" w:type="pct"/>
          </w:tcPr>
          <w:p w:rsidR="00361F19" w:rsidRPr="00C45D88" w:rsidRDefault="00361F19" w:rsidP="00582919">
            <w:pPr>
              <w:jc w:val="both"/>
              <w:rPr>
                <w:rFonts w:eastAsia="Calibri"/>
                <w:sz w:val="20"/>
                <w:lang w:val="fr-CA"/>
              </w:rPr>
            </w:pPr>
            <w:r w:rsidRPr="00C45D88">
              <w:rPr>
                <w:rFonts w:eastAsia="Calibri"/>
                <w:sz w:val="20"/>
                <w:lang w:val="fr-CA"/>
              </w:rPr>
              <w:t>Dépôt de l’avis d’appel de plein droit conformément à l’al. 691(2)</w:t>
            </w:r>
            <w:r w:rsidRPr="00C45D88">
              <w:rPr>
                <w:rFonts w:eastAsia="Calibri"/>
                <w:i/>
                <w:sz w:val="20"/>
                <w:lang w:val="fr-CA"/>
              </w:rPr>
              <w:t>b</w:t>
            </w:r>
            <w:r w:rsidRPr="00C45D88">
              <w:rPr>
                <w:rFonts w:eastAsia="Calibri"/>
                <w:sz w:val="20"/>
                <w:lang w:val="fr-CA"/>
              </w:rPr>
              <w:t xml:space="preserve">) du </w:t>
            </w:r>
            <w:r w:rsidRPr="00C45D88">
              <w:rPr>
                <w:rFonts w:eastAsia="Calibri"/>
                <w:i/>
                <w:sz w:val="20"/>
                <w:lang w:val="fr-CA"/>
              </w:rPr>
              <w:t>Code criminel</w:t>
            </w:r>
            <w:r w:rsidRPr="00C45D88">
              <w:rPr>
                <w:rFonts w:eastAsia="Calibri"/>
                <w:sz w:val="20"/>
                <w:lang w:val="fr-CA"/>
              </w:rPr>
              <w:t xml:space="preserve"> à l’égard des chefs de tentative de fraude et de fraude</w:t>
            </w:r>
          </w:p>
          <w:p w:rsidR="00361F19" w:rsidRPr="00C45D88" w:rsidRDefault="00361F19" w:rsidP="00582919">
            <w:pPr>
              <w:jc w:val="both"/>
              <w:rPr>
                <w:rFonts w:eastAsia="Calibri"/>
                <w:sz w:val="20"/>
                <w:lang w:val="fr-CA"/>
              </w:rPr>
            </w:pPr>
          </w:p>
        </w:tc>
      </w:tr>
      <w:tr w:rsidR="00361F19" w:rsidRPr="00560020" w:rsidTr="00272F16">
        <w:trPr>
          <w:cantSplit/>
        </w:trPr>
        <w:tc>
          <w:tcPr>
            <w:tcW w:w="2427" w:type="pct"/>
          </w:tcPr>
          <w:p w:rsidR="00361F19" w:rsidRPr="00C45D88" w:rsidRDefault="00361F19" w:rsidP="00582919">
            <w:pPr>
              <w:jc w:val="both"/>
              <w:rPr>
                <w:rFonts w:eastAsia="Calibri"/>
                <w:sz w:val="20"/>
                <w:lang w:val="fr-CA"/>
              </w:rPr>
            </w:pPr>
            <w:r w:rsidRPr="00C45D88">
              <w:rPr>
                <w:rFonts w:eastAsia="Calibri"/>
                <w:sz w:val="20"/>
                <w:lang w:val="fr-CA"/>
              </w:rPr>
              <w:t>29 décembre 2014</w:t>
            </w:r>
          </w:p>
          <w:p w:rsidR="00361F19" w:rsidRPr="00C45D88" w:rsidRDefault="00361F19" w:rsidP="00582919">
            <w:pPr>
              <w:jc w:val="both"/>
              <w:rPr>
                <w:rFonts w:eastAsia="Calibri"/>
                <w:sz w:val="20"/>
                <w:lang w:val="fr-CA"/>
              </w:rPr>
            </w:pPr>
            <w:r w:rsidRPr="00C45D88">
              <w:rPr>
                <w:rFonts w:eastAsia="Calibri"/>
                <w:sz w:val="20"/>
                <w:lang w:val="fr-CA"/>
              </w:rPr>
              <w:t xml:space="preserve">Cour suprême du Canada  </w:t>
            </w:r>
          </w:p>
        </w:tc>
        <w:tc>
          <w:tcPr>
            <w:tcW w:w="243" w:type="pct"/>
          </w:tcPr>
          <w:p w:rsidR="00361F19" w:rsidRPr="00C45D88" w:rsidRDefault="00361F19" w:rsidP="00582919">
            <w:pPr>
              <w:jc w:val="both"/>
              <w:rPr>
                <w:rFonts w:eastAsia="Calibri"/>
                <w:sz w:val="20"/>
                <w:lang w:val="fr-CA"/>
              </w:rPr>
            </w:pPr>
          </w:p>
        </w:tc>
        <w:tc>
          <w:tcPr>
            <w:tcW w:w="2330" w:type="pct"/>
          </w:tcPr>
          <w:p w:rsidR="00361F19" w:rsidRPr="00C45D88" w:rsidRDefault="00361F19" w:rsidP="00582919">
            <w:pPr>
              <w:jc w:val="both"/>
              <w:rPr>
                <w:rFonts w:eastAsia="Calibri"/>
                <w:sz w:val="20"/>
                <w:lang w:val="fr-CA"/>
              </w:rPr>
            </w:pPr>
            <w:r w:rsidRPr="00C45D88">
              <w:rPr>
                <w:rFonts w:eastAsia="Calibri"/>
                <w:sz w:val="20"/>
                <w:lang w:val="fr-CA"/>
              </w:rPr>
              <w:t>Dépôt de la demande d’autorisation d’appel conformément à l’al. 691(2)</w:t>
            </w:r>
            <w:r w:rsidRPr="00C45D88">
              <w:rPr>
                <w:rFonts w:eastAsia="Calibri"/>
                <w:i/>
                <w:sz w:val="20"/>
                <w:lang w:val="fr-CA"/>
              </w:rPr>
              <w:t>c</w:t>
            </w:r>
            <w:r w:rsidRPr="00C45D88">
              <w:rPr>
                <w:rFonts w:eastAsia="Calibri"/>
                <w:sz w:val="20"/>
                <w:lang w:val="fr-CA"/>
              </w:rPr>
              <w:t xml:space="preserve">) du </w:t>
            </w:r>
            <w:r w:rsidRPr="00C45D88">
              <w:rPr>
                <w:rFonts w:eastAsia="Calibri"/>
                <w:i/>
                <w:sz w:val="20"/>
                <w:lang w:val="fr-CA"/>
              </w:rPr>
              <w:t>Code criminel</w:t>
            </w:r>
          </w:p>
        </w:tc>
      </w:tr>
    </w:tbl>
    <w:p w:rsidR="000D6E5D" w:rsidRPr="00361F19" w:rsidRDefault="000D6E5D" w:rsidP="000D6E5D">
      <w:pPr>
        <w:rPr>
          <w:sz w:val="20"/>
          <w:szCs w:val="20"/>
          <w:lang w:val="fr-CA"/>
        </w:rPr>
      </w:pPr>
    </w:p>
    <w:p w:rsidR="000D6E5D" w:rsidRDefault="003A60BB" w:rsidP="000D6E5D">
      <w:pPr>
        <w:rPr>
          <w:sz w:val="20"/>
          <w:szCs w:val="20"/>
        </w:rPr>
      </w:pPr>
      <w:r>
        <w:rPr>
          <w:sz w:val="20"/>
          <w:szCs w:val="20"/>
          <w:lang w:val="fr-CA"/>
        </w:rPr>
        <w:pict>
          <v:rect id="_x0000_i1061" style="width:2in;height:1pt" o:hrpct="0" o:hralign="center" o:hrstd="t" o:hrnoshade="t" o:hr="t" fillcolor="black [3213]" stroked="f"/>
        </w:pict>
      </w:r>
    </w:p>
    <w:p w:rsidR="000D6E5D" w:rsidRDefault="000D6E5D" w:rsidP="000D6E5D">
      <w:pPr>
        <w:rPr>
          <w:sz w:val="20"/>
          <w:szCs w:val="20"/>
        </w:rPr>
      </w:pPr>
    </w:p>
    <w:tbl>
      <w:tblPr>
        <w:tblStyle w:val="TableGrid1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72F16" w:rsidRPr="00272F16" w:rsidTr="003431AF">
        <w:trPr>
          <w:cantSplit/>
        </w:trPr>
        <w:tc>
          <w:tcPr>
            <w:tcW w:w="1458" w:type="dxa"/>
          </w:tcPr>
          <w:p w:rsidR="00272F16" w:rsidRPr="00272F16" w:rsidRDefault="00272F16" w:rsidP="00272F16">
            <w:pPr>
              <w:rPr>
                <w:sz w:val="20"/>
              </w:rPr>
            </w:pPr>
            <w:r w:rsidRPr="00272F16">
              <w:rPr>
                <w:b/>
                <w:sz w:val="20"/>
                <w:lang w:val="fr-CA"/>
              </w:rPr>
              <w:t>36182</w:t>
            </w:r>
          </w:p>
          <w:p w:rsidR="00272F16" w:rsidRPr="00272F16" w:rsidRDefault="00272F16" w:rsidP="00272F16">
            <w:pPr>
              <w:rPr>
                <w:b/>
                <w:sz w:val="20"/>
                <w:lang w:val="fr-CA"/>
              </w:rPr>
            </w:pPr>
          </w:p>
        </w:tc>
        <w:tc>
          <w:tcPr>
            <w:tcW w:w="8118" w:type="dxa"/>
          </w:tcPr>
          <w:p w:rsidR="00272F16" w:rsidRPr="00272F16" w:rsidRDefault="00272F16" w:rsidP="00272F16">
            <w:pPr>
              <w:rPr>
                <w:sz w:val="20"/>
              </w:rPr>
            </w:pPr>
            <w:r w:rsidRPr="00272F16">
              <w:rPr>
                <w:b/>
                <w:sz w:val="20"/>
                <w:u w:val="single"/>
              </w:rPr>
              <w:t>Helen Kim v. Andy Peredery</w:t>
            </w:r>
            <w:r w:rsidRPr="00272F16">
              <w:rPr>
                <w:sz w:val="20"/>
              </w:rPr>
              <w:t xml:space="preserve"> (Ont.) (Civil) (By Leave)</w:t>
            </w:r>
          </w:p>
          <w:p w:rsidR="00272F16" w:rsidRPr="00272F16" w:rsidRDefault="00272F16" w:rsidP="00272F16">
            <w:pPr>
              <w:rPr>
                <w:sz w:val="20"/>
              </w:rPr>
            </w:pPr>
          </w:p>
        </w:tc>
      </w:tr>
      <w:tr w:rsidR="00272F16" w:rsidRPr="00272F16" w:rsidTr="003431AF">
        <w:trPr>
          <w:cantSplit/>
        </w:trPr>
        <w:tc>
          <w:tcPr>
            <w:tcW w:w="1458" w:type="dxa"/>
          </w:tcPr>
          <w:p w:rsidR="00272F16" w:rsidRPr="00272F16" w:rsidRDefault="00272F16" w:rsidP="00272F16">
            <w:pPr>
              <w:rPr>
                <w:sz w:val="20"/>
              </w:rPr>
            </w:pPr>
            <w:r w:rsidRPr="00272F16">
              <w:rPr>
                <w:sz w:val="20"/>
              </w:rPr>
              <w:t>Coram :</w:t>
            </w:r>
          </w:p>
        </w:tc>
        <w:tc>
          <w:tcPr>
            <w:tcW w:w="8118" w:type="dxa"/>
          </w:tcPr>
          <w:p w:rsidR="00272F16" w:rsidRPr="00272F16" w:rsidRDefault="00272F16" w:rsidP="00272F16">
            <w:pPr>
              <w:rPr>
                <w:sz w:val="20"/>
              </w:rPr>
            </w:pPr>
            <w:r w:rsidRPr="00272F16">
              <w:rPr>
                <w:sz w:val="20"/>
                <w:u w:val="single"/>
              </w:rPr>
              <w:t>Rothstein, Cromwell and Moldaver JJ.</w:t>
            </w:r>
          </w:p>
          <w:p w:rsidR="00272F16" w:rsidRPr="00272F16" w:rsidRDefault="00272F16" w:rsidP="00272F16">
            <w:pPr>
              <w:rPr>
                <w:sz w:val="20"/>
                <w:u w:val="single"/>
              </w:rPr>
            </w:pPr>
          </w:p>
        </w:tc>
      </w:tr>
      <w:tr w:rsidR="00272F16" w:rsidRPr="00560020" w:rsidTr="003431AF">
        <w:trPr>
          <w:cantSplit/>
        </w:trPr>
        <w:tc>
          <w:tcPr>
            <w:tcW w:w="9576" w:type="dxa"/>
            <w:gridSpan w:val="2"/>
          </w:tcPr>
          <w:p w:rsidR="00272F16" w:rsidRPr="00272F16" w:rsidRDefault="00272F16" w:rsidP="00272F16">
            <w:pPr>
              <w:ind w:firstLine="720"/>
              <w:jc w:val="both"/>
              <w:rPr>
                <w:sz w:val="20"/>
              </w:rPr>
            </w:pPr>
            <w:r w:rsidRPr="00272F16">
              <w:rPr>
                <w:sz w:val="20"/>
              </w:rPr>
              <w:t>The application for leave to appeal from the judgment of the Court of Appeal for Ontario, Number M43906, dated October 10, 2014, is dismissed.</w:t>
            </w:r>
          </w:p>
          <w:p w:rsidR="00272F16" w:rsidRPr="00272F16" w:rsidRDefault="00272F16" w:rsidP="00272F16">
            <w:pPr>
              <w:jc w:val="both"/>
              <w:rPr>
                <w:sz w:val="20"/>
              </w:rPr>
            </w:pPr>
          </w:p>
          <w:p w:rsidR="00272F16" w:rsidRPr="00272F16" w:rsidRDefault="00272F16" w:rsidP="00272F16">
            <w:pPr>
              <w:ind w:firstLine="720"/>
              <w:jc w:val="both"/>
              <w:rPr>
                <w:sz w:val="20"/>
                <w:lang w:val="fr-CA"/>
              </w:rPr>
            </w:pPr>
            <w:r w:rsidRPr="00272F16">
              <w:rPr>
                <w:sz w:val="20"/>
                <w:lang w:val="fr-CA"/>
              </w:rPr>
              <w:t>La demande d’autorisation d’appel de l’arrêt de la Cour d’appel de l’Ontario, numéro M43906, daté du 10 octobre 2014, est rejetée.</w:t>
            </w:r>
          </w:p>
        </w:tc>
      </w:tr>
    </w:tbl>
    <w:p w:rsidR="000D6E5D" w:rsidRPr="00272F16" w:rsidRDefault="000D6E5D" w:rsidP="000D6E5D">
      <w:pPr>
        <w:rPr>
          <w:sz w:val="20"/>
          <w:szCs w:val="20"/>
          <w:lang w:val="fr-CA"/>
        </w:rPr>
      </w:pPr>
    </w:p>
    <w:p w:rsidR="000D6E5D" w:rsidRPr="001B157C" w:rsidRDefault="000D6E5D" w:rsidP="000D6E5D">
      <w:pPr>
        <w:rPr>
          <w:sz w:val="20"/>
          <w:szCs w:val="20"/>
          <w:u w:val="single"/>
        </w:rPr>
      </w:pPr>
      <w:r w:rsidRPr="001B157C">
        <w:rPr>
          <w:sz w:val="20"/>
          <w:szCs w:val="20"/>
          <w:u w:val="single"/>
        </w:rPr>
        <w:t>CASE SUMMARY</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61F19" w:rsidRPr="00C45D88" w:rsidTr="00582919">
        <w:tc>
          <w:tcPr>
            <w:tcW w:w="5000" w:type="pct"/>
            <w:gridSpan w:val="3"/>
          </w:tcPr>
          <w:p w:rsidR="00361F19" w:rsidRPr="00C45D88" w:rsidRDefault="00361F19" w:rsidP="00582919">
            <w:pPr>
              <w:jc w:val="both"/>
              <w:rPr>
                <w:rFonts w:eastAsia="Calibri"/>
                <w:sz w:val="20"/>
              </w:rPr>
            </w:pPr>
            <w:r w:rsidRPr="00C45D88">
              <w:rPr>
                <w:rFonts w:eastAsia="Calibri"/>
                <w:sz w:val="20"/>
              </w:rPr>
              <w:t>Family law – Custody – Civil procedure – Appeals – Father awarded custody of two children and mother awarded specified access – Mother seeking to appeal decision and requiring extension of time – Whether mother’s constitutional rights breached – Whether Court can restore  conditions required for mothers to parent their children.</w:t>
            </w:r>
          </w:p>
        </w:tc>
      </w:tr>
      <w:tr w:rsidR="00361F19" w:rsidRPr="00C45D88" w:rsidTr="00582919">
        <w:tc>
          <w:tcPr>
            <w:tcW w:w="5000" w:type="pct"/>
            <w:gridSpan w:val="3"/>
          </w:tcPr>
          <w:p w:rsidR="00361F19" w:rsidRPr="00C45D88" w:rsidRDefault="00361F19" w:rsidP="00582919">
            <w:pPr>
              <w:jc w:val="both"/>
              <w:rPr>
                <w:rFonts w:eastAsia="Calibri"/>
                <w:sz w:val="20"/>
              </w:rPr>
            </w:pPr>
          </w:p>
        </w:tc>
      </w:tr>
      <w:tr w:rsidR="00361F19" w:rsidRPr="00C45D88" w:rsidTr="00582919">
        <w:tc>
          <w:tcPr>
            <w:tcW w:w="5000" w:type="pct"/>
            <w:gridSpan w:val="3"/>
          </w:tcPr>
          <w:p w:rsidR="00361F19" w:rsidRPr="00C45D88" w:rsidRDefault="00361F19" w:rsidP="00582919">
            <w:pPr>
              <w:jc w:val="both"/>
              <w:rPr>
                <w:rFonts w:eastAsia="Calibri"/>
                <w:sz w:val="20"/>
              </w:rPr>
            </w:pPr>
            <w:r w:rsidRPr="00C45D88">
              <w:rPr>
                <w:rFonts w:eastAsia="Calibri"/>
                <w:sz w:val="20"/>
              </w:rPr>
              <w:t>A court order issued in October, 2013 awarding custody of two children to their father, with access to the mother.  The mother sought to appeal the order.  Her appeal was not brought in time and she was ordered to file a motion for extension of time if she wished to proceed with her appeal.  Ms. Kim has brought several motions for extensions of time but has not complied with the terms imposed.</w:t>
            </w:r>
          </w:p>
          <w:p w:rsidR="00361F19" w:rsidRPr="00C45D88" w:rsidRDefault="00361F19" w:rsidP="00582919">
            <w:pPr>
              <w:jc w:val="both"/>
              <w:rPr>
                <w:rFonts w:eastAsia="Calibri"/>
                <w:sz w:val="20"/>
              </w:rPr>
            </w:pPr>
          </w:p>
        </w:tc>
      </w:tr>
      <w:tr w:rsidR="00361F19" w:rsidRPr="00C45D88" w:rsidTr="00582919">
        <w:tc>
          <w:tcPr>
            <w:tcW w:w="2427" w:type="pct"/>
          </w:tcPr>
          <w:p w:rsidR="00361F19" w:rsidRPr="00C45D88" w:rsidRDefault="00361F19" w:rsidP="00582919">
            <w:pPr>
              <w:jc w:val="both"/>
              <w:rPr>
                <w:rFonts w:eastAsia="Calibri"/>
                <w:sz w:val="20"/>
              </w:rPr>
            </w:pPr>
            <w:r w:rsidRPr="00C45D88">
              <w:rPr>
                <w:rFonts w:eastAsia="Calibri"/>
                <w:sz w:val="20"/>
              </w:rPr>
              <w:t>October 10, 2013</w:t>
            </w:r>
          </w:p>
          <w:p w:rsidR="00361F19" w:rsidRPr="00C45D88" w:rsidRDefault="00361F19" w:rsidP="00582919">
            <w:pPr>
              <w:jc w:val="both"/>
              <w:rPr>
                <w:rFonts w:eastAsia="Calibri"/>
                <w:sz w:val="20"/>
              </w:rPr>
            </w:pPr>
            <w:r w:rsidRPr="00C45D88">
              <w:rPr>
                <w:rFonts w:eastAsia="Calibri"/>
                <w:sz w:val="20"/>
              </w:rPr>
              <w:t>Ontario Court of Justice</w:t>
            </w:r>
          </w:p>
          <w:p w:rsidR="00361F19" w:rsidRPr="00C45D88" w:rsidRDefault="00361F19" w:rsidP="00582919">
            <w:pPr>
              <w:jc w:val="both"/>
              <w:rPr>
                <w:rFonts w:eastAsia="Calibri"/>
                <w:sz w:val="20"/>
              </w:rPr>
            </w:pPr>
            <w:r w:rsidRPr="00C45D88">
              <w:rPr>
                <w:rFonts w:eastAsia="Calibri"/>
                <w:sz w:val="20"/>
              </w:rPr>
              <w:t>(Clay J.)</w:t>
            </w:r>
          </w:p>
          <w:p w:rsidR="00361F19" w:rsidRPr="00C45D88" w:rsidRDefault="00361F19" w:rsidP="00582919">
            <w:pPr>
              <w:jc w:val="both"/>
              <w:rPr>
                <w:rFonts w:eastAsia="Calibri"/>
                <w:sz w:val="20"/>
              </w:rPr>
            </w:pPr>
            <w:r w:rsidRPr="00C45D88">
              <w:rPr>
                <w:rFonts w:eastAsia="Calibri"/>
                <w:sz w:val="20"/>
              </w:rPr>
              <w:t>Unreported</w:t>
            </w:r>
          </w:p>
          <w:p w:rsidR="00361F19" w:rsidRPr="00C45D88" w:rsidRDefault="00361F19" w:rsidP="00582919">
            <w:pPr>
              <w:jc w:val="both"/>
              <w:rPr>
                <w:rFonts w:eastAsia="Calibri"/>
                <w:sz w:val="20"/>
              </w:rPr>
            </w:pPr>
          </w:p>
        </w:tc>
        <w:tc>
          <w:tcPr>
            <w:tcW w:w="243" w:type="pct"/>
          </w:tcPr>
          <w:p w:rsidR="00361F19" w:rsidRPr="00C45D88" w:rsidRDefault="00361F19" w:rsidP="00582919">
            <w:pPr>
              <w:jc w:val="both"/>
              <w:rPr>
                <w:rFonts w:eastAsia="Calibri"/>
                <w:sz w:val="20"/>
              </w:rPr>
            </w:pPr>
          </w:p>
        </w:tc>
        <w:tc>
          <w:tcPr>
            <w:tcW w:w="2330" w:type="pct"/>
          </w:tcPr>
          <w:p w:rsidR="00361F19" w:rsidRPr="00C45D88" w:rsidRDefault="00361F19" w:rsidP="00582919">
            <w:pPr>
              <w:jc w:val="both"/>
              <w:rPr>
                <w:rFonts w:eastAsia="Calibri"/>
                <w:sz w:val="20"/>
              </w:rPr>
            </w:pPr>
            <w:r w:rsidRPr="00C45D88">
              <w:rPr>
                <w:rFonts w:eastAsia="Calibri"/>
                <w:sz w:val="20"/>
              </w:rPr>
              <w:t>Father awarded custody of two children with access for mother</w:t>
            </w:r>
          </w:p>
        </w:tc>
      </w:tr>
      <w:tr w:rsidR="00361F19" w:rsidRPr="00C45D88" w:rsidTr="00A15D0E">
        <w:trPr>
          <w:cantSplit/>
        </w:trPr>
        <w:tc>
          <w:tcPr>
            <w:tcW w:w="2427" w:type="pct"/>
          </w:tcPr>
          <w:p w:rsidR="00361F19" w:rsidRPr="00C45D88" w:rsidRDefault="00361F19" w:rsidP="00582919">
            <w:pPr>
              <w:jc w:val="both"/>
              <w:rPr>
                <w:rFonts w:eastAsia="Calibri"/>
                <w:sz w:val="20"/>
              </w:rPr>
            </w:pPr>
            <w:r w:rsidRPr="00C45D88">
              <w:rPr>
                <w:rFonts w:eastAsia="Calibri"/>
                <w:sz w:val="20"/>
              </w:rPr>
              <w:t>March 26, 2014</w:t>
            </w:r>
          </w:p>
          <w:p w:rsidR="00361F19" w:rsidRPr="00C45D88" w:rsidRDefault="00361F19" w:rsidP="00582919">
            <w:pPr>
              <w:jc w:val="both"/>
              <w:rPr>
                <w:rFonts w:eastAsia="Calibri"/>
                <w:sz w:val="20"/>
              </w:rPr>
            </w:pPr>
            <w:r w:rsidRPr="00C45D88">
              <w:rPr>
                <w:rFonts w:eastAsia="Calibri"/>
                <w:sz w:val="20"/>
              </w:rPr>
              <w:t>Court of Appeal for Ontario</w:t>
            </w:r>
          </w:p>
          <w:p w:rsidR="00361F19" w:rsidRPr="00C45D88" w:rsidRDefault="00361F19" w:rsidP="00582919">
            <w:pPr>
              <w:jc w:val="both"/>
              <w:rPr>
                <w:rFonts w:eastAsia="Calibri"/>
                <w:sz w:val="20"/>
              </w:rPr>
            </w:pPr>
            <w:r w:rsidRPr="00C45D88">
              <w:rPr>
                <w:rFonts w:eastAsia="Calibri"/>
                <w:sz w:val="20"/>
              </w:rPr>
              <w:t>(Hoy A.C.J.O.)</w:t>
            </w:r>
          </w:p>
          <w:p w:rsidR="00361F19" w:rsidRPr="00C45D88" w:rsidRDefault="00361F19" w:rsidP="00582919">
            <w:pPr>
              <w:jc w:val="both"/>
              <w:rPr>
                <w:rFonts w:eastAsia="Calibri"/>
                <w:sz w:val="20"/>
              </w:rPr>
            </w:pPr>
            <w:r w:rsidRPr="00C45D88">
              <w:rPr>
                <w:rFonts w:eastAsia="Calibri"/>
                <w:sz w:val="20"/>
              </w:rPr>
              <w:t>Unreported</w:t>
            </w:r>
          </w:p>
          <w:p w:rsidR="00361F19" w:rsidRPr="00C45D88" w:rsidRDefault="00361F19" w:rsidP="00582919">
            <w:pPr>
              <w:jc w:val="both"/>
              <w:rPr>
                <w:rFonts w:eastAsia="Calibri"/>
                <w:sz w:val="20"/>
              </w:rPr>
            </w:pPr>
          </w:p>
        </w:tc>
        <w:tc>
          <w:tcPr>
            <w:tcW w:w="243" w:type="pct"/>
          </w:tcPr>
          <w:p w:rsidR="00361F19" w:rsidRPr="00C45D88" w:rsidRDefault="00361F19" w:rsidP="00582919">
            <w:pPr>
              <w:jc w:val="both"/>
              <w:rPr>
                <w:rFonts w:eastAsia="Calibri"/>
                <w:sz w:val="20"/>
              </w:rPr>
            </w:pPr>
          </w:p>
        </w:tc>
        <w:tc>
          <w:tcPr>
            <w:tcW w:w="2330" w:type="pct"/>
          </w:tcPr>
          <w:p w:rsidR="00361F19" w:rsidRPr="00C45D88" w:rsidRDefault="00361F19" w:rsidP="00582919">
            <w:pPr>
              <w:jc w:val="both"/>
              <w:rPr>
                <w:rFonts w:eastAsia="Calibri"/>
                <w:sz w:val="20"/>
              </w:rPr>
            </w:pPr>
            <w:r w:rsidRPr="00C45D88">
              <w:rPr>
                <w:rFonts w:eastAsia="Calibri"/>
                <w:sz w:val="20"/>
              </w:rPr>
              <w:t>Applicant’s motion for extension of time to appeal order dated January 10, 2014 dismissing her motion for extension of time to appeal order of Clay J., dismissed</w:t>
            </w:r>
          </w:p>
        </w:tc>
      </w:tr>
      <w:tr w:rsidR="00361F19" w:rsidRPr="00C45D88" w:rsidTr="00A15D0E">
        <w:trPr>
          <w:cantSplit/>
        </w:trPr>
        <w:tc>
          <w:tcPr>
            <w:tcW w:w="2427" w:type="pct"/>
          </w:tcPr>
          <w:p w:rsidR="00361F19" w:rsidRPr="00C45D88" w:rsidRDefault="00361F19" w:rsidP="00582919">
            <w:pPr>
              <w:jc w:val="both"/>
              <w:rPr>
                <w:rFonts w:eastAsia="Calibri"/>
                <w:sz w:val="20"/>
              </w:rPr>
            </w:pPr>
            <w:r w:rsidRPr="00C45D88">
              <w:rPr>
                <w:rFonts w:eastAsia="Calibri"/>
                <w:sz w:val="20"/>
              </w:rPr>
              <w:t>June 5, 2014</w:t>
            </w:r>
          </w:p>
          <w:p w:rsidR="00361F19" w:rsidRPr="00C45D88" w:rsidRDefault="00361F19" w:rsidP="00582919">
            <w:pPr>
              <w:jc w:val="both"/>
              <w:rPr>
                <w:rFonts w:eastAsia="Calibri"/>
                <w:sz w:val="20"/>
              </w:rPr>
            </w:pPr>
            <w:r w:rsidRPr="00C45D88">
              <w:rPr>
                <w:rFonts w:eastAsia="Calibri"/>
                <w:sz w:val="20"/>
              </w:rPr>
              <w:t>Court of Appeal for Ontario</w:t>
            </w:r>
          </w:p>
          <w:p w:rsidR="00361F19" w:rsidRPr="00C45D88" w:rsidRDefault="00361F19" w:rsidP="00582919">
            <w:pPr>
              <w:jc w:val="both"/>
              <w:rPr>
                <w:rFonts w:eastAsia="Calibri"/>
                <w:sz w:val="20"/>
              </w:rPr>
            </w:pPr>
            <w:r w:rsidRPr="00C45D88">
              <w:rPr>
                <w:rFonts w:eastAsia="Calibri"/>
                <w:sz w:val="20"/>
              </w:rPr>
              <w:t>(van Rensburg J.A.)</w:t>
            </w:r>
          </w:p>
          <w:p w:rsidR="00361F19" w:rsidRPr="00C45D88" w:rsidRDefault="00361F19" w:rsidP="00582919">
            <w:pPr>
              <w:jc w:val="both"/>
              <w:rPr>
                <w:rFonts w:eastAsia="Calibri"/>
                <w:sz w:val="20"/>
              </w:rPr>
            </w:pPr>
            <w:r w:rsidRPr="00C45D88">
              <w:rPr>
                <w:rFonts w:eastAsia="Calibri"/>
                <w:sz w:val="20"/>
              </w:rPr>
              <w:t>Unreported</w:t>
            </w:r>
          </w:p>
          <w:p w:rsidR="00361F19" w:rsidRPr="00C45D88" w:rsidRDefault="00361F19" w:rsidP="00582919">
            <w:pPr>
              <w:jc w:val="both"/>
              <w:rPr>
                <w:rFonts w:eastAsia="Calibri"/>
                <w:sz w:val="20"/>
              </w:rPr>
            </w:pPr>
          </w:p>
        </w:tc>
        <w:tc>
          <w:tcPr>
            <w:tcW w:w="243" w:type="pct"/>
          </w:tcPr>
          <w:p w:rsidR="00361F19" w:rsidRPr="00C45D88" w:rsidRDefault="00361F19" w:rsidP="00582919">
            <w:pPr>
              <w:jc w:val="both"/>
              <w:rPr>
                <w:rFonts w:eastAsia="Calibri"/>
                <w:sz w:val="20"/>
              </w:rPr>
            </w:pPr>
          </w:p>
        </w:tc>
        <w:tc>
          <w:tcPr>
            <w:tcW w:w="2330" w:type="pct"/>
          </w:tcPr>
          <w:p w:rsidR="00361F19" w:rsidRPr="00C45D88" w:rsidRDefault="00361F19" w:rsidP="00582919">
            <w:pPr>
              <w:jc w:val="both"/>
              <w:rPr>
                <w:rFonts w:eastAsia="Calibri"/>
                <w:sz w:val="20"/>
              </w:rPr>
            </w:pPr>
            <w:r w:rsidRPr="00C45D88">
              <w:rPr>
                <w:rFonts w:eastAsia="Calibri"/>
                <w:sz w:val="20"/>
              </w:rPr>
              <w:t>Applicant’s motion for extension of time dismissed</w:t>
            </w:r>
          </w:p>
        </w:tc>
      </w:tr>
      <w:tr w:rsidR="00361F19" w:rsidRPr="00C45D88" w:rsidTr="00A15D0E">
        <w:trPr>
          <w:cantSplit/>
        </w:trPr>
        <w:tc>
          <w:tcPr>
            <w:tcW w:w="2427" w:type="pct"/>
          </w:tcPr>
          <w:p w:rsidR="00361F19" w:rsidRPr="00C45D88" w:rsidRDefault="00361F19" w:rsidP="00582919">
            <w:pPr>
              <w:jc w:val="both"/>
              <w:rPr>
                <w:rFonts w:eastAsia="Calibri"/>
                <w:sz w:val="20"/>
              </w:rPr>
            </w:pPr>
            <w:r w:rsidRPr="00C45D88">
              <w:rPr>
                <w:rFonts w:eastAsia="Calibri"/>
                <w:sz w:val="20"/>
              </w:rPr>
              <w:t>October 10, 2014</w:t>
            </w:r>
          </w:p>
          <w:p w:rsidR="00361F19" w:rsidRPr="00C45D88" w:rsidRDefault="00361F19" w:rsidP="00582919">
            <w:pPr>
              <w:jc w:val="both"/>
              <w:rPr>
                <w:rFonts w:eastAsia="Calibri"/>
                <w:sz w:val="20"/>
              </w:rPr>
            </w:pPr>
            <w:r w:rsidRPr="00C45D88">
              <w:rPr>
                <w:rFonts w:eastAsia="Calibri"/>
                <w:sz w:val="20"/>
              </w:rPr>
              <w:t>Court of Appeal for Ontario</w:t>
            </w:r>
          </w:p>
          <w:p w:rsidR="00361F19" w:rsidRPr="00C45D88" w:rsidRDefault="00361F19" w:rsidP="00582919">
            <w:pPr>
              <w:jc w:val="both"/>
              <w:rPr>
                <w:rFonts w:eastAsia="Calibri"/>
                <w:sz w:val="20"/>
              </w:rPr>
            </w:pPr>
            <w:r w:rsidRPr="00C45D88">
              <w:rPr>
                <w:rFonts w:eastAsia="Calibri"/>
                <w:sz w:val="20"/>
              </w:rPr>
              <w:t>(Strathy J. (</w:t>
            </w:r>
            <w:r w:rsidRPr="00C45D88">
              <w:rPr>
                <w:rFonts w:eastAsia="Calibri"/>
                <w:i/>
                <w:sz w:val="20"/>
              </w:rPr>
              <w:t>ad hoc</w:t>
            </w:r>
            <w:r w:rsidRPr="00C45D88">
              <w:rPr>
                <w:rFonts w:eastAsia="Calibri"/>
                <w:sz w:val="20"/>
              </w:rPr>
              <w:t>), Rouleau and Hourigan</w:t>
            </w:r>
          </w:p>
          <w:p w:rsidR="00361F19" w:rsidRPr="00C45D88" w:rsidRDefault="00361F19" w:rsidP="00582919">
            <w:pPr>
              <w:jc w:val="both"/>
              <w:rPr>
                <w:rFonts w:eastAsia="Calibri"/>
                <w:sz w:val="20"/>
              </w:rPr>
            </w:pPr>
            <w:r w:rsidRPr="00C45D88">
              <w:rPr>
                <w:rFonts w:eastAsia="Calibri"/>
                <w:sz w:val="20"/>
              </w:rPr>
              <w:t>JJ.A.)</w:t>
            </w:r>
          </w:p>
          <w:p w:rsidR="00361F19" w:rsidRPr="00C45D88" w:rsidRDefault="00361F19" w:rsidP="00582919">
            <w:pPr>
              <w:jc w:val="both"/>
              <w:rPr>
                <w:rFonts w:eastAsia="Calibri"/>
                <w:sz w:val="20"/>
              </w:rPr>
            </w:pPr>
            <w:r w:rsidRPr="00C45D88">
              <w:rPr>
                <w:rFonts w:eastAsia="Calibri"/>
                <w:sz w:val="20"/>
              </w:rPr>
              <w:t>Unreported</w:t>
            </w:r>
          </w:p>
          <w:p w:rsidR="00361F19" w:rsidRPr="00C45D88" w:rsidRDefault="00361F19" w:rsidP="00582919">
            <w:pPr>
              <w:jc w:val="both"/>
              <w:rPr>
                <w:rFonts w:eastAsia="Calibri"/>
                <w:sz w:val="20"/>
              </w:rPr>
            </w:pPr>
          </w:p>
        </w:tc>
        <w:tc>
          <w:tcPr>
            <w:tcW w:w="243" w:type="pct"/>
          </w:tcPr>
          <w:p w:rsidR="00361F19" w:rsidRPr="00C45D88" w:rsidRDefault="00361F19" w:rsidP="00582919">
            <w:pPr>
              <w:jc w:val="both"/>
              <w:rPr>
                <w:rFonts w:eastAsia="Calibri"/>
                <w:sz w:val="20"/>
              </w:rPr>
            </w:pPr>
          </w:p>
        </w:tc>
        <w:tc>
          <w:tcPr>
            <w:tcW w:w="2330" w:type="pct"/>
          </w:tcPr>
          <w:p w:rsidR="00361F19" w:rsidRPr="00C45D88" w:rsidRDefault="00361F19" w:rsidP="00582919">
            <w:pPr>
              <w:jc w:val="both"/>
              <w:rPr>
                <w:rFonts w:eastAsia="Calibri"/>
                <w:sz w:val="20"/>
              </w:rPr>
            </w:pPr>
            <w:r w:rsidRPr="00C45D88">
              <w:rPr>
                <w:rFonts w:eastAsia="Calibri"/>
                <w:sz w:val="20"/>
              </w:rPr>
              <w:t>Applicant’s appeal dismissed</w:t>
            </w:r>
          </w:p>
        </w:tc>
      </w:tr>
      <w:tr w:rsidR="00361F19" w:rsidRPr="00C45D88" w:rsidTr="00A15D0E">
        <w:trPr>
          <w:cantSplit/>
        </w:trPr>
        <w:tc>
          <w:tcPr>
            <w:tcW w:w="2427" w:type="pct"/>
          </w:tcPr>
          <w:p w:rsidR="00361F19" w:rsidRPr="00C45D88" w:rsidRDefault="00361F19" w:rsidP="00582919">
            <w:pPr>
              <w:jc w:val="both"/>
              <w:rPr>
                <w:rFonts w:eastAsia="Calibri"/>
                <w:sz w:val="20"/>
              </w:rPr>
            </w:pPr>
            <w:r w:rsidRPr="00C45D88">
              <w:rPr>
                <w:rFonts w:eastAsia="Calibri"/>
                <w:sz w:val="20"/>
              </w:rPr>
              <w:t>October 15, 2014</w:t>
            </w:r>
          </w:p>
          <w:p w:rsidR="00361F19" w:rsidRPr="00C45D88" w:rsidRDefault="00361F19" w:rsidP="00582919">
            <w:pPr>
              <w:jc w:val="both"/>
              <w:rPr>
                <w:rFonts w:eastAsia="Calibri"/>
                <w:sz w:val="20"/>
              </w:rPr>
            </w:pPr>
            <w:r w:rsidRPr="00C45D88">
              <w:rPr>
                <w:rFonts w:eastAsia="Calibri"/>
                <w:sz w:val="20"/>
              </w:rPr>
              <w:t>Supreme Court of Canada</w:t>
            </w:r>
          </w:p>
        </w:tc>
        <w:tc>
          <w:tcPr>
            <w:tcW w:w="243" w:type="pct"/>
          </w:tcPr>
          <w:p w:rsidR="00361F19" w:rsidRPr="00C45D88" w:rsidRDefault="00361F19" w:rsidP="00582919">
            <w:pPr>
              <w:jc w:val="both"/>
              <w:rPr>
                <w:rFonts w:eastAsia="Calibri"/>
                <w:sz w:val="20"/>
              </w:rPr>
            </w:pPr>
          </w:p>
        </w:tc>
        <w:tc>
          <w:tcPr>
            <w:tcW w:w="2330" w:type="pct"/>
          </w:tcPr>
          <w:p w:rsidR="00361F19" w:rsidRPr="00C45D88" w:rsidRDefault="00361F19" w:rsidP="00582919">
            <w:pPr>
              <w:jc w:val="both"/>
              <w:rPr>
                <w:rFonts w:eastAsia="Calibri"/>
                <w:sz w:val="20"/>
              </w:rPr>
            </w:pPr>
            <w:r w:rsidRPr="00C45D88">
              <w:rPr>
                <w:rFonts w:eastAsia="Calibri"/>
                <w:sz w:val="20"/>
              </w:rPr>
              <w:t>Application for leave to appeal filed</w:t>
            </w:r>
          </w:p>
        </w:tc>
      </w:tr>
    </w:tbl>
    <w:p w:rsidR="000D6E5D" w:rsidRDefault="000D6E5D" w:rsidP="000D6E5D">
      <w:pPr>
        <w:rPr>
          <w:sz w:val="20"/>
          <w:szCs w:val="20"/>
        </w:rPr>
      </w:pPr>
    </w:p>
    <w:p w:rsidR="000D6E5D" w:rsidRPr="00C50A5C" w:rsidRDefault="003A60BB" w:rsidP="000D6E5D">
      <w:pPr>
        <w:rPr>
          <w:sz w:val="20"/>
          <w:szCs w:val="20"/>
        </w:rPr>
      </w:pPr>
      <w:r>
        <w:rPr>
          <w:sz w:val="20"/>
          <w:szCs w:val="20"/>
          <w:lang w:val="fr-CA"/>
        </w:rPr>
        <w:pict>
          <v:rect id="_x0000_i1062" style="width:2in;height:1pt" o:hrpct="0" o:hralign="center" o:hrstd="t" o:hrnoshade="t" o:hr="t" fillcolor="black [3213]" stroked="f"/>
        </w:pict>
      </w:r>
    </w:p>
    <w:p w:rsidR="000D6E5D" w:rsidRDefault="000D6E5D" w:rsidP="000D6E5D">
      <w:pPr>
        <w:rPr>
          <w:sz w:val="20"/>
          <w:szCs w:val="20"/>
        </w:rPr>
      </w:pPr>
    </w:p>
    <w:p w:rsidR="000D6E5D" w:rsidRPr="001B157C" w:rsidRDefault="000D6E5D" w:rsidP="000D6E5D">
      <w:pPr>
        <w:rPr>
          <w:sz w:val="20"/>
          <w:szCs w:val="20"/>
          <w:u w:val="single"/>
          <w:lang w:val="fr-CA"/>
        </w:rPr>
      </w:pPr>
      <w:r w:rsidRPr="001B157C">
        <w:rPr>
          <w:sz w:val="20"/>
          <w:szCs w:val="20"/>
          <w:u w:val="single"/>
          <w:lang w:val="fr-CA"/>
        </w:rPr>
        <w:t>RÉSUMÉ DE L’AFFAIRE</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61F19" w:rsidRPr="00560020" w:rsidTr="00582919">
        <w:tc>
          <w:tcPr>
            <w:tcW w:w="5000" w:type="pct"/>
            <w:gridSpan w:val="3"/>
          </w:tcPr>
          <w:p w:rsidR="00361F19" w:rsidRPr="00C45D88" w:rsidRDefault="00361F19" w:rsidP="00582919">
            <w:pPr>
              <w:jc w:val="both"/>
              <w:rPr>
                <w:rFonts w:eastAsia="Calibri"/>
                <w:sz w:val="20"/>
                <w:lang w:val="fr-CA"/>
              </w:rPr>
            </w:pPr>
            <w:r w:rsidRPr="00C45D88">
              <w:rPr>
                <w:rFonts w:eastAsia="Calibri"/>
                <w:sz w:val="20"/>
                <w:lang w:val="fr-CA"/>
              </w:rPr>
              <w:t>Droit de la famille – Garde – Procédure civile – Appels – Le père s’est vu accorder la garde de deux enfants et la mère s’est vu accorder des droits de visite – La mère veut interjeter appel de la décision et demande une prorogation de délai – Y a-t-il eu atteinte aux droits constitutionnels de la mère? – La Cour peut-elle rétablir les conditions nécessaires à ce qu’une mère puisse élever ses enfants?</w:t>
            </w:r>
          </w:p>
        </w:tc>
      </w:tr>
      <w:tr w:rsidR="00361F19" w:rsidRPr="00560020" w:rsidTr="00582919">
        <w:tc>
          <w:tcPr>
            <w:tcW w:w="5000" w:type="pct"/>
            <w:gridSpan w:val="3"/>
          </w:tcPr>
          <w:p w:rsidR="00361F19" w:rsidRPr="00C45D88" w:rsidRDefault="00361F19" w:rsidP="00582919">
            <w:pPr>
              <w:jc w:val="both"/>
              <w:rPr>
                <w:rFonts w:eastAsia="Calibri"/>
                <w:sz w:val="20"/>
                <w:lang w:val="fr-CA"/>
              </w:rPr>
            </w:pPr>
          </w:p>
        </w:tc>
      </w:tr>
      <w:tr w:rsidR="00361F19" w:rsidRPr="00560020" w:rsidTr="00582919">
        <w:tc>
          <w:tcPr>
            <w:tcW w:w="5000" w:type="pct"/>
            <w:gridSpan w:val="3"/>
          </w:tcPr>
          <w:p w:rsidR="00361F19" w:rsidRPr="00C45D88" w:rsidRDefault="00361F19" w:rsidP="00582919">
            <w:pPr>
              <w:jc w:val="both"/>
              <w:rPr>
                <w:rFonts w:eastAsia="Calibri"/>
                <w:sz w:val="20"/>
                <w:lang w:val="fr-CA"/>
              </w:rPr>
            </w:pPr>
            <w:r w:rsidRPr="00C45D88">
              <w:rPr>
                <w:rFonts w:eastAsia="Calibri"/>
                <w:sz w:val="20"/>
                <w:lang w:val="fr-CA"/>
              </w:rPr>
              <w:t>En octobre 2013, un tribunal a prononcé une ordonnance octroyant la garde de deux enfants à leur père, assortie de droits de visite pour leur mère.  La mère a voulu interjeter appel de l’ordonnance.  Son appel n’a été pas formé dans le délai prescrit et on lui a ordonné de déposer une motion en prorogation de délai pour pouvoir aller en appel.  Madame Kim a présenté plusieurs motions en prorogation de délai, mais elle ne s’est pas conformée aux conditions imposées.</w:t>
            </w:r>
          </w:p>
          <w:p w:rsidR="00361F19" w:rsidRPr="00C45D88" w:rsidRDefault="00361F19" w:rsidP="00582919">
            <w:pPr>
              <w:jc w:val="both"/>
              <w:rPr>
                <w:rFonts w:eastAsia="Calibri"/>
                <w:sz w:val="20"/>
                <w:lang w:val="fr-CA"/>
              </w:rPr>
            </w:pPr>
          </w:p>
        </w:tc>
      </w:tr>
      <w:tr w:rsidR="00361F19" w:rsidRPr="00560020" w:rsidTr="00582919">
        <w:tc>
          <w:tcPr>
            <w:tcW w:w="2427" w:type="pct"/>
          </w:tcPr>
          <w:p w:rsidR="00361F19" w:rsidRPr="00C45D88" w:rsidRDefault="00361F19" w:rsidP="00582919">
            <w:pPr>
              <w:jc w:val="both"/>
              <w:rPr>
                <w:rFonts w:eastAsia="Calibri"/>
                <w:sz w:val="20"/>
                <w:lang w:val="fr-CA"/>
              </w:rPr>
            </w:pPr>
            <w:r w:rsidRPr="00C45D88">
              <w:rPr>
                <w:rFonts w:eastAsia="Calibri"/>
                <w:sz w:val="20"/>
                <w:lang w:val="fr-CA"/>
              </w:rPr>
              <w:t>10 octobre 2013</w:t>
            </w:r>
          </w:p>
          <w:p w:rsidR="00361F19" w:rsidRPr="00C45D88" w:rsidRDefault="00361F19" w:rsidP="00582919">
            <w:pPr>
              <w:jc w:val="both"/>
              <w:rPr>
                <w:rFonts w:eastAsia="Calibri"/>
                <w:sz w:val="20"/>
                <w:lang w:val="fr-CA"/>
              </w:rPr>
            </w:pPr>
            <w:r w:rsidRPr="00C45D88">
              <w:rPr>
                <w:rFonts w:eastAsia="Calibri"/>
                <w:sz w:val="20"/>
                <w:lang w:val="fr-CA"/>
              </w:rPr>
              <w:t>Cour de justice de l’Ontario</w:t>
            </w:r>
          </w:p>
          <w:p w:rsidR="00361F19" w:rsidRPr="00C45D88" w:rsidRDefault="00361F19" w:rsidP="00582919">
            <w:pPr>
              <w:jc w:val="both"/>
              <w:rPr>
                <w:rFonts w:eastAsia="Calibri"/>
                <w:sz w:val="20"/>
                <w:lang w:val="fr-CA"/>
              </w:rPr>
            </w:pPr>
            <w:r w:rsidRPr="00C45D88">
              <w:rPr>
                <w:rFonts w:eastAsia="Calibri"/>
                <w:sz w:val="20"/>
                <w:lang w:val="fr-CA"/>
              </w:rPr>
              <w:t>(Juge Clay)</w:t>
            </w:r>
          </w:p>
          <w:p w:rsidR="00361F19" w:rsidRPr="00C45D88" w:rsidRDefault="00361F19" w:rsidP="00582919">
            <w:pPr>
              <w:jc w:val="both"/>
              <w:rPr>
                <w:rFonts w:eastAsia="Calibri"/>
                <w:sz w:val="20"/>
                <w:lang w:val="fr-CA"/>
              </w:rPr>
            </w:pPr>
            <w:r w:rsidRPr="00C45D88">
              <w:rPr>
                <w:rFonts w:eastAsia="Calibri"/>
                <w:sz w:val="20"/>
                <w:lang w:val="fr-CA"/>
              </w:rPr>
              <w:t>Non publié</w:t>
            </w:r>
          </w:p>
          <w:p w:rsidR="00361F19" w:rsidRPr="00C45D88" w:rsidRDefault="00361F19" w:rsidP="00582919">
            <w:pPr>
              <w:jc w:val="both"/>
              <w:rPr>
                <w:rFonts w:eastAsia="Calibri"/>
                <w:sz w:val="20"/>
                <w:lang w:val="fr-CA"/>
              </w:rPr>
            </w:pPr>
          </w:p>
        </w:tc>
        <w:tc>
          <w:tcPr>
            <w:tcW w:w="243" w:type="pct"/>
          </w:tcPr>
          <w:p w:rsidR="00361F19" w:rsidRPr="00C45D88" w:rsidRDefault="00361F19" w:rsidP="00582919">
            <w:pPr>
              <w:jc w:val="both"/>
              <w:rPr>
                <w:rFonts w:eastAsia="Calibri"/>
                <w:sz w:val="20"/>
                <w:lang w:val="fr-CA"/>
              </w:rPr>
            </w:pPr>
          </w:p>
        </w:tc>
        <w:tc>
          <w:tcPr>
            <w:tcW w:w="2330" w:type="pct"/>
          </w:tcPr>
          <w:p w:rsidR="00361F19" w:rsidRPr="00C45D88" w:rsidRDefault="00361F19" w:rsidP="00582919">
            <w:pPr>
              <w:jc w:val="both"/>
              <w:rPr>
                <w:rFonts w:eastAsia="Calibri"/>
                <w:sz w:val="20"/>
                <w:lang w:val="fr-CA"/>
              </w:rPr>
            </w:pPr>
            <w:r w:rsidRPr="00C45D88">
              <w:rPr>
                <w:rFonts w:eastAsia="Calibri"/>
                <w:sz w:val="20"/>
                <w:lang w:val="fr-CA"/>
              </w:rPr>
              <w:t>Octroi de la garde de deux enfants au père, avec droits de visite pour la mère</w:t>
            </w:r>
          </w:p>
        </w:tc>
      </w:tr>
      <w:tr w:rsidR="00361F19" w:rsidRPr="00560020" w:rsidTr="00582919">
        <w:tc>
          <w:tcPr>
            <w:tcW w:w="2427" w:type="pct"/>
          </w:tcPr>
          <w:p w:rsidR="00361F19" w:rsidRPr="00C45D88" w:rsidRDefault="00361F19" w:rsidP="00582919">
            <w:pPr>
              <w:jc w:val="both"/>
              <w:rPr>
                <w:rFonts w:eastAsia="Calibri"/>
                <w:sz w:val="20"/>
                <w:lang w:val="fr-CA"/>
              </w:rPr>
            </w:pPr>
            <w:r w:rsidRPr="00C45D88">
              <w:rPr>
                <w:rFonts w:eastAsia="Calibri"/>
                <w:sz w:val="20"/>
                <w:lang w:val="fr-CA"/>
              </w:rPr>
              <w:t>26 mars 2014</w:t>
            </w:r>
          </w:p>
          <w:p w:rsidR="00361F19" w:rsidRPr="00C45D88" w:rsidRDefault="00361F19" w:rsidP="00582919">
            <w:pPr>
              <w:jc w:val="both"/>
              <w:rPr>
                <w:rFonts w:eastAsia="Calibri"/>
                <w:sz w:val="20"/>
                <w:lang w:val="fr-CA"/>
              </w:rPr>
            </w:pPr>
            <w:r w:rsidRPr="00C45D88">
              <w:rPr>
                <w:rFonts w:eastAsia="Calibri"/>
                <w:sz w:val="20"/>
                <w:lang w:val="fr-CA"/>
              </w:rPr>
              <w:t>Cour d’appel de l’Ontario</w:t>
            </w:r>
          </w:p>
          <w:p w:rsidR="00361F19" w:rsidRPr="00C45D88" w:rsidRDefault="00361F19" w:rsidP="00582919">
            <w:pPr>
              <w:jc w:val="both"/>
              <w:rPr>
                <w:rFonts w:eastAsia="Calibri"/>
                <w:sz w:val="20"/>
                <w:lang w:val="fr-CA"/>
              </w:rPr>
            </w:pPr>
            <w:r w:rsidRPr="00C45D88">
              <w:rPr>
                <w:rFonts w:eastAsia="Calibri"/>
                <w:sz w:val="20"/>
                <w:lang w:val="fr-CA"/>
              </w:rPr>
              <w:t>(Juge en chef adjoint Hoy)</w:t>
            </w:r>
          </w:p>
          <w:p w:rsidR="00361F19" w:rsidRPr="00C45D88" w:rsidRDefault="00361F19" w:rsidP="00582919">
            <w:pPr>
              <w:jc w:val="both"/>
              <w:rPr>
                <w:rFonts w:eastAsia="Calibri"/>
                <w:sz w:val="20"/>
                <w:lang w:val="fr-CA"/>
              </w:rPr>
            </w:pPr>
            <w:r w:rsidRPr="00C45D88">
              <w:rPr>
                <w:rFonts w:eastAsia="Calibri"/>
                <w:sz w:val="20"/>
                <w:lang w:val="fr-CA"/>
              </w:rPr>
              <w:t>Non publié</w:t>
            </w:r>
          </w:p>
          <w:p w:rsidR="00361F19" w:rsidRPr="00C45D88" w:rsidRDefault="00361F19" w:rsidP="00582919">
            <w:pPr>
              <w:jc w:val="both"/>
              <w:rPr>
                <w:rFonts w:eastAsia="Calibri"/>
                <w:sz w:val="20"/>
                <w:lang w:val="fr-CA"/>
              </w:rPr>
            </w:pPr>
          </w:p>
        </w:tc>
        <w:tc>
          <w:tcPr>
            <w:tcW w:w="243" w:type="pct"/>
          </w:tcPr>
          <w:p w:rsidR="00361F19" w:rsidRPr="00C45D88" w:rsidRDefault="00361F19" w:rsidP="00582919">
            <w:pPr>
              <w:jc w:val="both"/>
              <w:rPr>
                <w:rFonts w:eastAsia="Calibri"/>
                <w:sz w:val="20"/>
                <w:lang w:val="fr-CA"/>
              </w:rPr>
            </w:pPr>
          </w:p>
        </w:tc>
        <w:tc>
          <w:tcPr>
            <w:tcW w:w="2330" w:type="pct"/>
          </w:tcPr>
          <w:p w:rsidR="00361F19" w:rsidRPr="00C45D88" w:rsidRDefault="00361F19" w:rsidP="00582919">
            <w:pPr>
              <w:jc w:val="both"/>
              <w:rPr>
                <w:rFonts w:eastAsia="Calibri"/>
                <w:sz w:val="20"/>
                <w:lang w:val="fr-CA"/>
              </w:rPr>
            </w:pPr>
            <w:r w:rsidRPr="00C45D88">
              <w:rPr>
                <w:rFonts w:eastAsia="Calibri"/>
                <w:sz w:val="20"/>
                <w:lang w:val="fr-CA"/>
              </w:rPr>
              <w:t>Rejet de la motion de la demanderesse en prorogation du délai d’appel de l’ordonnance datée du 10 janvier 2014 rejetant sa motion en prorogation du délai d’appel de l’ordonnance du juge Clay</w:t>
            </w:r>
          </w:p>
        </w:tc>
      </w:tr>
      <w:tr w:rsidR="00361F19" w:rsidRPr="00560020" w:rsidTr="00582919">
        <w:tc>
          <w:tcPr>
            <w:tcW w:w="2427" w:type="pct"/>
          </w:tcPr>
          <w:p w:rsidR="00361F19" w:rsidRPr="00C45D88" w:rsidRDefault="00361F19" w:rsidP="00582919">
            <w:pPr>
              <w:jc w:val="both"/>
              <w:rPr>
                <w:rFonts w:eastAsia="Calibri"/>
                <w:sz w:val="20"/>
                <w:lang w:val="fr-CA"/>
              </w:rPr>
            </w:pPr>
            <w:r w:rsidRPr="00C45D88">
              <w:rPr>
                <w:rFonts w:eastAsia="Calibri"/>
                <w:sz w:val="20"/>
                <w:lang w:val="fr-CA"/>
              </w:rPr>
              <w:t>5 juin 2014</w:t>
            </w:r>
          </w:p>
          <w:p w:rsidR="00361F19" w:rsidRPr="00C45D88" w:rsidRDefault="00361F19" w:rsidP="00582919">
            <w:pPr>
              <w:jc w:val="both"/>
              <w:rPr>
                <w:rFonts w:eastAsia="Calibri"/>
                <w:sz w:val="20"/>
                <w:lang w:val="fr-CA"/>
              </w:rPr>
            </w:pPr>
            <w:r w:rsidRPr="00C45D88">
              <w:rPr>
                <w:rFonts w:eastAsia="Calibri"/>
                <w:sz w:val="20"/>
                <w:lang w:val="fr-CA"/>
              </w:rPr>
              <w:t>Cour d’appel de l’Ontario</w:t>
            </w:r>
          </w:p>
          <w:p w:rsidR="00361F19" w:rsidRPr="00C45D88" w:rsidRDefault="00361F19" w:rsidP="00582919">
            <w:pPr>
              <w:jc w:val="both"/>
              <w:rPr>
                <w:rFonts w:eastAsia="Calibri"/>
                <w:sz w:val="20"/>
                <w:lang w:val="fr-CA"/>
              </w:rPr>
            </w:pPr>
            <w:r w:rsidRPr="00C45D88">
              <w:rPr>
                <w:rFonts w:eastAsia="Calibri"/>
                <w:sz w:val="20"/>
                <w:lang w:val="fr-CA"/>
              </w:rPr>
              <w:t>(Juge van Rensburg)</w:t>
            </w:r>
          </w:p>
          <w:p w:rsidR="00361F19" w:rsidRPr="00C45D88" w:rsidRDefault="00361F19" w:rsidP="00582919">
            <w:pPr>
              <w:jc w:val="both"/>
              <w:rPr>
                <w:rFonts w:eastAsia="Calibri"/>
                <w:sz w:val="20"/>
                <w:lang w:val="fr-CA"/>
              </w:rPr>
            </w:pPr>
            <w:r w:rsidRPr="00C45D88">
              <w:rPr>
                <w:rFonts w:eastAsia="Calibri"/>
                <w:sz w:val="20"/>
                <w:lang w:val="fr-CA"/>
              </w:rPr>
              <w:t>Non publié</w:t>
            </w:r>
          </w:p>
          <w:p w:rsidR="00361F19" w:rsidRPr="00C45D88" w:rsidRDefault="00361F19" w:rsidP="00582919">
            <w:pPr>
              <w:jc w:val="both"/>
              <w:rPr>
                <w:rFonts w:eastAsia="Calibri"/>
                <w:sz w:val="20"/>
                <w:lang w:val="fr-CA"/>
              </w:rPr>
            </w:pPr>
          </w:p>
        </w:tc>
        <w:tc>
          <w:tcPr>
            <w:tcW w:w="243" w:type="pct"/>
          </w:tcPr>
          <w:p w:rsidR="00361F19" w:rsidRPr="00C45D88" w:rsidRDefault="00361F19" w:rsidP="00582919">
            <w:pPr>
              <w:jc w:val="both"/>
              <w:rPr>
                <w:rFonts w:eastAsia="Calibri"/>
                <w:sz w:val="20"/>
                <w:lang w:val="fr-CA"/>
              </w:rPr>
            </w:pPr>
          </w:p>
        </w:tc>
        <w:tc>
          <w:tcPr>
            <w:tcW w:w="2330" w:type="pct"/>
          </w:tcPr>
          <w:p w:rsidR="00361F19" w:rsidRPr="00C45D88" w:rsidRDefault="00361F19" w:rsidP="00582919">
            <w:pPr>
              <w:jc w:val="both"/>
              <w:rPr>
                <w:rFonts w:eastAsia="Calibri"/>
                <w:sz w:val="20"/>
                <w:lang w:val="fr-CA"/>
              </w:rPr>
            </w:pPr>
            <w:r w:rsidRPr="00C45D88">
              <w:rPr>
                <w:rFonts w:eastAsia="Calibri"/>
                <w:sz w:val="20"/>
                <w:lang w:val="fr-CA"/>
              </w:rPr>
              <w:t>Rejet de la motion de la demanderesse en prorogation de délai</w:t>
            </w:r>
          </w:p>
        </w:tc>
      </w:tr>
      <w:tr w:rsidR="00361F19" w:rsidRPr="00560020" w:rsidTr="00A15D0E">
        <w:trPr>
          <w:cantSplit/>
        </w:trPr>
        <w:tc>
          <w:tcPr>
            <w:tcW w:w="2427" w:type="pct"/>
          </w:tcPr>
          <w:p w:rsidR="00361F19" w:rsidRPr="00C45D88" w:rsidRDefault="00361F19" w:rsidP="00582919">
            <w:pPr>
              <w:jc w:val="both"/>
              <w:rPr>
                <w:rFonts w:eastAsia="Calibri"/>
                <w:sz w:val="20"/>
                <w:lang w:val="fr-CA"/>
              </w:rPr>
            </w:pPr>
            <w:r w:rsidRPr="00C45D88">
              <w:rPr>
                <w:rFonts w:eastAsia="Calibri"/>
                <w:sz w:val="20"/>
                <w:lang w:val="fr-CA"/>
              </w:rPr>
              <w:t>10 octobre 2014</w:t>
            </w:r>
          </w:p>
          <w:p w:rsidR="00361F19" w:rsidRPr="00C45D88" w:rsidRDefault="00361F19" w:rsidP="00582919">
            <w:pPr>
              <w:jc w:val="both"/>
              <w:rPr>
                <w:rFonts w:eastAsia="Calibri"/>
                <w:sz w:val="20"/>
                <w:lang w:val="fr-CA"/>
              </w:rPr>
            </w:pPr>
            <w:r w:rsidRPr="00C45D88">
              <w:rPr>
                <w:rFonts w:eastAsia="Calibri"/>
                <w:sz w:val="20"/>
                <w:lang w:val="fr-CA"/>
              </w:rPr>
              <w:t>Cour d’appel de l’Ontario</w:t>
            </w:r>
          </w:p>
          <w:p w:rsidR="00361F19" w:rsidRPr="00C45D88" w:rsidRDefault="00361F19" w:rsidP="00582919">
            <w:pPr>
              <w:jc w:val="both"/>
              <w:rPr>
                <w:rFonts w:eastAsia="Calibri"/>
                <w:sz w:val="20"/>
                <w:lang w:val="fr-CA"/>
              </w:rPr>
            </w:pPr>
            <w:r w:rsidRPr="00C45D88">
              <w:rPr>
                <w:rFonts w:eastAsia="Calibri"/>
                <w:sz w:val="20"/>
                <w:lang w:val="fr-CA"/>
              </w:rPr>
              <w:t>(Juges Strathy (</w:t>
            </w:r>
            <w:r w:rsidRPr="00C45D88">
              <w:rPr>
                <w:rFonts w:eastAsia="Calibri"/>
                <w:i/>
                <w:sz w:val="20"/>
                <w:lang w:val="fr-CA"/>
              </w:rPr>
              <w:t>ad hoc</w:t>
            </w:r>
            <w:r w:rsidRPr="00C45D88">
              <w:rPr>
                <w:rFonts w:eastAsia="Calibri"/>
                <w:sz w:val="20"/>
                <w:lang w:val="fr-CA"/>
              </w:rPr>
              <w:t>), Rouleau et Hourigan)</w:t>
            </w:r>
          </w:p>
          <w:p w:rsidR="00361F19" w:rsidRPr="00C45D88" w:rsidRDefault="00361F19" w:rsidP="00582919">
            <w:pPr>
              <w:jc w:val="both"/>
              <w:rPr>
                <w:rFonts w:eastAsia="Calibri"/>
                <w:sz w:val="20"/>
                <w:lang w:val="fr-CA"/>
              </w:rPr>
            </w:pPr>
            <w:r w:rsidRPr="00C45D88">
              <w:rPr>
                <w:rFonts w:eastAsia="Calibri"/>
                <w:sz w:val="20"/>
                <w:lang w:val="fr-CA"/>
              </w:rPr>
              <w:t>Non publié</w:t>
            </w:r>
          </w:p>
          <w:p w:rsidR="00361F19" w:rsidRPr="00C45D88" w:rsidRDefault="00361F19" w:rsidP="00582919">
            <w:pPr>
              <w:jc w:val="both"/>
              <w:rPr>
                <w:rFonts w:eastAsia="Calibri"/>
                <w:sz w:val="20"/>
                <w:lang w:val="fr-CA"/>
              </w:rPr>
            </w:pPr>
          </w:p>
        </w:tc>
        <w:tc>
          <w:tcPr>
            <w:tcW w:w="243" w:type="pct"/>
          </w:tcPr>
          <w:p w:rsidR="00361F19" w:rsidRPr="00C45D88" w:rsidRDefault="00361F19" w:rsidP="00582919">
            <w:pPr>
              <w:jc w:val="both"/>
              <w:rPr>
                <w:rFonts w:eastAsia="Calibri"/>
                <w:sz w:val="20"/>
                <w:lang w:val="fr-CA"/>
              </w:rPr>
            </w:pPr>
          </w:p>
        </w:tc>
        <w:tc>
          <w:tcPr>
            <w:tcW w:w="2330" w:type="pct"/>
          </w:tcPr>
          <w:p w:rsidR="00361F19" w:rsidRPr="00C45D88" w:rsidRDefault="00361F19" w:rsidP="00582919">
            <w:pPr>
              <w:jc w:val="both"/>
              <w:rPr>
                <w:rFonts w:eastAsia="Calibri"/>
                <w:sz w:val="20"/>
                <w:lang w:val="fr-CA"/>
              </w:rPr>
            </w:pPr>
            <w:r w:rsidRPr="00C45D88">
              <w:rPr>
                <w:rFonts w:eastAsia="Calibri"/>
                <w:sz w:val="20"/>
                <w:lang w:val="fr-CA"/>
              </w:rPr>
              <w:t>Rejet de l’appel de la demanderesse</w:t>
            </w:r>
          </w:p>
        </w:tc>
      </w:tr>
      <w:tr w:rsidR="00361F19" w:rsidRPr="00560020" w:rsidTr="00A15D0E">
        <w:trPr>
          <w:cantSplit/>
        </w:trPr>
        <w:tc>
          <w:tcPr>
            <w:tcW w:w="2427" w:type="pct"/>
          </w:tcPr>
          <w:p w:rsidR="00361F19" w:rsidRPr="00C45D88" w:rsidRDefault="00361F19" w:rsidP="00582919">
            <w:pPr>
              <w:jc w:val="both"/>
              <w:rPr>
                <w:rFonts w:eastAsia="Calibri"/>
                <w:sz w:val="20"/>
                <w:lang w:val="fr-CA"/>
              </w:rPr>
            </w:pPr>
            <w:r w:rsidRPr="00C45D88">
              <w:rPr>
                <w:rFonts w:eastAsia="Calibri"/>
                <w:sz w:val="20"/>
                <w:lang w:val="fr-CA"/>
              </w:rPr>
              <w:t>15 octobre 2014</w:t>
            </w:r>
          </w:p>
          <w:p w:rsidR="00361F19" w:rsidRPr="00C45D88" w:rsidRDefault="00361F19" w:rsidP="00582919">
            <w:pPr>
              <w:jc w:val="both"/>
              <w:rPr>
                <w:rFonts w:eastAsia="Calibri"/>
                <w:sz w:val="20"/>
                <w:lang w:val="fr-CA"/>
              </w:rPr>
            </w:pPr>
            <w:r w:rsidRPr="00C45D88">
              <w:rPr>
                <w:rFonts w:eastAsia="Calibri"/>
                <w:sz w:val="20"/>
                <w:lang w:val="fr-CA"/>
              </w:rPr>
              <w:t>Cour suprême du Canada</w:t>
            </w:r>
          </w:p>
        </w:tc>
        <w:tc>
          <w:tcPr>
            <w:tcW w:w="243" w:type="pct"/>
          </w:tcPr>
          <w:p w:rsidR="00361F19" w:rsidRPr="00C45D88" w:rsidRDefault="00361F19" w:rsidP="00582919">
            <w:pPr>
              <w:jc w:val="both"/>
              <w:rPr>
                <w:rFonts w:eastAsia="Calibri"/>
                <w:sz w:val="20"/>
                <w:lang w:val="fr-CA"/>
              </w:rPr>
            </w:pPr>
          </w:p>
        </w:tc>
        <w:tc>
          <w:tcPr>
            <w:tcW w:w="2330" w:type="pct"/>
          </w:tcPr>
          <w:p w:rsidR="00361F19" w:rsidRPr="00C45D88" w:rsidRDefault="00361F19" w:rsidP="00582919">
            <w:pPr>
              <w:jc w:val="both"/>
              <w:rPr>
                <w:rFonts w:eastAsia="Calibri"/>
                <w:sz w:val="20"/>
                <w:lang w:val="fr-CA"/>
              </w:rPr>
            </w:pPr>
            <w:r w:rsidRPr="00C45D88">
              <w:rPr>
                <w:rFonts w:eastAsia="Calibri"/>
                <w:sz w:val="20"/>
                <w:lang w:val="fr-CA"/>
              </w:rPr>
              <w:t>Dépôt de la demande d’autorisation d’appel</w:t>
            </w:r>
          </w:p>
        </w:tc>
      </w:tr>
    </w:tbl>
    <w:p w:rsidR="000D6E5D" w:rsidRPr="00361F19" w:rsidRDefault="000D6E5D" w:rsidP="000D6E5D">
      <w:pPr>
        <w:rPr>
          <w:sz w:val="20"/>
          <w:szCs w:val="20"/>
          <w:lang w:val="fr-CA"/>
        </w:rPr>
      </w:pPr>
    </w:p>
    <w:p w:rsidR="000D6E5D" w:rsidRDefault="003A60BB" w:rsidP="000D6E5D">
      <w:pPr>
        <w:rPr>
          <w:sz w:val="20"/>
          <w:szCs w:val="20"/>
        </w:rPr>
      </w:pPr>
      <w:r>
        <w:rPr>
          <w:sz w:val="20"/>
          <w:szCs w:val="20"/>
          <w:lang w:val="fr-CA"/>
        </w:rPr>
        <w:pict>
          <v:rect id="_x0000_i1063" style="width:2in;height:1pt" o:hrpct="0" o:hralign="center" o:hrstd="t" o:hrnoshade="t" o:hr="t" fillcolor="black [3213]" stroked="f"/>
        </w:pict>
      </w:r>
    </w:p>
    <w:p w:rsidR="000D6E5D" w:rsidRDefault="000D6E5D" w:rsidP="000D6E5D">
      <w:pPr>
        <w:rPr>
          <w:sz w:val="20"/>
          <w:szCs w:val="20"/>
        </w:rPr>
      </w:pPr>
    </w:p>
    <w:tbl>
      <w:tblPr>
        <w:tblStyle w:val="TableGrid1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72F16" w:rsidRPr="00560020" w:rsidTr="003431AF">
        <w:trPr>
          <w:cantSplit/>
        </w:trPr>
        <w:tc>
          <w:tcPr>
            <w:tcW w:w="1458" w:type="dxa"/>
          </w:tcPr>
          <w:p w:rsidR="00272F16" w:rsidRPr="00272F16" w:rsidRDefault="00272F16" w:rsidP="00272F16">
            <w:pPr>
              <w:rPr>
                <w:sz w:val="20"/>
              </w:rPr>
            </w:pPr>
            <w:r w:rsidRPr="00272F16">
              <w:rPr>
                <w:b/>
                <w:sz w:val="20"/>
                <w:lang w:val="fr-CA"/>
              </w:rPr>
              <w:t>36197</w:t>
            </w:r>
          </w:p>
          <w:p w:rsidR="00272F16" w:rsidRPr="00272F16" w:rsidRDefault="00272F16" w:rsidP="00272F16">
            <w:pPr>
              <w:rPr>
                <w:b/>
                <w:sz w:val="20"/>
                <w:lang w:val="fr-CA"/>
              </w:rPr>
            </w:pPr>
          </w:p>
        </w:tc>
        <w:tc>
          <w:tcPr>
            <w:tcW w:w="8118" w:type="dxa"/>
          </w:tcPr>
          <w:p w:rsidR="00272F16" w:rsidRPr="00272F16" w:rsidRDefault="00272F16" w:rsidP="00272F16">
            <w:pPr>
              <w:jc w:val="both"/>
              <w:rPr>
                <w:sz w:val="20"/>
                <w:lang w:val="fr-CA"/>
              </w:rPr>
            </w:pPr>
            <w:r w:rsidRPr="00272F16">
              <w:rPr>
                <w:b/>
                <w:sz w:val="20"/>
                <w:u w:val="single"/>
                <w:lang w:val="fr-CA"/>
              </w:rPr>
              <w:t>Serge Banville, Marcel Barrette, Stéphane Bouchard, Sylvain Bouchard, Daniel Bouffard, Jean-Denis Bourassa, Nicolas Celant, Steeve Chenel, Alain Couturier, Juan Daigle-Choquette, Yves Dastous, Yannick Desbiens Denis Doucet, Karine Éloquin-Perreault, David Gagné, Éric Gagnon, Guylaine Gaudet, Martin Gauthier, Alexandre Girard, Handy Girard, Marc Giroux, Karine Hamel-Ouellet, Maxime Lainesse-Savard, Daniel Lajoie, Stéphane Landry, Michel Laplante, Maxime Lavoie, Dany Létourneau, Éric Lévesque, Lynda Lévesque, Michael Martin Larocque, Mario Michaud, Yohan Moreau, Jean-PIerre Paquet, Pierre Pelletier, Keven Savard, Yvan Sirois, Patrick Tremblay, Yvette Tremblay, Jean-François Vallée, Sébastien Vallée, Gilles Viens, Michel Vigneault, Luc Babin, Georges-Henri Beaulieu, Stéphanie Beaulieu, Pascal Belisle, Alain Bouchard, Jean-Sébastien Bouillon, Patrick Bourget, Louis Brisson, Wesley Brisson, Doris Charest, Christian Collin, Roland Copeau, André Dion, Michael Dufour, Pierre Dufour, Sylvain Dufour, Steeve Émond, Yvan Gauthier, Martin Giroux, Kate Hamilton, Gino Jourdain, Jacques Lebel, Mike Marin, Daniel Martel, Tommy Martin, Éric Michaud, Joël Michaud, Jean-Yves Morissette, Pierre Paul, Raphaël Pelletier, Steeve Pelletier, Jean-Marc Pouliot, Charles Ringuette Grenier, Patrick Soucy, Denis Tremblay, Sylvain Turbis, Roger Asselin, Fabrice Audet, André Babin, Christian Bélanger, Guyaume Bilodeau, Tommy Blanchette, Serge Bouchard, Olivier Boudreau, David Boulianne, Marc Brisson, Tommy Brodeur, Hélène Canuel, Caroline Chicouane, Dave Chouinard, Rémi Chouinard, Cédric Cimon, Jacques Comeau, Yves Cormier, Keven Côté Lavoie, Vaim Côté, Nathan Cousin Tremblay, Michel Dancause, Pierre-Olivier Deschênes, Régis Deschênes, Peter Desgagnés, Guillaume Dufour, Jonny Dufour, Jocelyn Dumont, Éric Foster Côté, Benoît Gagné, Réjean Gagné, Daniel Gagnon, Normand Gagnon, Guy Gauthier, Steeven Gauthier, Martin Gélinas, Keven Girard, Pierre-Alexandre Grimard, Brahim Guettat, Steeve Guyon, Maxime Hamel Girard, Normand Hardy, Mathieu Heppel Girard, Ronald Hins, Roger Houde, Michael Imbeault, Marc-Antoine Jean Gagné, Keven Jean Land, Pascal Jean Lavoie, Jean-Pierre Jean, Serge Jobin, Vincent Labrie, Marc Olivier Lapointe, Marie-France Lavoie, Mathieu Lavoie, Maxime Lavoie, Simon Lévesque, Denis Loisel, Alexandre Martel, Anabelle Métivier, Danny Moore, Maxime Otis Lacoursière, Pascal Otis, Pascal Ouellet, Alain Perron, Mireille Pineault, Adam Ross, Pascal Ross, Myriam Roussel, Joanathan Roy, Mathieu Samson Huard, Marguerite Savard, Jean-Guy Sirois, Adrien St-Gelais, Frédéric St-Laurent, Nancy St-Laurent, Éric Thériault, Frédéric Thériault, Caroline Tremblay Sirois, Audrey Tremblay, Francis Tremblay, Gabriel Tremblay, Jean-François Tremblay, Mario Tremblay, Yann Tremblay, Louis Truchon Lechasseur, Francis Trudeau</w:t>
            </w:r>
            <w:r w:rsidR="00A15D0E">
              <w:rPr>
                <w:b/>
                <w:sz w:val="20"/>
                <w:u w:val="single"/>
                <w:lang w:val="fr-CA"/>
              </w:rPr>
              <w:t xml:space="preserve"> et</w:t>
            </w:r>
            <w:r w:rsidRPr="00272F16">
              <w:rPr>
                <w:b/>
                <w:sz w:val="20"/>
                <w:u w:val="single"/>
                <w:lang w:val="fr-CA"/>
              </w:rPr>
              <w:t xml:space="preserve"> Sophie Woods c. Sa Majesté la Reine</w:t>
            </w:r>
            <w:r w:rsidRPr="00272F16">
              <w:rPr>
                <w:sz w:val="20"/>
                <w:lang w:val="fr-CA"/>
              </w:rPr>
              <w:t xml:space="preserve"> (Qc) (Criminelle) (Autorisation)</w:t>
            </w:r>
          </w:p>
          <w:p w:rsidR="00272F16" w:rsidRPr="00272F16" w:rsidRDefault="00272F16" w:rsidP="00272F16">
            <w:pPr>
              <w:jc w:val="both"/>
              <w:rPr>
                <w:sz w:val="20"/>
                <w:lang w:val="fr-CA"/>
              </w:rPr>
            </w:pPr>
          </w:p>
        </w:tc>
      </w:tr>
      <w:tr w:rsidR="00272F16" w:rsidRPr="00560020" w:rsidTr="003431AF">
        <w:trPr>
          <w:cantSplit/>
        </w:trPr>
        <w:tc>
          <w:tcPr>
            <w:tcW w:w="1458" w:type="dxa"/>
          </w:tcPr>
          <w:p w:rsidR="00272F16" w:rsidRPr="00272F16" w:rsidRDefault="00272F16" w:rsidP="00272F16">
            <w:pPr>
              <w:rPr>
                <w:sz w:val="20"/>
              </w:rPr>
            </w:pPr>
            <w:r w:rsidRPr="00272F16">
              <w:rPr>
                <w:sz w:val="20"/>
              </w:rPr>
              <w:t>Coram :</w:t>
            </w:r>
          </w:p>
        </w:tc>
        <w:tc>
          <w:tcPr>
            <w:tcW w:w="8118" w:type="dxa"/>
          </w:tcPr>
          <w:p w:rsidR="00272F16" w:rsidRPr="00272F16" w:rsidRDefault="00272F16" w:rsidP="00272F16">
            <w:pPr>
              <w:rPr>
                <w:sz w:val="20"/>
                <w:lang w:val="fr-CA"/>
              </w:rPr>
            </w:pPr>
            <w:r w:rsidRPr="00272F16">
              <w:rPr>
                <w:sz w:val="20"/>
                <w:u w:val="single"/>
                <w:lang w:val="fr-CA"/>
              </w:rPr>
              <w:t>La juge en chef McLachlin et les juges Wagner et Gascon</w:t>
            </w:r>
          </w:p>
          <w:p w:rsidR="00272F16" w:rsidRPr="00272F16" w:rsidRDefault="00272F16" w:rsidP="00272F16">
            <w:pPr>
              <w:rPr>
                <w:sz w:val="20"/>
                <w:u w:val="single"/>
                <w:lang w:val="fr-CA"/>
              </w:rPr>
            </w:pPr>
          </w:p>
        </w:tc>
      </w:tr>
      <w:tr w:rsidR="00272F16" w:rsidRPr="00272F16" w:rsidTr="003431AF">
        <w:trPr>
          <w:cantSplit/>
        </w:trPr>
        <w:tc>
          <w:tcPr>
            <w:tcW w:w="9576" w:type="dxa"/>
            <w:gridSpan w:val="2"/>
          </w:tcPr>
          <w:p w:rsidR="00272F16" w:rsidRPr="00272F16" w:rsidRDefault="00272F16" w:rsidP="00272F16">
            <w:pPr>
              <w:ind w:firstLine="720"/>
              <w:jc w:val="both"/>
              <w:rPr>
                <w:sz w:val="20"/>
                <w:lang w:val="fr-CA"/>
              </w:rPr>
            </w:pPr>
            <w:r w:rsidRPr="00272F16">
              <w:rPr>
                <w:sz w:val="20"/>
                <w:lang w:val="fr-CA"/>
              </w:rPr>
              <w:t>La demande d’autorisation d’appel de l’arrêt de la Cour d’appel du Québec (Québec), numéro 200-10-003079-147, 2014 QCCA 1905, daté du 15 octobre 2014, est rejetée.</w:t>
            </w:r>
          </w:p>
          <w:p w:rsidR="00272F16" w:rsidRPr="00272F16" w:rsidRDefault="00272F16" w:rsidP="00272F16">
            <w:pPr>
              <w:jc w:val="both"/>
              <w:rPr>
                <w:sz w:val="20"/>
                <w:lang w:val="fr-CA"/>
              </w:rPr>
            </w:pPr>
          </w:p>
          <w:p w:rsidR="00272F16" w:rsidRPr="00272F16" w:rsidRDefault="00272F16" w:rsidP="00272F16">
            <w:pPr>
              <w:ind w:firstLine="720"/>
              <w:jc w:val="both"/>
              <w:rPr>
                <w:sz w:val="20"/>
              </w:rPr>
            </w:pPr>
            <w:r w:rsidRPr="00272F16">
              <w:rPr>
                <w:sz w:val="20"/>
              </w:rPr>
              <w:t>The application for leave to appeal from the judgment of the Court of Appeal of Quebec (Québec), Number 200-10-003079-147, 2014 QCCA 1905, dated October 15, 2014, is dismissed.</w:t>
            </w:r>
          </w:p>
        </w:tc>
      </w:tr>
    </w:tbl>
    <w:p w:rsidR="000D6E5D" w:rsidRDefault="000D6E5D" w:rsidP="000D6E5D">
      <w:pPr>
        <w:rPr>
          <w:sz w:val="20"/>
          <w:szCs w:val="20"/>
        </w:rPr>
      </w:pPr>
    </w:p>
    <w:p w:rsidR="000D6E5D" w:rsidRPr="001B157C" w:rsidRDefault="000D6E5D" w:rsidP="000D6E5D">
      <w:pPr>
        <w:rPr>
          <w:sz w:val="20"/>
          <w:szCs w:val="20"/>
          <w:u w:val="single"/>
        </w:rPr>
      </w:pPr>
      <w:r w:rsidRPr="001B157C">
        <w:rPr>
          <w:sz w:val="20"/>
          <w:szCs w:val="20"/>
          <w:u w:val="single"/>
        </w:rPr>
        <w:t>CASE SUMMARY</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61F19" w:rsidRPr="00C45D88" w:rsidTr="00582919">
        <w:tc>
          <w:tcPr>
            <w:tcW w:w="5000" w:type="pct"/>
            <w:gridSpan w:val="3"/>
          </w:tcPr>
          <w:p w:rsidR="00361F19" w:rsidRPr="00C45D88" w:rsidRDefault="00361F19" w:rsidP="00582919">
            <w:pPr>
              <w:jc w:val="both"/>
              <w:rPr>
                <w:rFonts w:eastAsia="Calibri"/>
                <w:sz w:val="20"/>
              </w:rPr>
            </w:pPr>
            <w:r w:rsidRPr="00C45D88">
              <w:rPr>
                <w:rFonts w:eastAsia="Calibri"/>
                <w:i/>
                <w:sz w:val="20"/>
              </w:rPr>
              <w:t xml:space="preserve">Charter of Rights and Freedoms </w:t>
            </w:r>
            <w:r w:rsidRPr="00C45D88">
              <w:rPr>
                <w:rFonts w:eastAsia="Calibri"/>
                <w:sz w:val="20"/>
              </w:rPr>
              <w:t>–</w:t>
            </w:r>
            <w:r w:rsidRPr="00C45D88">
              <w:rPr>
                <w:rFonts w:eastAsia="Calibri"/>
                <w:i/>
                <w:sz w:val="20"/>
              </w:rPr>
              <w:t xml:space="preserve"> </w:t>
            </w:r>
            <w:r w:rsidRPr="00C45D88">
              <w:rPr>
                <w:rFonts w:eastAsia="Calibri"/>
                <w:sz w:val="20"/>
              </w:rPr>
              <w:t xml:space="preserve">Criminal law – Appeals – Interlocutory judgments – Jurisdiction of Court of Appeal – Impaired driving – Disclosure – Whether Court of Appeal erred in determining that interlocutory judgment rejecting or allowing request for disclosure evidence under </w:t>
            </w:r>
            <w:r w:rsidRPr="00C45D88">
              <w:rPr>
                <w:rFonts w:eastAsia="Calibri"/>
                <w:i/>
                <w:iCs/>
                <w:sz w:val="20"/>
              </w:rPr>
              <w:t>Canadian Charter of Rights and Freedoms</w:t>
            </w:r>
            <w:r w:rsidRPr="00C45D88">
              <w:rPr>
                <w:rFonts w:eastAsia="Calibri"/>
                <w:sz w:val="20"/>
              </w:rPr>
              <w:t xml:space="preserve">, s. 24(1), not appealable – Nature and scope of evidence to be disclosed to accused under </w:t>
            </w:r>
            <w:r w:rsidRPr="00C45D88">
              <w:rPr>
                <w:rFonts w:eastAsia="Calibri"/>
                <w:i/>
                <w:sz w:val="20"/>
              </w:rPr>
              <w:t>Criminal Code</w:t>
            </w:r>
            <w:r w:rsidRPr="00C45D88">
              <w:rPr>
                <w:rFonts w:eastAsia="Calibri"/>
                <w:sz w:val="20"/>
              </w:rPr>
              <w:t>, R.S.C. 1985, c. C-46, s. 258(1)(</w:t>
            </w:r>
            <w:r w:rsidRPr="00C45D88">
              <w:rPr>
                <w:rFonts w:eastAsia="Calibri"/>
                <w:i/>
                <w:sz w:val="20"/>
              </w:rPr>
              <w:t>c</w:t>
            </w:r>
            <w:r w:rsidRPr="00C45D88">
              <w:rPr>
                <w:rFonts w:eastAsia="Calibri"/>
                <w:sz w:val="20"/>
              </w:rPr>
              <w:t>), and proper procedure and applicable burden of proof.</w:t>
            </w:r>
          </w:p>
        </w:tc>
      </w:tr>
      <w:tr w:rsidR="00361F19" w:rsidRPr="00C45D88" w:rsidTr="00582919">
        <w:tc>
          <w:tcPr>
            <w:tcW w:w="5000" w:type="pct"/>
            <w:gridSpan w:val="3"/>
          </w:tcPr>
          <w:p w:rsidR="00361F19" w:rsidRPr="00C45D88" w:rsidRDefault="00361F19" w:rsidP="00582919">
            <w:pPr>
              <w:jc w:val="both"/>
              <w:rPr>
                <w:rFonts w:eastAsia="Calibri"/>
                <w:sz w:val="20"/>
              </w:rPr>
            </w:pPr>
          </w:p>
        </w:tc>
      </w:tr>
      <w:tr w:rsidR="00361F19" w:rsidRPr="00C45D88" w:rsidTr="00582919">
        <w:tc>
          <w:tcPr>
            <w:tcW w:w="5000" w:type="pct"/>
            <w:gridSpan w:val="3"/>
          </w:tcPr>
          <w:p w:rsidR="00361F19" w:rsidRPr="00C45D88" w:rsidRDefault="00361F19" w:rsidP="00582919">
            <w:pPr>
              <w:jc w:val="both"/>
              <w:rPr>
                <w:rFonts w:eastAsia="Calibri"/>
                <w:sz w:val="20"/>
              </w:rPr>
            </w:pPr>
            <w:r w:rsidRPr="00C45D88">
              <w:rPr>
                <w:rFonts w:eastAsia="Calibri"/>
                <w:sz w:val="20"/>
              </w:rPr>
              <w:t>The applicants were charged with operating a motor vehicle or of having the care or control of a motor vehicle after having consumed alcohol in such a quantity that the concentration in their blood exceeded 80 mg of alcohol in 100 ml of blood, contrary to s. 253(1)(</w:t>
            </w:r>
            <w:r w:rsidRPr="00C45D88">
              <w:rPr>
                <w:rFonts w:eastAsia="Calibri"/>
                <w:i/>
                <w:sz w:val="20"/>
              </w:rPr>
              <w:t>b</w:t>
            </w:r>
            <w:r w:rsidRPr="00C45D88">
              <w:rPr>
                <w:rFonts w:eastAsia="Calibri"/>
                <w:sz w:val="20"/>
              </w:rPr>
              <w:t xml:space="preserve">) of the </w:t>
            </w:r>
            <w:r w:rsidRPr="00C45D88">
              <w:rPr>
                <w:rFonts w:eastAsia="Calibri"/>
                <w:i/>
                <w:sz w:val="20"/>
              </w:rPr>
              <w:t>Criminal Code</w:t>
            </w:r>
            <w:r w:rsidRPr="00C45D88">
              <w:rPr>
                <w:rFonts w:eastAsia="Calibri"/>
                <w:sz w:val="20"/>
              </w:rPr>
              <w:t xml:space="preserve">.  The applicants filed a motion for the disclosure of evidence or for a stay.  The motion was for manufacturer user and maintenance manuals and any other technical manuals for the devices used to take breath samples under ss. 254(2) and (3) of the </w:t>
            </w:r>
            <w:r w:rsidRPr="00C45D88">
              <w:rPr>
                <w:rFonts w:eastAsia="Calibri"/>
                <w:i/>
                <w:sz w:val="20"/>
              </w:rPr>
              <w:t>Criminal Code</w:t>
            </w:r>
            <w:r w:rsidRPr="00C45D88">
              <w:rPr>
                <w:rFonts w:eastAsia="Calibri"/>
                <w:sz w:val="20"/>
              </w:rPr>
              <w:t xml:space="preserve"> and to analyze these samples under s. 258.  The Superior Court dismissed the motion.  The Court of Appeal dismissed the motion for permission to appeal filed by the applicants on the basis that an interlocutory judgment rejecting or allowing a request for the disclosure of evidence under s. 24 (1) of the </w:t>
            </w:r>
            <w:r w:rsidRPr="00C45D88">
              <w:rPr>
                <w:rFonts w:eastAsia="Calibri"/>
                <w:i/>
                <w:iCs/>
                <w:sz w:val="20"/>
              </w:rPr>
              <w:t>Charter</w:t>
            </w:r>
            <w:r w:rsidRPr="00C45D88">
              <w:rPr>
                <w:rFonts w:eastAsia="Calibri"/>
                <w:sz w:val="20"/>
              </w:rPr>
              <w:t xml:space="preserve"> is not appealable.</w:t>
            </w:r>
          </w:p>
          <w:p w:rsidR="00361F19" w:rsidRPr="00C45D88" w:rsidRDefault="00361F19" w:rsidP="00582919">
            <w:pPr>
              <w:jc w:val="both"/>
              <w:rPr>
                <w:rFonts w:eastAsia="Calibri"/>
                <w:sz w:val="20"/>
              </w:rPr>
            </w:pPr>
          </w:p>
        </w:tc>
      </w:tr>
      <w:tr w:rsidR="00361F19" w:rsidRPr="00C45D88" w:rsidTr="00582919">
        <w:tc>
          <w:tcPr>
            <w:tcW w:w="2427" w:type="pct"/>
          </w:tcPr>
          <w:p w:rsidR="00361F19" w:rsidRPr="00C45D88" w:rsidRDefault="00361F19" w:rsidP="00582919">
            <w:pPr>
              <w:jc w:val="both"/>
              <w:rPr>
                <w:rFonts w:eastAsia="Calibri"/>
                <w:sz w:val="20"/>
              </w:rPr>
            </w:pPr>
            <w:r w:rsidRPr="00C45D88">
              <w:rPr>
                <w:rFonts w:eastAsia="Calibri"/>
                <w:sz w:val="20"/>
              </w:rPr>
              <w:t>September 10, 2014</w:t>
            </w:r>
          </w:p>
          <w:p w:rsidR="00361F19" w:rsidRPr="00C45D88" w:rsidRDefault="00361F19" w:rsidP="00582919">
            <w:pPr>
              <w:jc w:val="both"/>
              <w:rPr>
                <w:rFonts w:eastAsia="Calibri"/>
                <w:sz w:val="20"/>
              </w:rPr>
            </w:pPr>
            <w:r w:rsidRPr="00C45D88">
              <w:rPr>
                <w:rFonts w:eastAsia="Calibri"/>
                <w:sz w:val="20"/>
              </w:rPr>
              <w:t>Quebec Superior Court</w:t>
            </w:r>
          </w:p>
          <w:p w:rsidR="00361F19" w:rsidRPr="00C45D88" w:rsidRDefault="00361F19" w:rsidP="00582919">
            <w:pPr>
              <w:jc w:val="both"/>
              <w:rPr>
                <w:rFonts w:eastAsia="Calibri"/>
                <w:sz w:val="20"/>
              </w:rPr>
            </w:pPr>
            <w:r w:rsidRPr="00C45D88">
              <w:rPr>
                <w:rFonts w:eastAsia="Calibri"/>
                <w:sz w:val="20"/>
              </w:rPr>
              <w:t>(Grenier J.)</w:t>
            </w:r>
          </w:p>
          <w:p w:rsidR="00361F19" w:rsidRPr="00C45D88" w:rsidRDefault="00361F19" w:rsidP="00582919">
            <w:pPr>
              <w:jc w:val="both"/>
              <w:rPr>
                <w:rFonts w:eastAsia="Calibri"/>
                <w:sz w:val="20"/>
              </w:rPr>
            </w:pPr>
          </w:p>
        </w:tc>
        <w:tc>
          <w:tcPr>
            <w:tcW w:w="243" w:type="pct"/>
          </w:tcPr>
          <w:p w:rsidR="00361F19" w:rsidRPr="00C45D88" w:rsidRDefault="00361F19" w:rsidP="00582919">
            <w:pPr>
              <w:jc w:val="both"/>
              <w:rPr>
                <w:rFonts w:eastAsia="Calibri"/>
                <w:sz w:val="20"/>
              </w:rPr>
            </w:pPr>
          </w:p>
        </w:tc>
        <w:tc>
          <w:tcPr>
            <w:tcW w:w="2330" w:type="pct"/>
          </w:tcPr>
          <w:p w:rsidR="00361F19" w:rsidRPr="00C45D88" w:rsidRDefault="00361F19" w:rsidP="00582919">
            <w:pPr>
              <w:jc w:val="both"/>
              <w:rPr>
                <w:rFonts w:eastAsia="Calibri"/>
                <w:sz w:val="20"/>
              </w:rPr>
            </w:pPr>
            <w:r w:rsidRPr="00C45D88">
              <w:rPr>
                <w:rFonts w:eastAsia="Calibri"/>
                <w:sz w:val="20"/>
              </w:rPr>
              <w:t>Amended motion for disclosure of evidence or for a stay dismissed</w:t>
            </w:r>
          </w:p>
        </w:tc>
      </w:tr>
      <w:tr w:rsidR="00361F19" w:rsidRPr="00C45D88" w:rsidTr="00582919">
        <w:tc>
          <w:tcPr>
            <w:tcW w:w="2427" w:type="pct"/>
          </w:tcPr>
          <w:p w:rsidR="00361F19" w:rsidRPr="00C45D88" w:rsidRDefault="00361F19" w:rsidP="00582919">
            <w:pPr>
              <w:jc w:val="both"/>
              <w:rPr>
                <w:rFonts w:eastAsia="Calibri"/>
                <w:sz w:val="20"/>
              </w:rPr>
            </w:pPr>
            <w:r w:rsidRPr="00C45D88">
              <w:rPr>
                <w:rFonts w:eastAsia="Calibri"/>
                <w:sz w:val="20"/>
              </w:rPr>
              <w:t>October 15, 2014</w:t>
            </w:r>
          </w:p>
          <w:p w:rsidR="00361F19" w:rsidRPr="00C45D88" w:rsidRDefault="00361F19" w:rsidP="00582919">
            <w:pPr>
              <w:jc w:val="both"/>
              <w:rPr>
                <w:rFonts w:eastAsia="Calibri"/>
                <w:sz w:val="20"/>
              </w:rPr>
            </w:pPr>
            <w:r w:rsidRPr="00C45D88">
              <w:rPr>
                <w:rFonts w:eastAsia="Calibri"/>
                <w:sz w:val="20"/>
              </w:rPr>
              <w:t>Quebec Court of Appeal (Québec)</w:t>
            </w:r>
          </w:p>
          <w:p w:rsidR="00361F19" w:rsidRPr="00C45D88" w:rsidRDefault="00361F19" w:rsidP="00582919">
            <w:pPr>
              <w:jc w:val="both"/>
              <w:rPr>
                <w:rFonts w:eastAsia="Calibri"/>
                <w:sz w:val="20"/>
              </w:rPr>
            </w:pPr>
            <w:r w:rsidRPr="00C45D88">
              <w:rPr>
                <w:rFonts w:eastAsia="Calibri"/>
                <w:sz w:val="20"/>
              </w:rPr>
              <w:t>(Giroux J.A.)</w:t>
            </w:r>
          </w:p>
          <w:p w:rsidR="00361F19" w:rsidRPr="00C45D88" w:rsidRDefault="003A60BB" w:rsidP="00582919">
            <w:pPr>
              <w:jc w:val="both"/>
              <w:rPr>
                <w:rFonts w:eastAsia="Calibri"/>
                <w:sz w:val="20"/>
              </w:rPr>
            </w:pPr>
            <w:hyperlink r:id="rId63" w:history="1">
              <w:r w:rsidR="00361F19" w:rsidRPr="00C45D88">
                <w:rPr>
                  <w:rFonts w:eastAsia="Calibri"/>
                  <w:color w:val="0000FF"/>
                  <w:sz w:val="20"/>
                  <w:u w:val="single"/>
                </w:rPr>
                <w:t>2014 QCCA 1905</w:t>
              </w:r>
            </w:hyperlink>
          </w:p>
          <w:p w:rsidR="00361F19" w:rsidRPr="00C45D88" w:rsidRDefault="00361F19" w:rsidP="00582919">
            <w:pPr>
              <w:jc w:val="both"/>
              <w:rPr>
                <w:rFonts w:eastAsia="Calibri"/>
                <w:sz w:val="20"/>
              </w:rPr>
            </w:pPr>
          </w:p>
        </w:tc>
        <w:tc>
          <w:tcPr>
            <w:tcW w:w="243" w:type="pct"/>
          </w:tcPr>
          <w:p w:rsidR="00361F19" w:rsidRPr="00C45D88" w:rsidRDefault="00361F19" w:rsidP="00582919">
            <w:pPr>
              <w:jc w:val="both"/>
              <w:rPr>
                <w:rFonts w:eastAsia="Calibri"/>
                <w:sz w:val="20"/>
              </w:rPr>
            </w:pPr>
          </w:p>
        </w:tc>
        <w:tc>
          <w:tcPr>
            <w:tcW w:w="2330" w:type="pct"/>
          </w:tcPr>
          <w:p w:rsidR="00361F19" w:rsidRPr="00C45D88" w:rsidRDefault="00361F19" w:rsidP="00582919">
            <w:pPr>
              <w:jc w:val="both"/>
              <w:rPr>
                <w:rFonts w:eastAsia="Calibri"/>
                <w:sz w:val="20"/>
              </w:rPr>
            </w:pPr>
            <w:r w:rsidRPr="00C45D88">
              <w:rPr>
                <w:rFonts w:eastAsia="Calibri"/>
                <w:sz w:val="20"/>
              </w:rPr>
              <w:t>Motion for permission to appeal dismissed</w:t>
            </w:r>
          </w:p>
        </w:tc>
      </w:tr>
      <w:tr w:rsidR="00361F19" w:rsidRPr="00C45D88" w:rsidTr="00582919">
        <w:tc>
          <w:tcPr>
            <w:tcW w:w="2427" w:type="pct"/>
          </w:tcPr>
          <w:p w:rsidR="00361F19" w:rsidRPr="00C45D88" w:rsidRDefault="00361F19" w:rsidP="00582919">
            <w:pPr>
              <w:jc w:val="both"/>
              <w:rPr>
                <w:rFonts w:eastAsia="Calibri"/>
                <w:sz w:val="20"/>
              </w:rPr>
            </w:pPr>
            <w:r w:rsidRPr="00C45D88">
              <w:rPr>
                <w:rFonts w:eastAsia="Calibri"/>
                <w:sz w:val="20"/>
              </w:rPr>
              <w:t>December 8, 2014</w:t>
            </w:r>
          </w:p>
          <w:p w:rsidR="00361F19" w:rsidRPr="00C45D88" w:rsidRDefault="00361F19" w:rsidP="00582919">
            <w:pPr>
              <w:jc w:val="both"/>
              <w:rPr>
                <w:rFonts w:eastAsia="Calibri"/>
                <w:sz w:val="20"/>
              </w:rPr>
            </w:pPr>
            <w:r w:rsidRPr="00C45D88">
              <w:rPr>
                <w:rFonts w:eastAsia="Calibri"/>
                <w:sz w:val="20"/>
              </w:rPr>
              <w:t>Supreme Court of Canada</w:t>
            </w:r>
          </w:p>
        </w:tc>
        <w:tc>
          <w:tcPr>
            <w:tcW w:w="243" w:type="pct"/>
          </w:tcPr>
          <w:p w:rsidR="00361F19" w:rsidRPr="00C45D88" w:rsidRDefault="00361F19" w:rsidP="00582919">
            <w:pPr>
              <w:jc w:val="both"/>
              <w:rPr>
                <w:rFonts w:eastAsia="Calibri"/>
                <w:sz w:val="20"/>
              </w:rPr>
            </w:pPr>
          </w:p>
        </w:tc>
        <w:tc>
          <w:tcPr>
            <w:tcW w:w="2330" w:type="pct"/>
          </w:tcPr>
          <w:p w:rsidR="00361F19" w:rsidRPr="00C45D88" w:rsidRDefault="00361F19" w:rsidP="00582919">
            <w:pPr>
              <w:jc w:val="both"/>
              <w:rPr>
                <w:rFonts w:eastAsia="Calibri"/>
                <w:sz w:val="20"/>
              </w:rPr>
            </w:pPr>
            <w:r w:rsidRPr="00C45D88">
              <w:rPr>
                <w:rFonts w:eastAsia="Calibri"/>
                <w:sz w:val="20"/>
              </w:rPr>
              <w:t>Application for leave to appeal filed</w:t>
            </w:r>
          </w:p>
        </w:tc>
      </w:tr>
    </w:tbl>
    <w:p w:rsidR="000D6E5D" w:rsidRDefault="000D6E5D" w:rsidP="000D6E5D">
      <w:pPr>
        <w:rPr>
          <w:sz w:val="20"/>
          <w:szCs w:val="20"/>
        </w:rPr>
      </w:pPr>
    </w:p>
    <w:p w:rsidR="000D6E5D" w:rsidRPr="00C50A5C" w:rsidRDefault="003A60BB" w:rsidP="000D6E5D">
      <w:pPr>
        <w:rPr>
          <w:sz w:val="20"/>
          <w:szCs w:val="20"/>
        </w:rPr>
      </w:pPr>
      <w:r>
        <w:rPr>
          <w:sz w:val="20"/>
          <w:szCs w:val="20"/>
          <w:lang w:val="fr-CA"/>
        </w:rPr>
        <w:pict>
          <v:rect id="_x0000_i1064" style="width:2in;height:1pt" o:hrpct="0" o:hralign="center" o:hrstd="t" o:hrnoshade="t" o:hr="t" fillcolor="black [3213]" stroked="f"/>
        </w:pict>
      </w:r>
    </w:p>
    <w:p w:rsidR="000D6E5D" w:rsidRDefault="000D6E5D" w:rsidP="000D6E5D">
      <w:pPr>
        <w:rPr>
          <w:sz w:val="20"/>
          <w:szCs w:val="20"/>
        </w:rPr>
      </w:pPr>
    </w:p>
    <w:p w:rsidR="000D6E5D" w:rsidRPr="001B157C" w:rsidRDefault="000D6E5D" w:rsidP="000D6E5D">
      <w:pPr>
        <w:rPr>
          <w:sz w:val="20"/>
          <w:szCs w:val="20"/>
          <w:u w:val="single"/>
          <w:lang w:val="fr-CA"/>
        </w:rPr>
      </w:pPr>
      <w:r w:rsidRPr="001B157C">
        <w:rPr>
          <w:sz w:val="20"/>
          <w:szCs w:val="20"/>
          <w:u w:val="single"/>
          <w:lang w:val="fr-CA"/>
        </w:rPr>
        <w:t>RÉSUMÉ DE L’AFFAIRE</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61F19" w:rsidRPr="00560020" w:rsidTr="00582919">
        <w:tc>
          <w:tcPr>
            <w:tcW w:w="5000" w:type="pct"/>
            <w:gridSpan w:val="3"/>
          </w:tcPr>
          <w:p w:rsidR="00361F19" w:rsidRPr="00C45D88" w:rsidRDefault="00361F19" w:rsidP="00582919">
            <w:pPr>
              <w:jc w:val="both"/>
              <w:rPr>
                <w:rFonts w:eastAsia="Calibri"/>
                <w:sz w:val="20"/>
                <w:lang w:val="fr-CA"/>
              </w:rPr>
            </w:pPr>
            <w:r w:rsidRPr="00C45D88">
              <w:rPr>
                <w:rFonts w:eastAsia="Calibri"/>
                <w:i/>
                <w:sz w:val="20"/>
                <w:lang w:val="fr-CA"/>
              </w:rPr>
              <w:t xml:space="preserve">Charte des droits et libertés </w:t>
            </w:r>
            <w:r w:rsidRPr="00C45D88">
              <w:rPr>
                <w:rFonts w:eastAsia="Calibri"/>
                <w:sz w:val="20"/>
                <w:lang w:val="fr-CA"/>
              </w:rPr>
              <w:t>–</w:t>
            </w:r>
            <w:r w:rsidRPr="00C45D88">
              <w:rPr>
                <w:rFonts w:eastAsia="Calibri"/>
                <w:i/>
                <w:sz w:val="20"/>
                <w:lang w:val="fr-CA"/>
              </w:rPr>
              <w:t xml:space="preserve"> </w:t>
            </w:r>
            <w:r w:rsidRPr="00C45D88">
              <w:rPr>
                <w:rFonts w:eastAsia="Calibri"/>
                <w:sz w:val="20"/>
                <w:lang w:val="fr-CA"/>
              </w:rPr>
              <w:t xml:space="preserve">Droit criminel – Appels – Jugements interlocutoires – Compétence de la Cour d’appel – Conduite avec facultés affaiblies – Communication de la preuve – La Cour d’appel a-t-elle fait erreur en décidant qu’un jugement interlocutoire refusant ou accordant une demande de divulgation de la preuve par le biais de l’art. 24 (1) de la </w:t>
            </w:r>
            <w:r w:rsidRPr="00C45D88">
              <w:rPr>
                <w:rFonts w:eastAsia="Calibri"/>
                <w:i/>
                <w:iCs/>
                <w:sz w:val="20"/>
                <w:lang w:val="fr-CA"/>
              </w:rPr>
              <w:t>Charte canadienne des droits et libertés</w:t>
            </w:r>
            <w:r w:rsidRPr="00C45D88">
              <w:rPr>
                <w:rFonts w:eastAsia="Calibri"/>
                <w:sz w:val="20"/>
                <w:lang w:val="fr-CA"/>
              </w:rPr>
              <w:t xml:space="preserve"> n’est pas sujet à appel? – Quelle sont la nature et l’étendue de la preuve à être communiquée à l’accusé en vertu de l’alinéa 258(1)c) du </w:t>
            </w:r>
            <w:r w:rsidRPr="00C45D88">
              <w:rPr>
                <w:rFonts w:eastAsia="Calibri"/>
                <w:i/>
                <w:sz w:val="20"/>
                <w:lang w:val="fr-CA"/>
              </w:rPr>
              <w:t>Code criminel</w:t>
            </w:r>
            <w:r w:rsidRPr="00C45D88">
              <w:rPr>
                <w:rFonts w:eastAsia="Calibri"/>
                <w:sz w:val="20"/>
                <w:lang w:val="fr-CA"/>
              </w:rPr>
              <w:t>, L.R.C. 1985, c. C-46, et quels sont la procédure à suivre et le fardeau de preuve applicable?</w:t>
            </w:r>
          </w:p>
        </w:tc>
      </w:tr>
      <w:tr w:rsidR="00361F19" w:rsidRPr="00560020" w:rsidTr="00582919">
        <w:tc>
          <w:tcPr>
            <w:tcW w:w="5000" w:type="pct"/>
            <w:gridSpan w:val="3"/>
          </w:tcPr>
          <w:p w:rsidR="00361F19" w:rsidRPr="00C45D88" w:rsidRDefault="00361F19" w:rsidP="00582919">
            <w:pPr>
              <w:jc w:val="both"/>
              <w:rPr>
                <w:rFonts w:eastAsia="Calibri"/>
                <w:sz w:val="20"/>
                <w:lang w:val="fr-CA"/>
              </w:rPr>
            </w:pPr>
          </w:p>
        </w:tc>
      </w:tr>
      <w:tr w:rsidR="00361F19" w:rsidRPr="00560020" w:rsidTr="00582919">
        <w:tc>
          <w:tcPr>
            <w:tcW w:w="5000" w:type="pct"/>
            <w:gridSpan w:val="3"/>
          </w:tcPr>
          <w:p w:rsidR="00361F19" w:rsidRPr="00C45D88" w:rsidRDefault="00361F19" w:rsidP="00582919">
            <w:pPr>
              <w:jc w:val="both"/>
              <w:rPr>
                <w:rFonts w:eastAsia="Calibri"/>
                <w:sz w:val="20"/>
                <w:lang w:val="fr-CA"/>
              </w:rPr>
            </w:pPr>
            <w:r w:rsidRPr="00C45D88">
              <w:rPr>
                <w:rFonts w:eastAsia="Calibri"/>
                <w:sz w:val="20"/>
                <w:lang w:val="fr-CA"/>
              </w:rPr>
              <w:t>Les demandeurs sont accusés d’avoir conduit un véhicule à moteur ou d’en avoir eu la garde ou le contrôle alors qu’ils avaient consommé une quantité d’alcool telle que leur alcoolémie dépassait 80 mg d’alcool par 100 ml de sang contrairement à l’al. 253(1)</w:t>
            </w:r>
            <w:r w:rsidRPr="00C45D88">
              <w:rPr>
                <w:rFonts w:eastAsia="Calibri"/>
                <w:i/>
                <w:sz w:val="20"/>
                <w:lang w:val="fr-CA"/>
              </w:rPr>
              <w:t>b</w:t>
            </w:r>
            <w:r w:rsidRPr="00C45D88">
              <w:rPr>
                <w:rFonts w:eastAsia="Calibri"/>
                <w:sz w:val="20"/>
                <w:lang w:val="fr-CA"/>
              </w:rPr>
              <w:t xml:space="preserve">) du </w:t>
            </w:r>
            <w:r w:rsidRPr="00C45D88">
              <w:rPr>
                <w:rFonts w:eastAsia="Calibri"/>
                <w:i/>
                <w:sz w:val="20"/>
                <w:lang w:val="fr-CA"/>
              </w:rPr>
              <w:t>Code criminel</w:t>
            </w:r>
            <w:r w:rsidRPr="00C45D88">
              <w:rPr>
                <w:rFonts w:eastAsia="Calibri"/>
                <w:sz w:val="20"/>
                <w:lang w:val="fr-CA"/>
              </w:rPr>
              <w:t xml:space="preserve">.  Les demandeurs ont présenté une requête en divulgation de la preuve ou en arrêt des procédures.  La requête visait l’obtention des manuels de l’utilisateur et d’entretien des fabriquants et tout autre manuel de nature technique des appareils utilisés lors des prélèvements d’échantillons d’haleine réalisés conformément aux par. 254(2) et (3) du </w:t>
            </w:r>
            <w:r w:rsidRPr="00C45D88">
              <w:rPr>
                <w:rFonts w:eastAsia="Calibri"/>
                <w:i/>
                <w:sz w:val="20"/>
                <w:lang w:val="fr-CA"/>
              </w:rPr>
              <w:t>Code criminel</w:t>
            </w:r>
            <w:r w:rsidRPr="00C45D88">
              <w:rPr>
                <w:rFonts w:eastAsia="Calibri"/>
                <w:sz w:val="20"/>
                <w:lang w:val="fr-CA"/>
              </w:rPr>
              <w:t xml:space="preserve"> et de l’analyse de ces échantillons selon l’art. 258.  La Cour supérieure a rejeté la requête.  La Cour d’appel a rejeté la demande d’autorisation d’appel formulée par les demandeurs au motif qu’un jugement interlocutoire refusant ou accordant une demande de divulgation de la preuve par le biais de l’art. 24 (1) de la </w:t>
            </w:r>
            <w:r w:rsidRPr="00C45D88">
              <w:rPr>
                <w:rFonts w:eastAsia="Calibri"/>
                <w:i/>
                <w:iCs/>
                <w:sz w:val="20"/>
                <w:lang w:val="fr-CA"/>
              </w:rPr>
              <w:t>Charte</w:t>
            </w:r>
            <w:r w:rsidRPr="00C45D88">
              <w:rPr>
                <w:rFonts w:eastAsia="Calibri"/>
                <w:sz w:val="20"/>
                <w:lang w:val="fr-CA"/>
              </w:rPr>
              <w:t xml:space="preserve"> n’est pas sujet à appel.</w:t>
            </w:r>
          </w:p>
          <w:p w:rsidR="00361F19" w:rsidRPr="00C45D88" w:rsidRDefault="00361F19" w:rsidP="00582919">
            <w:pPr>
              <w:jc w:val="both"/>
              <w:rPr>
                <w:rFonts w:eastAsia="Calibri"/>
                <w:sz w:val="20"/>
                <w:lang w:val="fr-CA"/>
              </w:rPr>
            </w:pPr>
          </w:p>
        </w:tc>
      </w:tr>
      <w:tr w:rsidR="00361F19" w:rsidRPr="00560020" w:rsidTr="00582919">
        <w:tc>
          <w:tcPr>
            <w:tcW w:w="2427" w:type="pct"/>
          </w:tcPr>
          <w:p w:rsidR="00361F19" w:rsidRPr="00C45D88" w:rsidRDefault="00361F19" w:rsidP="00582919">
            <w:pPr>
              <w:jc w:val="both"/>
              <w:rPr>
                <w:rFonts w:eastAsia="Calibri"/>
                <w:sz w:val="20"/>
                <w:lang w:val="fr-CA"/>
              </w:rPr>
            </w:pPr>
            <w:r w:rsidRPr="00C45D88">
              <w:rPr>
                <w:rFonts w:eastAsia="Calibri"/>
                <w:sz w:val="20"/>
                <w:lang w:val="fr-CA"/>
              </w:rPr>
              <w:t>Le 10 septembre 2014</w:t>
            </w:r>
          </w:p>
          <w:p w:rsidR="00361F19" w:rsidRPr="00C45D88" w:rsidRDefault="00361F19" w:rsidP="00582919">
            <w:pPr>
              <w:jc w:val="both"/>
              <w:rPr>
                <w:rFonts w:eastAsia="Calibri"/>
                <w:sz w:val="20"/>
                <w:lang w:val="fr-CA"/>
              </w:rPr>
            </w:pPr>
            <w:r w:rsidRPr="00C45D88">
              <w:rPr>
                <w:rFonts w:eastAsia="Calibri"/>
                <w:sz w:val="20"/>
                <w:lang w:val="fr-CA"/>
              </w:rPr>
              <w:t>Cour supérieure du Québec</w:t>
            </w:r>
          </w:p>
          <w:p w:rsidR="00361F19" w:rsidRPr="00C45D88" w:rsidRDefault="00361F19" w:rsidP="00582919">
            <w:pPr>
              <w:jc w:val="both"/>
              <w:rPr>
                <w:rFonts w:eastAsia="Calibri"/>
                <w:sz w:val="20"/>
                <w:lang w:val="fr-CA"/>
              </w:rPr>
            </w:pPr>
            <w:r w:rsidRPr="00C45D88">
              <w:rPr>
                <w:rFonts w:eastAsia="Calibri"/>
                <w:sz w:val="20"/>
                <w:lang w:val="fr-CA"/>
              </w:rPr>
              <w:t>(Le juge Grenier)</w:t>
            </w:r>
          </w:p>
          <w:p w:rsidR="00361F19" w:rsidRPr="00C45D88" w:rsidRDefault="00361F19" w:rsidP="00582919">
            <w:pPr>
              <w:jc w:val="both"/>
              <w:rPr>
                <w:rFonts w:eastAsia="Calibri"/>
                <w:sz w:val="20"/>
              </w:rPr>
            </w:pPr>
          </w:p>
        </w:tc>
        <w:tc>
          <w:tcPr>
            <w:tcW w:w="243" w:type="pct"/>
          </w:tcPr>
          <w:p w:rsidR="00361F19" w:rsidRPr="00C45D88" w:rsidRDefault="00361F19" w:rsidP="00582919">
            <w:pPr>
              <w:jc w:val="both"/>
              <w:rPr>
                <w:rFonts w:eastAsia="Calibri"/>
                <w:sz w:val="20"/>
              </w:rPr>
            </w:pPr>
          </w:p>
        </w:tc>
        <w:tc>
          <w:tcPr>
            <w:tcW w:w="2330" w:type="pct"/>
          </w:tcPr>
          <w:p w:rsidR="00361F19" w:rsidRPr="00C45D88" w:rsidRDefault="00361F19" w:rsidP="00582919">
            <w:pPr>
              <w:jc w:val="both"/>
              <w:rPr>
                <w:rFonts w:eastAsia="Calibri"/>
                <w:sz w:val="20"/>
                <w:lang w:val="fr-CA"/>
              </w:rPr>
            </w:pPr>
            <w:r w:rsidRPr="00C45D88">
              <w:rPr>
                <w:rFonts w:eastAsia="Calibri"/>
                <w:sz w:val="20"/>
                <w:lang w:val="fr-CA"/>
              </w:rPr>
              <w:t>Requête amendée en divulgation de la preuve ou en arrêt des procédures rejetée</w:t>
            </w:r>
          </w:p>
        </w:tc>
      </w:tr>
      <w:tr w:rsidR="00361F19" w:rsidRPr="00560020" w:rsidTr="00582919">
        <w:tc>
          <w:tcPr>
            <w:tcW w:w="2427" w:type="pct"/>
          </w:tcPr>
          <w:p w:rsidR="00361F19" w:rsidRPr="00C45D88" w:rsidRDefault="00361F19" w:rsidP="00582919">
            <w:pPr>
              <w:jc w:val="both"/>
              <w:rPr>
                <w:rFonts w:eastAsia="Calibri"/>
                <w:sz w:val="20"/>
                <w:lang w:val="fr-CA"/>
              </w:rPr>
            </w:pPr>
            <w:r w:rsidRPr="00C45D88">
              <w:rPr>
                <w:rFonts w:eastAsia="Calibri"/>
                <w:sz w:val="20"/>
                <w:lang w:val="fr-CA"/>
              </w:rPr>
              <w:t>Le 15 octobre 2014</w:t>
            </w:r>
          </w:p>
          <w:p w:rsidR="00361F19" w:rsidRPr="00C45D88" w:rsidRDefault="00361F19" w:rsidP="00582919">
            <w:pPr>
              <w:jc w:val="both"/>
              <w:rPr>
                <w:rFonts w:eastAsia="Calibri"/>
                <w:sz w:val="20"/>
                <w:lang w:val="fr-CA"/>
              </w:rPr>
            </w:pPr>
            <w:r w:rsidRPr="00C45D88">
              <w:rPr>
                <w:rFonts w:eastAsia="Calibri"/>
                <w:sz w:val="20"/>
                <w:lang w:val="fr-CA"/>
              </w:rPr>
              <w:t>Cour d’appel du Québec (Québec)</w:t>
            </w:r>
          </w:p>
          <w:p w:rsidR="00361F19" w:rsidRPr="00C45D88" w:rsidRDefault="00361F19" w:rsidP="00582919">
            <w:pPr>
              <w:jc w:val="both"/>
              <w:rPr>
                <w:rFonts w:eastAsia="Calibri"/>
                <w:sz w:val="20"/>
                <w:lang w:val="fr-CA"/>
              </w:rPr>
            </w:pPr>
            <w:r w:rsidRPr="00C45D88">
              <w:rPr>
                <w:rFonts w:eastAsia="Calibri"/>
                <w:sz w:val="20"/>
                <w:lang w:val="fr-CA"/>
              </w:rPr>
              <w:t>(Le juge Giroux)</w:t>
            </w:r>
          </w:p>
          <w:p w:rsidR="00361F19" w:rsidRPr="00C45D88" w:rsidRDefault="003A60BB" w:rsidP="00582919">
            <w:pPr>
              <w:jc w:val="both"/>
              <w:rPr>
                <w:rFonts w:eastAsia="Calibri"/>
                <w:sz w:val="20"/>
                <w:lang w:val="fr-CA"/>
              </w:rPr>
            </w:pPr>
            <w:hyperlink r:id="rId64" w:history="1">
              <w:r w:rsidR="00361F19" w:rsidRPr="00C45D88">
                <w:rPr>
                  <w:rFonts w:eastAsia="Calibri"/>
                  <w:color w:val="0000FF"/>
                  <w:sz w:val="20"/>
                  <w:u w:val="single"/>
                  <w:lang w:val="fr-CA"/>
                </w:rPr>
                <w:t>2014 QCCA 1905</w:t>
              </w:r>
            </w:hyperlink>
          </w:p>
          <w:p w:rsidR="00361F19" w:rsidRPr="00C45D88" w:rsidRDefault="00361F19" w:rsidP="00582919">
            <w:pPr>
              <w:jc w:val="both"/>
              <w:rPr>
                <w:rFonts w:eastAsia="Calibri"/>
                <w:sz w:val="20"/>
              </w:rPr>
            </w:pPr>
          </w:p>
        </w:tc>
        <w:tc>
          <w:tcPr>
            <w:tcW w:w="243" w:type="pct"/>
          </w:tcPr>
          <w:p w:rsidR="00361F19" w:rsidRPr="00C45D88" w:rsidRDefault="00361F19" w:rsidP="00582919">
            <w:pPr>
              <w:jc w:val="both"/>
              <w:rPr>
                <w:rFonts w:eastAsia="Calibri"/>
                <w:sz w:val="20"/>
              </w:rPr>
            </w:pPr>
          </w:p>
        </w:tc>
        <w:tc>
          <w:tcPr>
            <w:tcW w:w="2330" w:type="pct"/>
          </w:tcPr>
          <w:p w:rsidR="00361F19" w:rsidRPr="00C45D88" w:rsidRDefault="00361F19" w:rsidP="00582919">
            <w:pPr>
              <w:jc w:val="both"/>
              <w:rPr>
                <w:rFonts w:eastAsia="Calibri"/>
                <w:sz w:val="20"/>
                <w:lang w:val="fr-CA"/>
              </w:rPr>
            </w:pPr>
            <w:r w:rsidRPr="00C45D88">
              <w:rPr>
                <w:rFonts w:eastAsia="Calibri"/>
                <w:sz w:val="20"/>
                <w:lang w:val="fr-CA"/>
              </w:rPr>
              <w:t>Requête pour permission d’appeler rejetée</w:t>
            </w:r>
          </w:p>
        </w:tc>
      </w:tr>
      <w:tr w:rsidR="00361F19" w:rsidRPr="00C45D88" w:rsidTr="00582919">
        <w:tc>
          <w:tcPr>
            <w:tcW w:w="2427" w:type="pct"/>
          </w:tcPr>
          <w:p w:rsidR="00361F19" w:rsidRPr="00C45D88" w:rsidRDefault="00361F19" w:rsidP="00582919">
            <w:pPr>
              <w:jc w:val="both"/>
              <w:rPr>
                <w:rFonts w:eastAsia="Calibri"/>
                <w:sz w:val="20"/>
                <w:lang w:val="fr-CA"/>
              </w:rPr>
            </w:pPr>
            <w:r w:rsidRPr="00C45D88">
              <w:rPr>
                <w:rFonts w:eastAsia="Calibri"/>
                <w:sz w:val="20"/>
                <w:lang w:val="fr-CA"/>
              </w:rPr>
              <w:t>Le 8 décembre 2014</w:t>
            </w:r>
          </w:p>
          <w:p w:rsidR="00361F19" w:rsidRPr="00C45D88" w:rsidRDefault="00361F19" w:rsidP="00582919">
            <w:pPr>
              <w:jc w:val="both"/>
              <w:rPr>
                <w:rFonts w:eastAsia="Calibri"/>
                <w:sz w:val="20"/>
                <w:lang w:val="fr-CA"/>
              </w:rPr>
            </w:pPr>
            <w:r w:rsidRPr="00C45D88">
              <w:rPr>
                <w:rFonts w:eastAsia="Calibri"/>
                <w:sz w:val="20"/>
                <w:lang w:val="fr-CA"/>
              </w:rPr>
              <w:t>Cour suprême du Canada</w:t>
            </w:r>
          </w:p>
        </w:tc>
        <w:tc>
          <w:tcPr>
            <w:tcW w:w="243" w:type="pct"/>
          </w:tcPr>
          <w:p w:rsidR="00361F19" w:rsidRPr="00C45D88" w:rsidRDefault="00361F19" w:rsidP="00582919">
            <w:pPr>
              <w:jc w:val="both"/>
              <w:rPr>
                <w:rFonts w:eastAsia="Calibri"/>
                <w:sz w:val="20"/>
                <w:lang w:val="fr-CA"/>
              </w:rPr>
            </w:pPr>
          </w:p>
        </w:tc>
        <w:tc>
          <w:tcPr>
            <w:tcW w:w="2330" w:type="pct"/>
          </w:tcPr>
          <w:p w:rsidR="00361F19" w:rsidRPr="00C45D88" w:rsidRDefault="00361F19" w:rsidP="00582919">
            <w:pPr>
              <w:jc w:val="both"/>
              <w:rPr>
                <w:rFonts w:eastAsia="Calibri"/>
                <w:sz w:val="20"/>
                <w:lang w:val="fr-CA"/>
              </w:rPr>
            </w:pPr>
            <w:r w:rsidRPr="00C45D88">
              <w:rPr>
                <w:rFonts w:eastAsia="Calibri"/>
                <w:sz w:val="20"/>
                <w:lang w:val="fr-CA"/>
              </w:rPr>
              <w:t>Demande d'autorisation d'appel déposée</w:t>
            </w:r>
          </w:p>
        </w:tc>
      </w:tr>
    </w:tbl>
    <w:p w:rsidR="000D6E5D" w:rsidRDefault="000D6E5D" w:rsidP="000D6E5D">
      <w:pPr>
        <w:rPr>
          <w:sz w:val="20"/>
          <w:szCs w:val="20"/>
        </w:rPr>
      </w:pPr>
    </w:p>
    <w:p w:rsidR="000D6E5D" w:rsidRDefault="003A60BB" w:rsidP="000D6E5D">
      <w:pPr>
        <w:rPr>
          <w:sz w:val="20"/>
          <w:szCs w:val="20"/>
        </w:rPr>
      </w:pPr>
      <w:r>
        <w:rPr>
          <w:sz w:val="20"/>
          <w:szCs w:val="20"/>
          <w:lang w:val="fr-CA"/>
        </w:rPr>
        <w:pict>
          <v:rect id="_x0000_i1065" style="width:2in;height:1pt" o:hrpct="0" o:hralign="center" o:hrstd="t" o:hrnoshade="t" o:hr="t" fillcolor="black [3213]" stroked="f"/>
        </w:pict>
      </w:r>
    </w:p>
    <w:p w:rsidR="000D6E5D" w:rsidRDefault="000D6E5D" w:rsidP="000D6E5D">
      <w:pPr>
        <w:rPr>
          <w:sz w:val="20"/>
          <w:szCs w:val="20"/>
        </w:rPr>
      </w:pPr>
    </w:p>
    <w:tbl>
      <w:tblPr>
        <w:tblStyle w:val="TableGrid1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72F16" w:rsidRPr="00272F16" w:rsidTr="003431AF">
        <w:trPr>
          <w:cantSplit/>
        </w:trPr>
        <w:tc>
          <w:tcPr>
            <w:tcW w:w="1458" w:type="dxa"/>
          </w:tcPr>
          <w:p w:rsidR="00272F16" w:rsidRPr="00272F16" w:rsidRDefault="00272F16" w:rsidP="00272F16">
            <w:pPr>
              <w:rPr>
                <w:sz w:val="20"/>
              </w:rPr>
            </w:pPr>
            <w:r w:rsidRPr="00272F16">
              <w:rPr>
                <w:b/>
                <w:sz w:val="20"/>
                <w:lang w:val="fr-CA"/>
              </w:rPr>
              <w:t>36212</w:t>
            </w:r>
          </w:p>
          <w:p w:rsidR="00272F16" w:rsidRPr="00272F16" w:rsidRDefault="00272F16" w:rsidP="00272F16">
            <w:pPr>
              <w:rPr>
                <w:b/>
                <w:sz w:val="20"/>
                <w:lang w:val="fr-CA"/>
              </w:rPr>
            </w:pPr>
          </w:p>
        </w:tc>
        <w:tc>
          <w:tcPr>
            <w:tcW w:w="8118" w:type="dxa"/>
          </w:tcPr>
          <w:p w:rsidR="00272F16" w:rsidRPr="00272F16" w:rsidRDefault="00272F16" w:rsidP="00272F16">
            <w:pPr>
              <w:rPr>
                <w:sz w:val="20"/>
              </w:rPr>
            </w:pPr>
            <w:r w:rsidRPr="00272F16">
              <w:rPr>
                <w:b/>
                <w:sz w:val="20"/>
                <w:u w:val="single"/>
              </w:rPr>
              <w:t>Kris Rana v. Unifund Assurance Company</w:t>
            </w:r>
            <w:r w:rsidRPr="00272F16">
              <w:rPr>
                <w:sz w:val="20"/>
              </w:rPr>
              <w:t xml:space="preserve"> (Ont.) (Civil) (By Leave)</w:t>
            </w:r>
          </w:p>
          <w:p w:rsidR="00272F16" w:rsidRPr="00272F16" w:rsidRDefault="00272F16" w:rsidP="00272F16">
            <w:pPr>
              <w:rPr>
                <w:sz w:val="20"/>
              </w:rPr>
            </w:pPr>
          </w:p>
        </w:tc>
      </w:tr>
      <w:tr w:rsidR="00272F16" w:rsidRPr="00272F16" w:rsidTr="003431AF">
        <w:trPr>
          <w:cantSplit/>
        </w:trPr>
        <w:tc>
          <w:tcPr>
            <w:tcW w:w="1458" w:type="dxa"/>
          </w:tcPr>
          <w:p w:rsidR="00272F16" w:rsidRPr="00272F16" w:rsidRDefault="00272F16" w:rsidP="00272F16">
            <w:pPr>
              <w:rPr>
                <w:sz w:val="20"/>
              </w:rPr>
            </w:pPr>
            <w:r w:rsidRPr="00272F16">
              <w:rPr>
                <w:sz w:val="20"/>
              </w:rPr>
              <w:t>Coram :</w:t>
            </w:r>
          </w:p>
        </w:tc>
        <w:tc>
          <w:tcPr>
            <w:tcW w:w="8118" w:type="dxa"/>
          </w:tcPr>
          <w:p w:rsidR="00272F16" w:rsidRPr="00272F16" w:rsidRDefault="00272F16" w:rsidP="00272F16">
            <w:pPr>
              <w:rPr>
                <w:sz w:val="20"/>
              </w:rPr>
            </w:pPr>
            <w:r w:rsidRPr="00272F16">
              <w:rPr>
                <w:sz w:val="20"/>
                <w:u w:val="single"/>
              </w:rPr>
              <w:t>McLachlin C.J. and Wagner and Gascon JJ.</w:t>
            </w:r>
          </w:p>
          <w:p w:rsidR="00272F16" w:rsidRPr="00272F16" w:rsidRDefault="00272F16" w:rsidP="00272F16">
            <w:pPr>
              <w:rPr>
                <w:sz w:val="20"/>
                <w:u w:val="single"/>
              </w:rPr>
            </w:pPr>
          </w:p>
        </w:tc>
      </w:tr>
      <w:tr w:rsidR="00272F16" w:rsidRPr="00560020" w:rsidTr="003431AF">
        <w:trPr>
          <w:cantSplit/>
        </w:trPr>
        <w:tc>
          <w:tcPr>
            <w:tcW w:w="9576" w:type="dxa"/>
            <w:gridSpan w:val="2"/>
          </w:tcPr>
          <w:p w:rsidR="00272F16" w:rsidRPr="00272F16" w:rsidRDefault="00272F16" w:rsidP="00272F16">
            <w:pPr>
              <w:ind w:firstLine="720"/>
              <w:jc w:val="both"/>
              <w:rPr>
                <w:sz w:val="20"/>
              </w:rPr>
            </w:pPr>
            <w:r w:rsidRPr="00272F16">
              <w:rPr>
                <w:sz w:val="20"/>
              </w:rPr>
              <w:t>The application for leave to appeal from the judgment of the Court of Appeal for Ontario, Number C58392, 2014 ONCA 711, dated October 20, 2014, is dismissed with costs.</w:t>
            </w:r>
          </w:p>
          <w:p w:rsidR="00272F16" w:rsidRPr="00272F16" w:rsidRDefault="00272F16" w:rsidP="00272F16">
            <w:pPr>
              <w:jc w:val="both"/>
              <w:rPr>
                <w:sz w:val="20"/>
              </w:rPr>
            </w:pPr>
          </w:p>
          <w:p w:rsidR="00272F16" w:rsidRPr="00272F16" w:rsidRDefault="00272F16" w:rsidP="00272F16">
            <w:pPr>
              <w:ind w:firstLine="720"/>
              <w:jc w:val="both"/>
              <w:rPr>
                <w:sz w:val="20"/>
                <w:lang w:val="fr-CA"/>
              </w:rPr>
            </w:pPr>
            <w:r w:rsidRPr="00272F16">
              <w:rPr>
                <w:sz w:val="20"/>
                <w:lang w:val="fr-CA"/>
              </w:rPr>
              <w:t>La demande d’autorisation d’appel de l’arrêt de la Cour d’appel de l’Ontario, numéro C58392, 2014 ONCA 711, daté du 20 octobre 2014, est rejetée avec dépens.</w:t>
            </w:r>
          </w:p>
        </w:tc>
      </w:tr>
    </w:tbl>
    <w:p w:rsidR="00361F19" w:rsidRPr="00272F16" w:rsidRDefault="00361F19" w:rsidP="000D6E5D">
      <w:pPr>
        <w:rPr>
          <w:sz w:val="20"/>
          <w:szCs w:val="20"/>
          <w:lang w:val="fr-CA"/>
        </w:rPr>
      </w:pPr>
    </w:p>
    <w:p w:rsidR="000D6E5D" w:rsidRPr="001B157C" w:rsidRDefault="000D6E5D" w:rsidP="000D6E5D">
      <w:pPr>
        <w:rPr>
          <w:sz w:val="20"/>
          <w:szCs w:val="20"/>
          <w:u w:val="single"/>
        </w:rPr>
      </w:pPr>
      <w:r w:rsidRPr="001B157C">
        <w:rPr>
          <w:sz w:val="20"/>
          <w:szCs w:val="20"/>
          <w:u w:val="single"/>
        </w:rPr>
        <w:t>CASE SUMMARY</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61F19" w:rsidRPr="00C45D88" w:rsidTr="00582919">
        <w:tc>
          <w:tcPr>
            <w:tcW w:w="5000" w:type="pct"/>
            <w:gridSpan w:val="3"/>
          </w:tcPr>
          <w:p w:rsidR="00361F19" w:rsidRPr="00C45D88" w:rsidRDefault="00361F19" w:rsidP="00582919">
            <w:pPr>
              <w:jc w:val="both"/>
              <w:rPr>
                <w:rFonts w:eastAsia="Calibri"/>
                <w:sz w:val="20"/>
              </w:rPr>
            </w:pPr>
            <w:r w:rsidRPr="00C45D88">
              <w:rPr>
                <w:rFonts w:eastAsia="Calibri"/>
                <w:sz w:val="20"/>
              </w:rPr>
              <w:t xml:space="preserve">Civil procedure – Case management – Applicant bringing motion to have her Small Claims Court action transferred to Superior Court – Motion judge ordering, </w:t>
            </w:r>
            <w:r w:rsidRPr="00C45D88">
              <w:rPr>
                <w:rFonts w:eastAsia="Calibri"/>
                <w:i/>
                <w:sz w:val="20"/>
              </w:rPr>
              <w:t>inter alia</w:t>
            </w:r>
            <w:r w:rsidRPr="00C45D88">
              <w:rPr>
                <w:rFonts w:eastAsia="Calibri"/>
                <w:sz w:val="20"/>
              </w:rPr>
              <w:t>, that she file a fresh statement of claim in Superior Court incorporating all causes of action – Whether motion judge acted without jurisdiction, made an erroneous finding of fact, failed to observe principles of natural justice and procedural fairness and acted in any other way contrary to law.</w:t>
            </w:r>
          </w:p>
        </w:tc>
      </w:tr>
      <w:tr w:rsidR="00361F19" w:rsidRPr="00C45D88" w:rsidTr="00582919">
        <w:tc>
          <w:tcPr>
            <w:tcW w:w="5000" w:type="pct"/>
            <w:gridSpan w:val="3"/>
          </w:tcPr>
          <w:p w:rsidR="00361F19" w:rsidRPr="00C45D88" w:rsidRDefault="00361F19" w:rsidP="00582919">
            <w:pPr>
              <w:jc w:val="both"/>
              <w:rPr>
                <w:rFonts w:eastAsia="Calibri"/>
                <w:sz w:val="20"/>
              </w:rPr>
            </w:pPr>
          </w:p>
        </w:tc>
      </w:tr>
      <w:tr w:rsidR="00361F19" w:rsidRPr="00C45D88" w:rsidTr="00582919">
        <w:tc>
          <w:tcPr>
            <w:tcW w:w="5000" w:type="pct"/>
            <w:gridSpan w:val="3"/>
          </w:tcPr>
          <w:p w:rsidR="00361F19" w:rsidRPr="00C45D88" w:rsidRDefault="00361F19" w:rsidP="00582919">
            <w:pPr>
              <w:jc w:val="both"/>
              <w:rPr>
                <w:rFonts w:eastAsia="Calibri"/>
                <w:sz w:val="20"/>
              </w:rPr>
            </w:pPr>
            <w:r w:rsidRPr="00C45D88">
              <w:rPr>
                <w:rFonts w:eastAsia="Calibri"/>
                <w:sz w:val="20"/>
              </w:rPr>
              <w:t>Following a motor vehicle accident in 2011, Ms. Rana commenced an action for damages in Small Claims Court.  She was subsequently served with a statement of claim issued in the Superior Court on behalf of persons allegedly injured in the accident.  Ms. Rana brought a motion to have her case transferred to a higher court in 2013 that was adjourned to allow her to file documents in the Superior Court.  That action was subsequently administratively dismissed as abandoned by the Registrar.  Ms. Rana again brought a motion to have her action transferred to the Superior Court.</w:t>
            </w:r>
          </w:p>
          <w:p w:rsidR="00361F19" w:rsidRPr="00C45D88" w:rsidRDefault="00361F19" w:rsidP="00582919">
            <w:pPr>
              <w:jc w:val="both"/>
              <w:rPr>
                <w:rFonts w:eastAsia="Calibri"/>
                <w:sz w:val="20"/>
              </w:rPr>
            </w:pPr>
          </w:p>
        </w:tc>
      </w:tr>
      <w:tr w:rsidR="00361F19" w:rsidRPr="00C45D88" w:rsidTr="00582919">
        <w:tc>
          <w:tcPr>
            <w:tcW w:w="2427" w:type="pct"/>
          </w:tcPr>
          <w:p w:rsidR="00361F19" w:rsidRPr="00C45D88" w:rsidRDefault="00361F19" w:rsidP="00582919">
            <w:pPr>
              <w:jc w:val="both"/>
              <w:rPr>
                <w:rFonts w:eastAsia="Calibri"/>
                <w:sz w:val="20"/>
              </w:rPr>
            </w:pPr>
            <w:r w:rsidRPr="00C45D88">
              <w:rPr>
                <w:rFonts w:eastAsia="Calibri"/>
                <w:sz w:val="20"/>
              </w:rPr>
              <w:t>January 23, 2014</w:t>
            </w:r>
          </w:p>
          <w:p w:rsidR="00361F19" w:rsidRPr="00C45D88" w:rsidRDefault="00361F19" w:rsidP="00582919">
            <w:pPr>
              <w:jc w:val="both"/>
              <w:rPr>
                <w:rFonts w:eastAsia="Calibri"/>
                <w:sz w:val="20"/>
              </w:rPr>
            </w:pPr>
            <w:r w:rsidRPr="00C45D88">
              <w:rPr>
                <w:rFonts w:eastAsia="Calibri"/>
                <w:sz w:val="20"/>
              </w:rPr>
              <w:t>Ontario Superior Court of Justice</w:t>
            </w:r>
          </w:p>
          <w:p w:rsidR="00361F19" w:rsidRPr="00C45D88" w:rsidRDefault="00361F19" w:rsidP="00582919">
            <w:pPr>
              <w:jc w:val="both"/>
              <w:rPr>
                <w:rFonts w:eastAsia="Calibri"/>
                <w:sz w:val="20"/>
              </w:rPr>
            </w:pPr>
            <w:r w:rsidRPr="00C45D88">
              <w:rPr>
                <w:rFonts w:eastAsia="Calibri"/>
                <w:sz w:val="20"/>
              </w:rPr>
              <w:t>(Kiteley J.)</w:t>
            </w:r>
          </w:p>
          <w:p w:rsidR="00361F19" w:rsidRPr="00C45D88" w:rsidRDefault="00361F19" w:rsidP="00582919">
            <w:pPr>
              <w:jc w:val="both"/>
              <w:rPr>
                <w:rFonts w:eastAsia="Calibri"/>
                <w:sz w:val="20"/>
              </w:rPr>
            </w:pPr>
            <w:r w:rsidRPr="00C45D88">
              <w:rPr>
                <w:rFonts w:eastAsia="Calibri"/>
                <w:sz w:val="20"/>
              </w:rPr>
              <w:t>Unreported</w:t>
            </w:r>
          </w:p>
        </w:tc>
        <w:tc>
          <w:tcPr>
            <w:tcW w:w="243" w:type="pct"/>
          </w:tcPr>
          <w:p w:rsidR="00361F19" w:rsidRPr="00C45D88" w:rsidRDefault="00361F19" w:rsidP="00582919">
            <w:pPr>
              <w:jc w:val="both"/>
              <w:rPr>
                <w:rFonts w:eastAsia="Calibri"/>
                <w:sz w:val="20"/>
              </w:rPr>
            </w:pPr>
          </w:p>
        </w:tc>
        <w:tc>
          <w:tcPr>
            <w:tcW w:w="2330" w:type="pct"/>
          </w:tcPr>
          <w:p w:rsidR="00361F19" w:rsidRPr="00C45D88" w:rsidRDefault="00361F19" w:rsidP="00582919">
            <w:pPr>
              <w:jc w:val="both"/>
              <w:rPr>
                <w:rFonts w:eastAsia="Calibri"/>
                <w:sz w:val="20"/>
              </w:rPr>
            </w:pPr>
            <w:r w:rsidRPr="00C45D88">
              <w:rPr>
                <w:rFonts w:eastAsia="Calibri"/>
                <w:sz w:val="20"/>
              </w:rPr>
              <w:t>Applicant’s motion dismissed.  Applicant permitted to file fresh statement of claim in Superior Court incorporating claims asserted in Small Claims Court together with claims arising from motor vehicle accident, with certain conditions.  No costs ordered.</w:t>
            </w:r>
          </w:p>
          <w:p w:rsidR="00361F19" w:rsidRPr="00C45D88" w:rsidRDefault="00361F19" w:rsidP="00582919">
            <w:pPr>
              <w:jc w:val="both"/>
              <w:rPr>
                <w:rFonts w:eastAsia="Calibri"/>
                <w:sz w:val="20"/>
              </w:rPr>
            </w:pPr>
          </w:p>
        </w:tc>
      </w:tr>
      <w:tr w:rsidR="00361F19" w:rsidRPr="00C45D88" w:rsidTr="00582919">
        <w:tc>
          <w:tcPr>
            <w:tcW w:w="2427" w:type="pct"/>
          </w:tcPr>
          <w:p w:rsidR="00361F19" w:rsidRPr="00C45D88" w:rsidRDefault="00361F19" w:rsidP="00582919">
            <w:pPr>
              <w:jc w:val="both"/>
              <w:rPr>
                <w:rFonts w:eastAsia="Calibri"/>
                <w:sz w:val="20"/>
              </w:rPr>
            </w:pPr>
            <w:r w:rsidRPr="00C45D88">
              <w:rPr>
                <w:rFonts w:eastAsia="Calibri"/>
                <w:sz w:val="20"/>
              </w:rPr>
              <w:t>October 20, 2014</w:t>
            </w:r>
          </w:p>
          <w:p w:rsidR="00361F19" w:rsidRPr="00C45D88" w:rsidRDefault="00361F19" w:rsidP="00582919">
            <w:pPr>
              <w:jc w:val="both"/>
              <w:rPr>
                <w:rFonts w:eastAsia="Calibri"/>
                <w:sz w:val="20"/>
              </w:rPr>
            </w:pPr>
            <w:r w:rsidRPr="00C45D88">
              <w:rPr>
                <w:rFonts w:eastAsia="Calibri"/>
                <w:sz w:val="20"/>
              </w:rPr>
              <w:t>Court of Appeal for Ontario</w:t>
            </w:r>
          </w:p>
          <w:p w:rsidR="00361F19" w:rsidRPr="00C45D88" w:rsidRDefault="00361F19" w:rsidP="00582919">
            <w:pPr>
              <w:jc w:val="both"/>
              <w:rPr>
                <w:rFonts w:eastAsia="Calibri"/>
                <w:sz w:val="20"/>
              </w:rPr>
            </w:pPr>
            <w:r w:rsidRPr="00C45D88">
              <w:rPr>
                <w:rFonts w:eastAsia="Calibri"/>
                <w:sz w:val="20"/>
              </w:rPr>
              <w:t>(Epstein, van Rensburg and Benotto JJ.A.)</w:t>
            </w:r>
          </w:p>
          <w:p w:rsidR="00361F19" w:rsidRPr="00C45D88" w:rsidRDefault="00361F19" w:rsidP="00582919">
            <w:pPr>
              <w:jc w:val="both"/>
              <w:rPr>
                <w:rFonts w:eastAsia="Calibri"/>
                <w:sz w:val="20"/>
              </w:rPr>
            </w:pPr>
            <w:r w:rsidRPr="00C45D88">
              <w:rPr>
                <w:rFonts w:eastAsia="Calibri"/>
                <w:sz w:val="20"/>
              </w:rPr>
              <w:t>2014 ONCA 711</w:t>
            </w:r>
          </w:p>
          <w:p w:rsidR="00361F19" w:rsidRPr="00C45D88" w:rsidRDefault="00361F19" w:rsidP="00582919">
            <w:pPr>
              <w:jc w:val="both"/>
              <w:rPr>
                <w:rFonts w:eastAsia="Calibri"/>
                <w:sz w:val="20"/>
              </w:rPr>
            </w:pPr>
          </w:p>
        </w:tc>
        <w:tc>
          <w:tcPr>
            <w:tcW w:w="243" w:type="pct"/>
          </w:tcPr>
          <w:p w:rsidR="00361F19" w:rsidRPr="00C45D88" w:rsidRDefault="00361F19" w:rsidP="00582919">
            <w:pPr>
              <w:jc w:val="both"/>
              <w:rPr>
                <w:rFonts w:eastAsia="Calibri"/>
                <w:sz w:val="20"/>
              </w:rPr>
            </w:pPr>
          </w:p>
        </w:tc>
        <w:tc>
          <w:tcPr>
            <w:tcW w:w="2330" w:type="pct"/>
          </w:tcPr>
          <w:p w:rsidR="00361F19" w:rsidRPr="00C45D88" w:rsidRDefault="00361F19" w:rsidP="00582919">
            <w:pPr>
              <w:jc w:val="both"/>
              <w:rPr>
                <w:rFonts w:eastAsia="Calibri"/>
                <w:sz w:val="20"/>
              </w:rPr>
            </w:pPr>
            <w:r w:rsidRPr="00C45D88">
              <w:rPr>
                <w:rFonts w:eastAsia="Calibri"/>
                <w:sz w:val="20"/>
              </w:rPr>
              <w:t>Applicant’s appeal dismissed.</w:t>
            </w:r>
          </w:p>
        </w:tc>
      </w:tr>
      <w:tr w:rsidR="00361F19" w:rsidRPr="00C45D88" w:rsidTr="00582919">
        <w:tc>
          <w:tcPr>
            <w:tcW w:w="2427" w:type="pct"/>
          </w:tcPr>
          <w:p w:rsidR="00361F19" w:rsidRPr="00C45D88" w:rsidRDefault="00361F19" w:rsidP="00582919">
            <w:pPr>
              <w:jc w:val="both"/>
              <w:rPr>
                <w:rFonts w:eastAsia="Calibri"/>
                <w:sz w:val="20"/>
              </w:rPr>
            </w:pPr>
            <w:r w:rsidRPr="00C45D88">
              <w:rPr>
                <w:rFonts w:eastAsia="Calibri"/>
                <w:sz w:val="20"/>
              </w:rPr>
              <w:t>November 19, 2014</w:t>
            </w:r>
          </w:p>
          <w:p w:rsidR="00361F19" w:rsidRPr="00C45D88" w:rsidRDefault="00361F19" w:rsidP="00582919">
            <w:pPr>
              <w:jc w:val="both"/>
              <w:rPr>
                <w:rFonts w:eastAsia="Calibri"/>
                <w:sz w:val="20"/>
              </w:rPr>
            </w:pPr>
            <w:r w:rsidRPr="00C45D88">
              <w:rPr>
                <w:rFonts w:eastAsia="Calibri"/>
                <w:sz w:val="20"/>
              </w:rPr>
              <w:t>Supreme Court of Canada</w:t>
            </w:r>
          </w:p>
        </w:tc>
        <w:tc>
          <w:tcPr>
            <w:tcW w:w="243" w:type="pct"/>
          </w:tcPr>
          <w:p w:rsidR="00361F19" w:rsidRPr="00C45D88" w:rsidRDefault="00361F19" w:rsidP="00582919">
            <w:pPr>
              <w:jc w:val="both"/>
              <w:rPr>
                <w:rFonts w:eastAsia="Calibri"/>
                <w:sz w:val="20"/>
              </w:rPr>
            </w:pPr>
          </w:p>
        </w:tc>
        <w:tc>
          <w:tcPr>
            <w:tcW w:w="2330" w:type="pct"/>
          </w:tcPr>
          <w:p w:rsidR="00361F19" w:rsidRPr="00C45D88" w:rsidRDefault="00361F19" w:rsidP="00582919">
            <w:pPr>
              <w:jc w:val="both"/>
              <w:rPr>
                <w:rFonts w:eastAsia="Calibri"/>
                <w:sz w:val="20"/>
              </w:rPr>
            </w:pPr>
            <w:r w:rsidRPr="00C45D88">
              <w:rPr>
                <w:rFonts w:eastAsia="Calibri"/>
                <w:sz w:val="20"/>
              </w:rPr>
              <w:t>Application for leave to appeal filed.</w:t>
            </w:r>
          </w:p>
        </w:tc>
      </w:tr>
    </w:tbl>
    <w:p w:rsidR="000D6E5D" w:rsidRDefault="000D6E5D" w:rsidP="000D6E5D">
      <w:pPr>
        <w:rPr>
          <w:sz w:val="20"/>
          <w:szCs w:val="20"/>
        </w:rPr>
      </w:pPr>
    </w:p>
    <w:p w:rsidR="000D6E5D" w:rsidRPr="00C50A5C" w:rsidRDefault="003A60BB" w:rsidP="000D6E5D">
      <w:pPr>
        <w:rPr>
          <w:sz w:val="20"/>
          <w:szCs w:val="20"/>
        </w:rPr>
      </w:pPr>
      <w:r>
        <w:rPr>
          <w:sz w:val="20"/>
          <w:szCs w:val="20"/>
          <w:lang w:val="fr-CA"/>
        </w:rPr>
        <w:pict>
          <v:rect id="_x0000_i1066" style="width:2in;height:1pt" o:hrpct="0" o:hralign="center" o:hrstd="t" o:hrnoshade="t" o:hr="t" fillcolor="black [3213]" stroked="f"/>
        </w:pict>
      </w:r>
    </w:p>
    <w:p w:rsidR="000D6E5D" w:rsidRDefault="000D6E5D" w:rsidP="000D6E5D">
      <w:pPr>
        <w:rPr>
          <w:sz w:val="20"/>
          <w:szCs w:val="20"/>
        </w:rPr>
      </w:pPr>
    </w:p>
    <w:p w:rsidR="000D6E5D" w:rsidRPr="001B157C" w:rsidRDefault="000D6E5D" w:rsidP="000D6E5D">
      <w:pPr>
        <w:rPr>
          <w:sz w:val="20"/>
          <w:szCs w:val="20"/>
          <w:u w:val="single"/>
          <w:lang w:val="fr-CA"/>
        </w:rPr>
      </w:pPr>
      <w:r w:rsidRPr="001B157C">
        <w:rPr>
          <w:sz w:val="20"/>
          <w:szCs w:val="20"/>
          <w:u w:val="single"/>
          <w:lang w:val="fr-CA"/>
        </w:rPr>
        <w:t>RÉSUMÉ DE L’AFFAIRE</w:t>
      </w:r>
    </w:p>
    <w:p w:rsidR="000D6E5D" w:rsidRDefault="000D6E5D" w:rsidP="000D6E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61F19" w:rsidRPr="00560020" w:rsidTr="00582919">
        <w:tc>
          <w:tcPr>
            <w:tcW w:w="5000" w:type="pct"/>
            <w:gridSpan w:val="3"/>
          </w:tcPr>
          <w:p w:rsidR="00361F19" w:rsidRPr="00C45D88" w:rsidRDefault="00361F19" w:rsidP="00582919">
            <w:pPr>
              <w:jc w:val="both"/>
              <w:rPr>
                <w:rFonts w:eastAsia="Calibri"/>
                <w:sz w:val="20"/>
                <w:lang w:val="fr-CA"/>
              </w:rPr>
            </w:pPr>
            <w:r w:rsidRPr="00C45D88">
              <w:rPr>
                <w:rFonts w:eastAsia="Calibri"/>
                <w:sz w:val="20"/>
                <w:lang w:val="fr-CA"/>
              </w:rPr>
              <w:t>Procédure civile – Gestion de l’instance – La demanderesse a présenté une motion pour que son action à la Cour des petites créances soit transférée en Cour supérieure – La juge saisie de la motion lui a notamment ordonné de déposer en Cour supérieure une nouvelle déclaration incorporant toutes les causes d’action – La juge saisie de la motion a-t-elle agi sans compétence, commis une erreur de fait, omis d’observer les principes de justice naturelle et d’équité procédurale et agi contrairement au droit de toute autre façon?</w:t>
            </w:r>
          </w:p>
        </w:tc>
      </w:tr>
      <w:tr w:rsidR="00361F19" w:rsidRPr="00560020" w:rsidTr="00582919">
        <w:tc>
          <w:tcPr>
            <w:tcW w:w="5000" w:type="pct"/>
            <w:gridSpan w:val="3"/>
          </w:tcPr>
          <w:p w:rsidR="00361F19" w:rsidRPr="00C45D88" w:rsidRDefault="00361F19" w:rsidP="00582919">
            <w:pPr>
              <w:jc w:val="both"/>
              <w:rPr>
                <w:rFonts w:eastAsia="Calibri"/>
                <w:sz w:val="20"/>
                <w:lang w:val="fr-CA"/>
              </w:rPr>
            </w:pPr>
          </w:p>
        </w:tc>
      </w:tr>
      <w:tr w:rsidR="00361F19" w:rsidRPr="00560020" w:rsidTr="00582919">
        <w:tc>
          <w:tcPr>
            <w:tcW w:w="5000" w:type="pct"/>
            <w:gridSpan w:val="3"/>
          </w:tcPr>
          <w:p w:rsidR="00361F19" w:rsidRPr="00C45D88" w:rsidRDefault="00361F19" w:rsidP="00582919">
            <w:pPr>
              <w:jc w:val="both"/>
              <w:rPr>
                <w:rFonts w:eastAsia="Calibri"/>
                <w:sz w:val="20"/>
                <w:lang w:val="fr-CA"/>
              </w:rPr>
            </w:pPr>
            <w:r w:rsidRPr="00C45D88">
              <w:rPr>
                <w:rFonts w:eastAsia="Calibri"/>
                <w:sz w:val="20"/>
                <w:lang w:val="fr-CA"/>
              </w:rPr>
              <w:t>À la suite d’un accident de la route survenu en 2011, Mme Rana a intenté une action à la Cour des petites créances.  Elle s’est subséquemment vu signifier une déclaration délivrée en Cour supérieure au nom de personnes qui auraient censément été blessées dans l’accident.  Madame Rana a présenté une motion pour que son dossier soit transféré à un tribunal supérieur en 2013, laquelle a été ajournée pour lui permettre de déposer des documents en Cour supérieure.  Dans une mesure administrative, le greffier a subséquemment rejeté cette action pour cause d’abandon.  Madame Rana a présenté de nouveau une motion pour que son action soit transférée en Cour supérieure.</w:t>
            </w:r>
          </w:p>
          <w:p w:rsidR="00361F19" w:rsidRPr="00C45D88" w:rsidRDefault="00361F19" w:rsidP="00582919">
            <w:pPr>
              <w:jc w:val="both"/>
              <w:rPr>
                <w:rFonts w:eastAsia="Calibri"/>
                <w:sz w:val="20"/>
                <w:lang w:val="fr-CA"/>
              </w:rPr>
            </w:pPr>
          </w:p>
        </w:tc>
      </w:tr>
      <w:tr w:rsidR="00361F19" w:rsidRPr="00C45D88" w:rsidTr="00582919">
        <w:tc>
          <w:tcPr>
            <w:tcW w:w="2427" w:type="pct"/>
          </w:tcPr>
          <w:p w:rsidR="00361F19" w:rsidRPr="00C45D88" w:rsidRDefault="00361F19" w:rsidP="00582919">
            <w:pPr>
              <w:jc w:val="both"/>
              <w:rPr>
                <w:rFonts w:eastAsia="Calibri"/>
                <w:sz w:val="20"/>
                <w:lang w:val="fr-CA"/>
              </w:rPr>
            </w:pPr>
            <w:r w:rsidRPr="00C45D88">
              <w:rPr>
                <w:rFonts w:eastAsia="Calibri"/>
                <w:sz w:val="20"/>
                <w:lang w:val="fr-CA"/>
              </w:rPr>
              <w:t>23 janvier 2014</w:t>
            </w:r>
          </w:p>
          <w:p w:rsidR="00361F19" w:rsidRPr="00C45D88" w:rsidRDefault="00361F19" w:rsidP="00582919">
            <w:pPr>
              <w:jc w:val="both"/>
              <w:rPr>
                <w:rFonts w:eastAsia="Calibri"/>
                <w:sz w:val="20"/>
                <w:lang w:val="fr-CA"/>
              </w:rPr>
            </w:pPr>
            <w:r w:rsidRPr="00C45D88">
              <w:rPr>
                <w:rFonts w:eastAsia="Calibri"/>
                <w:sz w:val="20"/>
                <w:lang w:val="fr-CA"/>
              </w:rPr>
              <w:t>Cour supérieure de justice de l’Ontario</w:t>
            </w:r>
          </w:p>
          <w:p w:rsidR="00361F19" w:rsidRPr="00C45D88" w:rsidRDefault="00361F19" w:rsidP="00582919">
            <w:pPr>
              <w:jc w:val="both"/>
              <w:rPr>
                <w:rFonts w:eastAsia="Calibri"/>
                <w:sz w:val="20"/>
                <w:lang w:val="fr-CA"/>
              </w:rPr>
            </w:pPr>
            <w:r w:rsidRPr="00C45D88">
              <w:rPr>
                <w:rFonts w:eastAsia="Calibri"/>
                <w:sz w:val="20"/>
                <w:lang w:val="fr-CA"/>
              </w:rPr>
              <w:t>(Juge Kiteley)</w:t>
            </w:r>
          </w:p>
          <w:p w:rsidR="00361F19" w:rsidRPr="00C45D88" w:rsidRDefault="00361F19" w:rsidP="00582919">
            <w:pPr>
              <w:jc w:val="both"/>
              <w:rPr>
                <w:rFonts w:eastAsia="Calibri"/>
                <w:sz w:val="20"/>
                <w:lang w:val="fr-CA"/>
              </w:rPr>
            </w:pPr>
            <w:r w:rsidRPr="00C45D88">
              <w:rPr>
                <w:rFonts w:eastAsia="Calibri"/>
                <w:sz w:val="20"/>
                <w:lang w:val="fr-CA"/>
              </w:rPr>
              <w:t>Non publié</w:t>
            </w:r>
          </w:p>
        </w:tc>
        <w:tc>
          <w:tcPr>
            <w:tcW w:w="243" w:type="pct"/>
          </w:tcPr>
          <w:p w:rsidR="00361F19" w:rsidRPr="00C45D88" w:rsidRDefault="00361F19" w:rsidP="00582919">
            <w:pPr>
              <w:jc w:val="both"/>
              <w:rPr>
                <w:rFonts w:eastAsia="Calibri"/>
                <w:sz w:val="20"/>
                <w:lang w:val="fr-CA"/>
              </w:rPr>
            </w:pPr>
          </w:p>
        </w:tc>
        <w:tc>
          <w:tcPr>
            <w:tcW w:w="2330" w:type="pct"/>
          </w:tcPr>
          <w:p w:rsidR="00361F19" w:rsidRPr="00C45D88" w:rsidRDefault="00361F19" w:rsidP="00582919">
            <w:pPr>
              <w:jc w:val="both"/>
              <w:rPr>
                <w:rFonts w:eastAsia="Calibri"/>
                <w:sz w:val="20"/>
                <w:lang w:val="fr-CA"/>
              </w:rPr>
            </w:pPr>
            <w:r w:rsidRPr="00C45D88">
              <w:rPr>
                <w:rFonts w:eastAsia="Calibri"/>
                <w:sz w:val="20"/>
                <w:lang w:val="fr-CA"/>
              </w:rPr>
              <w:t>Rejet de la motion de la demanderesse.  Décision autorisant la demanderesse à déposer en Cour supérieure une nouvelle déclaration incorporant les réclamations faites en Cour des petites créances et les réclamations découlant de l’accident de la route, à certaines conditions.  Aucune ordonnance quant aux dépens.</w:t>
            </w:r>
          </w:p>
          <w:p w:rsidR="00361F19" w:rsidRPr="00C45D88" w:rsidRDefault="00361F19" w:rsidP="00582919">
            <w:pPr>
              <w:jc w:val="both"/>
              <w:rPr>
                <w:rFonts w:eastAsia="Calibri"/>
                <w:sz w:val="20"/>
                <w:lang w:val="fr-CA"/>
              </w:rPr>
            </w:pPr>
          </w:p>
        </w:tc>
      </w:tr>
      <w:tr w:rsidR="00361F19" w:rsidRPr="00560020" w:rsidTr="00582919">
        <w:tc>
          <w:tcPr>
            <w:tcW w:w="2427" w:type="pct"/>
          </w:tcPr>
          <w:p w:rsidR="00361F19" w:rsidRPr="00C45D88" w:rsidRDefault="00361F19" w:rsidP="00582919">
            <w:pPr>
              <w:jc w:val="both"/>
              <w:rPr>
                <w:rFonts w:eastAsia="Calibri"/>
                <w:sz w:val="20"/>
                <w:lang w:val="fr-CA"/>
              </w:rPr>
            </w:pPr>
            <w:r w:rsidRPr="00C45D88">
              <w:rPr>
                <w:rFonts w:eastAsia="Calibri"/>
                <w:sz w:val="20"/>
                <w:lang w:val="fr-CA"/>
              </w:rPr>
              <w:t>20 octobre 2014</w:t>
            </w:r>
          </w:p>
          <w:p w:rsidR="00361F19" w:rsidRPr="00C45D88" w:rsidRDefault="00361F19" w:rsidP="00582919">
            <w:pPr>
              <w:jc w:val="both"/>
              <w:rPr>
                <w:rFonts w:eastAsia="Calibri"/>
                <w:sz w:val="20"/>
                <w:lang w:val="fr-CA"/>
              </w:rPr>
            </w:pPr>
            <w:r w:rsidRPr="00C45D88">
              <w:rPr>
                <w:rFonts w:eastAsia="Calibri"/>
                <w:sz w:val="20"/>
                <w:lang w:val="fr-CA"/>
              </w:rPr>
              <w:t>Cour d’appel de l’Ontario</w:t>
            </w:r>
          </w:p>
          <w:p w:rsidR="00361F19" w:rsidRPr="00C45D88" w:rsidRDefault="00361F19" w:rsidP="00582919">
            <w:pPr>
              <w:jc w:val="both"/>
              <w:rPr>
                <w:rFonts w:eastAsia="Calibri"/>
                <w:sz w:val="20"/>
                <w:lang w:val="fr-CA"/>
              </w:rPr>
            </w:pPr>
            <w:r w:rsidRPr="00C45D88">
              <w:rPr>
                <w:rFonts w:eastAsia="Calibri"/>
                <w:sz w:val="20"/>
                <w:lang w:val="fr-CA"/>
              </w:rPr>
              <w:t>(Juges Epstein, van Rensburg et Benotto)</w:t>
            </w:r>
          </w:p>
          <w:p w:rsidR="00361F19" w:rsidRPr="00C45D88" w:rsidRDefault="00361F19" w:rsidP="00582919">
            <w:pPr>
              <w:jc w:val="both"/>
              <w:rPr>
                <w:rFonts w:eastAsia="Calibri"/>
                <w:sz w:val="20"/>
                <w:lang w:val="fr-CA"/>
              </w:rPr>
            </w:pPr>
            <w:r w:rsidRPr="00C45D88">
              <w:rPr>
                <w:rFonts w:eastAsia="Calibri"/>
                <w:sz w:val="20"/>
                <w:lang w:val="fr-CA"/>
              </w:rPr>
              <w:t>2014 ONCA 711</w:t>
            </w:r>
          </w:p>
          <w:p w:rsidR="00361F19" w:rsidRPr="00C45D88" w:rsidRDefault="00361F19" w:rsidP="00582919">
            <w:pPr>
              <w:jc w:val="both"/>
              <w:rPr>
                <w:rFonts w:eastAsia="Calibri"/>
                <w:sz w:val="20"/>
                <w:lang w:val="fr-CA"/>
              </w:rPr>
            </w:pPr>
          </w:p>
        </w:tc>
        <w:tc>
          <w:tcPr>
            <w:tcW w:w="243" w:type="pct"/>
          </w:tcPr>
          <w:p w:rsidR="00361F19" w:rsidRPr="00C45D88" w:rsidRDefault="00361F19" w:rsidP="00582919">
            <w:pPr>
              <w:jc w:val="both"/>
              <w:rPr>
                <w:rFonts w:eastAsia="Calibri"/>
                <w:sz w:val="20"/>
                <w:lang w:val="fr-CA"/>
              </w:rPr>
            </w:pPr>
          </w:p>
        </w:tc>
        <w:tc>
          <w:tcPr>
            <w:tcW w:w="2330" w:type="pct"/>
          </w:tcPr>
          <w:p w:rsidR="00361F19" w:rsidRPr="00C45D88" w:rsidRDefault="00361F19" w:rsidP="00582919">
            <w:pPr>
              <w:jc w:val="both"/>
              <w:rPr>
                <w:rFonts w:eastAsia="Calibri"/>
                <w:sz w:val="20"/>
                <w:lang w:val="fr-CA"/>
              </w:rPr>
            </w:pPr>
            <w:r w:rsidRPr="00C45D88">
              <w:rPr>
                <w:rFonts w:eastAsia="Calibri"/>
                <w:sz w:val="20"/>
                <w:lang w:val="fr-CA"/>
              </w:rPr>
              <w:t>Rejet de l’appel de la demanderesse.</w:t>
            </w:r>
          </w:p>
        </w:tc>
      </w:tr>
      <w:tr w:rsidR="00361F19" w:rsidRPr="00560020" w:rsidTr="00582919">
        <w:tc>
          <w:tcPr>
            <w:tcW w:w="2427" w:type="pct"/>
          </w:tcPr>
          <w:p w:rsidR="00361F19" w:rsidRPr="00C45D88" w:rsidRDefault="00361F19" w:rsidP="00582919">
            <w:pPr>
              <w:jc w:val="both"/>
              <w:rPr>
                <w:rFonts w:eastAsia="Calibri"/>
                <w:sz w:val="20"/>
                <w:lang w:val="fr-CA"/>
              </w:rPr>
            </w:pPr>
            <w:r w:rsidRPr="00C45D88">
              <w:rPr>
                <w:rFonts w:eastAsia="Calibri"/>
                <w:sz w:val="20"/>
                <w:lang w:val="fr-CA"/>
              </w:rPr>
              <w:t>19 novembre 2014</w:t>
            </w:r>
          </w:p>
          <w:p w:rsidR="00361F19" w:rsidRPr="00C45D88" w:rsidRDefault="00361F19" w:rsidP="00582919">
            <w:pPr>
              <w:jc w:val="both"/>
              <w:rPr>
                <w:rFonts w:eastAsia="Calibri"/>
                <w:sz w:val="20"/>
                <w:lang w:val="fr-CA"/>
              </w:rPr>
            </w:pPr>
            <w:r w:rsidRPr="00C45D88">
              <w:rPr>
                <w:rFonts w:eastAsia="Calibri"/>
                <w:sz w:val="20"/>
                <w:lang w:val="fr-CA"/>
              </w:rPr>
              <w:t>Cour suprême du Canada</w:t>
            </w:r>
          </w:p>
        </w:tc>
        <w:tc>
          <w:tcPr>
            <w:tcW w:w="243" w:type="pct"/>
          </w:tcPr>
          <w:p w:rsidR="00361F19" w:rsidRPr="00C45D88" w:rsidRDefault="00361F19" w:rsidP="00582919">
            <w:pPr>
              <w:jc w:val="both"/>
              <w:rPr>
                <w:rFonts w:eastAsia="Calibri"/>
                <w:sz w:val="20"/>
                <w:lang w:val="fr-CA"/>
              </w:rPr>
            </w:pPr>
          </w:p>
        </w:tc>
        <w:tc>
          <w:tcPr>
            <w:tcW w:w="2330" w:type="pct"/>
          </w:tcPr>
          <w:p w:rsidR="00361F19" w:rsidRPr="00C45D88" w:rsidRDefault="00361F19" w:rsidP="00582919">
            <w:pPr>
              <w:jc w:val="both"/>
              <w:rPr>
                <w:rFonts w:eastAsia="Calibri"/>
                <w:sz w:val="20"/>
                <w:lang w:val="fr-CA"/>
              </w:rPr>
            </w:pPr>
            <w:r w:rsidRPr="00C45D88">
              <w:rPr>
                <w:rFonts w:eastAsia="Calibri"/>
                <w:sz w:val="20"/>
                <w:lang w:val="fr-CA"/>
              </w:rPr>
              <w:t>Dépôt de la demande d’autorisation d’appel.</w:t>
            </w:r>
          </w:p>
        </w:tc>
      </w:tr>
    </w:tbl>
    <w:p w:rsidR="000D6E5D" w:rsidRPr="00361F19" w:rsidRDefault="000D6E5D" w:rsidP="000D6E5D">
      <w:pPr>
        <w:rPr>
          <w:sz w:val="20"/>
          <w:szCs w:val="20"/>
          <w:lang w:val="fr-CA"/>
        </w:rPr>
      </w:pPr>
    </w:p>
    <w:p w:rsidR="000D6E5D" w:rsidRDefault="003A60BB" w:rsidP="000D6E5D">
      <w:pPr>
        <w:rPr>
          <w:sz w:val="20"/>
          <w:szCs w:val="20"/>
        </w:rPr>
      </w:pPr>
      <w:r>
        <w:rPr>
          <w:sz w:val="20"/>
          <w:szCs w:val="20"/>
          <w:lang w:val="fr-CA"/>
        </w:rPr>
        <w:pict>
          <v:rect id="_x0000_i1067" style="width:2in;height:1pt" o:hrpct="0" o:hralign="center" o:hrstd="t" o:hrnoshade="t" o:hr="t" fillcolor="black [3213]" stroked="f"/>
        </w:pict>
      </w:r>
    </w:p>
    <w:p w:rsidR="000D6E5D" w:rsidRDefault="000D6E5D" w:rsidP="000D6E5D">
      <w:pPr>
        <w:rPr>
          <w:sz w:val="20"/>
          <w:szCs w:val="20"/>
        </w:rPr>
      </w:pPr>
    </w:p>
    <w:p w:rsidR="000E2959" w:rsidRPr="001349D4" w:rsidRDefault="000E2959"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94245C" w:rsidRPr="0094245C" w:rsidRDefault="0094245C" w:rsidP="0094245C">
      <w:pPr>
        <w:tabs>
          <w:tab w:val="left" w:pos="-1440"/>
          <w:tab w:val="left" w:pos="-720"/>
        </w:tabs>
        <w:jc w:val="both"/>
        <w:rPr>
          <w:rFonts w:eastAsia="Times New Roman" w:cs="Times New Roman"/>
          <w:sz w:val="20"/>
          <w:szCs w:val="20"/>
          <w:lang w:eastAsia="en-CA"/>
        </w:rPr>
      </w:pPr>
      <w:r w:rsidRPr="0094245C">
        <w:rPr>
          <w:rFonts w:eastAsia="Times New Roman" w:cs="Times New Roman"/>
          <w:sz w:val="20"/>
          <w:szCs w:val="20"/>
          <w:lang w:eastAsia="en-CA"/>
        </w:rPr>
        <w:t>19.02.2015</w:t>
      </w:r>
    </w:p>
    <w:p w:rsidR="0094245C" w:rsidRPr="0094245C" w:rsidRDefault="0094245C" w:rsidP="0094245C">
      <w:pPr>
        <w:tabs>
          <w:tab w:val="left" w:pos="-1440"/>
          <w:tab w:val="left" w:pos="-720"/>
        </w:tabs>
        <w:jc w:val="both"/>
        <w:rPr>
          <w:rFonts w:eastAsia="Times New Roman" w:cs="Times New Roman"/>
          <w:sz w:val="20"/>
          <w:szCs w:val="20"/>
          <w:lang w:eastAsia="en-CA"/>
        </w:rPr>
      </w:pPr>
    </w:p>
    <w:p w:rsidR="0094245C" w:rsidRPr="0094245C" w:rsidRDefault="0094245C" w:rsidP="0094245C">
      <w:pPr>
        <w:tabs>
          <w:tab w:val="left" w:pos="-1440"/>
          <w:tab w:val="left" w:pos="-720"/>
        </w:tabs>
        <w:jc w:val="both"/>
        <w:rPr>
          <w:rFonts w:eastAsia="Times New Roman" w:cs="Times New Roman"/>
          <w:sz w:val="20"/>
          <w:szCs w:val="20"/>
          <w:lang w:val="fr-CA" w:eastAsia="en-CA"/>
        </w:rPr>
      </w:pPr>
      <w:r w:rsidRPr="0094245C">
        <w:rPr>
          <w:rFonts w:eastAsia="Times New Roman" w:cs="Times New Roman"/>
          <w:sz w:val="20"/>
          <w:szCs w:val="20"/>
          <w:lang w:val="fr-CA" w:eastAsia="en-CA"/>
        </w:rPr>
        <w:t>Before / Devant:   WAGNER J. / LE JUGE WAGNER</w:t>
      </w:r>
    </w:p>
    <w:p w:rsidR="0094245C" w:rsidRPr="0094245C" w:rsidRDefault="0094245C" w:rsidP="0094245C">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94245C" w:rsidRPr="0094245C" w:rsidTr="003431AF">
        <w:tc>
          <w:tcPr>
            <w:tcW w:w="4338" w:type="dxa"/>
            <w:gridSpan w:val="2"/>
          </w:tcPr>
          <w:p w:rsidR="0094245C" w:rsidRPr="0094245C" w:rsidRDefault="003A0C94" w:rsidP="0094245C">
            <w:pPr>
              <w:tabs>
                <w:tab w:val="left" w:pos="-1440"/>
                <w:tab w:val="left" w:pos="-720"/>
              </w:tabs>
              <w:jc w:val="both"/>
              <w:rPr>
                <w:lang w:val="fr-CA"/>
              </w:rPr>
            </w:pPr>
            <w:r w:rsidRPr="0094245C">
              <w:rPr>
                <w:lang w:val="en-US"/>
              </w:rPr>
              <w:fldChar w:fldCharType="begin"/>
            </w:r>
            <w:r w:rsidR="0094245C" w:rsidRPr="0094245C">
              <w:rPr>
                <w:lang w:val="fr-CA"/>
              </w:rPr>
              <w:instrText xml:space="preserve"> SEQ CHAPTER \h \r 1</w:instrText>
            </w:r>
            <w:r w:rsidRPr="0094245C">
              <w:rPr>
                <w:lang w:val="en-US"/>
              </w:rPr>
              <w:fldChar w:fldCharType="end"/>
            </w:r>
            <w:r w:rsidR="0094245C" w:rsidRPr="0094245C">
              <w:rPr>
                <w:b/>
                <w:bCs/>
                <w:lang w:val="fr-CA"/>
              </w:rPr>
              <w:t>Miscellaneous motions</w:t>
            </w:r>
          </w:p>
          <w:p w:rsidR="0094245C" w:rsidRPr="0094245C" w:rsidRDefault="0094245C" w:rsidP="0094245C">
            <w:pPr>
              <w:rPr>
                <w:b/>
              </w:rPr>
            </w:pPr>
          </w:p>
        </w:tc>
        <w:tc>
          <w:tcPr>
            <w:tcW w:w="1170" w:type="dxa"/>
          </w:tcPr>
          <w:p w:rsidR="0094245C" w:rsidRPr="0094245C" w:rsidRDefault="0094245C" w:rsidP="0094245C"/>
          <w:p w:rsidR="0094245C" w:rsidRPr="0094245C" w:rsidRDefault="0094245C" w:rsidP="0094245C"/>
        </w:tc>
        <w:tc>
          <w:tcPr>
            <w:tcW w:w="4327" w:type="dxa"/>
          </w:tcPr>
          <w:p w:rsidR="0094245C" w:rsidRPr="0094245C" w:rsidRDefault="0094245C" w:rsidP="0094245C">
            <w:pPr>
              <w:rPr>
                <w:b/>
              </w:rPr>
            </w:pPr>
            <w:r w:rsidRPr="0094245C">
              <w:rPr>
                <w:b/>
                <w:bCs/>
                <w:lang w:val="fr-CA"/>
              </w:rPr>
              <w:t>Requêtes diverse</w:t>
            </w:r>
            <w:r w:rsidR="000613BA">
              <w:rPr>
                <w:b/>
                <w:bCs/>
                <w:lang w:val="fr-CA"/>
              </w:rPr>
              <w:t>s</w:t>
            </w:r>
            <w:r w:rsidRPr="0094245C">
              <w:rPr>
                <w:lang w:val="en-US"/>
              </w:rPr>
              <w:t xml:space="preserve"> </w:t>
            </w:r>
            <w:r w:rsidR="003A0C94" w:rsidRPr="0094245C">
              <w:rPr>
                <w:lang w:val="en-US"/>
              </w:rPr>
              <w:fldChar w:fldCharType="begin"/>
            </w:r>
            <w:r w:rsidRPr="0094245C">
              <w:instrText xml:space="preserve"> SEQ CHAPTER \h \r 1</w:instrText>
            </w:r>
            <w:r w:rsidR="003A0C94" w:rsidRPr="0094245C">
              <w:rPr>
                <w:lang w:val="en-US"/>
              </w:rPr>
              <w:fldChar w:fldCharType="end"/>
            </w:r>
          </w:p>
        </w:tc>
      </w:tr>
      <w:tr w:rsidR="0094245C" w:rsidRPr="0094245C" w:rsidTr="003431AF">
        <w:trPr>
          <w:trHeight w:hRule="exact" w:val="360"/>
        </w:trPr>
        <w:tc>
          <w:tcPr>
            <w:tcW w:w="1368" w:type="dxa"/>
          </w:tcPr>
          <w:p w:rsidR="0094245C" w:rsidRPr="0094245C" w:rsidRDefault="0094245C" w:rsidP="0094245C">
            <w:r w:rsidRPr="0094245C">
              <w:t>BY / PAR</w:t>
            </w:r>
          </w:p>
        </w:tc>
        <w:tc>
          <w:tcPr>
            <w:tcW w:w="2970" w:type="dxa"/>
          </w:tcPr>
          <w:p w:rsidR="0094245C" w:rsidRPr="0094245C" w:rsidRDefault="0094245C" w:rsidP="0094245C">
            <w:r w:rsidRPr="0094245C">
              <w:rPr>
                <w:lang w:val="en-US"/>
              </w:rPr>
              <w:t>Santé Cannabis;</w:t>
            </w:r>
          </w:p>
        </w:tc>
        <w:tc>
          <w:tcPr>
            <w:tcW w:w="1170" w:type="dxa"/>
          </w:tcPr>
          <w:p w:rsidR="0094245C" w:rsidRPr="0094245C" w:rsidRDefault="0094245C" w:rsidP="0094245C"/>
        </w:tc>
        <w:tc>
          <w:tcPr>
            <w:tcW w:w="4327" w:type="dxa"/>
          </w:tcPr>
          <w:p w:rsidR="0094245C" w:rsidRPr="0094245C" w:rsidRDefault="0094245C" w:rsidP="0094245C"/>
        </w:tc>
      </w:tr>
      <w:tr w:rsidR="0094245C" w:rsidRPr="0094245C" w:rsidTr="003431AF">
        <w:trPr>
          <w:trHeight w:hRule="exact" w:val="576"/>
        </w:trPr>
        <w:tc>
          <w:tcPr>
            <w:tcW w:w="1368" w:type="dxa"/>
          </w:tcPr>
          <w:p w:rsidR="0094245C" w:rsidRPr="0094245C" w:rsidRDefault="0094245C" w:rsidP="0094245C"/>
        </w:tc>
        <w:tc>
          <w:tcPr>
            <w:tcW w:w="2970" w:type="dxa"/>
          </w:tcPr>
          <w:p w:rsidR="0094245C" w:rsidRPr="0094245C" w:rsidRDefault="0094245C" w:rsidP="0094245C">
            <w:pPr>
              <w:rPr>
                <w:lang w:val="en-US"/>
              </w:rPr>
            </w:pPr>
            <w:r w:rsidRPr="0094245C">
              <w:rPr>
                <w:lang w:val="en-US"/>
              </w:rPr>
              <w:t>Criminal Lawyers’ Association (Ontario);</w:t>
            </w:r>
          </w:p>
        </w:tc>
        <w:tc>
          <w:tcPr>
            <w:tcW w:w="1170" w:type="dxa"/>
          </w:tcPr>
          <w:p w:rsidR="0094245C" w:rsidRPr="0094245C" w:rsidRDefault="0094245C" w:rsidP="0094245C"/>
        </w:tc>
        <w:tc>
          <w:tcPr>
            <w:tcW w:w="4327" w:type="dxa"/>
          </w:tcPr>
          <w:p w:rsidR="0094245C" w:rsidRPr="0094245C" w:rsidRDefault="0094245C" w:rsidP="0094245C"/>
        </w:tc>
      </w:tr>
      <w:tr w:rsidR="0094245C" w:rsidRPr="0094245C" w:rsidTr="003431AF">
        <w:trPr>
          <w:trHeight w:hRule="exact" w:val="576"/>
        </w:trPr>
        <w:tc>
          <w:tcPr>
            <w:tcW w:w="1368" w:type="dxa"/>
          </w:tcPr>
          <w:p w:rsidR="0094245C" w:rsidRPr="0094245C" w:rsidRDefault="0094245C" w:rsidP="0094245C"/>
        </w:tc>
        <w:tc>
          <w:tcPr>
            <w:tcW w:w="2970" w:type="dxa"/>
          </w:tcPr>
          <w:p w:rsidR="0094245C" w:rsidRPr="0094245C" w:rsidRDefault="0094245C" w:rsidP="0094245C">
            <w:pPr>
              <w:rPr>
                <w:lang w:val="en-US"/>
              </w:rPr>
            </w:pPr>
            <w:r w:rsidRPr="0094245C">
              <w:rPr>
                <w:lang w:val="en-US"/>
              </w:rPr>
              <w:t>Canadian Civil Liberties Association;</w:t>
            </w:r>
          </w:p>
        </w:tc>
        <w:tc>
          <w:tcPr>
            <w:tcW w:w="1170" w:type="dxa"/>
          </w:tcPr>
          <w:p w:rsidR="0094245C" w:rsidRPr="0094245C" w:rsidRDefault="0094245C" w:rsidP="0094245C"/>
        </w:tc>
        <w:tc>
          <w:tcPr>
            <w:tcW w:w="4327" w:type="dxa"/>
          </w:tcPr>
          <w:p w:rsidR="0094245C" w:rsidRPr="0094245C" w:rsidRDefault="0094245C" w:rsidP="0094245C"/>
        </w:tc>
      </w:tr>
      <w:tr w:rsidR="0094245C" w:rsidRPr="0094245C" w:rsidTr="003431AF">
        <w:trPr>
          <w:trHeight w:hRule="exact" w:val="576"/>
        </w:trPr>
        <w:tc>
          <w:tcPr>
            <w:tcW w:w="1368" w:type="dxa"/>
          </w:tcPr>
          <w:p w:rsidR="0094245C" w:rsidRPr="0094245C" w:rsidRDefault="0094245C" w:rsidP="0094245C"/>
        </w:tc>
        <w:tc>
          <w:tcPr>
            <w:tcW w:w="2970" w:type="dxa"/>
          </w:tcPr>
          <w:p w:rsidR="0094245C" w:rsidRPr="0094245C" w:rsidRDefault="0094245C" w:rsidP="0094245C">
            <w:pPr>
              <w:rPr>
                <w:lang w:val="en-US"/>
              </w:rPr>
            </w:pPr>
            <w:r w:rsidRPr="0094245C">
              <w:rPr>
                <w:lang w:val="en-US"/>
              </w:rPr>
              <w:t>British Columbia Civil Liberties Association;</w:t>
            </w:r>
          </w:p>
        </w:tc>
        <w:tc>
          <w:tcPr>
            <w:tcW w:w="1170" w:type="dxa"/>
          </w:tcPr>
          <w:p w:rsidR="0094245C" w:rsidRPr="0094245C" w:rsidRDefault="0094245C" w:rsidP="0094245C"/>
        </w:tc>
        <w:tc>
          <w:tcPr>
            <w:tcW w:w="4327" w:type="dxa"/>
          </w:tcPr>
          <w:p w:rsidR="0094245C" w:rsidRPr="0094245C" w:rsidRDefault="0094245C" w:rsidP="0094245C"/>
        </w:tc>
      </w:tr>
      <w:tr w:rsidR="0094245C" w:rsidRPr="0094245C" w:rsidTr="003431AF">
        <w:trPr>
          <w:trHeight w:hRule="exact" w:val="1080"/>
        </w:trPr>
        <w:tc>
          <w:tcPr>
            <w:tcW w:w="1368" w:type="dxa"/>
          </w:tcPr>
          <w:p w:rsidR="0094245C" w:rsidRPr="0094245C" w:rsidRDefault="0094245C" w:rsidP="0094245C"/>
        </w:tc>
        <w:tc>
          <w:tcPr>
            <w:tcW w:w="2970" w:type="dxa"/>
          </w:tcPr>
          <w:p w:rsidR="0094245C" w:rsidRPr="0094245C" w:rsidRDefault="0094245C" w:rsidP="0094245C">
            <w:pPr>
              <w:rPr>
                <w:lang w:val="en-US"/>
              </w:rPr>
            </w:pPr>
            <w:r w:rsidRPr="0094245C">
              <w:rPr>
                <w:lang w:val="en-US"/>
              </w:rPr>
              <w:t>Canadian AIDS Society, Canadian HIV/AIDS Legal Network and HIV &amp; AIDS Legal Clinic Ontario (jointly);</w:t>
            </w:r>
          </w:p>
        </w:tc>
        <w:tc>
          <w:tcPr>
            <w:tcW w:w="1170" w:type="dxa"/>
          </w:tcPr>
          <w:p w:rsidR="0094245C" w:rsidRPr="0094245C" w:rsidRDefault="0094245C" w:rsidP="0094245C"/>
        </w:tc>
        <w:tc>
          <w:tcPr>
            <w:tcW w:w="4327" w:type="dxa"/>
          </w:tcPr>
          <w:p w:rsidR="0094245C" w:rsidRPr="0094245C" w:rsidRDefault="0094245C" w:rsidP="0094245C"/>
        </w:tc>
      </w:tr>
      <w:tr w:rsidR="0094245C" w:rsidRPr="0094245C" w:rsidTr="003431AF">
        <w:trPr>
          <w:trHeight w:hRule="exact" w:val="576"/>
        </w:trPr>
        <w:tc>
          <w:tcPr>
            <w:tcW w:w="1368" w:type="dxa"/>
          </w:tcPr>
          <w:p w:rsidR="0094245C" w:rsidRPr="0094245C" w:rsidRDefault="0094245C" w:rsidP="0094245C"/>
        </w:tc>
        <w:tc>
          <w:tcPr>
            <w:tcW w:w="2970" w:type="dxa"/>
          </w:tcPr>
          <w:p w:rsidR="0094245C" w:rsidRPr="0094245C" w:rsidRDefault="0094245C" w:rsidP="0094245C">
            <w:r w:rsidRPr="0094245C">
              <w:rPr>
                <w:lang w:val="en-US"/>
              </w:rPr>
              <w:t>Medicinal Cannabis Patients’ Alliance of Canada Inc.;</w:t>
            </w:r>
          </w:p>
        </w:tc>
        <w:tc>
          <w:tcPr>
            <w:tcW w:w="1170" w:type="dxa"/>
          </w:tcPr>
          <w:p w:rsidR="0094245C" w:rsidRPr="0094245C" w:rsidRDefault="0094245C" w:rsidP="0094245C"/>
        </w:tc>
        <w:tc>
          <w:tcPr>
            <w:tcW w:w="4327" w:type="dxa"/>
          </w:tcPr>
          <w:p w:rsidR="0094245C" w:rsidRPr="0094245C" w:rsidRDefault="0094245C" w:rsidP="0094245C"/>
        </w:tc>
      </w:tr>
      <w:tr w:rsidR="0094245C" w:rsidRPr="0094245C" w:rsidTr="003431AF">
        <w:trPr>
          <w:trHeight w:hRule="exact" w:val="1008"/>
        </w:trPr>
        <w:tc>
          <w:tcPr>
            <w:tcW w:w="1368" w:type="dxa"/>
          </w:tcPr>
          <w:p w:rsidR="0094245C" w:rsidRPr="0094245C" w:rsidRDefault="0094245C" w:rsidP="0094245C"/>
        </w:tc>
        <w:tc>
          <w:tcPr>
            <w:tcW w:w="2970" w:type="dxa"/>
          </w:tcPr>
          <w:p w:rsidR="0094245C" w:rsidRPr="0094245C" w:rsidRDefault="0094245C" w:rsidP="0094245C">
            <w:pPr>
              <w:rPr>
                <w:lang w:val="en-US"/>
              </w:rPr>
            </w:pPr>
            <w:r w:rsidRPr="0094245C">
              <w:rPr>
                <w:lang w:val="en-US"/>
              </w:rPr>
              <w:t>Marc Boyer for Vancouver Quadra Electoral District Association for the Marijuana Party</w:t>
            </w:r>
          </w:p>
        </w:tc>
        <w:tc>
          <w:tcPr>
            <w:tcW w:w="1170" w:type="dxa"/>
          </w:tcPr>
          <w:p w:rsidR="0094245C" w:rsidRPr="0094245C" w:rsidRDefault="0094245C" w:rsidP="0094245C"/>
        </w:tc>
        <w:tc>
          <w:tcPr>
            <w:tcW w:w="4327" w:type="dxa"/>
          </w:tcPr>
          <w:p w:rsidR="0094245C" w:rsidRPr="0094245C" w:rsidRDefault="0094245C" w:rsidP="0094245C"/>
        </w:tc>
      </w:tr>
      <w:tr w:rsidR="0094245C" w:rsidRPr="0094245C" w:rsidTr="003431AF">
        <w:tc>
          <w:tcPr>
            <w:tcW w:w="1368" w:type="dxa"/>
          </w:tcPr>
          <w:p w:rsidR="0094245C" w:rsidRPr="0094245C" w:rsidRDefault="0094245C" w:rsidP="0094245C"/>
        </w:tc>
        <w:tc>
          <w:tcPr>
            <w:tcW w:w="2970" w:type="dxa"/>
          </w:tcPr>
          <w:p w:rsidR="0094245C" w:rsidRPr="0094245C" w:rsidRDefault="0094245C" w:rsidP="0094245C">
            <w:pPr>
              <w:rPr>
                <w:lang w:val="en-US"/>
              </w:rPr>
            </w:pPr>
          </w:p>
        </w:tc>
        <w:tc>
          <w:tcPr>
            <w:tcW w:w="1170" w:type="dxa"/>
          </w:tcPr>
          <w:p w:rsidR="0094245C" w:rsidRPr="0094245C" w:rsidRDefault="0094245C" w:rsidP="0094245C"/>
        </w:tc>
        <w:tc>
          <w:tcPr>
            <w:tcW w:w="4327" w:type="dxa"/>
          </w:tcPr>
          <w:p w:rsidR="0094245C" w:rsidRPr="0094245C" w:rsidRDefault="0094245C" w:rsidP="0094245C"/>
        </w:tc>
      </w:tr>
      <w:tr w:rsidR="0094245C" w:rsidRPr="0094245C" w:rsidTr="003431AF">
        <w:tc>
          <w:tcPr>
            <w:tcW w:w="1368" w:type="dxa"/>
          </w:tcPr>
          <w:p w:rsidR="0094245C" w:rsidRPr="0094245C" w:rsidRDefault="0094245C" w:rsidP="0094245C">
            <w:r w:rsidRPr="0094245C">
              <w:t>IN / DANS :</w:t>
            </w:r>
          </w:p>
        </w:tc>
        <w:tc>
          <w:tcPr>
            <w:tcW w:w="2970" w:type="dxa"/>
          </w:tcPr>
          <w:p w:rsidR="0094245C" w:rsidRPr="0094245C" w:rsidRDefault="0094245C" w:rsidP="0094245C">
            <w:r w:rsidRPr="0094245C">
              <w:t>Her Majesty the Queen</w:t>
            </w:r>
          </w:p>
          <w:p w:rsidR="0094245C" w:rsidRPr="0094245C" w:rsidRDefault="0094245C" w:rsidP="0094245C"/>
          <w:p w:rsidR="0094245C" w:rsidRPr="0094245C" w:rsidRDefault="0094245C" w:rsidP="0094245C">
            <w:r w:rsidRPr="0094245C">
              <w:tab/>
              <w:t>v. (36059)</w:t>
            </w:r>
          </w:p>
          <w:p w:rsidR="0094245C" w:rsidRPr="0094245C" w:rsidRDefault="0094245C" w:rsidP="0094245C"/>
          <w:p w:rsidR="0094245C" w:rsidRPr="0094245C" w:rsidRDefault="0094245C" w:rsidP="0094245C">
            <w:r w:rsidRPr="0094245C">
              <w:t>Owen Edward Smith (Crim.) (B.C.)</w:t>
            </w:r>
          </w:p>
        </w:tc>
        <w:tc>
          <w:tcPr>
            <w:tcW w:w="1170" w:type="dxa"/>
          </w:tcPr>
          <w:p w:rsidR="0094245C" w:rsidRPr="0094245C" w:rsidRDefault="0094245C" w:rsidP="0094245C"/>
        </w:tc>
        <w:tc>
          <w:tcPr>
            <w:tcW w:w="4327" w:type="dxa"/>
          </w:tcPr>
          <w:p w:rsidR="0094245C" w:rsidRPr="0094245C" w:rsidRDefault="0094245C" w:rsidP="0094245C"/>
        </w:tc>
      </w:tr>
    </w:tbl>
    <w:p w:rsidR="0094245C" w:rsidRPr="0094245C" w:rsidRDefault="0094245C" w:rsidP="0094245C">
      <w:pPr>
        <w:tabs>
          <w:tab w:val="left" w:pos="-1440"/>
          <w:tab w:val="left" w:pos="-720"/>
        </w:tabs>
        <w:jc w:val="both"/>
        <w:rPr>
          <w:rFonts w:eastAsia="Times New Roman" w:cs="Times New Roman"/>
          <w:sz w:val="20"/>
          <w:szCs w:val="20"/>
          <w:lang w:eastAsia="en-CA"/>
        </w:rPr>
      </w:pPr>
    </w:p>
    <w:p w:rsidR="0094245C" w:rsidRPr="0094245C" w:rsidRDefault="0094245C" w:rsidP="0094245C">
      <w:pPr>
        <w:tabs>
          <w:tab w:val="left" w:pos="-1440"/>
          <w:tab w:val="left" w:pos="-720"/>
        </w:tabs>
        <w:jc w:val="both"/>
        <w:rPr>
          <w:rFonts w:eastAsia="Times New Roman" w:cs="Times New Roman"/>
          <w:b/>
          <w:sz w:val="20"/>
          <w:szCs w:val="20"/>
          <w:lang w:val="fr-CA" w:eastAsia="en-CA"/>
        </w:rPr>
      </w:pPr>
      <w:r w:rsidRPr="0094245C">
        <w:rPr>
          <w:rFonts w:eastAsia="Times New Roman" w:cs="Times New Roman"/>
          <w:b/>
          <w:sz w:val="20"/>
          <w:szCs w:val="20"/>
          <w:lang w:val="fr-CA" w:eastAsia="en-CA"/>
        </w:rPr>
        <w:t xml:space="preserve">GRANTED IN PART / ACCORDÉES EN PARTIE  </w:t>
      </w:r>
    </w:p>
    <w:p w:rsidR="0094245C" w:rsidRPr="0094245C" w:rsidRDefault="0094245C" w:rsidP="0094245C">
      <w:pPr>
        <w:tabs>
          <w:tab w:val="left" w:pos="-1440"/>
          <w:tab w:val="left" w:pos="-720"/>
        </w:tabs>
        <w:jc w:val="both"/>
        <w:rPr>
          <w:rFonts w:eastAsia="Times New Roman" w:cs="Times New Roman"/>
          <w:sz w:val="20"/>
          <w:szCs w:val="20"/>
          <w:lang w:val="fr-CA" w:eastAsia="en-CA"/>
        </w:rPr>
      </w:pPr>
    </w:p>
    <w:p w:rsidR="0094245C" w:rsidRPr="0094245C" w:rsidRDefault="0094245C" w:rsidP="0094245C">
      <w:pPr>
        <w:spacing w:line="233" w:lineRule="auto"/>
        <w:jc w:val="both"/>
        <w:rPr>
          <w:rFonts w:eastAsia="Times New Roman" w:cs="Times New Roman"/>
          <w:sz w:val="20"/>
          <w:szCs w:val="20"/>
          <w:lang w:val="en-US" w:eastAsia="en-CA"/>
        </w:rPr>
      </w:pPr>
      <w:r w:rsidRPr="0094245C">
        <w:rPr>
          <w:rFonts w:eastAsia="Times New Roman" w:cs="Times New Roman"/>
          <w:b/>
          <w:bCs/>
          <w:sz w:val="20"/>
          <w:szCs w:val="20"/>
          <w:lang w:val="en-US" w:eastAsia="en-CA"/>
        </w:rPr>
        <w:t xml:space="preserve">UPON APPLICATIONS </w:t>
      </w:r>
      <w:r w:rsidRPr="0094245C">
        <w:rPr>
          <w:rFonts w:eastAsia="Times New Roman" w:cs="Times New Roman"/>
          <w:sz w:val="20"/>
          <w:szCs w:val="20"/>
          <w:lang w:val="en-US" w:eastAsia="en-CA"/>
        </w:rPr>
        <w:t>by Santé Cannabis, the Criminal Lawyers’ Association (Ontario), the Canadian Civil Liberties Association, the British Columbia Civil Liberties Association, as well as the Canadian AIDS Society, Canadian HIV/AIDS Legal Network and HIV &amp; AIDS Legal Clinic Ontario (jointly) for leave to intervene in the above appeal;</w:t>
      </w:r>
    </w:p>
    <w:p w:rsidR="0094245C" w:rsidRPr="0094245C" w:rsidRDefault="0094245C" w:rsidP="0094245C">
      <w:pPr>
        <w:spacing w:line="233" w:lineRule="auto"/>
        <w:jc w:val="both"/>
        <w:rPr>
          <w:rFonts w:eastAsia="Times New Roman" w:cs="Times New Roman"/>
          <w:sz w:val="20"/>
          <w:szCs w:val="20"/>
          <w:lang w:val="en-US" w:eastAsia="en-CA"/>
        </w:rPr>
      </w:pPr>
    </w:p>
    <w:p w:rsidR="0094245C" w:rsidRPr="0094245C" w:rsidRDefault="0094245C" w:rsidP="0094245C">
      <w:pPr>
        <w:spacing w:line="233" w:lineRule="auto"/>
        <w:jc w:val="both"/>
        <w:rPr>
          <w:rFonts w:eastAsia="Times New Roman" w:cs="Times New Roman"/>
          <w:sz w:val="20"/>
          <w:szCs w:val="20"/>
          <w:lang w:val="en-US" w:eastAsia="en-CA"/>
        </w:rPr>
      </w:pPr>
      <w:r w:rsidRPr="0094245C">
        <w:rPr>
          <w:rFonts w:eastAsia="Times New Roman" w:cs="Times New Roman"/>
          <w:b/>
          <w:sz w:val="20"/>
          <w:szCs w:val="20"/>
          <w:lang w:val="en-US" w:eastAsia="en-CA"/>
        </w:rPr>
        <w:t xml:space="preserve">AND UPON APPLICATION </w:t>
      </w:r>
      <w:r w:rsidRPr="0094245C">
        <w:rPr>
          <w:rFonts w:eastAsia="Times New Roman" w:cs="Times New Roman"/>
          <w:sz w:val="20"/>
          <w:szCs w:val="20"/>
          <w:lang w:val="en-US" w:eastAsia="en-CA"/>
        </w:rPr>
        <w:t>by the Medicinal Cannabis Patients’ Alliance of Canada Inc. for an extension of time to file a motion for leave to intervene and for leave to intervene in the above appeal;</w:t>
      </w:r>
    </w:p>
    <w:p w:rsidR="0094245C" w:rsidRPr="0094245C" w:rsidRDefault="0094245C" w:rsidP="0094245C">
      <w:pPr>
        <w:spacing w:line="233" w:lineRule="auto"/>
        <w:jc w:val="both"/>
        <w:rPr>
          <w:rFonts w:eastAsia="Times New Roman" w:cs="Times New Roman"/>
          <w:sz w:val="20"/>
          <w:szCs w:val="20"/>
          <w:lang w:val="en-US" w:eastAsia="en-CA"/>
        </w:rPr>
      </w:pPr>
    </w:p>
    <w:p w:rsidR="0094245C" w:rsidRPr="0094245C" w:rsidRDefault="0094245C" w:rsidP="0094245C">
      <w:pPr>
        <w:spacing w:line="233" w:lineRule="auto"/>
        <w:jc w:val="both"/>
        <w:rPr>
          <w:rFonts w:eastAsia="Times New Roman" w:cs="Times New Roman"/>
          <w:b/>
          <w:sz w:val="20"/>
          <w:szCs w:val="20"/>
          <w:lang w:val="en-US" w:eastAsia="en-CA"/>
        </w:rPr>
      </w:pPr>
      <w:r w:rsidRPr="0094245C">
        <w:rPr>
          <w:rFonts w:eastAsia="Times New Roman" w:cs="Times New Roman"/>
          <w:b/>
          <w:sz w:val="20"/>
          <w:szCs w:val="20"/>
          <w:lang w:val="en-US" w:eastAsia="en-CA"/>
        </w:rPr>
        <w:t>AND UPON APPLICATION</w:t>
      </w:r>
      <w:r w:rsidRPr="0094245C">
        <w:rPr>
          <w:rFonts w:eastAsia="Times New Roman" w:cs="Times New Roman"/>
          <w:sz w:val="20"/>
          <w:szCs w:val="20"/>
          <w:lang w:val="en-US" w:eastAsia="en-CA"/>
        </w:rPr>
        <w:t xml:space="preserve"> by Mr. Marc Boyer for an order granting leave to represent the Vancouver Quadra Electoral District Association for the Marijuana Party pursuant to Rule 15(3) of the </w:t>
      </w:r>
      <w:r w:rsidRPr="0094245C">
        <w:rPr>
          <w:rFonts w:eastAsia="Times New Roman" w:cs="Times New Roman"/>
          <w:i/>
          <w:sz w:val="20"/>
          <w:szCs w:val="20"/>
          <w:lang w:val="en-US" w:eastAsia="en-CA"/>
        </w:rPr>
        <w:t>Rules of the Supreme Court of Canada</w:t>
      </w:r>
      <w:r w:rsidRPr="0094245C">
        <w:rPr>
          <w:rFonts w:eastAsia="Times New Roman" w:cs="Times New Roman"/>
          <w:sz w:val="20"/>
          <w:szCs w:val="20"/>
          <w:lang w:val="en-US" w:eastAsia="en-CA"/>
        </w:rPr>
        <w:t xml:space="preserve"> and for leave to intervene in the above appeal;</w:t>
      </w:r>
      <w:r w:rsidRPr="0094245C">
        <w:rPr>
          <w:rFonts w:eastAsia="Times New Roman" w:cs="Times New Roman"/>
          <w:b/>
          <w:sz w:val="20"/>
          <w:szCs w:val="20"/>
          <w:lang w:val="en-US" w:eastAsia="en-CA"/>
        </w:rPr>
        <w:t xml:space="preserve"> </w:t>
      </w:r>
    </w:p>
    <w:p w:rsidR="0094245C" w:rsidRPr="0094245C" w:rsidRDefault="0094245C" w:rsidP="0094245C">
      <w:pPr>
        <w:spacing w:line="233" w:lineRule="auto"/>
        <w:jc w:val="both"/>
        <w:rPr>
          <w:rFonts w:eastAsia="Times New Roman" w:cs="Times New Roman"/>
          <w:sz w:val="20"/>
          <w:szCs w:val="20"/>
          <w:lang w:val="en-US" w:eastAsia="en-CA"/>
        </w:rPr>
      </w:pPr>
    </w:p>
    <w:p w:rsidR="0094245C" w:rsidRPr="0094245C" w:rsidRDefault="0094245C" w:rsidP="0094245C">
      <w:pPr>
        <w:spacing w:line="233" w:lineRule="auto"/>
        <w:jc w:val="both"/>
        <w:rPr>
          <w:rFonts w:eastAsia="Times New Roman" w:cs="Times New Roman"/>
          <w:sz w:val="20"/>
          <w:szCs w:val="20"/>
          <w:lang w:val="en-US" w:eastAsia="en-CA"/>
        </w:rPr>
      </w:pPr>
      <w:r w:rsidRPr="0094245C">
        <w:rPr>
          <w:rFonts w:eastAsia="Times New Roman" w:cs="Times New Roman"/>
          <w:b/>
          <w:bCs/>
          <w:sz w:val="20"/>
          <w:szCs w:val="20"/>
          <w:lang w:val="en-US" w:eastAsia="en-CA"/>
        </w:rPr>
        <w:t>AND THE MATERIAL FILED</w:t>
      </w:r>
      <w:r w:rsidRPr="0094245C">
        <w:rPr>
          <w:rFonts w:eastAsia="Times New Roman" w:cs="Times New Roman"/>
          <w:sz w:val="20"/>
          <w:szCs w:val="20"/>
          <w:lang w:val="en-US" w:eastAsia="en-CA"/>
        </w:rPr>
        <w:t xml:space="preserve"> having been read;</w:t>
      </w:r>
    </w:p>
    <w:p w:rsidR="0094245C" w:rsidRPr="0094245C" w:rsidRDefault="0094245C" w:rsidP="0094245C">
      <w:pPr>
        <w:spacing w:line="233" w:lineRule="auto"/>
        <w:jc w:val="both"/>
        <w:rPr>
          <w:rFonts w:eastAsia="Times New Roman" w:cs="Times New Roman"/>
          <w:sz w:val="20"/>
          <w:szCs w:val="20"/>
          <w:lang w:val="en-US" w:eastAsia="en-CA"/>
        </w:rPr>
      </w:pPr>
    </w:p>
    <w:p w:rsidR="0094245C" w:rsidRPr="0094245C" w:rsidRDefault="0094245C" w:rsidP="0094245C">
      <w:pPr>
        <w:spacing w:line="233" w:lineRule="auto"/>
        <w:jc w:val="both"/>
        <w:rPr>
          <w:rFonts w:eastAsia="Times New Roman" w:cs="Times New Roman"/>
          <w:sz w:val="20"/>
          <w:szCs w:val="20"/>
          <w:lang w:val="en-US" w:eastAsia="en-CA"/>
        </w:rPr>
      </w:pPr>
      <w:r w:rsidRPr="0094245C">
        <w:rPr>
          <w:rFonts w:eastAsia="Times New Roman" w:cs="Times New Roman"/>
          <w:b/>
          <w:bCs/>
          <w:sz w:val="20"/>
          <w:szCs w:val="20"/>
          <w:lang w:val="en-US" w:eastAsia="en-CA"/>
        </w:rPr>
        <w:t>IT IS HEREBY ORDERED THAT:</w:t>
      </w:r>
    </w:p>
    <w:p w:rsidR="0094245C" w:rsidRPr="0094245C" w:rsidRDefault="0094245C" w:rsidP="0094245C">
      <w:pPr>
        <w:spacing w:line="233" w:lineRule="auto"/>
        <w:jc w:val="both"/>
        <w:rPr>
          <w:rFonts w:eastAsia="Times New Roman" w:cs="Times New Roman"/>
          <w:sz w:val="20"/>
          <w:szCs w:val="20"/>
          <w:lang w:val="en-US" w:eastAsia="en-CA"/>
        </w:rPr>
      </w:pPr>
    </w:p>
    <w:p w:rsidR="0094245C" w:rsidRPr="0094245C" w:rsidRDefault="0094245C" w:rsidP="0094245C">
      <w:pPr>
        <w:spacing w:line="233" w:lineRule="auto"/>
        <w:jc w:val="both"/>
        <w:rPr>
          <w:rFonts w:eastAsia="Times New Roman" w:cs="Times New Roman"/>
          <w:sz w:val="20"/>
          <w:szCs w:val="20"/>
          <w:lang w:val="en-US" w:eastAsia="en-CA"/>
        </w:rPr>
      </w:pPr>
      <w:r w:rsidRPr="0094245C">
        <w:rPr>
          <w:rFonts w:eastAsia="Times New Roman" w:cs="Times New Roman"/>
          <w:sz w:val="20"/>
          <w:szCs w:val="20"/>
          <w:lang w:val="en-US" w:eastAsia="en-CA"/>
        </w:rPr>
        <w:t>The motions for leave to intervene by</w:t>
      </w:r>
      <w:r w:rsidRPr="0094245C">
        <w:rPr>
          <w:rFonts w:eastAsia="Times New Roman" w:cs="Times New Roman"/>
          <w:sz w:val="20"/>
          <w:szCs w:val="20"/>
          <w:lang w:eastAsia="en-CA"/>
        </w:rPr>
        <w:t xml:space="preserve"> Santé Cannabis, </w:t>
      </w:r>
      <w:r w:rsidRPr="0094245C">
        <w:rPr>
          <w:rFonts w:eastAsia="Times New Roman" w:cs="Times New Roman"/>
          <w:sz w:val="20"/>
          <w:szCs w:val="20"/>
          <w:lang w:val="en-US" w:eastAsia="en-CA"/>
        </w:rPr>
        <w:t xml:space="preserve">the Criminal Lawyers’ Association (Ontario), the Canadian Civil Liberties Association, the British Columbia Civil Liberties Association, as well as the Canadian HIV/AIDS Legal Network and HIV &amp; AIDS Legal Clinic Ontario (jointly) </w:t>
      </w:r>
      <w:r w:rsidRPr="0094245C">
        <w:rPr>
          <w:rFonts w:eastAsia="Times New Roman" w:cs="Times New Roman"/>
          <w:sz w:val="20"/>
          <w:szCs w:val="20"/>
          <w:lang w:eastAsia="en-CA"/>
        </w:rPr>
        <w:t xml:space="preserve">are </w:t>
      </w:r>
      <w:r w:rsidRPr="0094245C">
        <w:rPr>
          <w:rFonts w:eastAsia="Times New Roman" w:cs="Times New Roman"/>
          <w:sz w:val="20"/>
          <w:szCs w:val="20"/>
          <w:lang w:val="en-US" w:eastAsia="en-CA"/>
        </w:rPr>
        <w:t>granted and the said interveners shall be entitled to each serve and file a factum not to exceed 10 pages in length in this appeal on or before March 10, 2015.</w:t>
      </w:r>
    </w:p>
    <w:p w:rsidR="0094245C" w:rsidRPr="0094245C" w:rsidRDefault="0094245C" w:rsidP="0094245C">
      <w:pPr>
        <w:spacing w:line="233" w:lineRule="auto"/>
        <w:jc w:val="both"/>
        <w:rPr>
          <w:rFonts w:eastAsia="Times New Roman" w:cs="Times New Roman"/>
          <w:sz w:val="20"/>
          <w:szCs w:val="20"/>
          <w:lang w:val="en-US" w:eastAsia="en-CA"/>
        </w:rPr>
      </w:pPr>
    </w:p>
    <w:p w:rsidR="0094245C" w:rsidRPr="0094245C" w:rsidRDefault="0094245C" w:rsidP="0094245C">
      <w:pPr>
        <w:spacing w:line="233" w:lineRule="auto"/>
        <w:jc w:val="both"/>
        <w:rPr>
          <w:rFonts w:eastAsia="Times New Roman" w:cs="Times New Roman"/>
          <w:sz w:val="20"/>
          <w:szCs w:val="20"/>
          <w:lang w:val="en-US" w:eastAsia="en-CA"/>
        </w:rPr>
      </w:pPr>
      <w:r w:rsidRPr="0094245C">
        <w:rPr>
          <w:rFonts w:eastAsia="Times New Roman" w:cs="Times New Roman"/>
          <w:sz w:val="20"/>
          <w:szCs w:val="20"/>
          <w:lang w:val="en-US" w:eastAsia="en-CA"/>
        </w:rPr>
        <w:t xml:space="preserve">The motion for an extension of time to apply for leave to intervene by the Medicinal Cannabis Patients’ Alliance of Canada Inc. is granted. The motion for leave to intervene by the Medicinal Cannabis Patients’ Alliance of Canada Inc. is dismissed. </w:t>
      </w:r>
    </w:p>
    <w:p w:rsidR="0094245C" w:rsidRPr="0094245C" w:rsidRDefault="0094245C" w:rsidP="0094245C">
      <w:pPr>
        <w:spacing w:line="233" w:lineRule="auto"/>
        <w:jc w:val="both"/>
        <w:rPr>
          <w:rFonts w:eastAsia="Times New Roman" w:cs="Times New Roman"/>
          <w:sz w:val="20"/>
          <w:szCs w:val="20"/>
          <w:lang w:val="en-US" w:eastAsia="en-CA"/>
        </w:rPr>
      </w:pPr>
    </w:p>
    <w:p w:rsidR="0094245C" w:rsidRPr="0094245C" w:rsidRDefault="0094245C" w:rsidP="0094245C">
      <w:pPr>
        <w:spacing w:line="233" w:lineRule="auto"/>
        <w:jc w:val="both"/>
        <w:rPr>
          <w:rFonts w:eastAsia="Times New Roman" w:cs="Times New Roman"/>
          <w:sz w:val="20"/>
          <w:szCs w:val="20"/>
          <w:lang w:val="en-US" w:eastAsia="en-CA"/>
        </w:rPr>
      </w:pPr>
      <w:r w:rsidRPr="0094245C">
        <w:rPr>
          <w:rFonts w:eastAsia="Times New Roman" w:cs="Times New Roman"/>
          <w:sz w:val="20"/>
          <w:szCs w:val="20"/>
          <w:lang w:val="en-US" w:eastAsia="en-CA"/>
        </w:rPr>
        <w:t xml:space="preserve">The motion by Mr. Marc Boyer for leave to represent the Vancouver Quadra Electoral District Association for the Marijuana Party pursuant to Rule 15(3) of the </w:t>
      </w:r>
      <w:r w:rsidRPr="0094245C">
        <w:rPr>
          <w:rFonts w:eastAsia="Times New Roman" w:cs="Times New Roman"/>
          <w:i/>
          <w:sz w:val="20"/>
          <w:szCs w:val="20"/>
          <w:lang w:val="en-US" w:eastAsia="en-CA"/>
        </w:rPr>
        <w:t>Rules of the Supreme Court of Canada</w:t>
      </w:r>
      <w:r w:rsidRPr="0094245C">
        <w:rPr>
          <w:rFonts w:eastAsia="Times New Roman" w:cs="Times New Roman"/>
          <w:sz w:val="20"/>
          <w:szCs w:val="20"/>
          <w:lang w:val="en-US" w:eastAsia="en-CA"/>
        </w:rPr>
        <w:t xml:space="preserve"> is dismissed. Accordingly, it is not necessary to dispose of the motion for leave to intervene.   </w:t>
      </w:r>
    </w:p>
    <w:p w:rsidR="0094245C" w:rsidRPr="0094245C" w:rsidRDefault="0094245C" w:rsidP="0094245C">
      <w:pPr>
        <w:spacing w:line="233" w:lineRule="auto"/>
        <w:jc w:val="both"/>
        <w:rPr>
          <w:rFonts w:eastAsia="Times New Roman" w:cs="Times New Roman"/>
          <w:sz w:val="20"/>
          <w:szCs w:val="20"/>
          <w:lang w:val="en-US" w:eastAsia="en-CA"/>
        </w:rPr>
      </w:pPr>
    </w:p>
    <w:p w:rsidR="0094245C" w:rsidRPr="0094245C" w:rsidRDefault="0094245C" w:rsidP="0094245C">
      <w:pPr>
        <w:spacing w:line="233" w:lineRule="auto"/>
        <w:jc w:val="both"/>
        <w:rPr>
          <w:rFonts w:eastAsia="Times New Roman" w:cs="Times New Roman"/>
          <w:sz w:val="20"/>
          <w:szCs w:val="20"/>
          <w:lang w:val="en-US" w:eastAsia="en-CA"/>
        </w:rPr>
      </w:pPr>
      <w:r w:rsidRPr="0094245C">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94245C" w:rsidRPr="0094245C" w:rsidRDefault="0094245C" w:rsidP="0094245C">
      <w:pPr>
        <w:spacing w:line="233" w:lineRule="auto"/>
        <w:jc w:val="both"/>
        <w:rPr>
          <w:rFonts w:eastAsia="Times New Roman" w:cs="Times New Roman"/>
          <w:sz w:val="20"/>
          <w:szCs w:val="20"/>
          <w:lang w:val="en-US" w:eastAsia="en-CA"/>
        </w:rPr>
      </w:pPr>
    </w:p>
    <w:p w:rsidR="0094245C" w:rsidRPr="0094245C" w:rsidRDefault="003A0C94" w:rsidP="0094245C">
      <w:pPr>
        <w:spacing w:line="233" w:lineRule="auto"/>
        <w:jc w:val="both"/>
        <w:rPr>
          <w:rFonts w:eastAsia="Times New Roman" w:cs="Times New Roman"/>
          <w:sz w:val="20"/>
          <w:szCs w:val="20"/>
          <w:lang w:val="en-US" w:eastAsia="en-CA"/>
        </w:rPr>
      </w:pPr>
      <w:r w:rsidRPr="0094245C">
        <w:rPr>
          <w:rFonts w:eastAsia="Times New Roman" w:cs="Times New Roman"/>
          <w:sz w:val="20"/>
          <w:szCs w:val="20"/>
          <w:lang w:eastAsia="en-CA"/>
        </w:rPr>
        <w:fldChar w:fldCharType="begin"/>
      </w:r>
      <w:r w:rsidR="0094245C" w:rsidRPr="0094245C">
        <w:rPr>
          <w:rFonts w:eastAsia="Times New Roman" w:cs="Times New Roman"/>
          <w:sz w:val="20"/>
          <w:szCs w:val="20"/>
          <w:lang w:eastAsia="en-CA"/>
        </w:rPr>
        <w:instrText xml:space="preserve"> SEQ CHAPTER \h \r 1</w:instrText>
      </w:r>
      <w:r w:rsidRPr="0094245C">
        <w:rPr>
          <w:rFonts w:eastAsia="Times New Roman" w:cs="Times New Roman"/>
          <w:sz w:val="20"/>
          <w:szCs w:val="20"/>
          <w:lang w:eastAsia="en-CA"/>
        </w:rPr>
        <w:fldChar w:fldCharType="end"/>
      </w:r>
      <w:r w:rsidR="0094245C" w:rsidRPr="0094245C">
        <w:rPr>
          <w:rFonts w:eastAsia="Times New Roman" w:cs="Times New Roman"/>
          <w:bCs/>
          <w:sz w:val="20"/>
          <w:szCs w:val="20"/>
          <w:lang w:val="en-US" w:eastAsia="en-CA"/>
        </w:rPr>
        <w:t>The interveners are not entitled to raise new issues or to adduce further evidence or otherwise to supplement the record of the parties.</w:t>
      </w:r>
    </w:p>
    <w:p w:rsidR="0094245C" w:rsidRPr="0094245C" w:rsidRDefault="0094245C" w:rsidP="0094245C">
      <w:pPr>
        <w:spacing w:line="233" w:lineRule="auto"/>
        <w:jc w:val="both"/>
        <w:rPr>
          <w:rFonts w:eastAsia="Times New Roman" w:cs="Times New Roman"/>
          <w:sz w:val="20"/>
          <w:szCs w:val="20"/>
          <w:lang w:val="en-US" w:eastAsia="en-CA"/>
        </w:rPr>
      </w:pPr>
    </w:p>
    <w:p w:rsidR="0094245C" w:rsidRPr="0094245C" w:rsidRDefault="0094245C" w:rsidP="0094245C">
      <w:pPr>
        <w:spacing w:line="233" w:lineRule="auto"/>
        <w:jc w:val="both"/>
        <w:rPr>
          <w:rFonts w:eastAsia="Times New Roman" w:cs="Times New Roman"/>
          <w:sz w:val="20"/>
          <w:szCs w:val="20"/>
          <w:lang w:val="en-US" w:eastAsia="en-CA"/>
        </w:rPr>
      </w:pPr>
      <w:r w:rsidRPr="0094245C">
        <w:rPr>
          <w:rFonts w:eastAsia="Times New Roman" w:cs="Times New Roman"/>
          <w:sz w:val="20"/>
          <w:szCs w:val="20"/>
          <w:lang w:val="en-US" w:eastAsia="en-CA"/>
        </w:rPr>
        <w:t>Pursuant to Rule 59(1)(</w:t>
      </w:r>
      <w:r w:rsidRPr="0094245C">
        <w:rPr>
          <w:rFonts w:eastAsia="Times New Roman" w:cs="Times New Roman"/>
          <w:i/>
          <w:iCs/>
          <w:sz w:val="20"/>
          <w:szCs w:val="20"/>
          <w:lang w:val="en-US" w:eastAsia="en-CA"/>
        </w:rPr>
        <w:t>a</w:t>
      </w:r>
      <w:r w:rsidRPr="0094245C">
        <w:rPr>
          <w:rFonts w:eastAsia="Times New Roman" w:cs="Times New Roman"/>
          <w:sz w:val="20"/>
          <w:szCs w:val="20"/>
          <w:lang w:val="en-US" w:eastAsia="en-CA"/>
        </w:rPr>
        <w:t xml:space="preserve">) of the </w:t>
      </w:r>
      <w:r w:rsidRPr="0094245C">
        <w:rPr>
          <w:rFonts w:eastAsia="Times New Roman" w:cs="Times New Roman"/>
          <w:i/>
          <w:iCs/>
          <w:sz w:val="20"/>
          <w:szCs w:val="20"/>
          <w:lang w:val="en-US" w:eastAsia="en-CA"/>
        </w:rPr>
        <w:t>Rules of the Supreme Court of Canada</w:t>
      </w:r>
      <w:r w:rsidRPr="0094245C">
        <w:rPr>
          <w:rFonts w:eastAsia="Times New Roman" w:cs="Times New Roman"/>
          <w:sz w:val="20"/>
          <w:szCs w:val="20"/>
          <w:lang w:val="en-US" w:eastAsia="en-CA"/>
        </w:rPr>
        <w:t>, the interveners shall pay to the appellant and respondent any additional disbursements occasioned to the appellant and respondent by their interventions.</w:t>
      </w:r>
    </w:p>
    <w:p w:rsidR="0094245C" w:rsidRPr="0094245C" w:rsidRDefault="0094245C" w:rsidP="0094245C">
      <w:pPr>
        <w:spacing w:line="233" w:lineRule="auto"/>
        <w:jc w:val="both"/>
        <w:rPr>
          <w:rFonts w:eastAsia="Times New Roman" w:cs="Times New Roman"/>
          <w:sz w:val="20"/>
          <w:szCs w:val="20"/>
          <w:lang w:val="en-US" w:eastAsia="en-CA"/>
        </w:rPr>
      </w:pPr>
    </w:p>
    <w:p w:rsidR="0094245C" w:rsidRPr="0094245C" w:rsidRDefault="0094245C" w:rsidP="0094245C">
      <w:pPr>
        <w:spacing w:line="233" w:lineRule="auto"/>
        <w:jc w:val="both"/>
        <w:rPr>
          <w:rFonts w:eastAsia="Times New Roman" w:cs="Times New Roman"/>
          <w:sz w:val="20"/>
          <w:szCs w:val="20"/>
          <w:lang w:val="en-US" w:eastAsia="en-CA"/>
        </w:rPr>
      </w:pPr>
      <w:r w:rsidRPr="0094245C">
        <w:rPr>
          <w:rFonts w:eastAsia="Times New Roman" w:cs="Times New Roman"/>
          <w:sz w:val="20"/>
          <w:szCs w:val="20"/>
          <w:lang w:val="en-US" w:eastAsia="en-CA"/>
        </w:rPr>
        <w:t xml:space="preserve">The appellant’s request to file a 12 page response factum is denied. </w:t>
      </w:r>
    </w:p>
    <w:p w:rsidR="0094245C" w:rsidRPr="0094245C" w:rsidRDefault="0094245C" w:rsidP="0094245C">
      <w:pPr>
        <w:spacing w:line="233" w:lineRule="auto"/>
        <w:jc w:val="both"/>
        <w:rPr>
          <w:rFonts w:eastAsia="Times New Roman" w:cs="Times New Roman"/>
          <w:sz w:val="20"/>
          <w:szCs w:val="20"/>
          <w:lang w:val="en-US" w:eastAsia="en-CA"/>
        </w:rPr>
      </w:pPr>
    </w:p>
    <w:p w:rsidR="0094245C" w:rsidRPr="0094245C" w:rsidRDefault="0094245C" w:rsidP="0094245C">
      <w:pPr>
        <w:spacing w:line="233" w:lineRule="auto"/>
        <w:jc w:val="both"/>
        <w:rPr>
          <w:rFonts w:eastAsia="Times New Roman" w:cs="Times New Roman"/>
          <w:sz w:val="20"/>
          <w:szCs w:val="20"/>
          <w:lang w:val="en-US" w:eastAsia="en-CA"/>
        </w:rPr>
      </w:pPr>
    </w:p>
    <w:p w:rsidR="0094245C" w:rsidRPr="0094245C" w:rsidRDefault="0094245C" w:rsidP="0094245C">
      <w:pPr>
        <w:spacing w:line="233" w:lineRule="auto"/>
        <w:jc w:val="both"/>
        <w:rPr>
          <w:rFonts w:eastAsia="Times New Roman" w:cs="Times New Roman"/>
          <w:sz w:val="20"/>
          <w:szCs w:val="20"/>
          <w:lang w:val="en-US" w:eastAsia="en-CA"/>
        </w:rPr>
      </w:pPr>
    </w:p>
    <w:p w:rsidR="0094245C" w:rsidRPr="0094245C" w:rsidRDefault="0094245C" w:rsidP="0094245C">
      <w:pPr>
        <w:spacing w:line="233" w:lineRule="auto"/>
        <w:jc w:val="both"/>
        <w:rPr>
          <w:rFonts w:eastAsia="Times New Roman" w:cs="Times New Roman"/>
          <w:sz w:val="20"/>
          <w:szCs w:val="20"/>
          <w:lang w:val="fr-CA" w:eastAsia="en-CA"/>
        </w:rPr>
      </w:pPr>
      <w:r w:rsidRPr="0094245C">
        <w:rPr>
          <w:rFonts w:eastAsia="Times New Roman" w:cs="Times New Roman"/>
          <w:b/>
          <w:sz w:val="20"/>
          <w:szCs w:val="20"/>
          <w:lang w:val="fr-CA" w:eastAsia="en-CA"/>
        </w:rPr>
        <w:t>À LA SUITE DES DEMANDES</w:t>
      </w:r>
      <w:r w:rsidRPr="0094245C">
        <w:rPr>
          <w:rFonts w:eastAsia="Times New Roman" w:cs="Times New Roman"/>
          <w:sz w:val="20"/>
          <w:szCs w:val="20"/>
          <w:lang w:val="fr-CA" w:eastAsia="en-CA"/>
        </w:rPr>
        <w:t xml:space="preserve"> présentées par Santé Cannabis, la Criminal Lawyers’ Association (Ontario), l’Association canadienne des libertés civiles, l’Association des libertés civiles de la Colombie-Britannique, de même que par la Société canadienne du sida, le Réseau juridique canadien VIH/sida et la HIV &amp; AIDS Legal Clinic Ontario (conjointement) en vue d’intervenir dans le présent appel; </w:t>
      </w:r>
    </w:p>
    <w:p w:rsidR="0094245C" w:rsidRPr="0094245C" w:rsidRDefault="0094245C" w:rsidP="0094245C">
      <w:pPr>
        <w:spacing w:line="233" w:lineRule="auto"/>
        <w:jc w:val="both"/>
        <w:rPr>
          <w:rFonts w:eastAsia="Times New Roman" w:cs="Times New Roman"/>
          <w:sz w:val="20"/>
          <w:szCs w:val="20"/>
          <w:lang w:val="fr-CA" w:eastAsia="en-CA"/>
        </w:rPr>
      </w:pPr>
    </w:p>
    <w:p w:rsidR="0094245C" w:rsidRPr="0094245C" w:rsidRDefault="0094245C" w:rsidP="0094245C">
      <w:pPr>
        <w:spacing w:line="233" w:lineRule="auto"/>
        <w:jc w:val="both"/>
        <w:rPr>
          <w:rFonts w:eastAsia="Times New Roman" w:cs="Times New Roman"/>
          <w:sz w:val="20"/>
          <w:szCs w:val="20"/>
          <w:lang w:val="fr-CA" w:eastAsia="en-CA"/>
        </w:rPr>
      </w:pPr>
      <w:r w:rsidRPr="0094245C">
        <w:rPr>
          <w:rFonts w:eastAsia="Times New Roman" w:cs="Times New Roman"/>
          <w:b/>
          <w:sz w:val="20"/>
          <w:szCs w:val="20"/>
          <w:lang w:val="fr-CA" w:eastAsia="en-CA"/>
        </w:rPr>
        <w:t xml:space="preserve">ET À LA SUITE DE LA DEMANDE </w:t>
      </w:r>
      <w:r w:rsidRPr="0094245C">
        <w:rPr>
          <w:rFonts w:eastAsia="Times New Roman" w:cs="Times New Roman"/>
          <w:sz w:val="20"/>
          <w:szCs w:val="20"/>
          <w:lang w:val="fr-CA" w:eastAsia="en-CA"/>
        </w:rPr>
        <w:t>présentée par la Medicinal Cannabis Patients’ Alliance of Canada Inc. visant la prorogation du délai pour déposer une requête en autorisation d’intervenir et en autorisation d’intervenir dans le présent appel;</w:t>
      </w:r>
    </w:p>
    <w:p w:rsidR="0094245C" w:rsidRPr="0094245C" w:rsidRDefault="0094245C" w:rsidP="0094245C">
      <w:pPr>
        <w:spacing w:line="233" w:lineRule="auto"/>
        <w:jc w:val="both"/>
        <w:rPr>
          <w:rFonts w:eastAsia="Times New Roman" w:cs="Times New Roman"/>
          <w:sz w:val="20"/>
          <w:szCs w:val="20"/>
          <w:lang w:val="fr-CA" w:eastAsia="en-CA"/>
        </w:rPr>
      </w:pPr>
    </w:p>
    <w:p w:rsidR="0094245C" w:rsidRPr="0094245C" w:rsidRDefault="0094245C" w:rsidP="0094245C">
      <w:pPr>
        <w:spacing w:line="233" w:lineRule="auto"/>
        <w:jc w:val="both"/>
        <w:rPr>
          <w:rFonts w:eastAsia="Times New Roman" w:cs="Times New Roman"/>
          <w:b/>
          <w:sz w:val="20"/>
          <w:szCs w:val="20"/>
          <w:lang w:val="fr-CA" w:eastAsia="en-CA"/>
        </w:rPr>
      </w:pPr>
      <w:r w:rsidRPr="0094245C">
        <w:rPr>
          <w:rFonts w:eastAsia="Times New Roman" w:cs="Times New Roman"/>
          <w:b/>
          <w:sz w:val="20"/>
          <w:szCs w:val="20"/>
          <w:lang w:val="fr-CA" w:eastAsia="en-CA"/>
        </w:rPr>
        <w:t>ET À LA SUITE DE LA DEMANDE</w:t>
      </w:r>
      <w:r w:rsidRPr="0094245C">
        <w:rPr>
          <w:rFonts w:eastAsia="Times New Roman" w:cs="Times New Roman"/>
          <w:sz w:val="20"/>
          <w:szCs w:val="20"/>
          <w:lang w:val="fr-CA" w:eastAsia="en-CA"/>
        </w:rPr>
        <w:t xml:space="preserve"> présentée par M. Marc Boyer en vue d’être autorisé, en application du par. 15(3) des </w:t>
      </w:r>
      <w:r w:rsidRPr="0094245C">
        <w:rPr>
          <w:rFonts w:eastAsia="Times New Roman" w:cs="Times New Roman"/>
          <w:i/>
          <w:sz w:val="20"/>
          <w:szCs w:val="20"/>
          <w:lang w:val="fr-CA" w:eastAsia="en-CA"/>
        </w:rPr>
        <w:t>Règles de la Cour suprême du Canada</w:t>
      </w:r>
      <w:r w:rsidRPr="0094245C">
        <w:rPr>
          <w:rFonts w:eastAsia="Times New Roman" w:cs="Times New Roman"/>
          <w:sz w:val="20"/>
          <w:szCs w:val="20"/>
          <w:lang w:val="fr-CA" w:eastAsia="en-CA"/>
        </w:rPr>
        <w:t>, à représenter l’association de la circonscription électorale de Vancouver Quadra pour le Parti Marijuana et en autorisation d’intervenir dans le présent appel;</w:t>
      </w:r>
      <w:r w:rsidRPr="0094245C">
        <w:rPr>
          <w:rFonts w:eastAsia="Times New Roman" w:cs="Times New Roman"/>
          <w:b/>
          <w:sz w:val="20"/>
          <w:szCs w:val="20"/>
          <w:lang w:val="fr-CA" w:eastAsia="en-CA"/>
        </w:rPr>
        <w:t xml:space="preserve"> </w:t>
      </w:r>
    </w:p>
    <w:p w:rsidR="0094245C" w:rsidRPr="0094245C" w:rsidRDefault="0094245C" w:rsidP="0094245C">
      <w:pPr>
        <w:spacing w:line="233" w:lineRule="auto"/>
        <w:jc w:val="both"/>
        <w:rPr>
          <w:rFonts w:eastAsia="Times New Roman" w:cs="Times New Roman"/>
          <w:sz w:val="20"/>
          <w:szCs w:val="20"/>
          <w:lang w:val="fr-CA" w:eastAsia="en-CA"/>
        </w:rPr>
      </w:pPr>
    </w:p>
    <w:p w:rsidR="0094245C" w:rsidRPr="0094245C" w:rsidRDefault="0094245C" w:rsidP="0094245C">
      <w:pPr>
        <w:spacing w:line="233" w:lineRule="auto"/>
        <w:jc w:val="both"/>
        <w:rPr>
          <w:rFonts w:eastAsia="Times New Roman" w:cs="Times New Roman"/>
          <w:sz w:val="20"/>
          <w:szCs w:val="20"/>
          <w:lang w:val="fr-CA" w:eastAsia="en-CA"/>
        </w:rPr>
      </w:pPr>
      <w:r w:rsidRPr="0094245C">
        <w:rPr>
          <w:rFonts w:eastAsia="Times New Roman" w:cs="Times New Roman"/>
          <w:b/>
          <w:sz w:val="20"/>
          <w:szCs w:val="20"/>
          <w:lang w:val="fr-CA" w:eastAsia="en-CA"/>
        </w:rPr>
        <w:t>ET APRÈS EXAMEN</w:t>
      </w:r>
      <w:r w:rsidRPr="0094245C">
        <w:rPr>
          <w:rFonts w:eastAsia="Times New Roman" w:cs="Times New Roman"/>
          <w:sz w:val="20"/>
          <w:szCs w:val="20"/>
          <w:lang w:val="fr-CA" w:eastAsia="en-CA"/>
        </w:rPr>
        <w:t xml:space="preserve"> des documents déposés </w:t>
      </w:r>
    </w:p>
    <w:p w:rsidR="0094245C" w:rsidRPr="0094245C" w:rsidRDefault="0094245C" w:rsidP="0094245C">
      <w:pPr>
        <w:spacing w:line="233" w:lineRule="auto"/>
        <w:jc w:val="both"/>
        <w:rPr>
          <w:rFonts w:eastAsia="Times New Roman" w:cs="Times New Roman"/>
          <w:sz w:val="20"/>
          <w:szCs w:val="20"/>
          <w:lang w:val="fr-CA" w:eastAsia="en-CA"/>
        </w:rPr>
      </w:pPr>
    </w:p>
    <w:p w:rsidR="0094245C" w:rsidRPr="0094245C" w:rsidRDefault="0094245C" w:rsidP="0094245C">
      <w:pPr>
        <w:spacing w:line="233" w:lineRule="auto"/>
        <w:jc w:val="both"/>
        <w:rPr>
          <w:rFonts w:eastAsia="Times New Roman" w:cs="Times New Roman"/>
          <w:b/>
          <w:sz w:val="20"/>
          <w:szCs w:val="20"/>
          <w:lang w:val="fr-CA" w:eastAsia="en-CA"/>
        </w:rPr>
      </w:pPr>
      <w:r w:rsidRPr="0094245C">
        <w:rPr>
          <w:rFonts w:eastAsia="Times New Roman" w:cs="Times New Roman"/>
          <w:b/>
          <w:sz w:val="20"/>
          <w:szCs w:val="20"/>
          <w:lang w:val="fr-CA" w:eastAsia="en-CA"/>
        </w:rPr>
        <w:t xml:space="preserve">IL EST ORDONNÉ CE QUI SUIT : </w:t>
      </w:r>
    </w:p>
    <w:p w:rsidR="0094245C" w:rsidRPr="0094245C" w:rsidRDefault="0094245C" w:rsidP="0094245C">
      <w:pPr>
        <w:spacing w:line="233" w:lineRule="auto"/>
        <w:jc w:val="both"/>
        <w:rPr>
          <w:rFonts w:eastAsia="Times New Roman" w:cs="Times New Roman"/>
          <w:sz w:val="20"/>
          <w:szCs w:val="20"/>
          <w:lang w:val="fr-CA" w:eastAsia="en-CA"/>
        </w:rPr>
      </w:pPr>
    </w:p>
    <w:p w:rsidR="0094245C" w:rsidRPr="0094245C" w:rsidRDefault="0094245C" w:rsidP="0094245C">
      <w:pPr>
        <w:spacing w:line="233" w:lineRule="auto"/>
        <w:jc w:val="both"/>
        <w:rPr>
          <w:rFonts w:eastAsia="Times New Roman" w:cs="Times New Roman"/>
          <w:sz w:val="20"/>
          <w:szCs w:val="20"/>
          <w:lang w:val="fr-CA" w:eastAsia="en-CA"/>
        </w:rPr>
      </w:pPr>
      <w:r w:rsidRPr="0094245C">
        <w:rPr>
          <w:rFonts w:eastAsia="Times New Roman" w:cs="Times New Roman"/>
          <w:sz w:val="20"/>
          <w:szCs w:val="20"/>
          <w:lang w:val="fr-CA" w:eastAsia="en-CA"/>
        </w:rPr>
        <w:t xml:space="preserve">Les requêtes en autorisation d’intervenir présentées par Santé Cannabis, la Criminal Lawyers’ Association (Ontario), l’Association canadienne des libertés civiles, l’Association des libertés civiles de la Colombie-Britannique, de même que par le Réseau juridique canadien VIH/sida et la HIV &amp; AIDS Legal Clinic Ontario (conjointement)  sont accueillies. Chacun de ces intervenants pourra déposer un mémoire d’au plus 10 pages au plus tard le 10 mars 2015. </w:t>
      </w:r>
    </w:p>
    <w:p w:rsidR="0094245C" w:rsidRPr="0094245C" w:rsidRDefault="0094245C" w:rsidP="0094245C">
      <w:pPr>
        <w:spacing w:line="233" w:lineRule="auto"/>
        <w:jc w:val="both"/>
        <w:rPr>
          <w:rFonts w:eastAsia="Times New Roman" w:cs="Times New Roman"/>
          <w:sz w:val="20"/>
          <w:szCs w:val="20"/>
          <w:lang w:val="fr-CA" w:eastAsia="en-CA"/>
        </w:rPr>
      </w:pPr>
    </w:p>
    <w:p w:rsidR="0094245C" w:rsidRPr="0094245C" w:rsidRDefault="0094245C" w:rsidP="0094245C">
      <w:pPr>
        <w:spacing w:line="233" w:lineRule="auto"/>
        <w:jc w:val="both"/>
        <w:rPr>
          <w:rFonts w:eastAsia="Times New Roman" w:cs="Times New Roman"/>
          <w:sz w:val="20"/>
          <w:szCs w:val="20"/>
          <w:lang w:val="fr-CA" w:eastAsia="en-CA"/>
        </w:rPr>
      </w:pPr>
      <w:r w:rsidRPr="0094245C">
        <w:rPr>
          <w:rFonts w:eastAsia="Times New Roman" w:cs="Times New Roman"/>
          <w:sz w:val="20"/>
          <w:szCs w:val="20"/>
          <w:lang w:val="fr-CA" w:eastAsia="en-CA"/>
        </w:rPr>
        <w:t>La requête en prorogation du délai pour demander l’autorisation d’intervenir déposée par la Medicinal Cannabis Patients’ Alliance of Canada Inc. est accueillie. La requête en autorisation d’intervenir présentée par la Medicinal Cannabis Patients’ Alliance of Canada Inc. est rejetée.</w:t>
      </w:r>
    </w:p>
    <w:p w:rsidR="0094245C" w:rsidRPr="0094245C" w:rsidRDefault="0094245C" w:rsidP="0094245C">
      <w:pPr>
        <w:spacing w:line="233" w:lineRule="auto"/>
        <w:jc w:val="both"/>
        <w:rPr>
          <w:rFonts w:eastAsia="Times New Roman" w:cs="Times New Roman"/>
          <w:sz w:val="20"/>
          <w:szCs w:val="20"/>
          <w:lang w:val="fr-CA" w:eastAsia="en-CA"/>
        </w:rPr>
      </w:pPr>
    </w:p>
    <w:p w:rsidR="0094245C" w:rsidRPr="0094245C" w:rsidRDefault="0094245C" w:rsidP="0094245C">
      <w:pPr>
        <w:spacing w:line="233" w:lineRule="auto"/>
        <w:jc w:val="both"/>
        <w:rPr>
          <w:rFonts w:eastAsia="Times New Roman" w:cs="Times New Roman"/>
          <w:sz w:val="20"/>
          <w:szCs w:val="20"/>
          <w:lang w:val="fr-CA" w:eastAsia="en-CA"/>
        </w:rPr>
      </w:pPr>
      <w:r w:rsidRPr="0094245C">
        <w:rPr>
          <w:rFonts w:eastAsia="Times New Roman" w:cs="Times New Roman"/>
          <w:sz w:val="20"/>
          <w:szCs w:val="20"/>
          <w:lang w:val="fr-CA" w:eastAsia="en-CA"/>
        </w:rPr>
        <w:t xml:space="preserve">La requête présentée par M. Marc Boyer en vue d’être autorisé, en application du par. 15(3) des </w:t>
      </w:r>
      <w:r w:rsidRPr="0094245C">
        <w:rPr>
          <w:rFonts w:eastAsia="Times New Roman" w:cs="Times New Roman"/>
          <w:i/>
          <w:sz w:val="20"/>
          <w:szCs w:val="20"/>
          <w:lang w:val="fr-CA" w:eastAsia="en-CA"/>
        </w:rPr>
        <w:t>Règles de la Cour suprême du Canada</w:t>
      </w:r>
      <w:r w:rsidRPr="0094245C">
        <w:rPr>
          <w:rFonts w:eastAsia="Times New Roman" w:cs="Times New Roman"/>
          <w:sz w:val="20"/>
          <w:szCs w:val="20"/>
          <w:lang w:val="fr-CA" w:eastAsia="en-CA"/>
        </w:rPr>
        <w:t>, à représenter l’association de la circonscription électorale de Vancouver Quadra pour le Parti Marijuana est rejetée. Il est donc inutile de trancher la requête en autorisation d’intervenir.</w:t>
      </w:r>
    </w:p>
    <w:p w:rsidR="0094245C" w:rsidRPr="0094245C" w:rsidRDefault="0094245C" w:rsidP="0094245C">
      <w:pPr>
        <w:spacing w:line="233" w:lineRule="auto"/>
        <w:jc w:val="both"/>
        <w:rPr>
          <w:rFonts w:eastAsia="Times New Roman" w:cs="Times New Roman"/>
          <w:sz w:val="20"/>
          <w:szCs w:val="20"/>
          <w:lang w:val="fr-CA" w:eastAsia="en-CA"/>
        </w:rPr>
      </w:pPr>
    </w:p>
    <w:p w:rsidR="0094245C" w:rsidRPr="0094245C" w:rsidRDefault="0094245C" w:rsidP="0094245C">
      <w:pPr>
        <w:spacing w:line="233" w:lineRule="auto"/>
        <w:jc w:val="both"/>
        <w:rPr>
          <w:rFonts w:eastAsia="Times New Roman" w:cs="Times New Roman"/>
          <w:sz w:val="20"/>
          <w:szCs w:val="20"/>
          <w:lang w:val="fr-CA" w:eastAsia="en-CA"/>
        </w:rPr>
      </w:pPr>
      <w:r w:rsidRPr="0094245C">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94245C" w:rsidRPr="0094245C" w:rsidRDefault="0094245C" w:rsidP="0094245C">
      <w:pPr>
        <w:spacing w:line="233" w:lineRule="auto"/>
        <w:jc w:val="both"/>
        <w:rPr>
          <w:rFonts w:eastAsia="Times New Roman" w:cs="Times New Roman"/>
          <w:sz w:val="20"/>
          <w:szCs w:val="20"/>
          <w:lang w:val="fr-CA" w:eastAsia="en-CA"/>
        </w:rPr>
      </w:pPr>
    </w:p>
    <w:p w:rsidR="0094245C" w:rsidRPr="0094245C" w:rsidRDefault="0094245C" w:rsidP="0094245C">
      <w:pPr>
        <w:spacing w:line="233" w:lineRule="auto"/>
        <w:jc w:val="both"/>
        <w:rPr>
          <w:rFonts w:eastAsia="Times New Roman" w:cs="Times New Roman"/>
          <w:sz w:val="20"/>
          <w:szCs w:val="20"/>
          <w:lang w:val="fr-CA" w:eastAsia="en-CA"/>
        </w:rPr>
      </w:pPr>
      <w:r w:rsidRPr="0094245C">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94245C" w:rsidRPr="0094245C" w:rsidRDefault="0094245C" w:rsidP="0094245C">
      <w:pPr>
        <w:spacing w:line="233" w:lineRule="auto"/>
        <w:jc w:val="both"/>
        <w:rPr>
          <w:rFonts w:eastAsia="Times New Roman" w:cs="Times New Roman"/>
          <w:sz w:val="20"/>
          <w:szCs w:val="20"/>
          <w:lang w:val="fr-CA" w:eastAsia="en-CA"/>
        </w:rPr>
      </w:pPr>
    </w:p>
    <w:p w:rsidR="0094245C" w:rsidRPr="0094245C" w:rsidRDefault="0094245C" w:rsidP="0094245C">
      <w:pPr>
        <w:spacing w:line="233" w:lineRule="auto"/>
        <w:jc w:val="both"/>
        <w:rPr>
          <w:rFonts w:eastAsia="Times New Roman" w:cs="Times New Roman"/>
          <w:sz w:val="20"/>
          <w:szCs w:val="20"/>
          <w:lang w:val="fr-CA" w:eastAsia="en-CA"/>
        </w:rPr>
      </w:pPr>
      <w:r w:rsidRPr="0094245C">
        <w:rPr>
          <w:rFonts w:eastAsia="Times New Roman" w:cs="Times New Roman"/>
          <w:sz w:val="20"/>
          <w:szCs w:val="20"/>
          <w:lang w:val="fr-CA" w:eastAsia="en-CA"/>
        </w:rPr>
        <w:t xml:space="preserve">Conformément à l’alinéa 59(1)a) des </w:t>
      </w:r>
      <w:r w:rsidRPr="0094245C">
        <w:rPr>
          <w:rFonts w:eastAsia="Times New Roman" w:cs="Times New Roman"/>
          <w:i/>
          <w:sz w:val="20"/>
          <w:szCs w:val="20"/>
          <w:lang w:val="fr-CA" w:eastAsia="en-CA"/>
        </w:rPr>
        <w:t>Règles de la Cour suprême du Canada</w:t>
      </w:r>
      <w:r w:rsidRPr="0094245C">
        <w:rPr>
          <w:rFonts w:eastAsia="Times New Roman" w:cs="Times New Roman"/>
          <w:sz w:val="20"/>
          <w:szCs w:val="20"/>
          <w:lang w:val="fr-CA" w:eastAsia="en-CA"/>
        </w:rPr>
        <w:t>, les intervenants paieront à l’appelante et à l’intimé tous débours supplémentaires résultant de leur intervention.</w:t>
      </w:r>
    </w:p>
    <w:p w:rsidR="0094245C" w:rsidRPr="0094245C" w:rsidRDefault="0094245C" w:rsidP="0094245C">
      <w:pPr>
        <w:spacing w:line="233" w:lineRule="auto"/>
        <w:jc w:val="both"/>
        <w:rPr>
          <w:rFonts w:eastAsia="Times New Roman" w:cs="Times New Roman"/>
          <w:b/>
          <w:sz w:val="20"/>
          <w:szCs w:val="20"/>
          <w:lang w:val="fr-CA" w:eastAsia="en-CA"/>
        </w:rPr>
      </w:pPr>
    </w:p>
    <w:p w:rsidR="0094245C" w:rsidRPr="0094245C" w:rsidRDefault="0094245C" w:rsidP="0094245C">
      <w:pPr>
        <w:spacing w:line="233" w:lineRule="auto"/>
        <w:jc w:val="both"/>
        <w:rPr>
          <w:rFonts w:eastAsia="Times New Roman" w:cs="Times New Roman"/>
          <w:sz w:val="20"/>
          <w:szCs w:val="20"/>
          <w:lang w:val="fr-CA" w:eastAsia="en-CA"/>
        </w:rPr>
      </w:pPr>
      <w:r w:rsidRPr="0094245C">
        <w:rPr>
          <w:rFonts w:eastAsia="Times New Roman" w:cs="Times New Roman"/>
          <w:sz w:val="20"/>
          <w:szCs w:val="20"/>
          <w:lang w:val="fr-CA" w:eastAsia="en-CA"/>
        </w:rPr>
        <w:t>La demande de l’appelante pour déposer un mémoire en réponse de 12 pages est rejetée.</w:t>
      </w:r>
    </w:p>
    <w:p w:rsidR="0094245C" w:rsidRPr="0094245C" w:rsidRDefault="0094245C" w:rsidP="0094245C">
      <w:pPr>
        <w:tabs>
          <w:tab w:val="left" w:pos="-1440"/>
          <w:tab w:val="left" w:pos="-720"/>
        </w:tabs>
        <w:jc w:val="both"/>
        <w:rPr>
          <w:rFonts w:eastAsia="Times New Roman" w:cs="Times New Roman"/>
          <w:sz w:val="20"/>
          <w:szCs w:val="20"/>
          <w:lang w:val="fr-CA" w:eastAsia="en-CA"/>
        </w:rPr>
      </w:pPr>
    </w:p>
    <w:p w:rsidR="0094245C" w:rsidRPr="0094245C" w:rsidRDefault="003A60BB" w:rsidP="0094245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0" style="width:2in;height:1pt" o:hrpct="0" o:hralign="center" o:hrstd="t" o:hrnoshade="t" o:hr="t" fillcolor="black [3213]" stroked="f"/>
        </w:pict>
      </w:r>
    </w:p>
    <w:p w:rsidR="0094245C" w:rsidRPr="0094245C" w:rsidRDefault="0094245C" w:rsidP="0094245C">
      <w:pPr>
        <w:tabs>
          <w:tab w:val="left" w:pos="-1440"/>
          <w:tab w:val="left" w:pos="-720"/>
        </w:tabs>
        <w:jc w:val="both"/>
        <w:rPr>
          <w:rFonts w:eastAsia="Times New Roman" w:cs="Times New Roman"/>
          <w:sz w:val="20"/>
          <w:szCs w:val="20"/>
          <w:lang w:eastAsia="en-CA"/>
        </w:rPr>
      </w:pPr>
    </w:p>
    <w:p w:rsidR="0094245C" w:rsidRPr="0094245C" w:rsidRDefault="0094245C" w:rsidP="0094245C">
      <w:pPr>
        <w:tabs>
          <w:tab w:val="left" w:pos="-1440"/>
          <w:tab w:val="left" w:pos="-720"/>
        </w:tabs>
        <w:jc w:val="both"/>
        <w:rPr>
          <w:rFonts w:eastAsia="Times New Roman" w:cs="Times New Roman"/>
          <w:sz w:val="20"/>
          <w:szCs w:val="20"/>
          <w:lang w:eastAsia="en-CA"/>
        </w:rPr>
      </w:pPr>
      <w:r w:rsidRPr="0094245C">
        <w:rPr>
          <w:rFonts w:eastAsia="Times New Roman" w:cs="Times New Roman"/>
          <w:sz w:val="20"/>
          <w:szCs w:val="20"/>
          <w:lang w:eastAsia="en-CA"/>
        </w:rPr>
        <w:t>19.02.2015</w:t>
      </w:r>
    </w:p>
    <w:p w:rsidR="0094245C" w:rsidRPr="0094245C" w:rsidRDefault="0094245C" w:rsidP="0094245C">
      <w:pPr>
        <w:tabs>
          <w:tab w:val="left" w:pos="-1440"/>
          <w:tab w:val="left" w:pos="-720"/>
        </w:tabs>
        <w:jc w:val="both"/>
        <w:rPr>
          <w:rFonts w:eastAsia="Times New Roman" w:cs="Times New Roman"/>
          <w:sz w:val="20"/>
          <w:szCs w:val="20"/>
          <w:lang w:eastAsia="en-CA"/>
        </w:rPr>
      </w:pPr>
    </w:p>
    <w:p w:rsidR="0094245C" w:rsidRPr="0094245C" w:rsidRDefault="0094245C" w:rsidP="0094245C">
      <w:pPr>
        <w:tabs>
          <w:tab w:val="left" w:pos="-1440"/>
          <w:tab w:val="left" w:pos="-720"/>
        </w:tabs>
        <w:jc w:val="both"/>
        <w:rPr>
          <w:rFonts w:eastAsia="Times New Roman" w:cs="Times New Roman"/>
          <w:sz w:val="20"/>
          <w:szCs w:val="20"/>
          <w:lang w:val="fr-CA" w:eastAsia="en-CA"/>
        </w:rPr>
      </w:pPr>
      <w:r w:rsidRPr="0094245C">
        <w:rPr>
          <w:rFonts w:eastAsia="Times New Roman" w:cs="Times New Roman"/>
          <w:sz w:val="20"/>
          <w:szCs w:val="20"/>
          <w:lang w:val="fr-CA" w:eastAsia="en-CA"/>
        </w:rPr>
        <w:t>Before / Devant:   WAGNER J. / LE JUGE WAGNER</w:t>
      </w:r>
    </w:p>
    <w:p w:rsidR="0094245C" w:rsidRPr="0094245C" w:rsidRDefault="0094245C" w:rsidP="0094245C">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94245C" w:rsidRPr="0094245C" w:rsidTr="003431AF">
        <w:trPr>
          <w:trHeight w:val="151"/>
        </w:trPr>
        <w:tc>
          <w:tcPr>
            <w:tcW w:w="4338" w:type="dxa"/>
          </w:tcPr>
          <w:p w:rsidR="0094245C" w:rsidRPr="0094245C" w:rsidRDefault="003A0C94" w:rsidP="0094245C">
            <w:pPr>
              <w:tabs>
                <w:tab w:val="left" w:pos="-1440"/>
                <w:tab w:val="left" w:pos="-720"/>
              </w:tabs>
              <w:jc w:val="both"/>
              <w:rPr>
                <w:lang w:val="fr-CA"/>
              </w:rPr>
            </w:pPr>
            <w:r w:rsidRPr="0094245C">
              <w:rPr>
                <w:lang w:val="en-US"/>
              </w:rPr>
              <w:fldChar w:fldCharType="begin"/>
            </w:r>
            <w:r w:rsidR="0094245C" w:rsidRPr="0094245C">
              <w:rPr>
                <w:lang w:val="fr-CA"/>
              </w:rPr>
              <w:instrText xml:space="preserve"> SEQ CHAPTER \h \r 1</w:instrText>
            </w:r>
            <w:r w:rsidRPr="0094245C">
              <w:rPr>
                <w:lang w:val="en-US"/>
              </w:rPr>
              <w:fldChar w:fldCharType="end"/>
            </w:r>
            <w:r w:rsidR="0094245C" w:rsidRPr="0094245C">
              <w:rPr>
                <w:b/>
                <w:bCs/>
                <w:lang w:val="fr-CA"/>
              </w:rPr>
              <w:t>Miscellaneous motion</w:t>
            </w:r>
          </w:p>
          <w:p w:rsidR="0094245C" w:rsidRPr="0094245C" w:rsidRDefault="003A0C94" w:rsidP="0094245C">
            <w:pPr>
              <w:tabs>
                <w:tab w:val="left" w:pos="-1440"/>
                <w:tab w:val="left" w:pos="-720"/>
              </w:tabs>
              <w:jc w:val="both"/>
              <w:rPr>
                <w:lang w:val="fr-CA"/>
              </w:rPr>
            </w:pPr>
            <w:r w:rsidRPr="0094245C">
              <w:rPr>
                <w:lang w:val="en-US"/>
              </w:rPr>
              <w:fldChar w:fldCharType="begin"/>
            </w:r>
            <w:r w:rsidR="0094245C" w:rsidRPr="0094245C">
              <w:rPr>
                <w:lang w:val="fr-CA"/>
              </w:rPr>
              <w:instrText xml:space="preserve"> SEQ CHAPTER \h \r 1</w:instrText>
            </w:r>
            <w:r w:rsidRPr="0094245C">
              <w:rPr>
                <w:lang w:val="en-US"/>
              </w:rPr>
              <w:fldChar w:fldCharType="end"/>
            </w:r>
          </w:p>
        </w:tc>
        <w:tc>
          <w:tcPr>
            <w:tcW w:w="1170" w:type="dxa"/>
          </w:tcPr>
          <w:p w:rsidR="0094245C" w:rsidRPr="0094245C" w:rsidRDefault="0094245C" w:rsidP="0094245C">
            <w:pPr>
              <w:jc w:val="both"/>
              <w:rPr>
                <w:lang w:val="fr-CA"/>
              </w:rPr>
            </w:pPr>
          </w:p>
          <w:p w:rsidR="0094245C" w:rsidRPr="0094245C" w:rsidRDefault="0094245C" w:rsidP="0094245C">
            <w:pPr>
              <w:jc w:val="both"/>
              <w:rPr>
                <w:lang w:val="fr-CA"/>
              </w:rPr>
            </w:pPr>
          </w:p>
        </w:tc>
        <w:tc>
          <w:tcPr>
            <w:tcW w:w="4327" w:type="dxa"/>
          </w:tcPr>
          <w:p w:rsidR="0094245C" w:rsidRPr="0094245C" w:rsidRDefault="003A0C94" w:rsidP="0094245C">
            <w:pPr>
              <w:jc w:val="both"/>
              <w:rPr>
                <w:b/>
                <w:lang w:val="fr-CA"/>
              </w:rPr>
            </w:pPr>
            <w:r w:rsidRPr="0094245C">
              <w:rPr>
                <w:lang w:val="en-US"/>
              </w:rPr>
              <w:fldChar w:fldCharType="begin"/>
            </w:r>
            <w:r w:rsidR="0094245C" w:rsidRPr="0094245C">
              <w:rPr>
                <w:lang w:val="fr-CA"/>
              </w:rPr>
              <w:instrText xml:space="preserve"> SEQ CHAPTER \h \r 1</w:instrText>
            </w:r>
            <w:r w:rsidRPr="0094245C">
              <w:rPr>
                <w:lang w:val="en-US"/>
              </w:rPr>
              <w:fldChar w:fldCharType="end"/>
            </w:r>
            <w:r w:rsidR="0094245C" w:rsidRPr="0094245C">
              <w:rPr>
                <w:b/>
                <w:bCs/>
                <w:lang w:val="fr-CA"/>
              </w:rPr>
              <w:t>Requête diverse</w:t>
            </w:r>
          </w:p>
          <w:p w:rsidR="0094245C" w:rsidRPr="0094245C" w:rsidRDefault="003A0C94" w:rsidP="0094245C">
            <w:pPr>
              <w:jc w:val="both"/>
              <w:rPr>
                <w:b/>
                <w:lang w:val="fr-CA"/>
              </w:rPr>
            </w:pPr>
            <w:r w:rsidRPr="0094245C">
              <w:rPr>
                <w:b/>
                <w:lang w:val="en-US"/>
              </w:rPr>
              <w:fldChar w:fldCharType="begin"/>
            </w:r>
            <w:r w:rsidR="0094245C" w:rsidRPr="0094245C">
              <w:rPr>
                <w:b/>
                <w:lang w:val="fr-CA"/>
              </w:rPr>
              <w:instrText xml:space="preserve"> SEQ CHAPTER \h \r 1</w:instrText>
            </w:r>
            <w:r w:rsidRPr="0094245C">
              <w:rPr>
                <w:b/>
                <w:lang w:val="en-US"/>
              </w:rPr>
              <w:fldChar w:fldCharType="end"/>
            </w:r>
            <w:r w:rsidRPr="0094245C">
              <w:rPr>
                <w:b/>
                <w:lang w:val="en-US"/>
              </w:rPr>
              <w:fldChar w:fldCharType="begin"/>
            </w:r>
            <w:r w:rsidR="0094245C" w:rsidRPr="0094245C">
              <w:rPr>
                <w:b/>
                <w:lang w:val="fr-CA"/>
              </w:rPr>
              <w:instrText xml:space="preserve"> SEQ CHAPTER \h \r 1</w:instrText>
            </w:r>
            <w:r w:rsidRPr="0094245C">
              <w:rPr>
                <w:b/>
                <w:lang w:val="en-US"/>
              </w:rPr>
              <w:fldChar w:fldCharType="end"/>
            </w:r>
          </w:p>
        </w:tc>
      </w:tr>
      <w:tr w:rsidR="0094245C" w:rsidRPr="0094245C" w:rsidTr="003431AF">
        <w:trPr>
          <w:trHeight w:val="150"/>
        </w:trPr>
        <w:tc>
          <w:tcPr>
            <w:tcW w:w="4338" w:type="dxa"/>
          </w:tcPr>
          <w:p w:rsidR="0094245C" w:rsidRPr="0094245C" w:rsidRDefault="0094245C" w:rsidP="0094245C">
            <w:pPr>
              <w:tabs>
                <w:tab w:val="left" w:pos="-1440"/>
                <w:tab w:val="left" w:pos="-720"/>
              </w:tabs>
              <w:jc w:val="both"/>
              <w:rPr>
                <w:lang w:val="fr-CA"/>
              </w:rPr>
            </w:pPr>
            <w:r w:rsidRPr="0094245C">
              <w:rPr>
                <w:lang w:val="fr-CA"/>
              </w:rPr>
              <w:t>Ita Robbins et al.</w:t>
            </w:r>
          </w:p>
          <w:p w:rsidR="0094245C" w:rsidRPr="0094245C" w:rsidRDefault="0094245C" w:rsidP="0094245C">
            <w:pPr>
              <w:tabs>
                <w:tab w:val="left" w:pos="-1440"/>
                <w:tab w:val="left" w:pos="-720"/>
              </w:tabs>
              <w:jc w:val="both"/>
              <w:rPr>
                <w:lang w:val="fr-CA"/>
              </w:rPr>
            </w:pPr>
          </w:p>
          <w:p w:rsidR="0094245C" w:rsidRPr="0094245C" w:rsidRDefault="0094245C" w:rsidP="0094245C">
            <w:pPr>
              <w:tabs>
                <w:tab w:val="left" w:pos="-1440"/>
                <w:tab w:val="left" w:pos="-720"/>
              </w:tabs>
              <w:jc w:val="both"/>
              <w:rPr>
                <w:lang w:val="fr-CA"/>
              </w:rPr>
            </w:pPr>
            <w:r w:rsidRPr="0094245C">
              <w:rPr>
                <w:lang w:val="fr-CA"/>
              </w:rPr>
              <w:tab/>
              <w:t>v. (35772)</w:t>
            </w:r>
          </w:p>
          <w:p w:rsidR="0094245C" w:rsidRPr="0094245C" w:rsidRDefault="0094245C" w:rsidP="0094245C">
            <w:pPr>
              <w:tabs>
                <w:tab w:val="left" w:pos="-1440"/>
                <w:tab w:val="left" w:pos="-720"/>
              </w:tabs>
              <w:jc w:val="both"/>
              <w:rPr>
                <w:lang w:val="fr-CA"/>
              </w:rPr>
            </w:pPr>
          </w:p>
          <w:p w:rsidR="0094245C" w:rsidRPr="0094245C" w:rsidRDefault="0094245C" w:rsidP="0094245C">
            <w:pPr>
              <w:tabs>
                <w:tab w:val="left" w:pos="-1440"/>
                <w:tab w:val="left" w:pos="-720"/>
              </w:tabs>
              <w:jc w:val="both"/>
            </w:pPr>
            <w:r w:rsidRPr="0094245C">
              <w:t>Cambridge Mortgage Investment Corporation (B.C.)</w:t>
            </w:r>
          </w:p>
        </w:tc>
        <w:tc>
          <w:tcPr>
            <w:tcW w:w="1170" w:type="dxa"/>
          </w:tcPr>
          <w:p w:rsidR="0094245C" w:rsidRPr="0094245C" w:rsidRDefault="0094245C" w:rsidP="0094245C">
            <w:pPr>
              <w:jc w:val="both"/>
            </w:pPr>
          </w:p>
        </w:tc>
        <w:tc>
          <w:tcPr>
            <w:tcW w:w="4327" w:type="dxa"/>
          </w:tcPr>
          <w:p w:rsidR="0094245C" w:rsidRPr="0094245C" w:rsidRDefault="0094245C" w:rsidP="0094245C">
            <w:pPr>
              <w:jc w:val="both"/>
            </w:pPr>
          </w:p>
        </w:tc>
      </w:tr>
    </w:tbl>
    <w:p w:rsidR="0094245C" w:rsidRPr="0094245C" w:rsidRDefault="0094245C" w:rsidP="0094245C">
      <w:pPr>
        <w:tabs>
          <w:tab w:val="left" w:pos="-1440"/>
          <w:tab w:val="left" w:pos="-720"/>
        </w:tabs>
        <w:jc w:val="both"/>
        <w:rPr>
          <w:rFonts w:eastAsia="Times New Roman" w:cs="Times New Roman"/>
          <w:sz w:val="20"/>
          <w:szCs w:val="20"/>
          <w:lang w:eastAsia="en-CA"/>
        </w:rPr>
      </w:pPr>
    </w:p>
    <w:p w:rsidR="0094245C" w:rsidRPr="0094245C" w:rsidRDefault="0094245C" w:rsidP="0094245C">
      <w:pPr>
        <w:tabs>
          <w:tab w:val="left" w:pos="-1440"/>
          <w:tab w:val="left" w:pos="-720"/>
        </w:tabs>
        <w:jc w:val="both"/>
        <w:rPr>
          <w:rFonts w:eastAsia="Times New Roman" w:cs="Times New Roman"/>
          <w:sz w:val="20"/>
          <w:szCs w:val="20"/>
          <w:lang w:eastAsia="en-CA"/>
        </w:rPr>
      </w:pPr>
      <w:r w:rsidRPr="0094245C">
        <w:rPr>
          <w:rFonts w:eastAsia="Times New Roman" w:cs="Times New Roman"/>
          <w:b/>
          <w:sz w:val="20"/>
          <w:szCs w:val="20"/>
          <w:lang w:eastAsia="en-CA"/>
        </w:rPr>
        <w:t>DISMISSED / REJETÉE</w:t>
      </w:r>
    </w:p>
    <w:p w:rsidR="0094245C" w:rsidRPr="0094245C" w:rsidRDefault="0094245C" w:rsidP="0094245C">
      <w:pPr>
        <w:tabs>
          <w:tab w:val="left" w:pos="-1440"/>
          <w:tab w:val="left" w:pos="-720"/>
        </w:tabs>
        <w:jc w:val="both"/>
        <w:rPr>
          <w:rFonts w:eastAsia="Times New Roman" w:cs="Times New Roman"/>
          <w:sz w:val="20"/>
          <w:szCs w:val="20"/>
          <w:lang w:eastAsia="en-CA"/>
        </w:rPr>
      </w:pPr>
    </w:p>
    <w:p w:rsidR="0094245C" w:rsidRPr="0094245C" w:rsidRDefault="0094245C" w:rsidP="0094245C">
      <w:pPr>
        <w:jc w:val="both"/>
        <w:rPr>
          <w:rFonts w:eastAsia="Times New Roman" w:cs="Times New Roman"/>
          <w:sz w:val="20"/>
          <w:szCs w:val="20"/>
          <w:lang w:val="en-US" w:eastAsia="en-CA"/>
        </w:rPr>
      </w:pPr>
      <w:r w:rsidRPr="0094245C">
        <w:rPr>
          <w:rFonts w:eastAsia="Times New Roman" w:cs="Times New Roman"/>
          <w:b/>
          <w:sz w:val="20"/>
          <w:szCs w:val="20"/>
          <w:lang w:val="en-US" w:eastAsia="en-CA"/>
        </w:rPr>
        <w:t>UPON APPLICATION</w:t>
      </w:r>
      <w:r w:rsidRPr="0094245C">
        <w:rPr>
          <w:rFonts w:eastAsia="Times New Roman" w:cs="Times New Roman"/>
          <w:sz w:val="20"/>
          <w:szCs w:val="20"/>
          <w:lang w:val="en-US" w:eastAsia="en-CA"/>
        </w:rPr>
        <w:t xml:space="preserve"> by Ita Robbins and Frana Matich, dated November 17, 2014, seeking to delay the taxation, to declare certain persons vexatious litigants and to allow the filing of affidavit evidence in support; </w:t>
      </w:r>
    </w:p>
    <w:p w:rsidR="0094245C" w:rsidRPr="0094245C" w:rsidRDefault="0094245C" w:rsidP="0094245C">
      <w:pPr>
        <w:jc w:val="both"/>
        <w:rPr>
          <w:rFonts w:eastAsia="Times New Roman" w:cs="Times New Roman"/>
          <w:sz w:val="20"/>
          <w:szCs w:val="20"/>
          <w:lang w:val="en-US" w:eastAsia="en-CA"/>
        </w:rPr>
      </w:pPr>
    </w:p>
    <w:p w:rsidR="0094245C" w:rsidRPr="0094245C" w:rsidRDefault="0094245C" w:rsidP="0094245C">
      <w:pPr>
        <w:jc w:val="both"/>
        <w:rPr>
          <w:rFonts w:eastAsia="Times New Roman" w:cs="Times New Roman"/>
          <w:sz w:val="20"/>
          <w:szCs w:val="20"/>
          <w:lang w:val="en-US" w:eastAsia="en-CA"/>
        </w:rPr>
      </w:pPr>
      <w:r w:rsidRPr="0094245C">
        <w:rPr>
          <w:rFonts w:eastAsia="Times New Roman" w:cs="Times New Roman"/>
          <w:b/>
          <w:sz w:val="20"/>
          <w:szCs w:val="20"/>
          <w:lang w:val="en-US" w:eastAsia="en-CA"/>
        </w:rPr>
        <w:t>AND UPON</w:t>
      </w:r>
      <w:r w:rsidRPr="0094245C">
        <w:rPr>
          <w:rFonts w:eastAsia="Times New Roman" w:cs="Times New Roman"/>
          <w:sz w:val="20"/>
          <w:szCs w:val="20"/>
          <w:lang w:val="en-US" w:eastAsia="en-CA"/>
        </w:rPr>
        <w:t xml:space="preserve"> Ita Robbins, Frana Matich, Glen P. Robbins and Veronica Robbins (Infant) seeking to file a Notice of Motion for miscellaneous remedies, received February 2, 2015;</w:t>
      </w:r>
    </w:p>
    <w:p w:rsidR="0094245C" w:rsidRPr="0094245C" w:rsidRDefault="0094245C" w:rsidP="0094245C">
      <w:pPr>
        <w:jc w:val="both"/>
        <w:rPr>
          <w:rFonts w:eastAsia="Times New Roman" w:cs="Times New Roman"/>
          <w:sz w:val="20"/>
          <w:szCs w:val="20"/>
          <w:lang w:val="en-US" w:eastAsia="en-CA"/>
        </w:rPr>
      </w:pPr>
    </w:p>
    <w:p w:rsidR="0094245C" w:rsidRPr="0094245C" w:rsidRDefault="0094245C" w:rsidP="0094245C">
      <w:pPr>
        <w:jc w:val="both"/>
        <w:rPr>
          <w:rFonts w:eastAsia="Times New Roman" w:cs="Times New Roman"/>
          <w:sz w:val="20"/>
          <w:szCs w:val="20"/>
          <w:lang w:val="en-US" w:eastAsia="en-CA"/>
        </w:rPr>
      </w:pPr>
      <w:r w:rsidRPr="0094245C">
        <w:rPr>
          <w:rFonts w:eastAsia="Times New Roman" w:cs="Times New Roman"/>
          <w:b/>
          <w:sz w:val="20"/>
          <w:szCs w:val="20"/>
          <w:lang w:val="en-US" w:eastAsia="en-CA"/>
        </w:rPr>
        <w:t>AND UPON</w:t>
      </w:r>
      <w:r w:rsidRPr="0094245C">
        <w:rPr>
          <w:rFonts w:eastAsia="Times New Roman" w:cs="Times New Roman"/>
          <w:sz w:val="20"/>
          <w:szCs w:val="20"/>
          <w:lang w:val="en-US" w:eastAsia="en-CA"/>
        </w:rPr>
        <w:t xml:space="preserve"> the Registrar referring these matters to a judge pursuant to Rule 13 of the </w:t>
      </w:r>
      <w:r w:rsidRPr="0094245C">
        <w:rPr>
          <w:rFonts w:eastAsia="Times New Roman" w:cs="Times New Roman"/>
          <w:i/>
          <w:sz w:val="20"/>
          <w:szCs w:val="20"/>
          <w:lang w:val="en-US" w:eastAsia="en-CA"/>
        </w:rPr>
        <w:t>Rules of the Supreme Court of Canada</w:t>
      </w:r>
      <w:r w:rsidRPr="0094245C">
        <w:rPr>
          <w:rFonts w:eastAsia="Times New Roman" w:cs="Times New Roman"/>
          <w:sz w:val="20"/>
          <w:szCs w:val="20"/>
          <w:lang w:val="en-US" w:eastAsia="en-CA"/>
        </w:rPr>
        <w:t>;</w:t>
      </w:r>
    </w:p>
    <w:p w:rsidR="0094245C" w:rsidRPr="0094245C" w:rsidRDefault="0094245C" w:rsidP="0094245C">
      <w:pPr>
        <w:jc w:val="both"/>
        <w:rPr>
          <w:rFonts w:eastAsia="Times New Roman" w:cs="Times New Roman"/>
          <w:sz w:val="20"/>
          <w:szCs w:val="20"/>
          <w:lang w:val="en-US" w:eastAsia="en-CA"/>
        </w:rPr>
      </w:pPr>
    </w:p>
    <w:p w:rsidR="0094245C" w:rsidRPr="0094245C" w:rsidRDefault="0094245C" w:rsidP="0094245C">
      <w:pPr>
        <w:jc w:val="both"/>
        <w:rPr>
          <w:rFonts w:eastAsia="Times New Roman" w:cs="Times New Roman"/>
          <w:sz w:val="20"/>
          <w:szCs w:val="20"/>
          <w:lang w:val="en-US" w:eastAsia="en-CA"/>
        </w:rPr>
      </w:pPr>
      <w:r w:rsidRPr="0094245C">
        <w:rPr>
          <w:rFonts w:eastAsia="Times New Roman" w:cs="Times New Roman"/>
          <w:b/>
          <w:sz w:val="20"/>
          <w:szCs w:val="20"/>
          <w:lang w:val="en-US" w:eastAsia="en-CA"/>
        </w:rPr>
        <w:t xml:space="preserve">AND HAVING READ </w:t>
      </w:r>
      <w:r w:rsidRPr="0094245C">
        <w:rPr>
          <w:rFonts w:eastAsia="Times New Roman" w:cs="Times New Roman"/>
          <w:sz w:val="20"/>
          <w:szCs w:val="20"/>
          <w:lang w:val="en-US" w:eastAsia="en-CA"/>
        </w:rPr>
        <w:t xml:space="preserve">the material; </w:t>
      </w:r>
    </w:p>
    <w:p w:rsidR="0094245C" w:rsidRPr="0094245C" w:rsidRDefault="0094245C" w:rsidP="0094245C">
      <w:pPr>
        <w:jc w:val="both"/>
        <w:rPr>
          <w:rFonts w:eastAsia="Times New Roman" w:cs="Times New Roman"/>
          <w:sz w:val="20"/>
          <w:szCs w:val="20"/>
          <w:lang w:val="en-US" w:eastAsia="en-CA"/>
        </w:rPr>
      </w:pPr>
    </w:p>
    <w:p w:rsidR="0094245C" w:rsidRPr="0094245C" w:rsidRDefault="0094245C" w:rsidP="0094245C">
      <w:pPr>
        <w:jc w:val="both"/>
        <w:rPr>
          <w:rFonts w:eastAsia="Times New Roman" w:cs="Times New Roman"/>
          <w:sz w:val="20"/>
          <w:szCs w:val="20"/>
          <w:lang w:val="en-US" w:eastAsia="en-CA"/>
        </w:rPr>
      </w:pPr>
      <w:r w:rsidRPr="0094245C">
        <w:rPr>
          <w:rFonts w:eastAsia="Times New Roman" w:cs="Times New Roman"/>
          <w:b/>
          <w:sz w:val="20"/>
          <w:szCs w:val="20"/>
          <w:lang w:val="en-US" w:eastAsia="en-CA"/>
        </w:rPr>
        <w:t>IT IS HEREBY ORDERED THAT</w:t>
      </w:r>
      <w:r w:rsidRPr="0094245C">
        <w:rPr>
          <w:rFonts w:eastAsia="Times New Roman" w:cs="Times New Roman"/>
          <w:sz w:val="20"/>
          <w:szCs w:val="20"/>
          <w:lang w:val="en-US" w:eastAsia="en-CA"/>
        </w:rPr>
        <w:t xml:space="preserve"> </w:t>
      </w:r>
    </w:p>
    <w:p w:rsidR="0094245C" w:rsidRPr="0094245C" w:rsidRDefault="0094245C" w:rsidP="0094245C">
      <w:pPr>
        <w:jc w:val="both"/>
        <w:rPr>
          <w:rFonts w:eastAsia="Times New Roman" w:cs="Times New Roman"/>
          <w:sz w:val="20"/>
          <w:szCs w:val="20"/>
          <w:lang w:val="en-US" w:eastAsia="en-CA"/>
        </w:rPr>
      </w:pPr>
    </w:p>
    <w:p w:rsidR="0094245C" w:rsidRPr="0094245C" w:rsidRDefault="0094245C" w:rsidP="0094245C">
      <w:pPr>
        <w:jc w:val="both"/>
        <w:rPr>
          <w:rFonts w:eastAsia="Times New Roman" w:cs="Times New Roman"/>
          <w:sz w:val="20"/>
          <w:szCs w:val="20"/>
          <w:lang w:val="en-US" w:eastAsia="en-CA"/>
        </w:rPr>
      </w:pPr>
      <w:r w:rsidRPr="0094245C">
        <w:rPr>
          <w:rFonts w:eastAsia="Times New Roman" w:cs="Times New Roman"/>
          <w:sz w:val="20"/>
          <w:szCs w:val="20"/>
          <w:lang w:val="en-US" w:eastAsia="en-CA"/>
        </w:rPr>
        <w:t>The motion is dismissed.</w:t>
      </w:r>
    </w:p>
    <w:p w:rsidR="0094245C" w:rsidRPr="0094245C" w:rsidRDefault="0094245C" w:rsidP="0094245C">
      <w:pPr>
        <w:jc w:val="both"/>
        <w:rPr>
          <w:rFonts w:eastAsia="Times New Roman" w:cs="Times New Roman"/>
          <w:sz w:val="20"/>
          <w:szCs w:val="20"/>
          <w:lang w:val="en-US" w:eastAsia="en-CA"/>
        </w:rPr>
      </w:pPr>
    </w:p>
    <w:p w:rsidR="0094245C" w:rsidRPr="0094245C" w:rsidRDefault="0094245C" w:rsidP="0094245C">
      <w:pPr>
        <w:jc w:val="both"/>
        <w:rPr>
          <w:rFonts w:eastAsia="Times New Roman" w:cs="Times New Roman"/>
          <w:sz w:val="20"/>
          <w:szCs w:val="20"/>
          <w:lang w:val="en-US" w:eastAsia="en-CA"/>
        </w:rPr>
      </w:pPr>
      <w:r w:rsidRPr="0094245C">
        <w:rPr>
          <w:rFonts w:eastAsia="Times New Roman" w:cs="Times New Roman"/>
          <w:sz w:val="20"/>
          <w:szCs w:val="20"/>
          <w:lang w:val="en-US" w:eastAsia="en-CA"/>
        </w:rPr>
        <w:t>The Notice of Motion is not accepted for filing. The Registrar shall return the materials to the applicants.</w:t>
      </w:r>
    </w:p>
    <w:p w:rsidR="0094245C" w:rsidRPr="0094245C" w:rsidRDefault="0094245C" w:rsidP="0094245C">
      <w:pPr>
        <w:jc w:val="both"/>
        <w:rPr>
          <w:rFonts w:eastAsia="Times New Roman" w:cs="Times New Roman"/>
          <w:sz w:val="20"/>
          <w:szCs w:val="20"/>
          <w:lang w:val="en-US" w:eastAsia="en-CA"/>
        </w:rPr>
      </w:pPr>
    </w:p>
    <w:p w:rsidR="0094245C" w:rsidRPr="0094245C" w:rsidRDefault="0094245C" w:rsidP="0094245C">
      <w:pPr>
        <w:jc w:val="both"/>
        <w:rPr>
          <w:rFonts w:eastAsia="Times New Roman" w:cs="Times New Roman"/>
          <w:sz w:val="20"/>
          <w:szCs w:val="20"/>
          <w:lang w:val="en-US" w:eastAsia="en-CA"/>
        </w:rPr>
      </w:pPr>
    </w:p>
    <w:p w:rsidR="0094245C" w:rsidRPr="0094245C" w:rsidRDefault="0094245C" w:rsidP="0094245C">
      <w:pPr>
        <w:jc w:val="both"/>
        <w:rPr>
          <w:rFonts w:eastAsia="Times New Roman" w:cs="Times New Roman"/>
          <w:sz w:val="20"/>
          <w:szCs w:val="20"/>
          <w:lang w:val="en-US" w:eastAsia="en-CA"/>
        </w:rPr>
      </w:pPr>
    </w:p>
    <w:p w:rsidR="0094245C" w:rsidRPr="0094245C" w:rsidRDefault="0094245C" w:rsidP="0094245C">
      <w:pPr>
        <w:jc w:val="both"/>
        <w:rPr>
          <w:rFonts w:eastAsia="Times New Roman" w:cs="Times New Roman"/>
          <w:sz w:val="20"/>
          <w:szCs w:val="20"/>
          <w:lang w:val="fr-CA" w:eastAsia="en-CA"/>
        </w:rPr>
      </w:pPr>
      <w:r w:rsidRPr="0094245C">
        <w:rPr>
          <w:rFonts w:eastAsia="Times New Roman" w:cs="Times New Roman"/>
          <w:b/>
          <w:sz w:val="20"/>
          <w:szCs w:val="20"/>
          <w:lang w:val="fr-CA" w:eastAsia="en-CA"/>
        </w:rPr>
        <w:t>À LA SUITE DE LA DEMANDE</w:t>
      </w:r>
      <w:r w:rsidRPr="0094245C">
        <w:rPr>
          <w:rFonts w:eastAsia="Times New Roman" w:cs="Times New Roman"/>
          <w:sz w:val="20"/>
          <w:szCs w:val="20"/>
          <w:lang w:val="fr-CA" w:eastAsia="en-CA"/>
        </w:rPr>
        <w:t xml:space="preserve"> présentée par Ita Robbins et Frana Matich le 17 novembre 2014 visant à faire retarder la taxation, à faire déclarer certaines personnes plaideuses quérulentes et à faire autoriser le dépôt d’une preuve par affidavit au soutien de leurs allégations;</w:t>
      </w:r>
    </w:p>
    <w:p w:rsidR="0094245C" w:rsidRPr="0094245C" w:rsidRDefault="0094245C" w:rsidP="0094245C">
      <w:pPr>
        <w:jc w:val="both"/>
        <w:rPr>
          <w:rFonts w:eastAsia="Times New Roman" w:cs="Times New Roman"/>
          <w:sz w:val="20"/>
          <w:szCs w:val="20"/>
          <w:lang w:val="fr-CA" w:eastAsia="en-CA"/>
        </w:rPr>
      </w:pPr>
    </w:p>
    <w:p w:rsidR="0094245C" w:rsidRPr="0094245C" w:rsidRDefault="0094245C" w:rsidP="0094245C">
      <w:pPr>
        <w:jc w:val="both"/>
        <w:rPr>
          <w:rFonts w:eastAsia="Times New Roman" w:cs="Times New Roman"/>
          <w:sz w:val="20"/>
          <w:szCs w:val="20"/>
          <w:lang w:val="fr-CA" w:eastAsia="en-CA"/>
        </w:rPr>
      </w:pPr>
      <w:r w:rsidRPr="0094245C">
        <w:rPr>
          <w:rFonts w:eastAsia="Times New Roman" w:cs="Times New Roman"/>
          <w:b/>
          <w:sz w:val="20"/>
          <w:szCs w:val="20"/>
          <w:lang w:val="fr-CA" w:eastAsia="en-CA"/>
        </w:rPr>
        <w:t xml:space="preserve">ET COMPTE TENU DE LA VOLONTÉ </w:t>
      </w:r>
      <w:r w:rsidRPr="0094245C">
        <w:rPr>
          <w:rFonts w:eastAsia="Times New Roman" w:cs="Times New Roman"/>
          <w:sz w:val="20"/>
          <w:szCs w:val="20"/>
          <w:lang w:val="fr-CA" w:eastAsia="en-CA"/>
        </w:rPr>
        <w:t>d’Ita Robbins, de Frana Matich, de Glen P. Robbins et de Veronica Robbins (nourrisson) de déposer un avis de requête sollicitant diverses mesures de réparation et reçu le 2 février 2015;</w:t>
      </w:r>
    </w:p>
    <w:p w:rsidR="0094245C" w:rsidRPr="0094245C" w:rsidRDefault="0094245C" w:rsidP="0094245C">
      <w:pPr>
        <w:jc w:val="both"/>
        <w:rPr>
          <w:rFonts w:eastAsia="Times New Roman" w:cs="Times New Roman"/>
          <w:sz w:val="20"/>
          <w:szCs w:val="20"/>
          <w:lang w:val="fr-CA" w:eastAsia="en-CA"/>
        </w:rPr>
      </w:pPr>
    </w:p>
    <w:p w:rsidR="0094245C" w:rsidRPr="0094245C" w:rsidRDefault="0094245C" w:rsidP="0094245C">
      <w:pPr>
        <w:jc w:val="both"/>
        <w:rPr>
          <w:rFonts w:eastAsia="Times New Roman" w:cs="Times New Roman"/>
          <w:sz w:val="20"/>
          <w:szCs w:val="20"/>
          <w:lang w:val="fr-CA" w:eastAsia="en-CA"/>
        </w:rPr>
      </w:pPr>
      <w:r w:rsidRPr="0094245C">
        <w:rPr>
          <w:rFonts w:eastAsia="Times New Roman" w:cs="Times New Roman"/>
          <w:b/>
          <w:sz w:val="20"/>
          <w:szCs w:val="20"/>
          <w:lang w:val="fr-CA" w:eastAsia="en-CA"/>
        </w:rPr>
        <w:t xml:space="preserve">ET À LA SUITE </w:t>
      </w:r>
      <w:r w:rsidRPr="0094245C">
        <w:rPr>
          <w:rFonts w:eastAsia="Times New Roman" w:cs="Times New Roman"/>
          <w:sz w:val="20"/>
          <w:szCs w:val="20"/>
          <w:lang w:val="fr-CA" w:eastAsia="en-CA"/>
        </w:rPr>
        <w:t xml:space="preserve">du renvoi par le registraire de ces questions à un juge en application de l’art. 13 des </w:t>
      </w:r>
      <w:r w:rsidRPr="0094245C">
        <w:rPr>
          <w:rFonts w:eastAsia="Times New Roman" w:cs="Times New Roman"/>
          <w:i/>
          <w:sz w:val="20"/>
          <w:szCs w:val="20"/>
          <w:lang w:val="fr-CA" w:eastAsia="en-CA"/>
        </w:rPr>
        <w:t>Règles de la Cour suprême du Canada</w:t>
      </w:r>
      <w:r w:rsidRPr="0094245C">
        <w:rPr>
          <w:rFonts w:eastAsia="Times New Roman" w:cs="Times New Roman"/>
          <w:sz w:val="20"/>
          <w:szCs w:val="20"/>
          <w:lang w:val="fr-CA" w:eastAsia="en-CA"/>
        </w:rPr>
        <w:t>;</w:t>
      </w:r>
    </w:p>
    <w:p w:rsidR="0094245C" w:rsidRDefault="0094245C">
      <w:pPr>
        <w:rPr>
          <w:rFonts w:eastAsia="Times New Roman" w:cs="Times New Roman"/>
          <w:sz w:val="20"/>
          <w:szCs w:val="20"/>
          <w:lang w:val="fr-CA" w:eastAsia="en-CA"/>
        </w:rPr>
      </w:pPr>
      <w:r>
        <w:rPr>
          <w:rFonts w:eastAsia="Times New Roman" w:cs="Times New Roman"/>
          <w:sz w:val="20"/>
          <w:szCs w:val="20"/>
          <w:lang w:val="fr-CA" w:eastAsia="en-CA"/>
        </w:rPr>
        <w:br w:type="page"/>
      </w:r>
    </w:p>
    <w:p w:rsidR="0094245C" w:rsidRPr="0094245C" w:rsidRDefault="0094245C" w:rsidP="0094245C">
      <w:pPr>
        <w:jc w:val="both"/>
        <w:rPr>
          <w:rFonts w:eastAsia="Times New Roman" w:cs="Times New Roman"/>
          <w:sz w:val="20"/>
          <w:szCs w:val="20"/>
          <w:lang w:val="fr-CA" w:eastAsia="en-CA"/>
        </w:rPr>
      </w:pPr>
      <w:r w:rsidRPr="0094245C">
        <w:rPr>
          <w:rFonts w:eastAsia="Times New Roman" w:cs="Times New Roman"/>
          <w:b/>
          <w:sz w:val="20"/>
          <w:szCs w:val="20"/>
          <w:lang w:val="fr-CA" w:eastAsia="en-CA"/>
        </w:rPr>
        <w:t>ET APRÈS EXAMEN</w:t>
      </w:r>
      <w:r w:rsidRPr="0094245C">
        <w:rPr>
          <w:rFonts w:eastAsia="Times New Roman" w:cs="Times New Roman"/>
          <w:sz w:val="20"/>
          <w:szCs w:val="20"/>
          <w:lang w:val="fr-CA" w:eastAsia="en-CA"/>
        </w:rPr>
        <w:t xml:space="preserve"> des documents déposés; </w:t>
      </w:r>
    </w:p>
    <w:p w:rsidR="0094245C" w:rsidRDefault="0094245C" w:rsidP="0094245C">
      <w:pPr>
        <w:jc w:val="both"/>
        <w:rPr>
          <w:rFonts w:eastAsia="Times New Roman" w:cs="Times New Roman"/>
          <w:b/>
          <w:sz w:val="20"/>
          <w:szCs w:val="20"/>
          <w:lang w:val="fr-CA" w:eastAsia="en-CA"/>
        </w:rPr>
      </w:pPr>
    </w:p>
    <w:p w:rsidR="0094245C" w:rsidRPr="0094245C" w:rsidRDefault="0094245C" w:rsidP="0094245C">
      <w:pPr>
        <w:jc w:val="both"/>
        <w:rPr>
          <w:rFonts w:eastAsia="Times New Roman" w:cs="Times New Roman"/>
          <w:b/>
          <w:sz w:val="20"/>
          <w:szCs w:val="20"/>
          <w:lang w:val="fr-CA" w:eastAsia="en-CA"/>
        </w:rPr>
      </w:pPr>
      <w:r w:rsidRPr="0094245C">
        <w:rPr>
          <w:rFonts w:eastAsia="Times New Roman" w:cs="Times New Roman"/>
          <w:b/>
          <w:sz w:val="20"/>
          <w:szCs w:val="20"/>
          <w:lang w:val="fr-CA" w:eastAsia="en-CA"/>
        </w:rPr>
        <w:t>IL EST ORDONNÉ CE QUI SUIT :</w:t>
      </w:r>
    </w:p>
    <w:p w:rsidR="0094245C" w:rsidRPr="0094245C" w:rsidRDefault="0094245C" w:rsidP="0094245C">
      <w:pPr>
        <w:jc w:val="both"/>
        <w:rPr>
          <w:rFonts w:eastAsia="Times New Roman" w:cs="Times New Roman"/>
          <w:sz w:val="20"/>
          <w:szCs w:val="20"/>
          <w:lang w:val="fr-CA" w:eastAsia="en-CA"/>
        </w:rPr>
      </w:pPr>
    </w:p>
    <w:p w:rsidR="0094245C" w:rsidRPr="0094245C" w:rsidRDefault="0094245C" w:rsidP="0094245C">
      <w:pPr>
        <w:jc w:val="both"/>
        <w:rPr>
          <w:rFonts w:eastAsia="Times New Roman" w:cs="Times New Roman"/>
          <w:sz w:val="20"/>
          <w:szCs w:val="20"/>
          <w:lang w:val="fr-CA" w:eastAsia="en-CA"/>
        </w:rPr>
      </w:pPr>
      <w:r w:rsidRPr="0094245C">
        <w:rPr>
          <w:rFonts w:eastAsia="Times New Roman" w:cs="Times New Roman"/>
          <w:sz w:val="20"/>
          <w:szCs w:val="20"/>
          <w:lang w:val="fr-CA" w:eastAsia="en-CA"/>
        </w:rPr>
        <w:t>La requête est rejetée.</w:t>
      </w:r>
    </w:p>
    <w:p w:rsidR="0094245C" w:rsidRPr="0094245C" w:rsidRDefault="0094245C" w:rsidP="0094245C">
      <w:pPr>
        <w:jc w:val="both"/>
        <w:rPr>
          <w:rFonts w:eastAsia="Times New Roman" w:cs="Times New Roman"/>
          <w:sz w:val="20"/>
          <w:szCs w:val="20"/>
          <w:lang w:val="fr-CA" w:eastAsia="en-CA"/>
        </w:rPr>
      </w:pPr>
    </w:p>
    <w:p w:rsidR="0094245C" w:rsidRPr="0094245C" w:rsidRDefault="0094245C" w:rsidP="0094245C">
      <w:pPr>
        <w:jc w:val="both"/>
        <w:rPr>
          <w:rFonts w:eastAsia="Times New Roman" w:cs="Times New Roman"/>
          <w:sz w:val="20"/>
          <w:szCs w:val="20"/>
          <w:lang w:val="fr-CA" w:eastAsia="en-CA"/>
        </w:rPr>
      </w:pPr>
      <w:r w:rsidRPr="0094245C">
        <w:rPr>
          <w:rFonts w:eastAsia="Times New Roman" w:cs="Times New Roman"/>
          <w:sz w:val="20"/>
          <w:szCs w:val="20"/>
          <w:lang w:val="fr-CA" w:eastAsia="en-CA"/>
        </w:rPr>
        <w:t xml:space="preserve">Le dépôt de l’avis de requête n’est pas accepté. Le registraire renverra les documents aux demandeurs. </w:t>
      </w:r>
    </w:p>
    <w:p w:rsidR="0094245C" w:rsidRPr="0094245C" w:rsidRDefault="0094245C" w:rsidP="0094245C">
      <w:pPr>
        <w:tabs>
          <w:tab w:val="left" w:pos="-1440"/>
          <w:tab w:val="left" w:pos="-720"/>
        </w:tabs>
        <w:jc w:val="both"/>
        <w:rPr>
          <w:rFonts w:eastAsia="Times New Roman" w:cs="Times New Roman"/>
          <w:sz w:val="20"/>
          <w:szCs w:val="20"/>
          <w:lang w:val="fr-CA" w:eastAsia="en-CA"/>
        </w:rPr>
      </w:pPr>
    </w:p>
    <w:p w:rsidR="0094245C" w:rsidRPr="0094245C" w:rsidRDefault="003A60BB" w:rsidP="0094245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1" style="width:2in;height:1pt" o:hrpct="0" o:hralign="center" o:hrstd="t" o:hrnoshade="t" o:hr="t" fillcolor="black [3213]" stroked="f"/>
        </w:pict>
      </w:r>
    </w:p>
    <w:p w:rsidR="0094245C" w:rsidRPr="0094245C" w:rsidRDefault="0094245C" w:rsidP="0094245C">
      <w:pPr>
        <w:tabs>
          <w:tab w:val="left" w:pos="-1440"/>
          <w:tab w:val="left" w:pos="-720"/>
        </w:tabs>
        <w:jc w:val="both"/>
        <w:rPr>
          <w:rFonts w:eastAsia="Times New Roman" w:cs="Times New Roman"/>
          <w:sz w:val="20"/>
          <w:szCs w:val="20"/>
          <w:lang w:eastAsia="en-CA"/>
        </w:rPr>
      </w:pPr>
    </w:p>
    <w:p w:rsidR="0094245C" w:rsidRPr="0094245C" w:rsidRDefault="0094245C" w:rsidP="0094245C">
      <w:pPr>
        <w:tabs>
          <w:tab w:val="left" w:pos="-1440"/>
          <w:tab w:val="left" w:pos="-720"/>
        </w:tabs>
        <w:jc w:val="both"/>
        <w:rPr>
          <w:rFonts w:eastAsia="Times New Roman" w:cs="Times New Roman"/>
          <w:sz w:val="20"/>
          <w:szCs w:val="20"/>
          <w:lang w:val="fr-CA" w:eastAsia="en-CA"/>
        </w:rPr>
      </w:pPr>
      <w:r w:rsidRPr="0094245C">
        <w:rPr>
          <w:rFonts w:eastAsia="Times New Roman" w:cs="Times New Roman"/>
          <w:sz w:val="20"/>
          <w:szCs w:val="20"/>
          <w:lang w:val="fr-CA" w:eastAsia="en-CA"/>
        </w:rPr>
        <w:t>24.02.2015</w:t>
      </w:r>
    </w:p>
    <w:p w:rsidR="0094245C" w:rsidRPr="0094245C" w:rsidRDefault="0094245C" w:rsidP="0094245C">
      <w:pPr>
        <w:tabs>
          <w:tab w:val="left" w:pos="-1440"/>
          <w:tab w:val="left" w:pos="-720"/>
        </w:tabs>
        <w:jc w:val="both"/>
        <w:rPr>
          <w:rFonts w:eastAsia="Times New Roman" w:cs="Times New Roman"/>
          <w:sz w:val="20"/>
          <w:szCs w:val="20"/>
          <w:lang w:val="fr-CA" w:eastAsia="en-CA"/>
        </w:rPr>
      </w:pPr>
    </w:p>
    <w:p w:rsidR="0094245C" w:rsidRPr="0094245C" w:rsidRDefault="0094245C" w:rsidP="0094245C">
      <w:pPr>
        <w:tabs>
          <w:tab w:val="left" w:pos="-1440"/>
          <w:tab w:val="left" w:pos="-720"/>
        </w:tabs>
        <w:jc w:val="both"/>
        <w:rPr>
          <w:rFonts w:eastAsia="Times New Roman" w:cs="Times New Roman"/>
          <w:sz w:val="20"/>
          <w:szCs w:val="20"/>
          <w:lang w:val="fr-CA" w:eastAsia="en-CA"/>
        </w:rPr>
      </w:pPr>
      <w:r w:rsidRPr="0094245C">
        <w:rPr>
          <w:rFonts w:eastAsia="Times New Roman" w:cs="Times New Roman"/>
          <w:sz w:val="20"/>
          <w:szCs w:val="20"/>
          <w:lang w:val="fr-CA" w:eastAsia="en-CA"/>
        </w:rPr>
        <w:t>Before / Devant :   THE CHIEF JUSTICE / LA JUGE EN CHEF</w:t>
      </w:r>
    </w:p>
    <w:p w:rsidR="0094245C" w:rsidRPr="0094245C" w:rsidRDefault="0094245C" w:rsidP="0094245C">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94245C" w:rsidRPr="00560020" w:rsidTr="003431AF">
        <w:tc>
          <w:tcPr>
            <w:tcW w:w="4338" w:type="dxa"/>
          </w:tcPr>
          <w:p w:rsidR="0094245C" w:rsidRPr="0094245C" w:rsidRDefault="003A0C94" w:rsidP="0094245C">
            <w:pPr>
              <w:tabs>
                <w:tab w:val="left" w:pos="-1440"/>
                <w:tab w:val="left" w:pos="-720"/>
              </w:tabs>
              <w:jc w:val="both"/>
              <w:rPr>
                <w:b/>
              </w:rPr>
            </w:pPr>
            <w:r w:rsidRPr="0094245C">
              <w:rPr>
                <w:szCs w:val="24"/>
                <w:lang w:val="en-US"/>
              </w:rPr>
              <w:fldChar w:fldCharType="begin"/>
            </w:r>
            <w:r w:rsidR="0094245C" w:rsidRPr="0094245C">
              <w:rPr>
                <w:szCs w:val="24"/>
                <w:lang w:val="en-US"/>
              </w:rPr>
              <w:instrText xml:space="preserve"> SEQ CHAPTER \h \r 1</w:instrText>
            </w:r>
            <w:r w:rsidRPr="0094245C">
              <w:rPr>
                <w:szCs w:val="24"/>
                <w:lang w:val="en-US"/>
              </w:rPr>
              <w:fldChar w:fldCharType="end"/>
            </w:r>
            <w:r w:rsidR="0094245C" w:rsidRPr="0094245C">
              <w:rPr>
                <w:b/>
                <w:bCs/>
                <w:lang w:val="en-US"/>
              </w:rPr>
              <w:t>Motion to extend time</w:t>
            </w:r>
          </w:p>
        </w:tc>
        <w:tc>
          <w:tcPr>
            <w:tcW w:w="1170" w:type="dxa"/>
          </w:tcPr>
          <w:p w:rsidR="0094245C" w:rsidRPr="0094245C" w:rsidRDefault="0094245C" w:rsidP="0094245C">
            <w:pPr>
              <w:tabs>
                <w:tab w:val="left" w:pos="-1440"/>
                <w:tab w:val="left" w:pos="-720"/>
              </w:tabs>
              <w:jc w:val="both"/>
            </w:pPr>
          </w:p>
          <w:p w:rsidR="0094245C" w:rsidRPr="0094245C" w:rsidRDefault="0094245C" w:rsidP="0094245C">
            <w:pPr>
              <w:tabs>
                <w:tab w:val="left" w:pos="-1440"/>
                <w:tab w:val="left" w:pos="-720"/>
              </w:tabs>
              <w:jc w:val="both"/>
            </w:pPr>
          </w:p>
        </w:tc>
        <w:tc>
          <w:tcPr>
            <w:tcW w:w="4327" w:type="dxa"/>
          </w:tcPr>
          <w:p w:rsidR="0094245C" w:rsidRPr="0094245C" w:rsidRDefault="0094245C" w:rsidP="0094245C">
            <w:pPr>
              <w:tabs>
                <w:tab w:val="left" w:pos="-1440"/>
                <w:tab w:val="left" w:pos="-720"/>
              </w:tabs>
              <w:jc w:val="both"/>
              <w:rPr>
                <w:lang w:val="fr-CA"/>
              </w:rPr>
            </w:pPr>
            <w:r w:rsidRPr="0094245C">
              <w:rPr>
                <w:b/>
                <w:bCs/>
                <w:color w:val="000000"/>
                <w:lang w:val="fr-CA"/>
              </w:rPr>
              <w:t>Requête en prorogation de délai</w:t>
            </w:r>
            <w:r w:rsidRPr="0094245C">
              <w:rPr>
                <w:szCs w:val="24"/>
                <w:lang w:val="fr-CA"/>
              </w:rPr>
              <w:t xml:space="preserve"> </w:t>
            </w:r>
            <w:r w:rsidR="003A0C94" w:rsidRPr="0094245C">
              <w:rPr>
                <w:szCs w:val="24"/>
                <w:lang w:val="en-US"/>
              </w:rPr>
              <w:fldChar w:fldCharType="begin"/>
            </w:r>
            <w:r w:rsidRPr="0094245C">
              <w:rPr>
                <w:szCs w:val="24"/>
                <w:lang w:val="fr-CA"/>
              </w:rPr>
              <w:instrText xml:space="preserve"> SEQ CHAPTER \h \r 1</w:instrText>
            </w:r>
            <w:r w:rsidR="003A0C94" w:rsidRPr="0094245C">
              <w:rPr>
                <w:szCs w:val="24"/>
                <w:lang w:val="en-US"/>
              </w:rPr>
              <w:fldChar w:fldCharType="end"/>
            </w:r>
            <w:r w:rsidR="003A0C94" w:rsidRPr="0094245C">
              <w:rPr>
                <w:szCs w:val="24"/>
                <w:lang w:val="en-US"/>
              </w:rPr>
              <w:fldChar w:fldCharType="begin"/>
            </w:r>
            <w:r w:rsidRPr="0094245C">
              <w:rPr>
                <w:szCs w:val="24"/>
                <w:lang w:val="fr-CA"/>
              </w:rPr>
              <w:instrText xml:space="preserve"> SEQ CHAPTER \h \r 1</w:instrText>
            </w:r>
            <w:r w:rsidR="003A0C94" w:rsidRPr="0094245C">
              <w:rPr>
                <w:szCs w:val="24"/>
                <w:lang w:val="en-US"/>
              </w:rPr>
              <w:fldChar w:fldCharType="end"/>
            </w:r>
          </w:p>
        </w:tc>
      </w:tr>
      <w:tr w:rsidR="0094245C" w:rsidRPr="00560020" w:rsidTr="003431AF">
        <w:tc>
          <w:tcPr>
            <w:tcW w:w="4338" w:type="dxa"/>
          </w:tcPr>
          <w:p w:rsidR="0094245C" w:rsidRPr="0094245C" w:rsidRDefault="0094245C" w:rsidP="0094245C">
            <w:pPr>
              <w:tabs>
                <w:tab w:val="left" w:pos="-1440"/>
                <w:tab w:val="left" w:pos="-720"/>
              </w:tabs>
              <w:jc w:val="both"/>
              <w:rPr>
                <w:lang w:val="fr-CA"/>
              </w:rPr>
            </w:pPr>
            <w:r w:rsidRPr="0094245C">
              <w:rPr>
                <w:lang w:val="fr-CA"/>
              </w:rPr>
              <w:t>Commission scolaire de Laval et autre</w:t>
            </w:r>
          </w:p>
          <w:p w:rsidR="0094245C" w:rsidRPr="0094245C" w:rsidRDefault="0094245C" w:rsidP="0094245C">
            <w:pPr>
              <w:tabs>
                <w:tab w:val="left" w:pos="-1440"/>
                <w:tab w:val="left" w:pos="-720"/>
              </w:tabs>
              <w:jc w:val="both"/>
              <w:rPr>
                <w:lang w:val="fr-CA"/>
              </w:rPr>
            </w:pPr>
          </w:p>
          <w:p w:rsidR="0094245C" w:rsidRPr="0094245C" w:rsidRDefault="0094245C" w:rsidP="0094245C">
            <w:pPr>
              <w:tabs>
                <w:tab w:val="left" w:pos="-1440"/>
                <w:tab w:val="left" w:pos="-720"/>
              </w:tabs>
              <w:jc w:val="both"/>
              <w:rPr>
                <w:lang w:val="fr-CA"/>
              </w:rPr>
            </w:pPr>
            <w:r w:rsidRPr="0094245C">
              <w:rPr>
                <w:lang w:val="fr-CA"/>
              </w:rPr>
              <w:tab/>
              <w:t>c. (35898)</w:t>
            </w:r>
          </w:p>
          <w:p w:rsidR="0094245C" w:rsidRPr="0094245C" w:rsidRDefault="0094245C" w:rsidP="0094245C">
            <w:pPr>
              <w:tabs>
                <w:tab w:val="left" w:pos="-1440"/>
                <w:tab w:val="left" w:pos="-720"/>
              </w:tabs>
              <w:jc w:val="both"/>
              <w:rPr>
                <w:lang w:val="fr-CA"/>
              </w:rPr>
            </w:pPr>
          </w:p>
          <w:p w:rsidR="0094245C" w:rsidRPr="0094245C" w:rsidRDefault="0094245C" w:rsidP="0094245C">
            <w:pPr>
              <w:tabs>
                <w:tab w:val="left" w:pos="-1440"/>
                <w:tab w:val="left" w:pos="-720"/>
              </w:tabs>
              <w:jc w:val="both"/>
              <w:rPr>
                <w:lang w:val="fr-CA"/>
              </w:rPr>
            </w:pPr>
            <w:r w:rsidRPr="0094245C">
              <w:rPr>
                <w:lang w:val="fr-CA"/>
              </w:rPr>
              <w:t>Syndicat de l’enseignement de la région de Laval et autre (Qc)</w:t>
            </w:r>
          </w:p>
        </w:tc>
        <w:tc>
          <w:tcPr>
            <w:tcW w:w="1170" w:type="dxa"/>
          </w:tcPr>
          <w:p w:rsidR="0094245C" w:rsidRPr="0094245C" w:rsidRDefault="0094245C" w:rsidP="0094245C">
            <w:pPr>
              <w:tabs>
                <w:tab w:val="left" w:pos="-1440"/>
                <w:tab w:val="left" w:pos="-720"/>
              </w:tabs>
              <w:jc w:val="both"/>
              <w:rPr>
                <w:lang w:val="fr-CA"/>
              </w:rPr>
            </w:pPr>
          </w:p>
        </w:tc>
        <w:tc>
          <w:tcPr>
            <w:tcW w:w="4327" w:type="dxa"/>
          </w:tcPr>
          <w:p w:rsidR="0094245C" w:rsidRPr="0094245C" w:rsidRDefault="0094245C" w:rsidP="0094245C">
            <w:pPr>
              <w:tabs>
                <w:tab w:val="left" w:pos="-1440"/>
                <w:tab w:val="left" w:pos="-720"/>
              </w:tabs>
              <w:jc w:val="both"/>
              <w:rPr>
                <w:lang w:val="fr-CA"/>
              </w:rPr>
            </w:pPr>
          </w:p>
        </w:tc>
      </w:tr>
    </w:tbl>
    <w:p w:rsidR="0094245C" w:rsidRPr="0094245C" w:rsidRDefault="0094245C" w:rsidP="0094245C">
      <w:pPr>
        <w:tabs>
          <w:tab w:val="left" w:pos="-1440"/>
          <w:tab w:val="left" w:pos="-720"/>
        </w:tabs>
        <w:jc w:val="both"/>
        <w:rPr>
          <w:rFonts w:eastAsia="Times New Roman" w:cs="Times New Roman"/>
          <w:sz w:val="20"/>
          <w:szCs w:val="20"/>
          <w:lang w:val="fr-CA" w:eastAsia="en-CA"/>
        </w:rPr>
      </w:pPr>
    </w:p>
    <w:p w:rsidR="0094245C" w:rsidRPr="0094245C" w:rsidRDefault="0094245C" w:rsidP="0094245C">
      <w:pPr>
        <w:tabs>
          <w:tab w:val="left" w:pos="-1440"/>
          <w:tab w:val="left" w:pos="-720"/>
        </w:tabs>
        <w:jc w:val="both"/>
        <w:rPr>
          <w:rFonts w:eastAsia="Times New Roman" w:cs="Times New Roman"/>
          <w:b/>
          <w:sz w:val="20"/>
          <w:szCs w:val="20"/>
          <w:lang w:val="fr-CA" w:eastAsia="en-CA"/>
        </w:rPr>
      </w:pPr>
      <w:r w:rsidRPr="0094245C">
        <w:rPr>
          <w:rFonts w:eastAsia="Times New Roman" w:cs="Times New Roman"/>
          <w:b/>
          <w:sz w:val="20"/>
          <w:szCs w:val="20"/>
          <w:lang w:val="fr-CA" w:eastAsia="en-CA"/>
        </w:rPr>
        <w:t>GRANTED / ACCORDÉE</w:t>
      </w:r>
    </w:p>
    <w:p w:rsidR="0094245C" w:rsidRPr="0094245C" w:rsidRDefault="0094245C" w:rsidP="0094245C">
      <w:pPr>
        <w:tabs>
          <w:tab w:val="left" w:pos="-1440"/>
          <w:tab w:val="left" w:pos="-720"/>
        </w:tabs>
        <w:jc w:val="both"/>
        <w:rPr>
          <w:rFonts w:eastAsia="Times New Roman" w:cs="Times New Roman"/>
          <w:sz w:val="20"/>
          <w:szCs w:val="20"/>
          <w:lang w:val="fr-CA" w:eastAsia="en-CA"/>
        </w:rPr>
      </w:pPr>
    </w:p>
    <w:p w:rsidR="0094245C" w:rsidRPr="0094245C" w:rsidRDefault="0094245C" w:rsidP="0094245C">
      <w:pPr>
        <w:contextualSpacing/>
        <w:jc w:val="both"/>
        <w:rPr>
          <w:rFonts w:eastAsia="Times New Roman" w:cs="Times New Roman"/>
          <w:sz w:val="20"/>
          <w:szCs w:val="20"/>
          <w:lang w:val="fr-CA" w:eastAsia="en-CA"/>
        </w:rPr>
      </w:pPr>
      <w:r w:rsidRPr="0094245C">
        <w:rPr>
          <w:rFonts w:eastAsia="Times New Roman" w:cs="Times New Roman"/>
          <w:b/>
          <w:sz w:val="20"/>
          <w:szCs w:val="20"/>
          <w:lang w:val="fr-CA" w:eastAsia="en-CA"/>
        </w:rPr>
        <w:t>À LA SUITE DE LA DEMANDE</w:t>
      </w:r>
      <w:r w:rsidRPr="0094245C">
        <w:rPr>
          <w:rFonts w:eastAsia="Times New Roman" w:cs="Times New Roman"/>
          <w:sz w:val="20"/>
          <w:szCs w:val="20"/>
          <w:lang w:val="fr-CA" w:eastAsia="en-CA"/>
        </w:rPr>
        <w:t xml:space="preserve"> présentée par les appelantes en vue d’obtenir une ordonnance reportant les délais pour signifier et déposer les documents sur appel et en vue de reporter l’audience fixée provisoirement au 13 mai 2015;</w:t>
      </w:r>
    </w:p>
    <w:p w:rsidR="0094245C" w:rsidRPr="0094245C" w:rsidRDefault="0094245C" w:rsidP="0094245C">
      <w:pPr>
        <w:contextualSpacing/>
        <w:jc w:val="both"/>
        <w:rPr>
          <w:rFonts w:eastAsia="Times New Roman" w:cs="Times New Roman"/>
          <w:sz w:val="20"/>
          <w:szCs w:val="20"/>
          <w:lang w:val="fr-CA" w:eastAsia="en-CA"/>
        </w:rPr>
      </w:pPr>
    </w:p>
    <w:p w:rsidR="0094245C" w:rsidRPr="0094245C" w:rsidRDefault="0094245C" w:rsidP="0094245C">
      <w:pPr>
        <w:contextualSpacing/>
        <w:jc w:val="both"/>
        <w:rPr>
          <w:rFonts w:eastAsia="Times New Roman" w:cs="Times New Roman"/>
          <w:sz w:val="20"/>
          <w:szCs w:val="20"/>
          <w:lang w:val="fr-CA" w:eastAsia="en-CA"/>
        </w:rPr>
      </w:pPr>
      <w:r w:rsidRPr="0094245C">
        <w:rPr>
          <w:rFonts w:eastAsia="Times New Roman" w:cs="Times New Roman"/>
          <w:b/>
          <w:sz w:val="20"/>
          <w:szCs w:val="20"/>
          <w:lang w:val="fr-CA" w:eastAsia="en-CA"/>
        </w:rPr>
        <w:t>ET APRÈS EXAMEN</w:t>
      </w:r>
      <w:r w:rsidRPr="0094245C">
        <w:rPr>
          <w:rFonts w:eastAsia="Times New Roman" w:cs="Times New Roman"/>
          <w:sz w:val="20"/>
          <w:szCs w:val="20"/>
          <w:lang w:val="fr-CA" w:eastAsia="en-CA"/>
        </w:rPr>
        <w:t xml:space="preserve"> des documents déposés; </w:t>
      </w:r>
    </w:p>
    <w:p w:rsidR="0094245C" w:rsidRPr="0094245C" w:rsidRDefault="0094245C" w:rsidP="0094245C">
      <w:pPr>
        <w:contextualSpacing/>
        <w:jc w:val="both"/>
        <w:rPr>
          <w:rFonts w:eastAsia="Times New Roman" w:cs="Times New Roman"/>
          <w:sz w:val="20"/>
          <w:szCs w:val="20"/>
          <w:lang w:val="fr-CA" w:eastAsia="en-CA"/>
        </w:rPr>
      </w:pPr>
    </w:p>
    <w:p w:rsidR="0094245C" w:rsidRPr="0094245C" w:rsidRDefault="0094245C" w:rsidP="0094245C">
      <w:pPr>
        <w:contextualSpacing/>
        <w:jc w:val="both"/>
        <w:rPr>
          <w:rFonts w:eastAsia="Times New Roman" w:cs="Times New Roman"/>
          <w:b/>
          <w:sz w:val="20"/>
          <w:szCs w:val="20"/>
          <w:lang w:val="fr-CA" w:eastAsia="en-CA"/>
        </w:rPr>
      </w:pPr>
      <w:r w:rsidRPr="0094245C">
        <w:rPr>
          <w:rFonts w:eastAsia="Times New Roman" w:cs="Times New Roman"/>
          <w:b/>
          <w:sz w:val="20"/>
          <w:szCs w:val="20"/>
          <w:lang w:val="fr-CA" w:eastAsia="en-CA"/>
        </w:rPr>
        <w:t xml:space="preserve">IL EST ORDONNÉ CE QUI SUIT : </w:t>
      </w:r>
    </w:p>
    <w:p w:rsidR="0094245C" w:rsidRPr="0094245C" w:rsidRDefault="0094245C" w:rsidP="0094245C">
      <w:pPr>
        <w:contextualSpacing/>
        <w:jc w:val="both"/>
        <w:rPr>
          <w:rFonts w:eastAsia="Times New Roman" w:cs="Times New Roman"/>
          <w:b/>
          <w:sz w:val="20"/>
          <w:szCs w:val="20"/>
          <w:lang w:val="fr-CA" w:eastAsia="en-CA"/>
        </w:rPr>
      </w:pPr>
    </w:p>
    <w:p w:rsidR="0094245C" w:rsidRPr="0094245C" w:rsidRDefault="0094245C" w:rsidP="0094245C">
      <w:pPr>
        <w:contextualSpacing/>
        <w:jc w:val="both"/>
        <w:rPr>
          <w:rFonts w:eastAsia="Times New Roman" w:cs="Times New Roman"/>
          <w:sz w:val="20"/>
          <w:szCs w:val="20"/>
          <w:lang w:val="fr-CA" w:eastAsia="en-CA"/>
        </w:rPr>
      </w:pPr>
      <w:r w:rsidRPr="0094245C">
        <w:rPr>
          <w:rFonts w:eastAsia="Times New Roman" w:cs="Times New Roman"/>
          <w:sz w:val="20"/>
          <w:szCs w:val="20"/>
          <w:lang w:val="fr-CA" w:eastAsia="en-CA"/>
        </w:rPr>
        <w:t xml:space="preserve">La requête est accueillie sans dépens. </w:t>
      </w:r>
    </w:p>
    <w:p w:rsidR="0094245C" w:rsidRPr="0094245C" w:rsidRDefault="0094245C" w:rsidP="0094245C">
      <w:pPr>
        <w:contextualSpacing/>
        <w:jc w:val="both"/>
        <w:rPr>
          <w:rFonts w:eastAsia="Times New Roman" w:cs="Times New Roman"/>
          <w:sz w:val="20"/>
          <w:szCs w:val="20"/>
          <w:lang w:val="fr-CA" w:eastAsia="en-CA"/>
        </w:rPr>
      </w:pPr>
    </w:p>
    <w:p w:rsidR="0094245C" w:rsidRPr="0094245C" w:rsidRDefault="0094245C" w:rsidP="0094245C">
      <w:pPr>
        <w:contextualSpacing/>
        <w:jc w:val="both"/>
        <w:rPr>
          <w:rFonts w:eastAsia="Times New Roman" w:cs="Times New Roman"/>
          <w:sz w:val="20"/>
          <w:szCs w:val="20"/>
          <w:lang w:val="fr-CA" w:eastAsia="en-CA"/>
        </w:rPr>
      </w:pPr>
      <w:r w:rsidRPr="0094245C">
        <w:rPr>
          <w:rFonts w:eastAsia="Times New Roman" w:cs="Times New Roman"/>
          <w:sz w:val="20"/>
          <w:szCs w:val="20"/>
          <w:lang w:val="fr-CA" w:eastAsia="en-CA"/>
        </w:rPr>
        <w:t>Les documents sur appel seront signifiés et déposés suivant l’horaire ci-dessous :</w:t>
      </w:r>
    </w:p>
    <w:p w:rsidR="0094245C" w:rsidRPr="0094245C" w:rsidRDefault="0094245C" w:rsidP="0094245C">
      <w:pPr>
        <w:contextualSpacing/>
        <w:jc w:val="both"/>
        <w:rPr>
          <w:rFonts w:eastAsia="Times New Roman" w:cs="Times New Roman"/>
          <w:sz w:val="20"/>
          <w:szCs w:val="20"/>
          <w:lang w:val="fr-CA" w:eastAsia="en-CA"/>
        </w:rPr>
      </w:pPr>
    </w:p>
    <w:p w:rsidR="0094245C" w:rsidRPr="0094245C" w:rsidRDefault="0094245C" w:rsidP="0094245C">
      <w:pPr>
        <w:numPr>
          <w:ilvl w:val="0"/>
          <w:numId w:val="7"/>
        </w:numPr>
        <w:spacing w:after="200"/>
        <w:contextualSpacing/>
        <w:jc w:val="both"/>
        <w:rPr>
          <w:rFonts w:cs="Times New Roman"/>
          <w:sz w:val="20"/>
          <w:szCs w:val="20"/>
          <w:lang w:val="fr-FR"/>
        </w:rPr>
      </w:pPr>
      <w:r w:rsidRPr="0094245C">
        <w:rPr>
          <w:rFonts w:cs="Times New Roman"/>
          <w:sz w:val="20"/>
          <w:szCs w:val="20"/>
          <w:lang w:val="fr-CA"/>
        </w:rPr>
        <w:t>Les appelantes devront signifier et déposer leurs mémoire, dossier et recueil de sources au plus tard le 7 avril 2015.</w:t>
      </w:r>
    </w:p>
    <w:p w:rsidR="0094245C" w:rsidRPr="0094245C" w:rsidRDefault="0094245C" w:rsidP="0094245C">
      <w:pPr>
        <w:ind w:left="720"/>
        <w:contextualSpacing/>
        <w:jc w:val="both"/>
        <w:rPr>
          <w:rFonts w:cs="Times New Roman"/>
          <w:sz w:val="20"/>
          <w:szCs w:val="20"/>
          <w:lang w:val="fr-FR"/>
        </w:rPr>
      </w:pPr>
    </w:p>
    <w:p w:rsidR="0094245C" w:rsidRPr="0094245C" w:rsidRDefault="0094245C" w:rsidP="0094245C">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94245C">
        <w:rPr>
          <w:rFonts w:cs="Times New Roman"/>
          <w:sz w:val="20"/>
          <w:szCs w:val="20"/>
          <w:lang w:val="fr-CA"/>
        </w:rPr>
        <w:t xml:space="preserve">Toute personne souhaitant intervenir dans le présent pourvoi en application de l’art. 55 des </w:t>
      </w:r>
      <w:r w:rsidRPr="0094245C">
        <w:rPr>
          <w:rFonts w:cs="Times New Roman"/>
          <w:i/>
          <w:sz w:val="20"/>
          <w:szCs w:val="20"/>
          <w:lang w:val="fr-CA"/>
        </w:rPr>
        <w:t>Règles de la Cour suprême du Canada</w:t>
      </w:r>
      <w:r w:rsidRPr="0094245C">
        <w:rPr>
          <w:rFonts w:cs="Times New Roman"/>
          <w:sz w:val="20"/>
          <w:szCs w:val="20"/>
          <w:lang w:val="fr-CA"/>
        </w:rPr>
        <w:t xml:space="preserve"> devra signifier et déposer une requête en autorisation d’intervenir au plus tard le 5 mai 2015. </w:t>
      </w:r>
    </w:p>
    <w:p w:rsidR="0094245C" w:rsidRPr="0094245C" w:rsidRDefault="0094245C" w:rsidP="0094245C">
      <w:pPr>
        <w:ind w:left="720"/>
        <w:contextualSpacing/>
        <w:jc w:val="both"/>
        <w:rPr>
          <w:rFonts w:cs="Times New Roman"/>
          <w:sz w:val="20"/>
          <w:szCs w:val="20"/>
          <w:lang w:val="fr-CA"/>
        </w:rPr>
      </w:pPr>
    </w:p>
    <w:p w:rsidR="0094245C" w:rsidRPr="0094245C" w:rsidRDefault="0094245C" w:rsidP="0094245C">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94245C">
        <w:rPr>
          <w:rFonts w:cs="Times New Roman"/>
          <w:sz w:val="20"/>
          <w:szCs w:val="20"/>
          <w:lang w:val="fr-CA"/>
        </w:rPr>
        <w:t xml:space="preserve">Les appelantes et les intimés devront, le cas échéant, signifier et déposer leurs réponses aux requêtes en autorisation d’intervenir au plus tard dix (10) jours suivant la signification d’une requête en autorisation d’intervenir. </w:t>
      </w:r>
    </w:p>
    <w:p w:rsidR="0094245C" w:rsidRPr="0094245C" w:rsidRDefault="0094245C" w:rsidP="0094245C">
      <w:pPr>
        <w:ind w:left="720"/>
        <w:contextualSpacing/>
        <w:jc w:val="both"/>
        <w:rPr>
          <w:rFonts w:eastAsia="Times New Roman" w:cs="Times New Roman"/>
          <w:sz w:val="20"/>
          <w:szCs w:val="20"/>
          <w:lang w:val="fr-CA" w:eastAsia="en-CA"/>
        </w:rPr>
      </w:pPr>
    </w:p>
    <w:p w:rsidR="0094245C" w:rsidRPr="0094245C" w:rsidRDefault="0094245C" w:rsidP="0094245C">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94245C">
        <w:rPr>
          <w:rFonts w:cs="Times New Roman"/>
          <w:sz w:val="20"/>
          <w:szCs w:val="20"/>
          <w:lang w:val="fr-CA"/>
        </w:rPr>
        <w:t>Les répliques aux réponses éventuelles aux requêtes en autorisation d’intervenir devront être signifiées et déposées au plus tard cinq (5) jours suivant la signification d’une réponse aux requêtes en autorisation d’intervenir.</w:t>
      </w:r>
    </w:p>
    <w:p w:rsidR="0094245C" w:rsidRPr="0094245C" w:rsidRDefault="0094245C" w:rsidP="0094245C">
      <w:pPr>
        <w:ind w:left="720"/>
        <w:contextualSpacing/>
        <w:jc w:val="both"/>
        <w:rPr>
          <w:rFonts w:cs="Times New Roman"/>
          <w:sz w:val="20"/>
          <w:szCs w:val="20"/>
          <w:lang w:val="fr-CA"/>
        </w:rPr>
      </w:pPr>
    </w:p>
    <w:p w:rsidR="0094245C" w:rsidRPr="0094245C" w:rsidRDefault="0094245C" w:rsidP="0094245C">
      <w:pPr>
        <w:widowControl w:val="0"/>
        <w:numPr>
          <w:ilvl w:val="0"/>
          <w:numId w:val="7"/>
        </w:numPr>
        <w:autoSpaceDE w:val="0"/>
        <w:autoSpaceDN w:val="0"/>
        <w:adjustRightInd w:val="0"/>
        <w:contextualSpacing/>
        <w:jc w:val="both"/>
        <w:rPr>
          <w:rFonts w:cs="Times New Roman"/>
          <w:sz w:val="20"/>
          <w:szCs w:val="20"/>
          <w:lang w:val="fr-CA"/>
        </w:rPr>
      </w:pPr>
      <w:r w:rsidRPr="0094245C">
        <w:rPr>
          <w:rFonts w:cs="Times New Roman"/>
          <w:sz w:val="20"/>
          <w:szCs w:val="20"/>
          <w:lang w:val="fr-CA"/>
        </w:rPr>
        <w:t>Les intimés devront signifier et déposer leurs dossiers, mémoires et recueils de sources au plus tard le 2 juin 2015.</w:t>
      </w:r>
    </w:p>
    <w:p w:rsidR="0094245C" w:rsidRPr="0094245C" w:rsidRDefault="0094245C" w:rsidP="0094245C">
      <w:pPr>
        <w:ind w:left="720"/>
        <w:contextualSpacing/>
        <w:jc w:val="both"/>
        <w:rPr>
          <w:rFonts w:cs="Times New Roman"/>
          <w:bCs/>
          <w:sz w:val="20"/>
          <w:szCs w:val="20"/>
          <w:lang w:val="fr-CA"/>
        </w:rPr>
      </w:pPr>
    </w:p>
    <w:p w:rsidR="0094245C" w:rsidRPr="0094245C" w:rsidRDefault="0094245C" w:rsidP="0094245C">
      <w:pPr>
        <w:numPr>
          <w:ilvl w:val="0"/>
          <w:numId w:val="7"/>
        </w:numPr>
        <w:autoSpaceDE w:val="0"/>
        <w:autoSpaceDN w:val="0"/>
        <w:adjustRightInd w:val="0"/>
        <w:contextualSpacing/>
        <w:jc w:val="both"/>
        <w:rPr>
          <w:rFonts w:cs="Times New Roman"/>
          <w:bCs/>
          <w:sz w:val="20"/>
          <w:szCs w:val="20"/>
          <w:lang w:val="fr-CA"/>
        </w:rPr>
      </w:pPr>
      <w:r w:rsidRPr="0094245C">
        <w:rPr>
          <w:rFonts w:cs="Times New Roman"/>
          <w:bCs/>
          <w:sz w:val="20"/>
          <w:szCs w:val="20"/>
          <w:lang w:val="fr-CA"/>
        </w:rPr>
        <w:t xml:space="preserve">Les intervenants qui seront autorisés à intervenir en application de l’art. 59 des </w:t>
      </w:r>
      <w:r w:rsidRPr="0094245C">
        <w:rPr>
          <w:rFonts w:cs="Times New Roman"/>
          <w:bCs/>
          <w:i/>
          <w:sz w:val="20"/>
          <w:szCs w:val="20"/>
          <w:lang w:val="fr-CA"/>
        </w:rPr>
        <w:t>Règles de la Cour suprême du Canada</w:t>
      </w:r>
      <w:r w:rsidRPr="0094245C">
        <w:rPr>
          <w:rFonts w:cs="Times New Roman"/>
          <w:bCs/>
          <w:sz w:val="20"/>
          <w:szCs w:val="20"/>
          <w:lang w:val="fr-CA"/>
        </w:rPr>
        <w:t xml:space="preserve"> devront signifier et déposer leurs mémoire et recueil de sources au plus tard huit (8) semaines suivant l’ordonnance autorisant ces intervenants à intervenir dans cet appel.</w:t>
      </w:r>
    </w:p>
    <w:p w:rsidR="0094245C" w:rsidRPr="0094245C" w:rsidRDefault="0094245C" w:rsidP="0094245C">
      <w:pPr>
        <w:ind w:left="720"/>
        <w:jc w:val="both"/>
        <w:rPr>
          <w:rFonts w:eastAsia="Times New Roman" w:cs="Times New Roman"/>
          <w:bCs/>
          <w:sz w:val="20"/>
          <w:szCs w:val="20"/>
          <w:lang w:val="fr-CA" w:eastAsia="en-CA"/>
        </w:rPr>
      </w:pPr>
    </w:p>
    <w:p w:rsidR="0094245C" w:rsidRPr="0094245C" w:rsidRDefault="0094245C" w:rsidP="0094245C">
      <w:pPr>
        <w:numPr>
          <w:ilvl w:val="0"/>
          <w:numId w:val="7"/>
        </w:numPr>
        <w:spacing w:line="276" w:lineRule="auto"/>
        <w:contextualSpacing/>
        <w:jc w:val="both"/>
        <w:rPr>
          <w:rFonts w:cs="Times New Roman"/>
          <w:bCs/>
          <w:sz w:val="20"/>
          <w:szCs w:val="20"/>
          <w:lang w:val="fr-CA"/>
        </w:rPr>
      </w:pPr>
      <w:r w:rsidRPr="0094245C">
        <w:rPr>
          <w:rFonts w:cs="Times New Roman"/>
          <w:bCs/>
          <w:sz w:val="20"/>
          <w:szCs w:val="20"/>
          <w:lang w:val="fr-CA"/>
        </w:rPr>
        <w:t xml:space="preserve">Le registraire fixera une nouvelle date d’audience. </w:t>
      </w:r>
    </w:p>
    <w:p w:rsidR="0094245C" w:rsidRPr="0094245C" w:rsidRDefault="0094245C" w:rsidP="0094245C">
      <w:pPr>
        <w:tabs>
          <w:tab w:val="left" w:pos="-1440"/>
          <w:tab w:val="left" w:pos="-720"/>
        </w:tabs>
        <w:jc w:val="both"/>
        <w:rPr>
          <w:rFonts w:eastAsia="Times New Roman" w:cs="Times New Roman"/>
          <w:sz w:val="20"/>
          <w:szCs w:val="20"/>
          <w:lang w:val="fr-CA" w:eastAsia="en-CA"/>
        </w:rPr>
      </w:pPr>
    </w:p>
    <w:p w:rsidR="0094245C" w:rsidRPr="0094245C" w:rsidRDefault="0094245C" w:rsidP="0094245C">
      <w:pPr>
        <w:tabs>
          <w:tab w:val="left" w:pos="-1440"/>
          <w:tab w:val="left" w:pos="-720"/>
        </w:tabs>
        <w:jc w:val="both"/>
        <w:rPr>
          <w:rFonts w:eastAsia="Times New Roman" w:cs="Times New Roman"/>
          <w:sz w:val="20"/>
          <w:szCs w:val="20"/>
          <w:lang w:val="fr-CA" w:eastAsia="en-CA"/>
        </w:rPr>
      </w:pPr>
    </w:p>
    <w:p w:rsidR="0094245C" w:rsidRPr="0094245C" w:rsidRDefault="0094245C" w:rsidP="0094245C">
      <w:pPr>
        <w:tabs>
          <w:tab w:val="left" w:pos="-1440"/>
          <w:tab w:val="left" w:pos="-720"/>
        </w:tabs>
        <w:jc w:val="both"/>
        <w:rPr>
          <w:rFonts w:eastAsia="Times New Roman" w:cs="Times New Roman"/>
          <w:sz w:val="20"/>
          <w:szCs w:val="20"/>
          <w:lang w:val="fr-CA" w:eastAsia="en-CA"/>
        </w:rPr>
      </w:pPr>
    </w:p>
    <w:p w:rsidR="0094245C" w:rsidRPr="0094245C" w:rsidRDefault="0094245C" w:rsidP="0094245C">
      <w:pPr>
        <w:contextualSpacing/>
        <w:jc w:val="both"/>
        <w:rPr>
          <w:rFonts w:eastAsia="Times New Roman" w:cs="Times New Roman"/>
          <w:sz w:val="20"/>
          <w:szCs w:val="20"/>
          <w:lang w:eastAsia="en-CA"/>
        </w:rPr>
      </w:pPr>
      <w:r w:rsidRPr="0094245C">
        <w:rPr>
          <w:rFonts w:eastAsia="Times New Roman" w:cs="Times New Roman"/>
          <w:b/>
          <w:sz w:val="20"/>
          <w:szCs w:val="20"/>
          <w:lang w:eastAsia="en-CA"/>
        </w:rPr>
        <w:t>UPON APPLICATION</w:t>
      </w:r>
      <w:r w:rsidRPr="0094245C">
        <w:rPr>
          <w:rFonts w:eastAsia="Times New Roman" w:cs="Times New Roman"/>
          <w:sz w:val="20"/>
          <w:szCs w:val="20"/>
          <w:lang w:eastAsia="en-CA"/>
        </w:rPr>
        <w:t xml:space="preserve"> by the appellants for an order extending the time within which to serve and file the appeal documents and adjourning the hearing tentatively set for May 13, 2015;</w:t>
      </w:r>
    </w:p>
    <w:p w:rsidR="0094245C" w:rsidRPr="0094245C" w:rsidRDefault="0094245C" w:rsidP="0094245C">
      <w:pPr>
        <w:contextualSpacing/>
        <w:jc w:val="both"/>
        <w:rPr>
          <w:rFonts w:eastAsia="Times New Roman" w:cs="Times New Roman"/>
          <w:sz w:val="20"/>
          <w:szCs w:val="20"/>
          <w:lang w:eastAsia="en-CA"/>
        </w:rPr>
      </w:pPr>
    </w:p>
    <w:p w:rsidR="0094245C" w:rsidRPr="0094245C" w:rsidRDefault="0094245C" w:rsidP="0094245C">
      <w:pPr>
        <w:contextualSpacing/>
        <w:jc w:val="both"/>
        <w:rPr>
          <w:rFonts w:eastAsia="Times New Roman" w:cs="Times New Roman"/>
          <w:sz w:val="20"/>
          <w:szCs w:val="20"/>
          <w:lang w:eastAsia="en-CA"/>
        </w:rPr>
      </w:pPr>
      <w:r w:rsidRPr="0094245C">
        <w:rPr>
          <w:rFonts w:eastAsia="Times New Roman" w:cs="Times New Roman"/>
          <w:b/>
          <w:sz w:val="20"/>
          <w:szCs w:val="20"/>
          <w:lang w:eastAsia="en-CA"/>
        </w:rPr>
        <w:t>AND THE MATERIAL FILED</w:t>
      </w:r>
      <w:r w:rsidRPr="0094245C">
        <w:rPr>
          <w:rFonts w:eastAsia="Times New Roman" w:cs="Times New Roman"/>
          <w:sz w:val="20"/>
          <w:szCs w:val="20"/>
          <w:lang w:eastAsia="en-CA"/>
        </w:rPr>
        <w:t xml:space="preserve"> having been read; </w:t>
      </w:r>
    </w:p>
    <w:p w:rsidR="0094245C" w:rsidRPr="0094245C" w:rsidRDefault="0094245C" w:rsidP="0094245C">
      <w:pPr>
        <w:contextualSpacing/>
        <w:jc w:val="both"/>
        <w:rPr>
          <w:rFonts w:eastAsia="Times New Roman" w:cs="Times New Roman"/>
          <w:sz w:val="20"/>
          <w:szCs w:val="20"/>
          <w:lang w:eastAsia="en-CA"/>
        </w:rPr>
      </w:pPr>
    </w:p>
    <w:p w:rsidR="0094245C" w:rsidRPr="0094245C" w:rsidRDefault="0094245C" w:rsidP="0094245C">
      <w:pPr>
        <w:contextualSpacing/>
        <w:jc w:val="both"/>
        <w:rPr>
          <w:rFonts w:eastAsia="Times New Roman" w:cs="Times New Roman"/>
          <w:b/>
          <w:sz w:val="20"/>
          <w:szCs w:val="20"/>
          <w:lang w:eastAsia="en-CA"/>
        </w:rPr>
      </w:pPr>
      <w:r w:rsidRPr="0094245C">
        <w:rPr>
          <w:rFonts w:eastAsia="Times New Roman" w:cs="Times New Roman"/>
          <w:b/>
          <w:sz w:val="20"/>
          <w:szCs w:val="20"/>
          <w:lang w:eastAsia="en-CA"/>
        </w:rPr>
        <w:t xml:space="preserve">IT IS HEREBY ORDERED THAT: </w:t>
      </w:r>
    </w:p>
    <w:p w:rsidR="0094245C" w:rsidRPr="0094245C" w:rsidRDefault="0094245C" w:rsidP="0094245C">
      <w:pPr>
        <w:contextualSpacing/>
        <w:jc w:val="both"/>
        <w:rPr>
          <w:rFonts w:eastAsia="Times New Roman" w:cs="Times New Roman"/>
          <w:b/>
          <w:sz w:val="20"/>
          <w:szCs w:val="20"/>
          <w:lang w:eastAsia="en-CA"/>
        </w:rPr>
      </w:pPr>
    </w:p>
    <w:p w:rsidR="0094245C" w:rsidRPr="0094245C" w:rsidRDefault="0094245C" w:rsidP="0094245C">
      <w:pPr>
        <w:contextualSpacing/>
        <w:jc w:val="both"/>
        <w:rPr>
          <w:rFonts w:eastAsia="Times New Roman" w:cs="Times New Roman"/>
          <w:sz w:val="20"/>
          <w:szCs w:val="20"/>
          <w:lang w:eastAsia="en-CA"/>
        </w:rPr>
      </w:pPr>
      <w:r w:rsidRPr="0094245C">
        <w:rPr>
          <w:rFonts w:eastAsia="Times New Roman" w:cs="Times New Roman"/>
          <w:sz w:val="20"/>
          <w:szCs w:val="20"/>
          <w:lang w:eastAsia="en-CA"/>
        </w:rPr>
        <w:t xml:space="preserve">The motion is granted without costs. </w:t>
      </w:r>
    </w:p>
    <w:p w:rsidR="0094245C" w:rsidRPr="0094245C" w:rsidRDefault="0094245C" w:rsidP="0094245C">
      <w:pPr>
        <w:contextualSpacing/>
        <w:jc w:val="both"/>
        <w:rPr>
          <w:rFonts w:eastAsia="Times New Roman" w:cs="Times New Roman"/>
          <w:sz w:val="20"/>
          <w:szCs w:val="20"/>
          <w:lang w:eastAsia="en-CA"/>
        </w:rPr>
      </w:pPr>
    </w:p>
    <w:p w:rsidR="0094245C" w:rsidRPr="0094245C" w:rsidRDefault="0094245C" w:rsidP="0094245C">
      <w:pPr>
        <w:contextualSpacing/>
        <w:jc w:val="both"/>
        <w:rPr>
          <w:rFonts w:eastAsia="Times New Roman" w:cs="Times New Roman"/>
          <w:sz w:val="20"/>
          <w:szCs w:val="20"/>
          <w:lang w:eastAsia="en-CA"/>
        </w:rPr>
      </w:pPr>
      <w:r w:rsidRPr="0094245C">
        <w:rPr>
          <w:rFonts w:eastAsia="Times New Roman" w:cs="Times New Roman"/>
          <w:sz w:val="20"/>
          <w:szCs w:val="20"/>
          <w:lang w:eastAsia="en-CA"/>
        </w:rPr>
        <w:t>The appeal documents shall be served and filed in accordance with the following schedule:</w:t>
      </w:r>
    </w:p>
    <w:p w:rsidR="0094245C" w:rsidRPr="0094245C" w:rsidRDefault="0094245C" w:rsidP="0094245C">
      <w:pPr>
        <w:contextualSpacing/>
        <w:jc w:val="both"/>
        <w:rPr>
          <w:rFonts w:eastAsia="Times New Roman" w:cs="Times New Roman"/>
          <w:sz w:val="20"/>
          <w:szCs w:val="20"/>
          <w:lang w:eastAsia="en-CA"/>
        </w:rPr>
      </w:pPr>
    </w:p>
    <w:p w:rsidR="0094245C" w:rsidRPr="0094245C" w:rsidRDefault="0094245C" w:rsidP="0094245C">
      <w:pPr>
        <w:numPr>
          <w:ilvl w:val="0"/>
          <w:numId w:val="8"/>
        </w:numPr>
        <w:spacing w:after="200"/>
        <w:contextualSpacing/>
        <w:jc w:val="both"/>
        <w:rPr>
          <w:rFonts w:cs="Times New Roman"/>
          <w:sz w:val="20"/>
          <w:szCs w:val="20"/>
        </w:rPr>
      </w:pPr>
      <w:r w:rsidRPr="0094245C">
        <w:rPr>
          <w:rFonts w:cs="Times New Roman"/>
          <w:sz w:val="20"/>
          <w:szCs w:val="20"/>
        </w:rPr>
        <w:t>The appellants’ factum, record and book of authorities shall be served and filed on or before April 7, 2015.</w:t>
      </w:r>
    </w:p>
    <w:p w:rsidR="0094245C" w:rsidRPr="0094245C" w:rsidRDefault="0094245C" w:rsidP="0094245C">
      <w:pPr>
        <w:ind w:left="720"/>
        <w:contextualSpacing/>
        <w:jc w:val="both"/>
        <w:rPr>
          <w:rFonts w:cs="Times New Roman"/>
          <w:sz w:val="20"/>
          <w:szCs w:val="20"/>
        </w:rPr>
      </w:pPr>
    </w:p>
    <w:p w:rsidR="0094245C" w:rsidRPr="0094245C" w:rsidRDefault="0094245C" w:rsidP="0094245C">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94245C">
        <w:rPr>
          <w:rFonts w:cs="Times New Roman"/>
          <w:sz w:val="20"/>
          <w:szCs w:val="20"/>
        </w:rPr>
        <w:t xml:space="preserve">Any person wishing to intervene in this appeal under Rule 55 of the </w:t>
      </w:r>
      <w:r w:rsidRPr="0094245C">
        <w:rPr>
          <w:rFonts w:cs="Times New Roman"/>
          <w:i/>
          <w:sz w:val="20"/>
          <w:szCs w:val="20"/>
        </w:rPr>
        <w:t>Rules of the Supreme Court of Canada</w:t>
      </w:r>
      <w:r w:rsidRPr="0094245C">
        <w:rPr>
          <w:rFonts w:cs="Times New Roman"/>
          <w:sz w:val="20"/>
          <w:szCs w:val="20"/>
        </w:rPr>
        <w:t xml:space="preserve"> shall serve and file a motion for leave to intervene on or before May 5, 2015. </w:t>
      </w:r>
    </w:p>
    <w:p w:rsidR="0094245C" w:rsidRPr="0094245C" w:rsidRDefault="0094245C" w:rsidP="0094245C">
      <w:pPr>
        <w:ind w:left="720"/>
        <w:contextualSpacing/>
        <w:jc w:val="both"/>
        <w:rPr>
          <w:rFonts w:cs="Times New Roman"/>
          <w:sz w:val="20"/>
          <w:szCs w:val="20"/>
        </w:rPr>
      </w:pPr>
    </w:p>
    <w:p w:rsidR="0094245C" w:rsidRPr="0094245C" w:rsidRDefault="0094245C" w:rsidP="0094245C">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94245C">
        <w:rPr>
          <w:rFonts w:cs="Times New Roman"/>
          <w:sz w:val="20"/>
          <w:szCs w:val="20"/>
        </w:rPr>
        <w:t xml:space="preserve">The appellants and respondents shall serve and file their responses, if any, to the motions for leave to intervene no later than ten (10) days after service of a motion for leave to intervene. </w:t>
      </w:r>
    </w:p>
    <w:p w:rsidR="0094245C" w:rsidRPr="0094245C" w:rsidRDefault="0094245C" w:rsidP="0094245C">
      <w:pPr>
        <w:contextualSpacing/>
        <w:jc w:val="both"/>
        <w:rPr>
          <w:rFonts w:eastAsia="Times New Roman" w:cs="Times New Roman"/>
          <w:sz w:val="20"/>
          <w:szCs w:val="20"/>
          <w:lang w:eastAsia="en-CA"/>
        </w:rPr>
      </w:pPr>
    </w:p>
    <w:p w:rsidR="0094245C" w:rsidRPr="0094245C" w:rsidRDefault="0094245C" w:rsidP="0094245C">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94245C">
        <w:rPr>
          <w:rFonts w:cs="Times New Roman"/>
          <w:sz w:val="20"/>
          <w:szCs w:val="20"/>
        </w:rPr>
        <w:t>Replies to any responses to the motions for leave to intervene shall be served and filed no later than five (5) days after service of a response to the motions for leave to intervene.</w:t>
      </w:r>
    </w:p>
    <w:p w:rsidR="0094245C" w:rsidRPr="0094245C" w:rsidRDefault="0094245C" w:rsidP="0094245C">
      <w:pPr>
        <w:ind w:left="720"/>
        <w:contextualSpacing/>
        <w:jc w:val="both"/>
        <w:rPr>
          <w:rFonts w:cs="Times New Roman"/>
          <w:sz w:val="20"/>
          <w:szCs w:val="20"/>
        </w:rPr>
      </w:pPr>
    </w:p>
    <w:p w:rsidR="0094245C" w:rsidRPr="0094245C" w:rsidRDefault="0094245C" w:rsidP="0094245C">
      <w:pPr>
        <w:widowControl w:val="0"/>
        <w:numPr>
          <w:ilvl w:val="0"/>
          <w:numId w:val="8"/>
        </w:numPr>
        <w:autoSpaceDE w:val="0"/>
        <w:autoSpaceDN w:val="0"/>
        <w:adjustRightInd w:val="0"/>
        <w:contextualSpacing/>
        <w:jc w:val="both"/>
        <w:rPr>
          <w:rFonts w:cs="Times New Roman"/>
          <w:sz w:val="20"/>
          <w:szCs w:val="20"/>
        </w:rPr>
      </w:pPr>
      <w:r w:rsidRPr="0094245C">
        <w:rPr>
          <w:rFonts w:cs="Times New Roman"/>
          <w:sz w:val="20"/>
          <w:szCs w:val="20"/>
        </w:rPr>
        <w:t>The respondents’ records, factums and books of authorities shall be served and filed on or before June 2, 2015.</w:t>
      </w:r>
    </w:p>
    <w:p w:rsidR="0094245C" w:rsidRPr="0094245C" w:rsidRDefault="0094245C" w:rsidP="0094245C">
      <w:pPr>
        <w:ind w:left="720"/>
        <w:contextualSpacing/>
        <w:jc w:val="both"/>
        <w:rPr>
          <w:rFonts w:cs="Times New Roman"/>
          <w:bCs/>
          <w:sz w:val="20"/>
          <w:szCs w:val="20"/>
        </w:rPr>
      </w:pPr>
    </w:p>
    <w:p w:rsidR="0094245C" w:rsidRPr="0094245C" w:rsidRDefault="0094245C" w:rsidP="0094245C">
      <w:pPr>
        <w:numPr>
          <w:ilvl w:val="0"/>
          <w:numId w:val="8"/>
        </w:numPr>
        <w:autoSpaceDE w:val="0"/>
        <w:autoSpaceDN w:val="0"/>
        <w:adjustRightInd w:val="0"/>
        <w:contextualSpacing/>
        <w:jc w:val="both"/>
        <w:rPr>
          <w:rFonts w:cs="Times New Roman"/>
          <w:bCs/>
          <w:sz w:val="20"/>
          <w:szCs w:val="20"/>
        </w:rPr>
      </w:pPr>
      <w:r w:rsidRPr="0094245C">
        <w:rPr>
          <w:rFonts w:cs="Times New Roman"/>
          <w:bCs/>
          <w:sz w:val="20"/>
          <w:szCs w:val="20"/>
        </w:rPr>
        <w:t xml:space="preserve">Any interveners granted leave to intervene under Rule 59 of the </w:t>
      </w:r>
      <w:r w:rsidRPr="0094245C">
        <w:rPr>
          <w:rFonts w:cs="Times New Roman"/>
          <w:bCs/>
          <w:i/>
          <w:sz w:val="20"/>
          <w:szCs w:val="20"/>
        </w:rPr>
        <w:t>Rules of the Supreme Court of Canada</w:t>
      </w:r>
      <w:r w:rsidRPr="0094245C">
        <w:rPr>
          <w:rFonts w:cs="Times New Roman"/>
          <w:bCs/>
          <w:sz w:val="20"/>
          <w:szCs w:val="20"/>
        </w:rPr>
        <w:t xml:space="preserve"> shall serve and file their factums and books of authorities no later than eight (8) weeks after the order granting them leave to intervene in this appeal.</w:t>
      </w:r>
    </w:p>
    <w:p w:rsidR="0094245C" w:rsidRPr="0094245C" w:rsidRDefault="0094245C" w:rsidP="0094245C">
      <w:pPr>
        <w:ind w:left="720"/>
        <w:jc w:val="both"/>
        <w:rPr>
          <w:rFonts w:eastAsia="Times New Roman" w:cs="Times New Roman"/>
          <w:bCs/>
          <w:sz w:val="20"/>
          <w:szCs w:val="20"/>
          <w:lang w:eastAsia="en-CA"/>
        </w:rPr>
      </w:pPr>
    </w:p>
    <w:p w:rsidR="0094245C" w:rsidRPr="0094245C" w:rsidRDefault="0094245C" w:rsidP="0094245C">
      <w:pPr>
        <w:numPr>
          <w:ilvl w:val="0"/>
          <w:numId w:val="8"/>
        </w:numPr>
        <w:contextualSpacing/>
        <w:jc w:val="both"/>
        <w:rPr>
          <w:rFonts w:cs="Times New Roman"/>
          <w:bCs/>
          <w:sz w:val="20"/>
          <w:szCs w:val="20"/>
        </w:rPr>
      </w:pPr>
      <w:r w:rsidRPr="0094245C">
        <w:rPr>
          <w:rFonts w:cs="Times New Roman"/>
          <w:bCs/>
          <w:sz w:val="20"/>
          <w:szCs w:val="20"/>
        </w:rPr>
        <w:t xml:space="preserve">The Registrar shall fix a new hearing date. </w:t>
      </w:r>
    </w:p>
    <w:p w:rsidR="0094245C" w:rsidRPr="0094245C" w:rsidRDefault="0094245C" w:rsidP="0094245C">
      <w:pPr>
        <w:tabs>
          <w:tab w:val="left" w:pos="-1440"/>
          <w:tab w:val="left" w:pos="-720"/>
        </w:tabs>
        <w:jc w:val="both"/>
        <w:rPr>
          <w:rFonts w:eastAsia="Times New Roman" w:cs="Times New Roman"/>
          <w:sz w:val="20"/>
          <w:szCs w:val="20"/>
          <w:lang w:eastAsia="en-CA"/>
        </w:rPr>
      </w:pPr>
    </w:p>
    <w:p w:rsidR="0094245C" w:rsidRPr="0094245C" w:rsidRDefault="003A60BB" w:rsidP="0094245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2" style="width:2in;height:1pt" o:hrpct="0" o:hralign="center" o:hrstd="t" o:hrnoshade="t" o:hr="t" fillcolor="black [3213]" stroked="f"/>
        </w:pict>
      </w:r>
    </w:p>
    <w:p w:rsidR="0094245C" w:rsidRPr="0094245C" w:rsidRDefault="0094245C" w:rsidP="0094245C">
      <w:pPr>
        <w:tabs>
          <w:tab w:val="left" w:pos="-1440"/>
          <w:tab w:val="left" w:pos="-720"/>
        </w:tabs>
        <w:jc w:val="both"/>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560020"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0613BA" w:rsidRDefault="00CC35BD" w:rsidP="0052229C">
      <w:pPr>
        <w:rPr>
          <w:b/>
          <w:sz w:val="20"/>
          <w:szCs w:val="20"/>
        </w:rPr>
      </w:pPr>
      <w:r w:rsidRPr="000613BA">
        <w:rPr>
          <w:b/>
          <w:sz w:val="20"/>
          <w:szCs w:val="20"/>
        </w:rPr>
        <w:t>M</w:t>
      </w:r>
      <w:r w:rsidR="0052229C" w:rsidRPr="000613BA">
        <w:rPr>
          <w:b/>
          <w:sz w:val="20"/>
          <w:szCs w:val="20"/>
        </w:rPr>
        <w:t>AR</w:t>
      </w:r>
      <w:r w:rsidRPr="000613BA">
        <w:rPr>
          <w:b/>
          <w:sz w:val="20"/>
          <w:szCs w:val="20"/>
        </w:rPr>
        <w:t>CH</w:t>
      </w:r>
      <w:r w:rsidR="0052229C" w:rsidRPr="000613BA">
        <w:rPr>
          <w:b/>
          <w:sz w:val="20"/>
          <w:szCs w:val="20"/>
        </w:rPr>
        <w:t xml:space="preserve"> </w:t>
      </w:r>
      <w:r w:rsidRPr="000613BA">
        <w:rPr>
          <w:b/>
          <w:sz w:val="20"/>
          <w:szCs w:val="20"/>
        </w:rPr>
        <w:t>5</w:t>
      </w:r>
      <w:r w:rsidR="0052229C" w:rsidRPr="000613BA">
        <w:rPr>
          <w:b/>
          <w:sz w:val="20"/>
          <w:szCs w:val="20"/>
        </w:rPr>
        <w:t>, 201</w:t>
      </w:r>
      <w:r w:rsidRPr="000613BA">
        <w:rPr>
          <w:b/>
          <w:sz w:val="20"/>
          <w:szCs w:val="20"/>
        </w:rPr>
        <w:t>5</w:t>
      </w:r>
      <w:r w:rsidR="0052229C" w:rsidRPr="000613BA">
        <w:rPr>
          <w:b/>
          <w:sz w:val="20"/>
          <w:szCs w:val="20"/>
        </w:rPr>
        <w:t xml:space="preserve"> / LE </w:t>
      </w:r>
      <w:r w:rsidRPr="000613BA">
        <w:rPr>
          <w:b/>
          <w:sz w:val="20"/>
          <w:szCs w:val="20"/>
        </w:rPr>
        <w:t>5</w:t>
      </w:r>
      <w:r w:rsidR="0052229C" w:rsidRPr="000613BA">
        <w:rPr>
          <w:b/>
          <w:sz w:val="20"/>
          <w:szCs w:val="20"/>
        </w:rPr>
        <w:t xml:space="preserve"> </w:t>
      </w:r>
      <w:r w:rsidRPr="000613BA">
        <w:rPr>
          <w:b/>
          <w:sz w:val="20"/>
          <w:szCs w:val="20"/>
        </w:rPr>
        <w:t>M</w:t>
      </w:r>
      <w:r w:rsidR="0052229C" w:rsidRPr="000613BA">
        <w:rPr>
          <w:b/>
          <w:sz w:val="20"/>
          <w:szCs w:val="20"/>
        </w:rPr>
        <w:t>AR</w:t>
      </w:r>
      <w:r w:rsidRPr="000613BA">
        <w:rPr>
          <w:b/>
          <w:sz w:val="20"/>
          <w:szCs w:val="20"/>
        </w:rPr>
        <w:t>S</w:t>
      </w:r>
      <w:r w:rsidR="0052229C" w:rsidRPr="000613BA">
        <w:rPr>
          <w:b/>
          <w:sz w:val="20"/>
          <w:szCs w:val="20"/>
        </w:rPr>
        <w:t xml:space="preserve"> 201</w:t>
      </w:r>
      <w:r w:rsidRPr="000613BA">
        <w:rPr>
          <w:b/>
          <w:sz w:val="20"/>
          <w:szCs w:val="20"/>
        </w:rPr>
        <w:t>5</w:t>
      </w:r>
    </w:p>
    <w:p w:rsidR="0052229C" w:rsidRPr="000613BA" w:rsidRDefault="0052229C" w:rsidP="0052229C">
      <w:pPr>
        <w:rPr>
          <w:sz w:val="20"/>
          <w:szCs w:val="20"/>
        </w:rPr>
      </w:pPr>
    </w:p>
    <w:p w:rsidR="00B31ACF" w:rsidRPr="003D7D9C" w:rsidRDefault="003A0C94" w:rsidP="00B31ACF">
      <w:pPr>
        <w:ind w:left="1440" w:hanging="1440"/>
        <w:jc w:val="both"/>
        <w:rPr>
          <w:sz w:val="20"/>
          <w:szCs w:val="20"/>
        </w:rPr>
      </w:pPr>
      <w:r w:rsidRPr="003D7D9C">
        <w:rPr>
          <w:b/>
          <w:sz w:val="20"/>
          <w:szCs w:val="20"/>
        </w:rPr>
        <w:fldChar w:fldCharType="begin"/>
      </w:r>
      <w:r w:rsidR="00B31ACF" w:rsidRPr="003D7D9C">
        <w:rPr>
          <w:b/>
          <w:sz w:val="20"/>
          <w:szCs w:val="20"/>
        </w:rPr>
        <w:instrText xml:space="preserve"> SEQ CHAPTER \h \r 1</w:instrText>
      </w:r>
      <w:r w:rsidRPr="003D7D9C">
        <w:rPr>
          <w:b/>
          <w:sz w:val="20"/>
          <w:szCs w:val="20"/>
        </w:rPr>
        <w:fldChar w:fldCharType="end"/>
      </w:r>
      <w:r w:rsidR="00B31ACF" w:rsidRPr="003D7D9C">
        <w:rPr>
          <w:b/>
          <w:sz w:val="20"/>
          <w:szCs w:val="20"/>
        </w:rPr>
        <w:t>35664</w:t>
      </w:r>
      <w:r w:rsidR="00B31ACF" w:rsidRPr="003D7D9C">
        <w:rPr>
          <w:sz w:val="20"/>
          <w:szCs w:val="20"/>
        </w:rPr>
        <w:tab/>
      </w:r>
      <w:r w:rsidR="00B31ACF" w:rsidRPr="003D7D9C">
        <w:rPr>
          <w:b/>
          <w:sz w:val="20"/>
          <w:szCs w:val="20"/>
          <w:u w:val="single"/>
        </w:rPr>
        <w:t>Her Majesty the Queen v. Mark Edward Grant</w:t>
      </w:r>
      <w:r w:rsidR="00B31ACF" w:rsidRPr="003D7D9C">
        <w:rPr>
          <w:b/>
          <w:sz w:val="20"/>
          <w:szCs w:val="20"/>
        </w:rPr>
        <w:t xml:space="preserve"> </w:t>
      </w:r>
      <w:r w:rsidR="00B31ACF" w:rsidRPr="003D7D9C">
        <w:rPr>
          <w:sz w:val="20"/>
          <w:szCs w:val="20"/>
        </w:rPr>
        <w:t>(Man.)</w:t>
      </w:r>
    </w:p>
    <w:p w:rsidR="00B31ACF" w:rsidRPr="003D7D9C" w:rsidRDefault="00B31ACF" w:rsidP="00B31ACF">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rPr>
      </w:pPr>
      <w:r w:rsidRPr="003D7D9C">
        <w:rPr>
          <w:b/>
          <w:sz w:val="20"/>
          <w:szCs w:val="20"/>
        </w:rPr>
        <w:t>2015 SCC 9 / 2015 CSC 9</w:t>
      </w:r>
    </w:p>
    <w:p w:rsidR="00B31ACF" w:rsidRPr="003D7D9C" w:rsidRDefault="00B31ACF" w:rsidP="00B31AC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B31ACF" w:rsidRPr="003D7D9C" w:rsidRDefault="00B31ACF" w:rsidP="00B31ACF">
      <w:pPr>
        <w:ind w:left="1440" w:hanging="1440"/>
        <w:rPr>
          <w:sz w:val="20"/>
          <w:szCs w:val="20"/>
          <w:u w:val="single"/>
        </w:rPr>
      </w:pPr>
      <w:r w:rsidRPr="003D7D9C">
        <w:rPr>
          <w:sz w:val="20"/>
          <w:szCs w:val="20"/>
        </w:rPr>
        <w:t>Coram:</w:t>
      </w:r>
      <w:r w:rsidRPr="003D7D9C">
        <w:rPr>
          <w:sz w:val="20"/>
          <w:szCs w:val="20"/>
        </w:rPr>
        <w:tab/>
      </w:r>
      <w:r w:rsidRPr="003D7D9C">
        <w:rPr>
          <w:sz w:val="20"/>
          <w:szCs w:val="20"/>
          <w:u w:val="single"/>
        </w:rPr>
        <w:t>Abella, Rothstein, Cromwell, Moldaver, Karakatsanis, Wagner, and Gascon JJ.</w:t>
      </w:r>
    </w:p>
    <w:p w:rsidR="00B31ACF" w:rsidRPr="003D7D9C" w:rsidRDefault="00B31ACF" w:rsidP="00B31ACF">
      <w:pPr>
        <w:ind w:left="1440" w:hanging="1440"/>
        <w:jc w:val="both"/>
        <w:rPr>
          <w:sz w:val="20"/>
          <w:szCs w:val="20"/>
        </w:rPr>
      </w:pPr>
    </w:p>
    <w:p w:rsidR="00B31ACF" w:rsidRPr="003D7D9C" w:rsidRDefault="00B31ACF" w:rsidP="00B31ACF">
      <w:pPr>
        <w:jc w:val="both"/>
        <w:rPr>
          <w:sz w:val="20"/>
          <w:szCs w:val="20"/>
        </w:rPr>
      </w:pPr>
      <w:r w:rsidRPr="003D7D9C">
        <w:rPr>
          <w:sz w:val="20"/>
          <w:szCs w:val="20"/>
        </w:rPr>
        <w:t>The appeal from the judgment of the Court of Appeal of Manitoba, Number AR 11-30-07585, 2013 MBCA 95, dated October 30, 2013, heard on November 14, 2014, is dismissed and the Court of Appeal’s decision to order a new trial is upheld.</w:t>
      </w:r>
    </w:p>
    <w:p w:rsidR="00B31ACF" w:rsidRPr="003D7D9C" w:rsidRDefault="00B31ACF" w:rsidP="00B31ACF">
      <w:pPr>
        <w:jc w:val="both"/>
        <w:rPr>
          <w:sz w:val="20"/>
          <w:szCs w:val="20"/>
        </w:rPr>
      </w:pPr>
    </w:p>
    <w:p w:rsidR="00B31ACF" w:rsidRPr="003D7D9C" w:rsidRDefault="00B31ACF" w:rsidP="00B31ACF">
      <w:pPr>
        <w:jc w:val="both"/>
        <w:rPr>
          <w:sz w:val="20"/>
          <w:szCs w:val="20"/>
          <w:lang w:val="fr-CA"/>
        </w:rPr>
      </w:pPr>
      <w:r w:rsidRPr="003D7D9C">
        <w:rPr>
          <w:sz w:val="20"/>
          <w:szCs w:val="20"/>
          <w:lang w:val="fr-CA"/>
        </w:rPr>
        <w:t>L’appel interjeté contre l’arrêt de la Cour d’appel du Manitoba, numéro AR 11-30-07585, 2013 MBCA 95, en date du 30 octobre 2013, entendu le 14 novembre 2014, est rejeté et la décision de la Cour d’appel d’ordonner la tenue d’un nouveau procès est confirmée.</w:t>
      </w:r>
    </w:p>
    <w:p w:rsidR="0052229C" w:rsidRPr="00B31ACF" w:rsidRDefault="0052229C" w:rsidP="0052229C">
      <w:pPr>
        <w:rPr>
          <w:sz w:val="20"/>
          <w:szCs w:val="20"/>
          <w:lang w:val="fr-CA"/>
        </w:rPr>
      </w:pPr>
    </w:p>
    <w:p w:rsidR="0052229C" w:rsidRPr="003B3977" w:rsidRDefault="003A60BB" w:rsidP="0052229C">
      <w:pPr>
        <w:spacing w:line="0" w:lineRule="atLeast"/>
        <w:rPr>
          <w:sz w:val="20"/>
          <w:szCs w:val="20"/>
        </w:rPr>
      </w:pPr>
      <w:r>
        <w:rPr>
          <w:b/>
          <w:sz w:val="20"/>
          <w:szCs w:val="20"/>
        </w:rPr>
        <w:pict>
          <v:rect id="_x0000_i1075"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CC35BD" w:rsidRPr="002A44EA" w:rsidRDefault="00CC35BD" w:rsidP="00CC35BD">
      <w:pPr>
        <w:rPr>
          <w:b/>
          <w:sz w:val="20"/>
          <w:szCs w:val="20"/>
        </w:rPr>
      </w:pPr>
      <w:r w:rsidRPr="002A44EA">
        <w:rPr>
          <w:b/>
          <w:sz w:val="20"/>
          <w:szCs w:val="20"/>
        </w:rPr>
        <w:t>MARCH 6, 2015 / LE 6 MARS 2015</w:t>
      </w:r>
    </w:p>
    <w:p w:rsidR="0052229C" w:rsidRPr="00A84883" w:rsidRDefault="0052229C" w:rsidP="0052229C">
      <w:pPr>
        <w:spacing w:line="0" w:lineRule="atLeast"/>
        <w:rPr>
          <w:rFonts w:cs="Times New Roman"/>
          <w:sz w:val="20"/>
          <w:szCs w:val="20"/>
        </w:rPr>
      </w:pPr>
    </w:p>
    <w:p w:rsidR="001709A6" w:rsidRPr="00F3336A" w:rsidRDefault="003A0C94" w:rsidP="001709A6">
      <w:pPr>
        <w:ind w:left="1440" w:hanging="1440"/>
        <w:jc w:val="both"/>
        <w:rPr>
          <w:sz w:val="20"/>
          <w:szCs w:val="20"/>
        </w:rPr>
      </w:pPr>
      <w:r w:rsidRPr="00F3336A">
        <w:rPr>
          <w:b/>
          <w:sz w:val="20"/>
          <w:szCs w:val="20"/>
        </w:rPr>
        <w:fldChar w:fldCharType="begin"/>
      </w:r>
      <w:r w:rsidR="001709A6" w:rsidRPr="00F3336A">
        <w:rPr>
          <w:b/>
          <w:sz w:val="20"/>
          <w:szCs w:val="20"/>
        </w:rPr>
        <w:instrText xml:space="preserve"> SEQ CHAPTER \h \r 1</w:instrText>
      </w:r>
      <w:r w:rsidRPr="00F3336A">
        <w:rPr>
          <w:b/>
          <w:sz w:val="20"/>
          <w:szCs w:val="20"/>
        </w:rPr>
        <w:fldChar w:fldCharType="end"/>
      </w:r>
      <w:r w:rsidR="001709A6" w:rsidRPr="00F3336A">
        <w:rPr>
          <w:b/>
          <w:sz w:val="20"/>
          <w:szCs w:val="20"/>
        </w:rPr>
        <w:t>35422</w:t>
      </w:r>
      <w:r w:rsidR="001709A6" w:rsidRPr="00F3336A">
        <w:rPr>
          <w:sz w:val="20"/>
          <w:szCs w:val="20"/>
        </w:rPr>
        <w:tab/>
      </w:r>
      <w:r w:rsidR="001709A6" w:rsidRPr="00F3336A">
        <w:rPr>
          <w:b/>
          <w:sz w:val="20"/>
          <w:szCs w:val="20"/>
          <w:u w:val="single"/>
        </w:rPr>
        <w:t>David M. Potter v. New Brunswick Legal Aid Services Commission, a statutory body corporate pursuant to a special act of the Province of New Brunswick</w:t>
      </w:r>
      <w:r w:rsidR="001709A6" w:rsidRPr="00F3336A">
        <w:rPr>
          <w:sz w:val="20"/>
          <w:szCs w:val="20"/>
        </w:rPr>
        <w:t xml:space="preserve"> (N.B.)</w:t>
      </w:r>
    </w:p>
    <w:p w:rsidR="001709A6" w:rsidRPr="00F3336A" w:rsidRDefault="001709A6" w:rsidP="001709A6">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rPr>
      </w:pPr>
      <w:r w:rsidRPr="00F3336A">
        <w:rPr>
          <w:b/>
          <w:sz w:val="20"/>
          <w:szCs w:val="20"/>
        </w:rPr>
        <w:t>2015 SCC 10 / 2015 CSC 10</w:t>
      </w:r>
    </w:p>
    <w:p w:rsidR="001709A6" w:rsidRPr="00F3336A" w:rsidRDefault="001709A6" w:rsidP="001709A6">
      <w:pPr>
        <w:ind w:left="1440" w:hanging="1440"/>
        <w:rPr>
          <w:sz w:val="20"/>
          <w:szCs w:val="20"/>
        </w:rPr>
      </w:pPr>
    </w:p>
    <w:p w:rsidR="001709A6" w:rsidRPr="00F3336A" w:rsidRDefault="001709A6" w:rsidP="001709A6">
      <w:pPr>
        <w:ind w:left="1440" w:hanging="1440"/>
        <w:rPr>
          <w:sz w:val="20"/>
          <w:szCs w:val="20"/>
          <w:u w:val="single"/>
        </w:rPr>
      </w:pPr>
      <w:r w:rsidRPr="00F3336A">
        <w:rPr>
          <w:sz w:val="20"/>
          <w:szCs w:val="20"/>
        </w:rPr>
        <w:t>Coram:</w:t>
      </w:r>
      <w:r w:rsidRPr="00F3336A">
        <w:rPr>
          <w:sz w:val="20"/>
          <w:szCs w:val="20"/>
        </w:rPr>
        <w:tab/>
      </w:r>
      <w:r w:rsidRPr="00F3336A">
        <w:rPr>
          <w:sz w:val="20"/>
          <w:szCs w:val="20"/>
          <w:u w:val="single"/>
        </w:rPr>
        <w:t>McLachlin C.J. and Abella, Rothstein, Cromwell, Moldaver, Karakatsanis and Wagner JJ.</w:t>
      </w:r>
    </w:p>
    <w:p w:rsidR="001709A6" w:rsidRPr="00F3336A" w:rsidRDefault="001709A6" w:rsidP="001709A6">
      <w:pPr>
        <w:jc w:val="both"/>
        <w:rPr>
          <w:sz w:val="20"/>
          <w:szCs w:val="20"/>
        </w:rPr>
      </w:pPr>
    </w:p>
    <w:p w:rsidR="001709A6" w:rsidRPr="00F3336A" w:rsidRDefault="001709A6" w:rsidP="001709A6">
      <w:pPr>
        <w:widowControl w:val="0"/>
        <w:jc w:val="both"/>
        <w:outlineLvl w:val="0"/>
        <w:rPr>
          <w:sz w:val="20"/>
          <w:szCs w:val="20"/>
        </w:rPr>
      </w:pPr>
      <w:r w:rsidRPr="00F3336A">
        <w:rPr>
          <w:sz w:val="20"/>
          <w:szCs w:val="20"/>
        </w:rPr>
        <w:t xml:space="preserve">The appeal from the judgment </w:t>
      </w:r>
      <w:bookmarkStart w:id="2" w:name="BM_1_"/>
      <w:bookmarkEnd w:id="2"/>
      <w:r w:rsidRPr="00F3336A">
        <w:rPr>
          <w:sz w:val="20"/>
          <w:szCs w:val="20"/>
        </w:rPr>
        <w:t>of the Court of Appeal of New Brunswick, Number 161-11-CA, 2013 NBCA 27, dated April 25, 2013, heard on May 12, 2014, is allowed with costs throughout, the Court of Appeal’s judgment is set aside and Mr. Potter’s action for constructive dismissal is allowed. Mr. Potter is entitled to damages for wrongful dismissal as assessed by the trial judge, with the exception that the pension benefits Mr. Potter has already received are not to be deducted from those damages.</w:t>
      </w:r>
    </w:p>
    <w:p w:rsidR="001709A6" w:rsidRPr="00F3336A" w:rsidRDefault="001709A6" w:rsidP="001709A6">
      <w:pPr>
        <w:widowControl w:val="0"/>
        <w:jc w:val="both"/>
        <w:outlineLvl w:val="0"/>
        <w:rPr>
          <w:sz w:val="20"/>
          <w:szCs w:val="20"/>
        </w:rPr>
      </w:pPr>
    </w:p>
    <w:p w:rsidR="001709A6" w:rsidRPr="00F3336A" w:rsidRDefault="001709A6" w:rsidP="001709A6">
      <w:pPr>
        <w:widowControl w:val="0"/>
        <w:jc w:val="both"/>
        <w:outlineLvl w:val="0"/>
        <w:rPr>
          <w:sz w:val="20"/>
          <w:szCs w:val="20"/>
          <w:lang w:val="fr-CA"/>
        </w:rPr>
      </w:pPr>
      <w:r w:rsidRPr="00F3336A">
        <w:rPr>
          <w:sz w:val="20"/>
          <w:szCs w:val="20"/>
          <w:lang w:val="fr-CA"/>
        </w:rPr>
        <w:t>L’appel interjeté contre l’arrêt de la Cour d’appel du Nouveau-Brunswick, numéro 161-11-CA, 2013 NBCA 27, en date du 25 avril 2013, entendu le 12 mai 2014, est accueilli avec dépens devant toutes les cours, le jugement de la Cour d’appel est infirmé et l’action pour congédiement déguisé est accueillie. M. Potter a droit aux dommages-intérêts pour congédiement injustifié établis par le juge de première instance, mais les prestations de retraite déjà touchées par M. Potter ne doivent pas en être déduites.</w:t>
      </w:r>
    </w:p>
    <w:p w:rsidR="00D004FC" w:rsidRPr="0052229C" w:rsidRDefault="00D004FC" w:rsidP="00D004FC">
      <w:pPr>
        <w:spacing w:line="0" w:lineRule="atLeast"/>
        <w:rPr>
          <w:rFonts w:cs="Times New Roman"/>
          <w:sz w:val="20"/>
          <w:szCs w:val="20"/>
          <w:lang w:val="fr-CA"/>
        </w:rPr>
      </w:pPr>
    </w:p>
    <w:p w:rsidR="00D004FC" w:rsidRDefault="003A60BB" w:rsidP="00D004FC">
      <w:pPr>
        <w:jc w:val="both"/>
        <w:rPr>
          <w:rFonts w:cs="Times New Roman"/>
          <w:b/>
          <w:sz w:val="20"/>
          <w:szCs w:val="20"/>
        </w:rPr>
      </w:pPr>
      <w:r>
        <w:rPr>
          <w:rFonts w:cs="Times New Roman"/>
          <w:b/>
          <w:sz w:val="20"/>
          <w:szCs w:val="20"/>
        </w:rPr>
        <w:pict>
          <v:rect id="_x0000_i1076"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CC35BD" w:rsidRDefault="00CC35BD" w:rsidP="00CC35BD">
      <w:pPr>
        <w:autoSpaceDE w:val="0"/>
        <w:autoSpaceDN w:val="0"/>
        <w:rPr>
          <w:sz w:val="20"/>
          <w:szCs w:val="20"/>
        </w:rPr>
      </w:pPr>
      <w:r>
        <w:rPr>
          <w:i/>
          <w:iCs/>
          <w:sz w:val="20"/>
          <w:szCs w:val="20"/>
        </w:rPr>
        <w:t>Her Majesty the Queen v. Mark Edward Grant</w:t>
      </w:r>
      <w:r>
        <w:rPr>
          <w:sz w:val="20"/>
          <w:szCs w:val="20"/>
        </w:rPr>
        <w:t xml:space="preserve"> (Man.) (</w:t>
      </w:r>
      <w:hyperlink r:id="rId83" w:history="1">
        <w:r>
          <w:rPr>
            <w:rStyle w:val="Hyperlink"/>
            <w:sz w:val="20"/>
            <w:szCs w:val="20"/>
          </w:rPr>
          <w:t>35664</w:t>
        </w:r>
      </w:hyperlink>
      <w:r>
        <w:rPr>
          <w:sz w:val="20"/>
          <w:szCs w:val="20"/>
        </w:rPr>
        <w:t>)</w:t>
      </w:r>
    </w:p>
    <w:p w:rsidR="001349D4" w:rsidRPr="00742038" w:rsidRDefault="001349D4" w:rsidP="001349D4">
      <w:pPr>
        <w:jc w:val="both"/>
        <w:outlineLvl w:val="0"/>
        <w:rPr>
          <w:b/>
          <w:sz w:val="20"/>
          <w:szCs w:val="20"/>
          <w:lang w:val="fr-CA"/>
        </w:rPr>
      </w:pPr>
      <w:r w:rsidRPr="001349D4">
        <w:rPr>
          <w:b/>
          <w:sz w:val="20"/>
          <w:szCs w:val="20"/>
          <w:lang w:val="fr-CA"/>
        </w:rPr>
        <w:t xml:space="preserve">Indexed as:  R. </w:t>
      </w:r>
      <w:r w:rsidRPr="001349D4">
        <w:rPr>
          <w:b/>
          <w:i/>
          <w:sz w:val="20"/>
          <w:szCs w:val="20"/>
          <w:lang w:val="fr-CA"/>
        </w:rPr>
        <w:t>v.</w:t>
      </w:r>
      <w:r w:rsidRPr="001349D4">
        <w:rPr>
          <w:b/>
          <w:sz w:val="20"/>
          <w:szCs w:val="20"/>
          <w:lang w:val="fr-CA"/>
        </w:rPr>
        <w:t xml:space="preserve"> Grant / </w:t>
      </w:r>
      <w:r w:rsidRPr="00742038">
        <w:rPr>
          <w:b/>
          <w:sz w:val="20"/>
          <w:szCs w:val="20"/>
          <w:lang w:val="fr-CA"/>
        </w:rPr>
        <w:t xml:space="preserve">Répertorié : R. </w:t>
      </w:r>
      <w:r w:rsidRPr="00742038">
        <w:rPr>
          <w:b/>
          <w:i/>
          <w:sz w:val="20"/>
          <w:szCs w:val="20"/>
          <w:lang w:val="fr-CA"/>
        </w:rPr>
        <w:t>c.</w:t>
      </w:r>
      <w:r w:rsidRPr="00742038">
        <w:rPr>
          <w:b/>
          <w:sz w:val="20"/>
          <w:szCs w:val="20"/>
          <w:lang w:val="fr-CA"/>
        </w:rPr>
        <w:t xml:space="preserve"> Grant</w:t>
      </w:r>
    </w:p>
    <w:p w:rsidR="0052229C" w:rsidRPr="001349D4" w:rsidRDefault="0052229C" w:rsidP="0052229C">
      <w:pPr>
        <w:pStyle w:val="SCCSystemYear"/>
        <w:jc w:val="both"/>
        <w:rPr>
          <w:sz w:val="20"/>
        </w:rPr>
      </w:pPr>
      <w:r w:rsidRPr="001349D4">
        <w:rPr>
          <w:sz w:val="20"/>
        </w:rPr>
        <w:t>Neutral citation:  201</w:t>
      </w:r>
      <w:r w:rsidR="00020DC3" w:rsidRPr="001349D4">
        <w:rPr>
          <w:sz w:val="20"/>
        </w:rPr>
        <w:t>5</w:t>
      </w:r>
      <w:r w:rsidRPr="001349D4">
        <w:rPr>
          <w:sz w:val="20"/>
        </w:rPr>
        <w:t xml:space="preserve"> SCC </w:t>
      </w:r>
      <w:r w:rsidR="00CC35BD" w:rsidRPr="001349D4">
        <w:rPr>
          <w:sz w:val="20"/>
        </w:rPr>
        <w:t>9</w:t>
      </w:r>
      <w:r w:rsidRPr="001349D4">
        <w:rPr>
          <w:sz w:val="20"/>
        </w:rPr>
        <w:t xml:space="preserve"> / Référence neutre : 201</w:t>
      </w:r>
      <w:r w:rsidR="00020DC3" w:rsidRPr="001349D4">
        <w:rPr>
          <w:sz w:val="20"/>
        </w:rPr>
        <w:t>5</w:t>
      </w:r>
      <w:r w:rsidRPr="001349D4">
        <w:rPr>
          <w:sz w:val="20"/>
        </w:rPr>
        <w:t xml:space="preserve"> CSC </w:t>
      </w:r>
      <w:r w:rsidR="00CC35BD" w:rsidRPr="001349D4">
        <w:rPr>
          <w:sz w:val="20"/>
        </w:rPr>
        <w:t>9</w:t>
      </w:r>
    </w:p>
    <w:p w:rsidR="0052229C" w:rsidRPr="001349D4" w:rsidRDefault="0052229C" w:rsidP="0052229C">
      <w:pPr>
        <w:rPr>
          <w:rFonts w:cs="Times New Roman"/>
          <w:sz w:val="20"/>
          <w:szCs w:val="20"/>
          <w:lang w:val="fr-CA"/>
        </w:rPr>
      </w:pPr>
      <w:r w:rsidRPr="001349D4">
        <w:rPr>
          <w:rFonts w:cs="Times New Roman"/>
          <w:sz w:val="20"/>
          <w:szCs w:val="20"/>
          <w:lang w:val="fr-CA"/>
        </w:rPr>
        <w:t xml:space="preserve">Hearing:  </w:t>
      </w:r>
      <w:r w:rsidR="001349D4">
        <w:rPr>
          <w:rFonts w:cs="Times New Roman"/>
          <w:sz w:val="20"/>
          <w:szCs w:val="20"/>
          <w:lang w:val="fr-CA"/>
        </w:rPr>
        <w:t>Novembe</w:t>
      </w:r>
      <w:r w:rsidRPr="001349D4">
        <w:rPr>
          <w:rFonts w:cs="Times New Roman"/>
          <w:sz w:val="20"/>
          <w:szCs w:val="20"/>
          <w:lang w:val="fr-CA"/>
        </w:rPr>
        <w:t xml:space="preserve">r </w:t>
      </w:r>
      <w:r w:rsidR="001349D4" w:rsidRPr="001349D4">
        <w:rPr>
          <w:rFonts w:cs="Times New Roman"/>
          <w:sz w:val="20"/>
          <w:szCs w:val="20"/>
          <w:lang w:val="fr-CA"/>
        </w:rPr>
        <w:t>1</w:t>
      </w:r>
      <w:r w:rsidRPr="001349D4">
        <w:rPr>
          <w:rFonts w:cs="Times New Roman"/>
          <w:sz w:val="20"/>
          <w:szCs w:val="20"/>
          <w:lang w:val="fr-CA"/>
        </w:rPr>
        <w:t>4, 201</w:t>
      </w:r>
      <w:r w:rsidR="00020DC3" w:rsidRPr="001349D4">
        <w:rPr>
          <w:rFonts w:cs="Times New Roman"/>
          <w:sz w:val="20"/>
          <w:szCs w:val="20"/>
          <w:lang w:val="fr-CA"/>
        </w:rPr>
        <w:t>4</w:t>
      </w:r>
      <w:r w:rsidRPr="001349D4">
        <w:rPr>
          <w:rFonts w:cs="Times New Roman"/>
          <w:sz w:val="20"/>
          <w:szCs w:val="20"/>
          <w:lang w:val="fr-CA"/>
        </w:rPr>
        <w:t xml:space="preserve"> / Judgment:  </w:t>
      </w:r>
      <w:r w:rsidR="00CC35BD" w:rsidRPr="001349D4">
        <w:rPr>
          <w:rFonts w:cs="Times New Roman"/>
          <w:sz w:val="20"/>
          <w:szCs w:val="20"/>
          <w:lang w:val="fr-CA"/>
        </w:rPr>
        <w:t>M</w:t>
      </w:r>
      <w:r w:rsidRPr="001349D4">
        <w:rPr>
          <w:rFonts w:cs="Times New Roman"/>
          <w:sz w:val="20"/>
          <w:szCs w:val="20"/>
          <w:lang w:val="fr-CA"/>
        </w:rPr>
        <w:t>ar</w:t>
      </w:r>
      <w:r w:rsidR="00CC35BD" w:rsidRPr="001349D4">
        <w:rPr>
          <w:rFonts w:cs="Times New Roman"/>
          <w:sz w:val="20"/>
          <w:szCs w:val="20"/>
          <w:lang w:val="fr-CA"/>
        </w:rPr>
        <w:t>ch</w:t>
      </w:r>
      <w:r w:rsidRPr="001349D4">
        <w:rPr>
          <w:rFonts w:cs="Times New Roman"/>
          <w:sz w:val="20"/>
          <w:szCs w:val="20"/>
          <w:lang w:val="fr-CA"/>
        </w:rPr>
        <w:t xml:space="preserve"> </w:t>
      </w:r>
      <w:r w:rsidR="00CC35BD" w:rsidRPr="001349D4">
        <w:rPr>
          <w:rFonts w:cs="Times New Roman"/>
          <w:sz w:val="20"/>
          <w:szCs w:val="20"/>
          <w:lang w:val="fr-CA"/>
        </w:rPr>
        <w:t>5</w:t>
      </w:r>
      <w:r w:rsidRPr="001349D4">
        <w:rPr>
          <w:rFonts w:cs="Times New Roman"/>
          <w:sz w:val="20"/>
          <w:szCs w:val="20"/>
          <w:lang w:val="fr-CA"/>
        </w:rPr>
        <w:t>, 201</w:t>
      </w:r>
      <w:r w:rsidR="00020DC3" w:rsidRPr="001349D4">
        <w:rPr>
          <w:rFonts w:cs="Times New Roman"/>
          <w:sz w:val="20"/>
          <w:szCs w:val="20"/>
          <w:lang w:val="fr-CA"/>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1349D4">
        <w:rPr>
          <w:rFonts w:cs="Times New Roman"/>
          <w:sz w:val="20"/>
          <w:szCs w:val="20"/>
          <w:lang w:val="fr-CA"/>
        </w:rPr>
        <w:t>1</w:t>
      </w:r>
      <w:r>
        <w:rPr>
          <w:rFonts w:cs="Times New Roman"/>
          <w:sz w:val="20"/>
          <w:szCs w:val="20"/>
          <w:lang w:val="fr-CA"/>
        </w:rPr>
        <w:t>4</w:t>
      </w:r>
      <w:r w:rsidRPr="003B3977">
        <w:rPr>
          <w:rFonts w:cs="Times New Roman"/>
          <w:sz w:val="20"/>
          <w:szCs w:val="20"/>
          <w:lang w:val="fr-CA"/>
        </w:rPr>
        <w:t xml:space="preserve"> </w:t>
      </w:r>
      <w:r w:rsidR="001349D4">
        <w:rPr>
          <w:rFonts w:cs="Times New Roman"/>
          <w:sz w:val="20"/>
          <w:szCs w:val="20"/>
          <w:lang w:val="fr-CA"/>
        </w:rPr>
        <w:t>no</w:t>
      </w:r>
      <w:r>
        <w:rPr>
          <w:rFonts w:cs="Times New Roman"/>
          <w:sz w:val="20"/>
          <w:szCs w:val="20"/>
          <w:lang w:val="fr-CA"/>
        </w:rPr>
        <w:t>v</w:t>
      </w:r>
      <w:r w:rsidR="001349D4">
        <w:rPr>
          <w:rFonts w:cs="Times New Roman"/>
          <w:sz w:val="20"/>
          <w:szCs w:val="20"/>
          <w:lang w:val="fr-CA"/>
        </w:rPr>
        <w:t>emb</w:t>
      </w:r>
      <w:r w:rsidRPr="003B3977">
        <w:rPr>
          <w:rFonts w:cs="Times New Roman"/>
          <w:sz w:val="20"/>
          <w:szCs w:val="20"/>
          <w:lang w:val="fr-CA"/>
        </w:rPr>
        <w:t>r</w:t>
      </w:r>
      <w:r w:rsidR="001349D4">
        <w:rPr>
          <w:rFonts w:cs="Times New Roman"/>
          <w:sz w:val="20"/>
          <w:szCs w:val="20"/>
          <w:lang w:val="fr-CA"/>
        </w:rPr>
        <w:t>e</w:t>
      </w:r>
      <w:r w:rsidRPr="003B3977">
        <w:rPr>
          <w:rFonts w:cs="Times New Roman"/>
          <w:sz w:val="20"/>
          <w:szCs w:val="20"/>
          <w:lang w:val="fr-CA"/>
        </w:rPr>
        <w:t xml:space="preserve"> 201</w:t>
      </w:r>
      <w:r w:rsidR="00020DC3">
        <w:rPr>
          <w:rFonts w:cs="Times New Roman"/>
          <w:sz w:val="20"/>
          <w:szCs w:val="20"/>
          <w:lang w:val="fr-CA"/>
        </w:rPr>
        <w:t>4</w:t>
      </w:r>
      <w:r w:rsidRPr="003B3977">
        <w:rPr>
          <w:rFonts w:cs="Times New Roman"/>
          <w:sz w:val="20"/>
          <w:szCs w:val="20"/>
          <w:lang w:val="fr-CA"/>
        </w:rPr>
        <w:t xml:space="preserve"> / Jugement : Le </w:t>
      </w:r>
      <w:r w:rsidR="00CC35BD">
        <w:rPr>
          <w:rFonts w:cs="Times New Roman"/>
          <w:sz w:val="20"/>
          <w:szCs w:val="20"/>
          <w:lang w:val="fr-CA"/>
        </w:rPr>
        <w:t>5 m</w:t>
      </w:r>
      <w:r>
        <w:rPr>
          <w:rFonts w:cs="Times New Roman"/>
          <w:sz w:val="20"/>
          <w:szCs w:val="20"/>
          <w:lang w:val="fr-CA"/>
        </w:rPr>
        <w:t>ar</w:t>
      </w:r>
      <w:r w:rsidR="00CC35BD">
        <w:rPr>
          <w:rFonts w:cs="Times New Roman"/>
          <w:sz w:val="20"/>
          <w:szCs w:val="20"/>
          <w:lang w:val="fr-CA"/>
        </w:rPr>
        <w:t>s</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3A60BB" w:rsidP="005C6840">
      <w:pPr>
        <w:rPr>
          <w:rFonts w:cs="Times New Roman"/>
          <w:sz w:val="20"/>
          <w:szCs w:val="20"/>
          <w:lang w:val="fr-CA"/>
        </w:rPr>
      </w:pPr>
      <w:r>
        <w:rPr>
          <w:rFonts w:cs="Times New Roman"/>
          <w:i/>
          <w:sz w:val="20"/>
          <w:szCs w:val="20"/>
        </w:rPr>
        <w:pict>
          <v:rect id="_x0000_i1079"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1349D4" w:rsidRPr="003C6E94" w:rsidRDefault="001349D4" w:rsidP="001349D4">
      <w:pPr>
        <w:jc w:val="both"/>
        <w:rPr>
          <w:sz w:val="20"/>
          <w:szCs w:val="20"/>
        </w:rPr>
      </w:pPr>
      <w:r w:rsidRPr="003C6E94">
        <w:rPr>
          <w:sz w:val="20"/>
          <w:szCs w:val="20"/>
        </w:rPr>
        <w:t>Present:  Abella, Rothstein, Cromwell, Moldaver, Karakatsanis, Wagner and Gascon JJ.</w:t>
      </w:r>
    </w:p>
    <w:p w:rsidR="001349D4" w:rsidRDefault="001349D4" w:rsidP="001349D4">
      <w:pPr>
        <w:pStyle w:val="SCCNormalDoubleSpacing"/>
        <w:spacing w:line="240" w:lineRule="auto"/>
        <w:rPr>
          <w:sz w:val="20"/>
        </w:rPr>
      </w:pPr>
    </w:p>
    <w:p w:rsidR="001349D4" w:rsidRPr="003C6E94" w:rsidRDefault="001349D4" w:rsidP="001349D4">
      <w:pPr>
        <w:pStyle w:val="SCCNormalDoubleSpacing"/>
        <w:spacing w:line="240" w:lineRule="auto"/>
        <w:rPr>
          <w:i/>
          <w:sz w:val="20"/>
        </w:rPr>
      </w:pPr>
      <w:r w:rsidRPr="003C6E94">
        <w:rPr>
          <w:sz w:val="20"/>
        </w:rPr>
        <w:tab/>
      </w:r>
      <w:r w:rsidRPr="003C6E94">
        <w:rPr>
          <w:i/>
          <w:sz w:val="20"/>
        </w:rPr>
        <w:t>Criminal law — Defences — Evidence — Admissibility — Unknown third party suspect — Accused denied involvement in abduction</w:t>
      </w:r>
      <w:r w:rsidRPr="003C6E94">
        <w:rPr>
          <w:i/>
          <w:sz w:val="20"/>
        </w:rPr>
        <w:noBreakHyphen/>
        <w:t>murder case — Accused sought to adduce evidence at trial that unknown third party suspect involved in similar alleged abduction which accused could not have committed — Trial judge found on balance of probabilities that alleged abduction had not happened and refused to admit evidence — Appropriate framework for determining admissibility of defence</w:t>
      </w:r>
      <w:r w:rsidRPr="003C6E94">
        <w:rPr>
          <w:i/>
          <w:sz w:val="20"/>
        </w:rPr>
        <w:noBreakHyphen/>
        <w:t>led evidence concerning unknown third party suspect — To what extent framework requires trial judge to assess and weigh evidence of unknown third party suspect.</w:t>
      </w:r>
    </w:p>
    <w:p w:rsidR="001349D4" w:rsidRDefault="001349D4" w:rsidP="001349D4">
      <w:pPr>
        <w:pStyle w:val="SCCNormalDoubleSpacing"/>
        <w:spacing w:line="240" w:lineRule="auto"/>
        <w:rPr>
          <w:sz w:val="20"/>
        </w:rPr>
      </w:pPr>
    </w:p>
    <w:p w:rsidR="001349D4" w:rsidRPr="003C6E94" w:rsidRDefault="001349D4" w:rsidP="001349D4">
      <w:pPr>
        <w:pStyle w:val="SCCNormalDoubleSpacing"/>
        <w:spacing w:line="240" w:lineRule="auto"/>
        <w:rPr>
          <w:sz w:val="20"/>
        </w:rPr>
      </w:pPr>
      <w:r w:rsidRPr="003C6E94">
        <w:rPr>
          <w:sz w:val="20"/>
        </w:rPr>
        <w:tab/>
        <w:t>In 2007, G was charged with the first degree murder of D, a notorious cold</w:t>
      </w:r>
      <w:r w:rsidRPr="003C6E94">
        <w:rPr>
          <w:sz w:val="20"/>
        </w:rPr>
        <w:noBreakHyphen/>
        <w:t>case, on the basis of newly</w:t>
      </w:r>
      <w:r w:rsidRPr="003C6E94">
        <w:rPr>
          <w:sz w:val="20"/>
        </w:rPr>
        <w:noBreakHyphen/>
        <w:t xml:space="preserve">tested DNA evidence. G denied any involvement in the murder, and sought to adduce evidence to suggest that, based on the </w:t>
      </w:r>
      <w:r w:rsidRPr="003C6E94">
        <w:rPr>
          <w:i/>
          <w:sz w:val="20"/>
        </w:rPr>
        <w:t>modus operandi</w:t>
      </w:r>
      <w:r w:rsidRPr="003C6E94">
        <w:rPr>
          <w:sz w:val="20"/>
        </w:rPr>
        <w:t xml:space="preserve"> and other physical evidence, D’s abductor had also abducted W while G was in custody.</w:t>
      </w:r>
    </w:p>
    <w:p w:rsidR="001349D4" w:rsidRDefault="001349D4" w:rsidP="001349D4">
      <w:pPr>
        <w:pStyle w:val="SCCNormalDoubleSpacing"/>
        <w:spacing w:line="240" w:lineRule="auto"/>
        <w:rPr>
          <w:sz w:val="20"/>
        </w:rPr>
      </w:pPr>
    </w:p>
    <w:p w:rsidR="001349D4" w:rsidRPr="003C6E94" w:rsidRDefault="001349D4" w:rsidP="001349D4">
      <w:pPr>
        <w:pStyle w:val="SCCNormalDoubleSpacing"/>
        <w:spacing w:line="240" w:lineRule="auto"/>
        <w:rPr>
          <w:sz w:val="20"/>
        </w:rPr>
      </w:pPr>
      <w:r w:rsidRPr="003C6E94">
        <w:rPr>
          <w:sz w:val="20"/>
        </w:rPr>
        <w:tab/>
        <w:t>Having found that the same legal test applied to the admissibility of known third party suspect evidence and unknown third party suspect evidence, the trial judge concluded on a balance of probabilities that the alleged abduction of W had not happened. He refused to admit the evidence. G was convicted of second degree murder by the jury. The Manitoba Court of Appeal concluded that G should have been permitted to lead the evidence, allowed his appeal and ordered a new trial.</w:t>
      </w:r>
    </w:p>
    <w:p w:rsidR="001349D4" w:rsidRDefault="001349D4" w:rsidP="001349D4">
      <w:pPr>
        <w:pStyle w:val="SCCNormalDoubleSpacing"/>
        <w:spacing w:line="240" w:lineRule="auto"/>
        <w:rPr>
          <w:sz w:val="20"/>
        </w:rPr>
      </w:pPr>
    </w:p>
    <w:p w:rsidR="001349D4" w:rsidRPr="003C6E94" w:rsidRDefault="001349D4" w:rsidP="001349D4">
      <w:pPr>
        <w:pStyle w:val="SCCNormalDoubleSpacing"/>
        <w:spacing w:line="240" w:lineRule="auto"/>
        <w:rPr>
          <w:sz w:val="20"/>
        </w:rPr>
      </w:pPr>
      <w:r w:rsidRPr="003C6E94">
        <w:rPr>
          <w:sz w:val="20"/>
        </w:rPr>
        <w:tab/>
      </w:r>
      <w:r w:rsidRPr="003C6E94">
        <w:rPr>
          <w:i/>
          <w:iCs/>
          <w:sz w:val="20"/>
        </w:rPr>
        <w:t>Held</w:t>
      </w:r>
      <w:r w:rsidRPr="003C6E94">
        <w:rPr>
          <w:iCs/>
          <w:sz w:val="20"/>
        </w:rPr>
        <w:t xml:space="preserve">:  </w:t>
      </w:r>
      <w:r w:rsidRPr="003C6E94">
        <w:rPr>
          <w:sz w:val="20"/>
        </w:rPr>
        <w:t>The appeal should be dismissed.</w:t>
      </w:r>
    </w:p>
    <w:p w:rsidR="001349D4" w:rsidRDefault="001349D4" w:rsidP="001349D4">
      <w:pPr>
        <w:pStyle w:val="SCCNormalDoubleSpacing"/>
        <w:spacing w:line="240" w:lineRule="auto"/>
        <w:rPr>
          <w:sz w:val="20"/>
        </w:rPr>
      </w:pPr>
    </w:p>
    <w:p w:rsidR="001349D4" w:rsidRPr="003C6E94" w:rsidRDefault="001349D4" w:rsidP="001349D4">
      <w:pPr>
        <w:pStyle w:val="SCCNormalDoubleSpacing"/>
        <w:spacing w:line="240" w:lineRule="auto"/>
        <w:rPr>
          <w:sz w:val="20"/>
        </w:rPr>
      </w:pPr>
      <w:r w:rsidRPr="003C6E94">
        <w:rPr>
          <w:sz w:val="20"/>
        </w:rPr>
        <w:tab/>
        <w:t>While the tests governing known third party suspect evidence and similar fact evidence may provide useful insights into the underlying concerns and principles, they should not be stretched beyond the particular circumstances that they were designed to address. Instead, first principles governing the admissibility of evidence properly balance the competing interests that arise when the defence seeks to lead evidence of an unknown third party suspect.</w:t>
      </w:r>
    </w:p>
    <w:p w:rsidR="001349D4" w:rsidRDefault="001349D4" w:rsidP="001349D4">
      <w:pPr>
        <w:pStyle w:val="SCCNormalDoubleSpacing"/>
        <w:spacing w:line="240" w:lineRule="auto"/>
        <w:rPr>
          <w:sz w:val="20"/>
        </w:rPr>
      </w:pPr>
    </w:p>
    <w:p w:rsidR="001349D4" w:rsidRPr="003C6E94" w:rsidRDefault="001349D4" w:rsidP="001349D4">
      <w:pPr>
        <w:pStyle w:val="SCCNormalDoubleSpacing"/>
        <w:spacing w:line="240" w:lineRule="auto"/>
        <w:rPr>
          <w:sz w:val="20"/>
        </w:rPr>
      </w:pPr>
      <w:r w:rsidRPr="003C6E94">
        <w:rPr>
          <w:sz w:val="20"/>
        </w:rPr>
        <w:tab/>
        <w:t>Defence</w:t>
      </w:r>
      <w:r w:rsidRPr="003C6E94">
        <w:rPr>
          <w:sz w:val="20"/>
        </w:rPr>
        <w:noBreakHyphen/>
        <w:t>led evidence is admissible where (1) the evidence is relevant to a fact in issue, and (2) the probative value of the evidence is not substantially outweighed by its prejudicial effects. The trial judge must therefore first determine whether the evidence is logically relevant to an available defence. Where the defence’s theory is that an unknown third party committed the indicted crime, this factual foundation will be established by a sufficient connection between the crime for which the accused is charged and the allegedly similar incident(s) suggesting that the crimes were committed by the same person, coupled with evidence that the accused could not have committed the other offence. Once a sufficient connection is shown, the evidence will be admissible unless its prejudicial effects substantially outweigh its probative value. This assessment is inherently individualized, and is capable of responding to various levels and forms of prejudice. It does not require the accused to satisfy a higher admissibility threshold or require the trial judge to engage in an enhanced evaluation of the evidence. The trial judge may not invade the province of the jury and determine the strength of the evidence.</w:t>
      </w:r>
    </w:p>
    <w:p w:rsidR="001349D4" w:rsidRDefault="001349D4" w:rsidP="001349D4">
      <w:pPr>
        <w:pStyle w:val="SCCNormalDoubleSpacing"/>
        <w:spacing w:line="240" w:lineRule="auto"/>
        <w:rPr>
          <w:sz w:val="20"/>
        </w:rPr>
      </w:pPr>
    </w:p>
    <w:p w:rsidR="001349D4" w:rsidRDefault="001349D4" w:rsidP="001349D4">
      <w:pPr>
        <w:pStyle w:val="SCCNormalDoubleSpacing"/>
        <w:spacing w:line="240" w:lineRule="auto"/>
        <w:rPr>
          <w:sz w:val="20"/>
        </w:rPr>
      </w:pPr>
      <w:r w:rsidRPr="003C6E94">
        <w:rPr>
          <w:sz w:val="20"/>
        </w:rPr>
        <w:tab/>
        <w:t>In this case, the trial judge erred in law in treating the evidence relating to the alleged abduction of W as known third party suspect evidence and in requiring G to establish on a balance of probabilities that the alleged abduction of W took place.  These errors entitled the Court of Appeal to conduct its own assessment of the evidence. It was entitled to conclude that there was evidence upon which the jury could find that the alleged crime against W had occurred and, having regard to the similarities, that it had been committed by the same person who killed D. The evidence that G could not have committed the offence against W and the evidence of similarities between the two offences would have provided some evidence capable of giving the unknown third party suspect defence an air of reality. While an appellate court is entitled to step into the shoes of the trial judge if the record permits, in this case, the Court of Appeal was not in the position to assess and weigh the extent of the probative value and the extent of prejudicial effect of the unknown third party suspect evidence. The trial judge’s legal errors were clearly not minor, and do not attract the application of the curative proviso in s. 686(1)(</w:t>
      </w:r>
      <w:r w:rsidRPr="003C6E94">
        <w:rPr>
          <w:i/>
          <w:sz w:val="20"/>
        </w:rPr>
        <w:t>b</w:t>
      </w:r>
      <w:r w:rsidRPr="003C6E94">
        <w:rPr>
          <w:sz w:val="20"/>
        </w:rPr>
        <w:t xml:space="preserve">)(iii) of the </w:t>
      </w:r>
      <w:r w:rsidRPr="003C6E94">
        <w:rPr>
          <w:i/>
          <w:sz w:val="20"/>
        </w:rPr>
        <w:t>Criminal Code</w:t>
      </w:r>
      <w:r w:rsidRPr="003C6E94">
        <w:rPr>
          <w:sz w:val="20"/>
        </w:rPr>
        <w:t>. The verdict would not necessarily have been the same had the trial judge applied the correct principles in determining the test for the admissibility of this defence evidence. As this case must be re</w:t>
      </w:r>
      <w:r w:rsidRPr="003C6E94">
        <w:rPr>
          <w:sz w:val="20"/>
        </w:rPr>
        <w:noBreakHyphen/>
        <w:t>tried in any event, the balancing of the probative value and the prejudicial effect of the evidence is best left for the trial judge.</w:t>
      </w:r>
    </w:p>
    <w:p w:rsidR="001349D4" w:rsidRDefault="001349D4" w:rsidP="001349D4">
      <w:pPr>
        <w:pStyle w:val="SCCNormalDoubleSpacing"/>
        <w:spacing w:line="240" w:lineRule="auto"/>
        <w:rPr>
          <w:sz w:val="20"/>
        </w:rPr>
      </w:pPr>
    </w:p>
    <w:p w:rsidR="001349D4" w:rsidRPr="003C6E94" w:rsidRDefault="001349D4" w:rsidP="001349D4">
      <w:pPr>
        <w:pStyle w:val="SCCNormalDoubleSpacing"/>
        <w:spacing w:line="240" w:lineRule="auto"/>
        <w:rPr>
          <w:sz w:val="20"/>
          <w:lang w:val="en-US"/>
        </w:rPr>
      </w:pPr>
      <w:r w:rsidRPr="003C6E94">
        <w:rPr>
          <w:sz w:val="20"/>
        </w:rPr>
        <w:tab/>
        <w:t xml:space="preserve">APPEAL from a judgment of the Manitoba Court of Appeal (Chartier C.J.M. and Monnin and Hamilton JJ.A.), 2013 MBCA 95, 299 Man. R. (2d) 202, 590 W.A.C. 202, 302 C.C.C. (3d) 491, [2014] 2 W.W.R. 239, [2013] M.J. No. 322 (QL), 2013 CarswellMan 525 (WL Can.), </w:t>
      </w:r>
      <w:r w:rsidRPr="003C6E94">
        <w:rPr>
          <w:sz w:val="20"/>
          <w:lang w:val="en-US"/>
        </w:rPr>
        <w:t>setting aside a conviction for second degree murder entered by Joyal A.C.J. and ordering a new trial. Appeal dismissed.</w:t>
      </w:r>
    </w:p>
    <w:p w:rsidR="001349D4" w:rsidRDefault="001349D4" w:rsidP="001349D4">
      <w:pPr>
        <w:pStyle w:val="SCCNormalDoubleSpacing"/>
        <w:spacing w:line="240" w:lineRule="auto"/>
        <w:rPr>
          <w:i/>
          <w:sz w:val="20"/>
        </w:rPr>
      </w:pPr>
    </w:p>
    <w:p w:rsidR="001349D4" w:rsidRPr="003C6E94" w:rsidRDefault="001349D4" w:rsidP="001349D4">
      <w:pPr>
        <w:pStyle w:val="SCCNormalDoubleSpacing"/>
        <w:spacing w:line="240" w:lineRule="auto"/>
        <w:rPr>
          <w:sz w:val="20"/>
        </w:rPr>
      </w:pPr>
      <w:r w:rsidRPr="003C6E94">
        <w:rPr>
          <w:i/>
          <w:sz w:val="20"/>
        </w:rPr>
        <w:tab/>
        <w:t>Amiram Kotler</w:t>
      </w:r>
      <w:r w:rsidRPr="003C6E94">
        <w:rPr>
          <w:sz w:val="20"/>
        </w:rPr>
        <w:t xml:space="preserve"> and </w:t>
      </w:r>
      <w:r w:rsidRPr="003C6E94">
        <w:rPr>
          <w:i/>
          <w:sz w:val="20"/>
        </w:rPr>
        <w:t>Rekha Malaviya</w:t>
      </w:r>
      <w:r w:rsidRPr="003C6E94">
        <w:rPr>
          <w:sz w:val="20"/>
        </w:rPr>
        <w:t>, for the appellant.</w:t>
      </w:r>
    </w:p>
    <w:p w:rsidR="001349D4" w:rsidRDefault="001349D4" w:rsidP="001349D4">
      <w:pPr>
        <w:pStyle w:val="SCCNormalDoubleSpacing"/>
        <w:spacing w:line="240" w:lineRule="auto"/>
        <w:rPr>
          <w:i/>
          <w:sz w:val="20"/>
        </w:rPr>
      </w:pPr>
    </w:p>
    <w:p w:rsidR="001349D4" w:rsidRPr="003C6E94" w:rsidRDefault="001349D4" w:rsidP="001349D4">
      <w:pPr>
        <w:pStyle w:val="SCCNormalDoubleSpacing"/>
        <w:spacing w:line="240" w:lineRule="auto"/>
        <w:rPr>
          <w:sz w:val="20"/>
        </w:rPr>
      </w:pPr>
      <w:r w:rsidRPr="003C6E94">
        <w:rPr>
          <w:i/>
          <w:sz w:val="20"/>
        </w:rPr>
        <w:tab/>
        <w:t>Saul B. Simmonds</w:t>
      </w:r>
      <w:r w:rsidRPr="003C6E94">
        <w:rPr>
          <w:sz w:val="20"/>
        </w:rPr>
        <w:t xml:space="preserve">, </w:t>
      </w:r>
      <w:r w:rsidRPr="003C6E94">
        <w:rPr>
          <w:i/>
          <w:sz w:val="20"/>
        </w:rPr>
        <w:t xml:space="preserve">Vanessa Hébert </w:t>
      </w:r>
      <w:r w:rsidRPr="003C6E94">
        <w:rPr>
          <w:sz w:val="20"/>
        </w:rPr>
        <w:t>and</w:t>
      </w:r>
      <w:r w:rsidRPr="003C6E94">
        <w:rPr>
          <w:i/>
          <w:sz w:val="20"/>
        </w:rPr>
        <w:t xml:space="preserve"> Laura Robinson</w:t>
      </w:r>
      <w:r w:rsidRPr="003C6E94">
        <w:rPr>
          <w:sz w:val="20"/>
        </w:rPr>
        <w:t>, for the respondent.</w:t>
      </w:r>
    </w:p>
    <w:p w:rsidR="001349D4" w:rsidRDefault="001349D4" w:rsidP="001349D4">
      <w:pPr>
        <w:pStyle w:val="SCCLawFirm"/>
        <w:spacing w:line="240" w:lineRule="auto"/>
        <w:rPr>
          <w:sz w:val="20"/>
        </w:rPr>
      </w:pPr>
    </w:p>
    <w:p w:rsidR="001349D4" w:rsidRPr="003C6E94" w:rsidRDefault="001349D4" w:rsidP="001349D4">
      <w:pPr>
        <w:pStyle w:val="SCCLawFirm"/>
        <w:spacing w:line="240" w:lineRule="auto"/>
        <w:rPr>
          <w:sz w:val="20"/>
        </w:rPr>
      </w:pPr>
      <w:r w:rsidRPr="003C6E94">
        <w:rPr>
          <w:sz w:val="20"/>
        </w:rPr>
        <w:tab/>
        <w:t>Solicitor for the appellant:  Attorney General of Manitoba, Winnipeg.</w:t>
      </w:r>
    </w:p>
    <w:p w:rsidR="001349D4" w:rsidRDefault="001349D4" w:rsidP="001349D4">
      <w:pPr>
        <w:pStyle w:val="SCCLawFirm"/>
        <w:spacing w:line="240" w:lineRule="auto"/>
        <w:rPr>
          <w:sz w:val="20"/>
        </w:rPr>
      </w:pPr>
    </w:p>
    <w:p w:rsidR="001349D4" w:rsidRDefault="001349D4" w:rsidP="001349D4">
      <w:pPr>
        <w:pStyle w:val="SCCLawFirm"/>
        <w:spacing w:line="240" w:lineRule="auto"/>
        <w:rPr>
          <w:sz w:val="20"/>
        </w:rPr>
      </w:pPr>
      <w:r w:rsidRPr="003C6E94">
        <w:rPr>
          <w:sz w:val="20"/>
        </w:rPr>
        <w:tab/>
        <w:t>Solicitors for the respondent:  Gindin, Wolson, Simmonds, Roitenberg, Winnipeg.</w:t>
      </w:r>
    </w:p>
    <w:p w:rsidR="0052229C" w:rsidRPr="001349D4" w:rsidRDefault="0052229C" w:rsidP="0052229C">
      <w:pPr>
        <w:rPr>
          <w:rFonts w:cs="Times New Roman"/>
          <w:sz w:val="20"/>
          <w:szCs w:val="20"/>
          <w:lang w:val="fr-CA"/>
        </w:rPr>
      </w:pPr>
      <w:r w:rsidRPr="001349D4">
        <w:rPr>
          <w:rFonts w:cs="Times New Roman"/>
          <w:sz w:val="20"/>
          <w:szCs w:val="20"/>
          <w:lang w:val="fr-CA"/>
        </w:rPr>
        <w:t>________________________</w:t>
      </w:r>
    </w:p>
    <w:p w:rsidR="0052229C" w:rsidRPr="001349D4" w:rsidRDefault="0052229C" w:rsidP="0052229C">
      <w:pPr>
        <w:rPr>
          <w:rFonts w:cs="Times New Roman"/>
          <w:sz w:val="20"/>
          <w:szCs w:val="20"/>
          <w:lang w:val="fr-CA"/>
        </w:rPr>
      </w:pPr>
    </w:p>
    <w:p w:rsidR="001349D4" w:rsidRPr="00742038" w:rsidRDefault="001349D4" w:rsidP="001349D4">
      <w:pPr>
        <w:jc w:val="both"/>
        <w:rPr>
          <w:sz w:val="20"/>
          <w:szCs w:val="20"/>
          <w:lang w:val="fr-CA"/>
        </w:rPr>
      </w:pPr>
      <w:r w:rsidRPr="00742038">
        <w:rPr>
          <w:sz w:val="20"/>
          <w:szCs w:val="20"/>
          <w:lang w:val="fr-CA"/>
        </w:rPr>
        <w:t>Présents : Les juges Abella, Rothstein, Cromwell, Moldaver, Karakatsanis, Wagner et Gascon.</w:t>
      </w:r>
    </w:p>
    <w:p w:rsidR="001349D4" w:rsidRDefault="001349D4" w:rsidP="001349D4">
      <w:pPr>
        <w:pStyle w:val="SCCNormalDoubleSpacing"/>
        <w:spacing w:line="240" w:lineRule="auto"/>
        <w:rPr>
          <w:sz w:val="20"/>
          <w:lang w:val="fr-CA"/>
        </w:rPr>
      </w:pPr>
    </w:p>
    <w:p w:rsidR="001349D4" w:rsidRPr="00742038" w:rsidRDefault="001349D4" w:rsidP="001349D4">
      <w:pPr>
        <w:pStyle w:val="SCCNormalDoubleSpacing"/>
        <w:spacing w:line="240" w:lineRule="auto"/>
        <w:rPr>
          <w:i/>
          <w:sz w:val="20"/>
          <w:lang w:val="fr-CA"/>
        </w:rPr>
      </w:pPr>
      <w:r w:rsidRPr="00742038">
        <w:rPr>
          <w:sz w:val="20"/>
          <w:lang w:val="fr-CA"/>
        </w:rPr>
        <w:tab/>
      </w:r>
      <w:r w:rsidRPr="00742038">
        <w:rPr>
          <w:i/>
          <w:sz w:val="20"/>
          <w:lang w:val="fr-CA"/>
        </w:rPr>
        <w:t>Droit criminel — Moyens de défense — Preuve — Admissibilité — Tiers suspect inconnu — Participation à l’enlèvement et au meurtre niée par l’accusé — Demande de l’accusé en vue de produire au procès la preuve qu’un tiers suspect inconnu aurait participé à un présumé enlèvement similaire que l’accusé n’aurait pas pu commettre — Conclusion du juge du procès, selon la prépondérance des probabilités, que le présumé enlèvement n’avait pas été commis, et refus par le juge d’admettre la preuve — Cadre permettant de déterminer l’admissibilité d’une preuve introduite par la défense concernant un tiers suspect inconnu — Mesure dans laquelle ce cadre oblige le juge du procès à examiner et apprécier la preuve de l’existence d’un tiers suspect inconnu.</w:t>
      </w:r>
    </w:p>
    <w:p w:rsidR="001349D4" w:rsidRDefault="001349D4" w:rsidP="001349D4">
      <w:pPr>
        <w:pStyle w:val="SCCNormalDoubleSpacing"/>
        <w:spacing w:line="240" w:lineRule="auto"/>
        <w:rPr>
          <w:sz w:val="20"/>
          <w:lang w:val="fr-CA"/>
        </w:rPr>
      </w:pPr>
    </w:p>
    <w:p w:rsidR="001349D4" w:rsidRPr="00742038" w:rsidRDefault="001349D4" w:rsidP="001349D4">
      <w:pPr>
        <w:pStyle w:val="SCCNormalDoubleSpacing"/>
        <w:spacing w:line="240" w:lineRule="auto"/>
        <w:rPr>
          <w:sz w:val="20"/>
          <w:lang w:val="fr-CA"/>
        </w:rPr>
      </w:pPr>
      <w:r w:rsidRPr="00742038">
        <w:rPr>
          <w:sz w:val="20"/>
          <w:lang w:val="fr-CA"/>
        </w:rPr>
        <w:tab/>
        <w:t xml:space="preserve">En 2007, G a été accusé, sur la foi d’une preuve génétique récente, du meurtre au premier degré de D, un meurtre notoire non résolu. G a nié toute participation au meurtre et a cherché à produire une preuve portant à croire, du fait du </w:t>
      </w:r>
      <w:r w:rsidRPr="00742038">
        <w:rPr>
          <w:i/>
          <w:sz w:val="20"/>
          <w:lang w:val="fr-CA"/>
        </w:rPr>
        <w:t>modus operandi</w:t>
      </w:r>
      <w:r w:rsidRPr="00742038">
        <w:rPr>
          <w:sz w:val="20"/>
          <w:lang w:val="fr-CA"/>
        </w:rPr>
        <w:t xml:space="preserve"> et d’autres éléments de preuve matérielle, que la personne qui avait enlevé D avait aussi enlevé W alors que G se trouvait sous garde.</w:t>
      </w:r>
    </w:p>
    <w:p w:rsidR="001349D4" w:rsidRDefault="001349D4" w:rsidP="001349D4">
      <w:pPr>
        <w:pStyle w:val="SCCNormalDoubleSpacing"/>
        <w:spacing w:line="240" w:lineRule="auto"/>
        <w:rPr>
          <w:sz w:val="20"/>
          <w:lang w:val="fr-CA"/>
        </w:rPr>
      </w:pPr>
    </w:p>
    <w:p w:rsidR="001349D4" w:rsidRPr="00742038" w:rsidRDefault="001349D4" w:rsidP="001349D4">
      <w:pPr>
        <w:pStyle w:val="SCCNormalDoubleSpacing"/>
        <w:spacing w:line="240" w:lineRule="auto"/>
        <w:rPr>
          <w:sz w:val="20"/>
          <w:lang w:val="fr-CA"/>
        </w:rPr>
      </w:pPr>
      <w:r w:rsidRPr="00742038">
        <w:rPr>
          <w:sz w:val="20"/>
          <w:lang w:val="fr-CA"/>
        </w:rPr>
        <w:tab/>
        <w:t>Le juge du procès a estimé que le même critère juridique s’appliquait à l’admissibilité de la preuve d’un tiers suspect inconnu et à celle de la preuve d’un tiers suspect connu; il a donc conclu selon la prépondérance des probabilités que le présumé enlèvement de W n’avait pas été commis. Il a refusé d’admettre la preuve. Le jury a déclaré G coupable de meurtre au deuxième degré. La Cour d’appel du Manitoba a conclu que G aurait dû être autorisé à produire la preuve; elle a accueilli son appel et a ordonné la tenue d’un nouveau procès.</w:t>
      </w:r>
    </w:p>
    <w:p w:rsidR="001349D4" w:rsidRDefault="001349D4" w:rsidP="001349D4">
      <w:pPr>
        <w:pStyle w:val="SCCNormalDoubleSpacing"/>
        <w:spacing w:line="240" w:lineRule="auto"/>
        <w:rPr>
          <w:sz w:val="20"/>
          <w:lang w:val="fr-CA"/>
        </w:rPr>
      </w:pPr>
    </w:p>
    <w:p w:rsidR="001349D4" w:rsidRPr="00742038" w:rsidRDefault="001349D4" w:rsidP="001349D4">
      <w:pPr>
        <w:pStyle w:val="SCCNormalDoubleSpacing"/>
        <w:spacing w:line="240" w:lineRule="auto"/>
        <w:rPr>
          <w:sz w:val="20"/>
          <w:lang w:val="fr-CA"/>
        </w:rPr>
      </w:pPr>
      <w:r w:rsidRPr="00742038">
        <w:rPr>
          <w:sz w:val="20"/>
          <w:lang w:val="fr-CA"/>
        </w:rPr>
        <w:tab/>
      </w:r>
      <w:r w:rsidRPr="00742038">
        <w:rPr>
          <w:i/>
          <w:sz w:val="20"/>
          <w:lang w:val="fr-CA"/>
        </w:rPr>
        <w:t>Arrêt</w:t>
      </w:r>
      <w:r w:rsidRPr="00742038">
        <w:rPr>
          <w:sz w:val="20"/>
          <w:lang w:val="fr-CA"/>
        </w:rPr>
        <w:t> : Le pourvoi est rejeté.</w:t>
      </w:r>
    </w:p>
    <w:p w:rsidR="001349D4" w:rsidRDefault="001349D4" w:rsidP="001349D4">
      <w:pPr>
        <w:pStyle w:val="SCCNormalDoubleSpacing"/>
        <w:spacing w:line="240" w:lineRule="auto"/>
        <w:rPr>
          <w:sz w:val="20"/>
          <w:lang w:val="fr-CA"/>
        </w:rPr>
      </w:pPr>
    </w:p>
    <w:p w:rsidR="001349D4" w:rsidRPr="00742038" w:rsidRDefault="001349D4" w:rsidP="001349D4">
      <w:pPr>
        <w:pStyle w:val="SCCNormalDoubleSpacing"/>
        <w:spacing w:line="240" w:lineRule="auto"/>
        <w:rPr>
          <w:sz w:val="20"/>
          <w:lang w:val="fr-CA"/>
        </w:rPr>
      </w:pPr>
      <w:r w:rsidRPr="00742038">
        <w:rPr>
          <w:sz w:val="20"/>
          <w:lang w:val="fr-CA"/>
        </w:rPr>
        <w:tab/>
        <w:t>Les critères qui régissent la preuve d’un tiers suspect connu et la preuve de faits similaires peuvent donner un bon aperçu des préoccupations et des principes sous</w:t>
      </w:r>
      <w:r w:rsidRPr="00742038">
        <w:rPr>
          <w:sz w:val="20"/>
          <w:lang w:val="fr-CA"/>
        </w:rPr>
        <w:noBreakHyphen/>
        <w:t>jacents, mais ils devraient se limiter aux circonstances particulières auxquelles ils étaient censés s’appliquer. En fait, les premiers principes régissant l’admissibilité de la preuve établissent un juste équilibre entre les intérêts opposés qui sont soulevés lorsque la défense cherche à produire la preuve d’un tiers suspect inconnu.</w:t>
      </w:r>
    </w:p>
    <w:p w:rsidR="001349D4" w:rsidRDefault="001349D4" w:rsidP="001349D4">
      <w:pPr>
        <w:pStyle w:val="SCCNormalDoubleSpacing"/>
        <w:spacing w:line="240" w:lineRule="auto"/>
        <w:rPr>
          <w:sz w:val="20"/>
          <w:lang w:val="fr-CA"/>
        </w:rPr>
      </w:pPr>
    </w:p>
    <w:p w:rsidR="001349D4" w:rsidRPr="00742038" w:rsidRDefault="001349D4" w:rsidP="001349D4">
      <w:pPr>
        <w:pStyle w:val="SCCNormalDoubleSpacing"/>
        <w:spacing w:line="240" w:lineRule="auto"/>
        <w:rPr>
          <w:sz w:val="20"/>
          <w:lang w:val="fr-CA"/>
        </w:rPr>
      </w:pPr>
      <w:r w:rsidRPr="00742038">
        <w:rPr>
          <w:sz w:val="20"/>
          <w:lang w:val="fr-CA"/>
        </w:rPr>
        <w:tab/>
        <w:t>La preuve présentée par la défense est admissible lorsque (1) cette preuve est pertinente à un fait en cause, et (2) ses effets préjudiciables ne l’emportent pas sensiblement sur sa valeur probante. Le juge du procès doit donc tout d’abord déterminer si la preuve est logiquement pertinente à l’égard d’un moyen de défense pouvant être invoqué. Lorsque la défense prétend qu’un tiers inconnu a commis le crime reproché, ce fondement factuel sera établi par l’existence d’un lien suffisant entre le crime pour lequel l’accusé est inculpé et l’incident que l’on dit être similaire et qui porte à croire que les crimes ont été commis par la même personne, conjugué à la preuve que l’accusé n’aurait pas pu commettre l’autre infraction. Une fois démontrée l’existence d’un lien suffisant, la preuve sera admissible à moins que ses effets préjudiciables l’emportent sensiblement sur sa valeur probante. Cette évaluation est intrinsèquement individualisée et permet de répondre aux divers degrés et aux diverses formes de préjudice. Elle n’exige pas que l’accusé satisfasse à un seuil d’admissibilité plus élevé ou que le juge entreprenne un exercice d’examen approfondi de la preuve. Le juge du procès ne doit pas s’immiscer dans la fonction du jury et déterminer la force probante de la preuve.</w:t>
      </w:r>
    </w:p>
    <w:p w:rsidR="001349D4" w:rsidRDefault="001349D4" w:rsidP="001349D4">
      <w:pPr>
        <w:pStyle w:val="SCCNormalDoubleSpacing"/>
        <w:spacing w:line="240" w:lineRule="auto"/>
        <w:rPr>
          <w:sz w:val="20"/>
          <w:lang w:val="fr-CA"/>
        </w:rPr>
      </w:pPr>
    </w:p>
    <w:p w:rsidR="001349D4" w:rsidRDefault="001349D4" w:rsidP="001349D4">
      <w:pPr>
        <w:pStyle w:val="SCCNormalDoubleSpacing"/>
        <w:spacing w:line="240" w:lineRule="auto"/>
        <w:rPr>
          <w:sz w:val="20"/>
          <w:lang w:val="fr-CA"/>
        </w:rPr>
      </w:pPr>
      <w:r w:rsidRPr="00742038">
        <w:rPr>
          <w:sz w:val="20"/>
          <w:lang w:val="fr-CA"/>
        </w:rPr>
        <w:tab/>
        <w:t>En l’espèce, le juge du procès a commis des erreurs de droit en considérant la preuve en lien avec le présumé enlèvement de W comme une preuve d’un tiers suspect connu et en obligeant G à établir selon la prépondérance des probabilités que W avait été enlevée. Ces erreurs autorisaient la Cour d’appel à effectuer sa propre appréciation de la preuve. La Cour d’appel pouvait conclure à l’existence d’éléments de preuve susceptibles d’amener le jury à conclure que le présumé crime contre W avait été commis et, compte tenu des similitudes, qu’il avait été commis par la même personne qui avait tué D. La preuve que G n’aurait pas pu commettre le crime contre W et la preuve des similitudes entre les deux infractions auraient fourni une preuve susceptible de donner de la vraisemblance au moyen de défense fondé sur un tiers suspect inconnu. Bien qu’une cour d’appel soit autorisée à se substituer au juge du procès si le dossier le permet, en l’espèce, la Cour d’appel n’était pas en mesure d’examiner et d’apprécier la portée de la valeur probante et la portée des effets préjudiciables de la preuve d’un tiers suspect inconnu. Les erreurs de droit du juge du procès n’étaient manifestement pas mineures et ne commandent pas l’application de la disposition réparatrice du sous</w:t>
      </w:r>
      <w:r w:rsidRPr="00742038">
        <w:rPr>
          <w:sz w:val="20"/>
          <w:lang w:val="fr-CA"/>
        </w:rPr>
        <w:noBreakHyphen/>
        <w:t>al. 686(1)</w:t>
      </w:r>
      <w:r w:rsidRPr="00742038">
        <w:rPr>
          <w:i/>
          <w:sz w:val="20"/>
          <w:lang w:val="fr-CA"/>
        </w:rPr>
        <w:t>b</w:t>
      </w:r>
      <w:r w:rsidRPr="00742038">
        <w:rPr>
          <w:sz w:val="20"/>
          <w:lang w:val="fr-CA"/>
        </w:rPr>
        <w:t xml:space="preserve">)(iii) du </w:t>
      </w:r>
      <w:r w:rsidRPr="00742038">
        <w:rPr>
          <w:i/>
          <w:sz w:val="20"/>
          <w:lang w:val="fr-CA"/>
        </w:rPr>
        <w:t>Code criminel</w:t>
      </w:r>
      <w:r w:rsidRPr="00742038">
        <w:rPr>
          <w:sz w:val="20"/>
          <w:lang w:val="fr-CA"/>
        </w:rPr>
        <w:t>. Le verdict n’aurait pas forcément été le même si le juge du procès avait appliqué les bon principes pour déterminer le critère d’admissibilité de cette preuve de la défense. Puisqu’un nouveau procès doit avoir lieu de toute façon, il est préférable de laisser au juge du procès le soin de mettre en balance la valeur probante et l’effet préjudiciable de la preuve.</w:t>
      </w:r>
    </w:p>
    <w:p w:rsidR="001349D4" w:rsidRDefault="001349D4" w:rsidP="001349D4">
      <w:pPr>
        <w:pStyle w:val="SCCNormalDoubleSpacing"/>
        <w:spacing w:line="240" w:lineRule="auto"/>
        <w:rPr>
          <w:sz w:val="20"/>
          <w:lang w:val="fr-CA"/>
        </w:rPr>
      </w:pPr>
    </w:p>
    <w:p w:rsidR="001349D4" w:rsidRPr="00742038" w:rsidRDefault="001349D4" w:rsidP="001349D4">
      <w:pPr>
        <w:pStyle w:val="SCCNormalDoubleSpacing"/>
        <w:spacing w:line="240" w:lineRule="auto"/>
        <w:rPr>
          <w:sz w:val="20"/>
          <w:lang w:val="fr-CA"/>
        </w:rPr>
      </w:pPr>
      <w:r w:rsidRPr="001349D4">
        <w:rPr>
          <w:sz w:val="20"/>
          <w:lang w:val="fr-CA"/>
        </w:rPr>
        <w:tab/>
      </w:r>
      <w:r w:rsidRPr="00742038">
        <w:rPr>
          <w:sz w:val="20"/>
          <w:lang w:val="fr-CA"/>
        </w:rPr>
        <w:t>POURVOI contre un arrêt de la Cour d’appel du Manitoba (le juge en chef Chartier et les juges Monnin et Hamilton), 2013 MBCA 95, 299 Man. R. (2d) 202, 590 W.A.C. 202, 302 C.C.C. (3d) 491, [2014] 2 W.W.R. 239, [2013] M.J. No. 322 (QL), 2013 CarswellMan 525 (WL Can.), annulant une déclaration de culpabilité pour meurtre au deuxième degré prononcée par le juge en chef adjoint Joyal et ordonnant la tenue d’un nouveau procès. Pourvoi rejeté.</w:t>
      </w:r>
    </w:p>
    <w:p w:rsidR="001349D4" w:rsidRDefault="001349D4" w:rsidP="001349D4">
      <w:pPr>
        <w:pStyle w:val="SCCNormalDoubleSpacing"/>
        <w:spacing w:line="240" w:lineRule="auto"/>
        <w:rPr>
          <w:i/>
          <w:sz w:val="20"/>
          <w:lang w:val="fr-CA"/>
        </w:rPr>
      </w:pPr>
    </w:p>
    <w:p w:rsidR="001349D4" w:rsidRPr="00742038" w:rsidRDefault="001349D4" w:rsidP="001349D4">
      <w:pPr>
        <w:pStyle w:val="SCCNormalDoubleSpacing"/>
        <w:spacing w:line="240" w:lineRule="auto"/>
        <w:rPr>
          <w:sz w:val="20"/>
          <w:lang w:val="fr-CA"/>
        </w:rPr>
      </w:pPr>
      <w:r w:rsidRPr="00742038">
        <w:rPr>
          <w:i/>
          <w:sz w:val="20"/>
          <w:lang w:val="fr-CA"/>
        </w:rPr>
        <w:tab/>
        <w:t>Amiram Kotler</w:t>
      </w:r>
      <w:r w:rsidRPr="00742038">
        <w:rPr>
          <w:sz w:val="20"/>
          <w:lang w:val="fr-CA"/>
        </w:rPr>
        <w:t xml:space="preserve"> et </w:t>
      </w:r>
      <w:r w:rsidRPr="00742038">
        <w:rPr>
          <w:i/>
          <w:sz w:val="20"/>
          <w:lang w:val="fr-CA"/>
        </w:rPr>
        <w:t>Rekha Malaviya</w:t>
      </w:r>
      <w:r w:rsidRPr="00742038">
        <w:rPr>
          <w:sz w:val="20"/>
          <w:lang w:val="fr-CA"/>
        </w:rPr>
        <w:t>, pour l’appelante.</w:t>
      </w:r>
    </w:p>
    <w:p w:rsidR="001349D4" w:rsidRDefault="001349D4" w:rsidP="001349D4">
      <w:pPr>
        <w:pStyle w:val="SCCNormalDoubleSpacing"/>
        <w:spacing w:line="240" w:lineRule="auto"/>
        <w:rPr>
          <w:i/>
          <w:sz w:val="20"/>
          <w:lang w:val="fr-CA"/>
        </w:rPr>
      </w:pPr>
    </w:p>
    <w:p w:rsidR="001349D4" w:rsidRPr="00742038" w:rsidRDefault="001349D4" w:rsidP="001349D4">
      <w:pPr>
        <w:pStyle w:val="SCCNormalDoubleSpacing"/>
        <w:spacing w:line="240" w:lineRule="auto"/>
        <w:rPr>
          <w:sz w:val="20"/>
          <w:lang w:val="fr-CA"/>
        </w:rPr>
      </w:pPr>
      <w:r w:rsidRPr="00742038">
        <w:rPr>
          <w:i/>
          <w:sz w:val="20"/>
          <w:lang w:val="fr-CA"/>
        </w:rPr>
        <w:tab/>
        <w:t>Saul B. Simmonds</w:t>
      </w:r>
      <w:r w:rsidRPr="00742038">
        <w:rPr>
          <w:sz w:val="20"/>
          <w:lang w:val="fr-CA"/>
        </w:rPr>
        <w:t xml:space="preserve">, </w:t>
      </w:r>
      <w:r w:rsidRPr="00742038">
        <w:rPr>
          <w:i/>
          <w:sz w:val="20"/>
          <w:lang w:val="fr-CA"/>
        </w:rPr>
        <w:t>Vanessa Hébert</w:t>
      </w:r>
      <w:r w:rsidRPr="00742038">
        <w:rPr>
          <w:sz w:val="20"/>
          <w:lang w:val="fr-CA"/>
        </w:rPr>
        <w:t xml:space="preserve"> et </w:t>
      </w:r>
      <w:r w:rsidRPr="00742038">
        <w:rPr>
          <w:i/>
          <w:sz w:val="20"/>
          <w:lang w:val="fr-CA"/>
        </w:rPr>
        <w:t>Laura Robinson</w:t>
      </w:r>
      <w:r w:rsidRPr="00742038">
        <w:rPr>
          <w:sz w:val="20"/>
          <w:lang w:val="fr-CA"/>
        </w:rPr>
        <w:t>,</w:t>
      </w:r>
      <w:r w:rsidRPr="00742038">
        <w:rPr>
          <w:i/>
          <w:sz w:val="20"/>
          <w:lang w:val="fr-CA"/>
        </w:rPr>
        <w:t xml:space="preserve"> </w:t>
      </w:r>
      <w:r w:rsidRPr="00742038">
        <w:rPr>
          <w:sz w:val="20"/>
          <w:lang w:val="fr-CA"/>
        </w:rPr>
        <w:t>pour l’intimé.</w:t>
      </w:r>
    </w:p>
    <w:p w:rsidR="001349D4" w:rsidRDefault="001349D4" w:rsidP="001349D4">
      <w:pPr>
        <w:pStyle w:val="SCCLawFirm"/>
        <w:spacing w:line="240" w:lineRule="auto"/>
        <w:rPr>
          <w:sz w:val="20"/>
          <w:lang w:val="fr-CA"/>
        </w:rPr>
      </w:pPr>
    </w:p>
    <w:p w:rsidR="001349D4" w:rsidRPr="00742038" w:rsidRDefault="001349D4" w:rsidP="001349D4">
      <w:pPr>
        <w:pStyle w:val="SCCLawFirm"/>
        <w:spacing w:line="240" w:lineRule="auto"/>
        <w:rPr>
          <w:sz w:val="20"/>
          <w:lang w:val="fr-CA"/>
        </w:rPr>
      </w:pPr>
      <w:r w:rsidRPr="00742038">
        <w:rPr>
          <w:sz w:val="20"/>
          <w:lang w:val="fr-CA"/>
        </w:rPr>
        <w:tab/>
        <w:t>Procureur de l’appelante : Procureur général du Manitoba, Winnipeg.</w:t>
      </w:r>
    </w:p>
    <w:p w:rsidR="001349D4" w:rsidRDefault="001349D4" w:rsidP="001349D4">
      <w:pPr>
        <w:pStyle w:val="SCCLawFirm"/>
        <w:spacing w:line="240" w:lineRule="auto"/>
        <w:rPr>
          <w:sz w:val="20"/>
          <w:lang w:val="fr-CA"/>
        </w:rPr>
      </w:pPr>
    </w:p>
    <w:p w:rsidR="001349D4" w:rsidRDefault="001349D4" w:rsidP="001349D4">
      <w:pPr>
        <w:pStyle w:val="SCCLawFirm"/>
        <w:spacing w:line="240" w:lineRule="auto"/>
        <w:rPr>
          <w:sz w:val="20"/>
          <w:lang w:val="fr-CA"/>
        </w:rPr>
      </w:pPr>
      <w:r w:rsidRPr="00742038">
        <w:rPr>
          <w:sz w:val="20"/>
          <w:lang w:val="fr-CA"/>
        </w:rPr>
        <w:tab/>
        <w:t>Procureurs de l’intimé : Gindin, Wolson, Simmonds, Roitenberg, Winnipeg.</w:t>
      </w:r>
    </w:p>
    <w:p w:rsidR="003B3977" w:rsidRPr="001349D4" w:rsidRDefault="003B3977" w:rsidP="005C6840">
      <w:pPr>
        <w:rPr>
          <w:rFonts w:cs="Times New Roman"/>
          <w:sz w:val="20"/>
          <w:szCs w:val="20"/>
          <w:lang w:val="fr-CA"/>
        </w:rPr>
      </w:pPr>
    </w:p>
    <w:p w:rsidR="005C6840" w:rsidRDefault="003A60BB" w:rsidP="005C6840">
      <w:pPr>
        <w:rPr>
          <w:lang w:val="fr-CA"/>
        </w:rPr>
      </w:pPr>
      <w:r>
        <w:rPr>
          <w:rFonts w:cs="Times New Roman"/>
          <w:sz w:val="20"/>
          <w:szCs w:val="20"/>
          <w:lang w:val="fr-CA"/>
        </w:rPr>
        <w:pict>
          <v:rect id="_x0000_i1080" style="width:144.3pt;height:1pt" o:hrpct="300" o:hralign="center" o:hrstd="t" o:hrnoshade="t" o:hr="t" fillcolor="black [3213]" stroked="f"/>
        </w:pict>
      </w:r>
      <w:r w:rsidR="005C6840">
        <w:rPr>
          <w:lang w:val="fr-CA"/>
        </w:rPr>
        <w:br w:type="page"/>
      </w:r>
    </w:p>
    <w:p w:rsidR="00CC35BD" w:rsidRDefault="00CC35BD" w:rsidP="00CC35BD">
      <w:pPr>
        <w:autoSpaceDE w:val="0"/>
        <w:autoSpaceDN w:val="0"/>
        <w:rPr>
          <w:sz w:val="20"/>
          <w:szCs w:val="20"/>
        </w:rPr>
      </w:pPr>
      <w:r>
        <w:rPr>
          <w:i/>
          <w:iCs/>
          <w:sz w:val="20"/>
          <w:szCs w:val="20"/>
        </w:rPr>
        <w:t>David M. Potter v. New Brunswick Legal Aid Services Commission, a statutory body corporate pursuant to a special act of the Province of New Brunswick</w:t>
      </w:r>
      <w:r>
        <w:rPr>
          <w:sz w:val="20"/>
          <w:szCs w:val="20"/>
        </w:rPr>
        <w:t xml:space="preserve"> (N.B.) (</w:t>
      </w:r>
      <w:hyperlink r:id="rId84" w:history="1">
        <w:r>
          <w:rPr>
            <w:rStyle w:val="Hyperlink"/>
            <w:sz w:val="20"/>
            <w:szCs w:val="20"/>
          </w:rPr>
          <w:t>35422</w:t>
        </w:r>
      </w:hyperlink>
      <w:r>
        <w:rPr>
          <w:sz w:val="20"/>
          <w:szCs w:val="20"/>
        </w:rPr>
        <w:t>)</w:t>
      </w:r>
    </w:p>
    <w:p w:rsidR="003431AF" w:rsidRPr="001420E6" w:rsidRDefault="003431AF" w:rsidP="003431AF">
      <w:pPr>
        <w:jc w:val="both"/>
        <w:rPr>
          <w:b/>
          <w:sz w:val="20"/>
          <w:szCs w:val="20"/>
        </w:rPr>
      </w:pPr>
      <w:r w:rsidRPr="001420E6">
        <w:rPr>
          <w:b/>
          <w:sz w:val="20"/>
          <w:szCs w:val="20"/>
        </w:rPr>
        <w:t xml:space="preserve">Indexed as:  Potter </w:t>
      </w:r>
      <w:r w:rsidRPr="001420E6">
        <w:rPr>
          <w:b/>
          <w:i/>
          <w:sz w:val="20"/>
          <w:szCs w:val="20"/>
        </w:rPr>
        <w:t>v.</w:t>
      </w:r>
      <w:r w:rsidRPr="001420E6">
        <w:rPr>
          <w:b/>
          <w:sz w:val="20"/>
          <w:szCs w:val="20"/>
        </w:rPr>
        <w:t xml:space="preserve"> New Brunswick Legal Aid Services Commission</w:t>
      </w:r>
      <w:r>
        <w:rPr>
          <w:b/>
          <w:sz w:val="20"/>
          <w:szCs w:val="20"/>
        </w:rPr>
        <w:t xml:space="preserve"> / </w:t>
      </w:r>
    </w:p>
    <w:p w:rsidR="003431AF" w:rsidRPr="00D55A9E" w:rsidRDefault="003431AF" w:rsidP="003431AF">
      <w:pPr>
        <w:jc w:val="both"/>
        <w:rPr>
          <w:b/>
          <w:sz w:val="20"/>
          <w:szCs w:val="20"/>
          <w:lang w:val="fr-CA"/>
        </w:rPr>
      </w:pPr>
      <w:r w:rsidRPr="00D55A9E">
        <w:rPr>
          <w:b/>
          <w:sz w:val="20"/>
          <w:szCs w:val="20"/>
          <w:lang w:val="fr-CA"/>
        </w:rPr>
        <w:t xml:space="preserve">Répertorié : Potter </w:t>
      </w:r>
      <w:r w:rsidRPr="00D55A9E">
        <w:rPr>
          <w:b/>
          <w:i/>
          <w:sz w:val="20"/>
          <w:szCs w:val="20"/>
          <w:lang w:val="fr-CA"/>
        </w:rPr>
        <w:t>c.</w:t>
      </w:r>
      <w:r w:rsidRPr="00D55A9E">
        <w:rPr>
          <w:b/>
          <w:sz w:val="20"/>
          <w:szCs w:val="20"/>
          <w:lang w:val="fr-CA"/>
        </w:rPr>
        <w:t xml:space="preserve"> Commission des services d’aide juridique du Nouveau</w:t>
      </w:r>
      <w:r w:rsidRPr="00D55A9E">
        <w:rPr>
          <w:b/>
          <w:sz w:val="20"/>
          <w:szCs w:val="20"/>
          <w:lang w:val="fr-CA"/>
        </w:rPr>
        <w:noBreakHyphen/>
        <w:t>Brunswick</w:t>
      </w:r>
    </w:p>
    <w:p w:rsidR="0052229C" w:rsidRPr="00352A49" w:rsidRDefault="0052229C" w:rsidP="0052229C">
      <w:pPr>
        <w:pStyle w:val="SCCSystemYear"/>
        <w:jc w:val="both"/>
        <w:rPr>
          <w:sz w:val="20"/>
        </w:rPr>
      </w:pPr>
      <w:r w:rsidRPr="00352A49">
        <w:rPr>
          <w:sz w:val="20"/>
        </w:rPr>
        <w:t>Neutral citation:  201</w:t>
      </w:r>
      <w:r w:rsidR="00020DC3">
        <w:rPr>
          <w:sz w:val="20"/>
        </w:rPr>
        <w:t>5</w:t>
      </w:r>
      <w:r w:rsidRPr="00352A49">
        <w:rPr>
          <w:sz w:val="20"/>
        </w:rPr>
        <w:t xml:space="preserve"> SCC </w:t>
      </w:r>
      <w:r w:rsidR="00CC35BD">
        <w:rPr>
          <w:sz w:val="20"/>
        </w:rPr>
        <w:t>10</w:t>
      </w:r>
      <w:r w:rsidRPr="00352A49">
        <w:rPr>
          <w:sz w:val="20"/>
        </w:rPr>
        <w:t xml:space="preserve"> / Référence neutre : 201</w:t>
      </w:r>
      <w:r w:rsidR="00020DC3">
        <w:rPr>
          <w:sz w:val="20"/>
        </w:rPr>
        <w:t>5</w:t>
      </w:r>
      <w:r w:rsidRPr="00352A49">
        <w:rPr>
          <w:sz w:val="20"/>
        </w:rPr>
        <w:t xml:space="preserve"> CSC </w:t>
      </w:r>
      <w:r w:rsidR="00CC35BD">
        <w:rPr>
          <w:sz w:val="20"/>
        </w:rPr>
        <w:t>10</w:t>
      </w:r>
    </w:p>
    <w:p w:rsidR="0052229C" w:rsidRPr="00352A49" w:rsidRDefault="0052229C" w:rsidP="0052229C">
      <w:pPr>
        <w:rPr>
          <w:sz w:val="20"/>
          <w:szCs w:val="20"/>
          <w:lang w:val="fr-CA"/>
        </w:rPr>
      </w:pPr>
      <w:r w:rsidRPr="00352A49">
        <w:rPr>
          <w:sz w:val="20"/>
          <w:szCs w:val="20"/>
          <w:lang w:val="fr-CA"/>
        </w:rPr>
        <w:t>Hearing:  Ma</w:t>
      </w:r>
      <w:r>
        <w:rPr>
          <w:sz w:val="20"/>
          <w:szCs w:val="20"/>
          <w:lang w:val="fr-CA"/>
        </w:rPr>
        <w:t>y</w:t>
      </w:r>
      <w:r w:rsidRPr="00352A49">
        <w:rPr>
          <w:sz w:val="20"/>
          <w:szCs w:val="20"/>
          <w:lang w:val="fr-CA"/>
        </w:rPr>
        <w:t xml:space="preserve"> </w:t>
      </w:r>
      <w:r w:rsidR="003431AF">
        <w:rPr>
          <w:sz w:val="20"/>
          <w:szCs w:val="20"/>
          <w:lang w:val="fr-CA"/>
        </w:rPr>
        <w:t>1</w:t>
      </w:r>
      <w:r w:rsidRPr="00352A49">
        <w:rPr>
          <w:sz w:val="20"/>
          <w:szCs w:val="20"/>
          <w:lang w:val="fr-CA"/>
        </w:rPr>
        <w:t>2, 201</w:t>
      </w:r>
      <w:r w:rsidR="00020DC3">
        <w:rPr>
          <w:sz w:val="20"/>
          <w:szCs w:val="20"/>
          <w:lang w:val="fr-CA"/>
        </w:rPr>
        <w:t>4</w:t>
      </w:r>
      <w:r w:rsidRPr="00352A49">
        <w:rPr>
          <w:sz w:val="20"/>
          <w:szCs w:val="20"/>
          <w:lang w:val="fr-CA"/>
        </w:rPr>
        <w:t xml:space="preserve"> / Judgment:  </w:t>
      </w:r>
      <w:r w:rsidR="00CC35BD">
        <w:rPr>
          <w:sz w:val="20"/>
          <w:szCs w:val="20"/>
          <w:lang w:val="fr-CA"/>
        </w:rPr>
        <w:t>M</w:t>
      </w:r>
      <w:r>
        <w:rPr>
          <w:sz w:val="20"/>
          <w:szCs w:val="20"/>
          <w:lang w:val="fr-CA"/>
        </w:rPr>
        <w:t>ar</w:t>
      </w:r>
      <w:r w:rsidR="00CC35BD">
        <w:rPr>
          <w:sz w:val="20"/>
          <w:szCs w:val="20"/>
          <w:lang w:val="fr-CA"/>
        </w:rPr>
        <w:t>ch</w:t>
      </w:r>
      <w:r w:rsidRPr="00352A49">
        <w:rPr>
          <w:sz w:val="20"/>
          <w:szCs w:val="20"/>
          <w:lang w:val="fr-CA"/>
        </w:rPr>
        <w:t xml:space="preserve"> </w:t>
      </w:r>
      <w:r w:rsidR="00CC35BD">
        <w:rPr>
          <w:sz w:val="20"/>
          <w:szCs w:val="20"/>
          <w:lang w:val="fr-CA"/>
        </w:rPr>
        <w:t>6</w:t>
      </w:r>
      <w:r w:rsidRPr="00352A49">
        <w:rPr>
          <w:sz w:val="20"/>
          <w:szCs w:val="20"/>
          <w:lang w:val="fr-CA"/>
        </w:rPr>
        <w:t>, 201</w:t>
      </w:r>
      <w:r w:rsidR="00020DC3">
        <w:rPr>
          <w:sz w:val="20"/>
          <w:szCs w:val="20"/>
          <w:lang w:val="fr-CA"/>
        </w:rPr>
        <w:t>5</w:t>
      </w:r>
    </w:p>
    <w:p w:rsidR="0052229C" w:rsidRPr="003B3977" w:rsidRDefault="0052229C" w:rsidP="0052229C">
      <w:pPr>
        <w:rPr>
          <w:sz w:val="20"/>
          <w:szCs w:val="20"/>
          <w:lang w:val="fr-CA"/>
        </w:rPr>
      </w:pPr>
      <w:r w:rsidRPr="003B3977">
        <w:rPr>
          <w:sz w:val="20"/>
          <w:szCs w:val="20"/>
          <w:lang w:val="fr-CA"/>
        </w:rPr>
        <w:t xml:space="preserve">Audition : Le </w:t>
      </w:r>
      <w:r w:rsidR="003431AF">
        <w:rPr>
          <w:sz w:val="20"/>
          <w:szCs w:val="20"/>
          <w:lang w:val="fr-CA"/>
        </w:rPr>
        <w:t>1</w:t>
      </w:r>
      <w:r w:rsidRPr="003B3977">
        <w:rPr>
          <w:sz w:val="20"/>
          <w:szCs w:val="20"/>
          <w:lang w:val="fr-CA"/>
        </w:rPr>
        <w:t>2</w:t>
      </w:r>
      <w:r>
        <w:rPr>
          <w:sz w:val="20"/>
          <w:szCs w:val="20"/>
          <w:lang w:val="fr-CA"/>
        </w:rPr>
        <w:t xml:space="preserve"> </w:t>
      </w:r>
      <w:r w:rsidRPr="003B3977">
        <w:rPr>
          <w:sz w:val="20"/>
          <w:szCs w:val="20"/>
          <w:lang w:val="fr-CA"/>
        </w:rPr>
        <w:t>ma</w:t>
      </w:r>
      <w:r>
        <w:rPr>
          <w:sz w:val="20"/>
          <w:szCs w:val="20"/>
          <w:lang w:val="fr-CA"/>
        </w:rPr>
        <w:t>i</w:t>
      </w:r>
      <w:r w:rsidRPr="003B3977">
        <w:rPr>
          <w:sz w:val="20"/>
          <w:szCs w:val="20"/>
          <w:lang w:val="fr-CA"/>
        </w:rPr>
        <w:t xml:space="preserve"> 201</w:t>
      </w:r>
      <w:r w:rsidR="00020DC3">
        <w:rPr>
          <w:sz w:val="20"/>
          <w:szCs w:val="20"/>
          <w:lang w:val="fr-CA"/>
        </w:rPr>
        <w:t>4</w:t>
      </w:r>
      <w:r w:rsidRPr="003B3977">
        <w:rPr>
          <w:sz w:val="20"/>
          <w:szCs w:val="20"/>
          <w:lang w:val="fr-CA"/>
        </w:rPr>
        <w:t xml:space="preserve"> / Jugement : Le </w:t>
      </w:r>
      <w:r w:rsidR="00CC35BD">
        <w:rPr>
          <w:sz w:val="20"/>
          <w:szCs w:val="20"/>
          <w:lang w:val="fr-CA"/>
        </w:rPr>
        <w:t>6</w:t>
      </w:r>
      <w:r>
        <w:rPr>
          <w:sz w:val="20"/>
          <w:szCs w:val="20"/>
          <w:lang w:val="fr-CA"/>
        </w:rPr>
        <w:t xml:space="preserve"> </w:t>
      </w:r>
      <w:r w:rsidR="00CC35BD">
        <w:rPr>
          <w:sz w:val="20"/>
          <w:szCs w:val="20"/>
          <w:lang w:val="fr-CA"/>
        </w:rPr>
        <w:t>m</w:t>
      </w:r>
      <w:r>
        <w:rPr>
          <w:sz w:val="20"/>
          <w:szCs w:val="20"/>
          <w:lang w:val="fr-CA"/>
        </w:rPr>
        <w:t>ar</w:t>
      </w:r>
      <w:r w:rsidR="00CC35BD">
        <w:rPr>
          <w:sz w:val="20"/>
          <w:szCs w:val="20"/>
          <w:lang w:val="fr-CA"/>
        </w:rPr>
        <w:t>s</w:t>
      </w:r>
      <w:r w:rsidRPr="003B3977">
        <w:rPr>
          <w:sz w:val="20"/>
          <w:szCs w:val="20"/>
          <w:lang w:val="fr-CA"/>
        </w:rPr>
        <w:t xml:space="preserve"> 201</w:t>
      </w:r>
      <w:r w:rsidR="00020DC3">
        <w:rPr>
          <w:sz w:val="20"/>
          <w:szCs w:val="20"/>
          <w:lang w:val="fr-CA"/>
        </w:rPr>
        <w:t>5</w:t>
      </w:r>
    </w:p>
    <w:p w:rsidR="005C6840" w:rsidRPr="003B3977" w:rsidRDefault="003A60BB" w:rsidP="005C6840">
      <w:pPr>
        <w:rPr>
          <w:sz w:val="20"/>
          <w:szCs w:val="20"/>
          <w:lang w:val="fr-CA"/>
        </w:rPr>
      </w:pPr>
      <w:r>
        <w:rPr>
          <w:i/>
          <w:sz w:val="20"/>
          <w:szCs w:val="20"/>
        </w:rPr>
        <w:pict>
          <v:rect id="_x0000_i1081"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3431AF" w:rsidRPr="001420E6" w:rsidRDefault="003431AF" w:rsidP="003431AF">
      <w:pPr>
        <w:jc w:val="both"/>
        <w:rPr>
          <w:sz w:val="20"/>
          <w:szCs w:val="20"/>
        </w:rPr>
      </w:pPr>
      <w:r w:rsidRPr="001420E6">
        <w:rPr>
          <w:sz w:val="20"/>
          <w:szCs w:val="20"/>
        </w:rPr>
        <w:t>Present:  McLachlin C.J. and Abella, Rothstein, Cromwell, Moldaver, Karakatsanis and Wagner JJ.</w:t>
      </w:r>
    </w:p>
    <w:p w:rsidR="003431AF" w:rsidRDefault="003431AF" w:rsidP="003431AF">
      <w:pPr>
        <w:pStyle w:val="SCCLowerCourtNameLowercase"/>
        <w:spacing w:line="240" w:lineRule="auto"/>
        <w:rPr>
          <w:sz w:val="20"/>
        </w:rPr>
      </w:pPr>
    </w:p>
    <w:p w:rsidR="003431AF" w:rsidRPr="001420E6" w:rsidRDefault="003431AF" w:rsidP="003431AF">
      <w:pPr>
        <w:pStyle w:val="SCCNormalDoubleSpacing"/>
        <w:spacing w:line="240" w:lineRule="auto"/>
        <w:rPr>
          <w:i/>
          <w:sz w:val="20"/>
        </w:rPr>
      </w:pPr>
      <w:r w:rsidRPr="001420E6">
        <w:rPr>
          <w:i/>
          <w:sz w:val="20"/>
        </w:rPr>
        <w:tab/>
        <w:t>Employment law — Constructive dismissal — Administrative suspension — Commission suspending Executive Director indefinitely with pay — Commission alleging that suspension was authorized by express or implied term of contract — Whether administrative suspension constitutes unilateral act that amounts to breach of employment contract — If so, whether decision to suspend could reasonably be perceived as having substantially changed essential terms of contract.</w:t>
      </w:r>
    </w:p>
    <w:p w:rsidR="003431AF" w:rsidRDefault="003431AF" w:rsidP="003431AF">
      <w:pPr>
        <w:pStyle w:val="SCCNormalDoubleSpacing"/>
        <w:spacing w:line="240" w:lineRule="auto"/>
        <w:rPr>
          <w:i/>
          <w:sz w:val="20"/>
        </w:rPr>
      </w:pPr>
    </w:p>
    <w:p w:rsidR="003431AF" w:rsidRPr="001420E6" w:rsidRDefault="003431AF" w:rsidP="003431AF">
      <w:pPr>
        <w:pStyle w:val="SCCNormalDoubleSpacing"/>
        <w:spacing w:line="240" w:lineRule="auto"/>
        <w:rPr>
          <w:i/>
          <w:sz w:val="20"/>
        </w:rPr>
      </w:pPr>
      <w:r w:rsidRPr="001420E6">
        <w:rPr>
          <w:i/>
          <w:sz w:val="20"/>
        </w:rPr>
        <w:tab/>
        <w:t>Employment law — Wrongful dismissal — Damages — Employee drawing pension benefits upon dismissal — Whether pension benefits should be deducted from damages for wrongful dismissal — If not, whether s. 16 of Public Service Superannuation Act displaces private insurance exception and precludes employee from collecting both pension benefits and equivalent of salary —</w:t>
      </w:r>
      <w:r w:rsidRPr="001420E6">
        <w:rPr>
          <w:sz w:val="20"/>
        </w:rPr>
        <w:t xml:space="preserve"> </w:t>
      </w:r>
      <w:r w:rsidRPr="001420E6">
        <w:rPr>
          <w:i/>
          <w:sz w:val="20"/>
        </w:rPr>
        <w:t>Public Service Superannuation Act, R.S.N.B. 1973, c. P</w:t>
      </w:r>
      <w:r w:rsidRPr="001420E6">
        <w:rPr>
          <w:i/>
          <w:sz w:val="20"/>
        </w:rPr>
        <w:noBreakHyphen/>
        <w:t>26 [rep. 2013, c. 44, s.</w:t>
      </w:r>
      <w:r w:rsidRPr="001420E6">
        <w:rPr>
          <w:i/>
          <w:smallCaps/>
          <w:sz w:val="20"/>
        </w:rPr>
        <w:t> </w:t>
      </w:r>
      <w:r w:rsidRPr="001420E6">
        <w:rPr>
          <w:i/>
          <w:sz w:val="20"/>
        </w:rPr>
        <w:t>2], s.</w:t>
      </w:r>
      <w:r w:rsidRPr="001420E6">
        <w:rPr>
          <w:i/>
          <w:smallCaps/>
          <w:sz w:val="20"/>
        </w:rPr>
        <w:t> </w:t>
      </w:r>
      <w:r w:rsidRPr="001420E6">
        <w:rPr>
          <w:i/>
          <w:sz w:val="20"/>
        </w:rPr>
        <w:t>16.</w:t>
      </w:r>
    </w:p>
    <w:p w:rsidR="003431AF" w:rsidRDefault="003431AF" w:rsidP="003431AF">
      <w:pPr>
        <w:pStyle w:val="SCCNormalDoubleSpacing"/>
        <w:spacing w:line="240" w:lineRule="auto"/>
        <w:rPr>
          <w:sz w:val="20"/>
        </w:rPr>
      </w:pPr>
    </w:p>
    <w:p w:rsidR="003431AF" w:rsidRPr="001420E6" w:rsidRDefault="003431AF" w:rsidP="003431AF">
      <w:pPr>
        <w:pStyle w:val="SCCNormalDoubleSpacing"/>
        <w:spacing w:line="240" w:lineRule="auto"/>
        <w:rPr>
          <w:sz w:val="20"/>
        </w:rPr>
      </w:pPr>
      <w:r w:rsidRPr="001420E6">
        <w:rPr>
          <w:sz w:val="20"/>
        </w:rPr>
        <w:tab/>
        <w:t>P was appointed as the Executive Director of the New Brunswick Legal Aid Services Commission (“Commission”) for a seven</w:t>
      </w:r>
      <w:r w:rsidRPr="001420E6">
        <w:rPr>
          <w:sz w:val="20"/>
        </w:rPr>
        <w:noBreakHyphen/>
        <w:t>year term. In the first half of that term, the relationship between the parties deteriorated and they began negotiating a buyout of P’s employment contract. P took sick leave before the matter was resolved. Just prior to his return, and unbeknownst to P, the Commission wrote a letter to the Minister of Justice recommending that P’s employment be terminated for cause. The Commission’s legal counsel wrote to P’s lawyer on the same date, advising that P was not to return to work until further direction from the Commission. Before the conclusion of his sick leave, the Commission suspended P indefinitely with pay and delegated his powers and duties to another person. P claimed that he was constructively dismissed and commenced litigation. The Commission took the view that in doing this, P had voluntarily resigned. The trial judge found in favour of the Commission, as did the Court of Appeal.</w:t>
      </w:r>
    </w:p>
    <w:p w:rsidR="003431AF" w:rsidRDefault="003431AF" w:rsidP="003431AF">
      <w:pPr>
        <w:pStyle w:val="SCCNormalDoubleSpacing"/>
        <w:spacing w:line="240" w:lineRule="auto"/>
        <w:rPr>
          <w:sz w:val="20"/>
        </w:rPr>
      </w:pPr>
    </w:p>
    <w:p w:rsidR="003431AF" w:rsidRPr="001420E6" w:rsidRDefault="003431AF" w:rsidP="003431AF">
      <w:pPr>
        <w:pStyle w:val="SCCNormalDoubleSpacing"/>
        <w:spacing w:line="240" w:lineRule="auto"/>
        <w:rPr>
          <w:sz w:val="20"/>
        </w:rPr>
      </w:pPr>
      <w:r w:rsidRPr="001420E6">
        <w:rPr>
          <w:sz w:val="20"/>
        </w:rPr>
        <w:tab/>
      </w:r>
      <w:r w:rsidRPr="001420E6">
        <w:rPr>
          <w:i/>
          <w:sz w:val="20"/>
        </w:rPr>
        <w:t>Held:  </w:t>
      </w:r>
      <w:r w:rsidRPr="001420E6">
        <w:rPr>
          <w:sz w:val="20"/>
        </w:rPr>
        <w:t>The appeal should be allowed.</w:t>
      </w:r>
    </w:p>
    <w:p w:rsidR="003431AF" w:rsidRDefault="003431AF" w:rsidP="003431AF">
      <w:pPr>
        <w:pStyle w:val="SCCNormalDoubleSpacing"/>
        <w:spacing w:line="240" w:lineRule="auto"/>
        <w:rPr>
          <w:sz w:val="20"/>
        </w:rPr>
      </w:pPr>
    </w:p>
    <w:p w:rsidR="003431AF" w:rsidRPr="001420E6" w:rsidRDefault="003431AF" w:rsidP="003431AF">
      <w:pPr>
        <w:pStyle w:val="SCCNormalDoubleSpacing"/>
        <w:spacing w:line="240" w:lineRule="auto"/>
        <w:rPr>
          <w:sz w:val="20"/>
        </w:rPr>
      </w:pPr>
      <w:r w:rsidRPr="001420E6">
        <w:rPr>
          <w:sz w:val="20"/>
        </w:rPr>
        <w:tab/>
      </w:r>
      <w:r w:rsidRPr="001420E6">
        <w:rPr>
          <w:i/>
          <w:sz w:val="20"/>
        </w:rPr>
        <w:t>Per</w:t>
      </w:r>
      <w:r w:rsidRPr="001420E6">
        <w:rPr>
          <w:sz w:val="20"/>
        </w:rPr>
        <w:t xml:space="preserve"> Abella, Rothstein, Moldaver, Karakatsanis and </w:t>
      </w:r>
      <w:r w:rsidRPr="001420E6">
        <w:rPr>
          <w:b/>
          <w:sz w:val="20"/>
        </w:rPr>
        <w:t>Wagner</w:t>
      </w:r>
      <w:r w:rsidRPr="001420E6">
        <w:rPr>
          <w:sz w:val="20"/>
        </w:rPr>
        <w:t> JJ.:  P was constructively dismissed. In light of the indefinite duration of his suspension, of the fact that the Commission failed to act in good faith insofar as it withheld reasons from him, and of the Commission’s concealed intention to have him terminated, the suspension was not authorized by his employment contract. Nor did the Commission have the authority, whether express or implied, to suspend P indefinitely with pay and that suspension was a substantial change to the contract, which amounted to constructive dismissal.</w:t>
      </w:r>
    </w:p>
    <w:p w:rsidR="003431AF" w:rsidRDefault="003431AF" w:rsidP="003431AF">
      <w:pPr>
        <w:pStyle w:val="SCCNormalDoubleSpacing"/>
        <w:spacing w:line="240" w:lineRule="auto"/>
        <w:rPr>
          <w:sz w:val="20"/>
        </w:rPr>
      </w:pPr>
    </w:p>
    <w:p w:rsidR="003431AF" w:rsidRPr="001420E6" w:rsidRDefault="003431AF" w:rsidP="003431AF">
      <w:pPr>
        <w:pStyle w:val="SCCNormalDoubleSpacing"/>
        <w:spacing w:line="240" w:lineRule="auto"/>
        <w:rPr>
          <w:sz w:val="20"/>
        </w:rPr>
      </w:pPr>
      <w:r w:rsidRPr="001420E6">
        <w:rPr>
          <w:sz w:val="20"/>
        </w:rPr>
        <w:tab/>
        <w:t>The test for constructive dismissal has two branches. The court must first identify an express or implied contract term that has been breached and then determine whether that breach was sufficiently serious to constitute constructive dismissal. However, an employer’s conduct will also constitute constructive dismissal if it more generally shows that the employer intended not to be bound by the contract. This approach is necessarily retrospective, as it requires consideration of the cumulative effect of past acts by the employer and the determination of whether those acts evinced an intention no longer to be bound by the contract. Given that employment contracts are dynamic in comparison with commercial contracts, courts have properly taken a flexible approach in determining whether the employer’s conduct evinced an intention no longer to be bound by the contract.</w:t>
      </w:r>
    </w:p>
    <w:p w:rsidR="003431AF" w:rsidRDefault="003431AF" w:rsidP="003431AF">
      <w:pPr>
        <w:pStyle w:val="SCCNormalDoubleSpacing"/>
        <w:spacing w:line="240" w:lineRule="auto"/>
        <w:rPr>
          <w:sz w:val="20"/>
        </w:rPr>
      </w:pPr>
    </w:p>
    <w:p w:rsidR="003431AF" w:rsidRPr="001420E6" w:rsidRDefault="003431AF" w:rsidP="003431AF">
      <w:pPr>
        <w:pStyle w:val="SCCNormalDoubleSpacing"/>
        <w:spacing w:line="240" w:lineRule="auto"/>
        <w:rPr>
          <w:sz w:val="20"/>
        </w:rPr>
      </w:pPr>
      <w:r w:rsidRPr="001420E6">
        <w:rPr>
          <w:sz w:val="20"/>
        </w:rPr>
        <w:tab/>
        <w:t xml:space="preserve">The first branch of the test for constructive dismissal, the one that requires a review of specific terms of the contract, has two steps:  first, the employer’s unilateral change must be found to constitute a breach of the employment contract and, second, if it does constitute such a breach, it must be found to substantially alter an essential term of the contract. For that second step of the analysis, the court must ask whether, at the time that the breach occurred, a reasonable person in the same situation as the employee would have felt that the essential terms of the employment contract were being substantially changed. In determining this, a court must not consider evidence consisting of information that was neither known to the employee nor reasonably foreseeable. </w:t>
      </w:r>
    </w:p>
    <w:p w:rsidR="003431AF" w:rsidRDefault="003431AF" w:rsidP="003431AF">
      <w:pPr>
        <w:pStyle w:val="SCCNormalDoubleSpacing"/>
        <w:spacing w:line="240" w:lineRule="auto"/>
        <w:rPr>
          <w:sz w:val="20"/>
        </w:rPr>
      </w:pPr>
    </w:p>
    <w:p w:rsidR="003431AF" w:rsidRPr="001420E6" w:rsidRDefault="003431AF" w:rsidP="003431AF">
      <w:pPr>
        <w:pStyle w:val="SCCNormalDoubleSpacing"/>
        <w:spacing w:line="240" w:lineRule="auto"/>
        <w:rPr>
          <w:sz w:val="20"/>
        </w:rPr>
      </w:pPr>
      <w:r w:rsidRPr="001420E6">
        <w:rPr>
          <w:sz w:val="20"/>
        </w:rPr>
        <w:tab/>
        <w:t>Constructive dismissal can take two forms:  that of a single unilateral act that breaches an essential term of the contract, or that of a series of acts that, taken together, show that the employer intended to no longer be bound by the contract. In all cases, the primary burden will be on the employee to establish constructive dismissal, but where an administrative suspension is at issue, the burden will necessarily shift to the employer, which must then show that the suspension is reasonable or justified. If the employer cannot do so, a breach will have been established, and the burden will shift back to the employee at the second step of the analysis.</w:t>
      </w:r>
    </w:p>
    <w:p w:rsidR="003431AF" w:rsidRDefault="003431AF" w:rsidP="003431AF">
      <w:pPr>
        <w:pStyle w:val="SCCNormalDoubleSpacing"/>
        <w:spacing w:line="240" w:lineRule="auto"/>
        <w:rPr>
          <w:sz w:val="20"/>
        </w:rPr>
      </w:pPr>
    </w:p>
    <w:p w:rsidR="003431AF" w:rsidRPr="001420E6" w:rsidRDefault="003431AF" w:rsidP="003431AF">
      <w:pPr>
        <w:pStyle w:val="SCCNormalDoubleSpacing"/>
        <w:spacing w:line="240" w:lineRule="auto"/>
        <w:rPr>
          <w:sz w:val="20"/>
        </w:rPr>
      </w:pPr>
      <w:r w:rsidRPr="001420E6">
        <w:rPr>
          <w:sz w:val="20"/>
        </w:rPr>
        <w:tab/>
        <w:t>A finding of constructive dismissal does not require a formal termination, but a unilateral act by the employer to substantially change the contract of employment. In this case, the Commission was P’s employer for most purposes, although the Crown was his employer for the purposes of appointment, reappointment and termination. In other words, the Commission had the power to substantially change P’s contract, and thus to constructively dismiss him.</w:t>
      </w:r>
    </w:p>
    <w:p w:rsidR="003431AF" w:rsidRDefault="003431AF" w:rsidP="003431AF">
      <w:pPr>
        <w:pStyle w:val="SCCNormalDoubleSpacing"/>
        <w:spacing w:line="240" w:lineRule="auto"/>
        <w:rPr>
          <w:sz w:val="20"/>
        </w:rPr>
      </w:pPr>
    </w:p>
    <w:p w:rsidR="003431AF" w:rsidRPr="001420E6" w:rsidRDefault="003431AF" w:rsidP="003431AF">
      <w:pPr>
        <w:pStyle w:val="SCCNormalDoubleSpacing"/>
        <w:spacing w:line="240" w:lineRule="auto"/>
        <w:rPr>
          <w:sz w:val="20"/>
        </w:rPr>
      </w:pPr>
      <w:r w:rsidRPr="001420E6">
        <w:rPr>
          <w:sz w:val="20"/>
        </w:rPr>
        <w:tab/>
        <w:t xml:space="preserve">The express terms of P’s employment contract are found in the </w:t>
      </w:r>
      <w:r w:rsidRPr="001420E6">
        <w:rPr>
          <w:i/>
          <w:sz w:val="20"/>
        </w:rPr>
        <w:t>Legal Aid Act</w:t>
      </w:r>
      <w:r w:rsidRPr="001420E6">
        <w:rPr>
          <w:sz w:val="20"/>
        </w:rPr>
        <w:t>, R.S.N.B. 1973, c. L</w:t>
      </w:r>
      <w:r w:rsidRPr="001420E6">
        <w:rPr>
          <w:sz w:val="20"/>
        </w:rPr>
        <w:noBreakHyphen/>
        <w:t>2, and in the terms and conditions of employment established by the Commission pursuant to s.</w:t>
      </w:r>
      <w:r w:rsidRPr="001420E6">
        <w:rPr>
          <w:smallCaps/>
          <w:sz w:val="20"/>
        </w:rPr>
        <w:t> </w:t>
      </w:r>
      <w:r w:rsidRPr="001420E6">
        <w:rPr>
          <w:sz w:val="20"/>
        </w:rPr>
        <w:t>39(2) of that Act. However, none of those terms nor conditions, or even the Act itself, refer to suspension for administrative reasons. There is simply no express grant of power to suspend.</w:t>
      </w:r>
    </w:p>
    <w:p w:rsidR="003431AF" w:rsidRDefault="003431AF" w:rsidP="003431AF">
      <w:pPr>
        <w:pStyle w:val="SCCNormalDoubleSpacing"/>
        <w:spacing w:line="240" w:lineRule="auto"/>
        <w:rPr>
          <w:sz w:val="20"/>
        </w:rPr>
      </w:pPr>
    </w:p>
    <w:p w:rsidR="003431AF" w:rsidRPr="001420E6" w:rsidRDefault="003431AF" w:rsidP="003431AF">
      <w:pPr>
        <w:pStyle w:val="SCCNormalDoubleSpacing"/>
        <w:spacing w:line="240" w:lineRule="auto"/>
        <w:rPr>
          <w:sz w:val="20"/>
        </w:rPr>
      </w:pPr>
      <w:r w:rsidRPr="001420E6">
        <w:rPr>
          <w:sz w:val="20"/>
        </w:rPr>
        <w:tab/>
        <w:t xml:space="preserve">There is also no implied grant of power to suspend. Given the nature of the Executive Director’s position and the detail in which his statutory obligations were defined in the contract, the Commission had an obligation to provide P with work. Even if the Commission had an implied authority to relieve P of some or all of his statutory duties, such an authority is not unfettered, but is subject to a basic requirement of business justification. Because the Commission has failed to establish that the suspension was reasonable or justified, it cannot argue that it was acting pursuant to an implied term of the contract, which means that the suspension constituted a unilateral act. To begin with, P was given no reasons for the suspension. In most circumstances, an administrative suspension cannot be found to be justified in the absence of a basic level of communication with the employee. At a minimum, acting in good faith in relation to contractual dealings means being honest, reasonable, candid and forthright. Failing to give an employee any reason whatsoever for his suspension is not being forthright. Moreover, the limited evidence presented in support of the Commission’s ostensible purpose of facilitating a buyout is undercut by the actions that the Commission took to have P terminated. The Commission’s letter to the Minister in which it recommended that P be terminated ought to be admitted at this stage of the analysis. Add to this the facts that P was replaced during the suspension period and that the period was indefinite, and there remains no doubt that the suspension was unauthorized.  </w:t>
      </w:r>
    </w:p>
    <w:p w:rsidR="003431AF" w:rsidRDefault="003431AF" w:rsidP="003431AF">
      <w:pPr>
        <w:pStyle w:val="SCCNormalDoubleSpacing"/>
        <w:spacing w:line="240" w:lineRule="auto"/>
        <w:rPr>
          <w:sz w:val="20"/>
        </w:rPr>
      </w:pPr>
    </w:p>
    <w:p w:rsidR="003431AF" w:rsidRPr="001420E6" w:rsidRDefault="003431AF" w:rsidP="003431AF">
      <w:pPr>
        <w:pStyle w:val="SCCNormalDoubleSpacing"/>
        <w:spacing w:line="240" w:lineRule="auto"/>
        <w:rPr>
          <w:sz w:val="20"/>
        </w:rPr>
      </w:pPr>
      <w:r w:rsidRPr="001420E6">
        <w:rPr>
          <w:sz w:val="20"/>
        </w:rPr>
        <w:tab/>
        <w:t xml:space="preserve">Furthermore, </w:t>
      </w:r>
      <w:r w:rsidRPr="001420E6">
        <w:rPr>
          <w:sz w:val="20"/>
          <w:lang w:val="en-US"/>
        </w:rPr>
        <w:t>on the evidence, it cannot be said that P acquiesced in the change. Even if P was interested in a buyout, that interest can in no way be taken as consent to his suspension, nor can it be prejudicial to his position in his action. P simply did what most employees would do if their employer raises the possibility of a buyout:  listen to the offer and, depending on its terms, consider accepting it.</w:t>
      </w:r>
    </w:p>
    <w:p w:rsidR="003431AF" w:rsidRDefault="003431AF" w:rsidP="003431AF">
      <w:pPr>
        <w:pStyle w:val="SCCNormalDoubleSpacing"/>
        <w:spacing w:line="240" w:lineRule="auto"/>
        <w:rPr>
          <w:sz w:val="20"/>
        </w:rPr>
      </w:pPr>
    </w:p>
    <w:p w:rsidR="003431AF" w:rsidRPr="001420E6" w:rsidRDefault="003431AF" w:rsidP="003431AF">
      <w:pPr>
        <w:pStyle w:val="SCCNormalDoubleSpacing"/>
        <w:spacing w:line="240" w:lineRule="auto"/>
        <w:rPr>
          <w:sz w:val="20"/>
        </w:rPr>
      </w:pPr>
      <w:r w:rsidRPr="001420E6">
        <w:rPr>
          <w:sz w:val="20"/>
        </w:rPr>
        <w:tab/>
        <w:t>With respect to the second step of the first branch of the test for constructive dismissal, it was reasonable for P to perceive the unauthorized unilateral suspension as a substantial change to the contract. As far as he knew, he was being indefinitely suspended and had been given no reason for the suspension. The letter to P stated that the suspension was to continue until further direction from the Commission. When P had his lawyer write to request clarification of the Commission’s instructions, the Commission persisted in its silence regarding the reason. That is sufficient to discharge P’s burden here. Knowledge of the reasons given by the Commission at trial should not be imputed to P as of the time of the suspension.</w:t>
      </w:r>
    </w:p>
    <w:p w:rsidR="003431AF" w:rsidRDefault="003431AF" w:rsidP="003431AF">
      <w:pPr>
        <w:pStyle w:val="SCCNormalDoubleSpacing"/>
        <w:spacing w:line="240" w:lineRule="auto"/>
        <w:rPr>
          <w:sz w:val="20"/>
        </w:rPr>
      </w:pPr>
    </w:p>
    <w:p w:rsidR="003431AF" w:rsidRPr="001420E6" w:rsidRDefault="003431AF" w:rsidP="003431AF">
      <w:pPr>
        <w:pStyle w:val="SCCNormalDoubleSpacing"/>
        <w:spacing w:line="240" w:lineRule="auto"/>
        <w:rPr>
          <w:sz w:val="20"/>
        </w:rPr>
      </w:pPr>
      <w:r w:rsidRPr="001420E6">
        <w:rPr>
          <w:sz w:val="20"/>
        </w:rPr>
        <w:tab/>
        <w:t>In short, P has proven that the Commission’s unilateral act breached his employment contract and that the breach substantially changed the essential terms of the contract. P was constructively dismissed and therefore entitled to damages for wrongful dismissal. The trial judge’s provisional assessment of those damages should be adopted, with the exception that</w:t>
      </w:r>
      <w:r w:rsidRPr="001420E6">
        <w:rPr>
          <w:b/>
          <w:sz w:val="20"/>
        </w:rPr>
        <w:t xml:space="preserve"> </w:t>
      </w:r>
      <w:r w:rsidRPr="001420E6">
        <w:rPr>
          <w:sz w:val="20"/>
        </w:rPr>
        <w:t xml:space="preserve">on the basis of the private insurance exception from </w:t>
      </w:r>
      <w:r w:rsidRPr="001420E6">
        <w:rPr>
          <w:i/>
          <w:sz w:val="20"/>
        </w:rPr>
        <w:t>IBM Canada Limited v. Waterman</w:t>
      </w:r>
      <w:r w:rsidRPr="001420E6">
        <w:rPr>
          <w:sz w:val="20"/>
        </w:rPr>
        <w:t xml:space="preserve">, 2013 SCC 70, [2013] 3 S.C.R. 985, P’s pension benefits should not be deducted from the damages awarded to him. Those benefits were not intended to compensate P in the event of his being wrongfully dismissed. Section 16 of the </w:t>
      </w:r>
      <w:r w:rsidRPr="001420E6">
        <w:rPr>
          <w:i/>
          <w:sz w:val="20"/>
        </w:rPr>
        <w:t>Public Service Superannuation Act</w:t>
      </w:r>
      <w:r w:rsidRPr="001420E6">
        <w:rPr>
          <w:sz w:val="20"/>
        </w:rPr>
        <w:t>, R.S.N.B. 1973, c. P</w:t>
      </w:r>
      <w:r w:rsidRPr="001420E6">
        <w:rPr>
          <w:sz w:val="20"/>
        </w:rPr>
        <w:noBreakHyphen/>
        <w:t>26, does not displace the private insurance exception. Neither the ordinary meaning of the words of s.</w:t>
      </w:r>
      <w:r w:rsidRPr="001420E6">
        <w:rPr>
          <w:smallCaps/>
          <w:sz w:val="20"/>
        </w:rPr>
        <w:t> </w:t>
      </w:r>
      <w:r w:rsidRPr="001420E6">
        <w:rPr>
          <w:sz w:val="20"/>
        </w:rPr>
        <w:t xml:space="preserve">16 nor its context support the position that the provincial legislature intended to preclude the common law rule in </w:t>
      </w:r>
      <w:r w:rsidRPr="001420E6">
        <w:rPr>
          <w:i/>
          <w:sz w:val="20"/>
        </w:rPr>
        <w:t>Waterman</w:t>
      </w:r>
      <w:r w:rsidRPr="001420E6">
        <w:rPr>
          <w:sz w:val="20"/>
        </w:rPr>
        <w:t>. Rather, they support the position that s.</w:t>
      </w:r>
      <w:r w:rsidRPr="001420E6">
        <w:rPr>
          <w:smallCaps/>
          <w:sz w:val="20"/>
        </w:rPr>
        <w:t> </w:t>
      </w:r>
      <w:r w:rsidRPr="001420E6">
        <w:rPr>
          <w:sz w:val="20"/>
        </w:rPr>
        <w:t xml:space="preserve">16 is intended for situations in which a former employee who is receiving pension benefits returns to employment in the public service. It therefore neither applies to wrongful dismissal cases nor precludes P from collecting both the full damages amount and his pension benefits. </w:t>
      </w:r>
    </w:p>
    <w:p w:rsidR="003431AF" w:rsidRDefault="003431AF" w:rsidP="003431AF">
      <w:pPr>
        <w:pStyle w:val="SCCNormalDoubleSpacing"/>
        <w:spacing w:line="240" w:lineRule="auto"/>
        <w:rPr>
          <w:sz w:val="20"/>
        </w:rPr>
      </w:pPr>
    </w:p>
    <w:p w:rsidR="003431AF" w:rsidRPr="001420E6" w:rsidRDefault="003431AF" w:rsidP="003431AF">
      <w:pPr>
        <w:pStyle w:val="SCCNormalDoubleSpacing"/>
        <w:spacing w:line="240" w:lineRule="auto"/>
        <w:rPr>
          <w:sz w:val="20"/>
        </w:rPr>
      </w:pPr>
      <w:r w:rsidRPr="001420E6">
        <w:rPr>
          <w:sz w:val="20"/>
        </w:rPr>
        <w:tab/>
      </w:r>
      <w:r w:rsidRPr="001420E6">
        <w:rPr>
          <w:i/>
          <w:sz w:val="20"/>
        </w:rPr>
        <w:t xml:space="preserve">Per </w:t>
      </w:r>
      <w:r w:rsidRPr="001420E6">
        <w:rPr>
          <w:sz w:val="20"/>
        </w:rPr>
        <w:t xml:space="preserve">McLachlin C.J. and </w:t>
      </w:r>
      <w:r w:rsidRPr="001420E6">
        <w:rPr>
          <w:b/>
          <w:sz w:val="20"/>
        </w:rPr>
        <w:t>Cromwell </w:t>
      </w:r>
      <w:r w:rsidRPr="001420E6">
        <w:rPr>
          <w:sz w:val="20"/>
        </w:rPr>
        <w:t xml:space="preserve">J.:  The trial judge made two related errors of law in his analysis of whether the Commission had repudiated P’s employment contract and thereby constructively dismissed him. First, the trial judge failed to recognize that constructive dismissal may be established not only on the basis of a sufficiently serious breach, but also by conduct which, in light of all of the surrounding circumstances and viewed objectively by a reasonable person in the position of the employee, shows that the employer does not intend to be bound in the future by important terms of the contract of employment. </w:t>
      </w:r>
    </w:p>
    <w:p w:rsidR="003431AF" w:rsidRDefault="003431AF" w:rsidP="003431AF">
      <w:pPr>
        <w:pStyle w:val="SCCNormalDoubleSpacing"/>
        <w:spacing w:line="240" w:lineRule="auto"/>
        <w:rPr>
          <w:sz w:val="20"/>
        </w:rPr>
      </w:pPr>
    </w:p>
    <w:p w:rsidR="003431AF" w:rsidRPr="001420E6" w:rsidRDefault="003431AF" w:rsidP="003431AF">
      <w:pPr>
        <w:pStyle w:val="SCCNormalDoubleSpacing"/>
        <w:spacing w:line="240" w:lineRule="auto"/>
        <w:rPr>
          <w:sz w:val="20"/>
        </w:rPr>
      </w:pPr>
      <w:r w:rsidRPr="001420E6">
        <w:rPr>
          <w:sz w:val="20"/>
        </w:rPr>
        <w:tab/>
        <w:t>In this case, the surrounding circumstances reveal the following:  (i) the Commission wanted to bring P’s employment to an end before the expiry of the term of his contract; (ii) the Commission wanted him to stay out of the workplace indefinitely; and (iii) the Commission provided no assurances that it would continue to honour the remuneration terms of his contract in the future. Had the trial judge taken these surrounding circumstances into account, as the relevant legal principles require, rather</w:t>
      </w:r>
      <w:r w:rsidRPr="001420E6" w:rsidDel="00CB4408">
        <w:rPr>
          <w:sz w:val="20"/>
        </w:rPr>
        <w:t xml:space="preserve"> </w:t>
      </w:r>
      <w:r w:rsidRPr="001420E6">
        <w:rPr>
          <w:sz w:val="20"/>
        </w:rPr>
        <w:t>than focusing simply on how serious a breach of contract the suspension was, he would inevitably have concluded that the Commission had evinced a clear intention not to be bound in the future by important provisions of P’s employment contract.</w:t>
      </w:r>
    </w:p>
    <w:p w:rsidR="003431AF" w:rsidRDefault="003431AF" w:rsidP="003431AF">
      <w:pPr>
        <w:pStyle w:val="SCCNormalDoubleSpacing"/>
        <w:spacing w:line="240" w:lineRule="auto"/>
        <w:rPr>
          <w:sz w:val="20"/>
        </w:rPr>
      </w:pPr>
    </w:p>
    <w:p w:rsidR="003431AF" w:rsidRPr="001420E6" w:rsidRDefault="003431AF" w:rsidP="003431AF">
      <w:pPr>
        <w:pStyle w:val="SCCNormalDoubleSpacing"/>
        <w:spacing w:line="240" w:lineRule="auto"/>
        <w:rPr>
          <w:sz w:val="20"/>
        </w:rPr>
      </w:pPr>
      <w:r w:rsidRPr="001420E6">
        <w:rPr>
          <w:sz w:val="20"/>
        </w:rPr>
        <w:tab/>
        <w:t xml:space="preserve">The trial judge’s second error was to exclude from consideration the fact that on the same day the Commission counsel instructed P to stay out of the workplace indefinitely, the Commission sent a letter to the Minister of Justice seeking to have P’s appointment revoked for cause. The trial judge decided that he could only consider what P knew at the time he claimed to have been constructively dismissed. </w:t>
      </w:r>
    </w:p>
    <w:p w:rsidR="003431AF" w:rsidRDefault="003431AF" w:rsidP="003431AF">
      <w:pPr>
        <w:pStyle w:val="SCCNormalDoubleSpacing"/>
        <w:spacing w:line="240" w:lineRule="auto"/>
        <w:rPr>
          <w:sz w:val="20"/>
        </w:rPr>
      </w:pPr>
    </w:p>
    <w:p w:rsidR="003431AF" w:rsidRPr="001420E6" w:rsidRDefault="003431AF" w:rsidP="003431AF">
      <w:pPr>
        <w:pStyle w:val="SCCNormalDoubleSpacing"/>
        <w:spacing w:line="240" w:lineRule="auto"/>
        <w:rPr>
          <w:sz w:val="20"/>
        </w:rPr>
      </w:pPr>
      <w:r w:rsidRPr="001420E6">
        <w:rPr>
          <w:sz w:val="20"/>
        </w:rPr>
        <w:tab/>
        <w:t>While the law on this point is not as clear or as settled as one would wish, a non</w:t>
      </w:r>
      <w:r w:rsidRPr="001420E6">
        <w:rPr>
          <w:sz w:val="20"/>
        </w:rPr>
        <w:noBreakHyphen/>
        <w:t>breaching party claiming repudiation is entitled to rely on grounds actually in existence at the time of the alleged repudiation but which were unknown to him at the time. In other words, P is entitled to rely on the Commission’s conduct up to the time he accepted the repudiation and sued for constructive dismissal, even if he was unaware of it at that time. This is important for the purposes of this case:  the trial judge excluded from consideration the fact, unknown to P at the time, that the Commission on the very day that it suspended him, sent a letter seeking to have his appointment revoked for cause. The trial judge therefore erred in failing to take this into consideration in deciding whether P had been constructively dismissed. Contrary to the opinion of the Court of Appeal, the judge’s error was not harmless. The letter, understood in the context in which it was written, made it clear that the Commission did not intend to be bound in the future by important provisions of his contract of employment. This was one of the surrounding circumstances that the judge was obliged to consider in deciding whether the suspension, viewed in light of all of the circumstances, evinced the Commission’s intention not to be bound by the contract.</w:t>
      </w:r>
    </w:p>
    <w:p w:rsidR="003431AF" w:rsidRDefault="003431AF" w:rsidP="003431AF">
      <w:pPr>
        <w:pStyle w:val="SCCNormalDoubleSpacing"/>
        <w:spacing w:line="240" w:lineRule="auto"/>
        <w:rPr>
          <w:sz w:val="20"/>
        </w:rPr>
      </w:pPr>
    </w:p>
    <w:p w:rsidR="003431AF" w:rsidRDefault="003431AF" w:rsidP="003431AF">
      <w:pPr>
        <w:pStyle w:val="SCCNormalDoubleSpacing"/>
        <w:spacing w:line="240" w:lineRule="auto"/>
        <w:rPr>
          <w:sz w:val="20"/>
        </w:rPr>
      </w:pPr>
      <w:r w:rsidRPr="001420E6">
        <w:rPr>
          <w:sz w:val="20"/>
        </w:rPr>
        <w:tab/>
        <w:t xml:space="preserve">According to this Court’s decision in </w:t>
      </w:r>
      <w:r w:rsidRPr="001420E6">
        <w:rPr>
          <w:i/>
          <w:sz w:val="20"/>
        </w:rPr>
        <w:t>IBM Canada Limited v. Waterman</w:t>
      </w:r>
      <w:r w:rsidRPr="001420E6">
        <w:rPr>
          <w:sz w:val="20"/>
        </w:rPr>
        <w:t xml:space="preserve">, 2013 SCC 70, [2013] 3 S.C.R. 985, the pension benefits that P received should not be deducted from his damage award for wrongful dismissal.  </w:t>
      </w:r>
    </w:p>
    <w:p w:rsidR="003431AF" w:rsidRDefault="003431AF" w:rsidP="003431AF">
      <w:pPr>
        <w:pStyle w:val="SCCNormalDoubleSpacing"/>
        <w:spacing w:line="240" w:lineRule="auto"/>
        <w:rPr>
          <w:sz w:val="20"/>
        </w:rPr>
      </w:pPr>
    </w:p>
    <w:p w:rsidR="003431AF" w:rsidRPr="001420E6" w:rsidRDefault="003431AF" w:rsidP="003431AF">
      <w:pPr>
        <w:pStyle w:val="SCCNormalDoubleSpacing"/>
        <w:spacing w:line="240" w:lineRule="auto"/>
        <w:rPr>
          <w:sz w:val="20"/>
        </w:rPr>
      </w:pPr>
      <w:r w:rsidRPr="001420E6">
        <w:rPr>
          <w:sz w:val="20"/>
        </w:rPr>
        <w:tab/>
        <w:t>APPEAL from a judgment of the New Brunswick Court of Appeal (Drapeau C.J.N.B. and Richard and Bell JJ.A.), 2013 NBCA 27, 402 N.B.R. (2d) 41, 1044 A.P.R. 41, 6 C.C.E.L. (4th) 1, [2013] CLLC ¶201</w:t>
      </w:r>
      <w:r w:rsidRPr="001420E6">
        <w:rPr>
          <w:sz w:val="20"/>
        </w:rPr>
        <w:noBreakHyphen/>
        <w:t>032, [2013] N.B.J. No. 122 (QL), 2013 CarswellNB 196 (WL Can.), affirming a decision of Grant J., 2011 NBQB 296, 384 N.B.R. (2d) 14, 995 A.P.R. 14, 94 C.C.E.L. (3d) 302, [2011] N.B.J. No. 361 (QL), 2011 CarswellNB 579 (WL Can.). Appeal allowed.</w:t>
      </w:r>
    </w:p>
    <w:p w:rsidR="003431AF" w:rsidRDefault="003431AF" w:rsidP="003431AF">
      <w:pPr>
        <w:pStyle w:val="SCCNormalDoubleSpacing"/>
        <w:spacing w:line="240" w:lineRule="auto"/>
        <w:rPr>
          <w:i/>
          <w:sz w:val="20"/>
        </w:rPr>
      </w:pPr>
    </w:p>
    <w:p w:rsidR="003431AF" w:rsidRPr="001420E6" w:rsidRDefault="003431AF" w:rsidP="003431AF">
      <w:pPr>
        <w:pStyle w:val="SCCNormalDoubleSpacing"/>
        <w:spacing w:line="240" w:lineRule="auto"/>
        <w:rPr>
          <w:sz w:val="20"/>
        </w:rPr>
      </w:pPr>
      <w:r w:rsidRPr="001420E6">
        <w:rPr>
          <w:i/>
          <w:sz w:val="20"/>
        </w:rPr>
        <w:tab/>
        <w:t>Eugene J. Mockler</w:t>
      </w:r>
      <w:r w:rsidRPr="001420E6">
        <w:rPr>
          <w:sz w:val="20"/>
        </w:rPr>
        <w:t xml:space="preserve"> and </w:t>
      </w:r>
      <w:r w:rsidRPr="001420E6">
        <w:rPr>
          <w:i/>
          <w:sz w:val="20"/>
        </w:rPr>
        <w:t>Perri Ravon</w:t>
      </w:r>
      <w:r w:rsidRPr="001420E6">
        <w:rPr>
          <w:sz w:val="20"/>
        </w:rPr>
        <w:t>, for the appellant.</w:t>
      </w:r>
    </w:p>
    <w:p w:rsidR="003431AF" w:rsidRDefault="003431AF" w:rsidP="003431AF">
      <w:pPr>
        <w:pStyle w:val="SCCNormalDoubleSpacing"/>
        <w:spacing w:line="240" w:lineRule="auto"/>
        <w:rPr>
          <w:i/>
          <w:sz w:val="20"/>
        </w:rPr>
      </w:pPr>
    </w:p>
    <w:p w:rsidR="003431AF" w:rsidRPr="001420E6" w:rsidRDefault="003431AF" w:rsidP="003431AF">
      <w:pPr>
        <w:pStyle w:val="SCCNormalDoubleSpacing"/>
        <w:spacing w:line="240" w:lineRule="auto"/>
        <w:rPr>
          <w:sz w:val="20"/>
        </w:rPr>
      </w:pPr>
      <w:r w:rsidRPr="001420E6">
        <w:rPr>
          <w:i/>
          <w:sz w:val="20"/>
        </w:rPr>
        <w:tab/>
        <w:t>Clarence L. Bennett</w:t>
      </w:r>
      <w:r w:rsidRPr="001420E6">
        <w:rPr>
          <w:sz w:val="20"/>
        </w:rPr>
        <w:t xml:space="preserve"> and </w:t>
      </w:r>
      <w:r w:rsidRPr="001420E6">
        <w:rPr>
          <w:i/>
          <w:sz w:val="20"/>
        </w:rPr>
        <w:t>Josie H. Marks</w:t>
      </w:r>
      <w:r w:rsidRPr="001420E6">
        <w:rPr>
          <w:sz w:val="20"/>
        </w:rPr>
        <w:t>, for the respondent.</w:t>
      </w:r>
    </w:p>
    <w:p w:rsidR="003431AF" w:rsidRDefault="003431AF">
      <w:pPr>
        <w:rPr>
          <w:sz w:val="20"/>
        </w:rPr>
      </w:pPr>
    </w:p>
    <w:p w:rsidR="003431AF" w:rsidRDefault="003431AF">
      <w:pPr>
        <w:rPr>
          <w:rFonts w:eastAsia="Times New Roman" w:cs="Times New Roman"/>
          <w:i/>
          <w:sz w:val="20"/>
          <w:szCs w:val="20"/>
          <w:lang w:eastAsia="en-CA"/>
        </w:rPr>
      </w:pPr>
      <w:r>
        <w:rPr>
          <w:sz w:val="20"/>
        </w:rPr>
        <w:br w:type="page"/>
      </w:r>
    </w:p>
    <w:p w:rsidR="003431AF" w:rsidRDefault="003431AF" w:rsidP="003431AF">
      <w:pPr>
        <w:pStyle w:val="SCCLawFirm"/>
        <w:spacing w:line="240" w:lineRule="auto"/>
        <w:rPr>
          <w:sz w:val="20"/>
        </w:rPr>
      </w:pPr>
    </w:p>
    <w:p w:rsidR="003431AF" w:rsidRPr="001420E6" w:rsidRDefault="003431AF" w:rsidP="003431AF">
      <w:pPr>
        <w:pStyle w:val="SCCLawFirm"/>
        <w:spacing w:line="240" w:lineRule="auto"/>
        <w:rPr>
          <w:sz w:val="20"/>
        </w:rPr>
      </w:pPr>
      <w:r w:rsidRPr="001420E6">
        <w:rPr>
          <w:sz w:val="20"/>
        </w:rPr>
        <w:tab/>
        <w:t>Solicitors for the appellant:  EJ Mockler Professional Corporation, Fredericton; Heenan Blaikie, Ottawa.</w:t>
      </w:r>
    </w:p>
    <w:p w:rsidR="003431AF" w:rsidRDefault="003431AF">
      <w:pPr>
        <w:rPr>
          <w:rFonts w:eastAsia="Times New Roman" w:cs="Times New Roman"/>
          <w:i/>
          <w:sz w:val="20"/>
          <w:szCs w:val="20"/>
          <w:lang w:eastAsia="en-CA"/>
        </w:rPr>
      </w:pPr>
    </w:p>
    <w:p w:rsidR="003431AF" w:rsidRDefault="003431AF" w:rsidP="003431AF">
      <w:pPr>
        <w:pStyle w:val="SCCLawFirm"/>
        <w:spacing w:line="240" w:lineRule="auto"/>
        <w:rPr>
          <w:sz w:val="20"/>
        </w:rPr>
      </w:pPr>
      <w:r w:rsidRPr="001420E6">
        <w:rPr>
          <w:sz w:val="20"/>
        </w:rPr>
        <w:tab/>
        <w:t>Solicitors for the respondent:  Stewart McKelvey, Fredericton.</w:t>
      </w:r>
    </w:p>
    <w:p w:rsidR="0052229C" w:rsidRPr="00C42C54" w:rsidRDefault="0052229C" w:rsidP="003431AF">
      <w:pPr>
        <w:rPr>
          <w:sz w:val="20"/>
          <w:szCs w:val="20"/>
          <w:lang w:val="fr-CA"/>
        </w:rPr>
      </w:pPr>
      <w:r w:rsidRPr="00C42C54">
        <w:rPr>
          <w:sz w:val="20"/>
          <w:szCs w:val="20"/>
          <w:lang w:val="fr-CA"/>
        </w:rPr>
        <w:t>________________________</w:t>
      </w:r>
    </w:p>
    <w:p w:rsidR="0052229C" w:rsidRPr="00C42C54" w:rsidRDefault="0052229C" w:rsidP="0052229C">
      <w:pPr>
        <w:rPr>
          <w:sz w:val="20"/>
          <w:szCs w:val="20"/>
          <w:lang w:val="fr-CA"/>
        </w:rPr>
      </w:pPr>
    </w:p>
    <w:p w:rsidR="003431AF" w:rsidRPr="00D55A9E" w:rsidRDefault="003431AF" w:rsidP="003431AF">
      <w:pPr>
        <w:jc w:val="both"/>
        <w:rPr>
          <w:sz w:val="20"/>
          <w:szCs w:val="20"/>
          <w:lang w:val="fr-CA"/>
        </w:rPr>
      </w:pPr>
      <w:r w:rsidRPr="00D55A9E">
        <w:rPr>
          <w:sz w:val="20"/>
          <w:szCs w:val="20"/>
          <w:lang w:val="fr-CA"/>
        </w:rPr>
        <w:t>Présents : La juge en chef McLachlin et les juges Abella, Rothstein, Cromwell, Moldaver, Karakatsanis et Wagner.</w:t>
      </w:r>
    </w:p>
    <w:p w:rsidR="003431AF" w:rsidRDefault="003431AF" w:rsidP="003431AF">
      <w:pPr>
        <w:jc w:val="both"/>
        <w:rPr>
          <w:smallCaps/>
          <w:sz w:val="20"/>
          <w:lang w:val="fr-CA"/>
        </w:rPr>
      </w:pPr>
    </w:p>
    <w:p w:rsidR="003431AF" w:rsidRPr="00D55A9E" w:rsidRDefault="003431AF" w:rsidP="003431AF">
      <w:pPr>
        <w:pStyle w:val="SCCNormalDoubleSpacing"/>
        <w:spacing w:line="240" w:lineRule="auto"/>
        <w:rPr>
          <w:i/>
          <w:sz w:val="20"/>
          <w:lang w:val="fr-CA"/>
        </w:rPr>
      </w:pPr>
      <w:r w:rsidRPr="00D55A9E">
        <w:rPr>
          <w:sz w:val="20"/>
          <w:lang w:val="fr-CA"/>
        </w:rPr>
        <w:tab/>
      </w:r>
      <w:r w:rsidRPr="00D55A9E">
        <w:rPr>
          <w:i/>
          <w:sz w:val="20"/>
          <w:lang w:val="fr-CA"/>
        </w:rPr>
        <w:t>Droit de l’emploi — Congédiement déguisé — Suspension administrative — Suspension de son directeur général par la Commission pendant une période indéfinie, avec salaire — Allégation de la Commission selon laquelle le contrat autorisait expressément ou tacitement la suspension — La suspension administrative constitue</w:t>
      </w:r>
      <w:r w:rsidRPr="00D55A9E">
        <w:rPr>
          <w:i/>
          <w:sz w:val="20"/>
          <w:lang w:val="fr-CA"/>
        </w:rPr>
        <w:noBreakHyphen/>
        <w:t>t</w:t>
      </w:r>
      <w:r w:rsidRPr="00D55A9E">
        <w:rPr>
          <w:i/>
          <w:sz w:val="20"/>
          <w:lang w:val="fr-CA"/>
        </w:rPr>
        <w:noBreakHyphen/>
        <w:t>elle un acte unilatéral équivalant à une violation du contrat de travail? — Dans l’affirmative, la décision d’y recourir pouvait</w:t>
      </w:r>
      <w:r w:rsidRPr="00D55A9E">
        <w:rPr>
          <w:i/>
          <w:sz w:val="20"/>
          <w:lang w:val="fr-CA"/>
        </w:rPr>
        <w:noBreakHyphen/>
        <w:t>elle raisonnablement être considérée comme une modification substantielle des conditions essentielles du contrat?</w:t>
      </w:r>
    </w:p>
    <w:p w:rsidR="003431AF" w:rsidRDefault="003431AF" w:rsidP="003431AF">
      <w:pPr>
        <w:pStyle w:val="SCCNormalDoubleSpacing"/>
        <w:spacing w:line="240" w:lineRule="auto"/>
        <w:rPr>
          <w:sz w:val="20"/>
          <w:lang w:val="fr-CA"/>
        </w:rPr>
      </w:pPr>
    </w:p>
    <w:p w:rsidR="003431AF" w:rsidRPr="00D55A9E" w:rsidRDefault="003431AF" w:rsidP="003431AF">
      <w:pPr>
        <w:pStyle w:val="SCCNormalDoubleSpacing"/>
        <w:spacing w:line="240" w:lineRule="auto"/>
        <w:rPr>
          <w:i/>
          <w:sz w:val="20"/>
          <w:lang w:val="fr-CA"/>
        </w:rPr>
      </w:pPr>
      <w:r w:rsidRPr="00D55A9E">
        <w:rPr>
          <w:sz w:val="20"/>
          <w:lang w:val="fr-CA"/>
        </w:rPr>
        <w:tab/>
      </w:r>
      <w:r w:rsidRPr="00D55A9E">
        <w:rPr>
          <w:i/>
          <w:sz w:val="20"/>
          <w:lang w:val="fr-CA"/>
        </w:rPr>
        <w:t>Droit de l’emploi — Congédiement injustifié — Dommages</w:t>
      </w:r>
      <w:r w:rsidRPr="00D55A9E">
        <w:rPr>
          <w:i/>
          <w:sz w:val="20"/>
          <w:lang w:val="fr-CA"/>
        </w:rPr>
        <w:noBreakHyphen/>
        <w:t>intérêts — Prestations de retraite touchées par le salarié au moment de son congédiement — Ces prestations doivent</w:t>
      </w:r>
      <w:r w:rsidRPr="00D55A9E">
        <w:rPr>
          <w:i/>
          <w:sz w:val="20"/>
          <w:lang w:val="fr-CA"/>
        </w:rPr>
        <w:noBreakHyphen/>
        <w:t>elles être déduites des dommages</w:t>
      </w:r>
      <w:r w:rsidRPr="00D55A9E">
        <w:rPr>
          <w:i/>
          <w:sz w:val="20"/>
          <w:lang w:val="fr-CA"/>
        </w:rPr>
        <w:noBreakHyphen/>
        <w:t>intérêts accordés pour congédiement injustifié? — Dans la négative, l’art. 16 de la Loi sur la pension de retraite dans les services publics écarte</w:t>
      </w:r>
      <w:r w:rsidRPr="00D55A9E">
        <w:rPr>
          <w:i/>
          <w:sz w:val="20"/>
          <w:lang w:val="fr-CA"/>
        </w:rPr>
        <w:noBreakHyphen/>
        <w:t>t</w:t>
      </w:r>
      <w:r w:rsidRPr="00D55A9E">
        <w:rPr>
          <w:i/>
          <w:sz w:val="20"/>
          <w:lang w:val="fr-CA"/>
        </w:rPr>
        <w:noBreakHyphen/>
        <w:t>il l’exception relative à l’assurance privée et empêche</w:t>
      </w:r>
      <w:r w:rsidRPr="00D55A9E">
        <w:rPr>
          <w:i/>
          <w:sz w:val="20"/>
          <w:lang w:val="fr-CA"/>
        </w:rPr>
        <w:noBreakHyphen/>
        <w:t>t</w:t>
      </w:r>
      <w:r w:rsidRPr="00D55A9E">
        <w:rPr>
          <w:i/>
          <w:sz w:val="20"/>
          <w:lang w:val="fr-CA"/>
        </w:rPr>
        <w:noBreakHyphen/>
        <w:t>il le salarié de toucher simultanément des prestations de retraite et l’équivalent de son salaire? — Loi sur la pension de retraite dans les services publics, L.R.N.</w:t>
      </w:r>
      <w:r w:rsidRPr="00D55A9E">
        <w:rPr>
          <w:i/>
          <w:sz w:val="20"/>
          <w:lang w:val="fr-CA"/>
        </w:rPr>
        <w:noBreakHyphen/>
        <w:t>B. 1973, c. P</w:t>
      </w:r>
      <w:r w:rsidRPr="00D55A9E">
        <w:rPr>
          <w:i/>
          <w:sz w:val="20"/>
          <w:lang w:val="fr-CA"/>
        </w:rPr>
        <w:noBreakHyphen/>
        <w:t>26 [abr. 2013, c. 44, art. 2], art. 16.</w:t>
      </w:r>
    </w:p>
    <w:p w:rsidR="003431AF" w:rsidRDefault="003431AF" w:rsidP="003431AF">
      <w:pPr>
        <w:pStyle w:val="SCCNormalDoubleSpacing"/>
        <w:spacing w:line="240" w:lineRule="auto"/>
        <w:rPr>
          <w:sz w:val="20"/>
          <w:lang w:val="fr-CA"/>
        </w:rPr>
      </w:pPr>
    </w:p>
    <w:p w:rsidR="003431AF" w:rsidRPr="00D55A9E" w:rsidRDefault="003431AF" w:rsidP="003431AF">
      <w:pPr>
        <w:pStyle w:val="SCCNormalDoubleSpacing"/>
        <w:spacing w:line="240" w:lineRule="auto"/>
        <w:rPr>
          <w:sz w:val="20"/>
          <w:lang w:val="fr-CA"/>
        </w:rPr>
      </w:pPr>
      <w:r w:rsidRPr="00D55A9E">
        <w:rPr>
          <w:sz w:val="20"/>
          <w:lang w:val="fr-CA"/>
        </w:rPr>
        <w:tab/>
        <w:t>P a été nommé directeur général de la Commission des services d’aide juridique du Nouveau</w:t>
      </w:r>
      <w:r w:rsidRPr="00D55A9E">
        <w:rPr>
          <w:sz w:val="20"/>
          <w:lang w:val="fr-CA"/>
        </w:rPr>
        <w:noBreakHyphen/>
        <w:t>Brunswick (la « Commission ») pour une durée de sept ans. Pendant la première moitié de son mandat, ses relations avec la Commission se sont détériorées, si bien que les parties ont entrepris de négocier le départ du salarié en contrepartie d’une indemnité. P a pris un congé de maladie avant que les négociations n’aboutissent. Juste avant le retour au travail de P et à son insu, la Commission a écrit au ministre de la Justice pour lui recommander le congédiement de P pour motif valable. Le même jour, son conseiller juridique a écrit au conseiller juridique de P pour lui signifier que son client ne devait pas rentrer au travail avant qu’il n’ait reçu de nouvelles directives de sa part. Avant la fin de son congé de maladie, P s’est vu suspendre indéfiniment avec salaire, et la Commission a délégué ses pouvoirs et ses fonctions à une autre personne. P a prétendu avoir été congédié de manière déguisée et a intenté une action. La Commission a considéré que, ce faisant, P avait démissionné de son gré. Le juge de première instance a tranché en faveur de la Commission, et la Cour d’appel a confirmé son jugement.</w:t>
      </w:r>
    </w:p>
    <w:p w:rsidR="003431AF" w:rsidRDefault="003431AF" w:rsidP="003431AF">
      <w:pPr>
        <w:pStyle w:val="SCCNormalDoubleSpacing"/>
        <w:spacing w:line="240" w:lineRule="auto"/>
        <w:rPr>
          <w:sz w:val="20"/>
          <w:lang w:val="fr-CA"/>
        </w:rPr>
      </w:pPr>
    </w:p>
    <w:p w:rsidR="003431AF" w:rsidRPr="00D55A9E" w:rsidRDefault="003431AF" w:rsidP="003431AF">
      <w:pPr>
        <w:pStyle w:val="SCCNormalDoubleSpacing"/>
        <w:spacing w:line="240" w:lineRule="auto"/>
        <w:rPr>
          <w:sz w:val="20"/>
          <w:lang w:val="fr-CA"/>
        </w:rPr>
      </w:pPr>
      <w:r w:rsidRPr="00D55A9E">
        <w:rPr>
          <w:sz w:val="20"/>
          <w:lang w:val="fr-CA"/>
        </w:rPr>
        <w:tab/>
      </w:r>
      <w:r w:rsidRPr="00D55A9E">
        <w:rPr>
          <w:i/>
          <w:sz w:val="20"/>
          <w:lang w:val="fr-CA"/>
        </w:rPr>
        <w:t>Arrêt</w:t>
      </w:r>
      <w:r w:rsidRPr="00D55A9E">
        <w:rPr>
          <w:sz w:val="20"/>
          <w:lang w:val="fr-CA"/>
        </w:rPr>
        <w:t> : Le pourvoi est accueilli.</w:t>
      </w:r>
    </w:p>
    <w:p w:rsidR="003431AF" w:rsidRDefault="003431AF" w:rsidP="003431AF">
      <w:pPr>
        <w:pStyle w:val="SCCNormalDoubleSpacing"/>
        <w:spacing w:line="240" w:lineRule="auto"/>
        <w:rPr>
          <w:i/>
          <w:sz w:val="20"/>
          <w:lang w:val="fr-CA"/>
        </w:rPr>
      </w:pPr>
    </w:p>
    <w:p w:rsidR="003431AF" w:rsidRPr="00D55A9E" w:rsidRDefault="003431AF" w:rsidP="003431AF">
      <w:pPr>
        <w:pStyle w:val="SCCNormalDoubleSpacing"/>
        <w:spacing w:line="240" w:lineRule="auto"/>
        <w:rPr>
          <w:sz w:val="20"/>
          <w:lang w:val="fr-CA"/>
        </w:rPr>
      </w:pPr>
      <w:r w:rsidRPr="00D55A9E">
        <w:rPr>
          <w:i/>
          <w:sz w:val="20"/>
          <w:lang w:val="fr-CA"/>
        </w:rPr>
        <w:tab/>
        <w:t>Les</w:t>
      </w:r>
      <w:r w:rsidRPr="00D55A9E">
        <w:rPr>
          <w:sz w:val="20"/>
          <w:lang w:val="fr-CA"/>
        </w:rPr>
        <w:t xml:space="preserve"> juges Abella, Rothstein, Moldaver, Karakatsanis et </w:t>
      </w:r>
      <w:r w:rsidRPr="00D55A9E">
        <w:rPr>
          <w:b/>
          <w:sz w:val="20"/>
          <w:lang w:val="fr-CA"/>
        </w:rPr>
        <w:t>Wagner</w:t>
      </w:r>
      <w:r w:rsidRPr="00D55A9E">
        <w:rPr>
          <w:sz w:val="20"/>
          <w:lang w:val="fr-CA"/>
        </w:rPr>
        <w:t> : P a été congédié de manière déguisée. Étant donné la durée indéfinie de sa suspension, l’omission de la Commission d’agir de bonne foi en ne lui communiquant pas ses motifs et son intention dissimulée de le congédier, le contrat de travail n’autorisait pas la suspension. La Commission n’avait pas non plus le pouvoir, exprès ou tacite, de suspendre P indéfiniment avec salaire, de sorte qu’il y a eu modification substantielle du contrat de travail équivalant à un congédiement déguisé.</w:t>
      </w:r>
    </w:p>
    <w:p w:rsidR="003431AF" w:rsidRDefault="003431AF" w:rsidP="003431AF">
      <w:pPr>
        <w:pStyle w:val="SCCNormalDoubleSpacing"/>
        <w:spacing w:line="240" w:lineRule="auto"/>
        <w:rPr>
          <w:sz w:val="20"/>
          <w:lang w:val="fr-CA"/>
        </w:rPr>
      </w:pPr>
    </w:p>
    <w:p w:rsidR="003431AF" w:rsidRPr="00D55A9E" w:rsidRDefault="003431AF" w:rsidP="003431AF">
      <w:pPr>
        <w:pStyle w:val="SCCNormalDoubleSpacing"/>
        <w:spacing w:line="240" w:lineRule="auto"/>
        <w:rPr>
          <w:sz w:val="20"/>
          <w:lang w:val="fr-CA"/>
        </w:rPr>
      </w:pPr>
      <w:r w:rsidRPr="00D55A9E">
        <w:rPr>
          <w:sz w:val="20"/>
          <w:lang w:val="fr-CA"/>
        </w:rPr>
        <w:tab/>
        <w:t>Le critère applicable au congédiement déguisé comporte deux volets. Le tribunal doit d’abord établir la violation d’une condition expresse ou tacite du contrat, puis décider si elle est suffisamment grave pour constituer un congédiement déguisé. Cependant, la conduite de l’employeur constitue également un congédiement déguisé lorsqu’elle traduit généralement son intention de ne plus être lié par le contrat. La démarche est nécessairement rétrospective dans la mesure où il faut tenir compte de l’effet cumulatif des actes antérieurs de l’employeur et déterminer s’ils traduisaient ou non l’intention de ne plus être lié par le contrat. Puisque, contrairement au contrat commercial, le contrat de travail revêt un caractère dynamique, les tribunaux ont à juste titre adopté une approche souple pour décider si, par sa conduite, l’employeur avait manifesté ou non l’intention de ne plus être lié par le contrat.</w:t>
      </w:r>
    </w:p>
    <w:p w:rsidR="003431AF" w:rsidRDefault="003431AF" w:rsidP="003431AF">
      <w:pPr>
        <w:pStyle w:val="SCCNormalDoubleSpacing"/>
        <w:spacing w:line="240" w:lineRule="auto"/>
        <w:rPr>
          <w:sz w:val="20"/>
          <w:lang w:val="fr-CA"/>
        </w:rPr>
      </w:pPr>
    </w:p>
    <w:p w:rsidR="003431AF" w:rsidRPr="00D55A9E" w:rsidRDefault="003431AF" w:rsidP="003431AF">
      <w:pPr>
        <w:pStyle w:val="SCCNormalDoubleSpacing"/>
        <w:spacing w:line="240" w:lineRule="auto"/>
        <w:rPr>
          <w:sz w:val="20"/>
          <w:lang w:val="fr-CA"/>
        </w:rPr>
      </w:pPr>
      <w:r w:rsidRPr="00D55A9E">
        <w:rPr>
          <w:sz w:val="20"/>
          <w:lang w:val="fr-CA"/>
        </w:rPr>
        <w:tab/>
        <w:t xml:space="preserve">Selon le premier volet du critère applicable au congédiement déguisé — celui qui s’attache aux clauses précises du contrat —, deux conditions doivent être satisfaites. Premièrement, la modification unilatérale apportée par l’employeur doit constituer une violation du contrat de travail et, deuxièmement, s’il y a bel et bien violation, elle doit modifier substantiellement une condition essentielle du contrat. Pour les besoins de cette seconde étape de l’analyse, le tribunal doit se demander si, au moment de la violation, une personne raisonnable se trouvant dans la même situation que le salarié aurait considéré qu’il s’agissait d’une modification substantielle des conditions essentielles du contrat de travail. Une preuve constituée de données ni connues ni raisonnablement susceptibles de l’être par le salarié ne saurait alors être prise en compte. </w:t>
      </w:r>
    </w:p>
    <w:p w:rsidR="003431AF" w:rsidRDefault="003431AF" w:rsidP="003431AF">
      <w:pPr>
        <w:pStyle w:val="SCCNormalDoubleSpacing"/>
        <w:spacing w:line="240" w:lineRule="auto"/>
        <w:rPr>
          <w:sz w:val="20"/>
          <w:lang w:val="fr-CA"/>
        </w:rPr>
      </w:pPr>
    </w:p>
    <w:p w:rsidR="003431AF" w:rsidRPr="00D55A9E" w:rsidRDefault="003431AF" w:rsidP="003431AF">
      <w:pPr>
        <w:pStyle w:val="SCCNormalDoubleSpacing"/>
        <w:spacing w:line="240" w:lineRule="auto"/>
        <w:rPr>
          <w:sz w:val="20"/>
          <w:lang w:val="fr-CA"/>
        </w:rPr>
      </w:pPr>
      <w:r w:rsidRPr="00D55A9E">
        <w:rPr>
          <w:sz w:val="20"/>
          <w:lang w:val="fr-CA"/>
        </w:rPr>
        <w:tab/>
        <w:t>Un congédiement déguisé peut revêtir deux formes : celle d’un seul acte unilatéral qui emporte la violation d’une condition essentielle ou celle d’une série d’actes qui, considérés ensemble, montrent l’intention de l’employeur de ne plus être lié par le contrat. Dans tous les cas, le salarié a l’obligation première de prouver le congédiement déguisé, mais lorsqu’il y a suspension administrative, il appartient nécessairement à l’employeur de démontrer à son tour que la mesure est raisonnable ou justifiée. Si ce dernier ne peut le faire, la violation est établie et le salarié a de nouveau le fardeau de la preuve à la seconde étape de l’analyse.</w:t>
      </w:r>
    </w:p>
    <w:p w:rsidR="003431AF" w:rsidRDefault="003431AF" w:rsidP="003431AF">
      <w:pPr>
        <w:pStyle w:val="SCCNormalDoubleSpacing"/>
        <w:spacing w:line="240" w:lineRule="auto"/>
        <w:rPr>
          <w:sz w:val="20"/>
          <w:lang w:val="fr-CA"/>
        </w:rPr>
      </w:pPr>
    </w:p>
    <w:p w:rsidR="003431AF" w:rsidRPr="00D55A9E" w:rsidRDefault="003431AF" w:rsidP="003431AF">
      <w:pPr>
        <w:pStyle w:val="SCCNormalDoubleSpacing"/>
        <w:spacing w:line="240" w:lineRule="auto"/>
        <w:rPr>
          <w:sz w:val="20"/>
          <w:lang w:val="fr-CA"/>
        </w:rPr>
      </w:pPr>
      <w:r w:rsidRPr="00D55A9E">
        <w:rPr>
          <w:sz w:val="20"/>
          <w:lang w:val="fr-CA"/>
        </w:rPr>
        <w:tab/>
        <w:t>Pour conclure au congédiement déguisé, il doit y avoir non pas un congédiement formel, mais un acte unilatéral de l’employeur qui modifie substantiellement le contrat de travail. En l’occurrence, la Commission était presque à tous égards l’employeur de P même si la Couronne était son employeur pour ce qui concerne sa nomination, la reconduction de son mandat et la révocation de celui</w:t>
      </w:r>
      <w:r w:rsidRPr="00D55A9E">
        <w:rPr>
          <w:sz w:val="20"/>
          <w:lang w:val="fr-CA"/>
        </w:rPr>
        <w:noBreakHyphen/>
        <w:t>ci. En d’autres termes, la Commission avait le pouvoir de modifier substantiellement le contrat de travail de P, si bien qu’elle pouvait le congédier de manière déguisée.</w:t>
      </w:r>
    </w:p>
    <w:p w:rsidR="003431AF" w:rsidRDefault="003431AF" w:rsidP="003431AF">
      <w:pPr>
        <w:pStyle w:val="SCCNormalDoubleSpacing"/>
        <w:spacing w:line="240" w:lineRule="auto"/>
        <w:rPr>
          <w:sz w:val="20"/>
          <w:lang w:val="fr-CA"/>
        </w:rPr>
      </w:pPr>
    </w:p>
    <w:p w:rsidR="003431AF" w:rsidRPr="00D55A9E" w:rsidRDefault="003431AF" w:rsidP="003431AF">
      <w:pPr>
        <w:pStyle w:val="SCCNormalDoubleSpacing"/>
        <w:spacing w:line="240" w:lineRule="auto"/>
        <w:rPr>
          <w:sz w:val="20"/>
          <w:lang w:val="fr-CA"/>
        </w:rPr>
      </w:pPr>
      <w:r w:rsidRPr="00D55A9E">
        <w:rPr>
          <w:sz w:val="20"/>
          <w:lang w:val="fr-CA"/>
        </w:rPr>
        <w:tab/>
        <w:t xml:space="preserve">Les conditions expresses du contrat de travail de P sont prévues par la </w:t>
      </w:r>
      <w:r w:rsidRPr="00D55A9E">
        <w:rPr>
          <w:i/>
          <w:sz w:val="20"/>
          <w:lang w:val="fr-CA"/>
        </w:rPr>
        <w:t>Loi sur l’aide juridique</w:t>
      </w:r>
      <w:r w:rsidRPr="00D55A9E">
        <w:rPr>
          <w:sz w:val="20"/>
          <w:lang w:val="fr-CA"/>
        </w:rPr>
        <w:t>, L.R.N.</w:t>
      </w:r>
      <w:r w:rsidRPr="00D55A9E">
        <w:rPr>
          <w:sz w:val="20"/>
          <w:lang w:val="fr-CA"/>
        </w:rPr>
        <w:noBreakHyphen/>
        <w:t>B. 1973, c. L</w:t>
      </w:r>
      <w:r w:rsidRPr="00D55A9E">
        <w:rPr>
          <w:sz w:val="20"/>
          <w:lang w:val="fr-CA"/>
        </w:rPr>
        <w:noBreakHyphen/>
        <w:t xml:space="preserve">2, et la Commission établit les modalités et les conditions d’emploi suivant le par. 39(2) de cette loi. Toutefois, ces modalités et ces conditions ne font pas mention </w:t>
      </w:r>
      <w:r w:rsidRPr="00D55A9E">
        <w:rPr>
          <w:i/>
          <w:sz w:val="20"/>
          <w:lang w:val="fr-CA"/>
        </w:rPr>
        <w:t xml:space="preserve">— </w:t>
      </w:r>
      <w:r w:rsidRPr="00D55A9E">
        <w:rPr>
          <w:sz w:val="20"/>
          <w:lang w:val="fr-CA"/>
        </w:rPr>
        <w:t xml:space="preserve">ni même la loi </w:t>
      </w:r>
      <w:r w:rsidRPr="00D55A9E">
        <w:rPr>
          <w:i/>
          <w:sz w:val="20"/>
          <w:lang w:val="fr-CA"/>
        </w:rPr>
        <w:t xml:space="preserve">— </w:t>
      </w:r>
      <w:r w:rsidRPr="00D55A9E">
        <w:rPr>
          <w:sz w:val="20"/>
          <w:lang w:val="fr-CA"/>
        </w:rPr>
        <w:t>d’une suspension administrative. Il n’existe simplement pas de pouvoir exprès de suspension.</w:t>
      </w:r>
    </w:p>
    <w:p w:rsidR="003431AF" w:rsidRDefault="003431AF" w:rsidP="003431AF">
      <w:pPr>
        <w:pStyle w:val="SCCNormalDoubleSpacing"/>
        <w:spacing w:line="240" w:lineRule="auto"/>
        <w:rPr>
          <w:sz w:val="20"/>
          <w:lang w:val="fr-CA"/>
        </w:rPr>
      </w:pPr>
    </w:p>
    <w:p w:rsidR="003431AF" w:rsidRPr="00D55A9E" w:rsidRDefault="003431AF" w:rsidP="003431AF">
      <w:pPr>
        <w:pStyle w:val="SCCNormalDoubleSpacing"/>
        <w:spacing w:line="240" w:lineRule="auto"/>
        <w:rPr>
          <w:sz w:val="20"/>
          <w:lang w:val="fr-CA"/>
        </w:rPr>
      </w:pPr>
      <w:r w:rsidRPr="00D55A9E">
        <w:rPr>
          <w:sz w:val="20"/>
          <w:lang w:val="fr-CA"/>
        </w:rPr>
        <w:tab/>
        <w:t>Il n’y a pas non plus de pouvoir tacite de suspension. Étant donné la nature du poste de directeur général et le détail avec lequel les obligations légales de P figuraient au contrat, la Commission avait l’obligation de lui fournir du travail. Même si la Commission avait le pouvoir tacite de dépouiller P de la totalité de ses fonctions légales ou de certaines d’entre elles, ce pouvoir n’était pas absolu et son exercice était assujetti au respect de l’exigence fondamentale d’une justification organisationnelle. La Commission ayant omis de démontrer que la suspension était raisonnable ou justifiée, elle ne pouvait prétendre agir sur la base d’une condition tacite du contrat, de sorte que la suspension constitue un acte unilatéral. D’abord, aucune raison n’a été donnée à P pour justifier sa suspension. La plupart du temps, on ne peut conclure qu’une suspension administrative est justifiée que s’il y a eu un minimum de communication avec le salarié. Dans le cadre contractuel, agir de bonne foi exige à tout le moins des parties qu’elles se montrent honnêtes, franches et raisonnables. Ne pas informer le salarié de ce qui motive sa suspension n’est pas franc. De plus, la preuve restreinte offerte pour étayer l’objectif déclaré de la Commission — favoriser la conclusion d’un accord sur une indemnité de départ — est battue en brèche par les démarches qu’elle a entreprises pour que P soit congédié. La lettre de la Commission recommandant au ministre le congédiement de P aurait dû être admise en preuve à cette étape de l’analyse. De plus, P a été remplacé et la durée de sa suspension était indéfinie, d’où la certitude que la suspension n’était pas autorisée.</w:t>
      </w:r>
    </w:p>
    <w:p w:rsidR="003431AF" w:rsidRDefault="003431AF" w:rsidP="003431AF">
      <w:pPr>
        <w:pStyle w:val="SCCNormalDoubleSpacing"/>
        <w:spacing w:line="240" w:lineRule="auto"/>
        <w:rPr>
          <w:sz w:val="20"/>
          <w:lang w:val="fr-CA"/>
        </w:rPr>
      </w:pPr>
    </w:p>
    <w:p w:rsidR="003431AF" w:rsidRPr="00D55A9E" w:rsidRDefault="003431AF" w:rsidP="003431AF">
      <w:pPr>
        <w:pStyle w:val="SCCNormalDoubleSpacing"/>
        <w:spacing w:line="240" w:lineRule="auto"/>
        <w:rPr>
          <w:sz w:val="20"/>
          <w:lang w:val="fr-CA"/>
        </w:rPr>
      </w:pPr>
      <w:r w:rsidRPr="00D55A9E">
        <w:rPr>
          <w:sz w:val="20"/>
          <w:lang w:val="fr-CA"/>
        </w:rPr>
        <w:tab/>
        <w:t>Qui plus est, selon la preuve, on ne peut affirmer que P a acquiescé à la modification. Même s’il désirait mettre fin à son contrat moyennant une indemnité, on ne peut voir dans cet intérêt ni le consentement à la suspension, ni un élément préjudiciable à sa thèse. P a simplement fait ce que font la plupart des salariés lorsque l’employeur évoque la possibilité d’une indemnité de départ, soit écouter l’offre et, selon sa teneur, envisager de l’accepter.</w:t>
      </w:r>
    </w:p>
    <w:p w:rsidR="003431AF" w:rsidRDefault="003431AF" w:rsidP="003431AF">
      <w:pPr>
        <w:pStyle w:val="SCCNormalDoubleSpacing"/>
        <w:spacing w:line="240" w:lineRule="auto"/>
        <w:rPr>
          <w:sz w:val="20"/>
          <w:lang w:val="fr-CA"/>
        </w:rPr>
      </w:pPr>
    </w:p>
    <w:p w:rsidR="003431AF" w:rsidRPr="00D55A9E" w:rsidRDefault="003431AF" w:rsidP="003431AF">
      <w:pPr>
        <w:pStyle w:val="SCCNormalDoubleSpacing"/>
        <w:spacing w:line="240" w:lineRule="auto"/>
        <w:rPr>
          <w:sz w:val="20"/>
          <w:lang w:val="fr-CA"/>
        </w:rPr>
      </w:pPr>
      <w:r w:rsidRPr="00D55A9E">
        <w:rPr>
          <w:sz w:val="20"/>
          <w:lang w:val="fr-CA"/>
        </w:rPr>
        <w:tab/>
        <w:t>En ce qui concerne la seconde étape du premier volet du critère applicable au congédiement déguisé, il était raisonnable que P voit dans sa suspension unilatérale non autorisée une modification substantielle du contrat. Pour autant qu’il savait, il était suspendu indéfiniment et aucune raison n’était invoquée. Selon la lettre qui lui était adressée, la suspension s’appliquait jusqu’à ce que la Commission lui donne de nouvelles directives. Lorsque son conseiller juridique a demandé des éclaircissements sur les directives de la Commission, cette dernière a persisté dans son refus de justifier la mesure. Cela suffit pour que P s’acquitte de son fardeau de preuve à cette étape. On ne doit pas considérer que, au moment de la suspension, il connaissait les motifs révélés au procès par la Commission.</w:t>
      </w:r>
    </w:p>
    <w:p w:rsidR="003431AF" w:rsidRDefault="003431AF" w:rsidP="003431AF">
      <w:pPr>
        <w:pStyle w:val="SCCNormalDoubleSpacing"/>
        <w:spacing w:line="240" w:lineRule="auto"/>
        <w:rPr>
          <w:sz w:val="20"/>
          <w:lang w:val="fr-CA"/>
        </w:rPr>
      </w:pPr>
    </w:p>
    <w:p w:rsidR="003431AF" w:rsidRPr="00D55A9E" w:rsidRDefault="003431AF" w:rsidP="003431AF">
      <w:pPr>
        <w:pStyle w:val="SCCNormalDoubleSpacing"/>
        <w:spacing w:line="240" w:lineRule="auto"/>
        <w:rPr>
          <w:sz w:val="20"/>
          <w:lang w:val="fr-CA"/>
        </w:rPr>
      </w:pPr>
      <w:r w:rsidRPr="00D55A9E">
        <w:rPr>
          <w:sz w:val="20"/>
          <w:lang w:val="fr-CA"/>
        </w:rPr>
        <w:tab/>
        <w:t>En bref, P a établi que la mesure unilatérale de la Commission violait son contrat de travail et qu’il en résultait une modification substantielle des conditions essentielles du contrat. Il a fait l’objet d’un congédiement déguisé et a donc droit à des dommages</w:t>
      </w:r>
      <w:r w:rsidRPr="00D55A9E">
        <w:rPr>
          <w:sz w:val="20"/>
          <w:lang w:val="fr-CA"/>
        </w:rPr>
        <w:noBreakHyphen/>
        <w:t>intérêts pour congédiement injustifié. Il convient de confirmer l’évaluation en première instance du montant des dommages</w:t>
      </w:r>
      <w:r w:rsidRPr="00D55A9E">
        <w:rPr>
          <w:sz w:val="20"/>
          <w:lang w:val="fr-CA"/>
        </w:rPr>
        <w:noBreakHyphen/>
        <w:t xml:space="preserve">intérêts éventuels, si ce n’est que, eu égard à l’exception relative à l’assurance privée reconnue dans l’arrêt </w:t>
      </w:r>
      <w:r w:rsidRPr="00D55A9E">
        <w:rPr>
          <w:i/>
          <w:sz w:val="20"/>
          <w:lang w:val="fr-CA"/>
        </w:rPr>
        <w:t>IBM Canada Limited c. Waterman</w:t>
      </w:r>
      <w:r w:rsidRPr="00D55A9E">
        <w:rPr>
          <w:sz w:val="20"/>
          <w:lang w:val="fr-CA"/>
        </w:rPr>
        <w:t xml:space="preserve">, 2013 CSC 70, [2013] 3 R.C.S. 985, les prestations de retraite de P ne doivent pas être déduites de ce montant. Ces prestations ne visaient pas à indemniser P en cas de congédiement injustifié. L’article 16 de la </w:t>
      </w:r>
      <w:r w:rsidRPr="00D55A9E">
        <w:rPr>
          <w:i/>
          <w:sz w:val="20"/>
          <w:lang w:val="fr-CA"/>
        </w:rPr>
        <w:t>Loi sur la pension de retraite dans les services publics</w:t>
      </w:r>
      <w:r w:rsidRPr="00D55A9E">
        <w:rPr>
          <w:sz w:val="20"/>
          <w:lang w:val="fr-CA"/>
        </w:rPr>
        <w:t>, L.R.N.</w:t>
      </w:r>
      <w:r w:rsidRPr="00D55A9E">
        <w:rPr>
          <w:sz w:val="20"/>
          <w:lang w:val="fr-CA"/>
        </w:rPr>
        <w:noBreakHyphen/>
        <w:t>B. 1973, c. P</w:t>
      </w:r>
      <w:r w:rsidRPr="00D55A9E">
        <w:rPr>
          <w:sz w:val="20"/>
          <w:lang w:val="fr-CA"/>
        </w:rPr>
        <w:noBreakHyphen/>
        <w:t>26, n’écarte pas l’exception relative à l’assurance privée. Ni le sens ordinaire des termes employés à l’art. 16, ni le contexte de la disposition n’appuient la prétention selon laquelle le législateur provincial a voulu faire obstacle à l’application de la règle de common law issue de l’arrêt </w:t>
      </w:r>
      <w:r w:rsidRPr="00D55A9E">
        <w:rPr>
          <w:i/>
          <w:sz w:val="20"/>
          <w:lang w:val="fr-CA"/>
        </w:rPr>
        <w:t>Waterman</w:t>
      </w:r>
      <w:r w:rsidRPr="00D55A9E">
        <w:rPr>
          <w:sz w:val="20"/>
          <w:lang w:val="fr-CA"/>
        </w:rPr>
        <w:t>. Ils indiquent plutôt que l’art. 16 vise la situation de l’ancien salarié qui touche des prestations de retraite et qui reprend le travail dans les services publics. La disposition ne s’applique donc pas au congédiement injustifié, ni n’empêche P de toucher la totalité des dommages</w:t>
      </w:r>
      <w:r w:rsidRPr="00D55A9E">
        <w:rPr>
          <w:sz w:val="20"/>
          <w:lang w:val="fr-CA"/>
        </w:rPr>
        <w:noBreakHyphen/>
        <w:t>intérêts auxquels il a droit en plus de ses prestations de retraite.</w:t>
      </w:r>
    </w:p>
    <w:p w:rsidR="003431AF" w:rsidRDefault="003431AF" w:rsidP="003431AF">
      <w:pPr>
        <w:pStyle w:val="SCCNormalDoubleSpacing"/>
        <w:spacing w:line="240" w:lineRule="auto"/>
        <w:rPr>
          <w:i/>
          <w:sz w:val="20"/>
          <w:lang w:val="fr-CA"/>
        </w:rPr>
      </w:pPr>
    </w:p>
    <w:p w:rsidR="003431AF" w:rsidRPr="00D55A9E" w:rsidRDefault="003431AF" w:rsidP="003431AF">
      <w:pPr>
        <w:pStyle w:val="SCCNormalDoubleSpacing"/>
        <w:spacing w:line="240" w:lineRule="auto"/>
        <w:rPr>
          <w:sz w:val="20"/>
          <w:lang w:val="fr-CA"/>
        </w:rPr>
      </w:pPr>
      <w:r w:rsidRPr="00D55A9E">
        <w:rPr>
          <w:i/>
          <w:sz w:val="20"/>
          <w:lang w:val="fr-CA"/>
        </w:rPr>
        <w:tab/>
        <w:t>La</w:t>
      </w:r>
      <w:r w:rsidRPr="00D55A9E">
        <w:rPr>
          <w:sz w:val="20"/>
          <w:lang w:val="fr-CA"/>
        </w:rPr>
        <w:t xml:space="preserve"> juge en chef McLachlin et le juge </w:t>
      </w:r>
      <w:r w:rsidRPr="00D55A9E">
        <w:rPr>
          <w:b/>
          <w:sz w:val="20"/>
          <w:lang w:val="fr-CA"/>
        </w:rPr>
        <w:t>Cromwell</w:t>
      </w:r>
      <w:r w:rsidRPr="00D55A9E">
        <w:rPr>
          <w:sz w:val="20"/>
          <w:lang w:val="fr-CA"/>
        </w:rPr>
        <w:t> : Deux erreurs connexes entachent l’analyse du juge de première instance quant à savoir si la Commission a répudié le contrat de travail et de ce fait congédié P de manière déguisée. Premièrement, le juge omet de reconnaître que le congédiement déguisé peut découler non seulement d’une violation suffisamment grave, mais aussi d’actes qui, compte tenu de l’ensemble des circonstances et du point de vue objectif d’une personne raisonnable se trouvant dans la situation du salarié, montrent l’intention de l’employeur de ne plus être lié par des clauses importantes du contrat de travail.</w:t>
      </w:r>
    </w:p>
    <w:p w:rsidR="003431AF" w:rsidRDefault="003431AF" w:rsidP="003431AF">
      <w:pPr>
        <w:pStyle w:val="SCCNormalDoubleSpacing"/>
        <w:spacing w:line="240" w:lineRule="auto"/>
        <w:rPr>
          <w:sz w:val="20"/>
          <w:lang w:val="fr-CA"/>
        </w:rPr>
      </w:pPr>
    </w:p>
    <w:p w:rsidR="003431AF" w:rsidRPr="00D55A9E" w:rsidRDefault="003431AF" w:rsidP="003431AF">
      <w:pPr>
        <w:pStyle w:val="SCCNormalDoubleSpacing"/>
        <w:spacing w:line="240" w:lineRule="auto"/>
        <w:rPr>
          <w:sz w:val="20"/>
          <w:lang w:val="fr-CA"/>
        </w:rPr>
      </w:pPr>
      <w:r w:rsidRPr="00D55A9E">
        <w:rPr>
          <w:sz w:val="20"/>
          <w:lang w:val="fr-CA"/>
        </w:rPr>
        <w:tab/>
        <w:t>En l’espèce, les circonstances sont les suivantes : (i) la Commission entendait mettre fin à l’emploi de P avant l’expiration de son contrat, (ii) elle lui a enjoint de ne pas rentrer au travail jusqu’à nouvel ordre et (iii) elle ne lui a pas donné l’assurance qu’elle continuerait de respecter les clauses du contrat relatives à la rémunération. Si, comme l’exigeaient les principes juridiques applicables, le juge de première instance avait tenu compte de ces circonstances et non seulement de la gravité de la violation du contrat que constituait la suspension, il aurait nécessairement conclu que la Commission avait clairement manifesté l’intention de ne plus être liée par d’importantes clauses du contrat de travail.</w:t>
      </w:r>
    </w:p>
    <w:p w:rsidR="003431AF" w:rsidRDefault="003431AF" w:rsidP="003431AF">
      <w:pPr>
        <w:pStyle w:val="SCCNormalDoubleSpacing"/>
        <w:spacing w:line="240" w:lineRule="auto"/>
        <w:rPr>
          <w:sz w:val="20"/>
          <w:lang w:val="fr-CA"/>
        </w:rPr>
      </w:pPr>
    </w:p>
    <w:p w:rsidR="003431AF" w:rsidRPr="00D55A9E" w:rsidRDefault="003431AF" w:rsidP="003431AF">
      <w:pPr>
        <w:pStyle w:val="SCCNormalDoubleSpacing"/>
        <w:spacing w:line="240" w:lineRule="auto"/>
        <w:rPr>
          <w:sz w:val="20"/>
          <w:lang w:val="fr-CA"/>
        </w:rPr>
      </w:pPr>
      <w:r w:rsidRPr="00D55A9E">
        <w:rPr>
          <w:sz w:val="20"/>
          <w:lang w:val="fr-CA"/>
        </w:rPr>
        <w:tab/>
        <w:t>La seconde erreur du juge de première instance a été d’écarter le fait que le jour même où le conseiller juridique de la Commission a enjoint à P de ne pas rentrer au travail jusqu’à nouvel ordre, la Commission a écrit au ministre de la Justice en vue d’obtenir la révocation pour motif valable de la nomination de P. Le juge a décidé de ne tenir compte que de ce que P savait au moment où il a allégué le congédiement déguisé.</w:t>
      </w:r>
    </w:p>
    <w:p w:rsidR="003431AF" w:rsidRDefault="003431AF" w:rsidP="003431AF">
      <w:pPr>
        <w:pStyle w:val="SCCNormalDoubleSpacing"/>
        <w:spacing w:line="240" w:lineRule="auto"/>
        <w:rPr>
          <w:sz w:val="20"/>
          <w:lang w:val="fr-CA"/>
        </w:rPr>
      </w:pPr>
    </w:p>
    <w:p w:rsidR="003431AF" w:rsidRPr="00D55A9E" w:rsidRDefault="003431AF" w:rsidP="003431AF">
      <w:pPr>
        <w:pStyle w:val="SCCNormalDoubleSpacing"/>
        <w:spacing w:line="240" w:lineRule="auto"/>
        <w:rPr>
          <w:sz w:val="20"/>
          <w:lang w:val="fr-CA"/>
        </w:rPr>
      </w:pPr>
      <w:r w:rsidRPr="00D55A9E">
        <w:rPr>
          <w:sz w:val="20"/>
          <w:lang w:val="fr-CA"/>
        </w:rPr>
        <w:tab/>
        <w:t>Bien que, sur ce point, le droit ne soit ni aussi clair ni aussi bien établi qu’on pourrait le souhaiter, la partie non fautive qui allègue la répudiation peut invoquer des éléments qui existaient bel et bien au moment de la répudiation alléguée, mais qui lui étaient alors inconnus. Autrement dit, P peut se fonder sur le comportement qu’a eu la Commission jusqu’à ce qu’il accepte la répudiation et intente l’action pour congédiement déguisé, même si ce comportement lui était alors inconnu. Cela importe en l’espèce, car le juge de première instance n’a pas pris en considération le fait, alors inconnu de P, que le jour où elle l’avait suspendu la Commission avait demandé par lettre la révocation de sa nomination pour motif valable. Le juge a donc eu tort de ne pas en tenir compte pour décider si P avait fait l’objet ou non d’un congédiement déguisé. Contrairement à ce que conclut la Cour d’appel, l’erreur du juge n’a pas été sans conséquence. Considérée dans le contexte de sa rédaction, la lettre fait ressortir on ne peut plus clairement que la Commission n’entendait plus être liée par d’importantes clauses du contrat de travail. C’est l’un des éléments dont le juge devait tenir compte pour décider si, au vu de toutes les circonstances, la suspension traduisait l’intention de la Commission de ne plus être liée par le contrat.</w:t>
      </w:r>
    </w:p>
    <w:p w:rsidR="003431AF" w:rsidRDefault="003431AF" w:rsidP="003431AF">
      <w:pPr>
        <w:pStyle w:val="SCCNormalDoubleSpacing"/>
        <w:spacing w:line="240" w:lineRule="auto"/>
        <w:rPr>
          <w:sz w:val="20"/>
          <w:lang w:val="fr-CA"/>
        </w:rPr>
      </w:pPr>
    </w:p>
    <w:p w:rsidR="003431AF" w:rsidRDefault="003431AF" w:rsidP="003431AF">
      <w:pPr>
        <w:pStyle w:val="SCCNormalDoubleSpacing"/>
        <w:spacing w:line="240" w:lineRule="auto"/>
        <w:rPr>
          <w:sz w:val="20"/>
          <w:lang w:val="fr-CA"/>
        </w:rPr>
      </w:pPr>
      <w:r w:rsidRPr="00D55A9E">
        <w:rPr>
          <w:sz w:val="20"/>
          <w:lang w:val="fr-CA"/>
        </w:rPr>
        <w:tab/>
        <w:t xml:space="preserve">Suivant l’arrêt </w:t>
      </w:r>
      <w:r w:rsidRPr="00D55A9E">
        <w:rPr>
          <w:i/>
          <w:sz w:val="20"/>
          <w:lang w:val="fr-CA"/>
        </w:rPr>
        <w:t>IBM Canada Limited c. Waterman</w:t>
      </w:r>
      <w:r w:rsidRPr="00D55A9E">
        <w:rPr>
          <w:sz w:val="20"/>
          <w:lang w:val="fr-CA"/>
        </w:rPr>
        <w:t>, 2013 CSC 70, [2013] 3 R.C.S. 985, les prestations de retraite touchées par P ne doivent pas être déduites de ses dommages</w:t>
      </w:r>
      <w:r w:rsidRPr="00D55A9E">
        <w:rPr>
          <w:sz w:val="20"/>
          <w:lang w:val="fr-CA"/>
        </w:rPr>
        <w:noBreakHyphen/>
        <w:t>intérêts pour congédiement injustifié.</w:t>
      </w:r>
    </w:p>
    <w:p w:rsidR="003431AF" w:rsidRDefault="003431AF" w:rsidP="003431AF">
      <w:pPr>
        <w:pStyle w:val="SCCNormalDoubleSpacing"/>
        <w:spacing w:line="240" w:lineRule="auto"/>
        <w:rPr>
          <w:sz w:val="20"/>
          <w:lang w:val="fr-CA"/>
        </w:rPr>
      </w:pPr>
    </w:p>
    <w:p w:rsidR="003431AF" w:rsidRPr="00D55A9E" w:rsidRDefault="003431AF" w:rsidP="003431AF">
      <w:pPr>
        <w:pStyle w:val="SCCNormalDoubleSpacing"/>
        <w:spacing w:line="240" w:lineRule="auto"/>
        <w:rPr>
          <w:sz w:val="20"/>
          <w:lang w:val="fr-CA"/>
        </w:rPr>
      </w:pPr>
      <w:r w:rsidRPr="003431AF">
        <w:rPr>
          <w:sz w:val="20"/>
          <w:lang w:val="fr-CA"/>
        </w:rPr>
        <w:tab/>
      </w:r>
      <w:r w:rsidRPr="00D55A9E">
        <w:rPr>
          <w:sz w:val="20"/>
          <w:lang w:val="fr-CA"/>
        </w:rPr>
        <w:t>POURVOI contre un arrêt de la Cour d’appel du Nouveau</w:t>
      </w:r>
      <w:r w:rsidRPr="00D55A9E">
        <w:rPr>
          <w:sz w:val="20"/>
          <w:lang w:val="fr-CA"/>
        </w:rPr>
        <w:noBreakHyphen/>
        <w:t>Brunswick (le juge en chef Drapeau et les juges Richard et Bell), 2013 NBCA 27, 402 R.N.</w:t>
      </w:r>
      <w:r w:rsidRPr="00D55A9E">
        <w:rPr>
          <w:sz w:val="20"/>
          <w:lang w:val="fr-CA"/>
        </w:rPr>
        <w:noBreakHyphen/>
        <w:t>B. (2</w:t>
      </w:r>
      <w:r w:rsidRPr="00D55A9E">
        <w:rPr>
          <w:sz w:val="20"/>
          <w:vertAlign w:val="superscript"/>
          <w:lang w:val="fr-CA"/>
        </w:rPr>
        <w:t>e</w:t>
      </w:r>
      <w:r w:rsidRPr="00D55A9E">
        <w:rPr>
          <w:sz w:val="20"/>
          <w:lang w:val="fr-CA"/>
        </w:rPr>
        <w:t>) 41, 1044 A.P.R. 41, 6 C.C.E.L. (4th) 1, [2013] CLLC ¶201</w:t>
      </w:r>
      <w:r w:rsidRPr="00D55A9E">
        <w:rPr>
          <w:sz w:val="20"/>
          <w:lang w:val="fr-CA"/>
        </w:rPr>
        <w:noBreakHyphen/>
        <w:t>032, [2013] A.N.</w:t>
      </w:r>
      <w:r w:rsidRPr="00D55A9E">
        <w:rPr>
          <w:sz w:val="20"/>
          <w:lang w:val="fr-CA"/>
        </w:rPr>
        <w:noBreakHyphen/>
        <w:t>B. n</w:t>
      </w:r>
      <w:r w:rsidRPr="00D55A9E">
        <w:rPr>
          <w:sz w:val="20"/>
          <w:vertAlign w:val="superscript"/>
          <w:lang w:val="fr-CA"/>
        </w:rPr>
        <w:t>o</w:t>
      </w:r>
      <w:r w:rsidRPr="00D55A9E">
        <w:rPr>
          <w:sz w:val="20"/>
          <w:lang w:val="fr-CA"/>
        </w:rPr>
        <w:t xml:space="preserve"> 122 (QL), 2013 CarswellNB 197 (WL Can.), qui a confirmé une décision du juge Grant, 2011 NBBR 296, 384 R.N.</w:t>
      </w:r>
      <w:r w:rsidRPr="00D55A9E">
        <w:rPr>
          <w:sz w:val="20"/>
          <w:lang w:val="fr-CA"/>
        </w:rPr>
        <w:noBreakHyphen/>
        <w:t>B. (2</w:t>
      </w:r>
      <w:r w:rsidRPr="00D55A9E">
        <w:rPr>
          <w:sz w:val="20"/>
          <w:vertAlign w:val="superscript"/>
          <w:lang w:val="fr-CA"/>
        </w:rPr>
        <w:t>e</w:t>
      </w:r>
      <w:r w:rsidRPr="00D55A9E">
        <w:rPr>
          <w:sz w:val="20"/>
          <w:lang w:val="fr-CA"/>
        </w:rPr>
        <w:t>) 14, 995 A.P.R. 14, 94 C.C.E.L. (3d) 302, [2011] A.N.</w:t>
      </w:r>
      <w:r w:rsidRPr="00D55A9E">
        <w:rPr>
          <w:sz w:val="20"/>
          <w:lang w:val="fr-CA"/>
        </w:rPr>
        <w:noBreakHyphen/>
        <w:t>B. n</w:t>
      </w:r>
      <w:r w:rsidRPr="00D55A9E">
        <w:rPr>
          <w:sz w:val="20"/>
          <w:vertAlign w:val="superscript"/>
          <w:lang w:val="fr-CA"/>
        </w:rPr>
        <w:t>o</w:t>
      </w:r>
      <w:r w:rsidRPr="00D55A9E">
        <w:rPr>
          <w:sz w:val="20"/>
          <w:lang w:val="fr-CA"/>
        </w:rPr>
        <w:t xml:space="preserve"> 361 (QL), 2011 CarswellNB 579 (WL Can.). Pourvoi accueilli.</w:t>
      </w:r>
    </w:p>
    <w:p w:rsidR="003431AF" w:rsidRDefault="003431AF" w:rsidP="003431AF">
      <w:pPr>
        <w:pStyle w:val="SCCNormalDoubleSpacing"/>
        <w:spacing w:line="240" w:lineRule="auto"/>
        <w:rPr>
          <w:i/>
          <w:sz w:val="20"/>
          <w:lang w:val="fr-CA"/>
        </w:rPr>
      </w:pPr>
    </w:p>
    <w:p w:rsidR="003431AF" w:rsidRPr="00D55A9E" w:rsidRDefault="003431AF" w:rsidP="003431AF">
      <w:pPr>
        <w:pStyle w:val="SCCNormalDoubleSpacing"/>
        <w:spacing w:line="240" w:lineRule="auto"/>
        <w:rPr>
          <w:sz w:val="20"/>
          <w:lang w:val="fr-CA"/>
        </w:rPr>
      </w:pPr>
      <w:r w:rsidRPr="00D55A9E">
        <w:rPr>
          <w:i/>
          <w:sz w:val="20"/>
          <w:lang w:val="fr-CA"/>
        </w:rPr>
        <w:tab/>
        <w:t>Eugene J. Mockler</w:t>
      </w:r>
      <w:r w:rsidRPr="00D55A9E">
        <w:rPr>
          <w:sz w:val="20"/>
          <w:lang w:val="fr-CA"/>
        </w:rPr>
        <w:t xml:space="preserve"> et </w:t>
      </w:r>
      <w:r w:rsidRPr="00D55A9E">
        <w:rPr>
          <w:i/>
          <w:sz w:val="20"/>
          <w:lang w:val="fr-CA"/>
        </w:rPr>
        <w:t>Perri Ravon</w:t>
      </w:r>
      <w:r w:rsidRPr="00D55A9E">
        <w:rPr>
          <w:sz w:val="20"/>
          <w:lang w:val="fr-CA"/>
        </w:rPr>
        <w:t>, pour l’appelant.</w:t>
      </w:r>
    </w:p>
    <w:p w:rsidR="003431AF" w:rsidRDefault="003431AF" w:rsidP="003431AF">
      <w:pPr>
        <w:pStyle w:val="SCCNormalDoubleSpacing"/>
        <w:spacing w:line="240" w:lineRule="auto"/>
        <w:rPr>
          <w:i/>
          <w:sz w:val="20"/>
          <w:lang w:val="fr-CA"/>
        </w:rPr>
      </w:pPr>
    </w:p>
    <w:p w:rsidR="003431AF" w:rsidRPr="00D55A9E" w:rsidRDefault="003431AF" w:rsidP="003431AF">
      <w:pPr>
        <w:pStyle w:val="SCCNormalDoubleSpacing"/>
        <w:spacing w:line="240" w:lineRule="auto"/>
        <w:rPr>
          <w:sz w:val="20"/>
          <w:lang w:val="fr-CA"/>
        </w:rPr>
      </w:pPr>
      <w:r w:rsidRPr="00D55A9E">
        <w:rPr>
          <w:i/>
          <w:sz w:val="20"/>
          <w:lang w:val="fr-CA"/>
        </w:rPr>
        <w:tab/>
        <w:t>Clarence L. Bennett</w:t>
      </w:r>
      <w:r w:rsidRPr="00D55A9E">
        <w:rPr>
          <w:sz w:val="20"/>
          <w:lang w:val="fr-CA"/>
        </w:rPr>
        <w:t xml:space="preserve"> et </w:t>
      </w:r>
      <w:r w:rsidRPr="00D55A9E">
        <w:rPr>
          <w:i/>
          <w:sz w:val="20"/>
          <w:lang w:val="fr-CA"/>
        </w:rPr>
        <w:t>Josie H. Marks</w:t>
      </w:r>
      <w:r w:rsidRPr="00D55A9E">
        <w:rPr>
          <w:sz w:val="20"/>
          <w:lang w:val="fr-CA"/>
        </w:rPr>
        <w:t>, pour l’intimée.</w:t>
      </w:r>
    </w:p>
    <w:p w:rsidR="003431AF" w:rsidRDefault="003431AF" w:rsidP="003431AF">
      <w:pPr>
        <w:pStyle w:val="SCCLawFirm"/>
        <w:spacing w:line="240" w:lineRule="auto"/>
        <w:rPr>
          <w:sz w:val="20"/>
          <w:lang w:val="fr-CA"/>
        </w:rPr>
      </w:pPr>
    </w:p>
    <w:p w:rsidR="003431AF" w:rsidRPr="00D55A9E" w:rsidRDefault="003431AF" w:rsidP="003431AF">
      <w:pPr>
        <w:pStyle w:val="SCCLawFirm"/>
        <w:spacing w:line="240" w:lineRule="auto"/>
        <w:rPr>
          <w:sz w:val="20"/>
          <w:lang w:val="fr-CA"/>
        </w:rPr>
      </w:pPr>
      <w:r w:rsidRPr="00D55A9E">
        <w:rPr>
          <w:sz w:val="20"/>
          <w:lang w:val="fr-CA"/>
        </w:rPr>
        <w:tab/>
        <w:t>Procureurs de l’appelant : EJ Mockler Professional Corporation, Fredericton; Heenan Blaikie, Ottawa.</w:t>
      </w:r>
    </w:p>
    <w:p w:rsidR="003431AF" w:rsidRDefault="003431AF" w:rsidP="003431AF">
      <w:pPr>
        <w:pStyle w:val="SCCLawFirm"/>
        <w:spacing w:line="240" w:lineRule="auto"/>
        <w:rPr>
          <w:sz w:val="20"/>
          <w:lang w:val="fr-CA"/>
        </w:rPr>
      </w:pPr>
    </w:p>
    <w:p w:rsidR="003431AF" w:rsidRDefault="003431AF" w:rsidP="003431AF">
      <w:pPr>
        <w:pStyle w:val="SCCLawFirm"/>
        <w:spacing w:line="240" w:lineRule="auto"/>
        <w:rPr>
          <w:sz w:val="20"/>
          <w:lang w:val="fr-CA"/>
        </w:rPr>
      </w:pPr>
      <w:r w:rsidRPr="00D55A9E">
        <w:rPr>
          <w:sz w:val="20"/>
          <w:lang w:val="fr-CA"/>
        </w:rPr>
        <w:tab/>
        <w:t>Procureurs de l’intimée : Stewart McKelvey, Fredericton.</w:t>
      </w:r>
    </w:p>
    <w:p w:rsidR="00902E51" w:rsidRPr="00352A49" w:rsidRDefault="00902E51" w:rsidP="00902E51">
      <w:pPr>
        <w:rPr>
          <w:sz w:val="20"/>
          <w:szCs w:val="20"/>
          <w:lang w:val="fr-CA"/>
        </w:rPr>
      </w:pPr>
    </w:p>
    <w:p w:rsidR="00902E51" w:rsidRDefault="003A60BB" w:rsidP="00902E51">
      <w:pPr>
        <w:rPr>
          <w:rFonts w:cs="Times New Roman"/>
          <w:sz w:val="20"/>
          <w:szCs w:val="20"/>
          <w:lang w:val="fr-CA"/>
        </w:rPr>
      </w:pPr>
      <w:r>
        <w:rPr>
          <w:rFonts w:cs="Times New Roman"/>
          <w:sz w:val="20"/>
          <w:szCs w:val="20"/>
          <w:lang w:val="fr-CA"/>
        </w:rPr>
        <w:pict>
          <v:rect id="_x0000_i1082"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85"/>
          <w:headerReference w:type="default" r:id="rId86"/>
          <w:footerReference w:type="even" r:id="rId87"/>
          <w:footerReference w:type="default" r:id="rId88"/>
          <w:headerReference w:type="first" r:id="rId89"/>
          <w:footerReference w:type="first" r:id="rId90"/>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BF2F22">
            <w:pPr>
              <w:keepNext/>
              <w:keepLines/>
              <w:rPr>
                <w:b/>
                <w:szCs w:val="24"/>
              </w:rPr>
            </w:pPr>
            <w:r w:rsidRPr="00C50A5C">
              <w:rPr>
                <w:b/>
                <w:szCs w:val="24"/>
              </w:rPr>
              <w:t xml:space="preserve">AGENDA FOR </w:t>
            </w:r>
            <w:r w:rsidR="00BF2F22">
              <w:rPr>
                <w:b/>
                <w:szCs w:val="24"/>
              </w:rPr>
              <w:t>MA</w:t>
            </w:r>
            <w:r w:rsidR="005F1ED8">
              <w:rPr>
                <w:b/>
                <w:szCs w:val="24"/>
              </w:rPr>
              <w:t>R</w:t>
            </w:r>
            <w:r w:rsidR="00BF2F22">
              <w:rPr>
                <w:b/>
                <w:szCs w:val="24"/>
              </w:rPr>
              <w:t>CH</w:t>
            </w:r>
            <w:r w:rsidR="005F1ED8">
              <w:rPr>
                <w:b/>
                <w:szCs w:val="24"/>
              </w:rPr>
              <w:t xml:space="preserve"> 201</w:t>
            </w:r>
            <w:r w:rsidR="00BF2F22">
              <w:rPr>
                <w:b/>
                <w:szCs w:val="24"/>
              </w:rPr>
              <w:t>5</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BF2F22">
            <w:pPr>
              <w:keepNext/>
              <w:keepLines/>
              <w:rPr>
                <w:b/>
                <w:szCs w:val="24"/>
                <w:lang w:val="fr-CA"/>
              </w:rPr>
            </w:pPr>
            <w:r w:rsidRPr="00C50A5C">
              <w:rPr>
                <w:b/>
                <w:szCs w:val="24"/>
                <w:lang w:val="fr-CA"/>
              </w:rPr>
              <w:t>CALENDRIER D</w:t>
            </w:r>
            <w:r w:rsidR="00BF2F22">
              <w:rPr>
                <w:b/>
                <w:szCs w:val="24"/>
                <w:lang w:val="fr-CA"/>
              </w:rPr>
              <w:t>E M</w:t>
            </w:r>
            <w:r w:rsidR="005F1ED8">
              <w:rPr>
                <w:b/>
                <w:szCs w:val="24"/>
                <w:lang w:val="fr-CA"/>
              </w:rPr>
              <w:t>A</w:t>
            </w:r>
            <w:r w:rsidRPr="00C50A5C">
              <w:rPr>
                <w:b/>
                <w:szCs w:val="24"/>
                <w:lang w:val="fr-CA"/>
              </w:rPr>
              <w:t>R</w:t>
            </w:r>
            <w:r w:rsidR="00BF2F22">
              <w:rPr>
                <w:b/>
                <w:szCs w:val="24"/>
                <w:lang w:val="fr-CA"/>
              </w:rPr>
              <w:t>S</w:t>
            </w:r>
            <w:r w:rsidRPr="00C50A5C">
              <w:rPr>
                <w:b/>
                <w:szCs w:val="24"/>
                <w:lang w:val="fr-CA"/>
              </w:rPr>
              <w:t xml:space="preserve"> </w:t>
            </w:r>
            <w:r w:rsidR="005F1ED8">
              <w:rPr>
                <w:b/>
                <w:szCs w:val="24"/>
                <w:lang w:val="fr-CA"/>
              </w:rPr>
              <w:t>201</w:t>
            </w:r>
            <w:r w:rsidR="00BF2F22">
              <w:rPr>
                <w:b/>
                <w:szCs w:val="24"/>
                <w:lang w:val="fr-CA"/>
              </w:rPr>
              <w:t>5</w:t>
            </w:r>
          </w:p>
        </w:tc>
      </w:tr>
    </w:tbl>
    <w:p w:rsidR="004B66B4" w:rsidRPr="00DD0B49" w:rsidRDefault="004B66B4" w:rsidP="004B66B4">
      <w:pPr>
        <w:rPr>
          <w:b/>
          <w:sz w:val="20"/>
          <w:szCs w:val="20"/>
        </w:rPr>
      </w:pPr>
    </w:p>
    <w:p w:rsidR="005F1ED8" w:rsidRPr="00DD0B49" w:rsidRDefault="005F1ED8" w:rsidP="005F1ED8">
      <w:pPr>
        <w:rPr>
          <w:b/>
          <w:sz w:val="20"/>
          <w:szCs w:val="20"/>
        </w:rPr>
      </w:pPr>
      <w:r w:rsidRPr="00DD0B49">
        <w:rPr>
          <w:b/>
          <w:sz w:val="20"/>
          <w:szCs w:val="20"/>
        </w:rPr>
        <w:t xml:space="preserve">AGENDA for the weeks of </w:t>
      </w:r>
      <w:r w:rsidR="00BF2F22">
        <w:rPr>
          <w:b/>
          <w:sz w:val="20"/>
          <w:szCs w:val="20"/>
        </w:rPr>
        <w:t>March</w:t>
      </w:r>
      <w:r>
        <w:rPr>
          <w:b/>
          <w:sz w:val="20"/>
          <w:szCs w:val="20"/>
        </w:rPr>
        <w:t xml:space="preserve"> </w:t>
      </w:r>
      <w:r w:rsidRPr="00DD0B49">
        <w:rPr>
          <w:b/>
          <w:sz w:val="20"/>
          <w:szCs w:val="20"/>
        </w:rPr>
        <w:t>1</w:t>
      </w:r>
      <w:r w:rsidR="00BF2F22">
        <w:rPr>
          <w:b/>
          <w:sz w:val="20"/>
          <w:szCs w:val="20"/>
        </w:rPr>
        <w:t>6</w:t>
      </w:r>
      <w:r w:rsidRPr="00DD0B49">
        <w:rPr>
          <w:b/>
          <w:sz w:val="20"/>
          <w:szCs w:val="20"/>
        </w:rPr>
        <w:t xml:space="preserve"> and </w:t>
      </w:r>
      <w:r>
        <w:rPr>
          <w:b/>
          <w:sz w:val="20"/>
          <w:szCs w:val="20"/>
        </w:rPr>
        <w:t>2</w:t>
      </w:r>
      <w:r w:rsidR="00BF2F22">
        <w:rPr>
          <w:b/>
          <w:sz w:val="20"/>
          <w:szCs w:val="20"/>
        </w:rPr>
        <w:t>3</w:t>
      </w:r>
      <w:r w:rsidRPr="00DD0B49">
        <w:rPr>
          <w:b/>
          <w:sz w:val="20"/>
          <w:szCs w:val="20"/>
        </w:rPr>
        <w:t>, 201</w:t>
      </w:r>
      <w:r w:rsidR="00BF2F22">
        <w:rPr>
          <w:b/>
          <w:sz w:val="20"/>
          <w:szCs w:val="20"/>
        </w:rPr>
        <w:t>5</w:t>
      </w:r>
      <w:r w:rsidRPr="00DD0B49">
        <w:rPr>
          <w:b/>
          <w:sz w:val="20"/>
          <w:szCs w:val="20"/>
        </w:rPr>
        <w:t>.</w:t>
      </w:r>
    </w:p>
    <w:p w:rsidR="005F1ED8" w:rsidRPr="00DD0B49" w:rsidRDefault="005F1ED8" w:rsidP="005F1ED8">
      <w:pPr>
        <w:rPr>
          <w:sz w:val="20"/>
          <w:szCs w:val="20"/>
          <w:lang w:val="fr-CA"/>
        </w:rPr>
      </w:pPr>
      <w:r w:rsidRPr="00DD0B49">
        <w:rPr>
          <w:b/>
          <w:sz w:val="20"/>
          <w:szCs w:val="20"/>
          <w:lang w:val="fr-CA"/>
        </w:rPr>
        <w:t>CALENDRIER de la semaine du 1</w:t>
      </w:r>
      <w:r w:rsidR="00BF2F22">
        <w:rPr>
          <w:b/>
          <w:sz w:val="20"/>
          <w:szCs w:val="20"/>
          <w:lang w:val="fr-CA"/>
        </w:rPr>
        <w:t>6</w:t>
      </w:r>
      <w:r>
        <w:rPr>
          <w:b/>
          <w:sz w:val="20"/>
          <w:szCs w:val="20"/>
          <w:lang w:val="fr-CA"/>
        </w:rPr>
        <w:t xml:space="preserve"> avril </w:t>
      </w:r>
      <w:r w:rsidRPr="00DD0B49">
        <w:rPr>
          <w:b/>
          <w:sz w:val="20"/>
          <w:szCs w:val="20"/>
          <w:lang w:val="fr-CA"/>
        </w:rPr>
        <w:t xml:space="preserve">et celle du </w:t>
      </w:r>
      <w:r>
        <w:rPr>
          <w:b/>
          <w:sz w:val="20"/>
          <w:szCs w:val="20"/>
          <w:lang w:val="fr-CA"/>
        </w:rPr>
        <w:t>2</w:t>
      </w:r>
      <w:r w:rsidR="00BF2F22">
        <w:rPr>
          <w:b/>
          <w:sz w:val="20"/>
          <w:szCs w:val="20"/>
          <w:lang w:val="fr-CA"/>
        </w:rPr>
        <w:t>3</w:t>
      </w:r>
      <w:r w:rsidRPr="00DD0B49">
        <w:rPr>
          <w:b/>
          <w:sz w:val="20"/>
          <w:szCs w:val="20"/>
          <w:lang w:val="fr-CA"/>
        </w:rPr>
        <w:t xml:space="preserve"> </w:t>
      </w:r>
      <w:r w:rsidR="00BF2F22">
        <w:rPr>
          <w:b/>
          <w:sz w:val="20"/>
          <w:szCs w:val="20"/>
          <w:lang w:val="fr-CA"/>
        </w:rPr>
        <w:t>m</w:t>
      </w:r>
      <w:r>
        <w:rPr>
          <w:b/>
          <w:sz w:val="20"/>
          <w:szCs w:val="20"/>
          <w:lang w:val="fr-CA"/>
        </w:rPr>
        <w:t>a</w:t>
      </w:r>
      <w:r w:rsidRPr="00DD0B49">
        <w:rPr>
          <w:b/>
          <w:sz w:val="20"/>
          <w:szCs w:val="20"/>
          <w:lang w:val="fr-CA"/>
        </w:rPr>
        <w:t>r</w:t>
      </w:r>
      <w:r w:rsidR="00BF2F22">
        <w:rPr>
          <w:b/>
          <w:sz w:val="20"/>
          <w:szCs w:val="20"/>
          <w:lang w:val="fr-CA"/>
        </w:rPr>
        <w:t>s</w:t>
      </w:r>
      <w:r w:rsidRPr="00DD0B49">
        <w:rPr>
          <w:b/>
          <w:sz w:val="20"/>
          <w:szCs w:val="20"/>
          <w:lang w:val="fr-CA"/>
        </w:rPr>
        <w:t xml:space="preserve"> 201</w:t>
      </w:r>
      <w:r w:rsidR="00BF2F22">
        <w:rPr>
          <w:b/>
          <w:sz w:val="20"/>
          <w:szCs w:val="20"/>
          <w:lang w:val="fr-CA"/>
        </w:rPr>
        <w:t>5</w:t>
      </w:r>
      <w:r w:rsidRPr="00DD0B49">
        <w:rPr>
          <w:b/>
          <w:sz w:val="20"/>
          <w:szCs w:val="20"/>
          <w:lang w:val="fr-CA"/>
        </w:rPr>
        <w:t>.</w:t>
      </w:r>
    </w:p>
    <w:p w:rsidR="005F1ED8" w:rsidRPr="00DD0B49" w:rsidRDefault="005F1ED8" w:rsidP="005F1ED8">
      <w:pPr>
        <w:rPr>
          <w:sz w:val="20"/>
          <w:szCs w:val="20"/>
          <w:lang w:val="fr-CA"/>
        </w:rPr>
      </w:pPr>
    </w:p>
    <w:p w:rsidR="005F1ED8" w:rsidRPr="00DD0B49" w:rsidRDefault="005F1ED8" w:rsidP="005F1ED8">
      <w:pPr>
        <w:rPr>
          <w:sz w:val="20"/>
          <w:szCs w:val="20"/>
        </w:rPr>
      </w:pPr>
      <w:r w:rsidRPr="00DD0B49">
        <w:rPr>
          <w:sz w:val="20"/>
          <w:szCs w:val="20"/>
        </w:rPr>
        <w:t xml:space="preserve">The Court will not be sitting during the weeks of </w:t>
      </w:r>
      <w:r w:rsidR="00BF2F22">
        <w:rPr>
          <w:sz w:val="20"/>
          <w:szCs w:val="20"/>
        </w:rPr>
        <w:t>Ma</w:t>
      </w:r>
      <w:r>
        <w:rPr>
          <w:sz w:val="20"/>
          <w:szCs w:val="20"/>
        </w:rPr>
        <w:t>r</w:t>
      </w:r>
      <w:r w:rsidR="00BF2F22">
        <w:rPr>
          <w:sz w:val="20"/>
          <w:szCs w:val="20"/>
        </w:rPr>
        <w:t>ch</w:t>
      </w:r>
      <w:r>
        <w:rPr>
          <w:sz w:val="20"/>
          <w:szCs w:val="20"/>
        </w:rPr>
        <w:t xml:space="preserve"> </w:t>
      </w:r>
      <w:r w:rsidR="00BF2F22">
        <w:rPr>
          <w:sz w:val="20"/>
          <w:szCs w:val="20"/>
        </w:rPr>
        <w:t>2, 9</w:t>
      </w:r>
      <w:r w:rsidRPr="00DD0B49">
        <w:rPr>
          <w:sz w:val="20"/>
          <w:szCs w:val="20"/>
        </w:rPr>
        <w:t xml:space="preserve"> and </w:t>
      </w:r>
      <w:r w:rsidR="00BF2F22">
        <w:rPr>
          <w:sz w:val="20"/>
          <w:szCs w:val="20"/>
        </w:rPr>
        <w:t>30</w:t>
      </w:r>
      <w:r w:rsidRPr="00DD0B49">
        <w:rPr>
          <w:sz w:val="20"/>
          <w:szCs w:val="20"/>
        </w:rPr>
        <w:t>, 201</w:t>
      </w:r>
      <w:r w:rsidR="00BF2F22">
        <w:rPr>
          <w:sz w:val="20"/>
          <w:szCs w:val="20"/>
        </w:rPr>
        <w:t>5</w:t>
      </w:r>
      <w:r w:rsidRPr="00DD0B49">
        <w:rPr>
          <w:sz w:val="20"/>
          <w:szCs w:val="20"/>
        </w:rPr>
        <w:t>.</w:t>
      </w:r>
    </w:p>
    <w:p w:rsidR="005F1ED8" w:rsidRPr="00DD0B49" w:rsidRDefault="005F1ED8" w:rsidP="005F1ED8">
      <w:pPr>
        <w:rPr>
          <w:sz w:val="20"/>
          <w:szCs w:val="20"/>
          <w:lang w:val="fr-CA"/>
        </w:rPr>
      </w:pPr>
      <w:r w:rsidRPr="00DD0B49">
        <w:rPr>
          <w:sz w:val="20"/>
          <w:szCs w:val="20"/>
          <w:lang w:val="fr-CA"/>
        </w:rPr>
        <w:t xml:space="preserve">La Cour ne siègera pas pendant les semaines du </w:t>
      </w:r>
      <w:r w:rsidR="00BF2F22">
        <w:rPr>
          <w:sz w:val="20"/>
          <w:szCs w:val="20"/>
          <w:lang w:val="fr-CA"/>
        </w:rPr>
        <w:t>2, 9</w:t>
      </w:r>
      <w:r w:rsidRPr="00DD0B49">
        <w:rPr>
          <w:sz w:val="20"/>
          <w:szCs w:val="20"/>
          <w:lang w:val="fr-CA"/>
        </w:rPr>
        <w:t xml:space="preserve"> et </w:t>
      </w:r>
      <w:r w:rsidR="00BF2F22">
        <w:rPr>
          <w:sz w:val="20"/>
          <w:szCs w:val="20"/>
          <w:lang w:val="fr-CA"/>
        </w:rPr>
        <w:t>30</w:t>
      </w:r>
      <w:r w:rsidRPr="00DD0B49">
        <w:rPr>
          <w:sz w:val="20"/>
          <w:szCs w:val="20"/>
          <w:lang w:val="fr-CA"/>
        </w:rPr>
        <w:t xml:space="preserve"> </w:t>
      </w:r>
      <w:r w:rsidR="00BF2F22">
        <w:rPr>
          <w:sz w:val="20"/>
          <w:szCs w:val="20"/>
          <w:lang w:val="fr-CA"/>
        </w:rPr>
        <w:t>m</w:t>
      </w:r>
      <w:r>
        <w:rPr>
          <w:sz w:val="20"/>
          <w:szCs w:val="20"/>
          <w:lang w:val="fr-CA"/>
        </w:rPr>
        <w:t>ar</w:t>
      </w:r>
      <w:r w:rsidR="00BF2F22">
        <w:rPr>
          <w:sz w:val="20"/>
          <w:szCs w:val="20"/>
          <w:lang w:val="fr-CA"/>
        </w:rPr>
        <w:t>s</w:t>
      </w:r>
      <w:r w:rsidRPr="00DD0B49">
        <w:rPr>
          <w:sz w:val="20"/>
          <w:szCs w:val="20"/>
          <w:lang w:val="fr-CA"/>
        </w:rPr>
        <w:t xml:space="preserve"> 201</w:t>
      </w:r>
      <w:r w:rsidR="00BF2F22">
        <w:rPr>
          <w:sz w:val="20"/>
          <w:szCs w:val="20"/>
          <w:lang w:val="fr-CA"/>
        </w:rPr>
        <w:t>5</w:t>
      </w:r>
      <w:r w:rsidRPr="00DD0B49">
        <w:rPr>
          <w:sz w:val="20"/>
          <w:szCs w:val="20"/>
          <w:lang w:val="fr-CA"/>
        </w:rPr>
        <w:t>.</w:t>
      </w:r>
    </w:p>
    <w:p w:rsidR="004B66B4" w:rsidRPr="00DD0B49" w:rsidRDefault="003A60BB" w:rsidP="004B66B4">
      <w:pPr>
        <w:rPr>
          <w:sz w:val="20"/>
          <w:szCs w:val="20"/>
        </w:rPr>
      </w:pPr>
      <w:r>
        <w:rPr>
          <w:sz w:val="20"/>
          <w:szCs w:val="20"/>
        </w:rPr>
        <w:pict>
          <v:rect id="_x0000_i1085"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5F1ED8" w:rsidRPr="00560020" w:rsidTr="005F1ED8">
        <w:trPr>
          <w:cantSplit/>
        </w:trPr>
        <w:tc>
          <w:tcPr>
            <w:tcW w:w="2398" w:type="dxa"/>
          </w:tcPr>
          <w:p w:rsidR="005F1ED8" w:rsidRPr="003A74F5" w:rsidRDefault="005F1ED8" w:rsidP="005F1ED8">
            <w:pPr>
              <w:rPr>
                <w:rFonts w:eastAsia="Calibri" w:cs="Times New Roman"/>
                <w:sz w:val="20"/>
                <w:szCs w:val="20"/>
              </w:rPr>
            </w:pPr>
            <w:r w:rsidRPr="003A74F5">
              <w:rPr>
                <w:rFonts w:eastAsia="Calibri" w:cs="Times New Roman"/>
                <w:sz w:val="20"/>
                <w:szCs w:val="20"/>
              </w:rPr>
              <w:t>DATE OF HEARING /</w:t>
            </w:r>
          </w:p>
          <w:p w:rsidR="005F1ED8" w:rsidRPr="003A74F5" w:rsidRDefault="005F1ED8" w:rsidP="005F1ED8">
            <w:pPr>
              <w:rPr>
                <w:rFonts w:eastAsia="Calibri" w:cs="Times New Roman"/>
                <w:sz w:val="20"/>
                <w:szCs w:val="20"/>
              </w:rPr>
            </w:pPr>
            <w:r w:rsidRPr="003A74F5">
              <w:rPr>
                <w:rFonts w:eastAsia="Calibri" w:cs="Times New Roman"/>
                <w:sz w:val="20"/>
                <w:szCs w:val="20"/>
              </w:rPr>
              <w:t>DATE D’AUDITION</w:t>
            </w:r>
          </w:p>
        </w:tc>
        <w:tc>
          <w:tcPr>
            <w:tcW w:w="7178" w:type="dxa"/>
          </w:tcPr>
          <w:p w:rsidR="005F1ED8" w:rsidRPr="003A74F5" w:rsidRDefault="005F1ED8" w:rsidP="005F1ED8">
            <w:pPr>
              <w:rPr>
                <w:rFonts w:eastAsia="Calibri" w:cs="Times New Roman"/>
                <w:sz w:val="20"/>
                <w:szCs w:val="20"/>
                <w:lang w:val="fr-CA"/>
              </w:rPr>
            </w:pPr>
            <w:r w:rsidRPr="003A74F5">
              <w:rPr>
                <w:rFonts w:eastAsia="Calibri" w:cs="Times New Roman"/>
                <w:sz w:val="20"/>
                <w:szCs w:val="20"/>
                <w:lang w:val="fr-CA"/>
              </w:rPr>
              <w:t>NAME AND CASE NUMBER /</w:t>
            </w:r>
          </w:p>
          <w:p w:rsidR="005F1ED8" w:rsidRDefault="005F1ED8" w:rsidP="005F1ED8">
            <w:pPr>
              <w:rPr>
                <w:sz w:val="20"/>
                <w:szCs w:val="20"/>
                <w:lang w:val="fr-CA"/>
              </w:rPr>
            </w:pPr>
            <w:r w:rsidRPr="003A74F5">
              <w:rPr>
                <w:rFonts w:eastAsia="Calibri" w:cs="Times New Roman"/>
                <w:sz w:val="20"/>
                <w:szCs w:val="20"/>
                <w:lang w:val="fr-CA"/>
              </w:rPr>
              <w:t>NOM DE LA CAUSE ET NUMÉRO</w:t>
            </w:r>
          </w:p>
          <w:p w:rsidR="005F1ED8" w:rsidRPr="003A74F5" w:rsidRDefault="005F1ED8" w:rsidP="005F1ED8">
            <w:pPr>
              <w:rPr>
                <w:rFonts w:eastAsia="Calibri" w:cs="Times New Roman"/>
                <w:sz w:val="20"/>
                <w:szCs w:val="20"/>
                <w:lang w:val="fr-CA"/>
              </w:rPr>
            </w:pPr>
          </w:p>
        </w:tc>
      </w:tr>
      <w:tr w:rsidR="005F1ED8" w:rsidRPr="003A74F5" w:rsidTr="005F1ED8">
        <w:trPr>
          <w:cantSplit/>
          <w:trHeight w:hRule="exact" w:val="648"/>
        </w:trPr>
        <w:tc>
          <w:tcPr>
            <w:tcW w:w="2398" w:type="dxa"/>
          </w:tcPr>
          <w:p w:rsidR="005F1ED8" w:rsidRPr="003A74F5" w:rsidRDefault="005F1ED8" w:rsidP="00BF2F22">
            <w:pPr>
              <w:rPr>
                <w:rFonts w:eastAsia="Calibri" w:cs="Times New Roman"/>
                <w:sz w:val="20"/>
                <w:szCs w:val="20"/>
              </w:rPr>
            </w:pPr>
            <w:r>
              <w:rPr>
                <w:rFonts w:eastAsia="Calibri" w:cs="Times New Roman"/>
                <w:sz w:val="20"/>
                <w:szCs w:val="20"/>
              </w:rPr>
              <w:t>201</w:t>
            </w:r>
            <w:r w:rsidR="00BF2F22">
              <w:rPr>
                <w:rFonts w:eastAsia="Calibri" w:cs="Times New Roman"/>
                <w:sz w:val="20"/>
                <w:szCs w:val="20"/>
              </w:rPr>
              <w:t>5</w:t>
            </w:r>
            <w:r w:rsidRPr="003A74F5">
              <w:rPr>
                <w:rFonts w:eastAsia="Calibri" w:cs="Times New Roman"/>
                <w:sz w:val="20"/>
                <w:szCs w:val="20"/>
              </w:rPr>
              <w:t>-</w:t>
            </w:r>
            <w:r>
              <w:rPr>
                <w:rFonts w:eastAsia="Calibri" w:cs="Times New Roman"/>
                <w:sz w:val="20"/>
                <w:szCs w:val="20"/>
              </w:rPr>
              <w:t>0</w:t>
            </w:r>
            <w:r w:rsidR="00BF2F22">
              <w:rPr>
                <w:rFonts w:eastAsia="Calibri" w:cs="Times New Roman"/>
                <w:sz w:val="20"/>
                <w:szCs w:val="20"/>
              </w:rPr>
              <w:t>3</w:t>
            </w:r>
            <w:r w:rsidRPr="003A74F5">
              <w:rPr>
                <w:rFonts w:eastAsia="Calibri" w:cs="Times New Roman"/>
                <w:sz w:val="20"/>
                <w:szCs w:val="20"/>
              </w:rPr>
              <w:t>-</w:t>
            </w:r>
            <w:r>
              <w:rPr>
                <w:rFonts w:eastAsia="Calibri" w:cs="Times New Roman"/>
                <w:sz w:val="20"/>
                <w:szCs w:val="20"/>
              </w:rPr>
              <w:t>1</w:t>
            </w:r>
            <w:r w:rsidR="00BF2F22">
              <w:rPr>
                <w:rFonts w:eastAsia="Calibri" w:cs="Times New Roman"/>
                <w:sz w:val="20"/>
                <w:szCs w:val="20"/>
              </w:rPr>
              <w:t>6</w:t>
            </w:r>
          </w:p>
        </w:tc>
        <w:tc>
          <w:tcPr>
            <w:tcW w:w="7178" w:type="dxa"/>
          </w:tcPr>
          <w:p w:rsidR="005F1ED8" w:rsidRPr="003A74F5" w:rsidRDefault="00BF2F22" w:rsidP="001D3E70">
            <w:pPr>
              <w:jc w:val="both"/>
              <w:rPr>
                <w:rFonts w:eastAsia="Calibri" w:cs="Times New Roman"/>
                <w:sz w:val="20"/>
                <w:szCs w:val="20"/>
              </w:rPr>
            </w:pPr>
            <w:r>
              <w:rPr>
                <w:rFonts w:eastAsia="Calibri" w:cs="Times New Roman"/>
                <w:i/>
                <w:sz w:val="20"/>
                <w:szCs w:val="20"/>
              </w:rPr>
              <w:t>C</w:t>
            </w:r>
            <w:r w:rsidR="005F1ED8">
              <w:rPr>
                <w:rFonts w:eastAsia="Calibri" w:cs="Times New Roman"/>
                <w:i/>
                <w:sz w:val="20"/>
                <w:szCs w:val="20"/>
              </w:rPr>
              <w:t>a</w:t>
            </w:r>
            <w:r>
              <w:rPr>
                <w:rFonts w:eastAsia="Calibri" w:cs="Times New Roman"/>
                <w:i/>
                <w:sz w:val="20"/>
                <w:szCs w:val="20"/>
              </w:rPr>
              <w:t>nadian Bro</w:t>
            </w:r>
            <w:r w:rsidR="005F1ED8">
              <w:rPr>
                <w:rFonts w:eastAsia="Calibri" w:cs="Times New Roman"/>
                <w:i/>
                <w:sz w:val="20"/>
                <w:szCs w:val="20"/>
              </w:rPr>
              <w:t>a</w:t>
            </w:r>
            <w:r>
              <w:rPr>
                <w:rFonts w:eastAsia="Calibri" w:cs="Times New Roman"/>
                <w:i/>
                <w:sz w:val="20"/>
                <w:szCs w:val="20"/>
              </w:rPr>
              <w:t>d</w:t>
            </w:r>
            <w:r w:rsidR="001D3E70">
              <w:rPr>
                <w:rFonts w:eastAsia="Calibri" w:cs="Times New Roman"/>
                <w:i/>
                <w:sz w:val="20"/>
                <w:szCs w:val="20"/>
              </w:rPr>
              <w:t>casting Corporation / Société Radio-Canada</w:t>
            </w:r>
            <w:r w:rsidR="005F1ED8">
              <w:rPr>
                <w:rFonts w:eastAsia="Calibri" w:cs="Times New Roman"/>
                <w:i/>
                <w:sz w:val="20"/>
                <w:szCs w:val="20"/>
              </w:rPr>
              <w:t xml:space="preserve"> </w:t>
            </w:r>
            <w:r w:rsidR="005F1ED8" w:rsidRPr="003A74F5">
              <w:rPr>
                <w:rFonts w:eastAsia="Calibri" w:cs="Times New Roman"/>
                <w:i/>
                <w:sz w:val="20"/>
                <w:szCs w:val="20"/>
              </w:rPr>
              <w:t xml:space="preserve">v. </w:t>
            </w:r>
            <w:r w:rsidR="001D3E70">
              <w:rPr>
                <w:rFonts w:eastAsia="Calibri" w:cs="Times New Roman"/>
                <w:i/>
                <w:sz w:val="20"/>
                <w:szCs w:val="20"/>
              </w:rPr>
              <w:t>SODRAC 2003 Inc. e</w:t>
            </w:r>
            <w:r w:rsidR="005F1ED8">
              <w:rPr>
                <w:rFonts w:eastAsia="Calibri" w:cs="Times New Roman"/>
                <w:i/>
                <w:sz w:val="20"/>
                <w:szCs w:val="20"/>
              </w:rPr>
              <w:t>t</w:t>
            </w:r>
            <w:r w:rsidR="001D3E70">
              <w:rPr>
                <w:rFonts w:eastAsia="Calibri" w:cs="Times New Roman"/>
                <w:i/>
                <w:sz w:val="20"/>
                <w:szCs w:val="20"/>
              </w:rPr>
              <w:t> </w:t>
            </w:r>
            <w:r w:rsidR="005F1ED8">
              <w:rPr>
                <w:rFonts w:eastAsia="Calibri" w:cs="Times New Roman"/>
                <w:i/>
                <w:sz w:val="20"/>
                <w:szCs w:val="20"/>
              </w:rPr>
              <w:t>al</w:t>
            </w:r>
            <w:r w:rsidR="001D3E70">
              <w:rPr>
                <w:rFonts w:eastAsia="Calibri" w:cs="Times New Roman"/>
                <w:i/>
                <w:sz w:val="20"/>
                <w:szCs w:val="20"/>
              </w:rPr>
              <w:t>.</w:t>
            </w:r>
            <w:r w:rsidR="005F1ED8">
              <w:rPr>
                <w:rFonts w:eastAsia="Calibri" w:cs="Times New Roman"/>
                <w:i/>
                <w:sz w:val="20"/>
                <w:szCs w:val="20"/>
              </w:rPr>
              <w:t xml:space="preserve"> </w:t>
            </w:r>
            <w:r w:rsidR="005F1ED8" w:rsidRPr="003A74F5">
              <w:rPr>
                <w:rFonts w:eastAsia="Calibri" w:cs="Times New Roman"/>
                <w:sz w:val="20"/>
                <w:szCs w:val="20"/>
              </w:rPr>
              <w:t>(</w:t>
            </w:r>
            <w:r w:rsidR="001D3E70">
              <w:rPr>
                <w:rFonts w:eastAsia="Calibri" w:cs="Times New Roman"/>
                <w:sz w:val="20"/>
                <w:szCs w:val="20"/>
              </w:rPr>
              <w:t>F</w:t>
            </w:r>
            <w:r w:rsidR="005F1ED8">
              <w:rPr>
                <w:rFonts w:eastAsia="Calibri" w:cs="Times New Roman"/>
                <w:sz w:val="20"/>
                <w:szCs w:val="20"/>
              </w:rPr>
              <w:t>.C</w:t>
            </w:r>
            <w:r w:rsidR="005F1ED8" w:rsidRPr="003A74F5">
              <w:rPr>
                <w:rFonts w:eastAsia="Calibri" w:cs="Times New Roman"/>
                <w:sz w:val="20"/>
                <w:szCs w:val="20"/>
              </w:rPr>
              <w:t>.) (Ci</w:t>
            </w:r>
            <w:r w:rsidR="005F1ED8">
              <w:rPr>
                <w:rFonts w:eastAsia="Calibri" w:cs="Times New Roman"/>
                <w:sz w:val="20"/>
                <w:szCs w:val="20"/>
              </w:rPr>
              <w:t>v</w:t>
            </w:r>
            <w:r w:rsidR="005F1ED8" w:rsidRPr="003A74F5">
              <w:rPr>
                <w:rFonts w:eastAsia="Calibri" w:cs="Times New Roman"/>
                <w:sz w:val="20"/>
                <w:szCs w:val="20"/>
              </w:rPr>
              <w:t>il) (By Leave) (3</w:t>
            </w:r>
            <w:r w:rsidR="005F1ED8">
              <w:rPr>
                <w:rFonts w:eastAsia="Calibri" w:cs="Times New Roman"/>
                <w:sz w:val="20"/>
                <w:szCs w:val="20"/>
              </w:rPr>
              <w:t>5</w:t>
            </w:r>
            <w:r w:rsidR="001D3E70">
              <w:rPr>
                <w:rFonts w:eastAsia="Calibri" w:cs="Times New Roman"/>
                <w:sz w:val="20"/>
                <w:szCs w:val="20"/>
              </w:rPr>
              <w:t>9</w:t>
            </w:r>
            <w:r w:rsidR="005F1ED8">
              <w:rPr>
                <w:rFonts w:eastAsia="Calibri" w:cs="Times New Roman"/>
                <w:sz w:val="20"/>
                <w:szCs w:val="20"/>
              </w:rPr>
              <w:t>1</w:t>
            </w:r>
            <w:r w:rsidR="001D3E70">
              <w:rPr>
                <w:rFonts w:eastAsia="Calibri" w:cs="Times New Roman"/>
                <w:sz w:val="20"/>
                <w:szCs w:val="20"/>
              </w:rPr>
              <w:t>8</w:t>
            </w:r>
            <w:r w:rsidR="005F1ED8" w:rsidRPr="003A74F5">
              <w:rPr>
                <w:rFonts w:eastAsia="Calibri" w:cs="Times New Roman"/>
                <w:sz w:val="20"/>
                <w:szCs w:val="20"/>
              </w:rPr>
              <w:t>)</w:t>
            </w:r>
          </w:p>
        </w:tc>
      </w:tr>
      <w:tr w:rsidR="005F1ED8" w:rsidRPr="003A74F5" w:rsidTr="005F1ED8">
        <w:trPr>
          <w:cantSplit/>
          <w:trHeight w:hRule="exact" w:val="648"/>
        </w:trPr>
        <w:tc>
          <w:tcPr>
            <w:tcW w:w="2398" w:type="dxa"/>
          </w:tcPr>
          <w:p w:rsidR="005F1ED8" w:rsidRPr="003A74F5" w:rsidRDefault="005F1ED8" w:rsidP="00BF2F22">
            <w:pPr>
              <w:rPr>
                <w:rFonts w:eastAsia="Calibri" w:cs="Times New Roman"/>
                <w:sz w:val="20"/>
                <w:szCs w:val="20"/>
              </w:rPr>
            </w:pPr>
            <w:r>
              <w:rPr>
                <w:rFonts w:eastAsia="Calibri" w:cs="Times New Roman"/>
                <w:sz w:val="20"/>
                <w:szCs w:val="20"/>
              </w:rPr>
              <w:t>201</w:t>
            </w:r>
            <w:r w:rsidR="00BF2F22">
              <w:rPr>
                <w:rFonts w:eastAsia="Calibri" w:cs="Times New Roman"/>
                <w:sz w:val="20"/>
                <w:szCs w:val="20"/>
              </w:rPr>
              <w:t>5</w:t>
            </w:r>
            <w:r w:rsidRPr="003A74F5">
              <w:rPr>
                <w:rFonts w:eastAsia="Calibri" w:cs="Times New Roman"/>
                <w:sz w:val="20"/>
                <w:szCs w:val="20"/>
              </w:rPr>
              <w:t>-</w:t>
            </w:r>
            <w:r>
              <w:rPr>
                <w:rFonts w:eastAsia="Calibri" w:cs="Times New Roman"/>
                <w:sz w:val="20"/>
                <w:szCs w:val="20"/>
              </w:rPr>
              <w:t>0</w:t>
            </w:r>
            <w:r w:rsidR="00BF2F22">
              <w:rPr>
                <w:rFonts w:eastAsia="Calibri" w:cs="Times New Roman"/>
                <w:sz w:val="20"/>
                <w:szCs w:val="20"/>
              </w:rPr>
              <w:t>3</w:t>
            </w:r>
            <w:r w:rsidRPr="003A74F5">
              <w:rPr>
                <w:rFonts w:eastAsia="Calibri" w:cs="Times New Roman"/>
                <w:sz w:val="20"/>
                <w:szCs w:val="20"/>
              </w:rPr>
              <w:t>-</w:t>
            </w:r>
            <w:r>
              <w:rPr>
                <w:rFonts w:eastAsia="Calibri" w:cs="Times New Roman"/>
                <w:sz w:val="20"/>
                <w:szCs w:val="20"/>
              </w:rPr>
              <w:t>1</w:t>
            </w:r>
            <w:r w:rsidR="00BF2F22">
              <w:rPr>
                <w:rFonts w:eastAsia="Calibri" w:cs="Times New Roman"/>
                <w:sz w:val="20"/>
                <w:szCs w:val="20"/>
              </w:rPr>
              <w:t>7</w:t>
            </w:r>
          </w:p>
        </w:tc>
        <w:tc>
          <w:tcPr>
            <w:tcW w:w="7178" w:type="dxa"/>
          </w:tcPr>
          <w:p w:rsidR="005F1ED8" w:rsidRPr="003A74F5" w:rsidRDefault="005F1ED8" w:rsidP="001D3E70">
            <w:pPr>
              <w:jc w:val="both"/>
              <w:rPr>
                <w:rFonts w:eastAsia="Calibri" w:cs="Times New Roman"/>
                <w:sz w:val="20"/>
                <w:szCs w:val="20"/>
              </w:rPr>
            </w:pPr>
            <w:r>
              <w:rPr>
                <w:rFonts w:eastAsia="Calibri" w:cs="Times New Roman"/>
                <w:i/>
                <w:sz w:val="20"/>
                <w:szCs w:val="20"/>
              </w:rPr>
              <w:t>M</w:t>
            </w:r>
            <w:r w:rsidR="001D3E70">
              <w:rPr>
                <w:rFonts w:eastAsia="Calibri" w:cs="Times New Roman"/>
                <w:i/>
                <w:sz w:val="20"/>
                <w:szCs w:val="20"/>
              </w:rPr>
              <w:t>.</w:t>
            </w:r>
            <w:r>
              <w:rPr>
                <w:rFonts w:eastAsia="Calibri" w:cs="Times New Roman"/>
                <w:i/>
                <w:sz w:val="20"/>
                <w:szCs w:val="20"/>
              </w:rPr>
              <w:t>M</w:t>
            </w:r>
            <w:r w:rsidR="001D3E70">
              <w:rPr>
                <w:rFonts w:eastAsia="Calibri" w:cs="Times New Roman"/>
                <w:i/>
                <w:sz w:val="20"/>
                <w:szCs w:val="20"/>
              </w:rPr>
              <w:t>.</w:t>
            </w:r>
            <w:r w:rsidR="00197EBF">
              <w:rPr>
                <w:rFonts w:eastAsia="Calibri" w:cs="Times New Roman"/>
                <w:i/>
                <w:sz w:val="20"/>
                <w:szCs w:val="20"/>
              </w:rPr>
              <w:t xml:space="preserve"> a.k.a. M.M.M.</w:t>
            </w:r>
            <w:r>
              <w:rPr>
                <w:rFonts w:eastAsia="Calibri" w:cs="Times New Roman"/>
                <w:i/>
                <w:sz w:val="20"/>
                <w:szCs w:val="20"/>
              </w:rPr>
              <w:t xml:space="preserve"> </w:t>
            </w:r>
            <w:r w:rsidRPr="003A74F5">
              <w:rPr>
                <w:rFonts w:eastAsia="Calibri" w:cs="Times New Roman"/>
                <w:i/>
                <w:sz w:val="20"/>
                <w:szCs w:val="20"/>
              </w:rPr>
              <w:t xml:space="preserve">v. </w:t>
            </w:r>
            <w:r w:rsidR="001D3E70">
              <w:rPr>
                <w:rFonts w:eastAsia="Calibri" w:cs="Times New Roman"/>
                <w:i/>
                <w:sz w:val="20"/>
                <w:szCs w:val="20"/>
              </w:rPr>
              <w:t>Minist</w:t>
            </w:r>
            <w:r w:rsidRPr="003A74F5">
              <w:rPr>
                <w:rFonts w:eastAsia="Calibri" w:cs="Times New Roman"/>
                <w:i/>
                <w:sz w:val="20"/>
                <w:szCs w:val="20"/>
              </w:rPr>
              <w:t xml:space="preserve">er </w:t>
            </w:r>
            <w:r w:rsidR="001D3E70">
              <w:rPr>
                <w:rFonts w:eastAsia="Calibri" w:cs="Times New Roman"/>
                <w:i/>
                <w:sz w:val="20"/>
                <w:szCs w:val="20"/>
              </w:rPr>
              <w:t>of Ju</w:t>
            </w:r>
            <w:r w:rsidRPr="003A74F5">
              <w:rPr>
                <w:rFonts w:eastAsia="Calibri" w:cs="Times New Roman"/>
                <w:i/>
                <w:sz w:val="20"/>
                <w:szCs w:val="20"/>
              </w:rPr>
              <w:t>st</w:t>
            </w:r>
            <w:r w:rsidR="001D3E70">
              <w:rPr>
                <w:rFonts w:eastAsia="Calibri" w:cs="Times New Roman"/>
                <w:i/>
                <w:sz w:val="20"/>
                <w:szCs w:val="20"/>
              </w:rPr>
              <w:t>ice Canada on behalf of t</w:t>
            </w:r>
            <w:r w:rsidRPr="003A74F5">
              <w:rPr>
                <w:rFonts w:eastAsia="Calibri" w:cs="Times New Roman"/>
                <w:i/>
                <w:sz w:val="20"/>
                <w:szCs w:val="20"/>
              </w:rPr>
              <w:t xml:space="preserve">he </w:t>
            </w:r>
            <w:r w:rsidR="001D3E70">
              <w:rPr>
                <w:rFonts w:eastAsia="Calibri" w:cs="Times New Roman"/>
                <w:i/>
                <w:sz w:val="20"/>
                <w:szCs w:val="20"/>
              </w:rPr>
              <w:t>United States of Am</w:t>
            </w:r>
            <w:r w:rsidRPr="003A74F5">
              <w:rPr>
                <w:rFonts w:eastAsia="Calibri" w:cs="Times New Roman"/>
                <w:i/>
                <w:sz w:val="20"/>
                <w:szCs w:val="20"/>
              </w:rPr>
              <w:t>e</w:t>
            </w:r>
            <w:r w:rsidR="001D3E70">
              <w:rPr>
                <w:rFonts w:eastAsia="Calibri" w:cs="Times New Roman"/>
                <w:i/>
                <w:sz w:val="20"/>
                <w:szCs w:val="20"/>
              </w:rPr>
              <w:t>rica</w:t>
            </w:r>
            <w:r w:rsidRPr="003A74F5">
              <w:rPr>
                <w:rFonts w:eastAsia="Calibri" w:cs="Times New Roman"/>
                <w:sz w:val="20"/>
                <w:szCs w:val="20"/>
              </w:rPr>
              <w:t xml:space="preserve"> (</w:t>
            </w:r>
            <w:r w:rsidR="001D3E70">
              <w:rPr>
                <w:rFonts w:eastAsia="Calibri" w:cs="Times New Roman"/>
                <w:sz w:val="20"/>
                <w:szCs w:val="20"/>
              </w:rPr>
              <w:t>Que</w:t>
            </w:r>
            <w:r w:rsidRPr="003A74F5">
              <w:rPr>
                <w:rFonts w:eastAsia="Calibri" w:cs="Times New Roman"/>
                <w:sz w:val="20"/>
                <w:szCs w:val="20"/>
              </w:rPr>
              <w:t>.) (Criminal) (</w:t>
            </w:r>
            <w:r>
              <w:rPr>
                <w:rFonts w:eastAsia="Calibri" w:cs="Times New Roman"/>
                <w:sz w:val="20"/>
                <w:szCs w:val="20"/>
              </w:rPr>
              <w:t>By Leave</w:t>
            </w:r>
            <w:r w:rsidRPr="003A74F5">
              <w:rPr>
                <w:rFonts w:eastAsia="Calibri" w:cs="Times New Roman"/>
                <w:sz w:val="20"/>
                <w:szCs w:val="20"/>
              </w:rPr>
              <w:t>) (3</w:t>
            </w:r>
            <w:r>
              <w:rPr>
                <w:rFonts w:eastAsia="Calibri" w:cs="Times New Roman"/>
                <w:sz w:val="20"/>
                <w:szCs w:val="20"/>
              </w:rPr>
              <w:t>5</w:t>
            </w:r>
            <w:r w:rsidR="001D3E70">
              <w:rPr>
                <w:rFonts w:eastAsia="Calibri" w:cs="Times New Roman"/>
                <w:sz w:val="20"/>
                <w:szCs w:val="20"/>
              </w:rPr>
              <w:t>8</w:t>
            </w:r>
            <w:r>
              <w:rPr>
                <w:rFonts w:eastAsia="Calibri" w:cs="Times New Roman"/>
                <w:sz w:val="20"/>
                <w:szCs w:val="20"/>
              </w:rPr>
              <w:t>3</w:t>
            </w:r>
            <w:r w:rsidR="001D3E70">
              <w:rPr>
                <w:rFonts w:eastAsia="Calibri" w:cs="Times New Roman"/>
                <w:sz w:val="20"/>
                <w:szCs w:val="20"/>
              </w:rPr>
              <w:t>8</w:t>
            </w:r>
            <w:r w:rsidRPr="003A74F5">
              <w:rPr>
                <w:rFonts w:eastAsia="Calibri" w:cs="Times New Roman"/>
                <w:sz w:val="20"/>
                <w:szCs w:val="20"/>
              </w:rPr>
              <w:t>)</w:t>
            </w:r>
          </w:p>
        </w:tc>
      </w:tr>
      <w:tr w:rsidR="005F1ED8" w:rsidRPr="002A44EA" w:rsidTr="005F1ED8">
        <w:trPr>
          <w:cantSplit/>
          <w:trHeight w:hRule="exact" w:val="648"/>
        </w:trPr>
        <w:tc>
          <w:tcPr>
            <w:tcW w:w="2398" w:type="dxa"/>
          </w:tcPr>
          <w:p w:rsidR="005F1ED8" w:rsidRPr="003A74F5" w:rsidRDefault="001D3E70" w:rsidP="005F1ED8">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03</w:t>
            </w:r>
            <w:r w:rsidRPr="003A74F5">
              <w:rPr>
                <w:rFonts w:eastAsia="Calibri" w:cs="Times New Roman"/>
                <w:sz w:val="20"/>
                <w:szCs w:val="20"/>
              </w:rPr>
              <w:t>-</w:t>
            </w:r>
            <w:r>
              <w:rPr>
                <w:rFonts w:eastAsia="Calibri" w:cs="Times New Roman"/>
                <w:sz w:val="20"/>
                <w:szCs w:val="20"/>
              </w:rPr>
              <w:t>18</w:t>
            </w:r>
          </w:p>
        </w:tc>
        <w:tc>
          <w:tcPr>
            <w:tcW w:w="7178" w:type="dxa"/>
          </w:tcPr>
          <w:p w:rsidR="005F1ED8" w:rsidRPr="002A44EA" w:rsidRDefault="002A44EA" w:rsidP="002A44EA">
            <w:pPr>
              <w:jc w:val="both"/>
              <w:rPr>
                <w:rFonts w:eastAsia="Calibri" w:cs="Times New Roman"/>
                <w:sz w:val="20"/>
                <w:szCs w:val="20"/>
                <w:lang w:val="fr-CA"/>
              </w:rPr>
            </w:pPr>
            <w:r w:rsidRPr="00560020">
              <w:rPr>
                <w:rFonts w:eastAsia="Calibri" w:cs="Times New Roman"/>
                <w:i/>
                <w:sz w:val="20"/>
                <w:szCs w:val="20"/>
                <w:lang w:val="fr-CA"/>
              </w:rPr>
              <w:t xml:space="preserve">Société en commandite Place Mullins </w:t>
            </w:r>
            <w:r w:rsidR="005F1ED8" w:rsidRPr="00560020">
              <w:rPr>
                <w:rFonts w:eastAsia="Calibri" w:cs="Times New Roman"/>
                <w:i/>
                <w:sz w:val="20"/>
                <w:szCs w:val="20"/>
                <w:lang w:val="fr-CA"/>
              </w:rPr>
              <w:t>et a</w:t>
            </w:r>
            <w:r w:rsidRPr="00560020">
              <w:rPr>
                <w:rFonts w:eastAsia="Calibri" w:cs="Times New Roman"/>
                <w:i/>
                <w:sz w:val="20"/>
                <w:szCs w:val="20"/>
                <w:lang w:val="fr-CA"/>
              </w:rPr>
              <w:t>utre</w:t>
            </w:r>
            <w:r w:rsidR="005F1ED8" w:rsidRPr="00560020">
              <w:rPr>
                <w:rFonts w:eastAsia="Calibri" w:cs="Times New Roman"/>
                <w:i/>
                <w:sz w:val="20"/>
                <w:szCs w:val="20"/>
                <w:lang w:val="fr-CA"/>
              </w:rPr>
              <w:t xml:space="preserve"> </w:t>
            </w:r>
            <w:r w:rsidRPr="00560020">
              <w:rPr>
                <w:rFonts w:eastAsia="Calibri" w:cs="Times New Roman"/>
                <w:i/>
                <w:sz w:val="20"/>
                <w:szCs w:val="20"/>
                <w:lang w:val="fr-CA"/>
              </w:rPr>
              <w:t>c</w:t>
            </w:r>
            <w:r w:rsidR="005F1ED8" w:rsidRPr="00560020">
              <w:rPr>
                <w:rFonts w:eastAsia="Calibri" w:cs="Times New Roman"/>
                <w:i/>
                <w:sz w:val="20"/>
                <w:szCs w:val="20"/>
                <w:lang w:val="fr-CA"/>
              </w:rPr>
              <w:t xml:space="preserve">. </w:t>
            </w:r>
            <w:r w:rsidRPr="00560020">
              <w:rPr>
                <w:rFonts w:eastAsia="Calibri" w:cs="Times New Roman"/>
                <w:i/>
                <w:sz w:val="20"/>
                <w:szCs w:val="20"/>
                <w:lang w:val="fr-CA"/>
              </w:rPr>
              <w:t>Se</w:t>
            </w:r>
            <w:r w:rsidR="005F1ED8" w:rsidRPr="00560020">
              <w:rPr>
                <w:rFonts w:eastAsia="Calibri" w:cs="Times New Roman"/>
                <w:i/>
                <w:sz w:val="20"/>
                <w:szCs w:val="20"/>
                <w:lang w:val="fr-CA"/>
              </w:rPr>
              <w:t>r</w:t>
            </w:r>
            <w:r w:rsidRPr="00560020">
              <w:rPr>
                <w:rFonts w:eastAsia="Calibri" w:cs="Times New Roman"/>
                <w:i/>
                <w:sz w:val="20"/>
                <w:szCs w:val="20"/>
                <w:lang w:val="fr-CA"/>
              </w:rPr>
              <w:t>vic</w:t>
            </w:r>
            <w:r w:rsidR="005F1ED8" w:rsidRPr="00560020">
              <w:rPr>
                <w:rFonts w:eastAsia="Calibri" w:cs="Times New Roman"/>
                <w:i/>
                <w:sz w:val="20"/>
                <w:szCs w:val="20"/>
                <w:lang w:val="fr-CA"/>
              </w:rPr>
              <w:t>e</w:t>
            </w:r>
            <w:r w:rsidRPr="00560020">
              <w:rPr>
                <w:rFonts w:eastAsia="Calibri" w:cs="Times New Roman"/>
                <w:i/>
                <w:sz w:val="20"/>
                <w:szCs w:val="20"/>
                <w:lang w:val="fr-CA"/>
              </w:rPr>
              <w:t>s immobiliers Dia</w:t>
            </w:r>
            <w:r w:rsidR="005F1ED8" w:rsidRPr="00560020">
              <w:rPr>
                <w:rFonts w:eastAsia="Calibri" w:cs="Times New Roman"/>
                <w:i/>
                <w:sz w:val="20"/>
                <w:szCs w:val="20"/>
                <w:lang w:val="fr-CA"/>
              </w:rPr>
              <w:t>ne</w:t>
            </w:r>
            <w:r w:rsidRPr="00560020">
              <w:rPr>
                <w:rFonts w:eastAsia="Calibri" w:cs="Times New Roman"/>
                <w:i/>
                <w:sz w:val="20"/>
                <w:szCs w:val="20"/>
                <w:lang w:val="fr-CA"/>
              </w:rPr>
              <w:t xml:space="preserve"> Bisson I</w:t>
            </w:r>
            <w:r w:rsidR="005F1ED8" w:rsidRPr="00560020">
              <w:rPr>
                <w:rFonts w:eastAsia="Calibri" w:cs="Times New Roman"/>
                <w:i/>
                <w:sz w:val="20"/>
                <w:szCs w:val="20"/>
                <w:lang w:val="fr-CA"/>
              </w:rPr>
              <w:t>nc</w:t>
            </w:r>
            <w:r w:rsidRPr="00560020">
              <w:rPr>
                <w:rFonts w:eastAsia="Calibri" w:cs="Times New Roman"/>
                <w:i/>
                <w:sz w:val="20"/>
                <w:szCs w:val="20"/>
                <w:lang w:val="fr-CA"/>
              </w:rPr>
              <w:t>.</w:t>
            </w:r>
            <w:r w:rsidR="005F1ED8" w:rsidRPr="00560020">
              <w:rPr>
                <w:rFonts w:eastAsia="Calibri" w:cs="Times New Roman"/>
                <w:sz w:val="20"/>
                <w:szCs w:val="20"/>
                <w:lang w:val="fr-CA"/>
              </w:rPr>
              <w:t xml:space="preserve"> </w:t>
            </w:r>
            <w:r w:rsidR="005F1ED8" w:rsidRPr="00197EBF">
              <w:rPr>
                <w:rFonts w:eastAsia="Calibri" w:cs="Times New Roman"/>
                <w:sz w:val="20"/>
                <w:szCs w:val="20"/>
              </w:rPr>
              <w:t>(</w:t>
            </w:r>
            <w:r w:rsidRPr="00197EBF">
              <w:rPr>
                <w:rFonts w:eastAsia="Calibri" w:cs="Times New Roman"/>
                <w:sz w:val="20"/>
                <w:szCs w:val="20"/>
              </w:rPr>
              <w:t>Qc</w:t>
            </w:r>
            <w:r w:rsidR="005F1ED8" w:rsidRPr="00197EBF">
              <w:rPr>
                <w:rFonts w:eastAsia="Calibri" w:cs="Times New Roman"/>
                <w:sz w:val="20"/>
                <w:szCs w:val="20"/>
              </w:rPr>
              <w:t>) (Ci</w:t>
            </w:r>
            <w:r w:rsidRPr="00197EBF">
              <w:rPr>
                <w:rFonts w:eastAsia="Calibri" w:cs="Times New Roman"/>
                <w:sz w:val="20"/>
                <w:szCs w:val="20"/>
              </w:rPr>
              <w:t>v</w:t>
            </w:r>
            <w:r w:rsidR="005F1ED8" w:rsidRPr="00197EBF">
              <w:rPr>
                <w:rFonts w:eastAsia="Calibri" w:cs="Times New Roman"/>
                <w:sz w:val="20"/>
                <w:szCs w:val="20"/>
              </w:rPr>
              <w:t>il</w:t>
            </w:r>
            <w:r w:rsidRPr="00197EBF">
              <w:rPr>
                <w:rFonts w:eastAsia="Calibri" w:cs="Times New Roman"/>
                <w:sz w:val="20"/>
                <w:szCs w:val="20"/>
              </w:rPr>
              <w:t>e</w:t>
            </w:r>
            <w:r w:rsidR="005F1ED8" w:rsidRPr="00197EBF">
              <w:rPr>
                <w:rFonts w:eastAsia="Calibri" w:cs="Times New Roman"/>
                <w:sz w:val="20"/>
                <w:szCs w:val="20"/>
              </w:rPr>
              <w:t>) (</w:t>
            </w:r>
            <w:r w:rsidRPr="00197EBF">
              <w:rPr>
                <w:rFonts w:eastAsia="Calibri" w:cs="Times New Roman"/>
                <w:sz w:val="20"/>
                <w:szCs w:val="20"/>
              </w:rPr>
              <w:t>Autoris</w:t>
            </w:r>
            <w:r w:rsidR="005F1ED8" w:rsidRPr="00197EBF">
              <w:rPr>
                <w:rFonts w:eastAsia="Calibri" w:cs="Times New Roman"/>
                <w:sz w:val="20"/>
                <w:szCs w:val="20"/>
              </w:rPr>
              <w:t>a</w:t>
            </w:r>
            <w:r w:rsidRPr="00197EBF">
              <w:rPr>
                <w:rFonts w:eastAsia="Calibri" w:cs="Times New Roman"/>
                <w:sz w:val="20"/>
                <w:szCs w:val="20"/>
              </w:rPr>
              <w:t>tion</w:t>
            </w:r>
            <w:r w:rsidR="005F1ED8" w:rsidRPr="00197EBF">
              <w:rPr>
                <w:rFonts w:eastAsia="Calibri" w:cs="Times New Roman"/>
                <w:sz w:val="20"/>
                <w:szCs w:val="20"/>
              </w:rPr>
              <w:t xml:space="preserve">) </w:t>
            </w:r>
            <w:r w:rsidR="005F1ED8" w:rsidRPr="002A44EA">
              <w:rPr>
                <w:rFonts w:eastAsia="Calibri" w:cs="Times New Roman"/>
                <w:sz w:val="20"/>
                <w:szCs w:val="20"/>
                <w:lang w:val="fr-CA"/>
              </w:rPr>
              <w:t>(35</w:t>
            </w:r>
            <w:r>
              <w:rPr>
                <w:rFonts w:eastAsia="Calibri" w:cs="Times New Roman"/>
                <w:sz w:val="20"/>
                <w:szCs w:val="20"/>
                <w:lang w:val="fr-CA"/>
              </w:rPr>
              <w:t>461</w:t>
            </w:r>
            <w:r w:rsidR="005F1ED8" w:rsidRPr="002A44EA">
              <w:rPr>
                <w:rFonts w:eastAsia="Calibri" w:cs="Times New Roman"/>
                <w:sz w:val="20"/>
                <w:szCs w:val="20"/>
                <w:lang w:val="fr-CA"/>
              </w:rPr>
              <w:t>)</w:t>
            </w:r>
          </w:p>
        </w:tc>
      </w:tr>
      <w:tr w:rsidR="005F1ED8" w:rsidRPr="002A44EA" w:rsidTr="005F1ED8">
        <w:trPr>
          <w:cantSplit/>
          <w:trHeight w:hRule="exact" w:val="432"/>
        </w:trPr>
        <w:tc>
          <w:tcPr>
            <w:tcW w:w="2398" w:type="dxa"/>
          </w:tcPr>
          <w:p w:rsidR="005F1ED8" w:rsidRPr="002A44EA" w:rsidRDefault="001D3E70" w:rsidP="005F1ED8">
            <w:pPr>
              <w:rPr>
                <w:rFonts w:eastAsia="Calibri" w:cs="Times New Roman"/>
                <w:sz w:val="20"/>
                <w:szCs w:val="20"/>
                <w:lang w:val="fr-CA"/>
              </w:rPr>
            </w:pPr>
            <w:r>
              <w:rPr>
                <w:rFonts w:eastAsia="Calibri" w:cs="Times New Roman"/>
                <w:sz w:val="20"/>
                <w:szCs w:val="20"/>
                <w:lang w:val="fr-CA"/>
              </w:rPr>
              <w:t>2015</w:t>
            </w:r>
            <w:r w:rsidRPr="00216AEB">
              <w:rPr>
                <w:rFonts w:eastAsia="Calibri" w:cs="Times New Roman"/>
                <w:sz w:val="20"/>
                <w:szCs w:val="20"/>
                <w:lang w:val="fr-CA"/>
              </w:rPr>
              <w:t>-</w:t>
            </w:r>
            <w:r>
              <w:rPr>
                <w:rFonts w:eastAsia="Calibri" w:cs="Times New Roman"/>
                <w:sz w:val="20"/>
                <w:szCs w:val="20"/>
                <w:lang w:val="fr-CA"/>
              </w:rPr>
              <w:t>03</w:t>
            </w:r>
            <w:r w:rsidRPr="00216AEB">
              <w:rPr>
                <w:rFonts w:eastAsia="Calibri" w:cs="Times New Roman"/>
                <w:sz w:val="20"/>
                <w:szCs w:val="20"/>
                <w:lang w:val="fr-CA"/>
              </w:rPr>
              <w:t>-</w:t>
            </w:r>
            <w:r>
              <w:rPr>
                <w:rFonts w:eastAsia="Calibri" w:cs="Times New Roman"/>
                <w:sz w:val="20"/>
                <w:szCs w:val="20"/>
                <w:lang w:val="fr-CA"/>
              </w:rPr>
              <w:t>19</w:t>
            </w:r>
          </w:p>
        </w:tc>
        <w:tc>
          <w:tcPr>
            <w:tcW w:w="7178" w:type="dxa"/>
          </w:tcPr>
          <w:p w:rsidR="005F1ED8" w:rsidRPr="002A44EA" w:rsidRDefault="002A44EA" w:rsidP="002A44EA">
            <w:pPr>
              <w:jc w:val="both"/>
              <w:rPr>
                <w:rFonts w:eastAsia="Calibri" w:cs="Times New Roman"/>
                <w:i/>
                <w:sz w:val="20"/>
                <w:szCs w:val="20"/>
                <w:lang w:val="fr-CA"/>
              </w:rPr>
            </w:pPr>
            <w:r w:rsidRPr="002A44EA">
              <w:rPr>
                <w:rFonts w:eastAsia="Calibri" w:cs="Times New Roman"/>
                <w:i/>
                <w:sz w:val="20"/>
                <w:szCs w:val="20"/>
              </w:rPr>
              <w:t>S</w:t>
            </w:r>
            <w:r w:rsidR="005F1ED8" w:rsidRPr="002A44EA">
              <w:rPr>
                <w:rFonts w:eastAsia="Calibri" w:cs="Times New Roman"/>
                <w:i/>
                <w:sz w:val="20"/>
                <w:szCs w:val="20"/>
              </w:rPr>
              <w:t>a</w:t>
            </w:r>
            <w:r w:rsidRPr="002A44EA">
              <w:rPr>
                <w:rFonts w:eastAsia="Calibri" w:cs="Times New Roman"/>
                <w:i/>
                <w:sz w:val="20"/>
                <w:szCs w:val="20"/>
              </w:rPr>
              <w:t>vdip</w:t>
            </w:r>
            <w:r w:rsidR="005F1ED8" w:rsidRPr="002A44EA">
              <w:rPr>
                <w:rFonts w:eastAsia="Calibri" w:cs="Times New Roman"/>
                <w:i/>
                <w:sz w:val="20"/>
                <w:szCs w:val="20"/>
              </w:rPr>
              <w:t xml:space="preserve"> </w:t>
            </w:r>
            <w:r w:rsidRPr="002A44EA">
              <w:rPr>
                <w:rFonts w:eastAsia="Calibri" w:cs="Times New Roman"/>
                <w:i/>
                <w:sz w:val="20"/>
                <w:szCs w:val="20"/>
              </w:rPr>
              <w:t>S</w:t>
            </w:r>
            <w:r w:rsidR="005F1ED8" w:rsidRPr="002A44EA">
              <w:rPr>
                <w:rFonts w:eastAsia="Calibri" w:cs="Times New Roman"/>
                <w:i/>
                <w:sz w:val="20"/>
                <w:szCs w:val="20"/>
              </w:rPr>
              <w:t>a</w:t>
            </w:r>
            <w:r w:rsidRPr="002A44EA">
              <w:rPr>
                <w:rFonts w:eastAsia="Calibri" w:cs="Times New Roman"/>
                <w:i/>
                <w:sz w:val="20"/>
                <w:szCs w:val="20"/>
              </w:rPr>
              <w:t>nghera</w:t>
            </w:r>
            <w:r w:rsidR="005F1ED8" w:rsidRPr="002A44EA">
              <w:rPr>
                <w:rFonts w:eastAsia="Calibri" w:cs="Times New Roman"/>
                <w:i/>
                <w:sz w:val="20"/>
                <w:szCs w:val="20"/>
              </w:rPr>
              <w:t xml:space="preserve"> v. Her Majesty the Queen </w:t>
            </w:r>
            <w:r w:rsidR="005F1ED8" w:rsidRPr="002A44EA">
              <w:rPr>
                <w:rFonts w:eastAsia="Calibri" w:cs="Times New Roman"/>
                <w:sz w:val="20"/>
                <w:szCs w:val="20"/>
              </w:rPr>
              <w:t>(</w:t>
            </w:r>
            <w:r>
              <w:rPr>
                <w:rFonts w:eastAsia="Calibri" w:cs="Times New Roman"/>
                <w:sz w:val="20"/>
                <w:szCs w:val="20"/>
              </w:rPr>
              <w:t>B.C</w:t>
            </w:r>
            <w:r w:rsidR="005F1ED8" w:rsidRPr="002A44EA">
              <w:rPr>
                <w:rFonts w:eastAsia="Calibri" w:cs="Times New Roman"/>
                <w:sz w:val="20"/>
                <w:szCs w:val="20"/>
              </w:rPr>
              <w:t xml:space="preserve">.) </w:t>
            </w:r>
            <w:r w:rsidR="005F1ED8" w:rsidRPr="002A44EA">
              <w:rPr>
                <w:rFonts w:eastAsia="Calibri" w:cs="Times New Roman"/>
                <w:sz w:val="20"/>
                <w:szCs w:val="20"/>
                <w:lang w:val="fr-CA"/>
              </w:rPr>
              <w:t>(Criminal) (As of Right) (36</w:t>
            </w:r>
            <w:r>
              <w:rPr>
                <w:rFonts w:eastAsia="Calibri" w:cs="Times New Roman"/>
                <w:sz w:val="20"/>
                <w:szCs w:val="20"/>
                <w:lang w:val="fr-CA"/>
              </w:rPr>
              <w:t>017</w:t>
            </w:r>
            <w:r w:rsidR="005F1ED8" w:rsidRPr="002A44EA">
              <w:rPr>
                <w:rFonts w:eastAsia="Calibri" w:cs="Times New Roman"/>
                <w:sz w:val="20"/>
                <w:szCs w:val="20"/>
                <w:lang w:val="fr-CA"/>
              </w:rPr>
              <w:t>)</w:t>
            </w:r>
          </w:p>
        </w:tc>
      </w:tr>
      <w:tr w:rsidR="005F1ED8" w:rsidRPr="00BF2F22" w:rsidTr="005F1ED8">
        <w:trPr>
          <w:cantSplit/>
          <w:trHeight w:hRule="exact" w:val="432"/>
        </w:trPr>
        <w:tc>
          <w:tcPr>
            <w:tcW w:w="2398" w:type="dxa"/>
          </w:tcPr>
          <w:p w:rsidR="005F1ED8" w:rsidRPr="002A44EA" w:rsidRDefault="001D3E70" w:rsidP="005F1ED8">
            <w:pPr>
              <w:rPr>
                <w:rFonts w:eastAsia="Calibri" w:cs="Times New Roman"/>
                <w:sz w:val="20"/>
                <w:szCs w:val="20"/>
                <w:lang w:val="fr-CA"/>
              </w:rPr>
            </w:pPr>
            <w:r>
              <w:rPr>
                <w:rFonts w:eastAsia="Calibri" w:cs="Times New Roman"/>
                <w:sz w:val="20"/>
                <w:szCs w:val="20"/>
                <w:lang w:val="fr-CA"/>
              </w:rPr>
              <w:t>2015</w:t>
            </w:r>
            <w:r w:rsidRPr="00216AEB">
              <w:rPr>
                <w:rFonts w:eastAsia="Calibri" w:cs="Times New Roman"/>
                <w:sz w:val="20"/>
                <w:szCs w:val="20"/>
                <w:lang w:val="fr-CA"/>
              </w:rPr>
              <w:t>-</w:t>
            </w:r>
            <w:r>
              <w:rPr>
                <w:rFonts w:eastAsia="Calibri" w:cs="Times New Roman"/>
                <w:sz w:val="20"/>
                <w:szCs w:val="20"/>
                <w:lang w:val="fr-CA"/>
              </w:rPr>
              <w:t>03</w:t>
            </w:r>
            <w:r w:rsidRPr="00216AEB">
              <w:rPr>
                <w:rFonts w:eastAsia="Calibri" w:cs="Times New Roman"/>
                <w:sz w:val="20"/>
                <w:szCs w:val="20"/>
                <w:lang w:val="fr-CA"/>
              </w:rPr>
              <w:t>-</w:t>
            </w:r>
            <w:r>
              <w:rPr>
                <w:rFonts w:eastAsia="Calibri" w:cs="Times New Roman"/>
                <w:sz w:val="20"/>
                <w:szCs w:val="20"/>
                <w:lang w:val="fr-CA"/>
              </w:rPr>
              <w:t>20</w:t>
            </w:r>
          </w:p>
        </w:tc>
        <w:tc>
          <w:tcPr>
            <w:tcW w:w="7178" w:type="dxa"/>
          </w:tcPr>
          <w:p w:rsidR="005F1ED8" w:rsidRPr="00A708C5" w:rsidRDefault="002A44EA" w:rsidP="002A44EA">
            <w:pPr>
              <w:jc w:val="both"/>
              <w:rPr>
                <w:rFonts w:eastAsia="Calibri" w:cs="Times New Roman"/>
                <w:i/>
                <w:sz w:val="20"/>
                <w:szCs w:val="20"/>
                <w:lang w:val="fr-CA"/>
              </w:rPr>
            </w:pPr>
            <w:r w:rsidRPr="002A44EA">
              <w:rPr>
                <w:rFonts w:eastAsia="Calibri" w:cs="Times New Roman"/>
                <w:i/>
                <w:sz w:val="20"/>
                <w:szCs w:val="20"/>
              </w:rPr>
              <w:t>Her Majesty the Queen v</w:t>
            </w:r>
            <w:r w:rsidR="005F1ED8" w:rsidRPr="002A44EA">
              <w:rPr>
                <w:rFonts w:eastAsia="Calibri" w:cs="Times New Roman"/>
                <w:i/>
                <w:sz w:val="20"/>
                <w:szCs w:val="20"/>
              </w:rPr>
              <w:t xml:space="preserve">. </w:t>
            </w:r>
            <w:r w:rsidRPr="002A44EA">
              <w:rPr>
                <w:rFonts w:eastAsia="Calibri" w:cs="Times New Roman"/>
                <w:i/>
                <w:sz w:val="20"/>
                <w:szCs w:val="20"/>
              </w:rPr>
              <w:t>Owe</w:t>
            </w:r>
            <w:r w:rsidR="005F1ED8" w:rsidRPr="002A44EA">
              <w:rPr>
                <w:rFonts w:eastAsia="Calibri" w:cs="Times New Roman"/>
                <w:i/>
                <w:sz w:val="20"/>
                <w:szCs w:val="20"/>
              </w:rPr>
              <w:t xml:space="preserve">n </w:t>
            </w:r>
            <w:r w:rsidRPr="002A44EA">
              <w:rPr>
                <w:rFonts w:eastAsia="Calibri" w:cs="Times New Roman"/>
                <w:i/>
                <w:sz w:val="20"/>
                <w:szCs w:val="20"/>
              </w:rPr>
              <w:t>Edw</w:t>
            </w:r>
            <w:r w:rsidR="005F1ED8" w:rsidRPr="002A44EA">
              <w:rPr>
                <w:rFonts w:eastAsia="Calibri" w:cs="Times New Roman"/>
                <w:i/>
                <w:sz w:val="20"/>
                <w:szCs w:val="20"/>
              </w:rPr>
              <w:t>a</w:t>
            </w:r>
            <w:r w:rsidRPr="002A44EA">
              <w:rPr>
                <w:rFonts w:eastAsia="Calibri" w:cs="Times New Roman"/>
                <w:i/>
                <w:sz w:val="20"/>
                <w:szCs w:val="20"/>
              </w:rPr>
              <w:t>rd Smi</w:t>
            </w:r>
            <w:r w:rsidR="005F1ED8" w:rsidRPr="002A44EA">
              <w:rPr>
                <w:rFonts w:eastAsia="Calibri" w:cs="Times New Roman"/>
                <w:i/>
                <w:sz w:val="20"/>
                <w:szCs w:val="20"/>
              </w:rPr>
              <w:t>t</w:t>
            </w:r>
            <w:r w:rsidRPr="002A44EA">
              <w:rPr>
                <w:rFonts w:eastAsia="Calibri" w:cs="Times New Roman"/>
                <w:i/>
                <w:sz w:val="20"/>
                <w:szCs w:val="20"/>
              </w:rPr>
              <w:t>h</w:t>
            </w:r>
            <w:r w:rsidR="005F1ED8" w:rsidRPr="002A44EA">
              <w:rPr>
                <w:rFonts w:eastAsia="Calibri" w:cs="Times New Roman"/>
                <w:i/>
                <w:sz w:val="20"/>
                <w:szCs w:val="20"/>
              </w:rPr>
              <w:t xml:space="preserve"> </w:t>
            </w:r>
            <w:r w:rsidR="005F1ED8" w:rsidRPr="002A44EA">
              <w:rPr>
                <w:rFonts w:eastAsia="Calibri" w:cs="Times New Roman"/>
                <w:sz w:val="20"/>
                <w:szCs w:val="20"/>
              </w:rPr>
              <w:t>(</w:t>
            </w:r>
            <w:r w:rsidRPr="002A44EA">
              <w:rPr>
                <w:rFonts w:eastAsia="Calibri" w:cs="Times New Roman"/>
                <w:sz w:val="20"/>
                <w:szCs w:val="20"/>
              </w:rPr>
              <w:t>B.C.</w:t>
            </w:r>
            <w:r>
              <w:rPr>
                <w:rFonts w:eastAsia="Calibri" w:cs="Times New Roman"/>
                <w:sz w:val="20"/>
                <w:szCs w:val="20"/>
              </w:rPr>
              <w:t>)</w:t>
            </w:r>
            <w:r w:rsidR="005F1ED8" w:rsidRPr="002A44EA">
              <w:rPr>
                <w:rFonts w:eastAsia="Calibri" w:cs="Times New Roman"/>
                <w:sz w:val="20"/>
                <w:szCs w:val="20"/>
              </w:rPr>
              <w:t xml:space="preserve"> </w:t>
            </w:r>
            <w:r w:rsidR="005F1ED8" w:rsidRPr="00A708C5">
              <w:rPr>
                <w:rFonts w:eastAsia="Calibri" w:cs="Times New Roman"/>
                <w:sz w:val="20"/>
                <w:szCs w:val="20"/>
                <w:lang w:val="fr-CA"/>
              </w:rPr>
              <w:t>(C</w:t>
            </w:r>
            <w:r>
              <w:rPr>
                <w:rFonts w:eastAsia="Calibri" w:cs="Times New Roman"/>
                <w:sz w:val="20"/>
                <w:szCs w:val="20"/>
                <w:lang w:val="fr-CA"/>
              </w:rPr>
              <w:t>rim</w:t>
            </w:r>
            <w:r w:rsidR="005F1ED8" w:rsidRPr="00A708C5">
              <w:rPr>
                <w:rFonts w:eastAsia="Calibri" w:cs="Times New Roman"/>
                <w:sz w:val="20"/>
                <w:szCs w:val="20"/>
                <w:lang w:val="fr-CA"/>
              </w:rPr>
              <w:t>i</w:t>
            </w:r>
            <w:r>
              <w:rPr>
                <w:rFonts w:eastAsia="Calibri" w:cs="Times New Roman"/>
                <w:sz w:val="20"/>
                <w:szCs w:val="20"/>
                <w:lang w:val="fr-CA"/>
              </w:rPr>
              <w:t>na</w:t>
            </w:r>
            <w:r w:rsidR="005F1ED8" w:rsidRPr="00A708C5">
              <w:rPr>
                <w:rFonts w:eastAsia="Calibri" w:cs="Times New Roman"/>
                <w:sz w:val="20"/>
                <w:szCs w:val="20"/>
                <w:lang w:val="fr-CA"/>
              </w:rPr>
              <w:t>l) (As</w:t>
            </w:r>
            <w:r>
              <w:rPr>
                <w:rFonts w:eastAsia="Calibri" w:cs="Times New Roman"/>
                <w:sz w:val="20"/>
                <w:szCs w:val="20"/>
                <w:lang w:val="fr-CA"/>
              </w:rPr>
              <w:t xml:space="preserve"> of R</w:t>
            </w:r>
            <w:r w:rsidR="005F1ED8" w:rsidRPr="00A708C5">
              <w:rPr>
                <w:rFonts w:eastAsia="Calibri" w:cs="Times New Roman"/>
                <w:sz w:val="20"/>
                <w:szCs w:val="20"/>
                <w:lang w:val="fr-CA"/>
              </w:rPr>
              <w:t>i</w:t>
            </w:r>
            <w:r>
              <w:rPr>
                <w:rFonts w:eastAsia="Calibri" w:cs="Times New Roman"/>
                <w:sz w:val="20"/>
                <w:szCs w:val="20"/>
                <w:lang w:val="fr-CA"/>
              </w:rPr>
              <w:t>ght</w:t>
            </w:r>
            <w:r w:rsidR="005F1ED8" w:rsidRPr="00A708C5">
              <w:rPr>
                <w:rFonts w:eastAsia="Calibri" w:cs="Times New Roman"/>
                <w:sz w:val="20"/>
                <w:szCs w:val="20"/>
                <w:lang w:val="fr-CA"/>
              </w:rPr>
              <w:t>) (3</w:t>
            </w:r>
            <w:r w:rsidR="005F1ED8">
              <w:rPr>
                <w:rFonts w:eastAsia="Calibri" w:cs="Times New Roman"/>
                <w:sz w:val="20"/>
                <w:szCs w:val="20"/>
                <w:lang w:val="fr-CA"/>
              </w:rPr>
              <w:t>6</w:t>
            </w:r>
            <w:r>
              <w:rPr>
                <w:rFonts w:eastAsia="Calibri" w:cs="Times New Roman"/>
                <w:sz w:val="20"/>
                <w:szCs w:val="20"/>
                <w:lang w:val="fr-CA"/>
              </w:rPr>
              <w:t>059</w:t>
            </w:r>
            <w:r w:rsidR="005F1ED8" w:rsidRPr="00A708C5">
              <w:rPr>
                <w:rFonts w:eastAsia="Calibri" w:cs="Times New Roman"/>
                <w:sz w:val="20"/>
                <w:szCs w:val="20"/>
                <w:lang w:val="fr-CA"/>
              </w:rPr>
              <w:t>)</w:t>
            </w:r>
          </w:p>
        </w:tc>
      </w:tr>
    </w:tbl>
    <w:p w:rsidR="005F1ED8" w:rsidRDefault="005F1ED8" w:rsidP="004B66B4">
      <w:pPr>
        <w:rPr>
          <w:sz w:val="20"/>
          <w:szCs w:val="20"/>
          <w:lang w:val="fr-CA"/>
        </w:rPr>
      </w:pPr>
    </w:p>
    <w:p w:rsidR="004B66B4" w:rsidRPr="00DD0B49" w:rsidRDefault="003A60BB" w:rsidP="002868D0">
      <w:pPr>
        <w:jc w:val="both"/>
        <w:rPr>
          <w:sz w:val="20"/>
          <w:szCs w:val="20"/>
        </w:rPr>
      </w:pPr>
      <w:r>
        <w:rPr>
          <w:sz w:val="20"/>
          <w:szCs w:val="20"/>
          <w:lang w:val="fr-CA"/>
        </w:rPr>
        <w:pict>
          <v:rect id="_x0000_i1086"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Pr>
          <w:sz w:val="20"/>
          <w:szCs w:val="20"/>
        </w:rPr>
        <w:t>-</w:t>
      </w:r>
      <w:r w:rsidRPr="00DD0B49">
        <w:rPr>
          <w:sz w:val="20"/>
          <w:szCs w:val="20"/>
        </w:rPr>
        <w:t xml:space="preserve">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91"/>
          <w:headerReference w:type="default" r:id="rId92"/>
          <w:footerReference w:type="even" r:id="rId93"/>
          <w:footerReference w:type="default" r:id="rId94"/>
          <w:headerReference w:type="first" r:id="rId95"/>
          <w:footerReference w:type="first" r:id="rId9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720C3B" w:rsidRDefault="005F263E" w:rsidP="005F263E">
      <w:pPr>
        <w:tabs>
          <w:tab w:val="left" w:pos="-1440"/>
          <w:tab w:val="left" w:pos="-720"/>
        </w:tabs>
        <w:ind w:left="720" w:hanging="720"/>
        <w:jc w:val="both"/>
        <w:rPr>
          <w:sz w:val="20"/>
          <w:szCs w:val="20"/>
        </w:rPr>
      </w:pPr>
    </w:p>
    <w:p w:rsidR="0067580B" w:rsidRPr="009121EE" w:rsidRDefault="003A0C94" w:rsidP="0067580B">
      <w:pPr>
        <w:widowControl w:val="0"/>
        <w:ind w:left="720" w:hanging="720"/>
        <w:jc w:val="both"/>
        <w:rPr>
          <w:sz w:val="20"/>
          <w:szCs w:val="20"/>
        </w:rPr>
      </w:pPr>
      <w:r w:rsidRPr="009121EE">
        <w:rPr>
          <w:b/>
          <w:sz w:val="20"/>
          <w:szCs w:val="20"/>
        </w:rPr>
        <w:fldChar w:fldCharType="begin"/>
      </w:r>
      <w:r w:rsidR="0067580B" w:rsidRPr="009121EE">
        <w:rPr>
          <w:b/>
          <w:sz w:val="20"/>
          <w:szCs w:val="20"/>
        </w:rPr>
        <w:instrText xml:space="preserve"> SEQ CHAPTER \h \r 1</w:instrText>
      </w:r>
      <w:r w:rsidRPr="009121EE">
        <w:rPr>
          <w:b/>
          <w:sz w:val="20"/>
          <w:szCs w:val="20"/>
        </w:rPr>
        <w:fldChar w:fldCharType="end"/>
      </w:r>
      <w:r w:rsidR="0067580B" w:rsidRPr="009121EE">
        <w:rPr>
          <w:b/>
          <w:sz w:val="20"/>
          <w:szCs w:val="20"/>
        </w:rPr>
        <w:t>35918</w:t>
      </w:r>
      <w:r w:rsidR="0067580B" w:rsidRPr="009121EE">
        <w:rPr>
          <w:sz w:val="20"/>
          <w:szCs w:val="20"/>
        </w:rPr>
        <w:tab/>
      </w:r>
      <w:r w:rsidR="0067580B" w:rsidRPr="009121EE">
        <w:rPr>
          <w:b/>
          <w:i/>
          <w:sz w:val="20"/>
          <w:szCs w:val="20"/>
        </w:rPr>
        <w:t>Canadian Broadcasting Corporation / Société Radio-Canada v. SODRAC 2003 Inc., Society for Reproduction Rights of Authors, Composers and Publishers in Canada (SODRAC) Inc.</w:t>
      </w:r>
    </w:p>
    <w:p w:rsidR="0067580B" w:rsidRPr="009121EE" w:rsidRDefault="0067580B" w:rsidP="0067580B">
      <w:pPr>
        <w:widowControl w:val="0"/>
        <w:jc w:val="both"/>
        <w:rPr>
          <w:sz w:val="20"/>
          <w:szCs w:val="20"/>
        </w:rPr>
      </w:pPr>
    </w:p>
    <w:p w:rsidR="0067580B" w:rsidRPr="009121EE" w:rsidRDefault="0067580B" w:rsidP="0067580B">
      <w:pPr>
        <w:widowControl w:val="0"/>
        <w:jc w:val="both"/>
        <w:rPr>
          <w:sz w:val="20"/>
          <w:szCs w:val="20"/>
        </w:rPr>
      </w:pPr>
      <w:r w:rsidRPr="009121EE">
        <w:rPr>
          <w:sz w:val="20"/>
          <w:szCs w:val="20"/>
        </w:rPr>
        <w:t xml:space="preserve">Intellectual property law - Judicial review - Copyright - Licenses - Licensing societies - Royalties - Ephemeral copies - Application by broadcaster for review of licenses issued by Copyright Board allowed in part - Collective society imposing royalties on producers of content and broadcasters - Licences allow collective society to collect royalties for copies incidental to use of new broadcast technologies - Whether broadcast-incidental copies require a separate licence under a technologically-neutral interpretation of the </w:t>
      </w:r>
      <w:r w:rsidRPr="009121EE">
        <w:rPr>
          <w:i/>
          <w:sz w:val="20"/>
          <w:szCs w:val="20"/>
        </w:rPr>
        <w:t>Copyright Act</w:t>
      </w:r>
      <w:r w:rsidRPr="009121EE">
        <w:rPr>
          <w:sz w:val="20"/>
          <w:szCs w:val="20"/>
        </w:rPr>
        <w:t>, R.S.C. 1985, c. C-42 - If a licence is required in FCA File No. A-516-12, what is a technologically-neutral royalty rate for broadcast-incidental copies - Whether the Board err in law by granting an interim licence in FCA File No. A-63-13.</w:t>
      </w:r>
    </w:p>
    <w:p w:rsidR="0067580B" w:rsidRPr="009121EE" w:rsidRDefault="0067580B" w:rsidP="0067580B">
      <w:pPr>
        <w:widowControl w:val="0"/>
        <w:jc w:val="both"/>
        <w:rPr>
          <w:sz w:val="20"/>
          <w:szCs w:val="20"/>
        </w:rPr>
      </w:pPr>
    </w:p>
    <w:p w:rsidR="0067580B" w:rsidRPr="009121EE" w:rsidRDefault="0067580B" w:rsidP="0067580B">
      <w:pPr>
        <w:widowControl w:val="0"/>
        <w:jc w:val="both"/>
        <w:rPr>
          <w:sz w:val="20"/>
          <w:szCs w:val="20"/>
        </w:rPr>
      </w:pPr>
    </w:p>
    <w:p w:rsidR="0067580B" w:rsidRPr="009121EE" w:rsidRDefault="0067580B" w:rsidP="0067580B">
      <w:pPr>
        <w:widowControl w:val="0"/>
        <w:ind w:left="2880" w:hanging="2880"/>
        <w:jc w:val="both"/>
        <w:rPr>
          <w:sz w:val="20"/>
          <w:szCs w:val="20"/>
        </w:rPr>
      </w:pPr>
      <w:r w:rsidRPr="009121EE">
        <w:rPr>
          <w:sz w:val="20"/>
          <w:szCs w:val="20"/>
        </w:rPr>
        <w:t>Origin of the case:</w:t>
      </w:r>
      <w:r w:rsidRPr="009121EE">
        <w:rPr>
          <w:sz w:val="20"/>
          <w:szCs w:val="20"/>
        </w:rPr>
        <w:tab/>
        <w:t>Federal Court</w:t>
      </w:r>
    </w:p>
    <w:p w:rsidR="0067580B" w:rsidRPr="009121EE" w:rsidRDefault="0067580B" w:rsidP="0067580B">
      <w:pPr>
        <w:widowControl w:val="0"/>
        <w:ind w:left="2880" w:hanging="2880"/>
        <w:jc w:val="both"/>
        <w:rPr>
          <w:sz w:val="20"/>
          <w:szCs w:val="20"/>
        </w:rPr>
      </w:pPr>
    </w:p>
    <w:p w:rsidR="0067580B" w:rsidRPr="009121EE" w:rsidRDefault="0067580B" w:rsidP="0067580B">
      <w:pPr>
        <w:widowControl w:val="0"/>
        <w:ind w:left="2880" w:hanging="2880"/>
        <w:jc w:val="both"/>
        <w:rPr>
          <w:sz w:val="20"/>
          <w:szCs w:val="20"/>
        </w:rPr>
      </w:pPr>
      <w:r w:rsidRPr="009121EE">
        <w:rPr>
          <w:sz w:val="20"/>
          <w:szCs w:val="20"/>
        </w:rPr>
        <w:t>File No.:</w:t>
      </w:r>
      <w:r w:rsidRPr="009121EE">
        <w:rPr>
          <w:sz w:val="20"/>
          <w:szCs w:val="20"/>
        </w:rPr>
        <w:tab/>
        <w:t>35918</w:t>
      </w:r>
    </w:p>
    <w:p w:rsidR="0067580B" w:rsidRPr="009121EE" w:rsidRDefault="0067580B" w:rsidP="0067580B">
      <w:pPr>
        <w:widowControl w:val="0"/>
        <w:ind w:left="2880" w:hanging="2880"/>
        <w:jc w:val="both"/>
        <w:rPr>
          <w:sz w:val="20"/>
          <w:szCs w:val="20"/>
        </w:rPr>
      </w:pPr>
    </w:p>
    <w:p w:rsidR="0067580B" w:rsidRPr="009121EE" w:rsidRDefault="0067580B" w:rsidP="0067580B">
      <w:pPr>
        <w:ind w:left="2880" w:hanging="2880"/>
        <w:rPr>
          <w:sz w:val="20"/>
          <w:szCs w:val="20"/>
        </w:rPr>
      </w:pPr>
      <w:r w:rsidRPr="009121EE">
        <w:rPr>
          <w:sz w:val="20"/>
          <w:szCs w:val="20"/>
        </w:rPr>
        <w:t>Judgment of the Court of Appeal:</w:t>
      </w:r>
      <w:r w:rsidRPr="009121EE">
        <w:rPr>
          <w:sz w:val="20"/>
          <w:szCs w:val="20"/>
        </w:rPr>
        <w:tab/>
        <w:t>March 31, 2014</w:t>
      </w:r>
    </w:p>
    <w:p w:rsidR="0067580B" w:rsidRPr="009121EE" w:rsidRDefault="0067580B" w:rsidP="0067580B">
      <w:pPr>
        <w:widowControl w:val="0"/>
        <w:ind w:left="2880" w:hanging="2880"/>
        <w:jc w:val="both"/>
        <w:rPr>
          <w:sz w:val="20"/>
          <w:szCs w:val="20"/>
        </w:rPr>
      </w:pPr>
    </w:p>
    <w:p w:rsidR="0067580B" w:rsidRPr="009121EE" w:rsidRDefault="0067580B" w:rsidP="0067580B">
      <w:pPr>
        <w:ind w:left="2880" w:hanging="2880"/>
        <w:rPr>
          <w:sz w:val="20"/>
          <w:szCs w:val="20"/>
        </w:rPr>
      </w:pPr>
      <w:r w:rsidRPr="009121EE">
        <w:rPr>
          <w:sz w:val="20"/>
          <w:szCs w:val="20"/>
        </w:rPr>
        <w:t>Counsel:</w:t>
      </w:r>
      <w:r w:rsidRPr="009121EE">
        <w:rPr>
          <w:sz w:val="20"/>
          <w:szCs w:val="20"/>
        </w:rPr>
        <w:tab/>
        <w:t>Marek Nitoslawski, Joanie Lapalme, Michael Shortt, and J. Aidan O’Neil for the Appellant</w:t>
      </w:r>
    </w:p>
    <w:p w:rsidR="0067580B" w:rsidRPr="009121EE" w:rsidRDefault="0067580B" w:rsidP="0067580B">
      <w:pPr>
        <w:ind w:left="2880" w:hanging="2880"/>
        <w:rPr>
          <w:sz w:val="20"/>
          <w:szCs w:val="20"/>
        </w:rPr>
      </w:pPr>
      <w:r w:rsidRPr="009121EE">
        <w:rPr>
          <w:sz w:val="20"/>
          <w:szCs w:val="20"/>
        </w:rPr>
        <w:tab/>
        <w:t>Colette Matteau for the Respondents</w:t>
      </w:r>
    </w:p>
    <w:p w:rsidR="000B3C9A" w:rsidRPr="005F1ED8" w:rsidRDefault="000B3C9A" w:rsidP="000B3C9A">
      <w:pPr>
        <w:tabs>
          <w:tab w:val="left" w:pos="-1440"/>
          <w:tab w:val="left" w:pos="-720"/>
        </w:tabs>
        <w:ind w:left="720" w:hanging="720"/>
        <w:jc w:val="both"/>
        <w:rPr>
          <w:sz w:val="20"/>
          <w:szCs w:val="20"/>
        </w:rPr>
      </w:pPr>
    </w:p>
    <w:p w:rsidR="000B3C9A" w:rsidRPr="00DD0B49" w:rsidRDefault="003A60BB" w:rsidP="000B3C9A">
      <w:pPr>
        <w:tabs>
          <w:tab w:val="left" w:pos="-1440"/>
          <w:tab w:val="left" w:pos="-720"/>
        </w:tabs>
        <w:ind w:left="720" w:hanging="720"/>
        <w:jc w:val="both"/>
        <w:rPr>
          <w:sz w:val="20"/>
          <w:szCs w:val="20"/>
          <w:lang w:val="fr-CA"/>
        </w:rPr>
      </w:pPr>
      <w:r>
        <w:rPr>
          <w:sz w:val="20"/>
          <w:szCs w:val="20"/>
          <w:lang w:val="fr-CA"/>
        </w:rPr>
        <w:pict>
          <v:rect id="_x0000_i1089"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p w:rsidR="0067580B" w:rsidRPr="00CE1EC9" w:rsidRDefault="003A0C94" w:rsidP="0067580B">
      <w:pPr>
        <w:widowControl w:val="0"/>
        <w:ind w:left="720" w:hanging="720"/>
        <w:jc w:val="both"/>
        <w:rPr>
          <w:b/>
          <w:i/>
          <w:sz w:val="20"/>
          <w:szCs w:val="20"/>
          <w:lang w:val="fr-CA"/>
        </w:rPr>
      </w:pPr>
      <w:r w:rsidRPr="00CE1EC9">
        <w:rPr>
          <w:b/>
          <w:sz w:val="20"/>
          <w:szCs w:val="20"/>
          <w:lang w:val="fr-CA"/>
        </w:rPr>
        <w:fldChar w:fldCharType="begin"/>
      </w:r>
      <w:r w:rsidR="0067580B" w:rsidRPr="00CE1EC9">
        <w:rPr>
          <w:b/>
          <w:sz w:val="20"/>
          <w:szCs w:val="20"/>
          <w:lang w:val="fr-CA"/>
        </w:rPr>
        <w:instrText xml:space="preserve"> SEQ CHAPTER \h \r 1</w:instrText>
      </w:r>
      <w:r w:rsidRPr="00CE1EC9">
        <w:rPr>
          <w:b/>
          <w:sz w:val="20"/>
          <w:szCs w:val="20"/>
          <w:lang w:val="fr-CA"/>
        </w:rPr>
        <w:fldChar w:fldCharType="end"/>
      </w:r>
      <w:r w:rsidR="0067580B" w:rsidRPr="00CE1EC9">
        <w:rPr>
          <w:b/>
          <w:sz w:val="20"/>
          <w:szCs w:val="20"/>
          <w:lang w:val="fr-CA"/>
        </w:rPr>
        <w:t>35918</w:t>
      </w:r>
      <w:r w:rsidR="0067580B" w:rsidRPr="00CE1EC9">
        <w:rPr>
          <w:b/>
          <w:i/>
          <w:sz w:val="20"/>
          <w:szCs w:val="20"/>
          <w:lang w:val="fr-CA"/>
        </w:rPr>
        <w:tab/>
        <w:t>Canadian Broadcasting Corporation / Société Radio-Canada c. SODRAC 2003 Inc. et Société du droit de reproduction des auteurs, compositeurs et éditeurs au Canada (SODRAC) Inc.</w:t>
      </w:r>
    </w:p>
    <w:p w:rsidR="0067580B" w:rsidRPr="00CE1EC9" w:rsidRDefault="0067580B" w:rsidP="0067580B">
      <w:pPr>
        <w:widowControl w:val="0"/>
        <w:jc w:val="both"/>
        <w:rPr>
          <w:sz w:val="20"/>
          <w:szCs w:val="20"/>
          <w:lang w:val="fr-CA"/>
        </w:rPr>
      </w:pPr>
    </w:p>
    <w:p w:rsidR="0067580B" w:rsidRPr="00CE1EC9" w:rsidRDefault="0067580B" w:rsidP="0067580B">
      <w:pPr>
        <w:widowControl w:val="0"/>
        <w:jc w:val="both"/>
        <w:rPr>
          <w:sz w:val="20"/>
          <w:szCs w:val="20"/>
          <w:lang w:val="fr-CA"/>
        </w:rPr>
      </w:pPr>
      <w:r w:rsidRPr="00CE1EC9">
        <w:rPr>
          <w:sz w:val="20"/>
          <w:szCs w:val="20"/>
          <w:lang w:val="fr-CA"/>
        </w:rPr>
        <w:t xml:space="preserve">Propriété intellectuelle - Contrôle judiciaire - Droit d’auteur - Licences - Sociétés d’octroi de licences - Redevances - Copies éphémères - Demande, par le télédiffuseur, de contrôle judiciaire des licences délivrées par la Commission du droit d’auteur, accueillie en partie - Redevances exigées des producteurs de contenu et des télédiffuseurs par la société de gestion - Licences permettant à la société de gestion de percevoir des redevances relativement à des copies accessoires à l’utilisation de nouvelles technologies de télédiffusion - Des copies accessoires de diffusion nécessitent-elles une licence distincte suivant une interprétation technologiquement neutre de la </w:t>
      </w:r>
      <w:r w:rsidRPr="00CE1EC9">
        <w:rPr>
          <w:i/>
          <w:sz w:val="20"/>
          <w:szCs w:val="20"/>
          <w:lang w:val="fr-CA"/>
        </w:rPr>
        <w:t>Loi sur le droit d’auteur</w:t>
      </w:r>
      <w:r w:rsidRPr="00CE1EC9">
        <w:rPr>
          <w:sz w:val="20"/>
          <w:szCs w:val="20"/>
          <w:lang w:val="fr-CA"/>
        </w:rPr>
        <w:t>, L.R.C. 1985, ch. C-42? - Si une licence est nécessaire dans le dossier A-516-12 de la CAF, quel serait un taux de redevances technologiquement neutre pour des copies accessoires de diffusion? - La Commission a-t-elle commis une erreur de droit en délivrant une licence provisoire dans le dossier A-63-13 de la CAF?</w:t>
      </w:r>
    </w:p>
    <w:p w:rsidR="0067580B" w:rsidRPr="00CE1EC9" w:rsidRDefault="0067580B" w:rsidP="0067580B">
      <w:pPr>
        <w:widowControl w:val="0"/>
        <w:jc w:val="both"/>
        <w:rPr>
          <w:sz w:val="20"/>
          <w:szCs w:val="20"/>
          <w:lang w:val="fr-CA"/>
        </w:rPr>
      </w:pPr>
    </w:p>
    <w:p w:rsidR="0067580B" w:rsidRPr="00CE1EC9" w:rsidRDefault="0067580B" w:rsidP="0067580B">
      <w:pPr>
        <w:widowControl w:val="0"/>
        <w:jc w:val="both"/>
        <w:rPr>
          <w:sz w:val="20"/>
          <w:szCs w:val="20"/>
          <w:lang w:val="fr-CA"/>
        </w:rPr>
      </w:pPr>
    </w:p>
    <w:p w:rsidR="0067580B" w:rsidRPr="00CE1EC9" w:rsidRDefault="0067580B" w:rsidP="0067580B">
      <w:pPr>
        <w:widowControl w:val="0"/>
        <w:ind w:left="2880" w:hanging="2880"/>
        <w:jc w:val="both"/>
        <w:rPr>
          <w:sz w:val="20"/>
          <w:szCs w:val="20"/>
          <w:lang w:val="fr-CA"/>
        </w:rPr>
      </w:pPr>
      <w:r w:rsidRPr="00CE1EC9">
        <w:rPr>
          <w:sz w:val="20"/>
          <w:szCs w:val="20"/>
          <w:lang w:val="fr-CA"/>
        </w:rPr>
        <w:t>Origine :</w:t>
      </w:r>
      <w:r w:rsidRPr="00CE1EC9">
        <w:rPr>
          <w:sz w:val="20"/>
          <w:szCs w:val="20"/>
          <w:lang w:val="fr-CA"/>
        </w:rPr>
        <w:tab/>
        <w:t>Cour fédérale</w:t>
      </w:r>
    </w:p>
    <w:p w:rsidR="0067580B" w:rsidRPr="00CE1EC9" w:rsidRDefault="0067580B" w:rsidP="0067580B">
      <w:pPr>
        <w:widowControl w:val="0"/>
        <w:ind w:left="2880" w:hanging="2880"/>
        <w:jc w:val="both"/>
        <w:rPr>
          <w:sz w:val="20"/>
          <w:szCs w:val="20"/>
          <w:lang w:val="fr-CA"/>
        </w:rPr>
      </w:pPr>
    </w:p>
    <w:p w:rsidR="0067580B" w:rsidRPr="00CE1EC9" w:rsidRDefault="0067580B" w:rsidP="0067580B">
      <w:pPr>
        <w:widowControl w:val="0"/>
        <w:ind w:left="2880" w:hanging="2880"/>
        <w:jc w:val="both"/>
        <w:rPr>
          <w:sz w:val="20"/>
          <w:szCs w:val="20"/>
          <w:lang w:val="fr-CA"/>
        </w:rPr>
      </w:pPr>
      <w:r w:rsidRPr="00CE1EC9">
        <w:rPr>
          <w:sz w:val="20"/>
          <w:szCs w:val="20"/>
          <w:lang w:val="fr-CA"/>
        </w:rPr>
        <w:t>N</w:t>
      </w:r>
      <w:r w:rsidRPr="00CE1EC9">
        <w:rPr>
          <w:sz w:val="20"/>
          <w:szCs w:val="20"/>
          <w:vertAlign w:val="superscript"/>
          <w:lang w:val="fr-CA"/>
        </w:rPr>
        <w:t>o</w:t>
      </w:r>
      <w:r w:rsidRPr="00CE1EC9">
        <w:rPr>
          <w:sz w:val="20"/>
          <w:szCs w:val="20"/>
          <w:lang w:val="fr-CA"/>
        </w:rPr>
        <w:t xml:space="preserve"> du greffe :</w:t>
      </w:r>
      <w:r w:rsidRPr="00CE1EC9">
        <w:rPr>
          <w:sz w:val="20"/>
          <w:szCs w:val="20"/>
          <w:lang w:val="fr-CA"/>
        </w:rPr>
        <w:tab/>
        <w:t>35918</w:t>
      </w:r>
    </w:p>
    <w:p w:rsidR="0067580B" w:rsidRPr="00CE1EC9" w:rsidRDefault="0067580B" w:rsidP="0067580B">
      <w:pPr>
        <w:widowControl w:val="0"/>
        <w:ind w:left="2880" w:hanging="2880"/>
        <w:jc w:val="both"/>
        <w:rPr>
          <w:sz w:val="20"/>
          <w:szCs w:val="20"/>
          <w:lang w:val="fr-CA"/>
        </w:rPr>
      </w:pPr>
    </w:p>
    <w:p w:rsidR="0067580B" w:rsidRPr="00CE1EC9" w:rsidRDefault="0067580B" w:rsidP="0067580B">
      <w:pPr>
        <w:ind w:left="2880" w:hanging="2880"/>
        <w:rPr>
          <w:sz w:val="20"/>
          <w:szCs w:val="20"/>
          <w:lang w:val="fr-CA"/>
        </w:rPr>
      </w:pPr>
      <w:r w:rsidRPr="00CE1EC9">
        <w:rPr>
          <w:sz w:val="20"/>
          <w:szCs w:val="20"/>
          <w:lang w:val="fr-CA"/>
        </w:rPr>
        <w:t>Arrêt de la Cour d’appel :</w:t>
      </w:r>
      <w:r w:rsidRPr="00CE1EC9">
        <w:rPr>
          <w:sz w:val="20"/>
          <w:szCs w:val="20"/>
          <w:lang w:val="fr-CA"/>
        </w:rPr>
        <w:tab/>
        <w:t>le 31 mars 2014</w:t>
      </w:r>
    </w:p>
    <w:p w:rsidR="0067580B" w:rsidRPr="00CE1EC9" w:rsidRDefault="0067580B" w:rsidP="0067580B">
      <w:pPr>
        <w:widowControl w:val="0"/>
        <w:ind w:left="2880" w:hanging="2880"/>
        <w:jc w:val="both"/>
        <w:rPr>
          <w:sz w:val="20"/>
          <w:szCs w:val="20"/>
          <w:lang w:val="fr-CA"/>
        </w:rPr>
      </w:pPr>
    </w:p>
    <w:p w:rsidR="0067580B" w:rsidRPr="00CE1EC9" w:rsidRDefault="0067580B" w:rsidP="0067580B">
      <w:pPr>
        <w:ind w:left="2880" w:hanging="2880"/>
        <w:rPr>
          <w:sz w:val="20"/>
          <w:szCs w:val="20"/>
          <w:lang w:val="fr-CA"/>
        </w:rPr>
      </w:pPr>
      <w:r w:rsidRPr="00CE1EC9">
        <w:rPr>
          <w:sz w:val="20"/>
          <w:szCs w:val="20"/>
          <w:lang w:val="fr-CA"/>
        </w:rPr>
        <w:t>Avocats :</w:t>
      </w:r>
      <w:r w:rsidRPr="00CE1EC9">
        <w:rPr>
          <w:sz w:val="20"/>
          <w:szCs w:val="20"/>
          <w:lang w:val="fr-CA"/>
        </w:rPr>
        <w:tab/>
        <w:t>Marek Nitoslawski, Joanie Lapalme, Michael Shortt, et J. Aidan O’Neil pour l’appelante</w:t>
      </w:r>
    </w:p>
    <w:p w:rsidR="0067580B" w:rsidRPr="00CE1EC9" w:rsidRDefault="0067580B" w:rsidP="0067580B">
      <w:pPr>
        <w:ind w:left="2880" w:hanging="2880"/>
        <w:rPr>
          <w:sz w:val="20"/>
          <w:szCs w:val="20"/>
          <w:lang w:val="fr-CA"/>
        </w:rPr>
      </w:pPr>
      <w:r w:rsidRPr="00CE1EC9">
        <w:rPr>
          <w:sz w:val="20"/>
          <w:szCs w:val="20"/>
          <w:lang w:val="fr-CA"/>
        </w:rPr>
        <w:tab/>
        <w:t>Colette Matteau pour les intimées</w:t>
      </w:r>
    </w:p>
    <w:p w:rsidR="000B3C9A" w:rsidRPr="00DD0B49" w:rsidRDefault="000B3C9A" w:rsidP="000B3C9A">
      <w:pPr>
        <w:tabs>
          <w:tab w:val="left" w:pos="-1440"/>
          <w:tab w:val="left" w:pos="-720"/>
        </w:tabs>
        <w:jc w:val="both"/>
        <w:rPr>
          <w:sz w:val="20"/>
          <w:szCs w:val="20"/>
          <w:lang w:val="fr-CA"/>
        </w:rPr>
      </w:pPr>
    </w:p>
    <w:p w:rsidR="000B3C9A" w:rsidRDefault="003A60BB" w:rsidP="000B3C9A">
      <w:pPr>
        <w:tabs>
          <w:tab w:val="left" w:pos="-1440"/>
          <w:tab w:val="left" w:pos="-720"/>
        </w:tabs>
        <w:jc w:val="both"/>
        <w:rPr>
          <w:sz w:val="20"/>
          <w:szCs w:val="20"/>
          <w:lang w:val="fr-CA"/>
        </w:rPr>
      </w:pPr>
      <w:r>
        <w:rPr>
          <w:sz w:val="20"/>
          <w:szCs w:val="20"/>
          <w:lang w:val="fr-CA"/>
        </w:rPr>
        <w:pict>
          <v:rect id="_x0000_i1090" style="width:2in;height:1pt" o:hrpct="0" o:hralign="center" o:hrstd="t" o:hrnoshade="t" o:hr="t" fillcolor="black [3213]" stroked="f"/>
        </w:pict>
      </w:r>
    </w:p>
    <w:p w:rsidR="002A44EA" w:rsidRDefault="002A44EA" w:rsidP="000B3C9A">
      <w:pPr>
        <w:tabs>
          <w:tab w:val="left" w:pos="-1440"/>
          <w:tab w:val="left" w:pos="-720"/>
        </w:tabs>
        <w:jc w:val="both"/>
        <w:rPr>
          <w:sz w:val="20"/>
          <w:szCs w:val="20"/>
          <w:lang w:val="fr-CA"/>
        </w:rPr>
      </w:pPr>
    </w:p>
    <w:p w:rsidR="002A44EA" w:rsidRDefault="002A44EA" w:rsidP="000B3C9A">
      <w:pPr>
        <w:tabs>
          <w:tab w:val="left" w:pos="-1440"/>
          <w:tab w:val="left" w:pos="-720"/>
        </w:tabs>
        <w:jc w:val="both"/>
        <w:rPr>
          <w:sz w:val="20"/>
          <w:szCs w:val="20"/>
          <w:lang w:val="fr-CA"/>
        </w:rPr>
      </w:pPr>
    </w:p>
    <w:p w:rsidR="002A44EA" w:rsidRDefault="002A44EA">
      <w:pPr>
        <w:rPr>
          <w:sz w:val="20"/>
          <w:szCs w:val="20"/>
          <w:lang w:val="fr-CA"/>
        </w:rPr>
      </w:pPr>
      <w:r>
        <w:rPr>
          <w:sz w:val="20"/>
          <w:szCs w:val="20"/>
          <w:lang w:val="fr-CA"/>
        </w:rPr>
        <w:br w:type="page"/>
      </w:r>
    </w:p>
    <w:p w:rsidR="00F11CE5" w:rsidRPr="00A84568" w:rsidRDefault="00F11CE5" w:rsidP="00F11CE5">
      <w:pPr>
        <w:widowControl w:val="0"/>
        <w:ind w:left="720" w:hanging="720"/>
        <w:jc w:val="both"/>
        <w:rPr>
          <w:b/>
          <w:i/>
          <w:sz w:val="20"/>
          <w:szCs w:val="20"/>
        </w:rPr>
      </w:pPr>
      <w:r w:rsidRPr="00A84568">
        <w:rPr>
          <w:b/>
          <w:sz w:val="20"/>
          <w:szCs w:val="20"/>
        </w:rPr>
        <w:t>35838</w:t>
      </w:r>
      <w:r w:rsidR="003A0C94" w:rsidRPr="00A84568">
        <w:rPr>
          <w:b/>
          <w:sz w:val="20"/>
          <w:szCs w:val="20"/>
        </w:rPr>
        <w:fldChar w:fldCharType="begin"/>
      </w:r>
      <w:r w:rsidRPr="00A84568">
        <w:rPr>
          <w:b/>
          <w:sz w:val="20"/>
          <w:szCs w:val="20"/>
        </w:rPr>
        <w:instrText xml:space="preserve"> SEQ CHAPTER \h \r 1</w:instrText>
      </w:r>
      <w:r w:rsidR="003A0C94" w:rsidRPr="00A84568">
        <w:rPr>
          <w:b/>
          <w:sz w:val="20"/>
          <w:szCs w:val="20"/>
        </w:rPr>
        <w:fldChar w:fldCharType="end"/>
      </w:r>
      <w:r w:rsidRPr="00A84568">
        <w:rPr>
          <w:b/>
          <w:sz w:val="20"/>
          <w:szCs w:val="20"/>
        </w:rPr>
        <w:tab/>
      </w:r>
      <w:r w:rsidRPr="00A84568">
        <w:rPr>
          <w:b/>
          <w:i/>
          <w:sz w:val="20"/>
          <w:szCs w:val="20"/>
        </w:rPr>
        <w:t xml:space="preserve">M.M. a.k.a. M.M.M. v. Minister of Justice Canada on behalf of the United States of America </w:t>
      </w:r>
    </w:p>
    <w:p w:rsidR="00F11CE5" w:rsidRPr="00A84568" w:rsidRDefault="00F11CE5" w:rsidP="00F11CE5">
      <w:pPr>
        <w:widowControl w:val="0"/>
        <w:ind w:left="720" w:hanging="720"/>
        <w:jc w:val="both"/>
        <w:rPr>
          <w:b/>
          <w:sz w:val="20"/>
          <w:szCs w:val="20"/>
        </w:rPr>
      </w:pPr>
    </w:p>
    <w:p w:rsidR="00F11CE5" w:rsidRPr="00A84568" w:rsidRDefault="00F11CE5" w:rsidP="00F11CE5">
      <w:pPr>
        <w:pStyle w:val="SCCBanSummary"/>
        <w:rPr>
          <w:sz w:val="20"/>
          <w:szCs w:val="20"/>
        </w:rPr>
      </w:pPr>
      <w:r w:rsidRPr="00A84568">
        <w:rPr>
          <w:sz w:val="20"/>
          <w:szCs w:val="20"/>
        </w:rPr>
        <w:t xml:space="preserve">(Publication </w:t>
      </w:r>
      <w:r>
        <w:rPr>
          <w:sz w:val="20"/>
          <w:szCs w:val="20"/>
        </w:rPr>
        <w:t>B</w:t>
      </w:r>
      <w:r w:rsidRPr="00A84568">
        <w:rPr>
          <w:sz w:val="20"/>
          <w:szCs w:val="20"/>
        </w:rPr>
        <w:t xml:space="preserve">an in </w:t>
      </w:r>
      <w:r>
        <w:rPr>
          <w:sz w:val="20"/>
          <w:szCs w:val="20"/>
        </w:rPr>
        <w:t>C</w:t>
      </w:r>
      <w:r w:rsidRPr="00A84568">
        <w:rPr>
          <w:sz w:val="20"/>
          <w:szCs w:val="20"/>
        </w:rPr>
        <w:t xml:space="preserve">ase) (Publication </w:t>
      </w:r>
      <w:r>
        <w:rPr>
          <w:sz w:val="20"/>
          <w:szCs w:val="20"/>
        </w:rPr>
        <w:t>B</w:t>
      </w:r>
      <w:r w:rsidRPr="00A84568">
        <w:rPr>
          <w:sz w:val="20"/>
          <w:szCs w:val="20"/>
        </w:rPr>
        <w:t xml:space="preserve">an on </w:t>
      </w:r>
      <w:r>
        <w:rPr>
          <w:sz w:val="20"/>
          <w:szCs w:val="20"/>
        </w:rPr>
        <w:t>P</w:t>
      </w:r>
      <w:r w:rsidRPr="00A84568">
        <w:rPr>
          <w:sz w:val="20"/>
          <w:szCs w:val="20"/>
        </w:rPr>
        <w:t>arty)</w:t>
      </w:r>
    </w:p>
    <w:p w:rsidR="00F11CE5" w:rsidRPr="00A84568" w:rsidRDefault="00F11CE5" w:rsidP="00F11CE5">
      <w:pPr>
        <w:widowControl w:val="0"/>
        <w:jc w:val="both"/>
        <w:rPr>
          <w:sz w:val="20"/>
          <w:szCs w:val="20"/>
        </w:rPr>
      </w:pPr>
    </w:p>
    <w:p w:rsidR="00F11CE5" w:rsidRPr="00A84568" w:rsidRDefault="00F11CE5" w:rsidP="00F11CE5">
      <w:pPr>
        <w:jc w:val="both"/>
        <w:rPr>
          <w:sz w:val="20"/>
          <w:szCs w:val="20"/>
        </w:rPr>
      </w:pPr>
      <w:r w:rsidRPr="00A84568">
        <w:rPr>
          <w:sz w:val="20"/>
          <w:szCs w:val="20"/>
        </w:rPr>
        <w:t xml:space="preserve">Extradition - Double criminality rule - Defence of necessity - Defence recognized in </w:t>
      </w:r>
      <w:r w:rsidRPr="00A84568">
        <w:rPr>
          <w:i/>
          <w:sz w:val="20"/>
          <w:szCs w:val="20"/>
        </w:rPr>
        <w:t>Criminal Code</w:t>
      </w:r>
      <w:r w:rsidRPr="00A84568">
        <w:rPr>
          <w:sz w:val="20"/>
          <w:szCs w:val="20"/>
        </w:rPr>
        <w:t xml:space="preserve"> but unavailable in requesting state - Whether defence negates </w:t>
      </w:r>
      <w:r w:rsidRPr="00A84568">
        <w:rPr>
          <w:i/>
          <w:sz w:val="20"/>
          <w:szCs w:val="20"/>
        </w:rPr>
        <w:t>mens rea</w:t>
      </w:r>
      <w:r w:rsidRPr="00A84568">
        <w:rPr>
          <w:sz w:val="20"/>
          <w:szCs w:val="20"/>
        </w:rPr>
        <w:t xml:space="preserve"> required for conviction of abduction in Canada such that Canadian offence cannot be held to be same as U.S. offence for which extradition sought? - Whether appellant’s acts were punishable in Canada and whether double criminality rule is met? - Whether unavailability of defence in U.S. must be considered by Minister of Justice at surrender stage? - Best interest of child - Whether Minister failed to properly consider and take into account best interest of appellant’s children? - </w:t>
      </w:r>
      <w:r w:rsidRPr="00A84568">
        <w:rPr>
          <w:i/>
          <w:sz w:val="20"/>
          <w:szCs w:val="20"/>
        </w:rPr>
        <w:t>Criminal Code</w:t>
      </w:r>
      <w:r w:rsidRPr="00A84568">
        <w:rPr>
          <w:sz w:val="20"/>
          <w:szCs w:val="20"/>
        </w:rPr>
        <w:t xml:space="preserve">, R.S.C., 1985, c. C-46, s. 285 - </w:t>
      </w:r>
      <w:r w:rsidRPr="00A84568">
        <w:rPr>
          <w:i/>
          <w:sz w:val="20"/>
          <w:szCs w:val="20"/>
        </w:rPr>
        <w:t>Extradition Act</w:t>
      </w:r>
      <w:r w:rsidRPr="00A84568">
        <w:rPr>
          <w:sz w:val="20"/>
          <w:szCs w:val="20"/>
        </w:rPr>
        <w:t>, S.C. 1999, c. 18, s. 44(1)</w:t>
      </w:r>
      <w:r w:rsidRPr="00A84568">
        <w:rPr>
          <w:i/>
          <w:sz w:val="20"/>
          <w:szCs w:val="20"/>
        </w:rPr>
        <w:t>a</w:t>
      </w:r>
      <w:r w:rsidRPr="00A84568">
        <w:rPr>
          <w:sz w:val="20"/>
          <w:szCs w:val="20"/>
        </w:rPr>
        <w:t xml:space="preserve">). </w:t>
      </w:r>
    </w:p>
    <w:p w:rsidR="00F11CE5" w:rsidRPr="00A84568" w:rsidRDefault="00F11CE5" w:rsidP="00F11CE5">
      <w:pPr>
        <w:widowControl w:val="0"/>
        <w:jc w:val="both"/>
        <w:rPr>
          <w:sz w:val="20"/>
          <w:szCs w:val="20"/>
        </w:rPr>
      </w:pPr>
    </w:p>
    <w:p w:rsidR="00F11CE5" w:rsidRPr="00A84568" w:rsidRDefault="00F11CE5" w:rsidP="00F11CE5">
      <w:pPr>
        <w:jc w:val="both"/>
        <w:rPr>
          <w:sz w:val="20"/>
          <w:szCs w:val="20"/>
        </w:rPr>
      </w:pPr>
      <w:r w:rsidRPr="00A84568">
        <w:rPr>
          <w:sz w:val="20"/>
          <w:szCs w:val="20"/>
        </w:rPr>
        <w:t xml:space="preserve">In October 2010, the appellant’s ex-husband reported the couple’s three minor children missing in the State of Georgia in the United States of America. He had sole custody of the children while the appellant had no visitation rights. The children later testified that they had run away, without the appellant’s knowledge, on account of their father's ill treatment and violence. They claimed to have contacted the appellant more than one week later. </w:t>
      </w:r>
    </w:p>
    <w:p w:rsidR="00F11CE5" w:rsidRPr="00A84568" w:rsidRDefault="00F11CE5" w:rsidP="00F11CE5">
      <w:pPr>
        <w:rPr>
          <w:sz w:val="20"/>
          <w:szCs w:val="20"/>
        </w:rPr>
      </w:pPr>
    </w:p>
    <w:p w:rsidR="00F11CE5" w:rsidRPr="00A84568" w:rsidRDefault="00F11CE5" w:rsidP="00F11CE5">
      <w:pPr>
        <w:jc w:val="both"/>
        <w:rPr>
          <w:sz w:val="20"/>
          <w:szCs w:val="20"/>
        </w:rPr>
      </w:pPr>
      <w:r w:rsidRPr="00A84568">
        <w:rPr>
          <w:sz w:val="20"/>
          <w:szCs w:val="20"/>
        </w:rPr>
        <w:t xml:space="preserve">In December 2010, Georgia police located the appellant and her children in a battered women’s shelter in the Province of Quebec. The appellant was arrested and her extradition was sought by the U.S. to face charges in Georgia for Interstate Interference with Custody. A request for extradition was issued in February 2011, listing the equivalent Canadian offences of abduction in contravention of a custody order (s. 282 of the </w:t>
      </w:r>
      <w:r w:rsidRPr="00A84568">
        <w:rPr>
          <w:i/>
          <w:sz w:val="20"/>
          <w:szCs w:val="20"/>
        </w:rPr>
        <w:t>Criminal Code</w:t>
      </w:r>
      <w:r w:rsidRPr="00A84568">
        <w:rPr>
          <w:sz w:val="20"/>
          <w:szCs w:val="20"/>
        </w:rPr>
        <w:t xml:space="preserve">) and abduction of a person under sixteen (s. 280). </w:t>
      </w:r>
    </w:p>
    <w:p w:rsidR="00F11CE5" w:rsidRPr="00A84568" w:rsidRDefault="00F11CE5" w:rsidP="00F11CE5">
      <w:pPr>
        <w:rPr>
          <w:sz w:val="20"/>
          <w:szCs w:val="20"/>
        </w:rPr>
      </w:pPr>
    </w:p>
    <w:p w:rsidR="00F11CE5" w:rsidRPr="00A84568" w:rsidRDefault="00F11CE5" w:rsidP="00F11CE5">
      <w:pPr>
        <w:jc w:val="both"/>
        <w:rPr>
          <w:sz w:val="20"/>
          <w:szCs w:val="20"/>
        </w:rPr>
      </w:pPr>
      <w:r w:rsidRPr="00A84568">
        <w:rPr>
          <w:sz w:val="20"/>
          <w:szCs w:val="20"/>
        </w:rPr>
        <w:t xml:space="preserve">Although an application seeking the appellant’s committal for extradition was initially dismissed, that decision was overturned on appeal and the appellant was committed into custody. The Minister of Justice then ordered the appellant’s surrender for extradition, rejecting arguments that ordering her surrender would be unjust or oppressive in light of the best interest of her children and in light of the unavailability of the defence of necessity in the U.S. </w:t>
      </w:r>
    </w:p>
    <w:p w:rsidR="00F11CE5" w:rsidRPr="00A84568" w:rsidRDefault="00F11CE5" w:rsidP="00F11CE5">
      <w:pPr>
        <w:widowControl w:val="0"/>
        <w:jc w:val="both"/>
        <w:rPr>
          <w:sz w:val="20"/>
          <w:szCs w:val="20"/>
        </w:rPr>
      </w:pPr>
    </w:p>
    <w:p w:rsidR="00F11CE5" w:rsidRPr="00A84568" w:rsidRDefault="00F11CE5" w:rsidP="00F11CE5">
      <w:pPr>
        <w:widowControl w:val="0"/>
        <w:jc w:val="both"/>
        <w:rPr>
          <w:sz w:val="20"/>
          <w:szCs w:val="20"/>
        </w:rPr>
      </w:pPr>
    </w:p>
    <w:p w:rsidR="00F11CE5" w:rsidRPr="00A84568" w:rsidRDefault="00F11CE5" w:rsidP="00F11CE5">
      <w:pPr>
        <w:widowControl w:val="0"/>
        <w:ind w:left="2880" w:hanging="2880"/>
        <w:jc w:val="both"/>
        <w:rPr>
          <w:sz w:val="20"/>
          <w:szCs w:val="20"/>
        </w:rPr>
      </w:pPr>
      <w:r w:rsidRPr="00A84568">
        <w:rPr>
          <w:sz w:val="20"/>
          <w:szCs w:val="20"/>
        </w:rPr>
        <w:t>Origin of the case:</w:t>
      </w:r>
      <w:r w:rsidRPr="00A84568">
        <w:rPr>
          <w:sz w:val="20"/>
          <w:szCs w:val="20"/>
        </w:rPr>
        <w:tab/>
        <w:t>Quebec</w:t>
      </w:r>
    </w:p>
    <w:p w:rsidR="00F11CE5" w:rsidRPr="00A84568" w:rsidRDefault="00F11CE5" w:rsidP="00F11CE5">
      <w:pPr>
        <w:widowControl w:val="0"/>
        <w:ind w:left="2880" w:hanging="2880"/>
        <w:jc w:val="both"/>
        <w:rPr>
          <w:sz w:val="20"/>
          <w:szCs w:val="20"/>
        </w:rPr>
      </w:pPr>
    </w:p>
    <w:p w:rsidR="00F11CE5" w:rsidRPr="00A84568" w:rsidRDefault="00F11CE5" w:rsidP="00F11CE5">
      <w:pPr>
        <w:widowControl w:val="0"/>
        <w:ind w:left="2880" w:hanging="2880"/>
        <w:jc w:val="both"/>
        <w:rPr>
          <w:sz w:val="20"/>
          <w:szCs w:val="20"/>
        </w:rPr>
      </w:pPr>
      <w:r w:rsidRPr="00A84568">
        <w:rPr>
          <w:sz w:val="20"/>
          <w:szCs w:val="20"/>
        </w:rPr>
        <w:t>File No.:</w:t>
      </w:r>
      <w:r w:rsidRPr="00A84568">
        <w:rPr>
          <w:sz w:val="20"/>
          <w:szCs w:val="20"/>
        </w:rPr>
        <w:tab/>
        <w:t>35838</w:t>
      </w:r>
    </w:p>
    <w:p w:rsidR="00F11CE5" w:rsidRPr="00A84568" w:rsidRDefault="00F11CE5" w:rsidP="00F11CE5">
      <w:pPr>
        <w:widowControl w:val="0"/>
        <w:ind w:left="2880" w:hanging="2880"/>
        <w:jc w:val="both"/>
        <w:rPr>
          <w:sz w:val="20"/>
          <w:szCs w:val="20"/>
        </w:rPr>
      </w:pPr>
    </w:p>
    <w:p w:rsidR="00F11CE5" w:rsidRPr="00A84568" w:rsidRDefault="00F11CE5" w:rsidP="00F11CE5">
      <w:pPr>
        <w:widowControl w:val="0"/>
        <w:ind w:left="2880" w:hanging="2880"/>
        <w:jc w:val="both"/>
        <w:rPr>
          <w:sz w:val="20"/>
          <w:szCs w:val="20"/>
        </w:rPr>
      </w:pPr>
      <w:r w:rsidRPr="00A84568">
        <w:rPr>
          <w:sz w:val="20"/>
          <w:szCs w:val="20"/>
        </w:rPr>
        <w:t>Judgments of the Court of Appeal:</w:t>
      </w:r>
      <w:r w:rsidRPr="00A84568">
        <w:rPr>
          <w:sz w:val="20"/>
          <w:szCs w:val="20"/>
        </w:rPr>
        <w:tab/>
        <w:t>June 15, 2012 and April 4, 2012</w:t>
      </w:r>
    </w:p>
    <w:p w:rsidR="00F11CE5" w:rsidRPr="00A84568" w:rsidRDefault="00F11CE5" w:rsidP="00F11CE5">
      <w:pPr>
        <w:widowControl w:val="0"/>
        <w:ind w:left="2880" w:hanging="2880"/>
        <w:jc w:val="both"/>
        <w:rPr>
          <w:sz w:val="20"/>
          <w:szCs w:val="20"/>
        </w:rPr>
      </w:pPr>
    </w:p>
    <w:p w:rsidR="00F11CE5" w:rsidRPr="00A84568" w:rsidRDefault="00F11CE5" w:rsidP="00F11CE5">
      <w:pPr>
        <w:widowControl w:val="0"/>
        <w:ind w:left="2880" w:hanging="2880"/>
        <w:jc w:val="both"/>
        <w:rPr>
          <w:sz w:val="20"/>
          <w:szCs w:val="20"/>
        </w:rPr>
      </w:pPr>
      <w:r w:rsidRPr="00A84568">
        <w:rPr>
          <w:sz w:val="20"/>
          <w:szCs w:val="20"/>
        </w:rPr>
        <w:t>Counsel:</w:t>
      </w:r>
      <w:r w:rsidRPr="00A84568">
        <w:rPr>
          <w:sz w:val="20"/>
          <w:szCs w:val="20"/>
        </w:rPr>
        <w:tab/>
        <w:t>Julius Grey and Cornelia Herta-Zvezdin for the appellant</w:t>
      </w:r>
    </w:p>
    <w:p w:rsidR="00F11CE5" w:rsidRPr="00A84568" w:rsidRDefault="00F11CE5" w:rsidP="00F11CE5">
      <w:pPr>
        <w:widowControl w:val="0"/>
        <w:ind w:left="2880" w:hanging="2880"/>
        <w:jc w:val="both"/>
        <w:rPr>
          <w:sz w:val="20"/>
          <w:szCs w:val="20"/>
        </w:rPr>
      </w:pPr>
      <w:r w:rsidRPr="00A84568">
        <w:rPr>
          <w:sz w:val="20"/>
          <w:szCs w:val="20"/>
        </w:rPr>
        <w:tab/>
        <w:t>Constantina Antonopoulos for the respondent</w:t>
      </w:r>
    </w:p>
    <w:p w:rsidR="002A44EA" w:rsidRPr="00DD0B49" w:rsidRDefault="002A44EA" w:rsidP="002A44EA">
      <w:pPr>
        <w:tabs>
          <w:tab w:val="left" w:pos="-1440"/>
          <w:tab w:val="left" w:pos="-720"/>
        </w:tabs>
        <w:jc w:val="both"/>
        <w:rPr>
          <w:sz w:val="20"/>
          <w:szCs w:val="20"/>
          <w:lang w:val="fr-CA"/>
        </w:rPr>
      </w:pPr>
    </w:p>
    <w:p w:rsidR="002A44EA" w:rsidRDefault="003A60BB" w:rsidP="002A44EA">
      <w:pPr>
        <w:tabs>
          <w:tab w:val="left" w:pos="-1440"/>
          <w:tab w:val="left" w:pos="-720"/>
        </w:tabs>
        <w:jc w:val="both"/>
        <w:rPr>
          <w:sz w:val="20"/>
          <w:szCs w:val="20"/>
          <w:lang w:val="fr-CA"/>
        </w:rPr>
      </w:pPr>
      <w:r>
        <w:rPr>
          <w:sz w:val="20"/>
          <w:szCs w:val="20"/>
          <w:lang w:val="fr-CA"/>
        </w:rPr>
        <w:pict>
          <v:rect id="_x0000_i1091" style="width:2in;height:1pt" o:hrpct="0" o:hralign="center" o:hrstd="t" o:hrnoshade="t" o:hr="t" fillcolor="black [3213]" stroked="f"/>
        </w:pict>
      </w:r>
    </w:p>
    <w:p w:rsidR="002A44EA" w:rsidRDefault="002A44EA" w:rsidP="002A44EA">
      <w:pPr>
        <w:tabs>
          <w:tab w:val="left" w:pos="-1440"/>
          <w:tab w:val="left" w:pos="-720"/>
        </w:tabs>
        <w:jc w:val="both"/>
        <w:rPr>
          <w:sz w:val="20"/>
          <w:szCs w:val="20"/>
          <w:lang w:val="fr-CA"/>
        </w:rPr>
      </w:pPr>
    </w:p>
    <w:p w:rsidR="002A44EA" w:rsidRDefault="002A44EA">
      <w:pPr>
        <w:rPr>
          <w:sz w:val="20"/>
          <w:szCs w:val="20"/>
          <w:lang w:val="fr-CA"/>
        </w:rPr>
      </w:pPr>
    </w:p>
    <w:p w:rsidR="002A44EA" w:rsidRDefault="002A44EA">
      <w:pPr>
        <w:rPr>
          <w:sz w:val="20"/>
          <w:szCs w:val="20"/>
          <w:lang w:val="fr-CA"/>
        </w:rPr>
      </w:pPr>
      <w:r>
        <w:rPr>
          <w:sz w:val="20"/>
          <w:szCs w:val="20"/>
          <w:lang w:val="fr-CA"/>
        </w:rPr>
        <w:br w:type="page"/>
      </w:r>
    </w:p>
    <w:p w:rsidR="00F11CE5" w:rsidRPr="006105F2" w:rsidRDefault="00F11CE5" w:rsidP="00F11CE5">
      <w:pPr>
        <w:widowControl w:val="0"/>
        <w:ind w:left="720" w:hanging="720"/>
        <w:jc w:val="both"/>
        <w:rPr>
          <w:b/>
          <w:i/>
          <w:sz w:val="20"/>
          <w:szCs w:val="20"/>
          <w:lang w:val="fr-CA"/>
        </w:rPr>
      </w:pPr>
      <w:r w:rsidRPr="006105F2">
        <w:rPr>
          <w:b/>
          <w:sz w:val="20"/>
          <w:szCs w:val="20"/>
          <w:lang w:val="fr-CA"/>
        </w:rPr>
        <w:t>35838</w:t>
      </w:r>
      <w:r w:rsidR="003A0C94" w:rsidRPr="006105F2">
        <w:rPr>
          <w:b/>
          <w:sz w:val="20"/>
          <w:szCs w:val="20"/>
        </w:rPr>
        <w:fldChar w:fldCharType="begin"/>
      </w:r>
      <w:r w:rsidRPr="006105F2">
        <w:rPr>
          <w:b/>
          <w:sz w:val="20"/>
          <w:szCs w:val="20"/>
          <w:lang w:val="fr-CA"/>
        </w:rPr>
        <w:instrText xml:space="preserve"> SEQ CHAPTER \h \r 1</w:instrText>
      </w:r>
      <w:r w:rsidR="003A0C94" w:rsidRPr="006105F2">
        <w:rPr>
          <w:b/>
          <w:sz w:val="20"/>
          <w:szCs w:val="20"/>
        </w:rPr>
        <w:fldChar w:fldCharType="end"/>
      </w:r>
      <w:r w:rsidRPr="006105F2">
        <w:rPr>
          <w:b/>
          <w:sz w:val="20"/>
          <w:szCs w:val="20"/>
          <w:lang w:val="fr-CA"/>
        </w:rPr>
        <w:tab/>
      </w:r>
      <w:r w:rsidRPr="006105F2">
        <w:rPr>
          <w:b/>
          <w:i/>
          <w:sz w:val="20"/>
          <w:szCs w:val="20"/>
          <w:lang w:val="fr-CA"/>
        </w:rPr>
        <w:t xml:space="preserve">M.M. alias M.M.M. c. Ministre de la Justice du Canada au nom des États-Unis d’Amérique </w:t>
      </w:r>
    </w:p>
    <w:p w:rsidR="00F11CE5" w:rsidRPr="006105F2" w:rsidRDefault="00F11CE5" w:rsidP="00F11CE5">
      <w:pPr>
        <w:widowControl w:val="0"/>
        <w:ind w:left="720" w:hanging="720"/>
        <w:jc w:val="both"/>
        <w:rPr>
          <w:b/>
          <w:sz w:val="20"/>
          <w:szCs w:val="20"/>
          <w:lang w:val="fr-CA"/>
        </w:rPr>
      </w:pPr>
    </w:p>
    <w:p w:rsidR="00F11CE5" w:rsidRPr="006105F2" w:rsidRDefault="00F11CE5" w:rsidP="00F11CE5">
      <w:pPr>
        <w:pStyle w:val="SCCBanSummary"/>
        <w:rPr>
          <w:sz w:val="20"/>
          <w:szCs w:val="20"/>
          <w:lang w:val="fr-CA"/>
        </w:rPr>
      </w:pPr>
      <w:r w:rsidRPr="006105F2">
        <w:rPr>
          <w:sz w:val="20"/>
          <w:szCs w:val="20"/>
          <w:lang w:val="fr-CA"/>
        </w:rPr>
        <w:t>(Ordonnance de non-publication au dossier) (Ordonnance de non-publication visant une partie)</w:t>
      </w:r>
    </w:p>
    <w:p w:rsidR="00F11CE5" w:rsidRPr="006105F2" w:rsidRDefault="00F11CE5" w:rsidP="00F11CE5">
      <w:pPr>
        <w:widowControl w:val="0"/>
        <w:jc w:val="both"/>
        <w:rPr>
          <w:sz w:val="20"/>
          <w:szCs w:val="20"/>
          <w:lang w:val="fr-CA"/>
        </w:rPr>
      </w:pPr>
    </w:p>
    <w:p w:rsidR="00F11CE5" w:rsidRPr="006105F2" w:rsidRDefault="00F11CE5" w:rsidP="00F11CE5">
      <w:pPr>
        <w:jc w:val="both"/>
        <w:rPr>
          <w:sz w:val="20"/>
          <w:szCs w:val="20"/>
          <w:lang w:val="fr-CA"/>
        </w:rPr>
      </w:pPr>
      <w:r w:rsidRPr="006105F2">
        <w:rPr>
          <w:sz w:val="20"/>
          <w:szCs w:val="20"/>
          <w:lang w:val="fr-CA"/>
        </w:rPr>
        <w:t xml:space="preserve">Extradition - Règle de la double incrimination - Moyen de défense fondé sur la nécessité - Moyen de défense reconnu au </w:t>
      </w:r>
      <w:r w:rsidRPr="006105F2">
        <w:rPr>
          <w:i/>
          <w:sz w:val="20"/>
          <w:szCs w:val="20"/>
          <w:lang w:val="fr-CA"/>
        </w:rPr>
        <w:t>Code criminel</w:t>
      </w:r>
      <w:r w:rsidRPr="006105F2">
        <w:rPr>
          <w:sz w:val="20"/>
          <w:szCs w:val="20"/>
          <w:lang w:val="fr-CA"/>
        </w:rPr>
        <w:t xml:space="preserve"> mais non dans l’État requérant - Le moyen de défense annule-t-il la </w:t>
      </w:r>
      <w:r w:rsidRPr="006105F2">
        <w:rPr>
          <w:i/>
          <w:sz w:val="20"/>
          <w:szCs w:val="20"/>
          <w:lang w:val="fr-CA"/>
        </w:rPr>
        <w:t>mens rea</w:t>
      </w:r>
      <w:r w:rsidRPr="006105F2">
        <w:rPr>
          <w:sz w:val="20"/>
          <w:szCs w:val="20"/>
          <w:lang w:val="fr-CA"/>
        </w:rPr>
        <w:t xml:space="preserve"> requise pour qu’une personne soit reconnue coupable d’enlèvement au Canada de sorte que l’on ne puisse conclure que l’infraction prévue au Canada est la même que l’infraction américaine pour laquelle l’extradition est demandée? - Les actes de l’appelante étaient-ils punissables au Canada, et la règle de la double incrimination s’applique-t-elle? - Le ministre de la Justice doit-il, à l’étape de l’arrêté d’extradition, prendre en compte l’irrecevabilité aux États-Unis du moyen de défense fondé sur la nécessité? - Intérêt supérieur de l’enfant - Le ministre a-t-il examiné et pris en compte comme il se doit l’intérêt supérieur des enfants de l’appelante? - </w:t>
      </w:r>
      <w:r w:rsidRPr="006105F2">
        <w:rPr>
          <w:i/>
          <w:sz w:val="20"/>
          <w:szCs w:val="20"/>
          <w:lang w:val="fr-CA"/>
        </w:rPr>
        <w:t>Code Criminel</w:t>
      </w:r>
      <w:r w:rsidRPr="006105F2">
        <w:rPr>
          <w:sz w:val="20"/>
          <w:szCs w:val="20"/>
          <w:lang w:val="fr-CA"/>
        </w:rPr>
        <w:t xml:space="preserve">, L.R.C. 1985, c. C-46, art. 285 - </w:t>
      </w:r>
      <w:r w:rsidRPr="006105F2">
        <w:rPr>
          <w:i/>
          <w:sz w:val="20"/>
          <w:szCs w:val="20"/>
          <w:lang w:val="fr-CA"/>
        </w:rPr>
        <w:t>Loi sur l’extradition</w:t>
      </w:r>
      <w:r w:rsidRPr="006105F2">
        <w:rPr>
          <w:sz w:val="20"/>
          <w:szCs w:val="20"/>
          <w:lang w:val="fr-CA"/>
        </w:rPr>
        <w:t>, L.C. 1999, c. 18, art. 44(1)</w:t>
      </w:r>
      <w:r w:rsidRPr="006105F2">
        <w:rPr>
          <w:i/>
          <w:sz w:val="20"/>
          <w:szCs w:val="20"/>
          <w:lang w:val="fr-CA"/>
        </w:rPr>
        <w:t>a</w:t>
      </w:r>
      <w:r w:rsidRPr="006105F2">
        <w:rPr>
          <w:sz w:val="20"/>
          <w:szCs w:val="20"/>
          <w:lang w:val="fr-CA"/>
        </w:rPr>
        <w:t xml:space="preserve">). </w:t>
      </w:r>
    </w:p>
    <w:p w:rsidR="00F11CE5" w:rsidRPr="006105F2" w:rsidRDefault="00F11CE5" w:rsidP="00F11CE5">
      <w:pPr>
        <w:widowControl w:val="0"/>
        <w:jc w:val="both"/>
        <w:rPr>
          <w:sz w:val="20"/>
          <w:szCs w:val="20"/>
          <w:lang w:val="fr-CA"/>
        </w:rPr>
      </w:pPr>
    </w:p>
    <w:p w:rsidR="00F11CE5" w:rsidRPr="006105F2" w:rsidRDefault="00F11CE5" w:rsidP="00F11CE5">
      <w:pPr>
        <w:jc w:val="both"/>
        <w:rPr>
          <w:sz w:val="20"/>
          <w:szCs w:val="20"/>
          <w:lang w:val="fr-CA"/>
        </w:rPr>
      </w:pPr>
      <w:r w:rsidRPr="006105F2">
        <w:rPr>
          <w:sz w:val="20"/>
          <w:szCs w:val="20"/>
          <w:lang w:val="fr-CA"/>
        </w:rPr>
        <w:t xml:space="preserve">En octobre 2010, l’ex-époux de l’appelante a signalé la disparition des trois enfants mineurs du couple dans l’État de la Georgie, aux États-Unis d’Amérique. Il avait la garde exclusive des enfants et l’appelante n’avait aucun droit de visite. Les enfants ont plus tard déclaré avoir fugué à l’insu de l’appelante en raison des mauvais traitements et de la violence que leur infligeait leur père. Ils ont prétendu avoir communiqué avec leur mère plus d’une semaine plus tard. </w:t>
      </w:r>
    </w:p>
    <w:p w:rsidR="00F11CE5" w:rsidRPr="006105F2" w:rsidRDefault="00F11CE5" w:rsidP="00F11CE5">
      <w:pPr>
        <w:rPr>
          <w:sz w:val="20"/>
          <w:szCs w:val="20"/>
          <w:lang w:val="fr-CA"/>
        </w:rPr>
      </w:pPr>
    </w:p>
    <w:p w:rsidR="00F11CE5" w:rsidRPr="006105F2" w:rsidRDefault="00F11CE5" w:rsidP="00F11CE5">
      <w:pPr>
        <w:jc w:val="both"/>
        <w:rPr>
          <w:sz w:val="20"/>
          <w:szCs w:val="20"/>
          <w:lang w:val="fr-CA"/>
        </w:rPr>
      </w:pPr>
      <w:r w:rsidRPr="006105F2">
        <w:rPr>
          <w:sz w:val="20"/>
          <w:szCs w:val="20"/>
          <w:lang w:val="fr-CA"/>
        </w:rPr>
        <w:t xml:space="preserve">En décembre 2010, la police de la Georgie a retrouvé l’appelante et ses enfants dans un refuge pour femmes battues dans la province de Québec. L’appelante a été arrêtée et les États-Unis ont demandé son extradition pour qu’elle réponde en Georgie à des accusations d’obstruction interétatique au droit de garde. Une demande d’extradition présentée en février 2011 indiquait les infractions correspondant, au Canada, à l’enlèvement en contravention avec une ordonnance de garde (art. 282 du </w:t>
      </w:r>
      <w:r w:rsidRPr="006105F2">
        <w:rPr>
          <w:i/>
          <w:sz w:val="20"/>
          <w:szCs w:val="20"/>
          <w:lang w:val="fr-CA"/>
        </w:rPr>
        <w:t>Code criminel</w:t>
      </w:r>
      <w:r w:rsidRPr="006105F2">
        <w:rPr>
          <w:sz w:val="20"/>
          <w:szCs w:val="20"/>
          <w:lang w:val="fr-CA"/>
        </w:rPr>
        <w:t xml:space="preserve">) et à l’enlèvement d’une personne âgée de moins de 16 ans (art. 280). </w:t>
      </w:r>
    </w:p>
    <w:p w:rsidR="00F11CE5" w:rsidRPr="006105F2" w:rsidRDefault="00F11CE5" w:rsidP="00F11CE5">
      <w:pPr>
        <w:rPr>
          <w:sz w:val="20"/>
          <w:szCs w:val="20"/>
          <w:lang w:val="fr-CA"/>
        </w:rPr>
      </w:pPr>
    </w:p>
    <w:p w:rsidR="00F11CE5" w:rsidRPr="006105F2" w:rsidRDefault="00F11CE5" w:rsidP="00F11CE5">
      <w:pPr>
        <w:jc w:val="both"/>
        <w:rPr>
          <w:sz w:val="20"/>
          <w:szCs w:val="20"/>
          <w:lang w:val="fr-CA"/>
        </w:rPr>
      </w:pPr>
      <w:r w:rsidRPr="006105F2">
        <w:rPr>
          <w:sz w:val="20"/>
          <w:szCs w:val="20"/>
          <w:lang w:val="fr-CA"/>
        </w:rPr>
        <w:t xml:space="preserve">Bien qu’une demande d’incarcération en vue de l’extradition ait été initialement rejetée, cette décision a été infirmée en appel et l’incarcération de l’appelante a été ordonnée. Le ministre de la Justice a alors ordonné l’extradition de l’appelante, rejetant les arguments selon lesquels son extradition serait injuste ou tyrannique compte tenu de l’intérêt supérieur de ses enfants et du fait de l’irrecevabilité aux États-Unis du moyen de défense fondé sur la nécessité. </w:t>
      </w:r>
    </w:p>
    <w:p w:rsidR="00F11CE5" w:rsidRPr="006105F2" w:rsidRDefault="00F11CE5" w:rsidP="00F11CE5">
      <w:pPr>
        <w:widowControl w:val="0"/>
        <w:jc w:val="both"/>
        <w:rPr>
          <w:sz w:val="20"/>
          <w:szCs w:val="20"/>
          <w:lang w:val="fr-CA"/>
        </w:rPr>
      </w:pPr>
    </w:p>
    <w:p w:rsidR="00F11CE5" w:rsidRPr="006105F2" w:rsidRDefault="00F11CE5" w:rsidP="00F11CE5">
      <w:pPr>
        <w:widowControl w:val="0"/>
        <w:jc w:val="both"/>
        <w:rPr>
          <w:sz w:val="20"/>
          <w:szCs w:val="20"/>
          <w:lang w:val="fr-CA"/>
        </w:rPr>
      </w:pPr>
    </w:p>
    <w:p w:rsidR="00F11CE5" w:rsidRPr="006105F2" w:rsidRDefault="00F11CE5" w:rsidP="00F11CE5">
      <w:pPr>
        <w:widowControl w:val="0"/>
        <w:ind w:left="2880" w:hanging="2880"/>
        <w:jc w:val="both"/>
        <w:rPr>
          <w:sz w:val="20"/>
          <w:szCs w:val="20"/>
          <w:lang w:val="fr-CA"/>
        </w:rPr>
      </w:pPr>
      <w:r w:rsidRPr="006105F2">
        <w:rPr>
          <w:sz w:val="20"/>
          <w:szCs w:val="20"/>
          <w:lang w:val="fr-CA"/>
        </w:rPr>
        <w:t>Origine :</w:t>
      </w:r>
      <w:r w:rsidRPr="006105F2">
        <w:rPr>
          <w:sz w:val="20"/>
          <w:szCs w:val="20"/>
          <w:lang w:val="fr-CA"/>
        </w:rPr>
        <w:tab/>
        <w:t>Québec</w:t>
      </w:r>
    </w:p>
    <w:p w:rsidR="00F11CE5" w:rsidRPr="006105F2" w:rsidRDefault="00F11CE5" w:rsidP="00F11CE5">
      <w:pPr>
        <w:widowControl w:val="0"/>
        <w:ind w:left="2880" w:hanging="2880"/>
        <w:jc w:val="both"/>
        <w:rPr>
          <w:sz w:val="20"/>
          <w:szCs w:val="20"/>
          <w:lang w:val="fr-CA"/>
        </w:rPr>
      </w:pPr>
    </w:p>
    <w:p w:rsidR="00F11CE5" w:rsidRPr="006105F2" w:rsidRDefault="00F11CE5" w:rsidP="00F11CE5">
      <w:pPr>
        <w:widowControl w:val="0"/>
        <w:ind w:left="2880" w:hanging="2880"/>
        <w:jc w:val="both"/>
        <w:rPr>
          <w:sz w:val="20"/>
          <w:szCs w:val="20"/>
          <w:lang w:val="fr-CA"/>
        </w:rPr>
      </w:pPr>
      <w:r w:rsidRPr="006105F2">
        <w:rPr>
          <w:sz w:val="20"/>
          <w:szCs w:val="20"/>
          <w:lang w:val="fr-CA"/>
        </w:rPr>
        <w:t>N</w:t>
      </w:r>
      <w:r w:rsidRPr="006105F2">
        <w:rPr>
          <w:sz w:val="20"/>
          <w:szCs w:val="20"/>
          <w:vertAlign w:val="superscript"/>
          <w:lang w:val="fr-CA"/>
        </w:rPr>
        <w:t>o</w:t>
      </w:r>
      <w:r w:rsidRPr="006105F2">
        <w:rPr>
          <w:sz w:val="20"/>
          <w:szCs w:val="20"/>
          <w:lang w:val="fr-CA"/>
        </w:rPr>
        <w:t xml:space="preserve"> du greffe :</w:t>
      </w:r>
      <w:r w:rsidRPr="006105F2">
        <w:rPr>
          <w:sz w:val="20"/>
          <w:szCs w:val="20"/>
          <w:lang w:val="fr-CA"/>
        </w:rPr>
        <w:tab/>
        <w:t>35838</w:t>
      </w:r>
    </w:p>
    <w:p w:rsidR="00F11CE5" w:rsidRPr="006105F2" w:rsidRDefault="00F11CE5" w:rsidP="00F11CE5">
      <w:pPr>
        <w:widowControl w:val="0"/>
        <w:ind w:left="2880" w:hanging="2880"/>
        <w:jc w:val="both"/>
        <w:rPr>
          <w:sz w:val="20"/>
          <w:szCs w:val="20"/>
          <w:lang w:val="fr-CA"/>
        </w:rPr>
      </w:pPr>
    </w:p>
    <w:p w:rsidR="00F11CE5" w:rsidRPr="006105F2" w:rsidRDefault="00F11CE5" w:rsidP="00F11CE5">
      <w:pPr>
        <w:widowControl w:val="0"/>
        <w:ind w:left="2880" w:hanging="2880"/>
        <w:jc w:val="both"/>
        <w:rPr>
          <w:sz w:val="20"/>
          <w:szCs w:val="20"/>
          <w:lang w:val="fr-CA"/>
        </w:rPr>
      </w:pPr>
      <w:r w:rsidRPr="006105F2">
        <w:rPr>
          <w:sz w:val="20"/>
          <w:szCs w:val="20"/>
          <w:lang w:val="fr-CA"/>
        </w:rPr>
        <w:t>Arrêts de la Cour d’appel :</w:t>
      </w:r>
      <w:r w:rsidRPr="006105F2">
        <w:rPr>
          <w:sz w:val="20"/>
          <w:szCs w:val="20"/>
          <w:lang w:val="fr-CA"/>
        </w:rPr>
        <w:tab/>
        <w:t>15 juin 2012 et 4 avril 2012</w:t>
      </w:r>
    </w:p>
    <w:p w:rsidR="00F11CE5" w:rsidRPr="006105F2" w:rsidRDefault="00F11CE5" w:rsidP="00F11CE5">
      <w:pPr>
        <w:widowControl w:val="0"/>
        <w:ind w:left="2880" w:hanging="2880"/>
        <w:jc w:val="both"/>
        <w:rPr>
          <w:sz w:val="20"/>
          <w:szCs w:val="20"/>
          <w:lang w:val="fr-CA"/>
        </w:rPr>
      </w:pPr>
    </w:p>
    <w:p w:rsidR="00F11CE5" w:rsidRPr="006105F2" w:rsidRDefault="00F11CE5" w:rsidP="00F11CE5">
      <w:pPr>
        <w:widowControl w:val="0"/>
        <w:ind w:left="2880" w:hanging="2880"/>
        <w:jc w:val="both"/>
        <w:rPr>
          <w:sz w:val="20"/>
          <w:szCs w:val="20"/>
          <w:lang w:val="fr-CA"/>
        </w:rPr>
      </w:pPr>
      <w:r w:rsidRPr="006105F2">
        <w:rPr>
          <w:sz w:val="20"/>
          <w:szCs w:val="20"/>
          <w:lang w:val="fr-CA"/>
        </w:rPr>
        <w:t>Avocats :</w:t>
      </w:r>
      <w:r w:rsidRPr="006105F2">
        <w:rPr>
          <w:sz w:val="20"/>
          <w:szCs w:val="20"/>
          <w:lang w:val="fr-CA"/>
        </w:rPr>
        <w:tab/>
        <w:t>Julius Grey et Cornelia Herta-Zvezdin pour l’appelante</w:t>
      </w:r>
    </w:p>
    <w:p w:rsidR="00F11CE5" w:rsidRPr="006105F2" w:rsidRDefault="00F11CE5" w:rsidP="00F11CE5">
      <w:pPr>
        <w:widowControl w:val="0"/>
        <w:ind w:left="2880" w:hanging="2880"/>
        <w:jc w:val="both"/>
        <w:rPr>
          <w:sz w:val="20"/>
          <w:szCs w:val="20"/>
        </w:rPr>
      </w:pPr>
      <w:r w:rsidRPr="006105F2">
        <w:rPr>
          <w:sz w:val="20"/>
          <w:szCs w:val="20"/>
          <w:lang w:val="fr-CA"/>
        </w:rPr>
        <w:tab/>
      </w:r>
      <w:r w:rsidRPr="006105F2">
        <w:rPr>
          <w:sz w:val="20"/>
          <w:szCs w:val="20"/>
        </w:rPr>
        <w:t>Constantina Antonopoulos pour l’intimé</w:t>
      </w:r>
    </w:p>
    <w:p w:rsidR="002A44EA" w:rsidRPr="00DD0B49" w:rsidRDefault="002A44EA" w:rsidP="002A44EA">
      <w:pPr>
        <w:tabs>
          <w:tab w:val="left" w:pos="-1440"/>
          <w:tab w:val="left" w:pos="-720"/>
        </w:tabs>
        <w:jc w:val="both"/>
        <w:rPr>
          <w:sz w:val="20"/>
          <w:szCs w:val="20"/>
          <w:lang w:val="fr-CA"/>
        </w:rPr>
      </w:pPr>
    </w:p>
    <w:p w:rsidR="002A44EA" w:rsidRDefault="003A60BB" w:rsidP="002A44EA">
      <w:pPr>
        <w:tabs>
          <w:tab w:val="left" w:pos="-1440"/>
          <w:tab w:val="left" w:pos="-720"/>
        </w:tabs>
        <w:jc w:val="both"/>
        <w:rPr>
          <w:sz w:val="20"/>
          <w:szCs w:val="20"/>
          <w:lang w:val="fr-CA"/>
        </w:rPr>
      </w:pPr>
      <w:r>
        <w:rPr>
          <w:sz w:val="20"/>
          <w:szCs w:val="20"/>
          <w:lang w:val="fr-CA"/>
        </w:rPr>
        <w:pict>
          <v:rect id="_x0000_i1092" style="width:2in;height:1pt" o:hrpct="0" o:hralign="center" o:hrstd="t" o:hrnoshade="t" o:hr="t" fillcolor="black [3213]" stroked="f"/>
        </w:pict>
      </w:r>
    </w:p>
    <w:p w:rsidR="002A44EA" w:rsidRDefault="002A44EA" w:rsidP="002A44EA">
      <w:pPr>
        <w:tabs>
          <w:tab w:val="left" w:pos="-1440"/>
          <w:tab w:val="left" w:pos="-720"/>
        </w:tabs>
        <w:jc w:val="both"/>
        <w:rPr>
          <w:sz w:val="20"/>
          <w:szCs w:val="20"/>
          <w:lang w:val="fr-CA"/>
        </w:rPr>
      </w:pPr>
    </w:p>
    <w:p w:rsidR="002A44EA" w:rsidRDefault="002A44EA">
      <w:pPr>
        <w:rPr>
          <w:sz w:val="20"/>
          <w:szCs w:val="20"/>
          <w:lang w:val="fr-CA"/>
        </w:rPr>
      </w:pPr>
    </w:p>
    <w:p w:rsidR="002A44EA" w:rsidRDefault="002A44EA">
      <w:pPr>
        <w:rPr>
          <w:sz w:val="20"/>
          <w:szCs w:val="20"/>
          <w:lang w:val="fr-CA"/>
        </w:rPr>
      </w:pPr>
      <w:r>
        <w:rPr>
          <w:sz w:val="20"/>
          <w:szCs w:val="20"/>
          <w:lang w:val="fr-CA"/>
        </w:rPr>
        <w:br w:type="page"/>
      </w:r>
    </w:p>
    <w:p w:rsidR="00142B44" w:rsidRPr="00542228" w:rsidRDefault="003A0C94" w:rsidP="00142B44">
      <w:pPr>
        <w:widowControl w:val="0"/>
        <w:ind w:left="720" w:hanging="720"/>
        <w:jc w:val="both"/>
        <w:rPr>
          <w:b/>
          <w:i/>
          <w:sz w:val="20"/>
          <w:szCs w:val="20"/>
          <w:lang w:val="fr-CA"/>
        </w:rPr>
      </w:pPr>
      <w:r w:rsidRPr="00542228">
        <w:rPr>
          <w:b/>
          <w:sz w:val="20"/>
          <w:szCs w:val="20"/>
        </w:rPr>
        <w:fldChar w:fldCharType="begin"/>
      </w:r>
      <w:r w:rsidR="00142B44" w:rsidRPr="00542228">
        <w:rPr>
          <w:b/>
          <w:sz w:val="20"/>
          <w:szCs w:val="20"/>
          <w:lang w:val="fr-CA"/>
        </w:rPr>
        <w:instrText xml:space="preserve"> SEQ CHAPTER \h \r 1</w:instrText>
      </w:r>
      <w:r w:rsidRPr="00542228">
        <w:rPr>
          <w:b/>
          <w:sz w:val="20"/>
          <w:szCs w:val="20"/>
        </w:rPr>
        <w:fldChar w:fldCharType="end"/>
      </w:r>
      <w:r w:rsidR="00142B44" w:rsidRPr="00542228">
        <w:rPr>
          <w:b/>
          <w:sz w:val="20"/>
          <w:szCs w:val="20"/>
          <w:lang w:val="fr-CA"/>
        </w:rPr>
        <w:t>35461</w:t>
      </w:r>
      <w:r w:rsidR="00142B44" w:rsidRPr="00542228">
        <w:rPr>
          <w:sz w:val="20"/>
          <w:szCs w:val="20"/>
          <w:lang w:val="fr-CA"/>
        </w:rPr>
        <w:tab/>
      </w:r>
      <w:r w:rsidR="00142B44" w:rsidRPr="00542228">
        <w:rPr>
          <w:b/>
          <w:i/>
          <w:sz w:val="20"/>
          <w:szCs w:val="20"/>
          <w:lang w:val="fr-CA"/>
        </w:rPr>
        <w:t>Société en commandite Place Mullins and 139612 Canada inc. v. Services immobiliers Diane Bisson inc.</w:t>
      </w:r>
    </w:p>
    <w:p w:rsidR="00142B44" w:rsidRPr="00542228" w:rsidRDefault="00142B44" w:rsidP="00142B44">
      <w:pPr>
        <w:widowControl w:val="0"/>
        <w:ind w:left="2160" w:hanging="2160"/>
        <w:jc w:val="both"/>
        <w:rPr>
          <w:sz w:val="20"/>
          <w:szCs w:val="20"/>
          <w:lang w:val="fr-CA"/>
        </w:rPr>
      </w:pPr>
    </w:p>
    <w:p w:rsidR="00142B44" w:rsidRPr="00542228" w:rsidRDefault="00142B44" w:rsidP="00142B44">
      <w:pPr>
        <w:widowControl w:val="0"/>
        <w:jc w:val="both"/>
        <w:rPr>
          <w:sz w:val="20"/>
          <w:szCs w:val="20"/>
        </w:rPr>
      </w:pPr>
      <w:r w:rsidRPr="00542228">
        <w:rPr>
          <w:sz w:val="20"/>
          <w:szCs w:val="20"/>
        </w:rPr>
        <w:t>Sale - Conditional promises to purchase - Real estate brokers and agents - Remuneration - Whether promise to purchase followed by signing of act of sale - Whether Place Mullins voluntarily prevented free performance of contract of sale - Whether broker entitled to commission - If so, risks and consequences for public.</w:t>
      </w:r>
    </w:p>
    <w:p w:rsidR="00142B44" w:rsidRPr="00542228" w:rsidRDefault="00142B44" w:rsidP="00142B44">
      <w:pPr>
        <w:widowControl w:val="0"/>
        <w:jc w:val="both"/>
        <w:rPr>
          <w:sz w:val="20"/>
          <w:szCs w:val="20"/>
        </w:rPr>
      </w:pPr>
    </w:p>
    <w:p w:rsidR="00142B44" w:rsidRPr="00542228" w:rsidRDefault="00142B44" w:rsidP="00142B44">
      <w:pPr>
        <w:widowControl w:val="0"/>
        <w:jc w:val="both"/>
        <w:rPr>
          <w:sz w:val="20"/>
          <w:szCs w:val="20"/>
        </w:rPr>
      </w:pPr>
      <w:r w:rsidRPr="00542228">
        <w:rPr>
          <w:sz w:val="20"/>
          <w:szCs w:val="20"/>
        </w:rPr>
        <w:t xml:space="preserve">The appellant Place Mullins signed an exclusive brokerage contract with the respondent broker under which the latter was given a mandate to sell an immovable in Montréal. The brokerage contract provided, </w:t>
      </w:r>
      <w:r w:rsidRPr="00542228">
        <w:rPr>
          <w:i/>
          <w:sz w:val="20"/>
          <w:szCs w:val="20"/>
        </w:rPr>
        <w:t>inter alia</w:t>
      </w:r>
      <w:r w:rsidRPr="00542228">
        <w:rPr>
          <w:sz w:val="20"/>
          <w:szCs w:val="20"/>
        </w:rPr>
        <w:t>, that the broker would be entitled to a commission if [</w:t>
      </w:r>
      <w:r w:rsidRPr="00542228">
        <w:rPr>
          <w:smallCaps/>
          <w:sz w:val="20"/>
          <w:szCs w:val="20"/>
        </w:rPr>
        <w:t>translation</w:t>
      </w:r>
      <w:r w:rsidRPr="00542228">
        <w:rPr>
          <w:sz w:val="20"/>
          <w:szCs w:val="20"/>
        </w:rPr>
        <w:t>] “an agreement to sell the immovable is concluded during the term of the contract”. The broker obtained a promise to purchase that was conditional on the inspection being satisfactory to the promisor-purchaser, and that offer was accepted by Place Mullins. Following the inspection, which revealed that the property was contaminated by oil, the promisor-purchaser sent Place Mullins a letter reiterating his intention to purchase the immovable on the terms and conditions of the initial promise to purchase, on condition that Place Mullins have the property decontaminated. Place Mullins refused, the sale never took place and Place Mullins therefore refused to pay the broker a commission. As a result, the broker filed a motion to institute proceedings for the recovery of money against Place Mullins. The Superior Court dismissed the action. A majority of the Court of Appeal reversed that decision.</w:t>
      </w:r>
    </w:p>
    <w:p w:rsidR="00142B44" w:rsidRPr="00542228" w:rsidRDefault="00142B44" w:rsidP="00142B44">
      <w:pPr>
        <w:widowControl w:val="0"/>
        <w:jc w:val="both"/>
        <w:rPr>
          <w:sz w:val="20"/>
          <w:szCs w:val="20"/>
        </w:rPr>
      </w:pPr>
    </w:p>
    <w:p w:rsidR="00142B44" w:rsidRPr="00542228" w:rsidRDefault="00142B44" w:rsidP="00142B44">
      <w:pPr>
        <w:widowControl w:val="0"/>
        <w:jc w:val="both"/>
        <w:rPr>
          <w:sz w:val="20"/>
          <w:szCs w:val="20"/>
        </w:rPr>
      </w:pPr>
    </w:p>
    <w:p w:rsidR="00142B44" w:rsidRPr="00542228" w:rsidRDefault="00142B44" w:rsidP="00142B44">
      <w:pPr>
        <w:widowControl w:val="0"/>
        <w:ind w:left="2880" w:hanging="2880"/>
        <w:jc w:val="both"/>
        <w:rPr>
          <w:sz w:val="20"/>
          <w:szCs w:val="20"/>
        </w:rPr>
      </w:pPr>
      <w:r w:rsidRPr="00542228">
        <w:rPr>
          <w:sz w:val="20"/>
          <w:szCs w:val="20"/>
        </w:rPr>
        <w:t>Origin of the case:</w:t>
      </w:r>
      <w:r w:rsidRPr="00542228">
        <w:rPr>
          <w:sz w:val="20"/>
          <w:szCs w:val="20"/>
        </w:rPr>
        <w:tab/>
        <w:t>Quebec</w:t>
      </w:r>
    </w:p>
    <w:p w:rsidR="00142B44" w:rsidRPr="00542228" w:rsidRDefault="00142B44" w:rsidP="00142B44">
      <w:pPr>
        <w:widowControl w:val="0"/>
        <w:ind w:left="2880" w:hanging="2880"/>
        <w:jc w:val="both"/>
        <w:rPr>
          <w:sz w:val="20"/>
          <w:szCs w:val="20"/>
        </w:rPr>
      </w:pPr>
    </w:p>
    <w:p w:rsidR="00142B44" w:rsidRPr="00542228" w:rsidRDefault="00142B44" w:rsidP="00142B44">
      <w:pPr>
        <w:widowControl w:val="0"/>
        <w:ind w:left="2880" w:hanging="2880"/>
        <w:jc w:val="both"/>
        <w:rPr>
          <w:sz w:val="20"/>
          <w:szCs w:val="20"/>
        </w:rPr>
      </w:pPr>
      <w:r w:rsidRPr="00542228">
        <w:rPr>
          <w:sz w:val="20"/>
          <w:szCs w:val="20"/>
        </w:rPr>
        <w:t>File No.:</w:t>
      </w:r>
      <w:r w:rsidRPr="00542228">
        <w:rPr>
          <w:sz w:val="20"/>
          <w:szCs w:val="20"/>
        </w:rPr>
        <w:tab/>
        <w:t>35461</w:t>
      </w:r>
    </w:p>
    <w:p w:rsidR="00142B44" w:rsidRPr="00542228" w:rsidRDefault="00142B44" w:rsidP="00142B44">
      <w:pPr>
        <w:widowControl w:val="0"/>
        <w:ind w:left="2880" w:hanging="2880"/>
        <w:jc w:val="both"/>
        <w:rPr>
          <w:sz w:val="20"/>
          <w:szCs w:val="20"/>
        </w:rPr>
      </w:pPr>
    </w:p>
    <w:p w:rsidR="00142B44" w:rsidRPr="00542228" w:rsidRDefault="00142B44" w:rsidP="00142B44">
      <w:pPr>
        <w:widowControl w:val="0"/>
        <w:ind w:left="2880" w:hanging="2880"/>
        <w:jc w:val="both"/>
        <w:rPr>
          <w:sz w:val="20"/>
          <w:szCs w:val="20"/>
        </w:rPr>
      </w:pPr>
      <w:r w:rsidRPr="00542228">
        <w:rPr>
          <w:sz w:val="20"/>
          <w:szCs w:val="20"/>
        </w:rPr>
        <w:t>Judgment of the Court of Appeal:</w:t>
      </w:r>
      <w:r w:rsidRPr="00542228">
        <w:rPr>
          <w:sz w:val="20"/>
          <w:szCs w:val="20"/>
        </w:rPr>
        <w:tab/>
        <w:t>May 10, 2013</w:t>
      </w:r>
    </w:p>
    <w:p w:rsidR="00142B44" w:rsidRPr="00542228" w:rsidRDefault="00142B44" w:rsidP="00142B44">
      <w:pPr>
        <w:widowControl w:val="0"/>
        <w:ind w:left="2880" w:hanging="2880"/>
        <w:jc w:val="both"/>
        <w:rPr>
          <w:sz w:val="20"/>
          <w:szCs w:val="20"/>
        </w:rPr>
      </w:pPr>
    </w:p>
    <w:p w:rsidR="00142B44" w:rsidRPr="00542228" w:rsidRDefault="00142B44" w:rsidP="00142B44">
      <w:pPr>
        <w:widowControl w:val="0"/>
        <w:ind w:left="2880" w:hanging="2880"/>
        <w:jc w:val="both"/>
        <w:rPr>
          <w:sz w:val="20"/>
          <w:szCs w:val="20"/>
        </w:rPr>
      </w:pPr>
      <w:r w:rsidRPr="00542228">
        <w:rPr>
          <w:sz w:val="20"/>
          <w:szCs w:val="20"/>
        </w:rPr>
        <w:t>Counsel:</w:t>
      </w:r>
      <w:r w:rsidRPr="00542228">
        <w:rPr>
          <w:sz w:val="20"/>
          <w:szCs w:val="20"/>
        </w:rPr>
        <w:tab/>
        <w:t>Gabriel Di Genova for the appellants</w:t>
      </w:r>
    </w:p>
    <w:p w:rsidR="00142B44" w:rsidRPr="00542228" w:rsidRDefault="00142B44" w:rsidP="00142B44">
      <w:pPr>
        <w:widowControl w:val="0"/>
        <w:ind w:left="2880" w:hanging="2880"/>
        <w:jc w:val="both"/>
        <w:rPr>
          <w:sz w:val="20"/>
          <w:szCs w:val="20"/>
        </w:rPr>
      </w:pPr>
      <w:r w:rsidRPr="00542228">
        <w:rPr>
          <w:sz w:val="20"/>
          <w:szCs w:val="20"/>
        </w:rPr>
        <w:tab/>
        <w:t>Pierre-G. Champagne for the respondent</w:t>
      </w:r>
    </w:p>
    <w:p w:rsidR="002A44EA" w:rsidRPr="00DD0B49" w:rsidRDefault="002A44EA" w:rsidP="002A44EA">
      <w:pPr>
        <w:tabs>
          <w:tab w:val="left" w:pos="-1440"/>
          <w:tab w:val="left" w:pos="-720"/>
        </w:tabs>
        <w:jc w:val="both"/>
        <w:rPr>
          <w:sz w:val="20"/>
          <w:szCs w:val="20"/>
          <w:lang w:val="fr-CA"/>
        </w:rPr>
      </w:pPr>
    </w:p>
    <w:p w:rsidR="002A44EA" w:rsidRDefault="003A60BB" w:rsidP="002A44EA">
      <w:pPr>
        <w:tabs>
          <w:tab w:val="left" w:pos="-1440"/>
          <w:tab w:val="left" w:pos="-720"/>
        </w:tabs>
        <w:jc w:val="both"/>
        <w:rPr>
          <w:sz w:val="20"/>
          <w:szCs w:val="20"/>
          <w:lang w:val="fr-CA"/>
        </w:rPr>
      </w:pPr>
      <w:r>
        <w:rPr>
          <w:sz w:val="20"/>
          <w:szCs w:val="20"/>
          <w:lang w:val="fr-CA"/>
        </w:rPr>
        <w:pict>
          <v:rect id="_x0000_i1093" style="width:2in;height:1pt" o:hrpct="0" o:hralign="center" o:hrstd="t" o:hrnoshade="t" o:hr="t" fillcolor="black [3213]" stroked="f"/>
        </w:pict>
      </w:r>
    </w:p>
    <w:p w:rsidR="002A44EA" w:rsidRDefault="002A44EA" w:rsidP="002A44EA">
      <w:pPr>
        <w:tabs>
          <w:tab w:val="left" w:pos="-1440"/>
          <w:tab w:val="left" w:pos="-720"/>
        </w:tabs>
        <w:jc w:val="both"/>
        <w:rPr>
          <w:sz w:val="20"/>
          <w:szCs w:val="20"/>
          <w:lang w:val="fr-CA"/>
        </w:rPr>
      </w:pPr>
    </w:p>
    <w:p w:rsidR="002A44EA" w:rsidRDefault="002A44EA">
      <w:pPr>
        <w:rPr>
          <w:sz w:val="20"/>
          <w:szCs w:val="20"/>
          <w:lang w:val="fr-CA"/>
        </w:rPr>
      </w:pPr>
    </w:p>
    <w:p w:rsidR="002A44EA" w:rsidRDefault="002A44EA">
      <w:pPr>
        <w:rPr>
          <w:sz w:val="20"/>
          <w:szCs w:val="20"/>
          <w:lang w:val="fr-CA"/>
        </w:rPr>
      </w:pPr>
      <w:r>
        <w:rPr>
          <w:sz w:val="20"/>
          <w:szCs w:val="20"/>
          <w:lang w:val="fr-CA"/>
        </w:rPr>
        <w:br w:type="page"/>
      </w:r>
    </w:p>
    <w:p w:rsidR="00142B44" w:rsidRPr="00F218FB" w:rsidRDefault="003A0C94" w:rsidP="00142B44">
      <w:pPr>
        <w:widowControl w:val="0"/>
        <w:ind w:left="720" w:hanging="720"/>
        <w:jc w:val="both"/>
        <w:rPr>
          <w:b/>
          <w:i/>
          <w:sz w:val="20"/>
          <w:szCs w:val="20"/>
          <w:lang w:val="fr-CA"/>
        </w:rPr>
      </w:pPr>
      <w:r w:rsidRPr="00F218FB">
        <w:rPr>
          <w:b/>
          <w:sz w:val="20"/>
          <w:szCs w:val="20"/>
          <w:lang w:val="fr-CA"/>
        </w:rPr>
        <w:fldChar w:fldCharType="begin"/>
      </w:r>
      <w:r w:rsidR="00142B44" w:rsidRPr="00F218FB">
        <w:rPr>
          <w:b/>
          <w:sz w:val="20"/>
          <w:szCs w:val="20"/>
          <w:lang w:val="fr-CA"/>
        </w:rPr>
        <w:instrText xml:space="preserve"> SEQ CHAPTER \h \r 1</w:instrText>
      </w:r>
      <w:r w:rsidRPr="00F218FB">
        <w:rPr>
          <w:b/>
          <w:sz w:val="20"/>
          <w:szCs w:val="20"/>
        </w:rPr>
        <w:fldChar w:fldCharType="end"/>
      </w:r>
      <w:r w:rsidR="00142B44" w:rsidRPr="00F218FB">
        <w:rPr>
          <w:b/>
          <w:sz w:val="20"/>
          <w:szCs w:val="20"/>
          <w:lang w:val="fr-CA"/>
        </w:rPr>
        <w:t>35461</w:t>
      </w:r>
      <w:r w:rsidR="00142B44" w:rsidRPr="00F218FB">
        <w:rPr>
          <w:sz w:val="20"/>
          <w:szCs w:val="20"/>
          <w:lang w:val="fr-CA"/>
        </w:rPr>
        <w:tab/>
      </w:r>
      <w:r w:rsidR="00142B44" w:rsidRPr="00F218FB">
        <w:rPr>
          <w:b/>
          <w:i/>
          <w:sz w:val="20"/>
          <w:szCs w:val="20"/>
          <w:lang w:val="fr-CA"/>
        </w:rPr>
        <w:t>Société en commandite Place Mullins et 139612 Canada inc. c. Services immobiliers Diane Bisson inc.</w:t>
      </w:r>
    </w:p>
    <w:p w:rsidR="00142B44" w:rsidRPr="00F218FB" w:rsidRDefault="00142B44" w:rsidP="00142B44">
      <w:pPr>
        <w:widowControl w:val="0"/>
        <w:ind w:left="2160" w:hanging="2160"/>
        <w:jc w:val="both"/>
        <w:rPr>
          <w:sz w:val="20"/>
          <w:szCs w:val="20"/>
          <w:lang w:val="fr-CA"/>
        </w:rPr>
      </w:pPr>
    </w:p>
    <w:p w:rsidR="00142B44" w:rsidRPr="00F218FB" w:rsidRDefault="00142B44" w:rsidP="00142B44">
      <w:pPr>
        <w:widowControl w:val="0"/>
        <w:jc w:val="both"/>
        <w:rPr>
          <w:sz w:val="20"/>
          <w:szCs w:val="20"/>
          <w:lang w:val="fr-CA"/>
        </w:rPr>
      </w:pPr>
      <w:r w:rsidRPr="00F218FB">
        <w:rPr>
          <w:sz w:val="20"/>
          <w:szCs w:val="20"/>
          <w:lang w:val="fr-CA"/>
        </w:rPr>
        <w:t>Vente - Promesses d’achat conditionnelles - Courtiers et agents immobiliers - Rétribution - Y a-t-il eu signature d’un acte de vente suite à la promesse d’achat? - Place Mullins a-t-elle volontairement empêché la libre exécution du contrat de vente? - La courtière a-t-elle droit à sa commission? - Dans l’affirmative, quels seraient les risques et conséquences pour le public?</w:t>
      </w:r>
    </w:p>
    <w:p w:rsidR="00142B44" w:rsidRPr="00F218FB" w:rsidRDefault="00142B44" w:rsidP="00142B44">
      <w:pPr>
        <w:widowControl w:val="0"/>
        <w:jc w:val="both"/>
        <w:rPr>
          <w:sz w:val="20"/>
          <w:szCs w:val="20"/>
          <w:lang w:val="fr-CA"/>
        </w:rPr>
      </w:pPr>
    </w:p>
    <w:p w:rsidR="00142B44" w:rsidRPr="00F218FB" w:rsidRDefault="00142B44" w:rsidP="00142B44">
      <w:pPr>
        <w:widowControl w:val="0"/>
        <w:jc w:val="both"/>
        <w:rPr>
          <w:sz w:val="20"/>
          <w:szCs w:val="20"/>
          <w:lang w:val="fr-CA"/>
        </w:rPr>
      </w:pPr>
      <w:r w:rsidRPr="00F218FB">
        <w:rPr>
          <w:sz w:val="20"/>
          <w:szCs w:val="20"/>
          <w:lang w:val="fr-CA"/>
        </w:rPr>
        <w:t>L’appelante Place Mullins signe un contrat de courtage exclusif avec l’intimée, courtière, confiant à cette dernière le mandat de vendre un immeuble à Montréal. Ce contrat de courtage prévoit, entre autres, que la courtière aura droit à sa commission lorsqu’une « entente visant à vendre l’immeuble est conclue pendant la durée du contrat ». La courtière obtient une promesse d’achat conditionnelle à ce que l’inspection soit à la satisfaction du promettant-acheteur et cette offre est acceptée par Place Mullins. Suite à l’inspection, qui révèle la présence d’une contamination par hydrocarbures, le promettant-acheteur envoie une lettre à Place Mullins réitérant son intention d’acheter l’immeuble aux termes et conditions de la promesse d’achat initiale mais à condition que Place Mullins procède à la décontamination de l’immeuble. Place Mullins refuse et la vente envisagée n’a jamais lieu. En conséquence, Place Mullins refuse de payer la commission à la courtière. Cette dernière dépose donc une requête introductive d’instance en recouvrement de deniers contre Place Mullins. La Cour supérieure rejette l’action. La Cour d’appel, à la majorité, renverse cette décision.</w:t>
      </w:r>
    </w:p>
    <w:p w:rsidR="00142B44" w:rsidRPr="00F218FB" w:rsidRDefault="00142B44" w:rsidP="00142B44">
      <w:pPr>
        <w:widowControl w:val="0"/>
        <w:jc w:val="both"/>
        <w:rPr>
          <w:sz w:val="20"/>
          <w:szCs w:val="20"/>
          <w:lang w:val="fr-CA"/>
        </w:rPr>
      </w:pPr>
    </w:p>
    <w:p w:rsidR="00142B44" w:rsidRPr="00F218FB" w:rsidRDefault="00142B44" w:rsidP="00142B44">
      <w:pPr>
        <w:widowControl w:val="0"/>
        <w:jc w:val="both"/>
        <w:rPr>
          <w:sz w:val="20"/>
          <w:szCs w:val="20"/>
          <w:lang w:val="fr-CA"/>
        </w:rPr>
      </w:pPr>
    </w:p>
    <w:p w:rsidR="00142B44" w:rsidRPr="00F218FB" w:rsidRDefault="00142B44" w:rsidP="00142B44">
      <w:pPr>
        <w:widowControl w:val="0"/>
        <w:ind w:left="2880" w:hanging="2880"/>
        <w:jc w:val="both"/>
        <w:rPr>
          <w:sz w:val="20"/>
          <w:szCs w:val="20"/>
          <w:lang w:val="fr-CA"/>
        </w:rPr>
      </w:pPr>
      <w:r w:rsidRPr="00F218FB">
        <w:rPr>
          <w:sz w:val="20"/>
          <w:szCs w:val="20"/>
          <w:lang w:val="fr-CA"/>
        </w:rPr>
        <w:t>Origine:</w:t>
      </w:r>
      <w:r w:rsidRPr="00F218FB">
        <w:rPr>
          <w:sz w:val="20"/>
          <w:szCs w:val="20"/>
          <w:lang w:val="fr-CA"/>
        </w:rPr>
        <w:tab/>
        <w:t>Québec</w:t>
      </w:r>
    </w:p>
    <w:p w:rsidR="00142B44" w:rsidRPr="00F218FB" w:rsidRDefault="00142B44" w:rsidP="00142B44">
      <w:pPr>
        <w:widowControl w:val="0"/>
        <w:ind w:left="2880" w:hanging="2880"/>
        <w:jc w:val="both"/>
        <w:rPr>
          <w:sz w:val="20"/>
          <w:szCs w:val="20"/>
          <w:lang w:val="fr-CA"/>
        </w:rPr>
      </w:pPr>
    </w:p>
    <w:p w:rsidR="00142B44" w:rsidRPr="00F218FB" w:rsidRDefault="00142B44" w:rsidP="00142B44">
      <w:pPr>
        <w:widowControl w:val="0"/>
        <w:ind w:left="2880" w:hanging="2880"/>
        <w:jc w:val="both"/>
        <w:rPr>
          <w:sz w:val="20"/>
          <w:szCs w:val="20"/>
          <w:lang w:val="fr-CA"/>
        </w:rPr>
      </w:pPr>
      <w:r w:rsidRPr="00F218FB">
        <w:rPr>
          <w:sz w:val="20"/>
          <w:szCs w:val="20"/>
          <w:lang w:val="fr-CA"/>
        </w:rPr>
        <w:t>N</w:t>
      </w:r>
      <w:r w:rsidRPr="00F218FB">
        <w:rPr>
          <w:sz w:val="20"/>
          <w:szCs w:val="20"/>
          <w:vertAlign w:val="superscript"/>
          <w:lang w:val="fr-CA"/>
        </w:rPr>
        <w:t>o</w:t>
      </w:r>
      <w:r w:rsidRPr="00F218FB">
        <w:rPr>
          <w:sz w:val="20"/>
          <w:szCs w:val="20"/>
          <w:lang w:val="fr-CA"/>
        </w:rPr>
        <w:t xml:space="preserve"> du greffe:</w:t>
      </w:r>
      <w:r w:rsidRPr="00F218FB">
        <w:rPr>
          <w:sz w:val="20"/>
          <w:szCs w:val="20"/>
          <w:lang w:val="fr-CA"/>
        </w:rPr>
        <w:tab/>
        <w:t>35461</w:t>
      </w:r>
    </w:p>
    <w:p w:rsidR="00142B44" w:rsidRPr="00F218FB" w:rsidRDefault="00142B44" w:rsidP="00142B44">
      <w:pPr>
        <w:widowControl w:val="0"/>
        <w:ind w:left="2880" w:hanging="2880"/>
        <w:jc w:val="both"/>
        <w:rPr>
          <w:sz w:val="20"/>
          <w:szCs w:val="20"/>
          <w:lang w:val="fr-CA"/>
        </w:rPr>
      </w:pPr>
    </w:p>
    <w:p w:rsidR="00142B44" w:rsidRPr="00F218FB" w:rsidRDefault="00142B44" w:rsidP="00142B44">
      <w:pPr>
        <w:widowControl w:val="0"/>
        <w:ind w:left="2880" w:hanging="2880"/>
        <w:jc w:val="both"/>
        <w:rPr>
          <w:sz w:val="20"/>
          <w:szCs w:val="20"/>
          <w:lang w:val="fr-CA"/>
        </w:rPr>
      </w:pPr>
      <w:r w:rsidRPr="00F218FB">
        <w:rPr>
          <w:sz w:val="20"/>
          <w:szCs w:val="20"/>
          <w:lang w:val="fr-CA"/>
        </w:rPr>
        <w:t>Arrêt de la Cour d’appel:</w:t>
      </w:r>
      <w:r w:rsidRPr="00F218FB">
        <w:rPr>
          <w:sz w:val="20"/>
          <w:szCs w:val="20"/>
          <w:lang w:val="fr-CA"/>
        </w:rPr>
        <w:tab/>
        <w:t>le 10 mai 2013</w:t>
      </w:r>
    </w:p>
    <w:p w:rsidR="00142B44" w:rsidRPr="00F218FB" w:rsidRDefault="00142B44" w:rsidP="00142B44">
      <w:pPr>
        <w:widowControl w:val="0"/>
        <w:ind w:left="2880" w:hanging="2880"/>
        <w:jc w:val="both"/>
        <w:rPr>
          <w:sz w:val="20"/>
          <w:szCs w:val="20"/>
          <w:lang w:val="fr-CA"/>
        </w:rPr>
      </w:pPr>
    </w:p>
    <w:p w:rsidR="00142B44" w:rsidRPr="00F218FB" w:rsidRDefault="00142B44" w:rsidP="00142B44">
      <w:pPr>
        <w:widowControl w:val="0"/>
        <w:ind w:left="2880" w:hanging="2880"/>
        <w:jc w:val="both"/>
        <w:rPr>
          <w:sz w:val="20"/>
          <w:szCs w:val="20"/>
          <w:lang w:val="fr-CA"/>
        </w:rPr>
      </w:pPr>
      <w:r w:rsidRPr="00F218FB">
        <w:rPr>
          <w:sz w:val="20"/>
          <w:szCs w:val="20"/>
          <w:lang w:val="fr-CA"/>
        </w:rPr>
        <w:t>Avocats:</w:t>
      </w:r>
      <w:r w:rsidRPr="00F218FB">
        <w:rPr>
          <w:sz w:val="20"/>
          <w:szCs w:val="20"/>
          <w:lang w:val="fr-CA"/>
        </w:rPr>
        <w:tab/>
        <w:t>Gabriel Di Genova pour les appelantes</w:t>
      </w:r>
    </w:p>
    <w:p w:rsidR="00142B44" w:rsidRPr="00F218FB" w:rsidRDefault="00142B44" w:rsidP="00142B44">
      <w:pPr>
        <w:widowControl w:val="0"/>
        <w:ind w:left="2880" w:hanging="2880"/>
        <w:jc w:val="both"/>
        <w:rPr>
          <w:sz w:val="20"/>
          <w:szCs w:val="20"/>
          <w:lang w:val="fr-CA"/>
        </w:rPr>
      </w:pPr>
      <w:r w:rsidRPr="00F218FB">
        <w:rPr>
          <w:sz w:val="20"/>
          <w:szCs w:val="20"/>
          <w:lang w:val="fr-CA"/>
        </w:rPr>
        <w:tab/>
        <w:t>Pierre-G. Champagne pour l’intimée</w:t>
      </w:r>
    </w:p>
    <w:p w:rsidR="002A44EA" w:rsidRPr="00DD0B49" w:rsidRDefault="002A44EA" w:rsidP="002A44EA">
      <w:pPr>
        <w:tabs>
          <w:tab w:val="left" w:pos="-1440"/>
          <w:tab w:val="left" w:pos="-720"/>
        </w:tabs>
        <w:jc w:val="both"/>
        <w:rPr>
          <w:sz w:val="20"/>
          <w:szCs w:val="20"/>
          <w:lang w:val="fr-CA"/>
        </w:rPr>
      </w:pPr>
    </w:p>
    <w:p w:rsidR="002A44EA" w:rsidRDefault="003A60BB" w:rsidP="002A44EA">
      <w:pPr>
        <w:tabs>
          <w:tab w:val="left" w:pos="-1440"/>
          <w:tab w:val="left" w:pos="-720"/>
        </w:tabs>
        <w:jc w:val="both"/>
        <w:rPr>
          <w:sz w:val="20"/>
          <w:szCs w:val="20"/>
          <w:lang w:val="fr-CA"/>
        </w:rPr>
      </w:pPr>
      <w:r>
        <w:rPr>
          <w:sz w:val="20"/>
          <w:szCs w:val="20"/>
          <w:lang w:val="fr-CA"/>
        </w:rPr>
        <w:pict>
          <v:rect id="_x0000_i1094" style="width:2in;height:1pt" o:hrpct="0" o:hralign="center" o:hrstd="t" o:hrnoshade="t" o:hr="t" fillcolor="black [3213]" stroked="f"/>
        </w:pict>
      </w:r>
    </w:p>
    <w:p w:rsidR="002A44EA" w:rsidRDefault="002A44EA" w:rsidP="002A44EA">
      <w:pPr>
        <w:tabs>
          <w:tab w:val="left" w:pos="-1440"/>
          <w:tab w:val="left" w:pos="-720"/>
        </w:tabs>
        <w:jc w:val="both"/>
        <w:rPr>
          <w:sz w:val="20"/>
          <w:szCs w:val="20"/>
          <w:lang w:val="fr-CA"/>
        </w:rPr>
      </w:pPr>
    </w:p>
    <w:p w:rsidR="002A44EA" w:rsidRDefault="002A44EA">
      <w:pPr>
        <w:rPr>
          <w:sz w:val="20"/>
          <w:szCs w:val="20"/>
          <w:lang w:val="fr-CA"/>
        </w:rPr>
      </w:pPr>
    </w:p>
    <w:p w:rsidR="002A44EA" w:rsidRDefault="002A44EA">
      <w:pPr>
        <w:rPr>
          <w:sz w:val="20"/>
          <w:szCs w:val="20"/>
          <w:lang w:val="fr-CA"/>
        </w:rPr>
      </w:pPr>
      <w:r>
        <w:rPr>
          <w:sz w:val="20"/>
          <w:szCs w:val="20"/>
          <w:lang w:val="fr-CA"/>
        </w:rPr>
        <w:br w:type="page"/>
      </w:r>
    </w:p>
    <w:bookmarkStart w:id="3" w:name="1"/>
    <w:bookmarkEnd w:id="3"/>
    <w:p w:rsidR="00396A2E" w:rsidRPr="00304E1D" w:rsidRDefault="003A0C94" w:rsidP="00396A2E">
      <w:pPr>
        <w:widowControl w:val="0"/>
        <w:ind w:left="720" w:hanging="720"/>
        <w:jc w:val="both"/>
        <w:rPr>
          <w:sz w:val="20"/>
          <w:szCs w:val="20"/>
        </w:rPr>
      </w:pPr>
      <w:r w:rsidRPr="00304E1D">
        <w:rPr>
          <w:b/>
          <w:sz w:val="20"/>
          <w:szCs w:val="20"/>
        </w:rPr>
        <w:fldChar w:fldCharType="begin"/>
      </w:r>
      <w:r w:rsidR="00396A2E" w:rsidRPr="00304E1D">
        <w:rPr>
          <w:b/>
          <w:sz w:val="20"/>
          <w:szCs w:val="20"/>
        </w:rPr>
        <w:instrText xml:space="preserve"> SEQ CHAPTER \h \r 1</w:instrText>
      </w:r>
      <w:r w:rsidRPr="00304E1D">
        <w:rPr>
          <w:b/>
          <w:sz w:val="20"/>
          <w:szCs w:val="20"/>
        </w:rPr>
        <w:fldChar w:fldCharType="end"/>
      </w:r>
      <w:r w:rsidR="00396A2E" w:rsidRPr="00304E1D">
        <w:rPr>
          <w:b/>
          <w:sz w:val="20"/>
          <w:szCs w:val="20"/>
        </w:rPr>
        <w:t>36017</w:t>
      </w:r>
      <w:r w:rsidR="00396A2E" w:rsidRPr="00304E1D">
        <w:rPr>
          <w:sz w:val="20"/>
          <w:szCs w:val="20"/>
        </w:rPr>
        <w:tab/>
      </w:r>
      <w:bookmarkStart w:id="4" w:name="3"/>
      <w:bookmarkEnd w:id="4"/>
      <w:r w:rsidR="00396A2E" w:rsidRPr="00304E1D">
        <w:rPr>
          <w:b/>
          <w:i/>
          <w:sz w:val="20"/>
          <w:szCs w:val="20"/>
        </w:rPr>
        <w:t>Savdip Sanghera v. Her Majesty the Queen</w:t>
      </w:r>
    </w:p>
    <w:p w:rsidR="00396A2E" w:rsidRPr="00304E1D" w:rsidRDefault="00396A2E" w:rsidP="00396A2E">
      <w:pPr>
        <w:widowControl w:val="0"/>
        <w:jc w:val="both"/>
        <w:rPr>
          <w:sz w:val="20"/>
          <w:szCs w:val="20"/>
        </w:rPr>
      </w:pPr>
    </w:p>
    <w:p w:rsidR="00396A2E" w:rsidRPr="00304E1D" w:rsidRDefault="00396A2E" w:rsidP="00396A2E">
      <w:pPr>
        <w:widowControl w:val="0"/>
        <w:jc w:val="both"/>
        <w:rPr>
          <w:sz w:val="20"/>
          <w:szCs w:val="20"/>
        </w:rPr>
      </w:pPr>
      <w:r w:rsidRPr="00304E1D">
        <w:rPr>
          <w:i/>
          <w:sz w:val="20"/>
          <w:szCs w:val="20"/>
        </w:rPr>
        <w:t>Charter of rights</w:t>
      </w:r>
      <w:r w:rsidRPr="00304E1D">
        <w:rPr>
          <w:sz w:val="20"/>
          <w:szCs w:val="20"/>
        </w:rPr>
        <w:t xml:space="preserve"> - Right to be tried within a reasonable time -  Whether the trial judge erred in concluding that the Crown was not responsible for the delay caused by the direct indictment - Whether the majority of the Court of Appeal erred in concluding that the trial judge failed to attribute sufficient delay to the appellant - Whether a stay of proceedings should be granted pursuant to s. 24(1) of the </w:t>
      </w:r>
      <w:r w:rsidRPr="00304E1D">
        <w:rPr>
          <w:i/>
          <w:sz w:val="20"/>
          <w:szCs w:val="20"/>
        </w:rPr>
        <w:t>Charter</w:t>
      </w:r>
      <w:r w:rsidRPr="00304E1D">
        <w:rPr>
          <w:sz w:val="20"/>
          <w:szCs w:val="20"/>
        </w:rPr>
        <w:t>.</w:t>
      </w:r>
    </w:p>
    <w:p w:rsidR="00396A2E" w:rsidRPr="00304E1D" w:rsidRDefault="00396A2E" w:rsidP="00396A2E">
      <w:pPr>
        <w:widowControl w:val="0"/>
        <w:jc w:val="both"/>
        <w:rPr>
          <w:sz w:val="20"/>
          <w:szCs w:val="20"/>
        </w:rPr>
      </w:pPr>
    </w:p>
    <w:p w:rsidR="00396A2E" w:rsidRPr="00304E1D" w:rsidRDefault="00396A2E" w:rsidP="00396A2E">
      <w:pPr>
        <w:widowControl w:val="0"/>
        <w:jc w:val="both"/>
        <w:rPr>
          <w:sz w:val="20"/>
          <w:szCs w:val="20"/>
        </w:rPr>
      </w:pPr>
      <w:r w:rsidRPr="00304E1D">
        <w:rPr>
          <w:sz w:val="20"/>
          <w:szCs w:val="20"/>
        </w:rPr>
        <w:t xml:space="preserve">The appellant was convicted of unlawful possession of a restricted firearm ando f unauthorized transfer of a restricted firearm. A period of approximately 36 months elapsed between the time the appellant was charged and the time his trial concluded. He appealed the convictions on the basis that the trial judge erred in not entering a stay of proceedings pursuant to s. 24(1) of the </w:t>
      </w:r>
      <w:r w:rsidRPr="00304E1D">
        <w:rPr>
          <w:i/>
          <w:sz w:val="20"/>
          <w:szCs w:val="20"/>
        </w:rPr>
        <w:t>Canadian Charter of Rights and Freedoms</w:t>
      </w:r>
      <w:r w:rsidRPr="00304E1D">
        <w:rPr>
          <w:sz w:val="20"/>
          <w:szCs w:val="20"/>
        </w:rPr>
        <w:t xml:space="preserve">. He argued his right to a timely trial was infringed. A majority of the Court of Appeal dismissed the appeal. Bennett J.A., dissenting, would have allowed the appeal and entered a stay of proceedings. In her view, while the trial judge correctly considered the factors set out in </w:t>
      </w:r>
      <w:r w:rsidRPr="00304E1D">
        <w:rPr>
          <w:i/>
          <w:sz w:val="20"/>
          <w:szCs w:val="20"/>
        </w:rPr>
        <w:t>R. v. Morin</w:t>
      </w:r>
      <w:r w:rsidRPr="00304E1D">
        <w:rPr>
          <w:sz w:val="20"/>
          <w:szCs w:val="20"/>
        </w:rPr>
        <w:t>, [1992] 1 S.C.R. 771, she erred in concluding that the effect of the delay caused by the Crown’s decision to file a direct indictment was neutral. Bennett J.A. found that it was clearly foreseeable by the Crown that the effect of the direct indictment would be to add to an already lengthy delay, and that that time should have been considered as an “action of the Crown”. Moreover, when the effect of the direct indictment is weighed against the Crown, the delay could no longer be considered reasonable, and the appellant’s s. 11(</w:t>
      </w:r>
      <w:r w:rsidRPr="00304E1D">
        <w:rPr>
          <w:i/>
          <w:sz w:val="20"/>
          <w:szCs w:val="20"/>
        </w:rPr>
        <w:t>b</w:t>
      </w:r>
      <w:r w:rsidRPr="00304E1D">
        <w:rPr>
          <w:sz w:val="20"/>
          <w:szCs w:val="20"/>
        </w:rPr>
        <w:t>) right was infringed.</w:t>
      </w:r>
    </w:p>
    <w:p w:rsidR="00396A2E" w:rsidRPr="00304E1D" w:rsidRDefault="00396A2E" w:rsidP="00396A2E">
      <w:pPr>
        <w:widowControl w:val="0"/>
        <w:jc w:val="both"/>
        <w:rPr>
          <w:sz w:val="20"/>
          <w:szCs w:val="20"/>
        </w:rPr>
      </w:pPr>
    </w:p>
    <w:p w:rsidR="00396A2E" w:rsidRPr="00304E1D" w:rsidRDefault="00396A2E" w:rsidP="00396A2E">
      <w:pPr>
        <w:widowControl w:val="0"/>
        <w:jc w:val="both"/>
        <w:rPr>
          <w:sz w:val="20"/>
          <w:szCs w:val="20"/>
        </w:rPr>
      </w:pPr>
    </w:p>
    <w:p w:rsidR="00396A2E" w:rsidRPr="00304E1D" w:rsidRDefault="00396A2E" w:rsidP="00396A2E">
      <w:pPr>
        <w:widowControl w:val="0"/>
        <w:ind w:left="2880" w:hanging="2880"/>
        <w:jc w:val="both"/>
        <w:rPr>
          <w:sz w:val="20"/>
          <w:szCs w:val="20"/>
        </w:rPr>
      </w:pPr>
      <w:r w:rsidRPr="00304E1D">
        <w:rPr>
          <w:sz w:val="20"/>
          <w:szCs w:val="20"/>
        </w:rPr>
        <w:t>Origin of the case:</w:t>
      </w:r>
      <w:r w:rsidRPr="00304E1D">
        <w:rPr>
          <w:sz w:val="20"/>
          <w:szCs w:val="20"/>
        </w:rPr>
        <w:tab/>
      </w:r>
      <w:bookmarkStart w:id="5" w:name="4"/>
      <w:bookmarkEnd w:id="5"/>
      <w:r w:rsidRPr="00304E1D">
        <w:rPr>
          <w:sz w:val="20"/>
          <w:szCs w:val="20"/>
        </w:rPr>
        <w:t>British Columbia</w:t>
      </w:r>
    </w:p>
    <w:p w:rsidR="00396A2E" w:rsidRPr="00304E1D" w:rsidRDefault="00396A2E" w:rsidP="00396A2E">
      <w:pPr>
        <w:widowControl w:val="0"/>
        <w:ind w:left="2880" w:hanging="2880"/>
        <w:jc w:val="both"/>
        <w:rPr>
          <w:sz w:val="20"/>
          <w:szCs w:val="20"/>
        </w:rPr>
      </w:pPr>
    </w:p>
    <w:p w:rsidR="00396A2E" w:rsidRPr="00304E1D" w:rsidRDefault="00396A2E" w:rsidP="00396A2E">
      <w:pPr>
        <w:widowControl w:val="0"/>
        <w:ind w:left="2880" w:hanging="2880"/>
        <w:jc w:val="both"/>
        <w:rPr>
          <w:sz w:val="20"/>
          <w:szCs w:val="20"/>
        </w:rPr>
      </w:pPr>
      <w:r w:rsidRPr="00304E1D">
        <w:rPr>
          <w:sz w:val="20"/>
          <w:szCs w:val="20"/>
        </w:rPr>
        <w:t>File No.:</w:t>
      </w:r>
      <w:r w:rsidRPr="00304E1D">
        <w:rPr>
          <w:sz w:val="20"/>
          <w:szCs w:val="20"/>
        </w:rPr>
        <w:tab/>
      </w:r>
      <w:bookmarkStart w:id="6" w:name="2"/>
      <w:bookmarkEnd w:id="6"/>
      <w:r w:rsidRPr="00304E1D">
        <w:rPr>
          <w:sz w:val="20"/>
          <w:szCs w:val="20"/>
        </w:rPr>
        <w:t>36017</w:t>
      </w:r>
    </w:p>
    <w:p w:rsidR="00396A2E" w:rsidRPr="00304E1D" w:rsidRDefault="00396A2E" w:rsidP="00396A2E">
      <w:pPr>
        <w:widowControl w:val="0"/>
        <w:ind w:left="2880" w:hanging="2880"/>
        <w:jc w:val="both"/>
        <w:rPr>
          <w:sz w:val="20"/>
          <w:szCs w:val="20"/>
        </w:rPr>
      </w:pPr>
    </w:p>
    <w:p w:rsidR="00396A2E" w:rsidRPr="00304E1D" w:rsidRDefault="00396A2E" w:rsidP="00396A2E">
      <w:pPr>
        <w:widowControl w:val="0"/>
        <w:ind w:left="2880" w:hanging="2880"/>
        <w:jc w:val="both"/>
        <w:rPr>
          <w:sz w:val="20"/>
          <w:szCs w:val="20"/>
        </w:rPr>
      </w:pPr>
      <w:r w:rsidRPr="00304E1D">
        <w:rPr>
          <w:sz w:val="20"/>
          <w:szCs w:val="20"/>
        </w:rPr>
        <w:t>Judgment of the Court of Appeal:</w:t>
      </w:r>
      <w:r w:rsidRPr="00304E1D">
        <w:rPr>
          <w:sz w:val="20"/>
          <w:szCs w:val="20"/>
        </w:rPr>
        <w:tab/>
      </w:r>
      <w:bookmarkStart w:id="7" w:name="5"/>
      <w:bookmarkEnd w:id="7"/>
      <w:r w:rsidRPr="00304E1D">
        <w:rPr>
          <w:sz w:val="20"/>
          <w:szCs w:val="20"/>
        </w:rPr>
        <w:t>June 26, 2014</w:t>
      </w:r>
    </w:p>
    <w:p w:rsidR="00396A2E" w:rsidRPr="00304E1D" w:rsidRDefault="00396A2E" w:rsidP="00396A2E">
      <w:pPr>
        <w:widowControl w:val="0"/>
        <w:ind w:left="2880" w:hanging="2880"/>
        <w:jc w:val="both"/>
        <w:rPr>
          <w:sz w:val="20"/>
          <w:szCs w:val="20"/>
        </w:rPr>
      </w:pPr>
    </w:p>
    <w:p w:rsidR="00396A2E" w:rsidRPr="00304E1D" w:rsidRDefault="00396A2E" w:rsidP="00396A2E">
      <w:pPr>
        <w:widowControl w:val="0"/>
        <w:ind w:left="2880" w:hanging="2880"/>
        <w:jc w:val="both"/>
        <w:rPr>
          <w:sz w:val="20"/>
          <w:szCs w:val="20"/>
        </w:rPr>
      </w:pPr>
      <w:r w:rsidRPr="00304E1D">
        <w:rPr>
          <w:sz w:val="20"/>
          <w:szCs w:val="20"/>
        </w:rPr>
        <w:t>Counsel:</w:t>
      </w:r>
      <w:r w:rsidRPr="00304E1D">
        <w:rPr>
          <w:sz w:val="20"/>
          <w:szCs w:val="20"/>
        </w:rPr>
        <w:tab/>
      </w:r>
      <w:bookmarkStart w:id="8" w:name="6"/>
      <w:bookmarkEnd w:id="8"/>
      <w:r w:rsidRPr="00304E1D">
        <w:rPr>
          <w:sz w:val="20"/>
          <w:szCs w:val="20"/>
        </w:rPr>
        <w:t>Colleen E. Elden for the appellant</w:t>
      </w:r>
    </w:p>
    <w:p w:rsidR="00396A2E" w:rsidRPr="00304E1D" w:rsidRDefault="00396A2E" w:rsidP="00396A2E">
      <w:pPr>
        <w:widowControl w:val="0"/>
        <w:ind w:left="2880" w:hanging="2880"/>
        <w:jc w:val="both"/>
        <w:rPr>
          <w:sz w:val="20"/>
          <w:szCs w:val="20"/>
        </w:rPr>
      </w:pPr>
      <w:r w:rsidRPr="00304E1D">
        <w:rPr>
          <w:sz w:val="20"/>
          <w:szCs w:val="20"/>
        </w:rPr>
        <w:tab/>
      </w:r>
      <w:bookmarkStart w:id="9" w:name="7"/>
      <w:bookmarkEnd w:id="9"/>
      <w:r w:rsidRPr="00304E1D">
        <w:rPr>
          <w:sz w:val="20"/>
          <w:szCs w:val="20"/>
        </w:rPr>
        <w:t>Christie Lusk for the respondent</w:t>
      </w:r>
    </w:p>
    <w:p w:rsidR="002A44EA" w:rsidRPr="00396A2E" w:rsidRDefault="002A44EA" w:rsidP="002A44EA">
      <w:pPr>
        <w:tabs>
          <w:tab w:val="left" w:pos="-1440"/>
          <w:tab w:val="left" w:pos="-720"/>
        </w:tabs>
        <w:jc w:val="both"/>
        <w:rPr>
          <w:sz w:val="20"/>
          <w:szCs w:val="20"/>
        </w:rPr>
      </w:pPr>
    </w:p>
    <w:p w:rsidR="002A44EA" w:rsidRDefault="003A60BB" w:rsidP="002A44EA">
      <w:pPr>
        <w:tabs>
          <w:tab w:val="left" w:pos="-1440"/>
          <w:tab w:val="left" w:pos="-720"/>
        </w:tabs>
        <w:jc w:val="both"/>
        <w:rPr>
          <w:sz w:val="20"/>
          <w:szCs w:val="20"/>
          <w:lang w:val="fr-CA"/>
        </w:rPr>
      </w:pPr>
      <w:r>
        <w:rPr>
          <w:sz w:val="20"/>
          <w:szCs w:val="20"/>
          <w:lang w:val="fr-CA"/>
        </w:rPr>
        <w:pict>
          <v:rect id="_x0000_i1095" style="width:2in;height:1pt" o:hrpct="0" o:hralign="center" o:hrstd="t" o:hrnoshade="t" o:hr="t" fillcolor="black [3213]" stroked="f"/>
        </w:pict>
      </w:r>
    </w:p>
    <w:p w:rsidR="002A44EA" w:rsidRDefault="002A44EA" w:rsidP="002A44EA">
      <w:pPr>
        <w:tabs>
          <w:tab w:val="left" w:pos="-1440"/>
          <w:tab w:val="left" w:pos="-720"/>
        </w:tabs>
        <w:jc w:val="both"/>
        <w:rPr>
          <w:sz w:val="20"/>
          <w:szCs w:val="20"/>
          <w:lang w:val="fr-CA"/>
        </w:rPr>
      </w:pPr>
    </w:p>
    <w:p w:rsidR="002A44EA" w:rsidRDefault="002A44EA">
      <w:pPr>
        <w:rPr>
          <w:sz w:val="20"/>
          <w:szCs w:val="20"/>
          <w:lang w:val="fr-CA"/>
        </w:rPr>
      </w:pPr>
    </w:p>
    <w:p w:rsidR="002A44EA" w:rsidRDefault="002A44EA">
      <w:pPr>
        <w:rPr>
          <w:sz w:val="20"/>
          <w:szCs w:val="20"/>
          <w:lang w:val="fr-CA"/>
        </w:rPr>
      </w:pPr>
      <w:r>
        <w:rPr>
          <w:sz w:val="20"/>
          <w:szCs w:val="20"/>
          <w:lang w:val="fr-CA"/>
        </w:rPr>
        <w:br w:type="page"/>
      </w:r>
    </w:p>
    <w:p w:rsidR="00396A2E" w:rsidRPr="00545481" w:rsidRDefault="003A0C94" w:rsidP="00396A2E">
      <w:pPr>
        <w:widowControl w:val="0"/>
        <w:ind w:left="720" w:hanging="720"/>
        <w:jc w:val="both"/>
        <w:rPr>
          <w:sz w:val="20"/>
          <w:szCs w:val="20"/>
          <w:lang w:val="fr-CA"/>
        </w:rPr>
      </w:pPr>
      <w:r w:rsidRPr="00545481">
        <w:rPr>
          <w:b/>
          <w:sz w:val="20"/>
          <w:szCs w:val="20"/>
          <w:lang w:val="fr-CA"/>
        </w:rPr>
        <w:fldChar w:fldCharType="begin"/>
      </w:r>
      <w:r w:rsidR="00396A2E" w:rsidRPr="00545481">
        <w:rPr>
          <w:b/>
          <w:sz w:val="20"/>
          <w:szCs w:val="20"/>
          <w:lang w:val="fr-CA"/>
        </w:rPr>
        <w:instrText xml:space="preserve"> SEQ CHAPTER \h \r 1</w:instrText>
      </w:r>
      <w:r w:rsidRPr="00545481">
        <w:rPr>
          <w:b/>
          <w:sz w:val="20"/>
          <w:szCs w:val="20"/>
          <w:lang w:val="fr-CA"/>
        </w:rPr>
        <w:fldChar w:fldCharType="end"/>
      </w:r>
      <w:r w:rsidR="00396A2E" w:rsidRPr="00545481">
        <w:rPr>
          <w:b/>
          <w:sz w:val="20"/>
          <w:szCs w:val="20"/>
          <w:lang w:val="fr-CA"/>
        </w:rPr>
        <w:t>36017</w:t>
      </w:r>
      <w:r w:rsidR="00396A2E" w:rsidRPr="00545481">
        <w:rPr>
          <w:sz w:val="20"/>
          <w:szCs w:val="20"/>
          <w:lang w:val="fr-CA"/>
        </w:rPr>
        <w:tab/>
      </w:r>
      <w:r w:rsidR="00396A2E" w:rsidRPr="00545481">
        <w:rPr>
          <w:b/>
          <w:i/>
          <w:sz w:val="20"/>
          <w:szCs w:val="20"/>
          <w:lang w:val="fr-CA"/>
        </w:rPr>
        <w:t>Savdip Sanghera c. Sa Majesté la Reine</w:t>
      </w:r>
    </w:p>
    <w:p w:rsidR="00396A2E" w:rsidRPr="00545481" w:rsidRDefault="00396A2E" w:rsidP="00396A2E">
      <w:pPr>
        <w:widowControl w:val="0"/>
        <w:jc w:val="both"/>
        <w:rPr>
          <w:sz w:val="20"/>
          <w:szCs w:val="20"/>
          <w:lang w:val="fr-CA"/>
        </w:rPr>
      </w:pPr>
    </w:p>
    <w:p w:rsidR="00396A2E" w:rsidRPr="00545481" w:rsidRDefault="00396A2E" w:rsidP="00396A2E">
      <w:pPr>
        <w:widowControl w:val="0"/>
        <w:jc w:val="both"/>
        <w:rPr>
          <w:sz w:val="20"/>
          <w:szCs w:val="20"/>
          <w:lang w:val="fr-CA"/>
        </w:rPr>
      </w:pPr>
      <w:r w:rsidRPr="00545481">
        <w:rPr>
          <w:i/>
          <w:sz w:val="20"/>
          <w:szCs w:val="20"/>
          <w:lang w:val="fr-CA"/>
        </w:rPr>
        <w:t xml:space="preserve">Charte des droits - </w:t>
      </w:r>
      <w:r w:rsidRPr="00545481">
        <w:rPr>
          <w:sz w:val="20"/>
          <w:szCs w:val="20"/>
          <w:lang w:val="fr-CA"/>
        </w:rPr>
        <w:t xml:space="preserve">Droit d’être jugé dans un délai raisonnable - La juge du procès a-t-elle eu tort de conclure que le ministère public n’était pas responsable du délai causé par la mise en accusation directe? - Les juges majoritaires de la Cour d’appel ont-ils eu tort de conclure que la juge du procès avait omis d’attribuer un délai suffisant à l’appelant? - L’arrêt des procédures devrait-il être accordé en application du par. 24(1) de la </w:t>
      </w:r>
      <w:r w:rsidRPr="00545481">
        <w:rPr>
          <w:i/>
          <w:sz w:val="20"/>
          <w:szCs w:val="20"/>
          <w:lang w:val="fr-CA"/>
        </w:rPr>
        <w:t>Charte</w:t>
      </w:r>
      <w:r w:rsidRPr="00545481">
        <w:rPr>
          <w:sz w:val="20"/>
          <w:szCs w:val="20"/>
          <w:lang w:val="fr-CA"/>
        </w:rPr>
        <w:t>?</w:t>
      </w:r>
    </w:p>
    <w:p w:rsidR="00396A2E" w:rsidRPr="00545481" w:rsidRDefault="00396A2E" w:rsidP="00396A2E">
      <w:pPr>
        <w:widowControl w:val="0"/>
        <w:jc w:val="both"/>
        <w:rPr>
          <w:sz w:val="20"/>
          <w:szCs w:val="20"/>
          <w:lang w:val="fr-CA"/>
        </w:rPr>
      </w:pPr>
    </w:p>
    <w:p w:rsidR="00396A2E" w:rsidRPr="00545481" w:rsidRDefault="00396A2E" w:rsidP="00396A2E">
      <w:pPr>
        <w:widowControl w:val="0"/>
        <w:jc w:val="both"/>
        <w:rPr>
          <w:sz w:val="20"/>
          <w:szCs w:val="20"/>
          <w:lang w:val="fr-CA"/>
        </w:rPr>
      </w:pPr>
      <w:r w:rsidRPr="00545481">
        <w:rPr>
          <w:sz w:val="20"/>
          <w:szCs w:val="20"/>
          <w:lang w:val="fr-CA"/>
        </w:rPr>
        <w:t xml:space="preserve">L’appelant a été déclaré coupable de possession illégale d’une arme à feu à autorisation restreinte et de transfert non autorisé d’une arme à feu à autorisation restreinte. Il s’est écoulé environ 36 mois entre le moment où l’appelant a été accusé et la fin de son procès. Il a interjeté appel des déclarations de culpabilité, plaidant que la juge du procès avait eu tort de ne pas avoir ordonné l’arrêt des procédures en application du par. 24(1) de la </w:t>
      </w:r>
      <w:r w:rsidRPr="00545481">
        <w:rPr>
          <w:i/>
          <w:sz w:val="20"/>
          <w:szCs w:val="20"/>
          <w:lang w:val="fr-CA"/>
        </w:rPr>
        <w:t>Charte canadienne des droits et libertés</w:t>
      </w:r>
      <w:r w:rsidRPr="00545481">
        <w:rPr>
          <w:sz w:val="20"/>
          <w:szCs w:val="20"/>
          <w:lang w:val="fr-CA"/>
        </w:rPr>
        <w:t xml:space="preserve">. Il a soutenu que son droit à un procès dans un délai raisonnable avait été violé. Les juges majoritaires de la Cour d’appel ont rejeté l’appel. La juge Bennett, dissidente, était d’avis d’accueillir l’appel et d’ordonner l’arrêt des procédures. À son avis, bien que la juge du procès ait dûment examiné les facteurs énoncés dans </w:t>
      </w:r>
      <w:r w:rsidRPr="00545481">
        <w:rPr>
          <w:i/>
          <w:sz w:val="20"/>
          <w:szCs w:val="20"/>
          <w:lang w:val="fr-CA"/>
        </w:rPr>
        <w:t>R. c. Morin</w:t>
      </w:r>
      <w:r w:rsidRPr="00545481">
        <w:rPr>
          <w:sz w:val="20"/>
          <w:szCs w:val="20"/>
          <w:lang w:val="fr-CA"/>
        </w:rPr>
        <w:t>, [1992] 1 R.C.S. 771, elle a eu tort de conclure que le retard causé par la décision du ministère public de procéder par voie de mise en accusation directe avait eu un effet neutre. La juge Bennett a conclu que le ministère public pouvait clairement prévoir que la mise en accusation directe aurait pour effet d’accroître un délai déjà long et que ce délai aurait dû être considéré comme un « acte du ministère public ». Qui plus est, lorsque l’effet de la mise en accusation directe est opposé au ministère public, le délai ne peut plus être considéré comme raisonnable, si bien qu’il y a eu atteinte au droit que l’al. 11</w:t>
      </w:r>
      <w:r w:rsidRPr="00545481">
        <w:rPr>
          <w:i/>
          <w:sz w:val="20"/>
          <w:szCs w:val="20"/>
          <w:lang w:val="fr-CA"/>
        </w:rPr>
        <w:t>b</w:t>
      </w:r>
      <w:r w:rsidRPr="00545481">
        <w:rPr>
          <w:sz w:val="20"/>
          <w:szCs w:val="20"/>
          <w:lang w:val="fr-CA"/>
        </w:rPr>
        <w:t>) garantit à l’appelant.</w:t>
      </w:r>
    </w:p>
    <w:p w:rsidR="00396A2E" w:rsidRPr="00545481" w:rsidRDefault="00396A2E" w:rsidP="00396A2E">
      <w:pPr>
        <w:widowControl w:val="0"/>
        <w:jc w:val="both"/>
        <w:rPr>
          <w:sz w:val="20"/>
          <w:szCs w:val="20"/>
          <w:lang w:val="fr-CA"/>
        </w:rPr>
      </w:pPr>
    </w:p>
    <w:p w:rsidR="00396A2E" w:rsidRPr="00545481" w:rsidRDefault="00396A2E" w:rsidP="00396A2E">
      <w:pPr>
        <w:widowControl w:val="0"/>
        <w:jc w:val="both"/>
        <w:rPr>
          <w:sz w:val="20"/>
          <w:szCs w:val="20"/>
          <w:lang w:val="fr-CA"/>
        </w:rPr>
      </w:pPr>
    </w:p>
    <w:p w:rsidR="00396A2E" w:rsidRPr="00545481" w:rsidRDefault="00396A2E" w:rsidP="00396A2E">
      <w:pPr>
        <w:widowControl w:val="0"/>
        <w:ind w:left="2880" w:hanging="2880"/>
        <w:jc w:val="both"/>
        <w:rPr>
          <w:sz w:val="20"/>
          <w:szCs w:val="20"/>
          <w:lang w:val="fr-CA"/>
        </w:rPr>
      </w:pPr>
      <w:r w:rsidRPr="00545481">
        <w:rPr>
          <w:sz w:val="20"/>
          <w:szCs w:val="20"/>
          <w:lang w:val="fr-CA"/>
        </w:rPr>
        <w:t>Origine :</w:t>
      </w:r>
      <w:r w:rsidRPr="00545481">
        <w:rPr>
          <w:sz w:val="20"/>
          <w:szCs w:val="20"/>
          <w:lang w:val="fr-CA"/>
        </w:rPr>
        <w:tab/>
        <w:t>Colombie-Britannique</w:t>
      </w:r>
    </w:p>
    <w:p w:rsidR="00396A2E" w:rsidRPr="00545481" w:rsidRDefault="00396A2E" w:rsidP="00396A2E">
      <w:pPr>
        <w:widowControl w:val="0"/>
        <w:ind w:left="2880" w:hanging="2880"/>
        <w:jc w:val="both"/>
        <w:rPr>
          <w:sz w:val="20"/>
          <w:szCs w:val="20"/>
          <w:lang w:val="fr-CA"/>
        </w:rPr>
      </w:pPr>
    </w:p>
    <w:p w:rsidR="00396A2E" w:rsidRPr="00545481" w:rsidRDefault="00396A2E" w:rsidP="00396A2E">
      <w:pPr>
        <w:widowControl w:val="0"/>
        <w:ind w:left="2880" w:hanging="2880"/>
        <w:jc w:val="both"/>
        <w:rPr>
          <w:sz w:val="20"/>
          <w:szCs w:val="20"/>
          <w:lang w:val="fr-CA"/>
        </w:rPr>
      </w:pPr>
      <w:r w:rsidRPr="00545481">
        <w:rPr>
          <w:sz w:val="20"/>
          <w:szCs w:val="20"/>
          <w:lang w:val="fr-CA"/>
        </w:rPr>
        <w:t>N</w:t>
      </w:r>
      <w:r w:rsidRPr="00545481">
        <w:rPr>
          <w:sz w:val="20"/>
          <w:szCs w:val="20"/>
          <w:vertAlign w:val="superscript"/>
          <w:lang w:val="fr-CA"/>
        </w:rPr>
        <w:t>o</w:t>
      </w:r>
      <w:r w:rsidRPr="00545481">
        <w:rPr>
          <w:sz w:val="20"/>
          <w:szCs w:val="20"/>
          <w:lang w:val="fr-CA"/>
        </w:rPr>
        <w:t xml:space="preserve"> du greffe :</w:t>
      </w:r>
      <w:r w:rsidRPr="00545481">
        <w:rPr>
          <w:sz w:val="20"/>
          <w:szCs w:val="20"/>
          <w:lang w:val="fr-CA"/>
        </w:rPr>
        <w:tab/>
        <w:t>36017</w:t>
      </w:r>
    </w:p>
    <w:p w:rsidR="00396A2E" w:rsidRPr="00545481" w:rsidRDefault="00396A2E" w:rsidP="00396A2E">
      <w:pPr>
        <w:widowControl w:val="0"/>
        <w:ind w:left="2880" w:hanging="2880"/>
        <w:jc w:val="both"/>
        <w:rPr>
          <w:sz w:val="20"/>
          <w:szCs w:val="20"/>
          <w:lang w:val="fr-CA"/>
        </w:rPr>
      </w:pPr>
    </w:p>
    <w:p w:rsidR="00396A2E" w:rsidRPr="00545481" w:rsidRDefault="00396A2E" w:rsidP="00396A2E">
      <w:pPr>
        <w:widowControl w:val="0"/>
        <w:ind w:left="2880" w:hanging="2880"/>
        <w:jc w:val="both"/>
        <w:rPr>
          <w:sz w:val="20"/>
          <w:szCs w:val="20"/>
          <w:lang w:val="fr-CA"/>
        </w:rPr>
      </w:pPr>
      <w:r w:rsidRPr="00545481">
        <w:rPr>
          <w:sz w:val="20"/>
          <w:szCs w:val="20"/>
          <w:lang w:val="fr-CA"/>
        </w:rPr>
        <w:t>Arrêt de la Cour d’appel :</w:t>
      </w:r>
      <w:r w:rsidRPr="00545481">
        <w:rPr>
          <w:sz w:val="20"/>
          <w:szCs w:val="20"/>
          <w:lang w:val="fr-CA"/>
        </w:rPr>
        <w:tab/>
        <w:t>le 26 juin 2014</w:t>
      </w:r>
    </w:p>
    <w:p w:rsidR="00396A2E" w:rsidRPr="00545481" w:rsidRDefault="00396A2E" w:rsidP="00396A2E">
      <w:pPr>
        <w:widowControl w:val="0"/>
        <w:ind w:left="2880" w:hanging="2880"/>
        <w:jc w:val="both"/>
        <w:rPr>
          <w:sz w:val="20"/>
          <w:szCs w:val="20"/>
          <w:lang w:val="fr-CA"/>
        </w:rPr>
      </w:pPr>
    </w:p>
    <w:p w:rsidR="00396A2E" w:rsidRPr="00545481" w:rsidRDefault="00396A2E" w:rsidP="00396A2E">
      <w:pPr>
        <w:widowControl w:val="0"/>
        <w:ind w:left="2880" w:hanging="2880"/>
        <w:jc w:val="both"/>
        <w:rPr>
          <w:sz w:val="20"/>
          <w:szCs w:val="20"/>
          <w:lang w:val="fr-CA"/>
        </w:rPr>
      </w:pPr>
      <w:r w:rsidRPr="00545481">
        <w:rPr>
          <w:sz w:val="20"/>
          <w:szCs w:val="20"/>
          <w:lang w:val="fr-CA"/>
        </w:rPr>
        <w:t>Avocats :</w:t>
      </w:r>
      <w:r w:rsidRPr="00545481">
        <w:rPr>
          <w:sz w:val="20"/>
          <w:szCs w:val="20"/>
          <w:lang w:val="fr-CA"/>
        </w:rPr>
        <w:tab/>
        <w:t>Colleen E. Elden pour l’appelant</w:t>
      </w:r>
    </w:p>
    <w:p w:rsidR="00396A2E" w:rsidRPr="00545481" w:rsidRDefault="00396A2E" w:rsidP="00396A2E">
      <w:pPr>
        <w:widowControl w:val="0"/>
        <w:ind w:left="2880" w:hanging="2880"/>
        <w:jc w:val="both"/>
        <w:rPr>
          <w:sz w:val="20"/>
          <w:szCs w:val="20"/>
          <w:lang w:val="fr-CA"/>
        </w:rPr>
      </w:pPr>
      <w:r w:rsidRPr="00545481">
        <w:rPr>
          <w:sz w:val="20"/>
          <w:szCs w:val="20"/>
          <w:lang w:val="fr-CA"/>
        </w:rPr>
        <w:tab/>
        <w:t>Christie Lusk pour l’intimée</w:t>
      </w:r>
    </w:p>
    <w:p w:rsidR="002A44EA" w:rsidRPr="00DD0B49" w:rsidRDefault="002A44EA" w:rsidP="002A44EA">
      <w:pPr>
        <w:tabs>
          <w:tab w:val="left" w:pos="-1440"/>
          <w:tab w:val="left" w:pos="-720"/>
        </w:tabs>
        <w:jc w:val="both"/>
        <w:rPr>
          <w:sz w:val="20"/>
          <w:szCs w:val="20"/>
          <w:lang w:val="fr-CA"/>
        </w:rPr>
      </w:pPr>
    </w:p>
    <w:p w:rsidR="002A44EA" w:rsidRDefault="003A60BB" w:rsidP="002A44EA">
      <w:pPr>
        <w:tabs>
          <w:tab w:val="left" w:pos="-1440"/>
          <w:tab w:val="left" w:pos="-720"/>
        </w:tabs>
        <w:jc w:val="both"/>
        <w:rPr>
          <w:sz w:val="20"/>
          <w:szCs w:val="20"/>
          <w:lang w:val="fr-CA"/>
        </w:rPr>
      </w:pPr>
      <w:r>
        <w:rPr>
          <w:sz w:val="20"/>
          <w:szCs w:val="20"/>
          <w:lang w:val="fr-CA"/>
        </w:rPr>
        <w:pict>
          <v:rect id="_x0000_i1096" style="width:2in;height:1pt" o:hrpct="0" o:hralign="center" o:hrstd="t" o:hrnoshade="t" o:hr="t" fillcolor="black [3213]" stroked="f"/>
        </w:pict>
      </w:r>
    </w:p>
    <w:p w:rsidR="002A44EA" w:rsidRDefault="002A44EA" w:rsidP="002A44EA">
      <w:pPr>
        <w:tabs>
          <w:tab w:val="left" w:pos="-1440"/>
          <w:tab w:val="left" w:pos="-720"/>
        </w:tabs>
        <w:jc w:val="both"/>
        <w:rPr>
          <w:sz w:val="20"/>
          <w:szCs w:val="20"/>
          <w:lang w:val="fr-CA"/>
        </w:rPr>
      </w:pPr>
    </w:p>
    <w:p w:rsidR="002A44EA" w:rsidRDefault="002A44EA">
      <w:pPr>
        <w:rPr>
          <w:sz w:val="20"/>
          <w:szCs w:val="20"/>
          <w:lang w:val="fr-CA"/>
        </w:rPr>
      </w:pPr>
    </w:p>
    <w:p w:rsidR="002A44EA" w:rsidRDefault="002A44EA">
      <w:pPr>
        <w:rPr>
          <w:sz w:val="20"/>
          <w:szCs w:val="20"/>
          <w:lang w:val="fr-CA"/>
        </w:rPr>
      </w:pPr>
      <w:r>
        <w:rPr>
          <w:sz w:val="20"/>
          <w:szCs w:val="20"/>
          <w:lang w:val="fr-CA"/>
        </w:rPr>
        <w:br w:type="page"/>
      </w:r>
    </w:p>
    <w:p w:rsidR="00396A2E" w:rsidRPr="002B6A3F" w:rsidRDefault="003A0C94" w:rsidP="00396A2E">
      <w:pPr>
        <w:widowControl w:val="0"/>
        <w:ind w:left="720" w:hanging="720"/>
        <w:jc w:val="both"/>
        <w:rPr>
          <w:sz w:val="20"/>
          <w:szCs w:val="20"/>
        </w:rPr>
      </w:pPr>
      <w:r w:rsidRPr="002B6A3F">
        <w:rPr>
          <w:b/>
          <w:sz w:val="20"/>
          <w:szCs w:val="20"/>
        </w:rPr>
        <w:fldChar w:fldCharType="begin"/>
      </w:r>
      <w:r w:rsidR="00396A2E" w:rsidRPr="002B6A3F">
        <w:rPr>
          <w:b/>
          <w:sz w:val="20"/>
          <w:szCs w:val="20"/>
        </w:rPr>
        <w:instrText xml:space="preserve"> SEQ CHAPTER \h \r 1</w:instrText>
      </w:r>
      <w:r w:rsidRPr="002B6A3F">
        <w:rPr>
          <w:b/>
          <w:sz w:val="20"/>
          <w:szCs w:val="20"/>
        </w:rPr>
        <w:fldChar w:fldCharType="end"/>
      </w:r>
      <w:r w:rsidR="00396A2E" w:rsidRPr="002B6A3F">
        <w:rPr>
          <w:b/>
          <w:sz w:val="20"/>
          <w:szCs w:val="20"/>
        </w:rPr>
        <w:t>36059</w:t>
      </w:r>
      <w:r w:rsidR="00396A2E" w:rsidRPr="002B6A3F">
        <w:rPr>
          <w:sz w:val="20"/>
          <w:szCs w:val="20"/>
        </w:rPr>
        <w:tab/>
      </w:r>
      <w:r w:rsidR="00396A2E" w:rsidRPr="002B6A3F">
        <w:rPr>
          <w:b/>
          <w:i/>
          <w:sz w:val="20"/>
          <w:szCs w:val="20"/>
        </w:rPr>
        <w:t>Her Majesty the Queen v. Ow</w:t>
      </w:r>
      <w:r w:rsidR="00404856">
        <w:rPr>
          <w:b/>
          <w:i/>
          <w:sz w:val="20"/>
          <w:szCs w:val="20"/>
        </w:rPr>
        <w:t>e</w:t>
      </w:r>
      <w:r w:rsidR="00396A2E" w:rsidRPr="002B6A3F">
        <w:rPr>
          <w:b/>
          <w:i/>
          <w:sz w:val="20"/>
          <w:szCs w:val="20"/>
        </w:rPr>
        <w:t>n Edward Smith</w:t>
      </w:r>
    </w:p>
    <w:p w:rsidR="00396A2E" w:rsidRPr="002B6A3F" w:rsidRDefault="00396A2E" w:rsidP="00396A2E">
      <w:pPr>
        <w:widowControl w:val="0"/>
        <w:jc w:val="both"/>
        <w:rPr>
          <w:sz w:val="20"/>
          <w:szCs w:val="20"/>
        </w:rPr>
      </w:pPr>
    </w:p>
    <w:p w:rsidR="00396A2E" w:rsidRPr="002B6A3F" w:rsidRDefault="00396A2E" w:rsidP="00396A2E">
      <w:pPr>
        <w:widowControl w:val="0"/>
        <w:jc w:val="both"/>
        <w:rPr>
          <w:sz w:val="20"/>
          <w:szCs w:val="20"/>
        </w:rPr>
      </w:pPr>
      <w:r w:rsidRPr="002B6A3F">
        <w:rPr>
          <w:i/>
          <w:sz w:val="20"/>
          <w:szCs w:val="20"/>
        </w:rPr>
        <w:t>Charter of Rights</w:t>
      </w:r>
      <w:r w:rsidRPr="002B6A3F">
        <w:rPr>
          <w:sz w:val="20"/>
          <w:szCs w:val="20"/>
        </w:rPr>
        <w:t xml:space="preserve"> - Right to life, liberty and security of person - Medical marihuana users limited by regulation to use of marihuana in form of dried plant material</w:t>
      </w:r>
      <w:r w:rsidR="00582919" w:rsidRPr="002B6A3F">
        <w:rPr>
          <w:sz w:val="20"/>
          <w:szCs w:val="20"/>
        </w:rPr>
        <w:t xml:space="preserve"> - </w:t>
      </w:r>
      <w:r w:rsidRPr="002B6A3F">
        <w:rPr>
          <w:sz w:val="20"/>
          <w:szCs w:val="20"/>
        </w:rPr>
        <w:t>Whether restriction in</w:t>
      </w:r>
      <w:r w:rsidRPr="002B6A3F">
        <w:rPr>
          <w:i/>
          <w:sz w:val="20"/>
          <w:szCs w:val="20"/>
        </w:rPr>
        <w:t xml:space="preserve"> Marihuana Medical Access Regulations</w:t>
      </w:r>
      <w:r w:rsidRPr="002B6A3F">
        <w:rPr>
          <w:sz w:val="20"/>
          <w:szCs w:val="20"/>
        </w:rPr>
        <w:t xml:space="preserve">, SOR/2001-227, as amended, infringes s. 7 of </w:t>
      </w:r>
      <w:r w:rsidRPr="002B6A3F">
        <w:rPr>
          <w:i/>
          <w:sz w:val="20"/>
          <w:szCs w:val="20"/>
        </w:rPr>
        <w:t>Canadian Charter of Rights and Freedoms</w:t>
      </w:r>
      <w:r w:rsidRPr="002B6A3F">
        <w:rPr>
          <w:sz w:val="20"/>
          <w:szCs w:val="20"/>
        </w:rPr>
        <w:t xml:space="preserve"> - Criminal law - Procedure - Standing - Whether respondent has standing to challenge constitutional validity of </w:t>
      </w:r>
      <w:r w:rsidRPr="002B6A3F">
        <w:rPr>
          <w:i/>
          <w:sz w:val="20"/>
          <w:szCs w:val="20"/>
        </w:rPr>
        <w:t xml:space="preserve">Marihuana Medical Access Regulations. </w:t>
      </w:r>
    </w:p>
    <w:p w:rsidR="00396A2E" w:rsidRPr="002B6A3F" w:rsidRDefault="00396A2E" w:rsidP="00396A2E">
      <w:pPr>
        <w:widowControl w:val="0"/>
        <w:jc w:val="both"/>
        <w:rPr>
          <w:sz w:val="20"/>
          <w:szCs w:val="20"/>
        </w:rPr>
      </w:pPr>
    </w:p>
    <w:p w:rsidR="00396A2E" w:rsidRPr="002B6A3F" w:rsidRDefault="00396A2E" w:rsidP="00396A2E">
      <w:pPr>
        <w:widowControl w:val="0"/>
        <w:jc w:val="both"/>
        <w:rPr>
          <w:sz w:val="20"/>
          <w:szCs w:val="20"/>
        </w:rPr>
      </w:pPr>
      <w:r w:rsidRPr="002B6A3F">
        <w:rPr>
          <w:sz w:val="20"/>
          <w:szCs w:val="20"/>
        </w:rPr>
        <w:t xml:space="preserve">The respondent, Mr. Smith, was charged with possession for the purpose of trafficking of tetrahydrocannabinol (THC) and possession of dried marihuana. Although not a medical marihuana user himself, at trial he successfully challenged the constitutional validity of the </w:t>
      </w:r>
      <w:r w:rsidRPr="002B6A3F">
        <w:rPr>
          <w:i/>
          <w:sz w:val="20"/>
          <w:szCs w:val="20"/>
        </w:rPr>
        <w:t>Marihuana Medical Access Regulations</w:t>
      </w:r>
      <w:r w:rsidRPr="002B6A3F">
        <w:rPr>
          <w:sz w:val="20"/>
          <w:szCs w:val="20"/>
        </w:rPr>
        <w:t xml:space="preserve"> (“</w:t>
      </w:r>
      <w:r w:rsidRPr="002B6A3F">
        <w:rPr>
          <w:i/>
          <w:sz w:val="20"/>
          <w:szCs w:val="20"/>
        </w:rPr>
        <w:t>Regulations</w:t>
      </w:r>
      <w:r w:rsidRPr="002B6A3F">
        <w:rPr>
          <w:sz w:val="20"/>
          <w:szCs w:val="20"/>
        </w:rPr>
        <w:t xml:space="preserve">”), which limits the form of marihuana medical users of the substance can lawfully use to dried plant material. The trial judge found that the regulatory scheme breached s. 7 of the </w:t>
      </w:r>
      <w:r w:rsidRPr="002B6A3F">
        <w:rPr>
          <w:i/>
          <w:sz w:val="20"/>
          <w:szCs w:val="20"/>
        </w:rPr>
        <w:t>Charter</w:t>
      </w:r>
      <w:r w:rsidRPr="002B6A3F">
        <w:rPr>
          <w:sz w:val="20"/>
          <w:szCs w:val="20"/>
        </w:rPr>
        <w:t xml:space="preserve">, was arbitrary, and could not be justified. He struck the word “dried’ and the definition of “dried marihuana” from the </w:t>
      </w:r>
      <w:r w:rsidRPr="002B6A3F">
        <w:rPr>
          <w:i/>
          <w:sz w:val="20"/>
          <w:szCs w:val="20"/>
        </w:rPr>
        <w:t>Regulations</w:t>
      </w:r>
      <w:r w:rsidRPr="002B6A3F">
        <w:rPr>
          <w:sz w:val="20"/>
          <w:szCs w:val="20"/>
        </w:rPr>
        <w:t xml:space="preserve">. Mr. Smith was ultimately acquitted on both counts, the Crown having called no evidence. A majority of the Court of Appeal dismissed the appeal. Chiasson J.A., dissenting, would have allowed the appeal and ordered a new trial for two reasons. First, in his view, Mr. Smith did not have standing to bring the constitutional challenge. Indeed, unlike in the cases of </w:t>
      </w:r>
      <w:r w:rsidRPr="002B6A3F">
        <w:rPr>
          <w:i/>
          <w:sz w:val="20"/>
          <w:szCs w:val="20"/>
        </w:rPr>
        <w:t>R. v. Big M Drug Mart</w:t>
      </w:r>
      <w:r w:rsidRPr="002B6A3F">
        <w:rPr>
          <w:sz w:val="20"/>
          <w:szCs w:val="20"/>
        </w:rPr>
        <w:t xml:space="preserve">, [1985] 1 S.C.R. 295, and </w:t>
      </w:r>
      <w:r w:rsidRPr="002B6A3F">
        <w:rPr>
          <w:i/>
          <w:sz w:val="20"/>
          <w:szCs w:val="20"/>
        </w:rPr>
        <w:t>R. v. Morgentaler</w:t>
      </w:r>
      <w:r w:rsidRPr="002B6A3F">
        <w:rPr>
          <w:sz w:val="20"/>
          <w:szCs w:val="20"/>
        </w:rPr>
        <w:t xml:space="preserve">, [1988] 1 S.C.R. 30, Mr. Smith had not been charged under the legislative provision that was the direct subject of the constitutional challenge, and accordingly, any declaration that the limitation in the </w:t>
      </w:r>
      <w:r w:rsidRPr="002B6A3F">
        <w:rPr>
          <w:i/>
          <w:sz w:val="20"/>
          <w:szCs w:val="20"/>
        </w:rPr>
        <w:t>Regulations</w:t>
      </w:r>
      <w:r w:rsidRPr="002B6A3F">
        <w:rPr>
          <w:sz w:val="20"/>
          <w:szCs w:val="20"/>
        </w:rPr>
        <w:t xml:space="preserve"> is of no force and effect could not give him a defence to the charges of possession and trafficking. Second, the </w:t>
      </w:r>
      <w:r w:rsidRPr="002B6A3F">
        <w:rPr>
          <w:i/>
          <w:sz w:val="20"/>
          <w:szCs w:val="20"/>
        </w:rPr>
        <w:t>Regulations</w:t>
      </w:r>
      <w:r w:rsidRPr="002B6A3F">
        <w:rPr>
          <w:sz w:val="20"/>
          <w:szCs w:val="20"/>
        </w:rPr>
        <w:t xml:space="preserve"> did not impinge on the liberty or security of the person interests of medical marihuana users. Alternatively, if those interests were affected, the </w:t>
      </w:r>
      <w:r w:rsidRPr="002B6A3F">
        <w:rPr>
          <w:i/>
          <w:sz w:val="20"/>
          <w:szCs w:val="20"/>
        </w:rPr>
        <w:t>Regulations</w:t>
      </w:r>
      <w:r w:rsidRPr="002B6A3F">
        <w:rPr>
          <w:sz w:val="20"/>
          <w:szCs w:val="20"/>
        </w:rPr>
        <w:t xml:space="preserve"> did not offend any principle of fundamental justice. </w:t>
      </w:r>
    </w:p>
    <w:p w:rsidR="00396A2E" w:rsidRPr="002B6A3F" w:rsidRDefault="00396A2E" w:rsidP="00396A2E">
      <w:pPr>
        <w:widowControl w:val="0"/>
        <w:jc w:val="both"/>
        <w:rPr>
          <w:sz w:val="20"/>
          <w:szCs w:val="20"/>
        </w:rPr>
      </w:pPr>
    </w:p>
    <w:p w:rsidR="00396A2E" w:rsidRPr="002B6A3F" w:rsidRDefault="00396A2E" w:rsidP="00396A2E">
      <w:pPr>
        <w:widowControl w:val="0"/>
        <w:jc w:val="both"/>
        <w:rPr>
          <w:sz w:val="20"/>
          <w:szCs w:val="20"/>
        </w:rPr>
      </w:pPr>
    </w:p>
    <w:p w:rsidR="00396A2E" w:rsidRPr="002B6A3F" w:rsidRDefault="00396A2E" w:rsidP="00396A2E">
      <w:pPr>
        <w:widowControl w:val="0"/>
        <w:ind w:left="2880" w:hanging="2880"/>
        <w:jc w:val="both"/>
        <w:rPr>
          <w:sz w:val="20"/>
          <w:szCs w:val="20"/>
        </w:rPr>
      </w:pPr>
      <w:r w:rsidRPr="002B6A3F">
        <w:rPr>
          <w:sz w:val="20"/>
          <w:szCs w:val="20"/>
        </w:rPr>
        <w:t>Origin of the case:</w:t>
      </w:r>
      <w:r w:rsidRPr="002B6A3F">
        <w:rPr>
          <w:sz w:val="20"/>
          <w:szCs w:val="20"/>
        </w:rPr>
        <w:tab/>
        <w:t>British Columbia</w:t>
      </w:r>
    </w:p>
    <w:p w:rsidR="00396A2E" w:rsidRPr="002B6A3F" w:rsidRDefault="00396A2E" w:rsidP="00396A2E">
      <w:pPr>
        <w:widowControl w:val="0"/>
        <w:ind w:left="2880" w:hanging="2880"/>
        <w:jc w:val="both"/>
        <w:rPr>
          <w:sz w:val="20"/>
          <w:szCs w:val="20"/>
        </w:rPr>
      </w:pPr>
    </w:p>
    <w:p w:rsidR="00396A2E" w:rsidRPr="002B6A3F" w:rsidRDefault="00396A2E" w:rsidP="00396A2E">
      <w:pPr>
        <w:widowControl w:val="0"/>
        <w:ind w:left="2880" w:hanging="2880"/>
        <w:jc w:val="both"/>
        <w:rPr>
          <w:sz w:val="20"/>
          <w:szCs w:val="20"/>
        </w:rPr>
      </w:pPr>
      <w:r w:rsidRPr="002B6A3F">
        <w:rPr>
          <w:sz w:val="20"/>
          <w:szCs w:val="20"/>
        </w:rPr>
        <w:t>File No.:</w:t>
      </w:r>
      <w:r w:rsidRPr="002B6A3F">
        <w:rPr>
          <w:sz w:val="20"/>
          <w:szCs w:val="20"/>
        </w:rPr>
        <w:tab/>
        <w:t>36059</w:t>
      </w:r>
    </w:p>
    <w:p w:rsidR="00396A2E" w:rsidRPr="002B6A3F" w:rsidRDefault="00396A2E" w:rsidP="00396A2E">
      <w:pPr>
        <w:widowControl w:val="0"/>
        <w:ind w:left="2880" w:hanging="2880"/>
        <w:jc w:val="both"/>
        <w:rPr>
          <w:sz w:val="20"/>
          <w:szCs w:val="20"/>
        </w:rPr>
      </w:pPr>
    </w:p>
    <w:p w:rsidR="00396A2E" w:rsidRPr="002B6A3F" w:rsidRDefault="00396A2E" w:rsidP="00396A2E">
      <w:pPr>
        <w:widowControl w:val="0"/>
        <w:ind w:left="2880" w:hanging="2880"/>
        <w:jc w:val="both"/>
        <w:rPr>
          <w:sz w:val="20"/>
          <w:szCs w:val="20"/>
        </w:rPr>
      </w:pPr>
      <w:r w:rsidRPr="002B6A3F">
        <w:rPr>
          <w:sz w:val="20"/>
          <w:szCs w:val="20"/>
        </w:rPr>
        <w:t>Judgment of the Court of Appeal:</w:t>
      </w:r>
      <w:r w:rsidRPr="002B6A3F">
        <w:rPr>
          <w:sz w:val="20"/>
          <w:szCs w:val="20"/>
        </w:rPr>
        <w:tab/>
        <w:t>August 14, 2014</w:t>
      </w:r>
    </w:p>
    <w:p w:rsidR="00396A2E" w:rsidRPr="002B6A3F" w:rsidRDefault="00396A2E" w:rsidP="00396A2E">
      <w:pPr>
        <w:widowControl w:val="0"/>
        <w:ind w:left="2880" w:hanging="2880"/>
        <w:jc w:val="both"/>
        <w:rPr>
          <w:sz w:val="20"/>
          <w:szCs w:val="20"/>
        </w:rPr>
      </w:pPr>
    </w:p>
    <w:p w:rsidR="00396A2E" w:rsidRPr="002B6A3F" w:rsidRDefault="00396A2E" w:rsidP="00396A2E">
      <w:pPr>
        <w:widowControl w:val="0"/>
        <w:ind w:left="2880" w:hanging="2880"/>
        <w:jc w:val="both"/>
        <w:rPr>
          <w:sz w:val="20"/>
          <w:szCs w:val="20"/>
        </w:rPr>
      </w:pPr>
      <w:r w:rsidRPr="002B6A3F">
        <w:rPr>
          <w:sz w:val="20"/>
          <w:szCs w:val="20"/>
        </w:rPr>
        <w:t>Counsel:</w:t>
      </w:r>
      <w:r w:rsidRPr="002B6A3F">
        <w:rPr>
          <w:sz w:val="20"/>
          <w:szCs w:val="20"/>
        </w:rPr>
        <w:tab/>
        <w:t>W. Paul Riley and Kevin Wilson for the appellant</w:t>
      </w:r>
    </w:p>
    <w:p w:rsidR="00396A2E" w:rsidRPr="002B6A3F" w:rsidRDefault="00396A2E" w:rsidP="00396A2E">
      <w:pPr>
        <w:widowControl w:val="0"/>
        <w:ind w:left="2880" w:hanging="2880"/>
        <w:jc w:val="both"/>
        <w:rPr>
          <w:sz w:val="20"/>
          <w:szCs w:val="20"/>
        </w:rPr>
      </w:pPr>
      <w:r w:rsidRPr="002B6A3F">
        <w:rPr>
          <w:sz w:val="20"/>
          <w:szCs w:val="20"/>
        </w:rPr>
        <w:tab/>
        <w:t>Kirk I. Tousaw for the respondent</w:t>
      </w:r>
    </w:p>
    <w:p w:rsidR="002A44EA" w:rsidRPr="00396A2E" w:rsidRDefault="002A44EA" w:rsidP="002A44EA">
      <w:pPr>
        <w:tabs>
          <w:tab w:val="left" w:pos="-1440"/>
          <w:tab w:val="left" w:pos="-720"/>
        </w:tabs>
        <w:jc w:val="both"/>
        <w:rPr>
          <w:sz w:val="20"/>
          <w:szCs w:val="20"/>
        </w:rPr>
      </w:pPr>
    </w:p>
    <w:p w:rsidR="002A44EA" w:rsidRDefault="003A60BB" w:rsidP="002A44EA">
      <w:pPr>
        <w:tabs>
          <w:tab w:val="left" w:pos="-1440"/>
          <w:tab w:val="left" w:pos="-720"/>
        </w:tabs>
        <w:jc w:val="both"/>
        <w:rPr>
          <w:sz w:val="20"/>
          <w:szCs w:val="20"/>
          <w:lang w:val="fr-CA"/>
        </w:rPr>
      </w:pPr>
      <w:r>
        <w:rPr>
          <w:sz w:val="20"/>
          <w:szCs w:val="20"/>
          <w:lang w:val="fr-CA"/>
        </w:rPr>
        <w:pict>
          <v:rect id="_x0000_i1097" style="width:2in;height:1pt" o:hrpct="0" o:hralign="center" o:hrstd="t" o:hrnoshade="t" o:hr="t" fillcolor="black [3213]" stroked="f"/>
        </w:pict>
      </w:r>
    </w:p>
    <w:p w:rsidR="002A44EA" w:rsidRDefault="002A44EA" w:rsidP="002A44EA">
      <w:pPr>
        <w:tabs>
          <w:tab w:val="left" w:pos="-1440"/>
          <w:tab w:val="left" w:pos="-720"/>
        </w:tabs>
        <w:jc w:val="both"/>
        <w:rPr>
          <w:sz w:val="20"/>
          <w:szCs w:val="20"/>
          <w:lang w:val="fr-CA"/>
        </w:rPr>
      </w:pPr>
    </w:p>
    <w:p w:rsidR="002A44EA" w:rsidRDefault="002A44EA">
      <w:pPr>
        <w:rPr>
          <w:sz w:val="20"/>
          <w:szCs w:val="20"/>
          <w:lang w:val="fr-CA"/>
        </w:rPr>
      </w:pPr>
    </w:p>
    <w:p w:rsidR="002A44EA" w:rsidRDefault="002A44EA">
      <w:pPr>
        <w:rPr>
          <w:sz w:val="20"/>
          <w:szCs w:val="20"/>
          <w:lang w:val="fr-CA"/>
        </w:rPr>
      </w:pPr>
      <w:r>
        <w:rPr>
          <w:sz w:val="20"/>
          <w:szCs w:val="20"/>
          <w:lang w:val="fr-CA"/>
        </w:rPr>
        <w:br w:type="page"/>
      </w:r>
    </w:p>
    <w:p w:rsidR="00396A2E" w:rsidRPr="00667C54" w:rsidRDefault="003A0C94" w:rsidP="00396A2E">
      <w:pPr>
        <w:widowControl w:val="0"/>
        <w:ind w:left="720" w:hanging="720"/>
        <w:jc w:val="both"/>
        <w:rPr>
          <w:sz w:val="20"/>
          <w:szCs w:val="20"/>
          <w:lang w:val="fr-CA"/>
        </w:rPr>
      </w:pPr>
      <w:r w:rsidRPr="00667C54">
        <w:rPr>
          <w:b/>
          <w:sz w:val="20"/>
          <w:szCs w:val="20"/>
          <w:lang w:val="fr-CA"/>
        </w:rPr>
        <w:fldChar w:fldCharType="begin"/>
      </w:r>
      <w:r w:rsidR="00396A2E" w:rsidRPr="00667C54">
        <w:rPr>
          <w:b/>
          <w:sz w:val="20"/>
          <w:szCs w:val="20"/>
          <w:lang w:val="fr-CA"/>
        </w:rPr>
        <w:instrText xml:space="preserve"> SEQ CHAPTER \h \r 1</w:instrText>
      </w:r>
      <w:r w:rsidRPr="00667C54">
        <w:rPr>
          <w:b/>
          <w:sz w:val="20"/>
          <w:szCs w:val="20"/>
          <w:lang w:val="fr-CA"/>
        </w:rPr>
        <w:fldChar w:fldCharType="end"/>
      </w:r>
      <w:r w:rsidR="00396A2E" w:rsidRPr="00667C54">
        <w:rPr>
          <w:b/>
          <w:sz w:val="20"/>
          <w:szCs w:val="20"/>
          <w:lang w:val="fr-CA"/>
        </w:rPr>
        <w:t>36059</w:t>
      </w:r>
      <w:r w:rsidR="00396A2E" w:rsidRPr="00667C54">
        <w:rPr>
          <w:sz w:val="20"/>
          <w:szCs w:val="20"/>
          <w:lang w:val="fr-CA"/>
        </w:rPr>
        <w:tab/>
      </w:r>
      <w:r w:rsidR="00396A2E" w:rsidRPr="00667C54">
        <w:rPr>
          <w:b/>
          <w:i/>
          <w:sz w:val="20"/>
          <w:szCs w:val="20"/>
          <w:lang w:val="fr-CA"/>
        </w:rPr>
        <w:t>Sa Majesté la Reine c. Ow</w:t>
      </w:r>
      <w:r w:rsidR="00404856">
        <w:rPr>
          <w:b/>
          <w:i/>
          <w:sz w:val="20"/>
          <w:szCs w:val="20"/>
          <w:lang w:val="fr-CA"/>
        </w:rPr>
        <w:t>e</w:t>
      </w:r>
      <w:r w:rsidR="00396A2E" w:rsidRPr="00667C54">
        <w:rPr>
          <w:b/>
          <w:i/>
          <w:sz w:val="20"/>
          <w:szCs w:val="20"/>
          <w:lang w:val="fr-CA"/>
        </w:rPr>
        <w:t>n Edward Smith</w:t>
      </w:r>
    </w:p>
    <w:p w:rsidR="00396A2E" w:rsidRPr="00667C54" w:rsidRDefault="00396A2E" w:rsidP="00396A2E">
      <w:pPr>
        <w:widowControl w:val="0"/>
        <w:jc w:val="both"/>
        <w:rPr>
          <w:sz w:val="20"/>
          <w:szCs w:val="20"/>
          <w:lang w:val="fr-CA"/>
        </w:rPr>
      </w:pPr>
    </w:p>
    <w:p w:rsidR="00396A2E" w:rsidRPr="00667C54" w:rsidRDefault="00396A2E" w:rsidP="00396A2E">
      <w:pPr>
        <w:widowControl w:val="0"/>
        <w:jc w:val="both"/>
        <w:rPr>
          <w:sz w:val="20"/>
          <w:szCs w:val="20"/>
          <w:lang w:val="fr-CA"/>
        </w:rPr>
      </w:pPr>
      <w:r w:rsidRPr="00667C54">
        <w:rPr>
          <w:i/>
          <w:sz w:val="20"/>
          <w:szCs w:val="20"/>
          <w:lang w:val="fr-CA"/>
        </w:rPr>
        <w:t>Charte des droits</w:t>
      </w:r>
      <w:r w:rsidRPr="00667C54">
        <w:rPr>
          <w:sz w:val="20"/>
          <w:szCs w:val="20"/>
          <w:lang w:val="fr-CA"/>
        </w:rPr>
        <w:t xml:space="preserve"> - Droit à la vie, à la liberté et à la sécurité de la personne - Par application d’un règlement, les utilisateurs de marihuana à des fins médicales ne peuvent utiliser de la marihuana que sous la forme de plante séchée</w:t>
      </w:r>
      <w:r w:rsidR="00A608E4" w:rsidRPr="000466E4">
        <w:rPr>
          <w:sz w:val="20"/>
          <w:szCs w:val="20"/>
          <w:lang w:val="fr-CA"/>
        </w:rPr>
        <w:t xml:space="preserve"> - </w:t>
      </w:r>
      <w:r w:rsidRPr="00667C54">
        <w:rPr>
          <w:sz w:val="20"/>
          <w:szCs w:val="20"/>
          <w:lang w:val="fr-CA"/>
        </w:rPr>
        <w:t>Cette restriction prescrite par le</w:t>
      </w:r>
      <w:r w:rsidRPr="00667C54">
        <w:rPr>
          <w:i/>
          <w:sz w:val="20"/>
          <w:szCs w:val="20"/>
          <w:lang w:val="fr-CA"/>
        </w:rPr>
        <w:t xml:space="preserve"> Règlement sur l’accès à la marihuana à des fins médicales</w:t>
      </w:r>
      <w:r w:rsidRPr="00667C54">
        <w:rPr>
          <w:sz w:val="20"/>
          <w:szCs w:val="20"/>
          <w:lang w:val="fr-CA"/>
        </w:rPr>
        <w:t xml:space="preserve">, DORS/2001-227, modifié, viole-t-elle l’art. 7 de la </w:t>
      </w:r>
      <w:r w:rsidRPr="00667C54">
        <w:rPr>
          <w:i/>
          <w:sz w:val="20"/>
          <w:szCs w:val="20"/>
          <w:lang w:val="fr-CA"/>
        </w:rPr>
        <w:t>Charte canadienne des droits et libertés</w:t>
      </w:r>
      <w:r w:rsidRPr="00667C54">
        <w:rPr>
          <w:sz w:val="20"/>
          <w:szCs w:val="20"/>
          <w:lang w:val="fr-CA"/>
        </w:rPr>
        <w:t xml:space="preserve">? - Droit criminel - Procédure - Qualité pour agir - L’intimé a-t-il qualité pour contester la validité constitutionnelle du </w:t>
      </w:r>
      <w:r w:rsidRPr="00667C54">
        <w:rPr>
          <w:i/>
          <w:sz w:val="20"/>
          <w:szCs w:val="20"/>
          <w:lang w:val="fr-CA"/>
        </w:rPr>
        <w:t>Règlement sur l’accès à la marihuana à des fins médicales</w:t>
      </w:r>
      <w:r w:rsidRPr="00667C54">
        <w:rPr>
          <w:sz w:val="20"/>
          <w:szCs w:val="20"/>
          <w:lang w:val="fr-CA"/>
        </w:rPr>
        <w:t>?</w:t>
      </w:r>
      <w:r w:rsidRPr="00667C54">
        <w:rPr>
          <w:i/>
          <w:sz w:val="20"/>
          <w:szCs w:val="20"/>
          <w:lang w:val="fr-CA"/>
        </w:rPr>
        <w:t xml:space="preserve"> </w:t>
      </w:r>
    </w:p>
    <w:p w:rsidR="00396A2E" w:rsidRPr="00667C54" w:rsidRDefault="00396A2E" w:rsidP="00396A2E">
      <w:pPr>
        <w:widowControl w:val="0"/>
        <w:jc w:val="both"/>
        <w:rPr>
          <w:sz w:val="20"/>
          <w:szCs w:val="20"/>
          <w:lang w:val="fr-CA"/>
        </w:rPr>
      </w:pPr>
    </w:p>
    <w:p w:rsidR="00396A2E" w:rsidRPr="00667C54" w:rsidRDefault="00396A2E" w:rsidP="00396A2E">
      <w:pPr>
        <w:widowControl w:val="0"/>
        <w:jc w:val="both"/>
        <w:rPr>
          <w:sz w:val="20"/>
          <w:szCs w:val="20"/>
          <w:lang w:val="fr-CA"/>
        </w:rPr>
      </w:pPr>
      <w:r w:rsidRPr="00667C54">
        <w:rPr>
          <w:sz w:val="20"/>
          <w:szCs w:val="20"/>
          <w:lang w:val="fr-CA"/>
        </w:rPr>
        <w:t xml:space="preserve">L’intimé, M. Smith, a été accusé de possession de tétrahydrocannabinol (THC) en vue d’en faire le trafic et de possession de marihuana séchée.  Même s’il n’est pas lui-même utilisateur de marihuana à des fins médicales, il a contesté avec succès la validité constitutionnelle du </w:t>
      </w:r>
      <w:r w:rsidRPr="00667C54">
        <w:rPr>
          <w:i/>
          <w:sz w:val="20"/>
          <w:szCs w:val="20"/>
          <w:lang w:val="fr-CA"/>
        </w:rPr>
        <w:t>Règlement sur l’accès à la marihuana à des fins médicales</w:t>
      </w:r>
      <w:r w:rsidRPr="00667C54">
        <w:rPr>
          <w:sz w:val="20"/>
          <w:szCs w:val="20"/>
          <w:lang w:val="fr-CA"/>
        </w:rPr>
        <w:t xml:space="preserve"> (le « </w:t>
      </w:r>
      <w:r w:rsidRPr="00667C54">
        <w:rPr>
          <w:i/>
          <w:sz w:val="20"/>
          <w:szCs w:val="20"/>
          <w:lang w:val="fr-CA"/>
        </w:rPr>
        <w:t>Règlement</w:t>
      </w:r>
      <w:r w:rsidRPr="00667C54">
        <w:rPr>
          <w:sz w:val="20"/>
          <w:szCs w:val="20"/>
          <w:lang w:val="fr-CA"/>
        </w:rPr>
        <w:t xml:space="preserve"> »), en vertu duquel les utilisateurs de marihuana à des fins médicales ne peuvent légalement utiliser la substance que sous la forme de plante séchée.  Le juge de première instance a conclu que le régime de réglementation violait l’art. 7 de la </w:t>
      </w:r>
      <w:r w:rsidRPr="00667C54">
        <w:rPr>
          <w:i/>
          <w:sz w:val="20"/>
          <w:szCs w:val="20"/>
          <w:lang w:val="fr-CA"/>
        </w:rPr>
        <w:t>Charte</w:t>
      </w:r>
      <w:r w:rsidRPr="00667C54">
        <w:rPr>
          <w:sz w:val="20"/>
          <w:szCs w:val="20"/>
          <w:lang w:val="fr-CA"/>
        </w:rPr>
        <w:t xml:space="preserve">, qu’il était arbitraire et qu’il ne pouvait être justifié.  Il a radié le mot « séchée » et la définition de « marihuana séchée » du </w:t>
      </w:r>
      <w:r w:rsidRPr="00667C54">
        <w:rPr>
          <w:i/>
          <w:sz w:val="20"/>
          <w:szCs w:val="20"/>
          <w:lang w:val="fr-CA"/>
        </w:rPr>
        <w:t>Règlement</w:t>
      </w:r>
      <w:r w:rsidRPr="00667C54">
        <w:rPr>
          <w:sz w:val="20"/>
          <w:szCs w:val="20"/>
          <w:lang w:val="fr-CA"/>
        </w:rPr>
        <w:t xml:space="preserve">.  Monsieur Smith a finalement été acquitté relativement aux deux chefs d’accusation, le ministère public n’ayant présenté aucune preuve.  Les juges majoritaires de la Cour d’appel ont rejeté l’appel.  Le juge Chiasson, dissident, était d’avis d’accueillir l’appel et d’ordonner un nouveau procès et ce, pour deux motifs.  Premièrement, à son avis, M. Smith n’avait pas qualité pour introduire la contestation constitutionnelle.  En effet, contrairement à ce qui avait été le cas dans les affaires </w:t>
      </w:r>
      <w:r w:rsidRPr="00667C54">
        <w:rPr>
          <w:i/>
          <w:sz w:val="20"/>
          <w:szCs w:val="20"/>
          <w:lang w:val="fr-CA"/>
        </w:rPr>
        <w:t>R. c. Big M Drug Mart</w:t>
      </w:r>
      <w:r w:rsidRPr="00667C54">
        <w:rPr>
          <w:sz w:val="20"/>
          <w:szCs w:val="20"/>
          <w:lang w:val="fr-CA"/>
        </w:rPr>
        <w:t xml:space="preserve">, [1985] 1 R.C.S. 295, et </w:t>
      </w:r>
      <w:r w:rsidRPr="00667C54">
        <w:rPr>
          <w:i/>
          <w:sz w:val="20"/>
          <w:szCs w:val="20"/>
          <w:lang w:val="fr-CA"/>
        </w:rPr>
        <w:t>R. c. Morgentaler</w:t>
      </w:r>
      <w:r w:rsidRPr="00667C54">
        <w:rPr>
          <w:sz w:val="20"/>
          <w:szCs w:val="20"/>
          <w:lang w:val="fr-CA"/>
        </w:rPr>
        <w:t xml:space="preserve">, [1988] 1 R.C.S. 30, M. Smith n’avait pas été accusé en application de la disposition législative directement visée par la contestation constitutionnelle, si bien qu’un éventuel jugement déclarant inopérante la limitation prévue dans le </w:t>
      </w:r>
      <w:r w:rsidRPr="00667C54">
        <w:rPr>
          <w:i/>
          <w:sz w:val="20"/>
          <w:szCs w:val="20"/>
          <w:lang w:val="fr-CA"/>
        </w:rPr>
        <w:t xml:space="preserve">Règlement </w:t>
      </w:r>
      <w:r w:rsidRPr="00667C54">
        <w:rPr>
          <w:sz w:val="20"/>
          <w:szCs w:val="20"/>
          <w:lang w:val="fr-CA"/>
        </w:rPr>
        <w:t xml:space="preserve">ne lui donnait aucun moyen de défense contre les accusations de possession et de trafic.  Deuxièmement, le </w:t>
      </w:r>
      <w:r w:rsidRPr="00667C54">
        <w:rPr>
          <w:i/>
          <w:sz w:val="20"/>
          <w:szCs w:val="20"/>
          <w:lang w:val="fr-CA"/>
        </w:rPr>
        <w:t>Règlement</w:t>
      </w:r>
      <w:r w:rsidRPr="00667C54">
        <w:rPr>
          <w:sz w:val="20"/>
          <w:szCs w:val="20"/>
          <w:lang w:val="fr-CA"/>
        </w:rPr>
        <w:t xml:space="preserve"> n’empiétait pas sur les droits à la liberté et à la sécurité de la personne des utilisateurs de marihuana à des fins médicales.  Subsidiairement, si ces droits ont été touchés, le </w:t>
      </w:r>
      <w:r w:rsidRPr="00667C54">
        <w:rPr>
          <w:i/>
          <w:sz w:val="20"/>
          <w:szCs w:val="20"/>
          <w:lang w:val="fr-CA"/>
        </w:rPr>
        <w:t>Règlement</w:t>
      </w:r>
      <w:r w:rsidRPr="00667C54">
        <w:rPr>
          <w:sz w:val="20"/>
          <w:szCs w:val="20"/>
          <w:lang w:val="fr-CA"/>
        </w:rPr>
        <w:t xml:space="preserve"> ne contrevenait à aucun principe de justice fondamentale. </w:t>
      </w:r>
    </w:p>
    <w:p w:rsidR="00396A2E" w:rsidRPr="00667C54" w:rsidRDefault="00396A2E" w:rsidP="00396A2E">
      <w:pPr>
        <w:widowControl w:val="0"/>
        <w:jc w:val="both"/>
        <w:rPr>
          <w:sz w:val="20"/>
          <w:szCs w:val="20"/>
          <w:lang w:val="fr-CA"/>
        </w:rPr>
      </w:pPr>
    </w:p>
    <w:p w:rsidR="00396A2E" w:rsidRPr="00667C54" w:rsidRDefault="00396A2E" w:rsidP="00396A2E">
      <w:pPr>
        <w:widowControl w:val="0"/>
        <w:jc w:val="both"/>
        <w:rPr>
          <w:sz w:val="20"/>
          <w:szCs w:val="20"/>
          <w:lang w:val="fr-CA"/>
        </w:rPr>
      </w:pPr>
    </w:p>
    <w:p w:rsidR="00396A2E" w:rsidRPr="00667C54" w:rsidRDefault="00396A2E" w:rsidP="00396A2E">
      <w:pPr>
        <w:widowControl w:val="0"/>
        <w:ind w:left="2880" w:hanging="2880"/>
        <w:jc w:val="both"/>
        <w:rPr>
          <w:sz w:val="20"/>
          <w:szCs w:val="20"/>
          <w:lang w:val="fr-CA"/>
        </w:rPr>
      </w:pPr>
      <w:r w:rsidRPr="00667C54">
        <w:rPr>
          <w:sz w:val="20"/>
          <w:szCs w:val="20"/>
          <w:lang w:val="fr-CA"/>
        </w:rPr>
        <w:t>Origine :</w:t>
      </w:r>
      <w:r w:rsidRPr="00667C54">
        <w:rPr>
          <w:sz w:val="20"/>
          <w:szCs w:val="20"/>
          <w:lang w:val="fr-CA"/>
        </w:rPr>
        <w:tab/>
        <w:t>Colombie-Britannique</w:t>
      </w:r>
    </w:p>
    <w:p w:rsidR="00396A2E" w:rsidRPr="00667C54" w:rsidRDefault="00396A2E" w:rsidP="00396A2E">
      <w:pPr>
        <w:widowControl w:val="0"/>
        <w:ind w:left="2880" w:hanging="2880"/>
        <w:jc w:val="both"/>
        <w:rPr>
          <w:sz w:val="20"/>
          <w:szCs w:val="20"/>
          <w:lang w:val="fr-CA"/>
        </w:rPr>
      </w:pPr>
    </w:p>
    <w:p w:rsidR="00396A2E" w:rsidRPr="00667C54" w:rsidRDefault="00396A2E" w:rsidP="00396A2E">
      <w:pPr>
        <w:widowControl w:val="0"/>
        <w:ind w:left="2880" w:hanging="2880"/>
        <w:jc w:val="both"/>
        <w:rPr>
          <w:sz w:val="20"/>
          <w:szCs w:val="20"/>
          <w:lang w:val="fr-CA"/>
        </w:rPr>
      </w:pPr>
      <w:r w:rsidRPr="00667C54">
        <w:rPr>
          <w:sz w:val="20"/>
          <w:szCs w:val="20"/>
          <w:lang w:val="fr-CA"/>
        </w:rPr>
        <w:t>N</w:t>
      </w:r>
      <w:r w:rsidRPr="00667C54">
        <w:rPr>
          <w:sz w:val="20"/>
          <w:szCs w:val="20"/>
          <w:vertAlign w:val="superscript"/>
          <w:lang w:val="fr-CA"/>
        </w:rPr>
        <w:t>o</w:t>
      </w:r>
      <w:r w:rsidRPr="00667C54">
        <w:rPr>
          <w:sz w:val="20"/>
          <w:szCs w:val="20"/>
          <w:lang w:val="fr-CA"/>
        </w:rPr>
        <w:t xml:space="preserve"> du greffe :</w:t>
      </w:r>
      <w:r w:rsidRPr="00667C54">
        <w:rPr>
          <w:sz w:val="20"/>
          <w:szCs w:val="20"/>
          <w:lang w:val="fr-CA"/>
        </w:rPr>
        <w:tab/>
        <w:t>36059</w:t>
      </w:r>
    </w:p>
    <w:p w:rsidR="00396A2E" w:rsidRPr="00667C54" w:rsidRDefault="00396A2E" w:rsidP="00396A2E">
      <w:pPr>
        <w:widowControl w:val="0"/>
        <w:ind w:left="2880" w:hanging="2880"/>
        <w:jc w:val="both"/>
        <w:rPr>
          <w:sz w:val="20"/>
          <w:szCs w:val="20"/>
          <w:lang w:val="fr-CA"/>
        </w:rPr>
      </w:pPr>
    </w:p>
    <w:p w:rsidR="00396A2E" w:rsidRPr="00667C54" w:rsidRDefault="00396A2E" w:rsidP="00396A2E">
      <w:pPr>
        <w:widowControl w:val="0"/>
        <w:ind w:left="2880" w:hanging="2880"/>
        <w:jc w:val="both"/>
        <w:rPr>
          <w:sz w:val="20"/>
          <w:szCs w:val="20"/>
          <w:lang w:val="fr-CA"/>
        </w:rPr>
      </w:pPr>
      <w:r w:rsidRPr="00667C54">
        <w:rPr>
          <w:sz w:val="20"/>
          <w:szCs w:val="20"/>
          <w:lang w:val="fr-CA"/>
        </w:rPr>
        <w:t>Arrêt de la Cour d’appel :</w:t>
      </w:r>
      <w:r w:rsidRPr="00667C54">
        <w:rPr>
          <w:sz w:val="20"/>
          <w:szCs w:val="20"/>
          <w:lang w:val="fr-CA"/>
        </w:rPr>
        <w:tab/>
        <w:t>le 14 août 2014</w:t>
      </w:r>
    </w:p>
    <w:p w:rsidR="00396A2E" w:rsidRPr="00667C54" w:rsidRDefault="00396A2E" w:rsidP="00396A2E">
      <w:pPr>
        <w:widowControl w:val="0"/>
        <w:ind w:left="2880" w:hanging="2880"/>
        <w:jc w:val="both"/>
        <w:rPr>
          <w:sz w:val="20"/>
          <w:szCs w:val="20"/>
          <w:lang w:val="fr-CA"/>
        </w:rPr>
      </w:pPr>
    </w:p>
    <w:p w:rsidR="00396A2E" w:rsidRPr="00667C54" w:rsidRDefault="00396A2E" w:rsidP="00396A2E">
      <w:pPr>
        <w:widowControl w:val="0"/>
        <w:ind w:left="2880" w:hanging="2880"/>
        <w:jc w:val="both"/>
        <w:rPr>
          <w:sz w:val="20"/>
          <w:szCs w:val="20"/>
          <w:lang w:val="fr-CA"/>
        </w:rPr>
      </w:pPr>
      <w:r w:rsidRPr="00667C54">
        <w:rPr>
          <w:sz w:val="20"/>
          <w:szCs w:val="20"/>
          <w:lang w:val="fr-CA"/>
        </w:rPr>
        <w:t>Avocats :</w:t>
      </w:r>
      <w:r w:rsidRPr="00667C54">
        <w:rPr>
          <w:sz w:val="20"/>
          <w:szCs w:val="20"/>
          <w:lang w:val="fr-CA"/>
        </w:rPr>
        <w:tab/>
        <w:t>W. Paul Riley et Kevin Wilson pour l’appelante</w:t>
      </w:r>
    </w:p>
    <w:p w:rsidR="00396A2E" w:rsidRPr="00667C54" w:rsidRDefault="00396A2E" w:rsidP="00396A2E">
      <w:pPr>
        <w:widowControl w:val="0"/>
        <w:ind w:left="2880" w:hanging="2880"/>
        <w:jc w:val="both"/>
        <w:rPr>
          <w:sz w:val="20"/>
          <w:szCs w:val="20"/>
          <w:lang w:val="fr-CA"/>
        </w:rPr>
      </w:pPr>
      <w:r w:rsidRPr="00667C54">
        <w:rPr>
          <w:sz w:val="20"/>
          <w:szCs w:val="20"/>
          <w:lang w:val="fr-CA"/>
        </w:rPr>
        <w:tab/>
        <w:t>Kirk I. Tousaw pour l’intimé</w:t>
      </w:r>
    </w:p>
    <w:p w:rsidR="002A44EA" w:rsidRPr="00DD0B49" w:rsidRDefault="002A44EA" w:rsidP="002A44EA">
      <w:pPr>
        <w:tabs>
          <w:tab w:val="left" w:pos="-1440"/>
          <w:tab w:val="left" w:pos="-720"/>
        </w:tabs>
        <w:jc w:val="both"/>
        <w:rPr>
          <w:sz w:val="20"/>
          <w:szCs w:val="20"/>
          <w:lang w:val="fr-CA"/>
        </w:rPr>
      </w:pPr>
    </w:p>
    <w:p w:rsidR="002A44EA" w:rsidRDefault="003A60BB" w:rsidP="002A44EA">
      <w:pPr>
        <w:tabs>
          <w:tab w:val="left" w:pos="-1440"/>
          <w:tab w:val="left" w:pos="-720"/>
        </w:tabs>
        <w:jc w:val="both"/>
        <w:rPr>
          <w:sz w:val="20"/>
          <w:szCs w:val="20"/>
          <w:lang w:val="fr-CA"/>
        </w:rPr>
      </w:pPr>
      <w:r>
        <w:rPr>
          <w:sz w:val="20"/>
          <w:szCs w:val="20"/>
          <w:lang w:val="fr-CA"/>
        </w:rPr>
        <w:pict>
          <v:rect id="_x0000_i1098" style="width:2in;height:1pt" o:hrpct="0" o:hralign="center" o:hrstd="t" o:hrnoshade="t" o:hr="t" fillcolor="black [3213]" stroked="f"/>
        </w:pict>
      </w:r>
    </w:p>
    <w:p w:rsidR="002A44EA" w:rsidRDefault="002A44EA" w:rsidP="002A44EA">
      <w:pPr>
        <w:tabs>
          <w:tab w:val="left" w:pos="-1440"/>
          <w:tab w:val="left" w:pos="-720"/>
        </w:tabs>
        <w:jc w:val="both"/>
        <w:rPr>
          <w:sz w:val="20"/>
          <w:szCs w:val="20"/>
          <w:lang w:val="fr-CA"/>
        </w:rPr>
      </w:pPr>
    </w:p>
    <w:p w:rsidR="002A44EA" w:rsidRPr="00DD0B49" w:rsidRDefault="002A44EA"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97"/>
          <w:footerReference w:type="default" r:id="rId98"/>
          <w:headerReference w:type="first" r:id="rId99"/>
          <w:footerReference w:type="first" r:id="rId100"/>
          <w:pgSz w:w="12240" w:h="15840"/>
          <w:pgMar w:top="720" w:right="965" w:bottom="1080" w:left="1656" w:header="720" w:footer="965" w:gutter="0"/>
          <w:cols w:space="720"/>
          <w:titlePg/>
          <w:docGrid w:linePitch="326"/>
        </w:sectPr>
      </w:pPr>
    </w:p>
    <w:p w:rsidR="008112A9" w:rsidRPr="00BF2F22" w:rsidRDefault="003A0C94" w:rsidP="008112A9">
      <w:pPr>
        <w:widowControl w:val="0"/>
        <w:spacing w:line="180" w:lineRule="auto"/>
        <w:jc w:val="center"/>
        <w:rPr>
          <w:rFonts w:asciiTheme="minorHAnsi" w:hAnsiTheme="minorHAnsi" w:cstheme="minorHAnsi"/>
          <w:b/>
          <w:szCs w:val="24"/>
          <w:lang w:val="fr-CA"/>
        </w:rPr>
      </w:pPr>
      <w:r w:rsidRPr="002E0C7E">
        <w:rPr>
          <w:rFonts w:asciiTheme="minorHAnsi" w:hAnsiTheme="minorHAnsi" w:cstheme="minorHAnsi"/>
          <w:b/>
          <w:szCs w:val="24"/>
        </w:rPr>
        <w:fldChar w:fldCharType="begin"/>
      </w:r>
      <w:r w:rsidR="008112A9" w:rsidRPr="00BF2F22">
        <w:rPr>
          <w:rFonts w:asciiTheme="minorHAnsi" w:hAnsiTheme="minorHAnsi" w:cstheme="minorHAnsi"/>
          <w:b/>
          <w:szCs w:val="24"/>
          <w:lang w:val="fr-CA"/>
        </w:rPr>
        <w:instrText xml:space="preserve"> SEQ CHAPTER \h \r 1</w:instrText>
      </w:r>
      <w:r w:rsidRPr="002E0C7E">
        <w:rPr>
          <w:rFonts w:asciiTheme="minorHAnsi" w:hAnsiTheme="minorHAnsi" w:cstheme="minorHAnsi"/>
          <w:b/>
          <w:szCs w:val="24"/>
        </w:rPr>
        <w:fldChar w:fldCharType="end"/>
      </w:r>
      <w:r w:rsidR="008112A9" w:rsidRPr="00BF2F22">
        <w:rPr>
          <w:rFonts w:asciiTheme="minorHAnsi" w:hAnsiTheme="minorHAnsi" w:cstheme="minorHAnsi"/>
          <w:b/>
          <w:szCs w:val="24"/>
          <w:lang w:val="fr-CA"/>
        </w:rPr>
        <w:t>SUPREME COURT OF CANADA SCHEDULE / CALENDRIER DE LA COUR SUPREME</w:t>
      </w:r>
    </w:p>
    <w:p w:rsidR="008112A9" w:rsidRPr="00BF2F22" w:rsidRDefault="008112A9" w:rsidP="008112A9">
      <w:pPr>
        <w:widowControl w:val="0"/>
        <w:spacing w:line="180" w:lineRule="auto"/>
        <w:rPr>
          <w:rFonts w:asciiTheme="minorHAnsi" w:hAnsiTheme="minorHAnsi" w:cstheme="minorHAnsi"/>
          <w:szCs w:val="24"/>
          <w:lang w:val="fr-CA"/>
        </w:rPr>
      </w:pPr>
    </w:p>
    <w:p w:rsidR="008112A9" w:rsidRPr="00BF2F22" w:rsidRDefault="008112A9" w:rsidP="008112A9">
      <w:pPr>
        <w:widowControl w:val="0"/>
        <w:tabs>
          <w:tab w:val="center" w:pos="5400"/>
          <w:tab w:val="right" w:pos="10440"/>
        </w:tabs>
        <w:rPr>
          <w:rFonts w:ascii="Arial" w:hAnsi="Arial"/>
          <w:sz w:val="18"/>
          <w:lang w:val="fr-CA"/>
        </w:rPr>
      </w:pPr>
      <w:r w:rsidRPr="00BF2F22">
        <w:rPr>
          <w:rFonts w:ascii="Arial" w:hAnsi="Arial"/>
          <w:sz w:val="18"/>
          <w:lang w:val="fr-CA"/>
        </w:rPr>
        <w:tab/>
      </w:r>
      <w:r w:rsidRPr="00BF2F22">
        <w:rPr>
          <w:rFonts w:ascii="Arial" w:hAnsi="Arial"/>
          <w:i/>
          <w:sz w:val="36"/>
          <w:lang w:val="fr-CA"/>
        </w:rPr>
        <w:t xml:space="preserve">- </w:t>
      </w:r>
      <w:r w:rsidRPr="00BF2F22">
        <w:rPr>
          <w:rFonts w:ascii="Arial" w:hAnsi="Arial"/>
          <w:b/>
          <w:i/>
          <w:sz w:val="36"/>
          <w:lang w:val="fr-CA"/>
        </w:rPr>
        <w:t>2014</w:t>
      </w:r>
      <w:r w:rsidRPr="00BF2F22">
        <w:rPr>
          <w:rFonts w:ascii="Arial" w:hAnsi="Arial"/>
          <w:i/>
          <w:sz w:val="36"/>
          <w:lang w:val="fr-CA"/>
        </w:rPr>
        <w:t xml:space="preserve"> -</w:t>
      </w:r>
      <w:r w:rsidRPr="00BF2F22">
        <w:rPr>
          <w:rFonts w:ascii="Arial" w:hAnsi="Arial"/>
          <w:sz w:val="18"/>
          <w:lang w:val="fr-CA"/>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BF2F22">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F2F22">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F2F22">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F2F22">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F2F22">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F2F22">
            <w:pPr>
              <w:widowControl w:val="0"/>
              <w:jc w:val="center"/>
              <w:rPr>
                <w:rFonts w:ascii="Arial" w:hAnsi="Arial"/>
                <w:sz w:val="14"/>
              </w:rPr>
            </w:pPr>
            <w:r w:rsidRPr="002E0C7E">
              <w:rPr>
                <w:rFonts w:ascii="Arial" w:hAnsi="Arial"/>
                <w:b/>
                <w:sz w:val="14"/>
              </w:rPr>
              <w:t>DECEMBER - DÉCEMBRE</w:t>
            </w:r>
          </w:p>
        </w:tc>
      </w:tr>
      <w:tr w:rsidR="008112A9" w:rsidRPr="002E0C7E" w:rsidTr="00BF2F22">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S</w:t>
            </w:r>
          </w:p>
          <w:p w:rsidR="008112A9" w:rsidRPr="002E0C7E" w:rsidRDefault="008112A9" w:rsidP="00BF2F22">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M</w:t>
            </w:r>
          </w:p>
          <w:p w:rsidR="008112A9" w:rsidRPr="002E0C7E" w:rsidRDefault="008112A9" w:rsidP="00BF2F22">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T</w:t>
            </w:r>
          </w:p>
          <w:p w:rsidR="008112A9" w:rsidRPr="002E0C7E" w:rsidRDefault="008112A9" w:rsidP="00BF2F22">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W</w:t>
            </w:r>
          </w:p>
          <w:p w:rsidR="008112A9" w:rsidRPr="002E0C7E" w:rsidRDefault="008112A9" w:rsidP="00BF2F22">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T</w:t>
            </w:r>
          </w:p>
          <w:p w:rsidR="008112A9" w:rsidRPr="002E0C7E" w:rsidRDefault="008112A9" w:rsidP="00BF2F22">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F</w:t>
            </w:r>
          </w:p>
          <w:p w:rsidR="008112A9" w:rsidRPr="002E0C7E" w:rsidRDefault="008112A9" w:rsidP="00BF2F22">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S</w:t>
            </w:r>
          </w:p>
          <w:p w:rsidR="008112A9" w:rsidRPr="002E0C7E" w:rsidRDefault="008112A9" w:rsidP="00BF2F22">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S</w:t>
            </w:r>
          </w:p>
          <w:p w:rsidR="008112A9" w:rsidRPr="002E0C7E" w:rsidRDefault="008112A9" w:rsidP="00BF2F22">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M</w:t>
            </w:r>
          </w:p>
          <w:p w:rsidR="008112A9" w:rsidRPr="002E0C7E" w:rsidRDefault="008112A9" w:rsidP="00BF2F22">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T</w:t>
            </w:r>
          </w:p>
          <w:p w:rsidR="008112A9" w:rsidRPr="002E0C7E" w:rsidRDefault="008112A9" w:rsidP="00BF2F22">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W</w:t>
            </w:r>
          </w:p>
          <w:p w:rsidR="008112A9" w:rsidRPr="002E0C7E" w:rsidRDefault="008112A9" w:rsidP="00BF2F22">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T</w:t>
            </w:r>
          </w:p>
          <w:p w:rsidR="008112A9" w:rsidRPr="002E0C7E" w:rsidRDefault="008112A9" w:rsidP="00BF2F22">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F</w:t>
            </w:r>
          </w:p>
          <w:p w:rsidR="008112A9" w:rsidRPr="002E0C7E" w:rsidRDefault="008112A9" w:rsidP="00BF2F22">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S</w:t>
            </w:r>
          </w:p>
          <w:p w:rsidR="008112A9" w:rsidRPr="002E0C7E" w:rsidRDefault="008112A9" w:rsidP="00BF2F22">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S</w:t>
            </w:r>
          </w:p>
          <w:p w:rsidR="008112A9" w:rsidRPr="002E0C7E" w:rsidRDefault="008112A9" w:rsidP="00BF2F22">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M</w:t>
            </w:r>
          </w:p>
          <w:p w:rsidR="008112A9" w:rsidRPr="002E0C7E" w:rsidRDefault="008112A9" w:rsidP="00BF2F22">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T</w:t>
            </w:r>
          </w:p>
          <w:p w:rsidR="008112A9" w:rsidRPr="002E0C7E" w:rsidRDefault="008112A9" w:rsidP="00BF2F2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W</w:t>
            </w:r>
          </w:p>
          <w:p w:rsidR="008112A9" w:rsidRPr="002E0C7E" w:rsidRDefault="008112A9" w:rsidP="00BF2F22">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T</w:t>
            </w:r>
          </w:p>
          <w:p w:rsidR="008112A9" w:rsidRPr="002E0C7E" w:rsidRDefault="008112A9" w:rsidP="00BF2F22">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F</w:t>
            </w:r>
          </w:p>
          <w:p w:rsidR="008112A9" w:rsidRPr="002E0C7E" w:rsidRDefault="008112A9" w:rsidP="00BF2F22">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S</w:t>
            </w:r>
          </w:p>
          <w:p w:rsidR="008112A9" w:rsidRPr="002E0C7E" w:rsidRDefault="008112A9" w:rsidP="00BF2F22">
            <w:pPr>
              <w:widowControl w:val="0"/>
              <w:jc w:val="center"/>
              <w:rPr>
                <w:rFonts w:ascii="Arial" w:hAnsi="Arial"/>
                <w:sz w:val="14"/>
              </w:rPr>
            </w:pPr>
            <w:r w:rsidRPr="002E0C7E">
              <w:rPr>
                <w:rFonts w:ascii="Arial" w:hAnsi="Arial"/>
                <w:sz w:val="14"/>
              </w:rPr>
              <w:t>S</w:t>
            </w:r>
          </w:p>
        </w:tc>
      </w:tr>
      <w:tr w:rsidR="008112A9" w:rsidRPr="002E0C7E" w:rsidTr="00BF2F22">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BF2F22">
            <w:pPr>
              <w:widowControl w:val="0"/>
              <w:jc w:val="center"/>
              <w:rPr>
                <w:rFonts w:ascii="Arial" w:hAnsi="Arial"/>
                <w:b/>
                <w:sz w:val="14"/>
              </w:rPr>
            </w:pPr>
            <w:r>
              <w:rPr>
                <w:rFonts w:ascii="Arial" w:hAnsi="Arial"/>
                <w:b/>
                <w:sz w:val="14"/>
              </w:rPr>
              <w:t>M</w:t>
            </w:r>
          </w:p>
          <w:p w:rsidR="008112A9" w:rsidRPr="002E0C7E" w:rsidRDefault="008112A9" w:rsidP="00BF2F22">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6</w:t>
            </w:r>
          </w:p>
        </w:tc>
      </w:tr>
      <w:tr w:rsidR="008112A9" w:rsidRPr="002E0C7E" w:rsidTr="00BF2F22">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BF2F22">
            <w:pPr>
              <w:widowControl w:val="0"/>
              <w:jc w:val="center"/>
              <w:rPr>
                <w:rFonts w:ascii="Arial" w:hAnsi="Arial"/>
                <w:b/>
                <w:sz w:val="14"/>
              </w:rPr>
            </w:pPr>
            <w:r>
              <w:rPr>
                <w:rFonts w:ascii="Arial" w:hAnsi="Arial"/>
                <w:b/>
                <w:sz w:val="14"/>
              </w:rPr>
              <w:t>M</w:t>
            </w:r>
          </w:p>
          <w:p w:rsidR="008112A9" w:rsidRPr="002E0C7E" w:rsidRDefault="008112A9" w:rsidP="00BF2F22">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BF2F22">
            <w:pPr>
              <w:widowControl w:val="0"/>
              <w:jc w:val="center"/>
              <w:rPr>
                <w:rFonts w:ascii="Arial" w:hAnsi="Arial"/>
                <w:b/>
                <w:sz w:val="14"/>
              </w:rPr>
            </w:pPr>
          </w:p>
          <w:p w:rsidR="008112A9" w:rsidRPr="002E0C7E" w:rsidRDefault="008112A9" w:rsidP="00BF2F22">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b/>
                <w:sz w:val="14"/>
              </w:rPr>
              <w:t>M</w:t>
            </w:r>
          </w:p>
          <w:p w:rsidR="008112A9" w:rsidRPr="002E0C7E" w:rsidRDefault="008112A9" w:rsidP="00BF2F22">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13</w:t>
            </w:r>
          </w:p>
        </w:tc>
      </w:tr>
      <w:tr w:rsidR="008112A9" w:rsidRPr="002E0C7E" w:rsidTr="00BF2F22">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BF2F22">
            <w:pPr>
              <w:widowControl w:val="0"/>
              <w:jc w:val="center"/>
              <w:rPr>
                <w:rFonts w:ascii="Arial" w:hAnsi="Arial"/>
                <w:b/>
                <w:sz w:val="14"/>
              </w:rPr>
            </w:pPr>
            <w:r>
              <w:rPr>
                <w:rFonts w:ascii="Arial" w:hAnsi="Arial"/>
                <w:b/>
                <w:sz w:val="14"/>
              </w:rPr>
              <w:t>H</w:t>
            </w: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BF2F22">
            <w:pPr>
              <w:widowControl w:val="0"/>
              <w:jc w:val="center"/>
              <w:rPr>
                <w:rFonts w:ascii="Arial" w:hAnsi="Arial"/>
                <w:b/>
                <w:sz w:val="14"/>
              </w:rPr>
            </w:pPr>
            <w:r w:rsidRPr="004F066E">
              <w:rPr>
                <w:rFonts w:ascii="Arial" w:hAnsi="Arial"/>
                <w:b/>
                <w:sz w:val="14"/>
              </w:rPr>
              <w:t>H</w:t>
            </w:r>
          </w:p>
          <w:p w:rsidR="008112A9" w:rsidRPr="002E0C7E" w:rsidRDefault="008112A9" w:rsidP="00BF2F22">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20</w:t>
            </w:r>
          </w:p>
        </w:tc>
      </w:tr>
      <w:tr w:rsidR="008112A9" w:rsidRPr="002E0C7E" w:rsidTr="00BF2F22">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BF2F22">
            <w:pPr>
              <w:widowControl w:val="0"/>
              <w:jc w:val="center"/>
              <w:rPr>
                <w:rFonts w:ascii="Arial" w:hAnsi="Arial"/>
                <w:b/>
                <w:sz w:val="14"/>
              </w:rPr>
            </w:pPr>
          </w:p>
          <w:p w:rsidR="008112A9" w:rsidRPr="002E0C7E" w:rsidRDefault="008112A9" w:rsidP="00BF2F22">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BF2F22">
            <w:pPr>
              <w:widowControl w:val="0"/>
              <w:jc w:val="center"/>
              <w:rPr>
                <w:rFonts w:ascii="Arial" w:hAnsi="Arial"/>
                <w:b/>
                <w:sz w:val="14"/>
              </w:rPr>
            </w:pPr>
            <w:r>
              <w:rPr>
                <w:rFonts w:ascii="Arial" w:hAnsi="Arial"/>
                <w:b/>
                <w:sz w:val="14"/>
              </w:rPr>
              <w:t>H</w:t>
            </w:r>
          </w:p>
          <w:p w:rsidR="008112A9" w:rsidRPr="002E0C7E" w:rsidRDefault="008112A9" w:rsidP="00BF2F22">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BF2F22">
            <w:pPr>
              <w:widowControl w:val="0"/>
              <w:jc w:val="center"/>
              <w:rPr>
                <w:rFonts w:ascii="Arial" w:hAnsi="Arial"/>
                <w:b/>
                <w:sz w:val="14"/>
              </w:rPr>
            </w:pPr>
            <w:r>
              <w:rPr>
                <w:rFonts w:ascii="Arial" w:hAnsi="Arial"/>
                <w:b/>
                <w:sz w:val="14"/>
              </w:rPr>
              <w:t>H</w:t>
            </w:r>
          </w:p>
          <w:p w:rsidR="008112A9" w:rsidRPr="002E0C7E" w:rsidRDefault="008112A9" w:rsidP="00BF2F22">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BF2F22">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BF2F22">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BF2F22">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BF2F22">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F2F22">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F2F22">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F2F22">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F2F22">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F2F22">
            <w:pPr>
              <w:widowControl w:val="0"/>
              <w:jc w:val="center"/>
              <w:rPr>
                <w:rFonts w:ascii="Arial" w:hAnsi="Arial"/>
                <w:sz w:val="14"/>
              </w:rPr>
            </w:pPr>
            <w:r w:rsidRPr="002E0C7E">
              <w:rPr>
                <w:rFonts w:ascii="Arial" w:hAnsi="Arial"/>
                <w:b/>
                <w:sz w:val="14"/>
              </w:rPr>
              <w:t>MARCH - MARS</w:t>
            </w:r>
          </w:p>
        </w:tc>
      </w:tr>
      <w:tr w:rsidR="008112A9" w:rsidRPr="002E0C7E" w:rsidTr="00BF2F22">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S</w:t>
            </w:r>
          </w:p>
          <w:p w:rsidR="008112A9" w:rsidRPr="002E0C7E" w:rsidRDefault="008112A9" w:rsidP="00BF2F2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M</w:t>
            </w:r>
          </w:p>
          <w:p w:rsidR="008112A9" w:rsidRPr="002E0C7E" w:rsidRDefault="008112A9" w:rsidP="00BF2F2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T</w:t>
            </w:r>
          </w:p>
          <w:p w:rsidR="008112A9" w:rsidRPr="002E0C7E" w:rsidRDefault="008112A9" w:rsidP="00BF2F2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W</w:t>
            </w:r>
          </w:p>
          <w:p w:rsidR="008112A9" w:rsidRPr="002E0C7E" w:rsidRDefault="008112A9" w:rsidP="00BF2F2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T</w:t>
            </w:r>
          </w:p>
          <w:p w:rsidR="008112A9" w:rsidRPr="002E0C7E" w:rsidRDefault="008112A9" w:rsidP="00BF2F2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F</w:t>
            </w:r>
          </w:p>
          <w:p w:rsidR="008112A9" w:rsidRPr="002E0C7E" w:rsidRDefault="008112A9" w:rsidP="00BF2F22">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S</w:t>
            </w:r>
          </w:p>
          <w:p w:rsidR="008112A9" w:rsidRPr="002E0C7E" w:rsidRDefault="008112A9" w:rsidP="00BF2F22">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S</w:t>
            </w:r>
          </w:p>
          <w:p w:rsidR="008112A9" w:rsidRPr="002E0C7E" w:rsidRDefault="008112A9" w:rsidP="00BF2F2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M</w:t>
            </w:r>
          </w:p>
          <w:p w:rsidR="008112A9" w:rsidRPr="002E0C7E" w:rsidRDefault="008112A9" w:rsidP="00BF2F2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T</w:t>
            </w:r>
          </w:p>
          <w:p w:rsidR="008112A9" w:rsidRPr="002E0C7E" w:rsidRDefault="008112A9" w:rsidP="00BF2F22">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W</w:t>
            </w:r>
          </w:p>
          <w:p w:rsidR="008112A9" w:rsidRPr="002E0C7E" w:rsidRDefault="008112A9" w:rsidP="00BF2F2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T</w:t>
            </w:r>
          </w:p>
          <w:p w:rsidR="008112A9" w:rsidRPr="002E0C7E" w:rsidRDefault="008112A9" w:rsidP="00BF2F2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F</w:t>
            </w:r>
          </w:p>
          <w:p w:rsidR="008112A9" w:rsidRPr="002E0C7E" w:rsidRDefault="008112A9" w:rsidP="00BF2F22">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S</w:t>
            </w:r>
          </w:p>
          <w:p w:rsidR="008112A9" w:rsidRPr="002E0C7E" w:rsidRDefault="008112A9" w:rsidP="00BF2F22">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S</w:t>
            </w:r>
          </w:p>
          <w:p w:rsidR="008112A9" w:rsidRPr="002E0C7E" w:rsidRDefault="008112A9" w:rsidP="00BF2F2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M</w:t>
            </w:r>
          </w:p>
          <w:p w:rsidR="008112A9" w:rsidRPr="002E0C7E" w:rsidRDefault="008112A9" w:rsidP="00BF2F2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T</w:t>
            </w:r>
          </w:p>
          <w:p w:rsidR="008112A9" w:rsidRPr="002E0C7E" w:rsidRDefault="008112A9" w:rsidP="00BF2F2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W</w:t>
            </w:r>
          </w:p>
          <w:p w:rsidR="008112A9" w:rsidRPr="002E0C7E" w:rsidRDefault="008112A9" w:rsidP="00BF2F2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T</w:t>
            </w:r>
          </w:p>
          <w:p w:rsidR="008112A9" w:rsidRPr="002E0C7E" w:rsidRDefault="008112A9" w:rsidP="00BF2F2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F</w:t>
            </w:r>
          </w:p>
          <w:p w:rsidR="008112A9" w:rsidRPr="002E0C7E" w:rsidRDefault="008112A9" w:rsidP="00BF2F22">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S</w:t>
            </w:r>
          </w:p>
          <w:p w:rsidR="008112A9" w:rsidRPr="002E0C7E" w:rsidRDefault="008112A9" w:rsidP="00BF2F22">
            <w:pPr>
              <w:widowControl w:val="0"/>
              <w:jc w:val="center"/>
              <w:rPr>
                <w:rFonts w:ascii="Arial" w:hAnsi="Arial"/>
                <w:sz w:val="14"/>
              </w:rPr>
            </w:pPr>
            <w:r w:rsidRPr="002E0C7E">
              <w:rPr>
                <w:rFonts w:ascii="Arial" w:hAnsi="Arial"/>
                <w:sz w:val="14"/>
              </w:rPr>
              <w:t>S</w:t>
            </w:r>
          </w:p>
        </w:tc>
      </w:tr>
      <w:tr w:rsidR="008112A9" w:rsidRPr="002E0C7E" w:rsidTr="00BF2F22">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BF2F22">
            <w:pPr>
              <w:widowControl w:val="0"/>
              <w:jc w:val="center"/>
              <w:rPr>
                <w:rFonts w:ascii="Arial" w:hAnsi="Arial"/>
                <w:b/>
                <w:sz w:val="14"/>
              </w:rPr>
            </w:pPr>
          </w:p>
          <w:p w:rsidR="008112A9" w:rsidRPr="002E0C7E" w:rsidRDefault="008112A9" w:rsidP="00BF2F22">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BF2F22">
            <w:pPr>
              <w:widowControl w:val="0"/>
              <w:jc w:val="center"/>
              <w:rPr>
                <w:rFonts w:ascii="Arial" w:hAnsi="Arial"/>
                <w:b/>
                <w:sz w:val="14"/>
              </w:rPr>
            </w:pPr>
          </w:p>
          <w:p w:rsidR="008112A9" w:rsidRPr="002E0C7E" w:rsidRDefault="008112A9" w:rsidP="00BF2F22">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BF2F22">
            <w:pPr>
              <w:widowControl w:val="0"/>
              <w:jc w:val="center"/>
              <w:rPr>
                <w:rFonts w:ascii="Arial" w:hAnsi="Arial"/>
                <w:b/>
                <w:sz w:val="14"/>
              </w:rPr>
            </w:pPr>
            <w:r w:rsidRPr="004F066E">
              <w:rPr>
                <w:rFonts w:ascii="Arial" w:hAnsi="Arial"/>
                <w:b/>
                <w:sz w:val="14"/>
              </w:rPr>
              <w:t>H</w:t>
            </w:r>
          </w:p>
          <w:p w:rsidR="008112A9" w:rsidRPr="002E0C7E" w:rsidRDefault="008112A9" w:rsidP="00BF2F22">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7</w:t>
            </w:r>
          </w:p>
        </w:tc>
      </w:tr>
      <w:tr w:rsidR="008112A9" w:rsidRPr="002E0C7E" w:rsidTr="00BF2F22">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BF2F22">
            <w:pPr>
              <w:widowControl w:val="0"/>
              <w:jc w:val="center"/>
              <w:rPr>
                <w:rFonts w:ascii="Arial" w:hAnsi="Arial"/>
                <w:b/>
                <w:sz w:val="14"/>
              </w:rPr>
            </w:pPr>
            <w:r>
              <w:rPr>
                <w:rFonts w:ascii="Arial" w:hAnsi="Arial"/>
                <w:b/>
                <w:sz w:val="14"/>
              </w:rPr>
              <w:t>M</w:t>
            </w:r>
          </w:p>
          <w:p w:rsidR="008112A9" w:rsidRPr="002E0C7E" w:rsidRDefault="008112A9" w:rsidP="00BF2F22">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14</w:t>
            </w:r>
          </w:p>
        </w:tc>
      </w:tr>
      <w:tr w:rsidR="008112A9" w:rsidRPr="002E0C7E" w:rsidTr="00BF2F22">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BF2F22">
            <w:pPr>
              <w:widowControl w:val="0"/>
              <w:jc w:val="center"/>
              <w:rPr>
                <w:rFonts w:ascii="Arial" w:hAnsi="Arial"/>
                <w:b/>
                <w:sz w:val="14"/>
              </w:rPr>
            </w:pPr>
            <w:r>
              <w:rPr>
                <w:rFonts w:ascii="Arial" w:hAnsi="Arial"/>
                <w:b/>
                <w:sz w:val="14"/>
              </w:rPr>
              <w:t>M</w:t>
            </w: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BF2F22">
            <w:pPr>
              <w:widowControl w:val="0"/>
              <w:jc w:val="center"/>
              <w:rPr>
                <w:rFonts w:ascii="Arial" w:hAnsi="Arial"/>
                <w:b/>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BF2F22">
            <w:pPr>
              <w:widowControl w:val="0"/>
              <w:jc w:val="center"/>
              <w:rPr>
                <w:rFonts w:ascii="Arial" w:hAnsi="Arial"/>
                <w:b/>
                <w:sz w:val="14"/>
              </w:rPr>
            </w:pPr>
            <w:r w:rsidRPr="009900C5">
              <w:rPr>
                <w:rFonts w:ascii="Arial" w:hAnsi="Arial"/>
                <w:b/>
                <w:sz w:val="14"/>
              </w:rPr>
              <w:t>M</w:t>
            </w: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BF2F22">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BF2F22">
            <w:pPr>
              <w:widowControl w:val="0"/>
              <w:jc w:val="center"/>
              <w:rPr>
                <w:rFonts w:ascii="Arial" w:hAnsi="Arial"/>
                <w:b/>
                <w:sz w:val="14"/>
              </w:rPr>
            </w:pPr>
          </w:p>
          <w:p w:rsidR="008112A9" w:rsidRPr="002E0C7E" w:rsidRDefault="008112A9" w:rsidP="00BF2F22">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BF2F22">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BF2F22">
            <w:pPr>
              <w:widowControl w:val="0"/>
              <w:jc w:val="center"/>
              <w:rPr>
                <w:rFonts w:ascii="Arial" w:hAnsi="Arial"/>
                <w:b/>
                <w:sz w:val="14"/>
              </w:rPr>
            </w:pPr>
          </w:p>
          <w:p w:rsidR="008112A9" w:rsidRPr="002E0C7E" w:rsidRDefault="008112A9" w:rsidP="00BF2F22">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BF2F22">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F2F22">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F2F22">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F2F22">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F2F22">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F2F22">
            <w:pPr>
              <w:widowControl w:val="0"/>
              <w:jc w:val="center"/>
              <w:rPr>
                <w:rFonts w:ascii="Arial" w:hAnsi="Arial"/>
                <w:sz w:val="14"/>
              </w:rPr>
            </w:pPr>
            <w:r w:rsidRPr="002E0C7E">
              <w:rPr>
                <w:rFonts w:ascii="Arial" w:hAnsi="Arial"/>
                <w:b/>
                <w:sz w:val="14"/>
              </w:rPr>
              <w:t>JUNE - JUIN</w:t>
            </w:r>
          </w:p>
        </w:tc>
      </w:tr>
      <w:tr w:rsidR="008112A9" w:rsidRPr="002E0C7E" w:rsidTr="00BF2F22">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S</w:t>
            </w:r>
          </w:p>
          <w:p w:rsidR="008112A9" w:rsidRPr="002E0C7E" w:rsidRDefault="008112A9" w:rsidP="00BF2F2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M</w:t>
            </w:r>
          </w:p>
          <w:p w:rsidR="008112A9" w:rsidRPr="002E0C7E" w:rsidRDefault="008112A9" w:rsidP="00BF2F2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T</w:t>
            </w:r>
          </w:p>
          <w:p w:rsidR="008112A9" w:rsidRPr="002E0C7E" w:rsidRDefault="008112A9" w:rsidP="00BF2F2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W</w:t>
            </w:r>
          </w:p>
          <w:p w:rsidR="008112A9" w:rsidRPr="002E0C7E" w:rsidRDefault="008112A9" w:rsidP="00BF2F2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T</w:t>
            </w:r>
          </w:p>
          <w:p w:rsidR="008112A9" w:rsidRPr="002E0C7E" w:rsidRDefault="008112A9" w:rsidP="00BF2F2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F</w:t>
            </w:r>
          </w:p>
          <w:p w:rsidR="008112A9" w:rsidRPr="002E0C7E" w:rsidRDefault="008112A9" w:rsidP="00BF2F22">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S</w:t>
            </w:r>
          </w:p>
          <w:p w:rsidR="008112A9" w:rsidRPr="002E0C7E" w:rsidRDefault="008112A9" w:rsidP="00BF2F22">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S</w:t>
            </w:r>
          </w:p>
          <w:p w:rsidR="008112A9" w:rsidRPr="002E0C7E" w:rsidRDefault="008112A9" w:rsidP="00BF2F2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M</w:t>
            </w:r>
          </w:p>
          <w:p w:rsidR="008112A9" w:rsidRPr="002E0C7E" w:rsidRDefault="008112A9" w:rsidP="00BF2F2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T</w:t>
            </w:r>
          </w:p>
          <w:p w:rsidR="008112A9" w:rsidRPr="002E0C7E" w:rsidRDefault="008112A9" w:rsidP="00BF2F2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W</w:t>
            </w:r>
          </w:p>
          <w:p w:rsidR="008112A9" w:rsidRPr="002E0C7E" w:rsidRDefault="008112A9" w:rsidP="00BF2F2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T</w:t>
            </w:r>
          </w:p>
          <w:p w:rsidR="008112A9" w:rsidRPr="002E0C7E" w:rsidRDefault="008112A9" w:rsidP="00BF2F2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F</w:t>
            </w:r>
          </w:p>
          <w:p w:rsidR="008112A9" w:rsidRPr="002E0C7E" w:rsidRDefault="008112A9" w:rsidP="00BF2F22">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S</w:t>
            </w:r>
          </w:p>
          <w:p w:rsidR="008112A9" w:rsidRPr="002E0C7E" w:rsidRDefault="008112A9" w:rsidP="00BF2F22">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S</w:t>
            </w:r>
          </w:p>
          <w:p w:rsidR="008112A9" w:rsidRPr="002E0C7E" w:rsidRDefault="008112A9" w:rsidP="00BF2F2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M</w:t>
            </w:r>
          </w:p>
          <w:p w:rsidR="008112A9" w:rsidRPr="002E0C7E" w:rsidRDefault="008112A9" w:rsidP="00BF2F2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T</w:t>
            </w:r>
          </w:p>
          <w:p w:rsidR="008112A9" w:rsidRPr="002E0C7E" w:rsidRDefault="008112A9" w:rsidP="00BF2F2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W</w:t>
            </w:r>
          </w:p>
          <w:p w:rsidR="008112A9" w:rsidRPr="002E0C7E" w:rsidRDefault="008112A9" w:rsidP="00BF2F2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T</w:t>
            </w:r>
          </w:p>
          <w:p w:rsidR="008112A9" w:rsidRPr="002E0C7E" w:rsidRDefault="008112A9" w:rsidP="00BF2F2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sidRPr="002E0C7E">
              <w:rPr>
                <w:rFonts w:ascii="Arial" w:hAnsi="Arial"/>
                <w:sz w:val="14"/>
              </w:rPr>
              <w:t>F</w:t>
            </w:r>
          </w:p>
          <w:p w:rsidR="008112A9" w:rsidRPr="002E0C7E" w:rsidRDefault="008112A9" w:rsidP="00BF2F22">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r>
              <w:rPr>
                <w:rFonts w:ascii="Arial" w:hAnsi="Arial"/>
                <w:sz w:val="14"/>
              </w:rPr>
              <w:t>S</w:t>
            </w:r>
          </w:p>
          <w:p w:rsidR="008112A9" w:rsidRPr="002E0C7E" w:rsidRDefault="008112A9" w:rsidP="00BF2F22">
            <w:pPr>
              <w:widowControl w:val="0"/>
              <w:jc w:val="center"/>
              <w:rPr>
                <w:rFonts w:ascii="Arial" w:hAnsi="Arial"/>
                <w:sz w:val="14"/>
              </w:rPr>
            </w:pPr>
            <w:r>
              <w:rPr>
                <w:rFonts w:ascii="Arial" w:hAnsi="Arial"/>
                <w:sz w:val="14"/>
              </w:rPr>
              <w:t>S</w:t>
            </w:r>
          </w:p>
        </w:tc>
      </w:tr>
      <w:tr w:rsidR="008112A9" w:rsidRPr="002E0C7E" w:rsidTr="00BF2F22">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BF2F22">
            <w:pPr>
              <w:widowControl w:val="0"/>
              <w:jc w:val="center"/>
              <w:rPr>
                <w:rFonts w:ascii="Arial" w:hAnsi="Arial"/>
                <w:b/>
                <w:sz w:val="14"/>
              </w:rPr>
            </w:pPr>
            <w:r>
              <w:rPr>
                <w:rFonts w:ascii="Arial" w:hAnsi="Arial"/>
                <w:b/>
                <w:sz w:val="14"/>
              </w:rPr>
              <w:t>H</w:t>
            </w:r>
          </w:p>
          <w:p w:rsidR="008112A9" w:rsidRPr="002E0C7E" w:rsidRDefault="008112A9" w:rsidP="00BF2F22">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b/>
                <w:sz w:val="14"/>
              </w:rPr>
            </w:pPr>
          </w:p>
          <w:p w:rsidR="008112A9" w:rsidRPr="002E0C7E" w:rsidRDefault="008112A9" w:rsidP="00BF2F2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6</w:t>
            </w:r>
          </w:p>
        </w:tc>
      </w:tr>
      <w:tr w:rsidR="008112A9" w:rsidRPr="002E0C7E" w:rsidTr="00BF2F22">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BF2F22">
            <w:pPr>
              <w:widowControl w:val="0"/>
              <w:jc w:val="center"/>
              <w:rPr>
                <w:rFonts w:ascii="Arial" w:hAnsi="Arial"/>
                <w:b/>
                <w:sz w:val="14"/>
              </w:rPr>
            </w:pPr>
            <w:r>
              <w:rPr>
                <w:rFonts w:ascii="Arial" w:hAnsi="Arial"/>
                <w:b/>
                <w:sz w:val="14"/>
              </w:rPr>
              <w:t>H</w:t>
            </w:r>
          </w:p>
          <w:p w:rsidR="008112A9" w:rsidRPr="002E0C7E" w:rsidRDefault="008112A9" w:rsidP="00BF2F22">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BF2F22">
            <w:pPr>
              <w:widowControl w:val="0"/>
              <w:jc w:val="center"/>
              <w:rPr>
                <w:rFonts w:ascii="Arial" w:hAnsi="Arial"/>
                <w:b/>
                <w:sz w:val="14"/>
              </w:rPr>
            </w:pPr>
            <w:r>
              <w:rPr>
                <w:rFonts w:ascii="Arial" w:hAnsi="Arial"/>
                <w:b/>
                <w:sz w:val="14"/>
              </w:rPr>
              <w:t>M</w:t>
            </w:r>
          </w:p>
          <w:p w:rsidR="008112A9" w:rsidRPr="002E0C7E" w:rsidRDefault="008112A9" w:rsidP="00BF2F22">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13</w:t>
            </w:r>
          </w:p>
        </w:tc>
      </w:tr>
      <w:tr w:rsidR="008112A9" w:rsidRPr="002E0C7E" w:rsidTr="00BF2F22">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BF2F22">
            <w:pPr>
              <w:widowControl w:val="0"/>
              <w:jc w:val="center"/>
              <w:rPr>
                <w:rFonts w:ascii="Arial" w:hAnsi="Arial"/>
                <w:b/>
                <w:sz w:val="14"/>
              </w:rPr>
            </w:pPr>
            <w:r>
              <w:rPr>
                <w:rFonts w:ascii="Arial" w:hAnsi="Arial"/>
                <w:b/>
                <w:sz w:val="14"/>
              </w:rPr>
              <w:t>M</w:t>
            </w: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BF2F22">
            <w:pPr>
              <w:widowControl w:val="0"/>
              <w:jc w:val="center"/>
              <w:rPr>
                <w:rFonts w:ascii="Arial" w:hAnsi="Arial"/>
                <w:b/>
                <w:sz w:val="14"/>
              </w:rPr>
            </w:pPr>
          </w:p>
          <w:p w:rsidR="008112A9" w:rsidRPr="002E0C7E" w:rsidRDefault="008112A9" w:rsidP="00BF2F22">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BF2F22">
            <w:pPr>
              <w:widowControl w:val="0"/>
              <w:jc w:val="center"/>
              <w:rPr>
                <w:rFonts w:ascii="Arial" w:hAnsi="Arial"/>
                <w:b/>
                <w:sz w:val="14"/>
              </w:rPr>
            </w:pPr>
            <w:r w:rsidRPr="002453E3">
              <w:rPr>
                <w:rFonts w:ascii="Arial" w:hAnsi="Arial"/>
                <w:b/>
                <w:sz w:val="14"/>
              </w:rPr>
              <w:t>M</w:t>
            </w: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20</w:t>
            </w:r>
          </w:p>
        </w:tc>
      </w:tr>
      <w:tr w:rsidR="008112A9" w:rsidRPr="002E0C7E" w:rsidTr="00BF2F22">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BF2F22">
            <w:pPr>
              <w:widowControl w:val="0"/>
              <w:jc w:val="center"/>
              <w:rPr>
                <w:rFonts w:ascii="Arial" w:hAnsi="Arial"/>
                <w:b/>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BF2F22">
            <w:pPr>
              <w:widowControl w:val="0"/>
              <w:jc w:val="center"/>
              <w:rPr>
                <w:rFonts w:ascii="Arial" w:hAnsi="Arial"/>
                <w:b/>
                <w:sz w:val="14"/>
              </w:rPr>
            </w:pPr>
            <w:r>
              <w:rPr>
                <w:rFonts w:ascii="Arial" w:hAnsi="Arial"/>
                <w:b/>
                <w:sz w:val="14"/>
              </w:rPr>
              <w:t>H</w:t>
            </w:r>
          </w:p>
          <w:p w:rsidR="008112A9" w:rsidRPr="002E0C7E" w:rsidRDefault="008112A9" w:rsidP="00BF2F22">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BF2F22">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BF2F22">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BF2F22">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F2F22">
            <w:pPr>
              <w:widowControl w:val="0"/>
              <w:jc w:val="center"/>
              <w:rPr>
                <w:rFonts w:ascii="Arial" w:hAnsi="Arial"/>
                <w:sz w:val="14"/>
              </w:rPr>
            </w:pPr>
          </w:p>
          <w:p w:rsidR="008112A9" w:rsidRPr="002E0C7E" w:rsidRDefault="008112A9" w:rsidP="00BF2F22">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BF2F22">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BF2F22">
            <w:pPr>
              <w:widowControl w:val="0"/>
              <w:rPr>
                <w:rFonts w:ascii="Arial" w:hAnsi="Arial"/>
                <w:sz w:val="16"/>
              </w:rPr>
            </w:pPr>
            <w:r w:rsidRPr="002E0C7E">
              <w:rPr>
                <w:rFonts w:ascii="Arial" w:hAnsi="Arial"/>
                <w:sz w:val="16"/>
              </w:rPr>
              <w:t>Sittings of the court:</w:t>
            </w:r>
          </w:p>
          <w:p w:rsidR="008112A9" w:rsidRPr="002E0C7E" w:rsidRDefault="008112A9" w:rsidP="00BF2F22">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BF2F22">
            <w:pPr>
              <w:widowControl w:val="0"/>
              <w:rPr>
                <w:rFonts w:ascii="Arial" w:hAnsi="Arial"/>
                <w:sz w:val="16"/>
              </w:rPr>
            </w:pPr>
          </w:p>
          <w:p w:rsidR="008112A9" w:rsidRPr="002E0C7E" w:rsidRDefault="008112A9" w:rsidP="00BF2F2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BF2F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BF2F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BF2F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BF2F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BF2F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BF2F22">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BF2F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BF2F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BF2F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BF2F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BF2F22">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BF2F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BF2F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BF2F2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BF2F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01"/>
      <w:footerReference w:type="default" r:id="rId102"/>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1AF" w:rsidRDefault="003431AF" w:rsidP="00A87207">
      <w:r>
        <w:separator/>
      </w:r>
    </w:p>
  </w:endnote>
  <w:endnote w:type="continuationSeparator" w:id="0">
    <w:p w:rsidR="003431AF" w:rsidRDefault="003431A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D3" w:rsidRDefault="00D944D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A60BB">
    <w:pPr>
      <w:pStyle w:val="Footer"/>
      <w:rPr>
        <w:lang w:val="fr-CA"/>
      </w:rPr>
    </w:pPr>
    <w:r>
      <w:rPr>
        <w:lang w:val="fr-CA"/>
      </w:rPr>
      <w:pict>
        <v:rect id="_x0000_i1069" style="width:480.95pt;height:1pt" o:hralign="center" o:hrstd="t" o:hrnoshade="t" o:hr="t" fillcolor="black [3213]" stroked="f"/>
      </w:pict>
    </w:r>
  </w:p>
  <w:p w:rsidR="003431AF" w:rsidRDefault="003431AF" w:rsidP="00245129">
    <w:pPr>
      <w:tabs>
        <w:tab w:val="center" w:pos="4680"/>
      </w:tabs>
    </w:pPr>
    <w:r>
      <w:tab/>
    </w:r>
    <w:r w:rsidRPr="0009648D">
      <w:t xml:space="preserve">- </w:t>
    </w:r>
    <w:r w:rsidR="00B66683">
      <w:fldChar w:fldCharType="begin"/>
    </w:r>
    <w:r w:rsidR="00B66683">
      <w:instrText xml:space="preserve"> PAGE   \* MERGEFORMAT </w:instrText>
    </w:r>
    <w:r w:rsidR="00B66683">
      <w:fldChar w:fldCharType="separate"/>
    </w:r>
    <w:r w:rsidR="003A60BB">
      <w:rPr>
        <w:noProof/>
      </w:rPr>
      <w:t>398</w:t>
    </w:r>
    <w:r w:rsidR="00B66683">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431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431AF" w:rsidRDefault="003431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431AF" w:rsidRDefault="003431AF">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A60BB" w:rsidP="00755F22">
    <w:pPr>
      <w:tabs>
        <w:tab w:val="left" w:pos="-1440"/>
        <w:tab w:val="left" w:pos="-720"/>
      </w:tabs>
    </w:pPr>
    <w:r>
      <w:pict>
        <v:rect id="_x0000_i1073" style="width:480.95pt;height:1pt" o:hralign="center" o:hrstd="t" o:hrnoshade="t" o:hr="t" fillcolor="black [3213]" stroked="f"/>
      </w:pict>
    </w:r>
  </w:p>
  <w:p w:rsidR="003431AF" w:rsidRDefault="003431AF" w:rsidP="00EB2B90">
    <w:pPr>
      <w:tabs>
        <w:tab w:val="center" w:pos="4680"/>
      </w:tabs>
    </w:pPr>
    <w:r>
      <w:tab/>
      <w:t xml:space="preserve">- </w:t>
    </w:r>
    <w:r w:rsidR="00B66683">
      <w:fldChar w:fldCharType="begin"/>
    </w:r>
    <w:r w:rsidR="00B66683">
      <w:instrText xml:space="preserve"> PAGE   \* MERGEFORMAT </w:instrText>
    </w:r>
    <w:r w:rsidR="00B66683">
      <w:fldChar w:fldCharType="separate"/>
    </w:r>
    <w:r w:rsidR="00B66683">
      <w:rPr>
        <w:noProof/>
      </w:rPr>
      <w:t>432</w:t>
    </w:r>
    <w:r w:rsidR="00B66683">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A60BB" w:rsidP="00EB2B90">
    <w:pPr>
      <w:tabs>
        <w:tab w:val="center" w:pos="4680"/>
      </w:tabs>
    </w:pPr>
    <w:r>
      <w:pict>
        <v:rect id="_x0000_i1074" style="width:480.95pt;height:1pt" o:hralign="center" o:hrstd="t" o:hrnoshade="t" o:hr="t" fillcolor="black [3213]" stroked="f"/>
      </w:pict>
    </w:r>
  </w:p>
  <w:p w:rsidR="003431AF" w:rsidRPr="0031432F" w:rsidRDefault="003431AF" w:rsidP="00EB2B90">
    <w:pPr>
      <w:tabs>
        <w:tab w:val="center" w:pos="4680"/>
      </w:tabs>
    </w:pPr>
    <w:r>
      <w:tab/>
      <w:t xml:space="preserve">- </w:t>
    </w:r>
    <w:r w:rsidR="00B66683">
      <w:fldChar w:fldCharType="begin"/>
    </w:r>
    <w:r w:rsidR="00B66683">
      <w:instrText xml:space="preserve"> PAGE   \* MERGEFORMAT </w:instrText>
    </w:r>
    <w:r w:rsidR="00B66683">
      <w:fldChar w:fldCharType="separate"/>
    </w:r>
    <w:r w:rsidR="00B66683">
      <w:rPr>
        <w:noProof/>
      </w:rPr>
      <w:t>428</w:t>
    </w:r>
    <w:r w:rsidR="00B66683">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431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431AF" w:rsidRDefault="003431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431AF" w:rsidRDefault="003431AF">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A60BB" w:rsidP="00732DB7">
    <w:r>
      <w:pict>
        <v:rect id="_x0000_i1077" style="width:480.95pt;height:1pt" o:hralign="center" o:hrstd="t" o:hrnoshade="t" o:hr="t" fillcolor="black" stroked="f"/>
      </w:pict>
    </w:r>
  </w:p>
  <w:p w:rsidR="003431AF" w:rsidRDefault="003431AF">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A60BB">
    <w:pPr>
      <w:pStyle w:val="Footer"/>
    </w:pPr>
    <w:r>
      <w:pict>
        <v:rect id="_x0000_i1078" style="width:480.95pt;height:1pt" o:hralign="center" o:hrstd="t" o:hrnoshade="t" o:hr="t" fillcolor="black [3213]" stroked="f"/>
      </w:pict>
    </w:r>
  </w:p>
  <w:p w:rsidR="003431AF" w:rsidRPr="003C2C0F" w:rsidRDefault="003431AF" w:rsidP="00697C62">
    <w:pPr>
      <w:tabs>
        <w:tab w:val="center" w:pos="4680"/>
      </w:tabs>
    </w:pPr>
    <w:r>
      <w:tab/>
      <w:t xml:space="preserve">- </w:t>
    </w:r>
    <w:r w:rsidR="00B66683">
      <w:fldChar w:fldCharType="begin"/>
    </w:r>
    <w:r w:rsidR="00B66683">
      <w:instrText xml:space="preserve"> PAGE   \* MERGEFORMAT </w:instrText>
    </w:r>
    <w:r w:rsidR="00B66683">
      <w:fldChar w:fldCharType="separate"/>
    </w:r>
    <w:r w:rsidR="00B66683">
      <w:rPr>
        <w:noProof/>
      </w:rPr>
      <w:t>433</w:t>
    </w:r>
    <w:r w:rsidR="00B66683">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431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431AF" w:rsidRDefault="003431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431AF" w:rsidRDefault="003431AF">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431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431AF" w:rsidRDefault="003A60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3" style="width:480.95pt;height:1pt" o:hralign="center" o:hrstd="t" o:hrnoshade="t" o:hr="t" fillcolor="black [3213]" stroked="f"/>
      </w:pict>
    </w:r>
  </w:p>
  <w:p w:rsidR="003431AF" w:rsidRDefault="003431AF" w:rsidP="00782AE4">
    <w:pPr>
      <w:tabs>
        <w:tab w:val="center" w:pos="4680"/>
      </w:tabs>
    </w:pPr>
    <w:r>
      <w:tab/>
      <w:t xml:space="preserve">- </w:t>
    </w:r>
    <w:r w:rsidR="003A0C94" w:rsidRPr="001775C1">
      <w:rPr>
        <w:szCs w:val="24"/>
      </w:rPr>
      <w:fldChar w:fldCharType="begin"/>
    </w:r>
    <w:r w:rsidRPr="001775C1">
      <w:rPr>
        <w:szCs w:val="24"/>
      </w:rPr>
      <w:instrText xml:space="preserve"> PAGE   \* MERGEFORMAT </w:instrText>
    </w:r>
    <w:r w:rsidR="003A0C94" w:rsidRPr="001775C1">
      <w:rPr>
        <w:szCs w:val="24"/>
      </w:rPr>
      <w:fldChar w:fldCharType="separate"/>
    </w:r>
    <w:r w:rsidR="00B66683">
      <w:rPr>
        <w:noProof/>
        <w:szCs w:val="24"/>
      </w:rPr>
      <w:t>443</w:t>
    </w:r>
    <w:r w:rsidR="003A0C94"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A60BB" w:rsidP="00782AE4">
    <w:pPr>
      <w:tabs>
        <w:tab w:val="center" w:pos="4680"/>
      </w:tabs>
    </w:pPr>
    <w:r>
      <w:pict>
        <v:rect id="_x0000_i1084" style="width:480.95pt;height:1pt" o:hralign="center" o:hrstd="t" o:hrnoshade="t" o:hr="t" fillcolor="black [3213]" stroked="f"/>
      </w:pict>
    </w:r>
  </w:p>
  <w:p w:rsidR="003431AF" w:rsidRDefault="003431AF" w:rsidP="00782AE4">
    <w:pPr>
      <w:tabs>
        <w:tab w:val="center" w:pos="4680"/>
      </w:tabs>
    </w:pPr>
    <w:r>
      <w:tab/>
      <w:t xml:space="preserve">- </w:t>
    </w:r>
    <w:r w:rsidR="003A0C94" w:rsidRPr="001775C1">
      <w:rPr>
        <w:szCs w:val="24"/>
      </w:rPr>
      <w:fldChar w:fldCharType="begin"/>
    </w:r>
    <w:r w:rsidRPr="001775C1">
      <w:rPr>
        <w:szCs w:val="24"/>
      </w:rPr>
      <w:instrText xml:space="preserve"> PAGE   \* MERGEFORMAT </w:instrText>
    </w:r>
    <w:r w:rsidR="003A0C94" w:rsidRPr="001775C1">
      <w:rPr>
        <w:szCs w:val="24"/>
      </w:rPr>
      <w:fldChar w:fldCharType="separate"/>
    </w:r>
    <w:r w:rsidR="00B66683">
      <w:rPr>
        <w:noProof/>
        <w:szCs w:val="24"/>
      </w:rPr>
      <w:t>434</w:t>
    </w:r>
    <w:r w:rsidR="003A0C94"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D3" w:rsidRDefault="00D944D3">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431A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3431AF" w:rsidRDefault="003431A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3431AF" w:rsidRDefault="003431AF">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A60BB" w:rsidP="0022323B">
    <w:r>
      <w:pict>
        <v:rect id="_x0000_i1087" style="width:480.95pt;height:1pt" o:hralign="center" o:hrstd="t" o:hrnoshade="t" o:hr="t" fillcolor="black [3213]" stroked="f"/>
      </w:pict>
    </w:r>
  </w:p>
  <w:p w:rsidR="003431AF" w:rsidRDefault="003431AF">
    <w:pPr>
      <w:tabs>
        <w:tab w:val="center" w:pos="4740"/>
      </w:tabs>
      <w:spacing w:line="0" w:lineRule="atLeast"/>
    </w:pPr>
    <w:r>
      <w:tab/>
      <w:t xml:space="preserve">- </w:t>
    </w:r>
    <w:r w:rsidR="00B66683">
      <w:fldChar w:fldCharType="begin"/>
    </w:r>
    <w:r w:rsidR="00B66683">
      <w:instrText xml:space="preserve"> PAGE   \* MERGEFORMAT </w:instrText>
    </w:r>
    <w:r w:rsidR="00B66683">
      <w:fldChar w:fldCharType="separate"/>
    </w:r>
    <w:r>
      <w:rPr>
        <w:noProof/>
      </w:rPr>
      <w:t>542</w:t>
    </w:r>
    <w:r w:rsidR="00B66683">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A60BB" w:rsidP="0022323B">
    <w:r>
      <w:pict>
        <v:rect id="_x0000_i1088" style="width:480.95pt;height:1pt" o:hralign="center" o:hrstd="t" o:hrnoshade="t" o:hr="t" fillcolor="black [3213]" stroked="f"/>
      </w:pict>
    </w:r>
  </w:p>
  <w:p w:rsidR="003431AF" w:rsidRDefault="003431AF" w:rsidP="0022323B">
    <w:pPr>
      <w:tabs>
        <w:tab w:val="center" w:pos="4740"/>
      </w:tabs>
      <w:spacing w:line="0" w:lineRule="atLeast"/>
    </w:pPr>
    <w:r>
      <w:tab/>
      <w:t xml:space="preserve">- </w:t>
    </w:r>
    <w:r w:rsidR="00B66683">
      <w:fldChar w:fldCharType="begin"/>
    </w:r>
    <w:r w:rsidR="00B66683">
      <w:instrText xml:space="preserve"> PAGE   \* MERGEFORMAT </w:instrText>
    </w:r>
    <w:r w:rsidR="00B66683">
      <w:fldChar w:fldCharType="separate"/>
    </w:r>
    <w:r w:rsidR="00B66683">
      <w:rPr>
        <w:noProof/>
      </w:rPr>
      <w:t>444</w:t>
    </w:r>
    <w:r w:rsidR="00B66683">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A60BB" w:rsidP="0022323B">
    <w:r>
      <w:pict>
        <v:rect id="_x0000_i1099" style="width:480.95pt;height:1pt" o:hralign="center" o:hrstd="t" o:hrnoshade="t" o:hr="t" fillcolor="black [3213]" stroked="f"/>
      </w:pict>
    </w:r>
  </w:p>
  <w:p w:rsidR="003431AF" w:rsidRDefault="003431AF">
    <w:pPr>
      <w:tabs>
        <w:tab w:val="center" w:pos="4740"/>
      </w:tabs>
      <w:spacing w:line="0" w:lineRule="atLeast"/>
    </w:pPr>
    <w:r>
      <w:tab/>
      <w:t xml:space="preserve">- </w:t>
    </w:r>
    <w:r w:rsidR="00B66683">
      <w:fldChar w:fldCharType="begin"/>
    </w:r>
    <w:r w:rsidR="00B66683">
      <w:instrText xml:space="preserve"> PAGE   \* MERGEFORMAT </w:instrText>
    </w:r>
    <w:r w:rsidR="00B66683">
      <w:fldChar w:fldCharType="separate"/>
    </w:r>
    <w:r w:rsidR="00B66683">
      <w:rPr>
        <w:noProof/>
      </w:rPr>
      <w:t>454</w:t>
    </w:r>
    <w:r w:rsidR="00B66683">
      <w:rPr>
        <w:noProof/>
      </w:rPr>
      <w:fldChar w:fldCharType="end"/>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A60BB" w:rsidP="0022323B">
    <w:r>
      <w:pict>
        <v:rect id="_x0000_i1100" style="width:480.95pt;height:1pt" o:hralign="center" o:hrstd="t" o:hrnoshade="t" o:hr="t" fillcolor="black [3213]" stroked="f"/>
      </w:pict>
    </w:r>
  </w:p>
  <w:p w:rsidR="003431AF" w:rsidRDefault="003431AF" w:rsidP="0022323B">
    <w:pPr>
      <w:tabs>
        <w:tab w:val="center" w:pos="4740"/>
      </w:tabs>
      <w:spacing w:line="0" w:lineRule="atLeast"/>
    </w:pPr>
    <w:r>
      <w:tab/>
      <w:t xml:space="preserve">- </w:t>
    </w:r>
    <w:r w:rsidR="00B66683">
      <w:fldChar w:fldCharType="begin"/>
    </w:r>
    <w:r w:rsidR="00B66683">
      <w:instrText xml:space="preserve"> PAGE   \* MERGEFORMAT </w:instrText>
    </w:r>
    <w:r w:rsidR="00B66683">
      <w:fldChar w:fldCharType="separate"/>
    </w:r>
    <w:r w:rsidR="00B66683">
      <w:rPr>
        <w:noProof/>
      </w:rPr>
      <w:t>445</w:t>
    </w:r>
    <w:r w:rsidR="00B66683">
      <w:rPr>
        <w:noProof/>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Pr="00924065" w:rsidRDefault="003431AF"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D3" w:rsidRDefault="00D944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A60BB" w:rsidP="00A87207">
    <w:pPr>
      <w:pStyle w:val="Footer"/>
    </w:pPr>
    <w:r>
      <w:pict>
        <v:rect id="_x0000_i1035" style="width:480.95pt;height:1pt" o:hralign="center" o:hrstd="t" o:hrnoshade="t" o:hr="t" fillcolor="black [3213]" stroked="f"/>
      </w:pict>
    </w:r>
  </w:p>
  <w:p w:rsidR="003431AF" w:rsidRPr="00B7374B" w:rsidRDefault="003431AF" w:rsidP="00B7374B">
    <w:pPr>
      <w:tabs>
        <w:tab w:val="center" w:pos="4680"/>
      </w:tabs>
      <w:rPr>
        <w:szCs w:val="24"/>
      </w:rPr>
    </w:pPr>
    <w:r w:rsidRPr="00954D22">
      <w:rPr>
        <w:szCs w:val="24"/>
      </w:rPr>
      <w:tab/>
      <w:t xml:space="preserve">- </w:t>
    </w:r>
    <w:r w:rsidR="003A0C94" w:rsidRPr="00954D22">
      <w:rPr>
        <w:szCs w:val="24"/>
      </w:rPr>
      <w:fldChar w:fldCharType="begin"/>
    </w:r>
    <w:r w:rsidRPr="00954D22">
      <w:rPr>
        <w:szCs w:val="24"/>
      </w:rPr>
      <w:instrText xml:space="preserve"> PAGE   \* MERGEFORMAT </w:instrText>
    </w:r>
    <w:r w:rsidR="003A0C94" w:rsidRPr="00954D22">
      <w:rPr>
        <w:szCs w:val="24"/>
      </w:rPr>
      <w:fldChar w:fldCharType="separate"/>
    </w:r>
    <w:r w:rsidR="003A60BB">
      <w:rPr>
        <w:noProof/>
        <w:szCs w:val="24"/>
      </w:rPr>
      <w:t>396</w:t>
    </w:r>
    <w:r w:rsidR="003A0C94"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A60BB" w:rsidP="00755F22">
    <w:pPr>
      <w:tabs>
        <w:tab w:val="left" w:pos="-1440"/>
        <w:tab w:val="left" w:pos="-720"/>
      </w:tabs>
    </w:pPr>
    <w:r>
      <w:pict>
        <v:rect id="_x0000_i1036" style="width:480.95pt;height:1pt" o:hralign="center" o:hrstd="t" o:hrnoshade="t" o:hr="t" fillcolor="black [3213]" stroked="f"/>
      </w:pict>
    </w:r>
  </w:p>
  <w:p w:rsidR="003431AF" w:rsidRPr="00954D22" w:rsidRDefault="003431AF" w:rsidP="00B7374B">
    <w:pPr>
      <w:tabs>
        <w:tab w:val="center" w:pos="4680"/>
      </w:tabs>
      <w:rPr>
        <w:szCs w:val="24"/>
      </w:rPr>
    </w:pPr>
    <w:r w:rsidRPr="00954D22">
      <w:rPr>
        <w:szCs w:val="24"/>
      </w:rPr>
      <w:tab/>
      <w:t xml:space="preserve">- </w:t>
    </w:r>
    <w:r w:rsidR="003A0C94">
      <w:rPr>
        <w:szCs w:val="24"/>
      </w:rPr>
      <w:fldChar w:fldCharType="begin"/>
    </w:r>
    <w:r>
      <w:rPr>
        <w:szCs w:val="24"/>
      </w:rPr>
      <w:instrText xml:space="preserve"> PAGE   \* MERGEFORMAT </w:instrText>
    </w:r>
    <w:r w:rsidR="003A0C94">
      <w:rPr>
        <w:szCs w:val="24"/>
      </w:rPr>
      <w:fldChar w:fldCharType="separate"/>
    </w:r>
    <w:r w:rsidR="003A60BB">
      <w:rPr>
        <w:noProof/>
        <w:szCs w:val="24"/>
      </w:rPr>
      <w:t>395</w:t>
    </w:r>
    <w:r w:rsidR="003A0C94">
      <w:rPr>
        <w:szCs w:val="24"/>
      </w:rPr>
      <w:fldChar w:fldCharType="end"/>
    </w:r>
    <w:r w:rsidRPr="00954D22">
      <w:rPr>
        <w:szCs w:val="24"/>
      </w:rPr>
      <w:t xml:space="preserve"> -</w:t>
    </w:r>
  </w:p>
  <w:p w:rsidR="003431AF" w:rsidRDefault="003431A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A60BB" w:rsidP="00A87207">
    <w:pPr>
      <w:pStyle w:val="Footer"/>
    </w:pPr>
    <w:r>
      <w:pict>
        <v:rect id="_x0000_i1038" style="width:480.95pt;height:1pt" o:hralign="center" o:hrstd="t" o:hrnoshade="t" o:hr="t" fillcolor="black [3213]" stroked="f"/>
      </w:pict>
    </w:r>
  </w:p>
  <w:p w:rsidR="003431AF" w:rsidRPr="00B7374B" w:rsidRDefault="003431AF" w:rsidP="00B7374B">
    <w:pPr>
      <w:tabs>
        <w:tab w:val="center" w:pos="4680"/>
      </w:tabs>
      <w:rPr>
        <w:szCs w:val="24"/>
      </w:rPr>
    </w:pPr>
    <w:r w:rsidRPr="00954D22">
      <w:rPr>
        <w:szCs w:val="24"/>
      </w:rPr>
      <w:tab/>
      <w:t xml:space="preserve">- </w:t>
    </w:r>
    <w:r w:rsidR="003A0C94" w:rsidRPr="00954D22">
      <w:rPr>
        <w:szCs w:val="24"/>
      </w:rPr>
      <w:fldChar w:fldCharType="begin"/>
    </w:r>
    <w:r w:rsidRPr="00954D22">
      <w:rPr>
        <w:szCs w:val="24"/>
      </w:rPr>
      <w:instrText xml:space="preserve"> PAGE   \* MERGEFORMAT </w:instrText>
    </w:r>
    <w:r w:rsidR="003A0C94" w:rsidRPr="00954D22">
      <w:rPr>
        <w:szCs w:val="24"/>
      </w:rPr>
      <w:fldChar w:fldCharType="separate"/>
    </w:r>
    <w:r>
      <w:rPr>
        <w:noProof/>
        <w:szCs w:val="24"/>
      </w:rPr>
      <w:t>398</w:t>
    </w:r>
    <w:r w:rsidR="003A0C94"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A60B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3431AF" w:rsidRPr="00954D22" w:rsidRDefault="003431AF" w:rsidP="00B7374B">
    <w:pPr>
      <w:tabs>
        <w:tab w:val="center" w:pos="4680"/>
      </w:tabs>
      <w:rPr>
        <w:szCs w:val="24"/>
      </w:rPr>
    </w:pPr>
    <w:r w:rsidRPr="00954D22">
      <w:rPr>
        <w:szCs w:val="24"/>
      </w:rPr>
      <w:tab/>
      <w:t xml:space="preserve">- </w:t>
    </w:r>
    <w:r w:rsidR="003A0C94" w:rsidRPr="00954D22">
      <w:rPr>
        <w:szCs w:val="24"/>
      </w:rPr>
      <w:fldChar w:fldCharType="begin"/>
    </w:r>
    <w:r w:rsidRPr="00954D22">
      <w:rPr>
        <w:szCs w:val="24"/>
      </w:rPr>
      <w:instrText xml:space="preserve"> PAGE   \* MERGEFORMAT </w:instrText>
    </w:r>
    <w:r w:rsidR="003A0C94" w:rsidRPr="00954D22">
      <w:rPr>
        <w:szCs w:val="24"/>
      </w:rPr>
      <w:fldChar w:fldCharType="separate"/>
    </w:r>
    <w:r w:rsidR="003A60BB">
      <w:rPr>
        <w:noProof/>
        <w:szCs w:val="24"/>
      </w:rPr>
      <w:t>397</w:t>
    </w:r>
    <w:r w:rsidR="003A0C94"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431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431AF" w:rsidRDefault="003431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431AF" w:rsidRDefault="003431AF">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A60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8" style="width:480.95pt;height:1pt" o:hralign="center" o:hrstd="t" o:hrnoshade="t" o:hr="t" fillcolor="black [3213]" stroked="f"/>
      </w:pict>
    </w:r>
  </w:p>
  <w:p w:rsidR="003431AF" w:rsidRPr="0009648D" w:rsidRDefault="003431AF" w:rsidP="00ED7E83">
    <w:pPr>
      <w:tabs>
        <w:tab w:val="center" w:pos="4680"/>
      </w:tabs>
    </w:pPr>
    <w:r>
      <w:tab/>
    </w:r>
    <w:r w:rsidRPr="0009648D">
      <w:t xml:space="preserve">- </w:t>
    </w:r>
    <w:r w:rsidR="00B66683">
      <w:fldChar w:fldCharType="begin"/>
    </w:r>
    <w:r w:rsidR="00B66683">
      <w:instrText xml:space="preserve"> PAGE   \* MERGEFORMAT </w:instrText>
    </w:r>
    <w:r w:rsidR="00B66683">
      <w:fldChar w:fldCharType="separate"/>
    </w:r>
    <w:r w:rsidR="00B66683">
      <w:rPr>
        <w:noProof/>
      </w:rPr>
      <w:t>413</w:t>
    </w:r>
    <w:r w:rsidR="00B66683">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1AF" w:rsidRDefault="003431AF" w:rsidP="00A87207">
      <w:r>
        <w:separator/>
      </w:r>
    </w:p>
  </w:footnote>
  <w:footnote w:type="continuationSeparator" w:id="0">
    <w:p w:rsidR="003431AF" w:rsidRDefault="003431A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D3" w:rsidRDefault="00D944D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431A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431AF">
      <w:tc>
        <w:tcPr>
          <w:tcW w:w="4230" w:type="dxa"/>
          <w:tcMar>
            <w:left w:w="0" w:type="dxa"/>
            <w:right w:w="0" w:type="dxa"/>
          </w:tcMar>
        </w:tcPr>
        <w:p w:rsidR="003431AF" w:rsidRDefault="003431A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431AF" w:rsidRDefault="003431A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431AF" w:rsidRDefault="003431A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431AF">
      <w:trPr>
        <w:gridAfter w:val="2"/>
        <w:wAfter w:w="5250" w:type="dxa"/>
      </w:trPr>
      <w:tc>
        <w:tcPr>
          <w:tcW w:w="4230" w:type="dxa"/>
          <w:tcMar>
            <w:left w:w="0" w:type="dxa"/>
            <w:right w:w="0" w:type="dxa"/>
          </w:tcMar>
        </w:tcPr>
        <w:p w:rsidR="003431AF" w:rsidRDefault="003431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431AF" w:rsidRDefault="003431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431AF" w:rsidRPr="00755F22" w:rsidTr="00245129">
      <w:tc>
        <w:tcPr>
          <w:tcW w:w="4230" w:type="dxa"/>
          <w:tcMar>
            <w:left w:w="0" w:type="dxa"/>
            <w:right w:w="0" w:type="dxa"/>
          </w:tcMar>
        </w:tcPr>
        <w:p w:rsidR="003431AF" w:rsidRPr="00755F22" w:rsidRDefault="003431AF" w:rsidP="00831CA9">
          <w:pPr>
            <w:keepNext/>
            <w:keepLines/>
            <w:rPr>
              <w:sz w:val="20"/>
              <w:szCs w:val="20"/>
            </w:rPr>
          </w:pPr>
          <w:r w:rsidRPr="00755F22">
            <w:rPr>
              <w:sz w:val="20"/>
              <w:szCs w:val="20"/>
            </w:rPr>
            <w:t>MOTIONS</w:t>
          </w:r>
        </w:p>
      </w:tc>
      <w:tc>
        <w:tcPr>
          <w:tcW w:w="1170" w:type="dxa"/>
          <w:tcMar>
            <w:left w:w="0" w:type="dxa"/>
            <w:right w:w="0" w:type="dxa"/>
          </w:tcMar>
        </w:tcPr>
        <w:p w:rsidR="003431AF" w:rsidRPr="00755F22" w:rsidRDefault="003431AF" w:rsidP="00831CA9">
          <w:pPr>
            <w:keepLines/>
            <w:jc w:val="center"/>
            <w:rPr>
              <w:sz w:val="20"/>
              <w:szCs w:val="20"/>
            </w:rPr>
          </w:pPr>
        </w:p>
        <w:p w:rsidR="003431AF" w:rsidRPr="00755F22" w:rsidRDefault="003431AF" w:rsidP="00831CA9">
          <w:pPr>
            <w:keepLines/>
            <w:tabs>
              <w:tab w:val="left" w:pos="-1440"/>
              <w:tab w:val="left" w:pos="-720"/>
            </w:tabs>
            <w:jc w:val="center"/>
            <w:rPr>
              <w:sz w:val="20"/>
              <w:szCs w:val="20"/>
            </w:rPr>
          </w:pPr>
        </w:p>
      </w:tc>
      <w:tc>
        <w:tcPr>
          <w:tcW w:w="4080" w:type="dxa"/>
          <w:tcMar>
            <w:left w:w="0" w:type="dxa"/>
            <w:right w:w="0" w:type="dxa"/>
          </w:tcMar>
        </w:tcPr>
        <w:p w:rsidR="003431AF" w:rsidRPr="00BA6468" w:rsidRDefault="003431AF" w:rsidP="00BA6468">
          <w:pPr>
            <w:keepLines/>
            <w:rPr>
              <w:sz w:val="20"/>
              <w:szCs w:val="20"/>
              <w:lang w:val="fr-CA"/>
            </w:rPr>
          </w:pPr>
          <w:r w:rsidRPr="00BA6468">
            <w:rPr>
              <w:sz w:val="20"/>
              <w:szCs w:val="20"/>
              <w:lang w:val="fr-CA"/>
            </w:rPr>
            <w:t>REQUÊTES</w:t>
          </w:r>
        </w:p>
      </w:tc>
    </w:tr>
  </w:tbl>
  <w:p w:rsidR="003431AF" w:rsidRDefault="003431AF"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431A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431AF" w:rsidRPr="00560020">
      <w:tc>
        <w:tcPr>
          <w:tcW w:w="4200" w:type="dxa"/>
          <w:tcMar>
            <w:left w:w="0" w:type="dxa"/>
            <w:right w:w="0" w:type="dxa"/>
          </w:tcMar>
        </w:tcPr>
        <w:p w:rsidR="003431AF" w:rsidRDefault="003431A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431AF" w:rsidRDefault="003431A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431AF" w:rsidRDefault="003431A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431AF" w:rsidRPr="003C2C0F" w:rsidRDefault="003431A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431AF" w:rsidRPr="003C2C0F" w:rsidRDefault="003431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431AF" w:rsidRPr="003C2C0F" w:rsidRDefault="003431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431AF" w:rsidRPr="00560020" w:rsidTr="00245129">
      <w:tc>
        <w:tcPr>
          <w:tcW w:w="4200" w:type="dxa"/>
          <w:tcMar>
            <w:left w:w="0" w:type="dxa"/>
            <w:right w:w="0" w:type="dxa"/>
          </w:tcMar>
        </w:tcPr>
        <w:p w:rsidR="003431AF" w:rsidRPr="00FF6EEC" w:rsidRDefault="003431AF" w:rsidP="00FF6EEC">
          <w:pPr>
            <w:rPr>
              <w:sz w:val="20"/>
              <w:szCs w:val="20"/>
            </w:rPr>
          </w:pPr>
          <w:r w:rsidRPr="00FF6EEC">
            <w:rPr>
              <w:sz w:val="20"/>
              <w:szCs w:val="20"/>
            </w:rPr>
            <w:t>PRONOUNCEMENTS OF APPEALS RESERVED</w:t>
          </w:r>
        </w:p>
      </w:tc>
      <w:tc>
        <w:tcPr>
          <w:tcW w:w="1200" w:type="dxa"/>
          <w:tcMar>
            <w:left w:w="0" w:type="dxa"/>
            <w:right w:w="0" w:type="dxa"/>
          </w:tcMar>
        </w:tcPr>
        <w:p w:rsidR="003431AF" w:rsidRPr="00FF6EEC" w:rsidRDefault="003431AF" w:rsidP="00FF6EEC">
          <w:pPr>
            <w:jc w:val="center"/>
            <w:rPr>
              <w:sz w:val="20"/>
              <w:szCs w:val="20"/>
            </w:rPr>
          </w:pPr>
        </w:p>
        <w:p w:rsidR="003431AF" w:rsidRPr="00FF6EEC" w:rsidRDefault="003431AF" w:rsidP="00FF6EEC">
          <w:pPr>
            <w:jc w:val="center"/>
            <w:rPr>
              <w:sz w:val="20"/>
              <w:szCs w:val="20"/>
            </w:rPr>
          </w:pPr>
        </w:p>
        <w:p w:rsidR="003431AF" w:rsidRPr="00FF6EEC" w:rsidRDefault="003431AF" w:rsidP="00FF6EEC">
          <w:pPr>
            <w:jc w:val="center"/>
            <w:rPr>
              <w:sz w:val="20"/>
              <w:szCs w:val="20"/>
            </w:rPr>
          </w:pPr>
        </w:p>
      </w:tc>
      <w:tc>
        <w:tcPr>
          <w:tcW w:w="4080" w:type="dxa"/>
          <w:tcMar>
            <w:left w:w="0" w:type="dxa"/>
            <w:right w:w="0" w:type="dxa"/>
          </w:tcMar>
        </w:tcPr>
        <w:p w:rsidR="003431AF" w:rsidRPr="00FF6EEC" w:rsidRDefault="003431AF" w:rsidP="00FF6EEC">
          <w:pPr>
            <w:rPr>
              <w:sz w:val="20"/>
              <w:szCs w:val="20"/>
              <w:lang w:val="fr-CA"/>
            </w:rPr>
          </w:pPr>
          <w:r w:rsidRPr="00FF6EEC">
            <w:rPr>
              <w:sz w:val="20"/>
              <w:szCs w:val="20"/>
              <w:lang w:val="fr-CA"/>
            </w:rPr>
            <w:t>JUGEMENTS RENDUS SUR LES APPELS EN DÉLIBÉRÉ</w:t>
          </w:r>
        </w:p>
      </w:tc>
    </w:tr>
  </w:tbl>
  <w:p w:rsidR="003431AF" w:rsidRPr="003C2C0F" w:rsidRDefault="003431AF"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431A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431AF">
      <w:tc>
        <w:tcPr>
          <w:tcW w:w="4230" w:type="dxa"/>
          <w:tcMar>
            <w:left w:w="0" w:type="dxa"/>
            <w:right w:w="0" w:type="dxa"/>
          </w:tcMar>
        </w:tcPr>
        <w:p w:rsidR="003431AF" w:rsidRDefault="003431A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431AF" w:rsidRDefault="003431A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431AF" w:rsidRDefault="003431A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431AF" w:rsidRDefault="003431A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431AF" w:rsidRDefault="003431A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431AF" w:rsidRDefault="003431A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431AF" w:rsidRDefault="003431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431AF" w:rsidRDefault="003431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431AF" w:rsidRPr="00782AE4" w:rsidTr="00245129">
      <w:tc>
        <w:tcPr>
          <w:tcW w:w="4230" w:type="dxa"/>
          <w:tcMar>
            <w:left w:w="0" w:type="dxa"/>
            <w:right w:w="0" w:type="dxa"/>
          </w:tcMar>
        </w:tcPr>
        <w:p w:rsidR="003431AF" w:rsidRPr="00782AE4" w:rsidRDefault="003431AF" w:rsidP="00102926">
          <w:pPr>
            <w:keepNext/>
            <w:keepLines/>
            <w:tabs>
              <w:tab w:val="left" w:pos="-1440"/>
              <w:tab w:val="left" w:pos="-720"/>
            </w:tabs>
            <w:rPr>
              <w:sz w:val="20"/>
              <w:szCs w:val="20"/>
            </w:rPr>
          </w:pPr>
          <w:r w:rsidRPr="00782AE4">
            <w:rPr>
              <w:sz w:val="20"/>
              <w:szCs w:val="20"/>
            </w:rPr>
            <w:t xml:space="preserve">HEADNOTES OF RECENT </w:t>
          </w:r>
        </w:p>
        <w:p w:rsidR="003431AF" w:rsidRPr="00782AE4" w:rsidRDefault="003431A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431AF" w:rsidRDefault="003431AF" w:rsidP="00102926">
          <w:pPr>
            <w:keepNext/>
            <w:keepLines/>
            <w:tabs>
              <w:tab w:val="left" w:pos="-1440"/>
              <w:tab w:val="left" w:pos="-720"/>
            </w:tabs>
            <w:jc w:val="center"/>
            <w:rPr>
              <w:sz w:val="20"/>
              <w:szCs w:val="20"/>
            </w:rPr>
          </w:pPr>
        </w:p>
        <w:p w:rsidR="003431AF" w:rsidRDefault="003431AF" w:rsidP="00102926">
          <w:pPr>
            <w:keepNext/>
            <w:keepLines/>
            <w:tabs>
              <w:tab w:val="left" w:pos="-1440"/>
              <w:tab w:val="left" w:pos="-720"/>
            </w:tabs>
            <w:jc w:val="center"/>
            <w:rPr>
              <w:sz w:val="20"/>
              <w:szCs w:val="20"/>
            </w:rPr>
          </w:pPr>
        </w:p>
        <w:p w:rsidR="003431AF" w:rsidRPr="00782AE4" w:rsidRDefault="003431AF" w:rsidP="00102926">
          <w:pPr>
            <w:keepNext/>
            <w:keepLines/>
            <w:tabs>
              <w:tab w:val="left" w:pos="-1440"/>
              <w:tab w:val="left" w:pos="-720"/>
            </w:tabs>
            <w:jc w:val="center"/>
            <w:rPr>
              <w:sz w:val="20"/>
              <w:szCs w:val="20"/>
            </w:rPr>
          </w:pPr>
        </w:p>
      </w:tc>
      <w:tc>
        <w:tcPr>
          <w:tcW w:w="4080" w:type="dxa"/>
          <w:tcMar>
            <w:left w:w="0" w:type="dxa"/>
            <w:right w:w="0" w:type="dxa"/>
          </w:tcMar>
        </w:tcPr>
        <w:p w:rsidR="003431AF" w:rsidRPr="00102926" w:rsidRDefault="003431A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431AF" w:rsidRPr="00782AE4" w:rsidRDefault="003431AF" w:rsidP="00102926">
          <w:pPr>
            <w:keepLines/>
            <w:tabs>
              <w:tab w:val="left" w:pos="-1440"/>
              <w:tab w:val="left" w:pos="-720"/>
            </w:tabs>
            <w:rPr>
              <w:sz w:val="20"/>
              <w:szCs w:val="20"/>
            </w:rPr>
          </w:pPr>
          <w:r w:rsidRPr="00102926">
            <w:rPr>
              <w:sz w:val="20"/>
              <w:szCs w:val="20"/>
              <w:lang w:val="fr-CA"/>
            </w:rPr>
            <w:t>RÉCENTS</w:t>
          </w:r>
        </w:p>
      </w:tc>
    </w:tr>
  </w:tbl>
  <w:p w:rsidR="003431AF" w:rsidRDefault="003431A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43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D3" w:rsidRDefault="00D944D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431AF">
      <w:tc>
        <w:tcPr>
          <w:tcW w:w="4200" w:type="dxa"/>
          <w:tcMar>
            <w:left w:w="0" w:type="dxa"/>
            <w:right w:w="0" w:type="dxa"/>
          </w:tcMar>
        </w:tcPr>
        <w:p w:rsidR="003431AF" w:rsidRDefault="003431A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3431AF" w:rsidRDefault="003431A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3431AF" w:rsidRDefault="003431A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3431AF" w:rsidRDefault="003431AF">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3431AF" w:rsidRDefault="003431A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3431AF" w:rsidRDefault="003431A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431AF" w:rsidRPr="00C50A5C" w:rsidTr="00245129">
      <w:tc>
        <w:tcPr>
          <w:tcW w:w="4200" w:type="dxa"/>
          <w:tcMar>
            <w:left w:w="0" w:type="dxa"/>
            <w:right w:w="0" w:type="dxa"/>
          </w:tcMar>
        </w:tcPr>
        <w:p w:rsidR="003431AF" w:rsidRPr="00C50A5C" w:rsidRDefault="003431AF"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3431AF" w:rsidRPr="00C50A5C" w:rsidRDefault="003431AF"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3431AF" w:rsidRPr="00C50A5C" w:rsidRDefault="003431AF"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3431AF" w:rsidRPr="00C50A5C" w:rsidRDefault="003431AF"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3431AF" w:rsidRDefault="003431AF"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431A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431AF" w:rsidRPr="005F263E" w:rsidTr="00245129">
      <w:tc>
        <w:tcPr>
          <w:tcW w:w="4200" w:type="dxa"/>
          <w:tcMar>
            <w:left w:w="0" w:type="dxa"/>
            <w:right w:w="0" w:type="dxa"/>
          </w:tcMar>
        </w:tcPr>
        <w:p w:rsidR="003431AF" w:rsidRPr="005F263E" w:rsidRDefault="003431AF"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3431AF" w:rsidRPr="005F263E" w:rsidRDefault="003431AF" w:rsidP="00245129">
          <w:pPr>
            <w:keepNext/>
            <w:keepLines/>
            <w:tabs>
              <w:tab w:val="left" w:pos="-1440"/>
              <w:tab w:val="left" w:pos="-720"/>
            </w:tabs>
            <w:jc w:val="center"/>
            <w:rPr>
              <w:sz w:val="20"/>
              <w:szCs w:val="20"/>
            </w:rPr>
          </w:pPr>
        </w:p>
        <w:p w:rsidR="003431AF" w:rsidRPr="005F263E" w:rsidRDefault="003431AF" w:rsidP="00245129">
          <w:pPr>
            <w:keepNext/>
            <w:keepLines/>
            <w:tabs>
              <w:tab w:val="left" w:pos="-1440"/>
              <w:tab w:val="left" w:pos="-720"/>
            </w:tabs>
            <w:jc w:val="center"/>
            <w:rPr>
              <w:sz w:val="20"/>
              <w:szCs w:val="20"/>
            </w:rPr>
          </w:pPr>
        </w:p>
      </w:tc>
      <w:tc>
        <w:tcPr>
          <w:tcW w:w="4080" w:type="dxa"/>
          <w:tcMar>
            <w:left w:w="0" w:type="dxa"/>
            <w:right w:w="0" w:type="dxa"/>
          </w:tcMar>
        </w:tcPr>
        <w:p w:rsidR="003431AF" w:rsidRPr="005F263E" w:rsidRDefault="003431AF" w:rsidP="00245129">
          <w:pPr>
            <w:keepLines/>
            <w:tabs>
              <w:tab w:val="left" w:pos="-1440"/>
              <w:tab w:val="left" w:pos="-720"/>
            </w:tabs>
            <w:rPr>
              <w:sz w:val="20"/>
              <w:szCs w:val="20"/>
            </w:rPr>
          </w:pPr>
          <w:r w:rsidRPr="005F263E">
            <w:rPr>
              <w:sz w:val="20"/>
              <w:szCs w:val="20"/>
            </w:rPr>
            <w:t>RÉSUMÉS DES AFFAIRES</w:t>
          </w:r>
        </w:p>
      </w:tc>
    </w:tr>
  </w:tbl>
  <w:p w:rsidR="003431AF" w:rsidRDefault="003431AF" w:rsidP="005F263E"/>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431AF">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431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D3" w:rsidRDefault="00D944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431AF" w:rsidRPr="0044776A" w:rsidTr="00245129">
      <w:tc>
        <w:tcPr>
          <w:tcW w:w="4290" w:type="dxa"/>
          <w:tcMar>
            <w:left w:w="0" w:type="dxa"/>
            <w:right w:w="0" w:type="dxa"/>
          </w:tcMar>
        </w:tcPr>
        <w:p w:rsidR="003431AF" w:rsidRPr="0044776A" w:rsidRDefault="003431AF"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431AF" w:rsidRPr="0044776A" w:rsidRDefault="003431AF" w:rsidP="002E2327">
          <w:pPr>
            <w:keepNext/>
            <w:keepLines/>
            <w:tabs>
              <w:tab w:val="left" w:pos="-1440"/>
              <w:tab w:val="left" w:pos="-720"/>
            </w:tabs>
            <w:jc w:val="center"/>
            <w:rPr>
              <w:sz w:val="20"/>
              <w:szCs w:val="20"/>
            </w:rPr>
          </w:pPr>
        </w:p>
        <w:p w:rsidR="003431AF" w:rsidRPr="0044776A" w:rsidRDefault="003431AF" w:rsidP="002E2327">
          <w:pPr>
            <w:keepNext/>
            <w:keepLines/>
            <w:tabs>
              <w:tab w:val="left" w:pos="-1440"/>
              <w:tab w:val="left" w:pos="-720"/>
            </w:tabs>
            <w:jc w:val="center"/>
            <w:rPr>
              <w:sz w:val="20"/>
              <w:szCs w:val="20"/>
            </w:rPr>
          </w:pPr>
        </w:p>
        <w:p w:rsidR="003431AF" w:rsidRPr="0044776A" w:rsidRDefault="003431AF" w:rsidP="002E2327">
          <w:pPr>
            <w:keepNext/>
            <w:keepLines/>
            <w:tabs>
              <w:tab w:val="left" w:pos="-1440"/>
              <w:tab w:val="left" w:pos="-720"/>
            </w:tabs>
            <w:jc w:val="center"/>
            <w:rPr>
              <w:sz w:val="20"/>
              <w:szCs w:val="20"/>
            </w:rPr>
          </w:pPr>
        </w:p>
      </w:tc>
      <w:tc>
        <w:tcPr>
          <w:tcW w:w="4320" w:type="dxa"/>
          <w:tcMar>
            <w:left w:w="0" w:type="dxa"/>
            <w:right w:w="0" w:type="dxa"/>
          </w:tcMar>
        </w:tcPr>
        <w:p w:rsidR="003431AF" w:rsidRPr="0044776A" w:rsidRDefault="003431AF" w:rsidP="002E2327">
          <w:pPr>
            <w:keepLines/>
            <w:rPr>
              <w:sz w:val="20"/>
              <w:szCs w:val="20"/>
              <w:lang w:val="fr-CA"/>
            </w:rPr>
          </w:pPr>
          <w:r w:rsidRPr="0044776A">
            <w:rPr>
              <w:sz w:val="20"/>
              <w:szCs w:val="20"/>
              <w:lang w:val="fr-CA"/>
            </w:rPr>
            <w:t>DEMANDES D'AUTORISATION D'APPEL DÉPOSÉES</w:t>
          </w:r>
        </w:p>
      </w:tc>
    </w:tr>
  </w:tbl>
  <w:p w:rsidR="003431AF" w:rsidRDefault="003431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431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431AF" w:rsidRPr="00560020" w:rsidTr="00245129">
      <w:tc>
        <w:tcPr>
          <w:tcW w:w="4200" w:type="dxa"/>
          <w:tcMar>
            <w:left w:w="0" w:type="dxa"/>
            <w:right w:w="0" w:type="dxa"/>
          </w:tcMar>
        </w:tcPr>
        <w:p w:rsidR="003431AF" w:rsidRPr="0044776A" w:rsidRDefault="003431AF" w:rsidP="0044776A">
          <w:pPr>
            <w:keepNext/>
            <w:keepLines/>
            <w:widowControl w:val="0"/>
            <w:rPr>
              <w:sz w:val="20"/>
              <w:szCs w:val="20"/>
            </w:rPr>
          </w:pPr>
          <w:r>
            <w:rPr>
              <w:sz w:val="20"/>
              <w:szCs w:val="20"/>
            </w:rPr>
            <w:t>APPLICATIONS FOR LEAVE</w:t>
          </w:r>
        </w:p>
        <w:p w:rsidR="003431AF" w:rsidRPr="0044776A" w:rsidRDefault="003431AF"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431AF" w:rsidRPr="0044776A" w:rsidRDefault="003431AF" w:rsidP="0044776A">
          <w:pPr>
            <w:keepNext/>
            <w:keepLines/>
            <w:widowControl w:val="0"/>
            <w:jc w:val="center"/>
            <w:rPr>
              <w:sz w:val="20"/>
              <w:szCs w:val="20"/>
            </w:rPr>
          </w:pPr>
        </w:p>
        <w:p w:rsidR="003431AF" w:rsidRPr="0044776A" w:rsidRDefault="003431AF" w:rsidP="0044776A">
          <w:pPr>
            <w:keepNext/>
            <w:keepLines/>
            <w:widowControl w:val="0"/>
            <w:jc w:val="center"/>
            <w:rPr>
              <w:sz w:val="20"/>
              <w:szCs w:val="20"/>
            </w:rPr>
          </w:pPr>
        </w:p>
        <w:p w:rsidR="003431AF" w:rsidRPr="0044776A" w:rsidRDefault="003431AF" w:rsidP="0044776A">
          <w:pPr>
            <w:keepNext/>
            <w:keepLines/>
            <w:widowControl w:val="0"/>
            <w:jc w:val="center"/>
            <w:rPr>
              <w:sz w:val="20"/>
              <w:szCs w:val="20"/>
            </w:rPr>
          </w:pPr>
        </w:p>
      </w:tc>
      <w:tc>
        <w:tcPr>
          <w:tcW w:w="4080" w:type="dxa"/>
          <w:tcMar>
            <w:left w:w="0" w:type="dxa"/>
            <w:right w:w="0" w:type="dxa"/>
          </w:tcMar>
        </w:tcPr>
        <w:p w:rsidR="003431AF" w:rsidRPr="0044776A" w:rsidRDefault="003431AF" w:rsidP="0044776A">
          <w:pPr>
            <w:keepLines/>
            <w:widowControl w:val="0"/>
            <w:rPr>
              <w:sz w:val="20"/>
              <w:szCs w:val="20"/>
              <w:lang w:val="fr-CA"/>
            </w:rPr>
          </w:pPr>
          <w:r w:rsidRPr="0044776A">
            <w:rPr>
              <w:sz w:val="20"/>
              <w:szCs w:val="20"/>
              <w:lang w:val="fr-CA"/>
            </w:rPr>
            <w:t>DEMANDES SOUMISES À LA COUR DEPUIS LA DERNIÈRE PARUTION</w:t>
          </w:r>
        </w:p>
        <w:p w:rsidR="003431AF" w:rsidRPr="0044776A" w:rsidRDefault="003431AF" w:rsidP="0044776A">
          <w:pPr>
            <w:widowControl w:val="0"/>
            <w:rPr>
              <w:sz w:val="20"/>
              <w:szCs w:val="20"/>
              <w:lang w:val="fr-CA"/>
            </w:rPr>
          </w:pPr>
        </w:p>
      </w:tc>
    </w:tr>
  </w:tbl>
  <w:p w:rsidR="003431AF" w:rsidRPr="002E2327" w:rsidRDefault="003431AF">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AF" w:rsidRDefault="003431A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431AF" w:rsidRPr="00560020">
      <w:tc>
        <w:tcPr>
          <w:tcW w:w="4200" w:type="dxa"/>
          <w:tcMar>
            <w:left w:w="0" w:type="dxa"/>
            <w:right w:w="0" w:type="dxa"/>
          </w:tcMar>
        </w:tcPr>
        <w:p w:rsidR="003431AF" w:rsidRDefault="003431A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431AF" w:rsidRDefault="003431A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431AF" w:rsidRDefault="003431A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431AF" w:rsidRPr="00FF6BA5" w:rsidRDefault="003431A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431AF" w:rsidRPr="00FF6BA5" w:rsidRDefault="003431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431AF" w:rsidRPr="00FF6BA5" w:rsidRDefault="003431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431AF" w:rsidRPr="00FF6BA5" w:rsidRDefault="003431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431AF" w:rsidRPr="00560020" w:rsidTr="00245129">
      <w:tc>
        <w:tcPr>
          <w:tcW w:w="4200" w:type="dxa"/>
          <w:tcMar>
            <w:left w:w="0" w:type="dxa"/>
            <w:right w:w="0" w:type="dxa"/>
          </w:tcMar>
        </w:tcPr>
        <w:p w:rsidR="003431AF" w:rsidRPr="00755F22" w:rsidRDefault="003431A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431AF" w:rsidRPr="00755F22" w:rsidRDefault="003431A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431AF" w:rsidRPr="00755F22" w:rsidRDefault="003431A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431AF" w:rsidRPr="00755F22" w:rsidRDefault="003431A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431AF" w:rsidRPr="00755F22" w:rsidRDefault="003431A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431AF" w:rsidRPr="00755F22" w:rsidRDefault="003431A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431AF" w:rsidRPr="00FF6BA5" w:rsidRDefault="003431AF"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07329"/>
    <w:multiLevelType w:val="hybridMultilevel"/>
    <w:tmpl w:val="287C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FF6EAB"/>
    <w:multiLevelType w:val="hybridMultilevel"/>
    <w:tmpl w:val="287C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85009"/>
  </w:hdrShapeDefaults>
  <w:footnotePr>
    <w:footnote w:id="-1"/>
    <w:footnote w:id="0"/>
  </w:footnotePr>
  <w:endnotePr>
    <w:endnote w:id="-1"/>
    <w:endnote w:id="0"/>
  </w:endnotePr>
  <w:compat>
    <w:compatSetting w:name="compatibilityMode" w:uri="http://schemas.microsoft.com/office/word" w:val="12"/>
  </w:compat>
  <w:rsids>
    <w:rsidRoot w:val="00F031E8"/>
    <w:rsid w:val="00020DC3"/>
    <w:rsid w:val="0003223B"/>
    <w:rsid w:val="000327B2"/>
    <w:rsid w:val="0004528B"/>
    <w:rsid w:val="000466E4"/>
    <w:rsid w:val="000613BA"/>
    <w:rsid w:val="00064FBA"/>
    <w:rsid w:val="00091FA6"/>
    <w:rsid w:val="00096BD9"/>
    <w:rsid w:val="000B3C9A"/>
    <w:rsid w:val="000B40A2"/>
    <w:rsid w:val="000B4624"/>
    <w:rsid w:val="000C0ACD"/>
    <w:rsid w:val="000C0D2A"/>
    <w:rsid w:val="000C5CE8"/>
    <w:rsid w:val="000D0CB9"/>
    <w:rsid w:val="000D6E5D"/>
    <w:rsid w:val="000E2959"/>
    <w:rsid w:val="000F0B60"/>
    <w:rsid w:val="00102926"/>
    <w:rsid w:val="0010587F"/>
    <w:rsid w:val="00111C6B"/>
    <w:rsid w:val="0012102B"/>
    <w:rsid w:val="0013369E"/>
    <w:rsid w:val="001349D4"/>
    <w:rsid w:val="00142B44"/>
    <w:rsid w:val="00164E6D"/>
    <w:rsid w:val="001709A6"/>
    <w:rsid w:val="0017143E"/>
    <w:rsid w:val="00183454"/>
    <w:rsid w:val="00196DB9"/>
    <w:rsid w:val="00197EBF"/>
    <w:rsid w:val="001B157C"/>
    <w:rsid w:val="001B4006"/>
    <w:rsid w:val="001B5C23"/>
    <w:rsid w:val="001D0D5F"/>
    <w:rsid w:val="001D3E70"/>
    <w:rsid w:val="001D6B8C"/>
    <w:rsid w:val="001F1F83"/>
    <w:rsid w:val="001F40DF"/>
    <w:rsid w:val="001F6B2D"/>
    <w:rsid w:val="002021A9"/>
    <w:rsid w:val="002139A7"/>
    <w:rsid w:val="00215F7C"/>
    <w:rsid w:val="0022323B"/>
    <w:rsid w:val="002410B8"/>
    <w:rsid w:val="00242AEE"/>
    <w:rsid w:val="00245129"/>
    <w:rsid w:val="00245879"/>
    <w:rsid w:val="00267FD5"/>
    <w:rsid w:val="00272F16"/>
    <w:rsid w:val="00274D34"/>
    <w:rsid w:val="00283ED8"/>
    <w:rsid w:val="002868D0"/>
    <w:rsid w:val="002A008C"/>
    <w:rsid w:val="002A27D1"/>
    <w:rsid w:val="002A44EA"/>
    <w:rsid w:val="002A4AFA"/>
    <w:rsid w:val="002B516C"/>
    <w:rsid w:val="002D72EB"/>
    <w:rsid w:val="002E2327"/>
    <w:rsid w:val="002E3583"/>
    <w:rsid w:val="002E5576"/>
    <w:rsid w:val="0032211A"/>
    <w:rsid w:val="00331B52"/>
    <w:rsid w:val="003359D3"/>
    <w:rsid w:val="003431AF"/>
    <w:rsid w:val="003509D0"/>
    <w:rsid w:val="00355967"/>
    <w:rsid w:val="00356B6D"/>
    <w:rsid w:val="00361F19"/>
    <w:rsid w:val="00364F8D"/>
    <w:rsid w:val="00382C47"/>
    <w:rsid w:val="00384384"/>
    <w:rsid w:val="003866AE"/>
    <w:rsid w:val="00396A2E"/>
    <w:rsid w:val="003A0C94"/>
    <w:rsid w:val="003A60BB"/>
    <w:rsid w:val="003B3977"/>
    <w:rsid w:val="003E11F4"/>
    <w:rsid w:val="003E1D4C"/>
    <w:rsid w:val="00404856"/>
    <w:rsid w:val="00406056"/>
    <w:rsid w:val="004137A0"/>
    <w:rsid w:val="00422D9A"/>
    <w:rsid w:val="00432989"/>
    <w:rsid w:val="00440E24"/>
    <w:rsid w:val="0044776A"/>
    <w:rsid w:val="00460AFC"/>
    <w:rsid w:val="0047471F"/>
    <w:rsid w:val="004977FE"/>
    <w:rsid w:val="004B195E"/>
    <w:rsid w:val="004B66B4"/>
    <w:rsid w:val="004B7F60"/>
    <w:rsid w:val="004C1AAC"/>
    <w:rsid w:val="004E1E0A"/>
    <w:rsid w:val="004F090E"/>
    <w:rsid w:val="004F530D"/>
    <w:rsid w:val="00501D4E"/>
    <w:rsid w:val="00501F3C"/>
    <w:rsid w:val="00516593"/>
    <w:rsid w:val="0052229C"/>
    <w:rsid w:val="00527CC7"/>
    <w:rsid w:val="00560020"/>
    <w:rsid w:val="00571CA4"/>
    <w:rsid w:val="00582136"/>
    <w:rsid w:val="00582919"/>
    <w:rsid w:val="005C6840"/>
    <w:rsid w:val="005F1ED8"/>
    <w:rsid w:val="005F263E"/>
    <w:rsid w:val="00600252"/>
    <w:rsid w:val="00612A40"/>
    <w:rsid w:val="0062714A"/>
    <w:rsid w:val="00675479"/>
    <w:rsid w:val="0067580B"/>
    <w:rsid w:val="00680709"/>
    <w:rsid w:val="00681F61"/>
    <w:rsid w:val="006967EE"/>
    <w:rsid w:val="00696BF9"/>
    <w:rsid w:val="00697C62"/>
    <w:rsid w:val="006A329B"/>
    <w:rsid w:val="006A7EB8"/>
    <w:rsid w:val="006B37FF"/>
    <w:rsid w:val="006B6926"/>
    <w:rsid w:val="006C3F47"/>
    <w:rsid w:val="006C5F7A"/>
    <w:rsid w:val="006E06AF"/>
    <w:rsid w:val="006F2F22"/>
    <w:rsid w:val="006F350F"/>
    <w:rsid w:val="00720C3B"/>
    <w:rsid w:val="00732DB7"/>
    <w:rsid w:val="00740067"/>
    <w:rsid w:val="0074238B"/>
    <w:rsid w:val="00743AD5"/>
    <w:rsid w:val="00745EF7"/>
    <w:rsid w:val="00755F22"/>
    <w:rsid w:val="00766E4A"/>
    <w:rsid w:val="007820CE"/>
    <w:rsid w:val="00782AE4"/>
    <w:rsid w:val="0079724F"/>
    <w:rsid w:val="007A3EAE"/>
    <w:rsid w:val="007C04FC"/>
    <w:rsid w:val="007C199E"/>
    <w:rsid w:val="007C3DB0"/>
    <w:rsid w:val="007C47C2"/>
    <w:rsid w:val="007D3E0F"/>
    <w:rsid w:val="007E4282"/>
    <w:rsid w:val="007F387B"/>
    <w:rsid w:val="00802863"/>
    <w:rsid w:val="008112A9"/>
    <w:rsid w:val="00815B3C"/>
    <w:rsid w:val="0081610A"/>
    <w:rsid w:val="008210AC"/>
    <w:rsid w:val="0082783A"/>
    <w:rsid w:val="00827D63"/>
    <w:rsid w:val="00831CA9"/>
    <w:rsid w:val="00850E1F"/>
    <w:rsid w:val="0085476B"/>
    <w:rsid w:val="00861F47"/>
    <w:rsid w:val="0086340B"/>
    <w:rsid w:val="008674EC"/>
    <w:rsid w:val="00890FEB"/>
    <w:rsid w:val="00895E7E"/>
    <w:rsid w:val="008A5C1A"/>
    <w:rsid w:val="008B3A28"/>
    <w:rsid w:val="008D258D"/>
    <w:rsid w:val="008D292F"/>
    <w:rsid w:val="008E03DC"/>
    <w:rsid w:val="008E6ABB"/>
    <w:rsid w:val="00902E51"/>
    <w:rsid w:val="00924065"/>
    <w:rsid w:val="00930D68"/>
    <w:rsid w:val="00932DB4"/>
    <w:rsid w:val="00941A4B"/>
    <w:rsid w:val="0094245C"/>
    <w:rsid w:val="00946242"/>
    <w:rsid w:val="0095096B"/>
    <w:rsid w:val="00970CD3"/>
    <w:rsid w:val="009723FA"/>
    <w:rsid w:val="00984546"/>
    <w:rsid w:val="00996510"/>
    <w:rsid w:val="009A3CD5"/>
    <w:rsid w:val="009A57A6"/>
    <w:rsid w:val="009D1F15"/>
    <w:rsid w:val="009D555E"/>
    <w:rsid w:val="009E384F"/>
    <w:rsid w:val="009F3024"/>
    <w:rsid w:val="009F39BA"/>
    <w:rsid w:val="00A0355E"/>
    <w:rsid w:val="00A05752"/>
    <w:rsid w:val="00A15D0E"/>
    <w:rsid w:val="00A375D1"/>
    <w:rsid w:val="00A51D10"/>
    <w:rsid w:val="00A52A83"/>
    <w:rsid w:val="00A608E4"/>
    <w:rsid w:val="00A6552C"/>
    <w:rsid w:val="00A87207"/>
    <w:rsid w:val="00A935AA"/>
    <w:rsid w:val="00A956D3"/>
    <w:rsid w:val="00AB2201"/>
    <w:rsid w:val="00AC3355"/>
    <w:rsid w:val="00AD1D34"/>
    <w:rsid w:val="00AD3259"/>
    <w:rsid w:val="00AF1715"/>
    <w:rsid w:val="00AF3904"/>
    <w:rsid w:val="00B010C0"/>
    <w:rsid w:val="00B223D8"/>
    <w:rsid w:val="00B31ACF"/>
    <w:rsid w:val="00B44212"/>
    <w:rsid w:val="00B4740D"/>
    <w:rsid w:val="00B61629"/>
    <w:rsid w:val="00B66683"/>
    <w:rsid w:val="00B7374B"/>
    <w:rsid w:val="00B90DC0"/>
    <w:rsid w:val="00BA116A"/>
    <w:rsid w:val="00BA5582"/>
    <w:rsid w:val="00BA6468"/>
    <w:rsid w:val="00BB1D44"/>
    <w:rsid w:val="00BD06DA"/>
    <w:rsid w:val="00BD4217"/>
    <w:rsid w:val="00BF25F3"/>
    <w:rsid w:val="00BF2F22"/>
    <w:rsid w:val="00C1697B"/>
    <w:rsid w:val="00C21644"/>
    <w:rsid w:val="00C21CB5"/>
    <w:rsid w:val="00C46376"/>
    <w:rsid w:val="00C50A5C"/>
    <w:rsid w:val="00C50FDF"/>
    <w:rsid w:val="00C63381"/>
    <w:rsid w:val="00C73D06"/>
    <w:rsid w:val="00C73E1B"/>
    <w:rsid w:val="00C759B4"/>
    <w:rsid w:val="00C77713"/>
    <w:rsid w:val="00C85BB7"/>
    <w:rsid w:val="00CA2DEA"/>
    <w:rsid w:val="00CB3520"/>
    <w:rsid w:val="00CB43D5"/>
    <w:rsid w:val="00CC35BD"/>
    <w:rsid w:val="00CC4D84"/>
    <w:rsid w:val="00CE198A"/>
    <w:rsid w:val="00CF08C8"/>
    <w:rsid w:val="00D004FC"/>
    <w:rsid w:val="00D11A8A"/>
    <w:rsid w:val="00D64901"/>
    <w:rsid w:val="00D71703"/>
    <w:rsid w:val="00D76BDF"/>
    <w:rsid w:val="00D77E45"/>
    <w:rsid w:val="00D818B6"/>
    <w:rsid w:val="00D862C1"/>
    <w:rsid w:val="00D93B50"/>
    <w:rsid w:val="00D94028"/>
    <w:rsid w:val="00D944D3"/>
    <w:rsid w:val="00D94670"/>
    <w:rsid w:val="00DA46F6"/>
    <w:rsid w:val="00DD0B49"/>
    <w:rsid w:val="00DD250A"/>
    <w:rsid w:val="00DD39EE"/>
    <w:rsid w:val="00DE0502"/>
    <w:rsid w:val="00DE349D"/>
    <w:rsid w:val="00DE7A90"/>
    <w:rsid w:val="00E06DFA"/>
    <w:rsid w:val="00E20A0A"/>
    <w:rsid w:val="00E240C2"/>
    <w:rsid w:val="00E356C7"/>
    <w:rsid w:val="00E41A5A"/>
    <w:rsid w:val="00E453A8"/>
    <w:rsid w:val="00E45FE4"/>
    <w:rsid w:val="00E51B4D"/>
    <w:rsid w:val="00E64FA7"/>
    <w:rsid w:val="00E76460"/>
    <w:rsid w:val="00E770CB"/>
    <w:rsid w:val="00E903A1"/>
    <w:rsid w:val="00E940EB"/>
    <w:rsid w:val="00E9703F"/>
    <w:rsid w:val="00EB2B90"/>
    <w:rsid w:val="00ED7E83"/>
    <w:rsid w:val="00EE091F"/>
    <w:rsid w:val="00EF23E1"/>
    <w:rsid w:val="00EF4B63"/>
    <w:rsid w:val="00EF504C"/>
    <w:rsid w:val="00F0068D"/>
    <w:rsid w:val="00F031E8"/>
    <w:rsid w:val="00F0576D"/>
    <w:rsid w:val="00F06FFD"/>
    <w:rsid w:val="00F11CE5"/>
    <w:rsid w:val="00F13C9B"/>
    <w:rsid w:val="00F14E6D"/>
    <w:rsid w:val="00F15EA8"/>
    <w:rsid w:val="00F16C8D"/>
    <w:rsid w:val="00F26C61"/>
    <w:rsid w:val="00F33CCE"/>
    <w:rsid w:val="00F40249"/>
    <w:rsid w:val="00F4318D"/>
    <w:rsid w:val="00F526C8"/>
    <w:rsid w:val="00F52EF3"/>
    <w:rsid w:val="00F664BA"/>
    <w:rsid w:val="00F761A3"/>
    <w:rsid w:val="00F9272D"/>
    <w:rsid w:val="00F9518C"/>
    <w:rsid w:val="00FA316E"/>
    <w:rsid w:val="00FA3373"/>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5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BanSummary">
    <w:name w:val="SCC.BanSummary"/>
    <w:basedOn w:val="Normal"/>
    <w:next w:val="Normal"/>
    <w:link w:val="SCCBanSummaryChar"/>
    <w:rsid w:val="00F11CE5"/>
    <w:pPr>
      <w:jc w:val="both"/>
    </w:pPr>
    <w:rPr>
      <w:smallCaps/>
    </w:rPr>
  </w:style>
  <w:style w:type="character" w:customStyle="1" w:styleId="SCCBanSummaryChar">
    <w:name w:val="SCC.BanSummary Char"/>
    <w:basedOn w:val="DefaultParagraphFont"/>
    <w:link w:val="SCCBanSummary"/>
    <w:rsid w:val="00F11CE5"/>
    <w:rPr>
      <w:smallCaps/>
      <w:lang w:val="en-CA"/>
    </w:rPr>
  </w:style>
  <w:style w:type="table" w:customStyle="1" w:styleId="TableGrid2">
    <w:name w:val="Table Grid2"/>
    <w:basedOn w:val="TableNormal"/>
    <w:next w:val="TableGrid"/>
    <w:uiPriority w:val="59"/>
    <w:rsid w:val="0094245C"/>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72F1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272F1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272F1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272F1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272F1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272F1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272F1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272F1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272F1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272F1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272F1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272F1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272F1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272F1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13463">
      <w:bodyDiv w:val="1"/>
      <w:marLeft w:val="0"/>
      <w:marRight w:val="0"/>
      <w:marTop w:val="0"/>
      <w:marBottom w:val="0"/>
      <w:divBdr>
        <w:top w:val="none" w:sz="0" w:space="0" w:color="auto"/>
        <w:left w:val="none" w:sz="0" w:space="0" w:color="auto"/>
        <w:bottom w:val="none" w:sz="0" w:space="0" w:color="auto"/>
        <w:right w:val="none" w:sz="0" w:space="0" w:color="auto"/>
      </w:divBdr>
    </w:div>
    <w:div w:id="192521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gdrq5" TargetMode="External"/><Relationship Id="rId21" Type="http://schemas.openxmlformats.org/officeDocument/2006/relationships/header" Target="header6.xml"/><Relationship Id="rId42" Type="http://schemas.openxmlformats.org/officeDocument/2006/relationships/hyperlink" Target="http://www.canlii.org/en/ab/abca/doc/2014/2014abca250/2014abca250.html?resultIndex=1" TargetMode="External"/><Relationship Id="rId47" Type="http://schemas.openxmlformats.org/officeDocument/2006/relationships/hyperlink" Target="http://www.canlii.org/en/on/onhrt/doc/2012/2012hrto1506/2012hrto1506.html?resultIndex=1" TargetMode="External"/><Relationship Id="rId63" Type="http://schemas.openxmlformats.org/officeDocument/2006/relationships/hyperlink" Target="http://www.canlii.org/fr/qc/qcca/doc/2014/2014qcca1905/2014qcca1905.html?resultIndex=1" TargetMode="External"/><Relationship Id="rId68" Type="http://schemas.openxmlformats.org/officeDocument/2006/relationships/footer" Target="footer9.xml"/><Relationship Id="rId84" Type="http://schemas.openxmlformats.org/officeDocument/2006/relationships/hyperlink" Target="http://www.scc-csc.ca/case-dossier/info/sum-som-eng.aspx?cas=35422" TargetMode="External"/><Relationship Id="rId89" Type="http://schemas.openxmlformats.org/officeDocument/2006/relationships/header" Target="header19.xml"/><Relationship Id="rId7" Type="http://schemas.openxmlformats.org/officeDocument/2006/relationships/endnotes" Target="endnotes.xml"/><Relationship Id="rId71" Type="http://schemas.openxmlformats.org/officeDocument/2006/relationships/header" Target="header11.xml"/><Relationship Id="rId92"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en/on/onca/doc/2014/2014onca575/2014onca575.html"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en/on/onca/doc/2014/2014onca575/2014onca575.html" TargetMode="External"/><Relationship Id="rId37" Type="http://schemas.openxmlformats.org/officeDocument/2006/relationships/hyperlink" Target="http://www.canlii.org/en/ab/abqb/doc/2013/2013abqb193/2013abqb193.html" TargetMode="External"/><Relationship Id="rId40" Type="http://schemas.openxmlformats.org/officeDocument/2006/relationships/hyperlink" Target="http://www.canlii.org/en/ab/abca/doc/2014/2014abca250/2014abca250.html?resultIndex=1" TargetMode="External"/><Relationship Id="rId45" Type="http://schemas.openxmlformats.org/officeDocument/2006/relationships/hyperlink" Target="http://www.canlii.org/fr/ca/cfpi/doc/2013/2013cf418/2013cf418.html" TargetMode="External"/><Relationship Id="rId53" Type="http://schemas.openxmlformats.org/officeDocument/2006/relationships/hyperlink" Target="http://www.canlii.org/en/bc/bcsc/doc/2011/2011bcsc1152/2011bcsc1152.html" TargetMode="External"/><Relationship Id="rId58" Type="http://schemas.openxmlformats.org/officeDocument/2006/relationships/hyperlink" Target="http://www.canlii.org/en/nb/nbca/doc/2014/2014nbca58/2014nbca58.html" TargetMode="External"/><Relationship Id="rId66" Type="http://schemas.openxmlformats.org/officeDocument/2006/relationships/header" Target="header9.xml"/><Relationship Id="rId74" Type="http://schemas.openxmlformats.org/officeDocument/2006/relationships/footer" Target="footer12.xml"/><Relationship Id="rId79" Type="http://schemas.openxmlformats.org/officeDocument/2006/relationships/footer" Target="footer14.xml"/><Relationship Id="rId87" Type="http://schemas.openxmlformats.org/officeDocument/2006/relationships/footer" Target="footer17.xml"/><Relationship Id="rId102" Type="http://schemas.openxmlformats.org/officeDocument/2006/relationships/footer" Target="footer25.xml"/><Relationship Id="rId5" Type="http://schemas.openxmlformats.org/officeDocument/2006/relationships/webSettings" Target="webSettings.xml"/><Relationship Id="rId61" Type="http://schemas.openxmlformats.org/officeDocument/2006/relationships/hyperlink" Target="http://www.canlii.org/en/on/onca/doc/2014/2014onca744/2014onca744.html" TargetMode="External"/><Relationship Id="rId82" Type="http://schemas.openxmlformats.org/officeDocument/2006/relationships/footer" Target="footer16.xml"/><Relationship Id="rId90" Type="http://schemas.openxmlformats.org/officeDocument/2006/relationships/footer" Target="footer19.xml"/><Relationship Id="rId95" Type="http://schemas.openxmlformats.org/officeDocument/2006/relationships/header" Target="header22.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on/laws/stat/rso-1990-c-c40/latest/rso-1990-c-c40.html" TargetMode="External"/><Relationship Id="rId30" Type="http://schemas.openxmlformats.org/officeDocument/2006/relationships/hyperlink" Target="http://www.canlii.org/en/on/laws/stat/rso-1990-c-c40/latest/rso-1990-c-c40.html" TargetMode="External"/><Relationship Id="rId35" Type="http://schemas.openxmlformats.org/officeDocument/2006/relationships/hyperlink" Target="http://www.canlii.org/en/ab/abqb/doc/2013/2013abqb193/2013abqb193.html" TargetMode="External"/><Relationship Id="rId43" Type="http://schemas.openxmlformats.org/officeDocument/2006/relationships/hyperlink" Target="http://www.canlii.org/en/ca/fct/doc/2013/2013fc418/2013fc418.html" TargetMode="External"/><Relationship Id="rId48" Type="http://schemas.openxmlformats.org/officeDocument/2006/relationships/hyperlink" Target="http://www.canlii.org/en/on/onscdc/doc/2014/2014onsc1840/2014onsc1840.html" TargetMode="External"/><Relationship Id="rId56" Type="http://schemas.openxmlformats.org/officeDocument/2006/relationships/hyperlink" Target="http://www.canlii.org/en/nb/nbca/doc/2014/2014nbca58/2014nbca58.html" TargetMode="External"/><Relationship Id="rId64" Type="http://schemas.openxmlformats.org/officeDocument/2006/relationships/hyperlink" Target="http://www.canlii.org/fr/qc/qcca/doc/2014/2014qcca1905/2014qcca1905.html?resultIndex=1" TargetMode="External"/><Relationship Id="rId69" Type="http://schemas.openxmlformats.org/officeDocument/2006/relationships/header" Target="header10.xml"/><Relationship Id="rId77" Type="http://schemas.openxmlformats.org/officeDocument/2006/relationships/header" Target="header14.xml"/><Relationship Id="rId100" Type="http://schemas.openxmlformats.org/officeDocument/2006/relationships/footer" Target="footer24.xml"/><Relationship Id="rId8" Type="http://schemas.openxmlformats.org/officeDocument/2006/relationships/image" Target="media/image1.wmf"/><Relationship Id="rId51" Type="http://schemas.openxmlformats.org/officeDocument/2006/relationships/hyperlink" Target="http://www.canlii.org/en/bc/bcsc/doc/2011/2011bcsc1152/2011bcsc1152.html" TargetMode="External"/><Relationship Id="rId72" Type="http://schemas.openxmlformats.org/officeDocument/2006/relationships/header" Target="header12.xml"/><Relationship Id="rId80" Type="http://schemas.openxmlformats.org/officeDocument/2006/relationships/footer" Target="footer15.xml"/><Relationship Id="rId85" Type="http://schemas.openxmlformats.org/officeDocument/2006/relationships/header" Target="header17.xml"/><Relationship Id="rId93" Type="http://schemas.openxmlformats.org/officeDocument/2006/relationships/footer" Target="footer20.xml"/><Relationship Id="rId98" Type="http://schemas.openxmlformats.org/officeDocument/2006/relationships/footer" Target="footer2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canlii.ca/t/gdrq5" TargetMode="External"/><Relationship Id="rId33" Type="http://schemas.openxmlformats.org/officeDocument/2006/relationships/hyperlink" Target="http://www.canlii.org/en/on/onca/doc/2014/2014onca588/2014onca588.html" TargetMode="External"/><Relationship Id="rId38" Type="http://schemas.openxmlformats.org/officeDocument/2006/relationships/hyperlink" Target="http://www.canlii.org/en/ab/abca/doc/2014/2014abca243/2014abca243.html" TargetMode="External"/><Relationship Id="rId46" Type="http://schemas.openxmlformats.org/officeDocument/2006/relationships/hyperlink" Target="http://www.canlii.org/fr/ca/caf/doc/2014/2014caf189/2014caf189.html" TargetMode="External"/><Relationship Id="rId59" Type="http://schemas.openxmlformats.org/officeDocument/2006/relationships/hyperlink" Target="http://www.canlii.org/en/bc/bcca/doc/2014/2014bcca354/2014bcca354.html" TargetMode="External"/><Relationship Id="rId67" Type="http://schemas.openxmlformats.org/officeDocument/2006/relationships/footer" Target="footer8.xml"/><Relationship Id="rId103"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yperlink" Target="http://www.canlii.org/en/ab/abqb/doc/2013/2013abqb263/2013abqb263.html" TargetMode="External"/><Relationship Id="rId54" Type="http://schemas.openxmlformats.org/officeDocument/2006/relationships/hyperlink" Target="http://www.canlii.org/en/bc/bcca/doc/2014/2014bcca349/2014bcca349.html" TargetMode="External"/><Relationship Id="rId62" Type="http://schemas.openxmlformats.org/officeDocument/2006/relationships/hyperlink" Target="http://www.canlii.org/en/on/onca/doc/2014/2014onca744/2014onca744.html" TargetMode="External"/><Relationship Id="rId70" Type="http://schemas.openxmlformats.org/officeDocument/2006/relationships/footer" Target="footer10.xml"/><Relationship Id="rId75" Type="http://schemas.openxmlformats.org/officeDocument/2006/relationships/header" Target="header13.xml"/><Relationship Id="rId83" Type="http://schemas.openxmlformats.org/officeDocument/2006/relationships/hyperlink" Target="http://www.scc-csc.ca/case-dossier/info/sum-som-eng.aspx?cas=35664" TargetMode="External"/><Relationship Id="rId88" Type="http://schemas.openxmlformats.org/officeDocument/2006/relationships/footer" Target="footer18.xml"/><Relationship Id="rId91" Type="http://schemas.openxmlformats.org/officeDocument/2006/relationships/header" Target="header20.xml"/><Relationship Id="rId96"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on/onsc/doc/2013/2013onsc2927/2013onsc2927.html" TargetMode="External"/><Relationship Id="rId36" Type="http://schemas.openxmlformats.org/officeDocument/2006/relationships/hyperlink" Target="http://www.canlii.org/en/ab/abca/doc/2014/2014abca243/2014abca243.html" TargetMode="External"/><Relationship Id="rId49" Type="http://schemas.openxmlformats.org/officeDocument/2006/relationships/hyperlink" Target="http://www.canlii.org/en/on/onhrt/doc/2012/2012hrto1506/2012hrto1506.html?resultIndex=1" TargetMode="External"/><Relationship Id="rId57" Type="http://schemas.openxmlformats.org/officeDocument/2006/relationships/hyperlink" Target="http://www.canlii.org/en/nb/nbpc/doc/2013/2013nbpc3/2013nbpc3.html" TargetMode="External"/><Relationship Id="rId10" Type="http://schemas.openxmlformats.org/officeDocument/2006/relationships/hyperlink" Target="http://www.scc-csc.ca" TargetMode="External"/><Relationship Id="rId31" Type="http://schemas.openxmlformats.org/officeDocument/2006/relationships/hyperlink" Target="http://www.canlii.org/en/on/onsc/doc/2013/2013onsc2927/2013onsc2927.html" TargetMode="External"/><Relationship Id="rId44" Type="http://schemas.openxmlformats.org/officeDocument/2006/relationships/hyperlink" Target="http://www.canlii.org/en/ca/fca/doc/2014/2014fca189/2014fca189.html" TargetMode="External"/><Relationship Id="rId52" Type="http://schemas.openxmlformats.org/officeDocument/2006/relationships/hyperlink" Target="http://www.canlii.org/en/bc/bcca/doc/2014/2014bcca349/2014bcca349.html" TargetMode="External"/><Relationship Id="rId60" Type="http://schemas.openxmlformats.org/officeDocument/2006/relationships/hyperlink" Target="http://www.canlii.org/en/bc/bcca/doc/2014/2014bcca354/2014bcca354.html" TargetMode="External"/><Relationship Id="rId65" Type="http://schemas.openxmlformats.org/officeDocument/2006/relationships/header" Target="header8.xml"/><Relationship Id="rId73" Type="http://schemas.openxmlformats.org/officeDocument/2006/relationships/footer" Target="footer11.xml"/><Relationship Id="rId78" Type="http://schemas.openxmlformats.org/officeDocument/2006/relationships/header" Target="header15.xml"/><Relationship Id="rId81" Type="http://schemas.openxmlformats.org/officeDocument/2006/relationships/header" Target="header16.xml"/><Relationship Id="rId86" Type="http://schemas.openxmlformats.org/officeDocument/2006/relationships/header" Target="header18.xml"/><Relationship Id="rId94" Type="http://schemas.openxmlformats.org/officeDocument/2006/relationships/footer" Target="footer21.xml"/><Relationship Id="rId99" Type="http://schemas.openxmlformats.org/officeDocument/2006/relationships/header" Target="header24.xml"/><Relationship Id="rId101"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en/ab/abqb/doc/2013/2013abqb263/2013abqb263.html" TargetMode="External"/><Relationship Id="rId34" Type="http://schemas.openxmlformats.org/officeDocument/2006/relationships/hyperlink" Target="http://www.canlii.org/en/on/onca/doc/2014/2014onca588/2014onca588.html" TargetMode="External"/><Relationship Id="rId50" Type="http://schemas.openxmlformats.org/officeDocument/2006/relationships/hyperlink" Target="http://www.canlii.org/en/on/onscdc/doc/2014/2014onsc1840/2014onsc1840.html" TargetMode="External"/><Relationship Id="rId55" Type="http://schemas.openxmlformats.org/officeDocument/2006/relationships/hyperlink" Target="http://www.canlii.org/en/nb/nbpc/doc/2013/2013nbpc3/2013nbpc3.html" TargetMode="External"/><Relationship Id="rId76" Type="http://schemas.openxmlformats.org/officeDocument/2006/relationships/footer" Target="footer13.xml"/><Relationship Id="rId97" Type="http://schemas.openxmlformats.org/officeDocument/2006/relationships/header" Target="header23.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F92ED-E76B-4A99-B414-4027F5B0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25402</Words>
  <Characters>144792</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2015-03-02T13:41:00Z</dcterms:created>
  <dcterms:modified xsi:type="dcterms:W3CDTF">2015-11-26T21:54:00Z</dcterms:modified>
</cp:coreProperties>
</file>