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42BC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42BC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2BC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42BC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2BC3" w:rsidTr="002E5576">
        <w:tc>
          <w:tcPr>
            <w:tcW w:w="4518" w:type="dxa"/>
          </w:tcPr>
          <w:p w:rsidR="00BF25F3" w:rsidRPr="002E2327" w:rsidRDefault="000A5A7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A5A7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42BC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42BC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42BC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42BC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50DE3"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13</w:t>
      </w:r>
      <w:r w:rsidR="00440E24" w:rsidRPr="00675479">
        <w:rPr>
          <w:lang w:val="fr-CA"/>
        </w:rPr>
        <w:t>, 201</w:t>
      </w:r>
      <w:r w:rsidR="00020DC3">
        <w:rPr>
          <w:lang w:val="fr-CA"/>
        </w:rPr>
        <w:t>5</w:t>
      </w:r>
      <w:r w:rsidR="00F0068D" w:rsidRPr="00675479">
        <w:rPr>
          <w:lang w:val="fr-CA"/>
        </w:rPr>
        <w:tab/>
      </w:r>
      <w:r>
        <w:rPr>
          <w:lang w:val="fr-CA"/>
        </w:rPr>
        <w:t>452</w:t>
      </w:r>
      <w:r w:rsidR="00F0068D" w:rsidRPr="00675479">
        <w:rPr>
          <w:lang w:val="fr-CA"/>
        </w:rPr>
        <w:t xml:space="preserve"> - </w:t>
      </w:r>
      <w:r w:rsidR="00DB64B8">
        <w:rPr>
          <w:lang w:val="fr-CA"/>
        </w:rPr>
        <w:t>483</w:t>
      </w:r>
      <w:r w:rsidR="00440E24" w:rsidRPr="00675479">
        <w:rPr>
          <w:lang w:val="fr-CA"/>
        </w:rPr>
        <w:tab/>
      </w:r>
      <w:r w:rsidR="00440E24" w:rsidRPr="002E2327">
        <w:rPr>
          <w:lang w:val="fr-CA"/>
        </w:rPr>
        <w:t>Le</w:t>
      </w:r>
      <w:r w:rsidR="00C73D06">
        <w:rPr>
          <w:lang w:val="fr-CA"/>
        </w:rPr>
        <w:t xml:space="preserve"> </w:t>
      </w:r>
      <w:r>
        <w:rPr>
          <w:lang w:val="fr-CA"/>
        </w:rPr>
        <w:t>13</w:t>
      </w:r>
      <w:r w:rsidR="00C73D06">
        <w:rPr>
          <w:lang w:val="fr-CA"/>
        </w:rPr>
        <w:t xml:space="preserve"> </w:t>
      </w:r>
      <w:r>
        <w:rPr>
          <w:lang w:val="fr-CA"/>
        </w:rPr>
        <w:t>m</w:t>
      </w:r>
      <w:r w:rsidR="00440E24" w:rsidRPr="002E2327">
        <w:rPr>
          <w:lang w:val="fr-CA"/>
        </w:rPr>
        <w:t>a</w:t>
      </w:r>
      <w:r w:rsidR="00C73D06">
        <w:rPr>
          <w:lang w:val="fr-CA"/>
        </w:rPr>
        <w:t>r</w:t>
      </w:r>
      <w:r>
        <w:rPr>
          <w:lang w:val="fr-CA"/>
        </w:rPr>
        <w:t>s</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950DE3" w:rsidRDefault="00440E24" w:rsidP="00440E24">
      <w:pPr>
        <w:pBdr>
          <w:bottom w:val="single" w:sz="6" w:space="1" w:color="auto"/>
        </w:pBdr>
        <w:tabs>
          <w:tab w:val="right" w:pos="9360"/>
        </w:tabs>
        <w:rPr>
          <w:sz w:val="18"/>
          <w:szCs w:val="18"/>
          <w:lang w:val="fr-CA"/>
        </w:rPr>
      </w:pPr>
      <w:r w:rsidRPr="00950DE3">
        <w:rPr>
          <w:sz w:val="18"/>
          <w:szCs w:val="18"/>
          <w:lang w:val="fr-CA"/>
        </w:rPr>
        <w:t>© Supreme Court of Canada (201</w:t>
      </w:r>
      <w:r w:rsidR="00020DC3" w:rsidRPr="00950DE3">
        <w:rPr>
          <w:sz w:val="18"/>
          <w:szCs w:val="18"/>
          <w:lang w:val="fr-CA"/>
        </w:rPr>
        <w:t>5</w:t>
      </w:r>
      <w:r w:rsidRPr="00950DE3">
        <w:rPr>
          <w:sz w:val="18"/>
          <w:szCs w:val="18"/>
          <w:lang w:val="fr-CA"/>
        </w:rPr>
        <w:t>)</w:t>
      </w:r>
      <w:r w:rsidRPr="00950DE3">
        <w:rPr>
          <w:sz w:val="18"/>
          <w:szCs w:val="18"/>
          <w:lang w:val="fr-CA"/>
        </w:rPr>
        <w:tab/>
        <w:t>© Cour suprême du Canada (201</w:t>
      </w:r>
      <w:r w:rsidR="00020DC3" w:rsidRPr="00950DE3">
        <w:rPr>
          <w:sz w:val="18"/>
          <w:szCs w:val="18"/>
          <w:lang w:val="fr-CA"/>
        </w:rPr>
        <w:t>5</w:t>
      </w:r>
      <w:r w:rsidRPr="00950DE3">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42BC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9B2DB3">
            <w:pPr>
              <w:tabs>
                <w:tab w:val="right" w:pos="9360"/>
              </w:tabs>
              <w:rPr>
                <w:rFonts w:cs="Times New Roman"/>
                <w:sz w:val="20"/>
                <w:szCs w:val="20"/>
              </w:rPr>
            </w:pPr>
          </w:p>
        </w:tc>
        <w:tc>
          <w:tcPr>
            <w:tcW w:w="1980" w:type="dxa"/>
          </w:tcPr>
          <w:p w:rsidR="0095096B" w:rsidRPr="002E2327" w:rsidRDefault="00950DE3" w:rsidP="0095096B">
            <w:pPr>
              <w:jc w:val="center"/>
              <w:rPr>
                <w:rFonts w:cs="Times New Roman"/>
                <w:sz w:val="20"/>
                <w:szCs w:val="20"/>
              </w:rPr>
            </w:pPr>
            <w:r>
              <w:rPr>
                <w:rFonts w:cs="Times New Roman"/>
                <w:sz w:val="20"/>
                <w:szCs w:val="20"/>
              </w:rPr>
              <w:t xml:space="preserve">452 </w:t>
            </w:r>
            <w:r w:rsidR="000A5A7E" w:rsidRPr="002E2327">
              <w:rPr>
                <w:rFonts w:cs="Times New Roman"/>
                <w:sz w:val="20"/>
                <w:szCs w:val="20"/>
              </w:rPr>
              <w:fldChar w:fldCharType="begin"/>
            </w:r>
            <w:r w:rsidR="0095096B" w:rsidRPr="002E2327">
              <w:rPr>
                <w:rFonts w:cs="Times New Roman"/>
                <w:sz w:val="20"/>
                <w:szCs w:val="20"/>
              </w:rPr>
              <w:instrText xml:space="preserve"> SEQ CHAPTER \h \r 1</w:instrText>
            </w:r>
            <w:r w:rsidR="000A5A7E" w:rsidRPr="002E2327">
              <w:rPr>
                <w:rFonts w:cs="Times New Roman"/>
                <w:sz w:val="20"/>
                <w:szCs w:val="20"/>
              </w:rPr>
              <w:fldChar w:fldCharType="end"/>
            </w:r>
            <w:r w:rsidR="0095096B" w:rsidRPr="002E2327">
              <w:rPr>
                <w:rFonts w:cs="Times New Roman"/>
                <w:sz w:val="20"/>
                <w:szCs w:val="20"/>
              </w:rPr>
              <w:t>-</w:t>
            </w:r>
            <w:r w:rsidR="009B2DB3">
              <w:rPr>
                <w:rFonts w:cs="Times New Roman"/>
                <w:sz w:val="20"/>
                <w:szCs w:val="20"/>
              </w:rPr>
              <w:t xml:space="preserve"> 453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B2DB3" w:rsidP="0095096B">
            <w:pPr>
              <w:jc w:val="center"/>
              <w:rPr>
                <w:rFonts w:cs="Times New Roman"/>
                <w:sz w:val="20"/>
                <w:szCs w:val="20"/>
              </w:rPr>
            </w:pPr>
            <w:r>
              <w:rPr>
                <w:rFonts w:cs="Times New Roman"/>
                <w:sz w:val="20"/>
                <w:szCs w:val="20"/>
              </w:rPr>
              <w:t>454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B2DB3" w:rsidP="0095096B">
            <w:pPr>
              <w:jc w:val="center"/>
              <w:rPr>
                <w:rFonts w:cs="Times New Roman"/>
                <w:sz w:val="20"/>
                <w:szCs w:val="20"/>
              </w:rPr>
            </w:pPr>
            <w:r>
              <w:rPr>
                <w:rFonts w:cs="Times New Roman"/>
                <w:sz w:val="20"/>
                <w:szCs w:val="20"/>
              </w:rPr>
              <w:t xml:space="preserve">455 </w:t>
            </w:r>
            <w:r w:rsidR="0095096B" w:rsidRPr="002E2327">
              <w:rPr>
                <w:rFonts w:cs="Times New Roman"/>
                <w:sz w:val="20"/>
                <w:szCs w:val="20"/>
              </w:rPr>
              <w:t>-</w:t>
            </w:r>
            <w:r w:rsidR="002025C1">
              <w:rPr>
                <w:rFonts w:cs="Times New Roman"/>
                <w:sz w:val="20"/>
                <w:szCs w:val="20"/>
              </w:rPr>
              <w:t xml:space="preserve"> 474</w:t>
            </w:r>
          </w:p>
          <w:p w:rsidR="0095096B" w:rsidRDefault="0095096B" w:rsidP="0095096B">
            <w:pPr>
              <w:jc w:val="center"/>
              <w:rPr>
                <w:rFonts w:cs="Times New Roman"/>
                <w:sz w:val="20"/>
                <w:szCs w:val="20"/>
              </w:rPr>
            </w:pPr>
          </w:p>
          <w:p w:rsidR="005520F2" w:rsidRPr="002E2327" w:rsidRDefault="005520F2" w:rsidP="0095096B">
            <w:pPr>
              <w:jc w:val="center"/>
              <w:rPr>
                <w:rFonts w:cs="Times New Roman"/>
                <w:sz w:val="20"/>
                <w:szCs w:val="20"/>
              </w:rPr>
            </w:pPr>
          </w:p>
          <w:p w:rsidR="0095096B" w:rsidRPr="002E2327" w:rsidRDefault="002025C1" w:rsidP="0095096B">
            <w:pPr>
              <w:jc w:val="center"/>
              <w:rPr>
                <w:rFonts w:cs="Times New Roman"/>
                <w:sz w:val="20"/>
                <w:szCs w:val="20"/>
              </w:rPr>
            </w:pPr>
            <w:r>
              <w:rPr>
                <w:rFonts w:cs="Times New Roman"/>
                <w:sz w:val="20"/>
                <w:szCs w:val="20"/>
              </w:rPr>
              <w:t xml:space="preserve">475 </w:t>
            </w:r>
            <w:r w:rsidR="0095096B" w:rsidRPr="002E2327">
              <w:rPr>
                <w:rFonts w:cs="Times New Roman"/>
                <w:sz w:val="20"/>
                <w:szCs w:val="20"/>
              </w:rPr>
              <w:t>-</w:t>
            </w:r>
            <w:r w:rsidR="00055CDF">
              <w:rPr>
                <w:rFonts w:cs="Times New Roman"/>
                <w:sz w:val="20"/>
                <w:szCs w:val="20"/>
              </w:rPr>
              <w:t xml:space="preserve"> 477</w:t>
            </w:r>
          </w:p>
          <w:p w:rsidR="0095096B" w:rsidRPr="002E2327" w:rsidRDefault="0095096B" w:rsidP="0095096B">
            <w:pPr>
              <w:jc w:val="center"/>
              <w:rPr>
                <w:rFonts w:cs="Times New Roman"/>
                <w:sz w:val="20"/>
                <w:szCs w:val="20"/>
              </w:rPr>
            </w:pPr>
          </w:p>
          <w:p w:rsidR="0095096B" w:rsidRPr="002E2327" w:rsidRDefault="00055CDF" w:rsidP="0095096B">
            <w:pPr>
              <w:jc w:val="center"/>
              <w:rPr>
                <w:rFonts w:cs="Times New Roman"/>
                <w:sz w:val="20"/>
                <w:szCs w:val="20"/>
              </w:rPr>
            </w:pPr>
            <w:r>
              <w:rPr>
                <w:rFonts w:cs="Times New Roman"/>
                <w:sz w:val="20"/>
                <w:szCs w:val="20"/>
              </w:rPr>
              <w:t>478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55CDF" w:rsidP="0095096B">
            <w:pPr>
              <w:jc w:val="center"/>
              <w:rPr>
                <w:rFonts w:cs="Times New Roman"/>
                <w:sz w:val="20"/>
                <w:szCs w:val="20"/>
              </w:rPr>
            </w:pPr>
            <w:r>
              <w:rPr>
                <w:rFonts w:cs="Times New Roman"/>
                <w:sz w:val="20"/>
                <w:szCs w:val="20"/>
              </w:rPr>
              <w:t xml:space="preserve">479 </w:t>
            </w:r>
            <w:r w:rsidR="0095096B" w:rsidRPr="002E2327">
              <w:rPr>
                <w:rFonts w:cs="Times New Roman"/>
                <w:sz w:val="20"/>
                <w:szCs w:val="20"/>
              </w:rPr>
              <w:t>-</w:t>
            </w:r>
            <w:r>
              <w:rPr>
                <w:rFonts w:cs="Times New Roman"/>
                <w:sz w:val="20"/>
                <w:szCs w:val="20"/>
              </w:rPr>
              <w:t xml:space="preserve"> 482</w:t>
            </w:r>
          </w:p>
          <w:p w:rsidR="0095096B" w:rsidRPr="002E2327" w:rsidRDefault="0095096B" w:rsidP="0095096B">
            <w:pPr>
              <w:jc w:val="center"/>
              <w:rPr>
                <w:rFonts w:cs="Times New Roman"/>
                <w:sz w:val="20"/>
                <w:szCs w:val="20"/>
              </w:rPr>
            </w:pPr>
          </w:p>
          <w:p w:rsidR="0095096B" w:rsidRPr="002E2327" w:rsidRDefault="00055CDF" w:rsidP="0095096B">
            <w:pPr>
              <w:jc w:val="center"/>
              <w:rPr>
                <w:rFonts w:cs="Times New Roman"/>
                <w:sz w:val="20"/>
                <w:szCs w:val="20"/>
              </w:rPr>
            </w:pPr>
            <w:r>
              <w:rPr>
                <w:rFonts w:cs="Times New Roman"/>
                <w:sz w:val="20"/>
                <w:szCs w:val="20"/>
              </w:rPr>
              <w:t>483</w:t>
            </w:r>
          </w:p>
          <w:p w:rsidR="00A87207" w:rsidRPr="002E2327" w:rsidRDefault="00A87207" w:rsidP="002025C1">
            <w:pPr>
              <w:jc w:val="center"/>
              <w:rPr>
                <w:rFonts w:cs="Times New Roman"/>
                <w:sz w:val="20"/>
                <w:szCs w:val="20"/>
              </w:rPr>
            </w:pPr>
          </w:p>
        </w:tc>
        <w:tc>
          <w:tcPr>
            <w:tcW w:w="3888" w:type="dxa"/>
          </w:tcPr>
          <w:p w:rsidR="0095096B" w:rsidRPr="002E2327" w:rsidRDefault="000A5A7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9B2DB3">
            <w:pPr>
              <w:tabs>
                <w:tab w:val="right" w:pos="9360"/>
              </w:tabs>
              <w:rPr>
                <w:rFonts w:cs="Times New Roman"/>
                <w:sz w:val="20"/>
                <w:szCs w:val="20"/>
                <w:lang w:val="fr-CA"/>
              </w:rPr>
            </w:pPr>
          </w:p>
        </w:tc>
      </w:tr>
    </w:tbl>
    <w:p w:rsidR="0095096B" w:rsidRPr="00845723" w:rsidRDefault="0095096B" w:rsidP="0095096B">
      <w:pPr>
        <w:tabs>
          <w:tab w:val="right" w:pos="9360"/>
        </w:tabs>
        <w:rPr>
          <w:sz w:val="20"/>
          <w:szCs w:val="20"/>
          <w:lang w:val="fr-CA"/>
        </w:rPr>
      </w:pPr>
    </w:p>
    <w:p w:rsidR="009B2DB3" w:rsidRPr="00845723" w:rsidRDefault="009B2DB3" w:rsidP="0095096B">
      <w:pPr>
        <w:tabs>
          <w:tab w:val="right" w:pos="9360"/>
        </w:tabs>
        <w:rPr>
          <w:sz w:val="20"/>
          <w:szCs w:val="20"/>
          <w:lang w:val="fr-CA"/>
        </w:rPr>
      </w:pPr>
    </w:p>
    <w:p w:rsidR="00845723" w:rsidRPr="00845723" w:rsidRDefault="00845723" w:rsidP="0095096B">
      <w:pPr>
        <w:tabs>
          <w:tab w:val="right" w:pos="9360"/>
        </w:tabs>
        <w:rPr>
          <w:sz w:val="20"/>
          <w:szCs w:val="20"/>
          <w:lang w:val="fr-CA"/>
        </w:rPr>
      </w:pPr>
    </w:p>
    <w:p w:rsidR="009B2DB3" w:rsidRPr="00845723" w:rsidRDefault="009B2DB3" w:rsidP="0095096B">
      <w:pPr>
        <w:tabs>
          <w:tab w:val="right" w:pos="9360"/>
        </w:tabs>
        <w:rPr>
          <w:sz w:val="20"/>
          <w:szCs w:val="20"/>
          <w:lang w:val="fr-CA"/>
        </w:rPr>
      </w:pPr>
    </w:p>
    <w:p w:rsidR="009B2DB3" w:rsidRPr="00845723" w:rsidRDefault="009B2DB3" w:rsidP="0095096B">
      <w:pPr>
        <w:tabs>
          <w:tab w:val="right" w:pos="9360"/>
        </w:tabs>
        <w:rPr>
          <w:sz w:val="20"/>
          <w:szCs w:val="20"/>
          <w:lang w:val="fr-CA"/>
        </w:rPr>
      </w:pPr>
    </w:p>
    <w:p w:rsidR="009B2DB3" w:rsidRPr="00845723" w:rsidRDefault="009B2DB3"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742BC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726F6" w:rsidRPr="00A935AA" w:rsidTr="003B3977">
        <w:trPr>
          <w:cantSplit/>
        </w:trPr>
        <w:tc>
          <w:tcPr>
            <w:tcW w:w="4320" w:type="dxa"/>
            <w:shd w:val="clear" w:color="auto" w:fill="auto"/>
          </w:tcPr>
          <w:p w:rsidR="00D726F6" w:rsidRPr="00A935AA" w:rsidRDefault="00D726F6" w:rsidP="005F1ED8">
            <w:pPr>
              <w:rPr>
                <w:b/>
                <w:sz w:val="20"/>
                <w:szCs w:val="20"/>
              </w:rPr>
            </w:pPr>
            <w:r>
              <w:rPr>
                <w:b/>
                <w:sz w:val="20"/>
                <w:szCs w:val="20"/>
              </w:rPr>
              <w:t>Guimei Jing</w:t>
            </w:r>
          </w:p>
          <w:p w:rsidR="00D726F6" w:rsidRPr="00A935AA" w:rsidRDefault="00D726F6" w:rsidP="005F1ED8">
            <w:pPr>
              <w:tabs>
                <w:tab w:val="left" w:pos="-1440"/>
                <w:tab w:val="left" w:pos="-720"/>
              </w:tabs>
              <w:rPr>
                <w:sz w:val="20"/>
                <w:szCs w:val="20"/>
              </w:rPr>
            </w:pPr>
            <w:r w:rsidRPr="00A935AA">
              <w:rPr>
                <w:sz w:val="20"/>
                <w:szCs w:val="20"/>
              </w:rPr>
              <w:tab/>
            </w:r>
            <w:r>
              <w:rPr>
                <w:sz w:val="20"/>
                <w:szCs w:val="20"/>
              </w:rPr>
              <w:t>Guimei Jing</w:t>
            </w:r>
          </w:p>
          <w:p w:rsidR="00D726F6" w:rsidRPr="00A935AA" w:rsidRDefault="00D726F6" w:rsidP="005F1ED8">
            <w:pPr>
              <w:tabs>
                <w:tab w:val="left" w:pos="-1440"/>
                <w:tab w:val="left" w:pos="-720"/>
              </w:tabs>
              <w:rPr>
                <w:sz w:val="20"/>
                <w:szCs w:val="20"/>
              </w:rPr>
            </w:pPr>
          </w:p>
          <w:p w:rsidR="00D726F6" w:rsidRPr="00A935AA" w:rsidRDefault="00D726F6" w:rsidP="005F1ED8">
            <w:pPr>
              <w:tabs>
                <w:tab w:val="left" w:pos="-1440"/>
                <w:tab w:val="left" w:pos="-720"/>
              </w:tabs>
              <w:rPr>
                <w:sz w:val="20"/>
                <w:szCs w:val="20"/>
              </w:rPr>
            </w:pPr>
            <w:r w:rsidRPr="00A935AA">
              <w:rPr>
                <w:sz w:val="20"/>
                <w:szCs w:val="20"/>
              </w:rPr>
              <w:tab/>
              <w:t>v. (3</w:t>
            </w:r>
            <w:r>
              <w:rPr>
                <w:sz w:val="20"/>
                <w:szCs w:val="20"/>
              </w:rPr>
              <w:t>6213</w:t>
            </w:r>
            <w:r w:rsidRPr="00A935AA">
              <w:rPr>
                <w:sz w:val="20"/>
                <w:szCs w:val="20"/>
              </w:rPr>
              <w:t>)</w:t>
            </w:r>
          </w:p>
          <w:p w:rsidR="00D726F6" w:rsidRPr="00A935AA" w:rsidRDefault="00D726F6" w:rsidP="005F1ED8">
            <w:pPr>
              <w:tabs>
                <w:tab w:val="left" w:pos="-1440"/>
                <w:tab w:val="left" w:pos="-720"/>
              </w:tabs>
              <w:rPr>
                <w:sz w:val="20"/>
                <w:szCs w:val="20"/>
              </w:rPr>
            </w:pPr>
          </w:p>
          <w:p w:rsidR="00D726F6" w:rsidRPr="00A935AA" w:rsidRDefault="00D726F6" w:rsidP="005F1ED8">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D726F6" w:rsidRPr="00A935AA" w:rsidRDefault="00D726F6" w:rsidP="005F1ED8">
            <w:pPr>
              <w:tabs>
                <w:tab w:val="left" w:pos="-1440"/>
                <w:tab w:val="left" w:pos="-720"/>
              </w:tabs>
              <w:rPr>
                <w:sz w:val="20"/>
                <w:szCs w:val="20"/>
              </w:rPr>
            </w:pPr>
            <w:r w:rsidRPr="00A935AA">
              <w:rPr>
                <w:sz w:val="20"/>
                <w:szCs w:val="20"/>
              </w:rPr>
              <w:tab/>
            </w:r>
            <w:r>
              <w:rPr>
                <w:sz w:val="20"/>
                <w:szCs w:val="20"/>
              </w:rPr>
              <w:t>Martin Anderson</w:t>
            </w:r>
          </w:p>
          <w:p w:rsidR="00D726F6" w:rsidRPr="00A935AA" w:rsidRDefault="00D726F6" w:rsidP="005F1ED8">
            <w:pPr>
              <w:tabs>
                <w:tab w:val="left" w:pos="-1440"/>
                <w:tab w:val="left" w:pos="-720"/>
              </w:tabs>
              <w:rPr>
                <w:sz w:val="20"/>
                <w:szCs w:val="20"/>
              </w:rPr>
            </w:pPr>
            <w:r w:rsidRPr="00A935AA">
              <w:rPr>
                <w:sz w:val="20"/>
                <w:szCs w:val="20"/>
              </w:rPr>
              <w:tab/>
            </w:r>
            <w:r>
              <w:rPr>
                <w:sz w:val="20"/>
                <w:szCs w:val="20"/>
              </w:rPr>
              <w:t>A.G. of Canada</w:t>
            </w:r>
          </w:p>
          <w:p w:rsidR="00D726F6" w:rsidRPr="00A935AA" w:rsidRDefault="00D726F6" w:rsidP="005F1ED8">
            <w:pPr>
              <w:tabs>
                <w:tab w:val="left" w:pos="-1440"/>
                <w:tab w:val="left" w:pos="-720"/>
              </w:tabs>
              <w:rPr>
                <w:sz w:val="20"/>
                <w:szCs w:val="20"/>
              </w:rPr>
            </w:pPr>
          </w:p>
          <w:p w:rsidR="00D726F6" w:rsidRPr="00A935AA" w:rsidRDefault="00D726F6" w:rsidP="00CF534B">
            <w:pPr>
              <w:rPr>
                <w:sz w:val="20"/>
                <w:szCs w:val="20"/>
              </w:rPr>
            </w:pPr>
            <w:r>
              <w:rPr>
                <w:sz w:val="20"/>
                <w:szCs w:val="20"/>
              </w:rPr>
              <w:t>and between</w:t>
            </w:r>
          </w:p>
        </w:tc>
        <w:tc>
          <w:tcPr>
            <w:tcW w:w="1181" w:type="dxa"/>
            <w:shd w:val="clear" w:color="auto" w:fill="auto"/>
          </w:tcPr>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tc>
        <w:tc>
          <w:tcPr>
            <w:tcW w:w="4320" w:type="dxa"/>
            <w:shd w:val="clear" w:color="auto" w:fill="auto"/>
          </w:tcPr>
          <w:p w:rsidR="00D726F6" w:rsidRPr="00E12D69" w:rsidRDefault="00D726F6" w:rsidP="00D726F6">
            <w:pPr>
              <w:rPr>
                <w:b/>
                <w:sz w:val="20"/>
                <w:szCs w:val="20"/>
                <w:lang w:val="fr-CA"/>
              </w:rPr>
            </w:pPr>
            <w:r>
              <w:rPr>
                <w:b/>
                <w:sz w:val="20"/>
                <w:szCs w:val="20"/>
                <w:lang w:val="fr-CA"/>
              </w:rPr>
              <w:t>Y</w:t>
            </w:r>
            <w:r w:rsidRPr="00E12D69">
              <w:rPr>
                <w:b/>
                <w:sz w:val="20"/>
                <w:szCs w:val="20"/>
                <w:lang w:val="fr-CA"/>
              </w:rPr>
              <w:t>ang</w:t>
            </w:r>
            <w:r>
              <w:rPr>
                <w:b/>
                <w:sz w:val="20"/>
                <w:szCs w:val="20"/>
                <w:lang w:val="fr-CA"/>
              </w:rPr>
              <w:t>chun Yang</w:t>
            </w:r>
          </w:p>
          <w:p w:rsidR="00D726F6" w:rsidRPr="00E12D69" w:rsidRDefault="00D726F6" w:rsidP="00D726F6">
            <w:pPr>
              <w:tabs>
                <w:tab w:val="left" w:pos="-1440"/>
                <w:tab w:val="left" w:pos="-720"/>
              </w:tabs>
              <w:rPr>
                <w:sz w:val="20"/>
                <w:szCs w:val="20"/>
                <w:lang w:val="fr-CA"/>
              </w:rPr>
            </w:pPr>
            <w:r w:rsidRPr="00E12D69">
              <w:rPr>
                <w:sz w:val="20"/>
                <w:szCs w:val="20"/>
                <w:lang w:val="fr-CA"/>
              </w:rPr>
              <w:tab/>
            </w:r>
            <w:r>
              <w:rPr>
                <w:sz w:val="20"/>
                <w:szCs w:val="20"/>
                <w:lang w:val="fr-CA"/>
              </w:rPr>
              <w:t>Yangchun</w:t>
            </w:r>
            <w:r w:rsidRPr="00E12D69">
              <w:rPr>
                <w:sz w:val="20"/>
                <w:szCs w:val="20"/>
                <w:lang w:val="fr-CA"/>
              </w:rPr>
              <w:t xml:space="preserve"> </w:t>
            </w:r>
            <w:r>
              <w:rPr>
                <w:sz w:val="20"/>
                <w:szCs w:val="20"/>
                <w:lang w:val="fr-CA"/>
              </w:rPr>
              <w:t>Y</w:t>
            </w:r>
            <w:r w:rsidRPr="00E12D69">
              <w:rPr>
                <w:sz w:val="20"/>
                <w:szCs w:val="20"/>
                <w:lang w:val="fr-CA"/>
              </w:rPr>
              <w:t>ang</w:t>
            </w:r>
          </w:p>
          <w:p w:rsidR="00D726F6" w:rsidRPr="00E12D69" w:rsidRDefault="00D726F6" w:rsidP="00D726F6">
            <w:pPr>
              <w:tabs>
                <w:tab w:val="left" w:pos="-1440"/>
                <w:tab w:val="left" w:pos="-720"/>
              </w:tabs>
              <w:rPr>
                <w:sz w:val="20"/>
                <w:szCs w:val="20"/>
                <w:lang w:val="fr-CA"/>
              </w:rPr>
            </w:pPr>
          </w:p>
          <w:p w:rsidR="00D726F6" w:rsidRPr="00E12D69" w:rsidRDefault="00D726F6" w:rsidP="00D726F6">
            <w:pPr>
              <w:tabs>
                <w:tab w:val="left" w:pos="-1440"/>
                <w:tab w:val="left" w:pos="-720"/>
              </w:tabs>
              <w:rPr>
                <w:sz w:val="20"/>
                <w:szCs w:val="20"/>
                <w:lang w:val="fr-CA"/>
              </w:rPr>
            </w:pPr>
            <w:r w:rsidRPr="00E12D69">
              <w:rPr>
                <w:sz w:val="20"/>
                <w:szCs w:val="20"/>
                <w:lang w:val="fr-CA"/>
              </w:rPr>
              <w:tab/>
              <w:t>v. (36213)</w:t>
            </w:r>
          </w:p>
          <w:p w:rsidR="00D726F6" w:rsidRPr="00E12D69" w:rsidRDefault="00D726F6" w:rsidP="00D726F6">
            <w:pPr>
              <w:tabs>
                <w:tab w:val="left" w:pos="-1440"/>
                <w:tab w:val="left" w:pos="-720"/>
              </w:tabs>
              <w:rPr>
                <w:sz w:val="20"/>
                <w:szCs w:val="20"/>
                <w:lang w:val="fr-CA"/>
              </w:rPr>
            </w:pPr>
          </w:p>
          <w:p w:rsidR="00D726F6" w:rsidRPr="00A935AA" w:rsidRDefault="00D726F6" w:rsidP="00D726F6">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Martin Anderson</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A.G. of Canada</w:t>
            </w:r>
          </w:p>
          <w:p w:rsidR="00D726F6" w:rsidRPr="00A935AA" w:rsidRDefault="00D726F6" w:rsidP="00D726F6">
            <w:pPr>
              <w:tabs>
                <w:tab w:val="left" w:pos="-1440"/>
                <w:tab w:val="left" w:pos="-720"/>
              </w:tabs>
              <w:rPr>
                <w:sz w:val="20"/>
                <w:szCs w:val="20"/>
              </w:rPr>
            </w:pPr>
          </w:p>
          <w:p w:rsidR="00D726F6" w:rsidRDefault="00D726F6" w:rsidP="00D726F6">
            <w:pPr>
              <w:rPr>
                <w:b/>
                <w:sz w:val="20"/>
                <w:szCs w:val="20"/>
              </w:rPr>
            </w:pPr>
            <w:r>
              <w:rPr>
                <w:sz w:val="20"/>
                <w:szCs w:val="20"/>
              </w:rPr>
              <w:t>and between</w:t>
            </w:r>
          </w:p>
        </w:tc>
      </w:tr>
      <w:tr w:rsidR="00D726F6" w:rsidRPr="00A935AA" w:rsidTr="003B3977">
        <w:trPr>
          <w:cantSplit/>
        </w:trPr>
        <w:tc>
          <w:tcPr>
            <w:tcW w:w="4320" w:type="dxa"/>
            <w:shd w:val="clear" w:color="auto" w:fill="auto"/>
          </w:tcPr>
          <w:p w:rsidR="00D726F6" w:rsidRPr="00A935AA" w:rsidRDefault="00D726F6" w:rsidP="005F1ED8">
            <w:pPr>
              <w:rPr>
                <w:b/>
                <w:sz w:val="20"/>
                <w:szCs w:val="20"/>
              </w:rPr>
            </w:pPr>
            <w:r>
              <w:rPr>
                <w:b/>
                <w:sz w:val="20"/>
                <w:szCs w:val="20"/>
              </w:rPr>
              <w:t>Ping Guo</w:t>
            </w:r>
          </w:p>
          <w:p w:rsidR="00D726F6" w:rsidRPr="00A935AA" w:rsidRDefault="00D726F6" w:rsidP="005F1ED8">
            <w:pPr>
              <w:tabs>
                <w:tab w:val="left" w:pos="-1440"/>
                <w:tab w:val="left" w:pos="-720"/>
              </w:tabs>
              <w:rPr>
                <w:sz w:val="20"/>
                <w:szCs w:val="20"/>
              </w:rPr>
            </w:pPr>
            <w:r w:rsidRPr="00A935AA">
              <w:rPr>
                <w:sz w:val="20"/>
                <w:szCs w:val="20"/>
              </w:rPr>
              <w:tab/>
            </w:r>
            <w:r>
              <w:rPr>
                <w:sz w:val="20"/>
                <w:szCs w:val="20"/>
              </w:rPr>
              <w:t>Ping Guo</w:t>
            </w:r>
          </w:p>
          <w:p w:rsidR="00D726F6" w:rsidRPr="00A935AA" w:rsidRDefault="00D726F6" w:rsidP="005F1ED8">
            <w:pPr>
              <w:tabs>
                <w:tab w:val="left" w:pos="-1440"/>
                <w:tab w:val="left" w:pos="-720"/>
              </w:tabs>
              <w:rPr>
                <w:sz w:val="20"/>
                <w:szCs w:val="20"/>
              </w:rPr>
            </w:pPr>
          </w:p>
          <w:p w:rsidR="00D726F6" w:rsidRPr="00A935AA" w:rsidRDefault="00D726F6" w:rsidP="005F1ED8">
            <w:pPr>
              <w:tabs>
                <w:tab w:val="left" w:pos="-1440"/>
                <w:tab w:val="left" w:pos="-720"/>
              </w:tabs>
              <w:rPr>
                <w:sz w:val="20"/>
                <w:szCs w:val="20"/>
              </w:rPr>
            </w:pPr>
            <w:r w:rsidRPr="00A935AA">
              <w:rPr>
                <w:sz w:val="20"/>
                <w:szCs w:val="20"/>
              </w:rPr>
              <w:tab/>
              <w:t>v. (3</w:t>
            </w:r>
            <w:r>
              <w:rPr>
                <w:sz w:val="20"/>
                <w:szCs w:val="20"/>
              </w:rPr>
              <w:t>6213</w:t>
            </w:r>
            <w:r w:rsidRPr="00A935AA">
              <w:rPr>
                <w:sz w:val="20"/>
                <w:szCs w:val="20"/>
              </w:rPr>
              <w:t>)</w:t>
            </w:r>
          </w:p>
          <w:p w:rsidR="00D726F6" w:rsidRPr="00A935AA" w:rsidRDefault="00D726F6" w:rsidP="005F1ED8">
            <w:pPr>
              <w:tabs>
                <w:tab w:val="left" w:pos="-1440"/>
                <w:tab w:val="left" w:pos="-720"/>
              </w:tabs>
              <w:rPr>
                <w:sz w:val="20"/>
                <w:szCs w:val="20"/>
              </w:rPr>
            </w:pPr>
          </w:p>
          <w:p w:rsidR="00D726F6" w:rsidRPr="00A935AA" w:rsidRDefault="00D726F6" w:rsidP="00E12D69">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D726F6" w:rsidRPr="00A935AA" w:rsidRDefault="00D726F6" w:rsidP="00E12D69">
            <w:pPr>
              <w:tabs>
                <w:tab w:val="left" w:pos="-1440"/>
                <w:tab w:val="left" w:pos="-720"/>
              </w:tabs>
              <w:rPr>
                <w:sz w:val="20"/>
                <w:szCs w:val="20"/>
              </w:rPr>
            </w:pPr>
            <w:r w:rsidRPr="00A935AA">
              <w:rPr>
                <w:sz w:val="20"/>
                <w:szCs w:val="20"/>
              </w:rPr>
              <w:tab/>
            </w:r>
            <w:r>
              <w:rPr>
                <w:sz w:val="20"/>
                <w:szCs w:val="20"/>
              </w:rPr>
              <w:t>Martin Anderson</w:t>
            </w:r>
          </w:p>
          <w:p w:rsidR="00D726F6" w:rsidRPr="00A935AA" w:rsidRDefault="00D726F6" w:rsidP="00E12D69">
            <w:pPr>
              <w:tabs>
                <w:tab w:val="left" w:pos="-1440"/>
                <w:tab w:val="left" w:pos="-720"/>
              </w:tabs>
              <w:rPr>
                <w:sz w:val="20"/>
                <w:szCs w:val="20"/>
              </w:rPr>
            </w:pPr>
            <w:r w:rsidRPr="00A935AA">
              <w:rPr>
                <w:sz w:val="20"/>
                <w:szCs w:val="20"/>
              </w:rPr>
              <w:tab/>
            </w:r>
            <w:r>
              <w:rPr>
                <w:sz w:val="20"/>
                <w:szCs w:val="20"/>
              </w:rPr>
              <w:t>A.G. of Canada</w:t>
            </w:r>
          </w:p>
          <w:p w:rsidR="00D726F6" w:rsidRPr="00A935AA" w:rsidRDefault="00D726F6" w:rsidP="005F1ED8">
            <w:pPr>
              <w:tabs>
                <w:tab w:val="left" w:pos="-1440"/>
                <w:tab w:val="left" w:pos="-720"/>
              </w:tabs>
              <w:rPr>
                <w:sz w:val="20"/>
                <w:szCs w:val="20"/>
              </w:rPr>
            </w:pPr>
          </w:p>
          <w:p w:rsidR="00D726F6" w:rsidRPr="00A935AA" w:rsidRDefault="00D726F6" w:rsidP="00BE42DA">
            <w:pPr>
              <w:rPr>
                <w:sz w:val="20"/>
                <w:szCs w:val="20"/>
              </w:rPr>
            </w:pPr>
            <w:r>
              <w:rPr>
                <w:sz w:val="20"/>
                <w:szCs w:val="20"/>
              </w:rPr>
              <w:t>and between</w:t>
            </w:r>
          </w:p>
        </w:tc>
        <w:tc>
          <w:tcPr>
            <w:tcW w:w="1181" w:type="dxa"/>
            <w:shd w:val="clear" w:color="auto" w:fill="auto"/>
          </w:tcPr>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p w:rsidR="00D726F6" w:rsidRPr="00A935AA" w:rsidRDefault="00D726F6" w:rsidP="00242AEE">
            <w:pPr>
              <w:jc w:val="center"/>
              <w:rPr>
                <w:sz w:val="20"/>
                <w:szCs w:val="20"/>
              </w:rPr>
            </w:pPr>
          </w:p>
        </w:tc>
        <w:tc>
          <w:tcPr>
            <w:tcW w:w="4320" w:type="dxa"/>
            <w:shd w:val="clear" w:color="auto" w:fill="auto"/>
          </w:tcPr>
          <w:p w:rsidR="00D726F6" w:rsidRPr="00A935AA" w:rsidRDefault="00D726F6" w:rsidP="00D726F6">
            <w:pPr>
              <w:rPr>
                <w:b/>
                <w:sz w:val="20"/>
                <w:szCs w:val="20"/>
              </w:rPr>
            </w:pPr>
            <w:r>
              <w:rPr>
                <w:b/>
                <w:sz w:val="20"/>
                <w:szCs w:val="20"/>
              </w:rPr>
              <w:t>Rami Ahmed Fathalla Moustafa</w:t>
            </w:r>
          </w:p>
          <w:p w:rsidR="00D726F6" w:rsidRPr="00FA404A" w:rsidRDefault="00D726F6" w:rsidP="00D726F6">
            <w:pPr>
              <w:rPr>
                <w:sz w:val="20"/>
                <w:szCs w:val="20"/>
              </w:rPr>
            </w:pPr>
            <w:r w:rsidRPr="00A935AA">
              <w:rPr>
                <w:sz w:val="20"/>
                <w:szCs w:val="20"/>
              </w:rPr>
              <w:tab/>
            </w:r>
            <w:r w:rsidRPr="00FA404A">
              <w:rPr>
                <w:sz w:val="20"/>
                <w:szCs w:val="20"/>
              </w:rPr>
              <w:t>Rami Ahmed Fathalla Moustafa</w:t>
            </w:r>
          </w:p>
          <w:p w:rsidR="00D726F6" w:rsidRPr="00A935AA" w:rsidRDefault="00D726F6" w:rsidP="00D726F6">
            <w:pPr>
              <w:tabs>
                <w:tab w:val="left" w:pos="-1440"/>
                <w:tab w:val="left" w:pos="-720"/>
              </w:tabs>
              <w:rPr>
                <w:sz w:val="20"/>
                <w:szCs w:val="20"/>
              </w:rPr>
            </w:pPr>
          </w:p>
          <w:p w:rsidR="00D726F6" w:rsidRPr="00A935AA" w:rsidRDefault="00D726F6" w:rsidP="00D726F6">
            <w:pPr>
              <w:tabs>
                <w:tab w:val="left" w:pos="-1440"/>
                <w:tab w:val="left" w:pos="-720"/>
              </w:tabs>
              <w:rPr>
                <w:sz w:val="20"/>
                <w:szCs w:val="20"/>
              </w:rPr>
            </w:pPr>
            <w:r w:rsidRPr="00A935AA">
              <w:rPr>
                <w:sz w:val="20"/>
                <w:szCs w:val="20"/>
              </w:rPr>
              <w:tab/>
              <w:t>v. (3</w:t>
            </w:r>
            <w:r>
              <w:rPr>
                <w:sz w:val="20"/>
                <w:szCs w:val="20"/>
              </w:rPr>
              <w:t>6213</w:t>
            </w:r>
            <w:r w:rsidRPr="00A935AA">
              <w:rPr>
                <w:sz w:val="20"/>
                <w:szCs w:val="20"/>
              </w:rPr>
              <w:t>)</w:t>
            </w:r>
          </w:p>
          <w:p w:rsidR="00D726F6" w:rsidRPr="00A935AA" w:rsidRDefault="00D726F6" w:rsidP="00D726F6">
            <w:pPr>
              <w:tabs>
                <w:tab w:val="left" w:pos="-1440"/>
                <w:tab w:val="left" w:pos="-720"/>
              </w:tabs>
              <w:rPr>
                <w:sz w:val="20"/>
                <w:szCs w:val="20"/>
              </w:rPr>
            </w:pPr>
          </w:p>
          <w:p w:rsidR="00D726F6" w:rsidRPr="00A935AA" w:rsidRDefault="00D726F6" w:rsidP="00D726F6">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Martin Anderson</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A.G. of Canada</w:t>
            </w:r>
          </w:p>
          <w:p w:rsidR="00D726F6" w:rsidRPr="00A935AA" w:rsidRDefault="00D726F6" w:rsidP="00D726F6">
            <w:pPr>
              <w:tabs>
                <w:tab w:val="left" w:pos="-1440"/>
                <w:tab w:val="left" w:pos="-720"/>
              </w:tabs>
              <w:rPr>
                <w:sz w:val="20"/>
                <w:szCs w:val="20"/>
              </w:rPr>
            </w:pPr>
          </w:p>
          <w:p w:rsidR="00D726F6" w:rsidRPr="00A935AA" w:rsidRDefault="00D726F6" w:rsidP="00D726F6">
            <w:pPr>
              <w:rPr>
                <w:sz w:val="20"/>
                <w:szCs w:val="20"/>
              </w:rPr>
            </w:pPr>
            <w:r>
              <w:rPr>
                <w:sz w:val="20"/>
                <w:szCs w:val="20"/>
              </w:rPr>
              <w:t>and between</w:t>
            </w:r>
          </w:p>
        </w:tc>
      </w:tr>
      <w:tr w:rsidR="00D726F6" w:rsidRPr="00A935AA" w:rsidTr="003B3977">
        <w:trPr>
          <w:cantSplit/>
        </w:trPr>
        <w:tc>
          <w:tcPr>
            <w:tcW w:w="4320" w:type="dxa"/>
            <w:shd w:val="clear" w:color="auto" w:fill="auto"/>
          </w:tcPr>
          <w:p w:rsidR="00D726F6" w:rsidRPr="00A935AA" w:rsidRDefault="00D726F6" w:rsidP="00BE42DA">
            <w:pPr>
              <w:rPr>
                <w:b/>
                <w:sz w:val="20"/>
                <w:szCs w:val="20"/>
              </w:rPr>
            </w:pPr>
            <w:r>
              <w:rPr>
                <w:b/>
                <w:sz w:val="20"/>
                <w:szCs w:val="20"/>
              </w:rPr>
              <w:t>Jiong Gu</w:t>
            </w:r>
          </w:p>
          <w:p w:rsidR="00D726F6" w:rsidRPr="00A935AA" w:rsidRDefault="00D726F6" w:rsidP="00BE42DA">
            <w:pPr>
              <w:tabs>
                <w:tab w:val="left" w:pos="-1440"/>
                <w:tab w:val="left" w:pos="-720"/>
              </w:tabs>
              <w:rPr>
                <w:sz w:val="20"/>
                <w:szCs w:val="20"/>
              </w:rPr>
            </w:pPr>
            <w:r w:rsidRPr="00A935AA">
              <w:rPr>
                <w:sz w:val="20"/>
                <w:szCs w:val="20"/>
              </w:rPr>
              <w:tab/>
            </w:r>
            <w:r>
              <w:rPr>
                <w:sz w:val="20"/>
                <w:szCs w:val="20"/>
              </w:rPr>
              <w:t>Jiong Gu</w:t>
            </w:r>
          </w:p>
          <w:p w:rsidR="00D726F6" w:rsidRPr="00A935AA" w:rsidRDefault="00D726F6" w:rsidP="00BE42DA">
            <w:pPr>
              <w:tabs>
                <w:tab w:val="left" w:pos="-1440"/>
                <w:tab w:val="left" w:pos="-720"/>
              </w:tabs>
              <w:rPr>
                <w:sz w:val="20"/>
                <w:szCs w:val="20"/>
              </w:rPr>
            </w:pPr>
          </w:p>
          <w:p w:rsidR="00D726F6" w:rsidRPr="00A935AA" w:rsidRDefault="00D726F6" w:rsidP="00BE42DA">
            <w:pPr>
              <w:tabs>
                <w:tab w:val="left" w:pos="-1440"/>
                <w:tab w:val="left" w:pos="-720"/>
              </w:tabs>
              <w:rPr>
                <w:sz w:val="20"/>
                <w:szCs w:val="20"/>
              </w:rPr>
            </w:pPr>
            <w:r w:rsidRPr="00A935AA">
              <w:rPr>
                <w:sz w:val="20"/>
                <w:szCs w:val="20"/>
              </w:rPr>
              <w:tab/>
              <w:t>v. (3</w:t>
            </w:r>
            <w:r>
              <w:rPr>
                <w:sz w:val="20"/>
                <w:szCs w:val="20"/>
              </w:rPr>
              <w:t>6213</w:t>
            </w:r>
            <w:r w:rsidRPr="00A935AA">
              <w:rPr>
                <w:sz w:val="20"/>
                <w:szCs w:val="20"/>
              </w:rPr>
              <w:t>)</w:t>
            </w:r>
          </w:p>
          <w:p w:rsidR="00D726F6" w:rsidRPr="00A935AA" w:rsidRDefault="00D726F6" w:rsidP="00BE42DA">
            <w:pPr>
              <w:tabs>
                <w:tab w:val="left" w:pos="-1440"/>
                <w:tab w:val="left" w:pos="-720"/>
              </w:tabs>
              <w:rPr>
                <w:sz w:val="20"/>
                <w:szCs w:val="20"/>
              </w:rPr>
            </w:pPr>
          </w:p>
          <w:p w:rsidR="00D726F6" w:rsidRPr="00A935AA" w:rsidRDefault="00D726F6" w:rsidP="00E12D69">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D726F6" w:rsidRPr="00A935AA" w:rsidRDefault="00D726F6" w:rsidP="00E12D69">
            <w:pPr>
              <w:tabs>
                <w:tab w:val="left" w:pos="-1440"/>
                <w:tab w:val="left" w:pos="-720"/>
              </w:tabs>
              <w:rPr>
                <w:sz w:val="20"/>
                <w:szCs w:val="20"/>
              </w:rPr>
            </w:pPr>
            <w:r w:rsidRPr="00A935AA">
              <w:rPr>
                <w:sz w:val="20"/>
                <w:szCs w:val="20"/>
              </w:rPr>
              <w:tab/>
            </w:r>
            <w:r>
              <w:rPr>
                <w:sz w:val="20"/>
                <w:szCs w:val="20"/>
              </w:rPr>
              <w:t>Martin Anderson</w:t>
            </w:r>
          </w:p>
          <w:p w:rsidR="00D726F6" w:rsidRPr="00A935AA" w:rsidRDefault="00D726F6" w:rsidP="00E12D69">
            <w:pPr>
              <w:tabs>
                <w:tab w:val="left" w:pos="-1440"/>
                <w:tab w:val="left" w:pos="-720"/>
              </w:tabs>
              <w:rPr>
                <w:sz w:val="20"/>
                <w:szCs w:val="20"/>
              </w:rPr>
            </w:pPr>
            <w:r w:rsidRPr="00A935AA">
              <w:rPr>
                <w:sz w:val="20"/>
                <w:szCs w:val="20"/>
              </w:rPr>
              <w:tab/>
            </w:r>
            <w:r>
              <w:rPr>
                <w:sz w:val="20"/>
                <w:szCs w:val="20"/>
              </w:rPr>
              <w:t>A.G. of Canada</w:t>
            </w:r>
          </w:p>
          <w:p w:rsidR="00D726F6" w:rsidRPr="00A935AA" w:rsidRDefault="00D726F6" w:rsidP="00BE42DA">
            <w:pPr>
              <w:tabs>
                <w:tab w:val="left" w:pos="-1440"/>
                <w:tab w:val="left" w:pos="-720"/>
              </w:tabs>
              <w:rPr>
                <w:sz w:val="20"/>
                <w:szCs w:val="20"/>
              </w:rPr>
            </w:pPr>
          </w:p>
          <w:p w:rsidR="00D726F6" w:rsidRPr="00A935AA" w:rsidRDefault="00D726F6" w:rsidP="00BE42DA">
            <w:pPr>
              <w:rPr>
                <w:sz w:val="20"/>
                <w:szCs w:val="20"/>
              </w:rPr>
            </w:pPr>
            <w:r>
              <w:rPr>
                <w:sz w:val="20"/>
                <w:szCs w:val="20"/>
              </w:rPr>
              <w:t>and between</w:t>
            </w:r>
          </w:p>
        </w:tc>
        <w:tc>
          <w:tcPr>
            <w:tcW w:w="1181" w:type="dxa"/>
            <w:shd w:val="clear" w:color="auto" w:fill="auto"/>
          </w:tcPr>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Pr="00A935AA" w:rsidRDefault="00D726F6" w:rsidP="00242AEE">
            <w:pPr>
              <w:jc w:val="center"/>
              <w:rPr>
                <w:sz w:val="20"/>
                <w:szCs w:val="20"/>
              </w:rPr>
            </w:pPr>
          </w:p>
        </w:tc>
        <w:tc>
          <w:tcPr>
            <w:tcW w:w="4320" w:type="dxa"/>
            <w:shd w:val="clear" w:color="auto" w:fill="auto"/>
          </w:tcPr>
          <w:p w:rsidR="00D726F6" w:rsidRPr="00A935AA" w:rsidRDefault="00D726F6" w:rsidP="00D726F6">
            <w:pPr>
              <w:rPr>
                <w:b/>
                <w:sz w:val="20"/>
                <w:szCs w:val="20"/>
              </w:rPr>
            </w:pPr>
            <w:r>
              <w:rPr>
                <w:b/>
                <w:sz w:val="20"/>
                <w:szCs w:val="20"/>
              </w:rPr>
              <w:t>Chenggang Huang</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Chenggang Huang</w:t>
            </w:r>
          </w:p>
          <w:p w:rsidR="00D726F6" w:rsidRPr="00A935AA" w:rsidRDefault="00D726F6" w:rsidP="00D726F6">
            <w:pPr>
              <w:tabs>
                <w:tab w:val="left" w:pos="-1440"/>
                <w:tab w:val="left" w:pos="-720"/>
              </w:tabs>
              <w:rPr>
                <w:sz w:val="20"/>
                <w:szCs w:val="20"/>
              </w:rPr>
            </w:pPr>
          </w:p>
          <w:p w:rsidR="00D726F6" w:rsidRPr="00A935AA" w:rsidRDefault="00D726F6" w:rsidP="00D726F6">
            <w:pPr>
              <w:tabs>
                <w:tab w:val="left" w:pos="-1440"/>
                <w:tab w:val="left" w:pos="-720"/>
              </w:tabs>
              <w:rPr>
                <w:sz w:val="20"/>
                <w:szCs w:val="20"/>
              </w:rPr>
            </w:pPr>
            <w:r w:rsidRPr="00A935AA">
              <w:rPr>
                <w:sz w:val="20"/>
                <w:szCs w:val="20"/>
              </w:rPr>
              <w:tab/>
              <w:t>v. (3</w:t>
            </w:r>
            <w:r>
              <w:rPr>
                <w:sz w:val="20"/>
                <w:szCs w:val="20"/>
              </w:rPr>
              <w:t>6213</w:t>
            </w:r>
            <w:r w:rsidRPr="00A935AA">
              <w:rPr>
                <w:sz w:val="20"/>
                <w:szCs w:val="20"/>
              </w:rPr>
              <w:t>)</w:t>
            </w:r>
          </w:p>
          <w:p w:rsidR="00D726F6" w:rsidRPr="00A935AA" w:rsidRDefault="00D726F6" w:rsidP="00D726F6">
            <w:pPr>
              <w:tabs>
                <w:tab w:val="left" w:pos="-1440"/>
                <w:tab w:val="left" w:pos="-720"/>
              </w:tabs>
              <w:rPr>
                <w:sz w:val="20"/>
                <w:szCs w:val="20"/>
              </w:rPr>
            </w:pPr>
          </w:p>
          <w:p w:rsidR="00D726F6" w:rsidRPr="00A935AA" w:rsidRDefault="00D726F6" w:rsidP="00D726F6">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Martin Anderson</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A.G. of Canada</w:t>
            </w:r>
          </w:p>
          <w:p w:rsidR="00D726F6" w:rsidRPr="00A935AA" w:rsidRDefault="00D726F6" w:rsidP="00D726F6">
            <w:pPr>
              <w:tabs>
                <w:tab w:val="left" w:pos="-1440"/>
                <w:tab w:val="left" w:pos="-720"/>
              </w:tabs>
              <w:rPr>
                <w:sz w:val="20"/>
                <w:szCs w:val="20"/>
              </w:rPr>
            </w:pPr>
          </w:p>
          <w:p w:rsidR="00D726F6" w:rsidRPr="00A935AA" w:rsidRDefault="00D726F6" w:rsidP="00D726F6">
            <w:pPr>
              <w:rPr>
                <w:sz w:val="20"/>
                <w:szCs w:val="20"/>
              </w:rPr>
            </w:pPr>
            <w:r>
              <w:rPr>
                <w:sz w:val="20"/>
                <w:szCs w:val="20"/>
              </w:rPr>
              <w:t>and between</w:t>
            </w:r>
          </w:p>
        </w:tc>
      </w:tr>
      <w:tr w:rsidR="00D726F6" w:rsidRPr="00A935AA" w:rsidTr="003B3977">
        <w:trPr>
          <w:cantSplit/>
        </w:trPr>
        <w:tc>
          <w:tcPr>
            <w:tcW w:w="4320" w:type="dxa"/>
            <w:shd w:val="clear" w:color="auto" w:fill="auto"/>
          </w:tcPr>
          <w:p w:rsidR="00D726F6" w:rsidRPr="00CE2F64" w:rsidRDefault="00D726F6" w:rsidP="00BE42DA">
            <w:pPr>
              <w:rPr>
                <w:b/>
                <w:sz w:val="20"/>
                <w:szCs w:val="20"/>
                <w:lang w:val="fr-CA"/>
              </w:rPr>
            </w:pPr>
            <w:r w:rsidRPr="00CE2F64">
              <w:rPr>
                <w:b/>
                <w:sz w:val="20"/>
                <w:szCs w:val="20"/>
                <w:lang w:val="fr-CA"/>
              </w:rPr>
              <w:t>Li Liang</w:t>
            </w:r>
          </w:p>
          <w:p w:rsidR="00D726F6" w:rsidRPr="00CE2F64" w:rsidRDefault="00D726F6" w:rsidP="00BE42DA">
            <w:pPr>
              <w:tabs>
                <w:tab w:val="left" w:pos="-1440"/>
                <w:tab w:val="left" w:pos="-720"/>
              </w:tabs>
              <w:rPr>
                <w:sz w:val="20"/>
                <w:szCs w:val="20"/>
                <w:lang w:val="fr-CA"/>
              </w:rPr>
            </w:pPr>
            <w:r w:rsidRPr="00CE2F64">
              <w:rPr>
                <w:sz w:val="20"/>
                <w:szCs w:val="20"/>
                <w:lang w:val="fr-CA"/>
              </w:rPr>
              <w:tab/>
              <w:t>Li Liang</w:t>
            </w:r>
          </w:p>
          <w:p w:rsidR="00D726F6" w:rsidRPr="00CE2F64" w:rsidRDefault="00D726F6" w:rsidP="00BE42DA">
            <w:pPr>
              <w:tabs>
                <w:tab w:val="left" w:pos="-1440"/>
                <w:tab w:val="left" w:pos="-720"/>
              </w:tabs>
              <w:rPr>
                <w:sz w:val="20"/>
                <w:szCs w:val="20"/>
                <w:lang w:val="fr-CA"/>
              </w:rPr>
            </w:pPr>
          </w:p>
          <w:p w:rsidR="00D726F6" w:rsidRPr="00CE2F64" w:rsidRDefault="00D726F6" w:rsidP="00BE42DA">
            <w:pPr>
              <w:tabs>
                <w:tab w:val="left" w:pos="-1440"/>
                <w:tab w:val="left" w:pos="-720"/>
              </w:tabs>
              <w:rPr>
                <w:sz w:val="20"/>
                <w:szCs w:val="20"/>
                <w:lang w:val="fr-CA"/>
              </w:rPr>
            </w:pPr>
            <w:r w:rsidRPr="00CE2F64">
              <w:rPr>
                <w:sz w:val="20"/>
                <w:szCs w:val="20"/>
                <w:lang w:val="fr-CA"/>
              </w:rPr>
              <w:tab/>
              <w:t>v. (36213)</w:t>
            </w:r>
          </w:p>
          <w:p w:rsidR="00D726F6" w:rsidRPr="00CE2F64" w:rsidRDefault="00D726F6" w:rsidP="00BE42DA">
            <w:pPr>
              <w:tabs>
                <w:tab w:val="left" w:pos="-1440"/>
                <w:tab w:val="left" w:pos="-720"/>
              </w:tabs>
              <w:rPr>
                <w:sz w:val="20"/>
                <w:szCs w:val="20"/>
                <w:lang w:val="fr-CA"/>
              </w:rPr>
            </w:pPr>
          </w:p>
          <w:p w:rsidR="00D726F6" w:rsidRPr="00A935AA" w:rsidRDefault="00D726F6" w:rsidP="00E12D69">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D726F6" w:rsidRPr="00A935AA" w:rsidRDefault="00D726F6" w:rsidP="00E12D69">
            <w:pPr>
              <w:tabs>
                <w:tab w:val="left" w:pos="-1440"/>
                <w:tab w:val="left" w:pos="-720"/>
              </w:tabs>
              <w:rPr>
                <w:sz w:val="20"/>
                <w:szCs w:val="20"/>
              </w:rPr>
            </w:pPr>
            <w:r w:rsidRPr="00A935AA">
              <w:rPr>
                <w:sz w:val="20"/>
                <w:szCs w:val="20"/>
              </w:rPr>
              <w:tab/>
            </w:r>
            <w:r>
              <w:rPr>
                <w:sz w:val="20"/>
                <w:szCs w:val="20"/>
              </w:rPr>
              <w:t>Martin Anderson</w:t>
            </w:r>
          </w:p>
          <w:p w:rsidR="00D726F6" w:rsidRPr="00A935AA" w:rsidRDefault="00D726F6" w:rsidP="00E12D69">
            <w:pPr>
              <w:tabs>
                <w:tab w:val="left" w:pos="-1440"/>
                <w:tab w:val="left" w:pos="-720"/>
              </w:tabs>
              <w:rPr>
                <w:sz w:val="20"/>
                <w:szCs w:val="20"/>
              </w:rPr>
            </w:pPr>
            <w:r w:rsidRPr="00A935AA">
              <w:rPr>
                <w:sz w:val="20"/>
                <w:szCs w:val="20"/>
              </w:rPr>
              <w:tab/>
            </w:r>
            <w:r>
              <w:rPr>
                <w:sz w:val="20"/>
                <w:szCs w:val="20"/>
              </w:rPr>
              <w:t>A.G. of Canada</w:t>
            </w:r>
          </w:p>
          <w:p w:rsidR="00D726F6" w:rsidRPr="00A935AA" w:rsidRDefault="00D726F6" w:rsidP="00BE42DA">
            <w:pPr>
              <w:tabs>
                <w:tab w:val="left" w:pos="-1440"/>
                <w:tab w:val="left" w:pos="-720"/>
              </w:tabs>
              <w:rPr>
                <w:sz w:val="20"/>
                <w:szCs w:val="20"/>
              </w:rPr>
            </w:pPr>
          </w:p>
          <w:p w:rsidR="00D726F6" w:rsidRPr="00A935AA" w:rsidRDefault="00D726F6" w:rsidP="00E12D69">
            <w:pPr>
              <w:rPr>
                <w:sz w:val="20"/>
                <w:szCs w:val="20"/>
              </w:rPr>
            </w:pPr>
            <w:r>
              <w:rPr>
                <w:sz w:val="20"/>
                <w:szCs w:val="20"/>
              </w:rPr>
              <w:t>and between</w:t>
            </w:r>
          </w:p>
        </w:tc>
        <w:tc>
          <w:tcPr>
            <w:tcW w:w="1181" w:type="dxa"/>
            <w:shd w:val="clear" w:color="auto" w:fill="auto"/>
          </w:tcPr>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Default="00D726F6" w:rsidP="00242AEE">
            <w:pPr>
              <w:jc w:val="center"/>
              <w:rPr>
                <w:sz w:val="20"/>
                <w:szCs w:val="20"/>
              </w:rPr>
            </w:pPr>
          </w:p>
          <w:p w:rsidR="00D726F6" w:rsidRPr="00A935AA" w:rsidRDefault="00D726F6" w:rsidP="00242AEE">
            <w:pPr>
              <w:jc w:val="center"/>
              <w:rPr>
                <w:sz w:val="20"/>
                <w:szCs w:val="20"/>
              </w:rPr>
            </w:pPr>
          </w:p>
        </w:tc>
        <w:tc>
          <w:tcPr>
            <w:tcW w:w="4320" w:type="dxa"/>
            <w:shd w:val="clear" w:color="auto" w:fill="auto"/>
          </w:tcPr>
          <w:p w:rsidR="00D726F6" w:rsidRPr="00A935AA" w:rsidRDefault="00D726F6" w:rsidP="00D726F6">
            <w:pPr>
              <w:rPr>
                <w:b/>
                <w:sz w:val="20"/>
                <w:szCs w:val="20"/>
              </w:rPr>
            </w:pPr>
            <w:r>
              <w:rPr>
                <w:b/>
                <w:sz w:val="20"/>
                <w:szCs w:val="20"/>
              </w:rPr>
              <w:t>Ling Xiao</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Ling Xiao</w:t>
            </w:r>
          </w:p>
          <w:p w:rsidR="00D726F6" w:rsidRPr="00A935AA" w:rsidRDefault="00D726F6" w:rsidP="00D726F6">
            <w:pPr>
              <w:tabs>
                <w:tab w:val="left" w:pos="-1440"/>
                <w:tab w:val="left" w:pos="-720"/>
              </w:tabs>
              <w:rPr>
                <w:sz w:val="20"/>
                <w:szCs w:val="20"/>
              </w:rPr>
            </w:pPr>
          </w:p>
          <w:p w:rsidR="00D726F6" w:rsidRPr="00A935AA" w:rsidRDefault="00D726F6" w:rsidP="00D726F6">
            <w:pPr>
              <w:tabs>
                <w:tab w:val="left" w:pos="-1440"/>
                <w:tab w:val="left" w:pos="-720"/>
              </w:tabs>
              <w:rPr>
                <w:sz w:val="20"/>
                <w:szCs w:val="20"/>
              </w:rPr>
            </w:pPr>
            <w:r w:rsidRPr="00A935AA">
              <w:rPr>
                <w:sz w:val="20"/>
                <w:szCs w:val="20"/>
              </w:rPr>
              <w:tab/>
              <w:t>v. (3</w:t>
            </w:r>
            <w:r>
              <w:rPr>
                <w:sz w:val="20"/>
                <w:szCs w:val="20"/>
              </w:rPr>
              <w:t>6213</w:t>
            </w:r>
            <w:r w:rsidRPr="00A935AA">
              <w:rPr>
                <w:sz w:val="20"/>
                <w:szCs w:val="20"/>
              </w:rPr>
              <w:t>)</w:t>
            </w:r>
          </w:p>
          <w:p w:rsidR="00D726F6" w:rsidRPr="00A935AA" w:rsidRDefault="00D726F6" w:rsidP="00D726F6">
            <w:pPr>
              <w:tabs>
                <w:tab w:val="left" w:pos="-1440"/>
                <w:tab w:val="left" w:pos="-720"/>
              </w:tabs>
              <w:rPr>
                <w:sz w:val="20"/>
                <w:szCs w:val="20"/>
              </w:rPr>
            </w:pPr>
          </w:p>
          <w:p w:rsidR="00D726F6" w:rsidRPr="00A935AA" w:rsidRDefault="00D726F6" w:rsidP="00D726F6">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Martin Anderson</w:t>
            </w:r>
          </w:p>
          <w:p w:rsidR="00D726F6" w:rsidRPr="00A935AA" w:rsidRDefault="00D726F6" w:rsidP="00D726F6">
            <w:pPr>
              <w:tabs>
                <w:tab w:val="left" w:pos="-1440"/>
                <w:tab w:val="left" w:pos="-720"/>
              </w:tabs>
              <w:rPr>
                <w:sz w:val="20"/>
                <w:szCs w:val="20"/>
              </w:rPr>
            </w:pPr>
            <w:r w:rsidRPr="00A935AA">
              <w:rPr>
                <w:sz w:val="20"/>
                <w:szCs w:val="20"/>
              </w:rPr>
              <w:tab/>
            </w:r>
            <w:r>
              <w:rPr>
                <w:sz w:val="20"/>
                <w:szCs w:val="20"/>
              </w:rPr>
              <w:t>A.G. of Canada</w:t>
            </w:r>
          </w:p>
          <w:p w:rsidR="00D726F6" w:rsidRPr="00A935AA" w:rsidRDefault="00D726F6" w:rsidP="00D726F6">
            <w:pPr>
              <w:tabs>
                <w:tab w:val="left" w:pos="-1440"/>
                <w:tab w:val="left" w:pos="-720"/>
              </w:tabs>
              <w:rPr>
                <w:sz w:val="20"/>
                <w:szCs w:val="20"/>
              </w:rPr>
            </w:pPr>
          </w:p>
          <w:p w:rsidR="00D726F6" w:rsidRPr="00A935AA" w:rsidRDefault="00D726F6" w:rsidP="00D726F6">
            <w:pPr>
              <w:rPr>
                <w:sz w:val="20"/>
                <w:szCs w:val="20"/>
              </w:rPr>
            </w:pPr>
            <w:r>
              <w:rPr>
                <w:sz w:val="20"/>
                <w:szCs w:val="20"/>
              </w:rPr>
              <w:t>and between</w:t>
            </w:r>
          </w:p>
        </w:tc>
      </w:tr>
      <w:tr w:rsidR="00A30D3C" w:rsidRPr="00FA404A" w:rsidTr="003B3977">
        <w:trPr>
          <w:cantSplit/>
        </w:trPr>
        <w:tc>
          <w:tcPr>
            <w:tcW w:w="4320" w:type="dxa"/>
            <w:shd w:val="clear" w:color="auto" w:fill="auto"/>
          </w:tcPr>
          <w:p w:rsidR="00A30D3C" w:rsidRPr="00A935AA" w:rsidRDefault="00A30D3C" w:rsidP="00A30D3C">
            <w:pPr>
              <w:rPr>
                <w:b/>
                <w:sz w:val="20"/>
                <w:szCs w:val="20"/>
              </w:rPr>
            </w:pPr>
            <w:r>
              <w:rPr>
                <w:b/>
                <w:sz w:val="20"/>
                <w:szCs w:val="20"/>
              </w:rPr>
              <w:lastRenderedPageBreak/>
              <w:t>Yanling Liu</w:t>
            </w:r>
          </w:p>
          <w:p w:rsidR="00A30D3C" w:rsidRPr="00A935AA" w:rsidRDefault="00A30D3C" w:rsidP="00A30D3C">
            <w:pPr>
              <w:tabs>
                <w:tab w:val="left" w:pos="-1440"/>
                <w:tab w:val="left" w:pos="-720"/>
              </w:tabs>
              <w:rPr>
                <w:sz w:val="20"/>
                <w:szCs w:val="20"/>
              </w:rPr>
            </w:pPr>
            <w:r w:rsidRPr="00A935AA">
              <w:rPr>
                <w:sz w:val="20"/>
                <w:szCs w:val="20"/>
              </w:rPr>
              <w:tab/>
            </w:r>
            <w:r>
              <w:rPr>
                <w:sz w:val="20"/>
                <w:szCs w:val="20"/>
              </w:rPr>
              <w:t>Yanling Liu</w:t>
            </w:r>
          </w:p>
          <w:p w:rsidR="00A30D3C" w:rsidRPr="00A935AA" w:rsidRDefault="00A30D3C" w:rsidP="00A30D3C">
            <w:pPr>
              <w:tabs>
                <w:tab w:val="left" w:pos="-1440"/>
                <w:tab w:val="left" w:pos="-720"/>
              </w:tabs>
              <w:rPr>
                <w:sz w:val="20"/>
                <w:szCs w:val="20"/>
              </w:rPr>
            </w:pPr>
          </w:p>
          <w:p w:rsidR="00A30D3C" w:rsidRPr="00A935AA" w:rsidRDefault="00A30D3C" w:rsidP="00A30D3C">
            <w:pPr>
              <w:tabs>
                <w:tab w:val="left" w:pos="-1440"/>
                <w:tab w:val="left" w:pos="-720"/>
              </w:tabs>
              <w:rPr>
                <w:sz w:val="20"/>
                <w:szCs w:val="20"/>
              </w:rPr>
            </w:pPr>
            <w:r w:rsidRPr="00A935AA">
              <w:rPr>
                <w:sz w:val="20"/>
                <w:szCs w:val="20"/>
              </w:rPr>
              <w:tab/>
              <w:t>v. (3</w:t>
            </w:r>
            <w:r>
              <w:rPr>
                <w:sz w:val="20"/>
                <w:szCs w:val="20"/>
              </w:rPr>
              <w:t>6213</w:t>
            </w:r>
            <w:r w:rsidRPr="00A935AA">
              <w:rPr>
                <w:sz w:val="20"/>
                <w:szCs w:val="20"/>
              </w:rPr>
              <w:t>)</w:t>
            </w:r>
          </w:p>
          <w:p w:rsidR="00A30D3C" w:rsidRPr="00A935AA" w:rsidRDefault="00A30D3C" w:rsidP="00A30D3C">
            <w:pPr>
              <w:tabs>
                <w:tab w:val="left" w:pos="-1440"/>
                <w:tab w:val="left" w:pos="-720"/>
              </w:tabs>
              <w:rPr>
                <w:sz w:val="20"/>
                <w:szCs w:val="20"/>
              </w:rPr>
            </w:pPr>
          </w:p>
          <w:p w:rsidR="00A30D3C" w:rsidRPr="00A935AA" w:rsidRDefault="00A30D3C" w:rsidP="00A30D3C">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A30D3C" w:rsidRPr="00A935AA" w:rsidRDefault="00A30D3C" w:rsidP="00A30D3C">
            <w:pPr>
              <w:tabs>
                <w:tab w:val="left" w:pos="-1440"/>
                <w:tab w:val="left" w:pos="-720"/>
              </w:tabs>
              <w:rPr>
                <w:sz w:val="20"/>
                <w:szCs w:val="20"/>
              </w:rPr>
            </w:pPr>
            <w:r w:rsidRPr="00A935AA">
              <w:rPr>
                <w:sz w:val="20"/>
                <w:szCs w:val="20"/>
              </w:rPr>
              <w:tab/>
            </w:r>
            <w:r>
              <w:rPr>
                <w:sz w:val="20"/>
                <w:szCs w:val="20"/>
              </w:rPr>
              <w:t>Martin Anderson</w:t>
            </w:r>
          </w:p>
          <w:p w:rsidR="00A30D3C" w:rsidRPr="00A935AA" w:rsidRDefault="00A30D3C" w:rsidP="00A30D3C">
            <w:pPr>
              <w:tabs>
                <w:tab w:val="left" w:pos="-1440"/>
                <w:tab w:val="left" w:pos="-720"/>
              </w:tabs>
              <w:rPr>
                <w:sz w:val="20"/>
                <w:szCs w:val="20"/>
              </w:rPr>
            </w:pPr>
            <w:r w:rsidRPr="00A935AA">
              <w:rPr>
                <w:sz w:val="20"/>
                <w:szCs w:val="20"/>
              </w:rPr>
              <w:tab/>
            </w:r>
            <w:r>
              <w:rPr>
                <w:sz w:val="20"/>
                <w:szCs w:val="20"/>
              </w:rPr>
              <w:t>A.G. of Canada</w:t>
            </w:r>
          </w:p>
          <w:p w:rsidR="00A30D3C" w:rsidRPr="00A935AA" w:rsidRDefault="00A30D3C" w:rsidP="00A30D3C">
            <w:pPr>
              <w:tabs>
                <w:tab w:val="left" w:pos="-1440"/>
                <w:tab w:val="left" w:pos="-720"/>
              </w:tabs>
              <w:rPr>
                <w:sz w:val="20"/>
                <w:szCs w:val="20"/>
              </w:rPr>
            </w:pPr>
          </w:p>
          <w:p w:rsidR="00A30D3C" w:rsidRPr="00A935AA" w:rsidRDefault="00A30D3C" w:rsidP="00A30D3C">
            <w:pPr>
              <w:rPr>
                <w:sz w:val="20"/>
                <w:szCs w:val="20"/>
              </w:rPr>
            </w:pPr>
            <w:r>
              <w:rPr>
                <w:sz w:val="20"/>
                <w:szCs w:val="20"/>
              </w:rPr>
              <w:t>and between</w:t>
            </w:r>
          </w:p>
        </w:tc>
        <w:tc>
          <w:tcPr>
            <w:tcW w:w="1181" w:type="dxa"/>
            <w:shd w:val="clear" w:color="auto" w:fill="auto"/>
          </w:tcPr>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p w:rsidR="00A30D3C" w:rsidRDefault="00A30D3C" w:rsidP="00242AEE">
            <w:pPr>
              <w:jc w:val="center"/>
              <w:rPr>
                <w:sz w:val="20"/>
                <w:szCs w:val="20"/>
              </w:rPr>
            </w:pPr>
          </w:p>
        </w:tc>
        <w:tc>
          <w:tcPr>
            <w:tcW w:w="4320" w:type="dxa"/>
            <w:shd w:val="clear" w:color="auto" w:fill="auto"/>
          </w:tcPr>
          <w:p w:rsidR="00A30D3C" w:rsidRPr="00FA404A" w:rsidRDefault="00A30D3C" w:rsidP="00FA404A">
            <w:pPr>
              <w:rPr>
                <w:b/>
                <w:sz w:val="20"/>
                <w:szCs w:val="20"/>
                <w:lang w:val="fr-CA"/>
              </w:rPr>
            </w:pPr>
            <w:r w:rsidRPr="00FA404A">
              <w:rPr>
                <w:b/>
                <w:sz w:val="20"/>
                <w:szCs w:val="20"/>
                <w:lang w:val="fr-CA"/>
              </w:rPr>
              <w:t>Succession de feu D.U.C.</w:t>
            </w:r>
          </w:p>
          <w:p w:rsidR="00A30D3C" w:rsidRPr="00FA404A" w:rsidRDefault="00A30D3C" w:rsidP="00FA404A">
            <w:pPr>
              <w:tabs>
                <w:tab w:val="left" w:pos="-1440"/>
                <w:tab w:val="left" w:pos="-720"/>
              </w:tabs>
              <w:rPr>
                <w:sz w:val="20"/>
                <w:szCs w:val="20"/>
                <w:lang w:val="fr-CA"/>
              </w:rPr>
            </w:pPr>
            <w:r w:rsidRPr="00FA404A">
              <w:rPr>
                <w:sz w:val="20"/>
                <w:szCs w:val="20"/>
                <w:lang w:val="fr-CA"/>
              </w:rPr>
              <w:tab/>
            </w:r>
            <w:r>
              <w:rPr>
                <w:sz w:val="20"/>
                <w:szCs w:val="20"/>
                <w:lang w:val="fr-CA"/>
              </w:rPr>
              <w:t>Ewa Gerus</w:t>
            </w:r>
          </w:p>
          <w:p w:rsidR="00A30D3C" w:rsidRPr="00FA404A" w:rsidRDefault="00A30D3C" w:rsidP="00FA404A">
            <w:pPr>
              <w:tabs>
                <w:tab w:val="left" w:pos="-1440"/>
                <w:tab w:val="left" w:pos="-720"/>
              </w:tabs>
              <w:rPr>
                <w:sz w:val="20"/>
                <w:szCs w:val="20"/>
                <w:lang w:val="fr-CA"/>
              </w:rPr>
            </w:pPr>
          </w:p>
          <w:p w:rsidR="00A30D3C" w:rsidRPr="00FA404A" w:rsidRDefault="00A30D3C" w:rsidP="00FA404A">
            <w:pPr>
              <w:tabs>
                <w:tab w:val="left" w:pos="-1440"/>
                <w:tab w:val="left" w:pos="-720"/>
              </w:tabs>
              <w:rPr>
                <w:sz w:val="20"/>
                <w:szCs w:val="20"/>
                <w:lang w:val="fr-CA"/>
              </w:rPr>
            </w:pPr>
            <w:r w:rsidRPr="00FA404A">
              <w:rPr>
                <w:sz w:val="20"/>
                <w:szCs w:val="20"/>
                <w:lang w:val="fr-CA"/>
              </w:rPr>
              <w:tab/>
            </w:r>
            <w:r>
              <w:rPr>
                <w:sz w:val="20"/>
                <w:szCs w:val="20"/>
                <w:lang w:val="fr-CA"/>
              </w:rPr>
              <w:t>c</w:t>
            </w:r>
            <w:r w:rsidRPr="00FA404A">
              <w:rPr>
                <w:sz w:val="20"/>
                <w:szCs w:val="20"/>
                <w:lang w:val="fr-CA"/>
              </w:rPr>
              <w:t>. (36236)</w:t>
            </w:r>
          </w:p>
          <w:p w:rsidR="00A30D3C" w:rsidRPr="00FA404A" w:rsidRDefault="00A30D3C" w:rsidP="00FA404A">
            <w:pPr>
              <w:tabs>
                <w:tab w:val="left" w:pos="-1440"/>
                <w:tab w:val="left" w:pos="-720"/>
              </w:tabs>
              <w:rPr>
                <w:sz w:val="20"/>
                <w:szCs w:val="20"/>
                <w:lang w:val="fr-CA"/>
              </w:rPr>
            </w:pPr>
          </w:p>
          <w:p w:rsidR="00A30D3C" w:rsidRPr="00FA404A" w:rsidRDefault="00A30D3C" w:rsidP="00FA404A">
            <w:pPr>
              <w:tabs>
                <w:tab w:val="left" w:pos="-1440"/>
                <w:tab w:val="left" w:pos="-720"/>
              </w:tabs>
              <w:rPr>
                <w:b/>
                <w:sz w:val="20"/>
                <w:szCs w:val="20"/>
                <w:lang w:val="fr-CA"/>
              </w:rPr>
            </w:pPr>
            <w:r w:rsidRPr="00FA404A">
              <w:rPr>
                <w:b/>
                <w:sz w:val="20"/>
                <w:szCs w:val="20"/>
                <w:lang w:val="fr-CA"/>
              </w:rPr>
              <w:t>Régie des rentes du Québec (Qc)</w:t>
            </w:r>
          </w:p>
          <w:p w:rsidR="00A30D3C" w:rsidRPr="00FA404A" w:rsidRDefault="00A30D3C" w:rsidP="00FA404A">
            <w:pPr>
              <w:tabs>
                <w:tab w:val="left" w:pos="-1440"/>
                <w:tab w:val="left" w:pos="-720"/>
              </w:tabs>
              <w:rPr>
                <w:sz w:val="20"/>
                <w:szCs w:val="20"/>
                <w:lang w:val="fr-CA"/>
              </w:rPr>
            </w:pPr>
            <w:r w:rsidRPr="00FA404A">
              <w:rPr>
                <w:sz w:val="20"/>
                <w:szCs w:val="20"/>
                <w:lang w:val="fr-CA"/>
              </w:rPr>
              <w:tab/>
            </w:r>
            <w:r>
              <w:rPr>
                <w:sz w:val="20"/>
                <w:szCs w:val="20"/>
                <w:lang w:val="fr-CA"/>
              </w:rPr>
              <w:t>Philippe Auger-Giroux</w:t>
            </w:r>
          </w:p>
          <w:p w:rsidR="00A30D3C" w:rsidRPr="00FA404A" w:rsidRDefault="00A30D3C" w:rsidP="00FA404A">
            <w:pPr>
              <w:tabs>
                <w:tab w:val="left" w:pos="-1440"/>
                <w:tab w:val="left" w:pos="-720"/>
              </w:tabs>
              <w:rPr>
                <w:sz w:val="20"/>
                <w:szCs w:val="20"/>
                <w:lang w:val="fr-CA"/>
              </w:rPr>
            </w:pPr>
            <w:r w:rsidRPr="00FA404A">
              <w:rPr>
                <w:sz w:val="20"/>
                <w:szCs w:val="20"/>
                <w:lang w:val="fr-CA"/>
              </w:rPr>
              <w:tab/>
            </w:r>
            <w:r>
              <w:rPr>
                <w:sz w:val="20"/>
                <w:szCs w:val="20"/>
                <w:lang w:val="fr-CA"/>
              </w:rPr>
              <w:t>Arav, Robillard, Laniel</w:t>
            </w:r>
          </w:p>
          <w:p w:rsidR="00A30D3C" w:rsidRPr="00FA404A" w:rsidRDefault="00A30D3C" w:rsidP="00FA404A">
            <w:pPr>
              <w:tabs>
                <w:tab w:val="left" w:pos="-1440"/>
                <w:tab w:val="left" w:pos="-720"/>
              </w:tabs>
              <w:rPr>
                <w:sz w:val="20"/>
                <w:szCs w:val="20"/>
                <w:lang w:val="fr-CA"/>
              </w:rPr>
            </w:pPr>
          </w:p>
          <w:p w:rsidR="00A30D3C" w:rsidRPr="00FA404A" w:rsidRDefault="00A30D3C" w:rsidP="00F20FD1">
            <w:pPr>
              <w:rPr>
                <w:sz w:val="20"/>
                <w:szCs w:val="20"/>
                <w:lang w:val="fr-CA"/>
              </w:rPr>
            </w:pPr>
            <w:r w:rsidRPr="00FA404A">
              <w:rPr>
                <w:sz w:val="20"/>
                <w:szCs w:val="20"/>
                <w:lang w:val="fr-CA"/>
              </w:rPr>
              <w:t>DATE</w:t>
            </w:r>
            <w:r>
              <w:rPr>
                <w:sz w:val="20"/>
                <w:szCs w:val="20"/>
                <w:lang w:val="fr-CA"/>
              </w:rPr>
              <w:t xml:space="preserve"> DE PRODUCTION </w:t>
            </w:r>
            <w:r w:rsidRPr="00FA404A">
              <w:rPr>
                <w:sz w:val="20"/>
                <w:szCs w:val="20"/>
                <w:lang w:val="fr-CA"/>
              </w:rPr>
              <w:t xml:space="preserve">: </w:t>
            </w:r>
            <w:r>
              <w:rPr>
                <w:sz w:val="20"/>
                <w:szCs w:val="20"/>
                <w:lang w:val="fr-CA"/>
              </w:rPr>
              <w:t>03</w:t>
            </w:r>
            <w:r w:rsidRPr="00FA404A">
              <w:rPr>
                <w:sz w:val="20"/>
                <w:szCs w:val="20"/>
                <w:lang w:val="fr-CA"/>
              </w:rPr>
              <w:t>.</w:t>
            </w:r>
            <w:r>
              <w:rPr>
                <w:sz w:val="20"/>
                <w:szCs w:val="20"/>
                <w:lang w:val="fr-CA"/>
              </w:rPr>
              <w:t>1</w:t>
            </w:r>
            <w:r w:rsidRPr="00FA404A">
              <w:rPr>
                <w:sz w:val="20"/>
                <w:szCs w:val="20"/>
                <w:lang w:val="fr-CA"/>
              </w:rPr>
              <w:t>2.201</w:t>
            </w:r>
            <w:r>
              <w:rPr>
                <w:sz w:val="20"/>
                <w:szCs w:val="20"/>
                <w:lang w:val="fr-CA"/>
              </w:rPr>
              <w:t>4</w:t>
            </w:r>
            <w:r w:rsidR="00742BC3">
              <w:rPr>
                <w:sz w:val="20"/>
                <w:szCs w:val="20"/>
                <w:lang w:val="fr-CA"/>
              </w:rPr>
              <w:pict>
                <v:rect id="_x0000_i1025" style="width:108pt;height:1pt" o:hrpct="0" o:hralign="center" o:hrstd="t" o:hrnoshade="t" o:hr="t" fillcolor="black [3213]" stroked="f"/>
              </w:pict>
            </w:r>
          </w:p>
        </w:tc>
      </w:tr>
      <w:tr w:rsidR="00303E71" w:rsidRPr="00A935AA" w:rsidTr="003B3977">
        <w:trPr>
          <w:cantSplit/>
        </w:trPr>
        <w:tc>
          <w:tcPr>
            <w:tcW w:w="4320" w:type="dxa"/>
            <w:shd w:val="clear" w:color="auto" w:fill="auto"/>
          </w:tcPr>
          <w:p w:rsidR="00303E71" w:rsidRPr="00E12D69" w:rsidRDefault="00303E71" w:rsidP="00FA404A">
            <w:pPr>
              <w:rPr>
                <w:b/>
                <w:sz w:val="20"/>
                <w:szCs w:val="20"/>
              </w:rPr>
            </w:pPr>
            <w:r>
              <w:rPr>
                <w:b/>
                <w:sz w:val="20"/>
                <w:szCs w:val="20"/>
              </w:rPr>
              <w:t>Lixia Shao</w:t>
            </w:r>
          </w:p>
          <w:p w:rsidR="00303E71" w:rsidRPr="00A935AA" w:rsidRDefault="00303E71" w:rsidP="00FA404A">
            <w:pPr>
              <w:tabs>
                <w:tab w:val="left" w:pos="-1440"/>
                <w:tab w:val="left" w:pos="-720"/>
              </w:tabs>
              <w:rPr>
                <w:sz w:val="20"/>
                <w:szCs w:val="20"/>
              </w:rPr>
            </w:pPr>
            <w:r w:rsidRPr="00A935AA">
              <w:rPr>
                <w:sz w:val="20"/>
                <w:szCs w:val="20"/>
              </w:rPr>
              <w:tab/>
            </w:r>
            <w:r>
              <w:rPr>
                <w:sz w:val="20"/>
                <w:szCs w:val="20"/>
              </w:rPr>
              <w:t>Lixia Shao</w:t>
            </w:r>
          </w:p>
          <w:p w:rsidR="00303E71" w:rsidRPr="00A935AA" w:rsidRDefault="00303E71" w:rsidP="00FA404A">
            <w:pPr>
              <w:tabs>
                <w:tab w:val="left" w:pos="-1440"/>
                <w:tab w:val="left" w:pos="-720"/>
              </w:tabs>
              <w:rPr>
                <w:sz w:val="20"/>
                <w:szCs w:val="20"/>
              </w:rPr>
            </w:pPr>
          </w:p>
          <w:p w:rsidR="00303E71" w:rsidRPr="00A935AA" w:rsidRDefault="00303E71" w:rsidP="00FA404A">
            <w:pPr>
              <w:tabs>
                <w:tab w:val="left" w:pos="-1440"/>
                <w:tab w:val="left" w:pos="-720"/>
              </w:tabs>
              <w:rPr>
                <w:sz w:val="20"/>
                <w:szCs w:val="20"/>
              </w:rPr>
            </w:pPr>
            <w:r w:rsidRPr="00A935AA">
              <w:rPr>
                <w:sz w:val="20"/>
                <w:szCs w:val="20"/>
              </w:rPr>
              <w:tab/>
              <w:t>v. (3</w:t>
            </w:r>
            <w:r>
              <w:rPr>
                <w:sz w:val="20"/>
                <w:szCs w:val="20"/>
              </w:rPr>
              <w:t>6213</w:t>
            </w:r>
            <w:r w:rsidRPr="00A935AA">
              <w:rPr>
                <w:sz w:val="20"/>
                <w:szCs w:val="20"/>
              </w:rPr>
              <w:t>)</w:t>
            </w:r>
          </w:p>
          <w:p w:rsidR="00303E71" w:rsidRDefault="00303E71" w:rsidP="00FA404A">
            <w:pPr>
              <w:rPr>
                <w:sz w:val="20"/>
                <w:szCs w:val="20"/>
              </w:rPr>
            </w:pPr>
          </w:p>
          <w:p w:rsidR="00303E71" w:rsidRPr="00A935AA" w:rsidRDefault="00303E71" w:rsidP="00FA404A">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F.C</w:t>
            </w:r>
            <w:r w:rsidRPr="00A935AA">
              <w:rPr>
                <w:b/>
                <w:sz w:val="20"/>
                <w:szCs w:val="20"/>
              </w:rPr>
              <w:t>.)</w:t>
            </w:r>
          </w:p>
          <w:p w:rsidR="00303E71" w:rsidRPr="00A935AA" w:rsidRDefault="00303E71" w:rsidP="00FA404A">
            <w:pPr>
              <w:tabs>
                <w:tab w:val="left" w:pos="-1440"/>
                <w:tab w:val="left" w:pos="-720"/>
              </w:tabs>
              <w:rPr>
                <w:sz w:val="20"/>
                <w:szCs w:val="20"/>
              </w:rPr>
            </w:pPr>
            <w:r w:rsidRPr="00A935AA">
              <w:rPr>
                <w:sz w:val="20"/>
                <w:szCs w:val="20"/>
              </w:rPr>
              <w:tab/>
            </w:r>
            <w:r>
              <w:rPr>
                <w:sz w:val="20"/>
                <w:szCs w:val="20"/>
              </w:rPr>
              <w:t>Martin Anderson</w:t>
            </w:r>
          </w:p>
          <w:p w:rsidR="00303E71" w:rsidRPr="00A935AA" w:rsidRDefault="00303E71" w:rsidP="00FA404A">
            <w:pPr>
              <w:tabs>
                <w:tab w:val="left" w:pos="-1440"/>
                <w:tab w:val="left" w:pos="-720"/>
              </w:tabs>
              <w:rPr>
                <w:sz w:val="20"/>
                <w:szCs w:val="20"/>
              </w:rPr>
            </w:pPr>
            <w:r w:rsidRPr="00A935AA">
              <w:rPr>
                <w:sz w:val="20"/>
                <w:szCs w:val="20"/>
              </w:rPr>
              <w:tab/>
            </w:r>
            <w:r>
              <w:rPr>
                <w:sz w:val="20"/>
                <w:szCs w:val="20"/>
              </w:rPr>
              <w:t>A.G. of Canada</w:t>
            </w:r>
          </w:p>
          <w:p w:rsidR="00303E71" w:rsidRPr="00A935AA" w:rsidRDefault="00303E71" w:rsidP="00FA404A">
            <w:pPr>
              <w:tabs>
                <w:tab w:val="left" w:pos="-1440"/>
                <w:tab w:val="left" w:pos="-720"/>
              </w:tabs>
              <w:rPr>
                <w:sz w:val="20"/>
                <w:szCs w:val="20"/>
              </w:rPr>
            </w:pPr>
          </w:p>
          <w:p w:rsidR="00303E71" w:rsidRPr="00A935AA" w:rsidRDefault="00303E71" w:rsidP="00FA404A">
            <w:pPr>
              <w:rPr>
                <w:sz w:val="20"/>
                <w:szCs w:val="20"/>
              </w:rPr>
            </w:pPr>
            <w:r w:rsidRPr="00A935AA">
              <w:rPr>
                <w:sz w:val="20"/>
                <w:szCs w:val="20"/>
              </w:rPr>
              <w:t xml:space="preserve">FILING DATE: </w:t>
            </w:r>
            <w:r>
              <w:rPr>
                <w:sz w:val="20"/>
                <w:szCs w:val="20"/>
              </w:rPr>
              <w:t>07</w:t>
            </w:r>
            <w:r w:rsidRPr="00A935AA">
              <w:rPr>
                <w:sz w:val="20"/>
                <w:szCs w:val="20"/>
              </w:rPr>
              <w:t>.0</w:t>
            </w:r>
            <w:r>
              <w:rPr>
                <w:sz w:val="20"/>
                <w:szCs w:val="20"/>
              </w:rPr>
              <w:t>1</w:t>
            </w:r>
            <w:r w:rsidRPr="00A935AA">
              <w:rPr>
                <w:sz w:val="20"/>
                <w:szCs w:val="20"/>
              </w:rPr>
              <w:t>.201</w:t>
            </w:r>
            <w:r>
              <w:rPr>
                <w:sz w:val="20"/>
                <w:szCs w:val="20"/>
              </w:rPr>
              <w:t>5</w:t>
            </w:r>
            <w:r w:rsidR="00742BC3">
              <w:rPr>
                <w:sz w:val="20"/>
                <w:szCs w:val="20"/>
                <w:lang w:val="fr-CA"/>
              </w:rPr>
              <w:pict>
                <v:rect id="_x0000_i1026" style="width:108pt;height:1pt" o:hrpct="0" o:hralign="center" o:hrstd="t" o:hrnoshade="t" o:hr="t" fillcolor="black [3213]" stroked="f"/>
              </w:pict>
            </w:r>
          </w:p>
        </w:tc>
        <w:tc>
          <w:tcPr>
            <w:tcW w:w="1181" w:type="dxa"/>
            <w:shd w:val="clear" w:color="auto" w:fill="auto"/>
          </w:tcPr>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A30D3C" w:rsidRDefault="00A30D3C" w:rsidP="00242AEE">
            <w:pPr>
              <w:jc w:val="center"/>
              <w:rPr>
                <w:sz w:val="20"/>
                <w:szCs w:val="20"/>
              </w:rPr>
            </w:pPr>
          </w:p>
        </w:tc>
        <w:tc>
          <w:tcPr>
            <w:tcW w:w="4320" w:type="dxa"/>
            <w:shd w:val="clear" w:color="auto" w:fill="auto"/>
          </w:tcPr>
          <w:p w:rsidR="00303E71" w:rsidRDefault="00303E71" w:rsidP="00FA404A">
            <w:pPr>
              <w:rPr>
                <w:b/>
                <w:sz w:val="20"/>
                <w:szCs w:val="20"/>
              </w:rPr>
            </w:pPr>
          </w:p>
          <w:p w:rsidR="00303E71" w:rsidRPr="00A935AA" w:rsidRDefault="00303E71" w:rsidP="00FA404A">
            <w:pPr>
              <w:rPr>
                <w:b/>
                <w:sz w:val="20"/>
                <w:szCs w:val="20"/>
              </w:rPr>
            </w:pPr>
            <w:r>
              <w:rPr>
                <w:b/>
                <w:sz w:val="20"/>
                <w:szCs w:val="20"/>
              </w:rPr>
              <w:t>Dennis Garry Stewart</w:t>
            </w:r>
          </w:p>
          <w:p w:rsidR="00303E71" w:rsidRPr="00A935AA" w:rsidRDefault="00303E71" w:rsidP="00FA404A">
            <w:pPr>
              <w:tabs>
                <w:tab w:val="left" w:pos="-1440"/>
                <w:tab w:val="left" w:pos="-720"/>
              </w:tabs>
              <w:rPr>
                <w:sz w:val="20"/>
                <w:szCs w:val="20"/>
              </w:rPr>
            </w:pPr>
            <w:r w:rsidRPr="00A935AA">
              <w:rPr>
                <w:sz w:val="20"/>
                <w:szCs w:val="20"/>
              </w:rPr>
              <w:tab/>
            </w:r>
            <w:r>
              <w:rPr>
                <w:sz w:val="20"/>
                <w:szCs w:val="20"/>
              </w:rPr>
              <w:t>Dennis Garry Stewart</w:t>
            </w:r>
          </w:p>
          <w:p w:rsidR="00303E71" w:rsidRPr="00A935AA" w:rsidRDefault="00303E71" w:rsidP="00FA404A">
            <w:pPr>
              <w:tabs>
                <w:tab w:val="left" w:pos="-1440"/>
                <w:tab w:val="left" w:pos="-720"/>
              </w:tabs>
              <w:rPr>
                <w:sz w:val="20"/>
                <w:szCs w:val="20"/>
              </w:rPr>
            </w:pPr>
          </w:p>
          <w:p w:rsidR="00303E71" w:rsidRPr="00A935AA" w:rsidRDefault="00303E71" w:rsidP="00FA404A">
            <w:pPr>
              <w:tabs>
                <w:tab w:val="left" w:pos="-1440"/>
                <w:tab w:val="left" w:pos="-720"/>
              </w:tabs>
              <w:rPr>
                <w:sz w:val="20"/>
                <w:szCs w:val="20"/>
              </w:rPr>
            </w:pPr>
            <w:r w:rsidRPr="00A935AA">
              <w:rPr>
                <w:sz w:val="20"/>
                <w:szCs w:val="20"/>
              </w:rPr>
              <w:tab/>
              <w:t>v. (3</w:t>
            </w:r>
            <w:r>
              <w:rPr>
                <w:sz w:val="20"/>
                <w:szCs w:val="20"/>
              </w:rPr>
              <w:t>6317</w:t>
            </w:r>
            <w:r w:rsidRPr="00A935AA">
              <w:rPr>
                <w:sz w:val="20"/>
                <w:szCs w:val="20"/>
              </w:rPr>
              <w:t>)</w:t>
            </w:r>
          </w:p>
          <w:p w:rsidR="00303E71" w:rsidRPr="00A935AA" w:rsidRDefault="00303E71" w:rsidP="00FA404A">
            <w:pPr>
              <w:tabs>
                <w:tab w:val="left" w:pos="-1440"/>
                <w:tab w:val="left" w:pos="-720"/>
              </w:tabs>
              <w:rPr>
                <w:sz w:val="20"/>
                <w:szCs w:val="20"/>
              </w:rPr>
            </w:pPr>
          </w:p>
          <w:p w:rsidR="00303E71" w:rsidRPr="00CE2F64" w:rsidRDefault="00303E71" w:rsidP="00FA404A">
            <w:pPr>
              <w:tabs>
                <w:tab w:val="left" w:pos="-1440"/>
                <w:tab w:val="left" w:pos="-720"/>
              </w:tabs>
              <w:rPr>
                <w:b/>
                <w:sz w:val="20"/>
                <w:szCs w:val="20"/>
                <w:lang w:val="fr-CA"/>
              </w:rPr>
            </w:pPr>
            <w:r>
              <w:rPr>
                <w:b/>
                <w:sz w:val="20"/>
                <w:szCs w:val="20"/>
              </w:rPr>
              <w:t>Her Majesty the Queen</w:t>
            </w:r>
            <w:r w:rsidR="00A30D3C">
              <w:rPr>
                <w:b/>
                <w:sz w:val="20"/>
                <w:szCs w:val="20"/>
              </w:rPr>
              <w:t xml:space="preserve"> et al.</w:t>
            </w:r>
            <w:r>
              <w:rPr>
                <w:b/>
                <w:sz w:val="20"/>
                <w:szCs w:val="20"/>
              </w:rPr>
              <w:t xml:space="preserve"> </w:t>
            </w:r>
            <w:r w:rsidRPr="00CE2F64">
              <w:rPr>
                <w:b/>
                <w:sz w:val="20"/>
                <w:szCs w:val="20"/>
                <w:lang w:val="fr-CA"/>
              </w:rPr>
              <w:t>(N.S.)</w:t>
            </w:r>
          </w:p>
          <w:p w:rsidR="00303E71" w:rsidRPr="00F20FD1" w:rsidRDefault="00303E71" w:rsidP="00FA404A">
            <w:pPr>
              <w:tabs>
                <w:tab w:val="left" w:pos="-1440"/>
                <w:tab w:val="left" w:pos="-720"/>
              </w:tabs>
              <w:rPr>
                <w:sz w:val="20"/>
                <w:szCs w:val="20"/>
                <w:lang w:val="fr-CA"/>
              </w:rPr>
            </w:pPr>
            <w:r w:rsidRPr="00CE2F64">
              <w:rPr>
                <w:sz w:val="20"/>
                <w:szCs w:val="20"/>
                <w:lang w:val="fr-CA"/>
              </w:rPr>
              <w:tab/>
            </w:r>
            <w:r w:rsidRPr="00F20FD1">
              <w:rPr>
                <w:sz w:val="20"/>
                <w:szCs w:val="20"/>
                <w:lang w:val="fr-CA"/>
              </w:rPr>
              <w:t>James A. Gumpert, Q.C.</w:t>
            </w:r>
          </w:p>
          <w:p w:rsidR="00303E71" w:rsidRPr="00F20FD1" w:rsidRDefault="00303E71" w:rsidP="00FA404A">
            <w:pPr>
              <w:tabs>
                <w:tab w:val="left" w:pos="-1440"/>
                <w:tab w:val="left" w:pos="-720"/>
              </w:tabs>
              <w:rPr>
                <w:sz w:val="20"/>
                <w:szCs w:val="20"/>
              </w:rPr>
            </w:pPr>
            <w:r w:rsidRPr="00F20FD1">
              <w:rPr>
                <w:sz w:val="20"/>
                <w:szCs w:val="20"/>
                <w:lang w:val="fr-CA"/>
              </w:rPr>
              <w:tab/>
            </w:r>
            <w:r w:rsidRPr="00F20FD1">
              <w:rPr>
                <w:sz w:val="20"/>
                <w:szCs w:val="20"/>
              </w:rPr>
              <w:t xml:space="preserve">Public Prosecution Service of Nova </w:t>
            </w:r>
            <w:r w:rsidRPr="00F20FD1">
              <w:rPr>
                <w:sz w:val="20"/>
                <w:szCs w:val="20"/>
              </w:rPr>
              <w:tab/>
              <w:t>Scotia</w:t>
            </w:r>
          </w:p>
          <w:p w:rsidR="00303E71" w:rsidRPr="00A935AA" w:rsidRDefault="00303E71" w:rsidP="00F20FD1">
            <w:pPr>
              <w:rPr>
                <w:sz w:val="20"/>
                <w:szCs w:val="20"/>
              </w:rPr>
            </w:pPr>
          </w:p>
        </w:tc>
      </w:tr>
      <w:tr w:rsidR="00303E71" w:rsidRPr="00742BC3" w:rsidTr="003B3977">
        <w:trPr>
          <w:cantSplit/>
        </w:trPr>
        <w:tc>
          <w:tcPr>
            <w:tcW w:w="4320" w:type="dxa"/>
            <w:shd w:val="clear" w:color="auto" w:fill="auto"/>
          </w:tcPr>
          <w:p w:rsidR="00303E71" w:rsidRDefault="00303E71" w:rsidP="00F20FD1">
            <w:pPr>
              <w:rPr>
                <w:b/>
                <w:sz w:val="20"/>
                <w:szCs w:val="20"/>
              </w:rPr>
            </w:pPr>
          </w:p>
          <w:p w:rsidR="00303E71" w:rsidRPr="00F20FD1" w:rsidRDefault="00303E71" w:rsidP="00EB00B9">
            <w:pPr>
              <w:rPr>
                <w:b/>
                <w:sz w:val="20"/>
                <w:szCs w:val="20"/>
                <w:lang w:val="fr-CA"/>
              </w:rPr>
            </w:pPr>
            <w:r>
              <w:rPr>
                <w:b/>
                <w:sz w:val="20"/>
                <w:szCs w:val="20"/>
                <w:lang w:val="fr-CA"/>
              </w:rPr>
              <w:t>Bud Clayton et al.</w:t>
            </w:r>
          </w:p>
          <w:p w:rsidR="00303E71" w:rsidRPr="00EB00B9" w:rsidRDefault="00303E71" w:rsidP="00EB00B9">
            <w:pPr>
              <w:tabs>
                <w:tab w:val="left" w:pos="-1440"/>
                <w:tab w:val="left" w:pos="-720"/>
              </w:tabs>
              <w:rPr>
                <w:sz w:val="20"/>
                <w:szCs w:val="20"/>
                <w:lang w:val="fr-CA"/>
              </w:rPr>
            </w:pPr>
            <w:r w:rsidRPr="00F20FD1">
              <w:rPr>
                <w:sz w:val="20"/>
                <w:szCs w:val="20"/>
                <w:lang w:val="fr-CA"/>
              </w:rPr>
              <w:tab/>
            </w:r>
            <w:r w:rsidRPr="00EB00B9">
              <w:rPr>
                <w:sz w:val="20"/>
                <w:szCs w:val="20"/>
                <w:lang w:val="fr-CA"/>
              </w:rPr>
              <w:t>C. Kirk Boggs</w:t>
            </w:r>
          </w:p>
          <w:p w:rsidR="00303E71" w:rsidRPr="00EB00B9" w:rsidRDefault="00303E71" w:rsidP="00EB00B9">
            <w:pPr>
              <w:tabs>
                <w:tab w:val="left" w:pos="-1440"/>
                <w:tab w:val="left" w:pos="-720"/>
              </w:tabs>
              <w:rPr>
                <w:sz w:val="20"/>
                <w:szCs w:val="20"/>
                <w:lang w:val="fr-CA"/>
              </w:rPr>
            </w:pPr>
            <w:r w:rsidRPr="00EB00B9">
              <w:rPr>
                <w:sz w:val="20"/>
                <w:szCs w:val="20"/>
                <w:lang w:val="fr-CA"/>
              </w:rPr>
              <w:tab/>
              <w:t>Lerners LLP</w:t>
            </w:r>
          </w:p>
          <w:p w:rsidR="00303E71" w:rsidRPr="00EB00B9" w:rsidRDefault="00303E71" w:rsidP="00EB00B9">
            <w:pPr>
              <w:tabs>
                <w:tab w:val="left" w:pos="-1440"/>
                <w:tab w:val="left" w:pos="-720"/>
              </w:tabs>
              <w:rPr>
                <w:sz w:val="20"/>
                <w:szCs w:val="20"/>
                <w:lang w:val="fr-CA"/>
              </w:rPr>
            </w:pPr>
          </w:p>
          <w:p w:rsidR="00303E71" w:rsidRPr="00EB00B9" w:rsidRDefault="00303E71" w:rsidP="00EB00B9">
            <w:pPr>
              <w:tabs>
                <w:tab w:val="left" w:pos="-1440"/>
                <w:tab w:val="left" w:pos="-720"/>
              </w:tabs>
              <w:rPr>
                <w:sz w:val="20"/>
                <w:szCs w:val="20"/>
                <w:lang w:val="fr-CA"/>
              </w:rPr>
            </w:pPr>
            <w:r w:rsidRPr="00EB00B9">
              <w:rPr>
                <w:sz w:val="20"/>
                <w:szCs w:val="20"/>
                <w:lang w:val="fr-CA"/>
              </w:rPr>
              <w:tab/>
              <w:t>v. (36320)</w:t>
            </w:r>
          </w:p>
          <w:p w:rsidR="00303E71" w:rsidRPr="00EB00B9" w:rsidRDefault="00303E71" w:rsidP="00EB00B9">
            <w:pPr>
              <w:tabs>
                <w:tab w:val="left" w:pos="-1440"/>
                <w:tab w:val="left" w:pos="-720"/>
              </w:tabs>
              <w:rPr>
                <w:sz w:val="20"/>
                <w:szCs w:val="20"/>
                <w:lang w:val="fr-CA"/>
              </w:rPr>
            </w:pPr>
          </w:p>
          <w:p w:rsidR="00303E71" w:rsidRPr="00F20FD1" w:rsidRDefault="00303E71" w:rsidP="00EB00B9">
            <w:pPr>
              <w:tabs>
                <w:tab w:val="left" w:pos="-1440"/>
                <w:tab w:val="left" w:pos="-720"/>
              </w:tabs>
              <w:rPr>
                <w:b/>
                <w:sz w:val="20"/>
                <w:szCs w:val="20"/>
                <w:lang w:val="fr-CA"/>
              </w:rPr>
            </w:pPr>
            <w:r w:rsidRPr="00F20FD1">
              <w:rPr>
                <w:b/>
                <w:sz w:val="20"/>
                <w:szCs w:val="20"/>
                <w:lang w:val="fr-CA"/>
              </w:rPr>
              <w:t>Janet Gutowski (Ont.)</w:t>
            </w:r>
          </w:p>
          <w:p w:rsidR="00303E71" w:rsidRPr="00F20FD1" w:rsidRDefault="00303E71" w:rsidP="00EB00B9">
            <w:pPr>
              <w:tabs>
                <w:tab w:val="left" w:pos="-1440"/>
                <w:tab w:val="left" w:pos="-720"/>
              </w:tabs>
              <w:rPr>
                <w:sz w:val="20"/>
                <w:szCs w:val="20"/>
              </w:rPr>
            </w:pPr>
            <w:r w:rsidRPr="00F20FD1">
              <w:rPr>
                <w:sz w:val="20"/>
                <w:szCs w:val="20"/>
                <w:lang w:val="fr-CA"/>
              </w:rPr>
              <w:tab/>
            </w:r>
            <w:r w:rsidRPr="00F20FD1">
              <w:rPr>
                <w:sz w:val="20"/>
                <w:szCs w:val="20"/>
              </w:rPr>
              <w:t>Keith A. MacLaren</w:t>
            </w:r>
          </w:p>
          <w:p w:rsidR="00303E71" w:rsidRPr="00F20FD1" w:rsidRDefault="00303E71" w:rsidP="00EB00B9">
            <w:pPr>
              <w:tabs>
                <w:tab w:val="left" w:pos="-1440"/>
                <w:tab w:val="left" w:pos="-720"/>
              </w:tabs>
              <w:rPr>
                <w:sz w:val="20"/>
                <w:szCs w:val="20"/>
              </w:rPr>
            </w:pPr>
            <w:r w:rsidRPr="00F20FD1">
              <w:rPr>
                <w:sz w:val="20"/>
                <w:szCs w:val="20"/>
              </w:rPr>
              <w:tab/>
              <w:t>Perley-Robertson, Hill &amp; McDougall</w:t>
            </w:r>
          </w:p>
          <w:p w:rsidR="00303E71" w:rsidRPr="00F20FD1" w:rsidRDefault="00303E71" w:rsidP="00EB00B9">
            <w:pPr>
              <w:tabs>
                <w:tab w:val="left" w:pos="-1440"/>
                <w:tab w:val="left" w:pos="-720"/>
              </w:tabs>
              <w:rPr>
                <w:sz w:val="20"/>
                <w:szCs w:val="20"/>
              </w:rPr>
            </w:pPr>
          </w:p>
          <w:p w:rsidR="00303E71" w:rsidRPr="00A935AA" w:rsidRDefault="00303E71" w:rsidP="00EB00B9">
            <w:pPr>
              <w:rPr>
                <w:sz w:val="20"/>
                <w:szCs w:val="20"/>
              </w:rPr>
            </w:pPr>
            <w:r w:rsidRPr="00F20FD1">
              <w:rPr>
                <w:sz w:val="20"/>
                <w:szCs w:val="20"/>
                <w:lang w:val="fr-CA"/>
              </w:rPr>
              <w:t>FILING DATE: 2</w:t>
            </w:r>
            <w:r>
              <w:rPr>
                <w:sz w:val="20"/>
                <w:szCs w:val="20"/>
                <w:lang w:val="fr-CA"/>
              </w:rPr>
              <w:t>0.</w:t>
            </w:r>
            <w:r w:rsidRPr="00F20FD1">
              <w:rPr>
                <w:sz w:val="20"/>
                <w:szCs w:val="20"/>
                <w:lang w:val="fr-CA"/>
              </w:rPr>
              <w:t>02.2015</w:t>
            </w:r>
            <w:r w:rsidR="00742BC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p w:rsidR="00303E71" w:rsidRDefault="00303E71" w:rsidP="00242AEE">
            <w:pPr>
              <w:jc w:val="center"/>
              <w:rPr>
                <w:sz w:val="20"/>
                <w:szCs w:val="20"/>
              </w:rPr>
            </w:pPr>
          </w:p>
        </w:tc>
        <w:tc>
          <w:tcPr>
            <w:tcW w:w="4320" w:type="dxa"/>
            <w:shd w:val="clear" w:color="auto" w:fill="auto"/>
          </w:tcPr>
          <w:p w:rsidR="00303E71" w:rsidRPr="00CE2F64" w:rsidRDefault="00303E71" w:rsidP="00FA404A">
            <w:pPr>
              <w:rPr>
                <w:sz w:val="20"/>
                <w:szCs w:val="20"/>
              </w:rPr>
            </w:pPr>
            <w:r w:rsidRPr="00A935AA">
              <w:rPr>
                <w:sz w:val="20"/>
                <w:szCs w:val="20"/>
              </w:rPr>
              <w:t xml:space="preserve">FILING DATE: </w:t>
            </w:r>
            <w:r>
              <w:rPr>
                <w:sz w:val="20"/>
                <w:szCs w:val="20"/>
              </w:rPr>
              <w:t>31</w:t>
            </w:r>
            <w:r w:rsidRPr="00A935AA">
              <w:rPr>
                <w:sz w:val="20"/>
                <w:szCs w:val="20"/>
              </w:rPr>
              <w:t>.</w:t>
            </w:r>
            <w:r>
              <w:rPr>
                <w:sz w:val="20"/>
                <w:szCs w:val="20"/>
              </w:rPr>
              <w:t>12</w:t>
            </w:r>
            <w:r w:rsidRPr="00A935AA">
              <w:rPr>
                <w:sz w:val="20"/>
                <w:szCs w:val="20"/>
              </w:rPr>
              <w:t>.201</w:t>
            </w:r>
            <w:r>
              <w:rPr>
                <w:sz w:val="20"/>
                <w:szCs w:val="20"/>
              </w:rPr>
              <w:t>4</w:t>
            </w:r>
            <w:r w:rsidR="00742BC3">
              <w:rPr>
                <w:sz w:val="20"/>
                <w:szCs w:val="20"/>
                <w:lang w:val="fr-CA"/>
              </w:rPr>
              <w:pict>
                <v:rect id="_x0000_i1028" style="width:108pt;height:1pt" o:hrpct="0" o:hralign="center" o:hrstd="t" o:hrnoshade="t" o:hr="t" fillcolor="black [3213]" stroked="f"/>
              </w:pict>
            </w:r>
          </w:p>
          <w:p w:rsidR="00303E71" w:rsidRPr="00CE2F64" w:rsidRDefault="00303E71" w:rsidP="00FA404A">
            <w:pPr>
              <w:rPr>
                <w:sz w:val="20"/>
                <w:szCs w:val="20"/>
              </w:rPr>
            </w:pPr>
          </w:p>
          <w:p w:rsidR="00303E71" w:rsidRPr="00CE2F64" w:rsidRDefault="00303E71" w:rsidP="00F20FD1">
            <w:pPr>
              <w:keepNext/>
              <w:keepLines/>
              <w:tabs>
                <w:tab w:val="left" w:pos="-1440"/>
                <w:tab w:val="left" w:pos="-720"/>
              </w:tabs>
              <w:rPr>
                <w:b/>
                <w:sz w:val="20"/>
                <w:szCs w:val="20"/>
              </w:rPr>
            </w:pPr>
            <w:r w:rsidRPr="00CE2F64">
              <w:rPr>
                <w:b/>
                <w:sz w:val="20"/>
                <w:szCs w:val="20"/>
              </w:rPr>
              <w:t>C.M.</w:t>
            </w:r>
          </w:p>
          <w:p w:rsidR="00303E71" w:rsidRPr="00CE2F64" w:rsidRDefault="00303E71" w:rsidP="00F20FD1">
            <w:pPr>
              <w:keepNext/>
              <w:keepLines/>
              <w:tabs>
                <w:tab w:val="left" w:pos="-1440"/>
                <w:tab w:val="left" w:pos="-720"/>
              </w:tabs>
              <w:rPr>
                <w:sz w:val="20"/>
                <w:szCs w:val="20"/>
              </w:rPr>
            </w:pPr>
            <w:r w:rsidRPr="00CE2F64">
              <w:rPr>
                <w:sz w:val="20"/>
                <w:szCs w:val="20"/>
              </w:rPr>
              <w:tab/>
              <w:t>C.M.</w:t>
            </w:r>
          </w:p>
          <w:p w:rsidR="00303E71" w:rsidRPr="00CE2F64" w:rsidRDefault="00303E71" w:rsidP="00F20FD1">
            <w:pPr>
              <w:keepNext/>
              <w:keepLines/>
              <w:tabs>
                <w:tab w:val="left" w:pos="-1440"/>
                <w:tab w:val="left" w:pos="-720"/>
              </w:tabs>
              <w:rPr>
                <w:sz w:val="20"/>
                <w:szCs w:val="20"/>
              </w:rPr>
            </w:pPr>
          </w:p>
          <w:p w:rsidR="00303E71" w:rsidRPr="00806A5B" w:rsidRDefault="00303E71" w:rsidP="00F20FD1">
            <w:pPr>
              <w:keepNext/>
              <w:keepLines/>
              <w:tabs>
                <w:tab w:val="left" w:pos="-1440"/>
                <w:tab w:val="left" w:pos="-720"/>
              </w:tabs>
              <w:rPr>
                <w:sz w:val="20"/>
                <w:szCs w:val="20"/>
                <w:lang w:val="fr-CA"/>
              </w:rPr>
            </w:pPr>
            <w:r w:rsidRPr="00CE2F64">
              <w:rPr>
                <w:sz w:val="20"/>
                <w:szCs w:val="20"/>
              </w:rPr>
              <w:tab/>
            </w:r>
            <w:r w:rsidRPr="00806A5B">
              <w:rPr>
                <w:sz w:val="20"/>
                <w:szCs w:val="20"/>
                <w:lang w:val="fr-CA"/>
              </w:rPr>
              <w:t>c. (36</w:t>
            </w:r>
            <w:r>
              <w:rPr>
                <w:sz w:val="20"/>
                <w:szCs w:val="20"/>
                <w:lang w:val="fr-CA"/>
              </w:rPr>
              <w:t>306</w:t>
            </w:r>
            <w:r w:rsidRPr="00806A5B">
              <w:rPr>
                <w:sz w:val="20"/>
                <w:szCs w:val="20"/>
                <w:lang w:val="fr-CA"/>
              </w:rPr>
              <w:t>)</w:t>
            </w:r>
          </w:p>
          <w:p w:rsidR="00303E71" w:rsidRPr="00806A5B" w:rsidRDefault="00303E71" w:rsidP="00F20FD1">
            <w:pPr>
              <w:keepNext/>
              <w:keepLines/>
              <w:tabs>
                <w:tab w:val="left" w:pos="-1440"/>
                <w:tab w:val="left" w:pos="-720"/>
              </w:tabs>
              <w:rPr>
                <w:sz w:val="20"/>
                <w:szCs w:val="20"/>
                <w:lang w:val="fr-CA"/>
              </w:rPr>
            </w:pPr>
          </w:p>
          <w:p w:rsidR="00303E71" w:rsidRPr="00806A5B" w:rsidRDefault="00303E71" w:rsidP="00F20FD1">
            <w:pPr>
              <w:keepNext/>
              <w:keepLines/>
              <w:tabs>
                <w:tab w:val="left" w:pos="-1440"/>
                <w:tab w:val="left" w:pos="-720"/>
              </w:tabs>
              <w:rPr>
                <w:b/>
                <w:sz w:val="20"/>
                <w:szCs w:val="20"/>
                <w:lang w:val="fr-CA"/>
              </w:rPr>
            </w:pPr>
            <w:r>
              <w:rPr>
                <w:b/>
                <w:sz w:val="20"/>
                <w:szCs w:val="20"/>
                <w:lang w:val="fr-CA"/>
              </w:rPr>
              <w:t>L.L. et autr</w:t>
            </w:r>
            <w:r w:rsidRPr="00806A5B">
              <w:rPr>
                <w:b/>
                <w:sz w:val="20"/>
                <w:szCs w:val="20"/>
                <w:lang w:val="fr-CA"/>
              </w:rPr>
              <w:t>e (Qc)</w:t>
            </w:r>
          </w:p>
          <w:p w:rsidR="00303E71" w:rsidRPr="00806A5B" w:rsidRDefault="00303E71" w:rsidP="00F20FD1">
            <w:pPr>
              <w:keepNext/>
              <w:keepLines/>
              <w:tabs>
                <w:tab w:val="left" w:pos="-1440"/>
                <w:tab w:val="left" w:pos="-720"/>
              </w:tabs>
              <w:rPr>
                <w:sz w:val="20"/>
                <w:szCs w:val="20"/>
                <w:lang w:val="fr-CA"/>
              </w:rPr>
            </w:pPr>
            <w:r w:rsidRPr="00806A5B">
              <w:rPr>
                <w:sz w:val="20"/>
                <w:szCs w:val="20"/>
                <w:lang w:val="fr-CA"/>
              </w:rPr>
              <w:tab/>
            </w:r>
            <w:r>
              <w:rPr>
                <w:sz w:val="20"/>
                <w:szCs w:val="20"/>
                <w:lang w:val="fr-CA"/>
              </w:rPr>
              <w:t>Sylvain Lallier</w:t>
            </w:r>
          </w:p>
          <w:p w:rsidR="00303E71" w:rsidRPr="00806A5B" w:rsidRDefault="00303E71" w:rsidP="00F20FD1">
            <w:pPr>
              <w:keepNext/>
              <w:keepLines/>
              <w:tabs>
                <w:tab w:val="left" w:pos="-1440"/>
                <w:tab w:val="left" w:pos="-720"/>
              </w:tabs>
              <w:rPr>
                <w:sz w:val="20"/>
                <w:szCs w:val="20"/>
                <w:lang w:val="fr-CA"/>
              </w:rPr>
            </w:pPr>
          </w:p>
          <w:p w:rsidR="00303E71" w:rsidRPr="00F20FD1" w:rsidRDefault="00303E71" w:rsidP="00F20FD1">
            <w:pPr>
              <w:rPr>
                <w:b/>
                <w:sz w:val="20"/>
                <w:szCs w:val="20"/>
                <w:lang w:val="fr-CA"/>
              </w:rPr>
            </w:pPr>
            <w:r w:rsidRPr="00806A5B">
              <w:rPr>
                <w:sz w:val="20"/>
                <w:szCs w:val="20"/>
                <w:lang w:val="fr-CA"/>
              </w:rPr>
              <w:t xml:space="preserve">DATE DE PRODUCTION: </w:t>
            </w:r>
            <w:r>
              <w:rPr>
                <w:sz w:val="20"/>
                <w:szCs w:val="20"/>
                <w:lang w:val="fr-CA"/>
              </w:rPr>
              <w:t>27</w:t>
            </w:r>
            <w:r w:rsidRPr="00806A5B">
              <w:rPr>
                <w:sz w:val="20"/>
                <w:szCs w:val="20"/>
                <w:lang w:val="fr-CA"/>
              </w:rPr>
              <w:t>.01.201</w:t>
            </w:r>
            <w:r>
              <w:rPr>
                <w:sz w:val="20"/>
                <w:szCs w:val="20"/>
                <w:lang w:val="fr-CA"/>
              </w:rPr>
              <w:t>5</w:t>
            </w:r>
            <w:r w:rsidR="00742BC3">
              <w:rPr>
                <w:sz w:val="20"/>
                <w:szCs w:val="20"/>
                <w:lang w:val="fr-CA"/>
              </w:rPr>
              <w:pict>
                <v:rect id="_x0000_i1029" style="width:108pt;height:1pt" o:hrpct="0" o:hralign="center" o:hrstd="t" o:hrnoshade="t" o:hr="t" fillcolor="black [3213]" stroked="f"/>
              </w:pict>
            </w:r>
          </w:p>
        </w:tc>
      </w:tr>
      <w:tr w:rsidR="00303E71" w:rsidRPr="002D0B2C" w:rsidTr="003B3977">
        <w:trPr>
          <w:cantSplit/>
        </w:trPr>
        <w:tc>
          <w:tcPr>
            <w:tcW w:w="4320" w:type="dxa"/>
            <w:shd w:val="clear" w:color="auto" w:fill="auto"/>
          </w:tcPr>
          <w:p w:rsidR="00303E71" w:rsidRPr="00EB00B9" w:rsidRDefault="00303E71" w:rsidP="00FA404A">
            <w:pPr>
              <w:rPr>
                <w:b/>
                <w:sz w:val="20"/>
                <w:szCs w:val="20"/>
              </w:rPr>
            </w:pPr>
            <w:r w:rsidRPr="00EB00B9">
              <w:rPr>
                <w:b/>
                <w:sz w:val="20"/>
                <w:szCs w:val="20"/>
              </w:rPr>
              <w:t>World Bank Group</w:t>
            </w:r>
          </w:p>
          <w:p w:rsidR="00303E71" w:rsidRPr="00CE2F64" w:rsidRDefault="00303E71" w:rsidP="00FA404A">
            <w:pPr>
              <w:tabs>
                <w:tab w:val="left" w:pos="-1440"/>
                <w:tab w:val="left" w:pos="-720"/>
              </w:tabs>
              <w:rPr>
                <w:sz w:val="20"/>
                <w:szCs w:val="20"/>
              </w:rPr>
            </w:pPr>
            <w:r w:rsidRPr="00EB00B9">
              <w:rPr>
                <w:sz w:val="20"/>
                <w:szCs w:val="20"/>
              </w:rPr>
              <w:tab/>
            </w:r>
            <w:r w:rsidRPr="00CE2F64">
              <w:rPr>
                <w:sz w:val="20"/>
                <w:szCs w:val="20"/>
              </w:rPr>
              <w:t>Alan J. Lenczner, Q.C.</w:t>
            </w:r>
          </w:p>
          <w:p w:rsidR="00303E71" w:rsidRPr="00F20FD1" w:rsidRDefault="00303E71" w:rsidP="00FA404A">
            <w:pPr>
              <w:tabs>
                <w:tab w:val="left" w:pos="-1440"/>
                <w:tab w:val="left" w:pos="-720"/>
              </w:tabs>
              <w:rPr>
                <w:sz w:val="20"/>
                <w:szCs w:val="20"/>
              </w:rPr>
            </w:pPr>
            <w:r w:rsidRPr="00CE2F64">
              <w:rPr>
                <w:sz w:val="20"/>
                <w:szCs w:val="20"/>
              </w:rPr>
              <w:tab/>
            </w:r>
            <w:r w:rsidRPr="00F20FD1">
              <w:rPr>
                <w:sz w:val="20"/>
                <w:szCs w:val="20"/>
              </w:rPr>
              <w:t>Len</w:t>
            </w:r>
            <w:r>
              <w:rPr>
                <w:sz w:val="20"/>
                <w:szCs w:val="20"/>
              </w:rPr>
              <w:t>czn</w:t>
            </w:r>
            <w:r w:rsidRPr="00F20FD1">
              <w:rPr>
                <w:sz w:val="20"/>
                <w:szCs w:val="20"/>
              </w:rPr>
              <w:t>er</w:t>
            </w:r>
            <w:r>
              <w:rPr>
                <w:sz w:val="20"/>
                <w:szCs w:val="20"/>
              </w:rPr>
              <w:t xml:space="preserve"> Slaght Royce Smith Griffin </w:t>
            </w:r>
            <w:r>
              <w:rPr>
                <w:sz w:val="20"/>
                <w:szCs w:val="20"/>
              </w:rPr>
              <w:tab/>
            </w:r>
            <w:r w:rsidRPr="00F20FD1">
              <w:rPr>
                <w:sz w:val="20"/>
                <w:szCs w:val="20"/>
              </w:rPr>
              <w:t>LLP</w:t>
            </w:r>
          </w:p>
          <w:p w:rsidR="00303E71" w:rsidRPr="00F20FD1" w:rsidRDefault="00303E71" w:rsidP="00FA404A">
            <w:pPr>
              <w:tabs>
                <w:tab w:val="left" w:pos="-1440"/>
                <w:tab w:val="left" w:pos="-720"/>
              </w:tabs>
              <w:rPr>
                <w:sz w:val="20"/>
                <w:szCs w:val="20"/>
              </w:rPr>
            </w:pPr>
          </w:p>
          <w:p w:rsidR="00303E71" w:rsidRPr="002D0B2C" w:rsidRDefault="00303E71" w:rsidP="00FA404A">
            <w:pPr>
              <w:tabs>
                <w:tab w:val="left" w:pos="-1440"/>
                <w:tab w:val="left" w:pos="-720"/>
              </w:tabs>
              <w:rPr>
                <w:sz w:val="20"/>
                <w:szCs w:val="20"/>
                <w:lang w:val="fr-CA"/>
              </w:rPr>
            </w:pPr>
            <w:r w:rsidRPr="00F20FD1">
              <w:rPr>
                <w:sz w:val="20"/>
                <w:szCs w:val="20"/>
              </w:rPr>
              <w:tab/>
            </w:r>
            <w:r w:rsidRPr="002D0B2C">
              <w:rPr>
                <w:sz w:val="20"/>
                <w:szCs w:val="20"/>
                <w:lang w:val="fr-CA"/>
              </w:rPr>
              <w:t>v. (36315)</w:t>
            </w:r>
          </w:p>
          <w:p w:rsidR="00303E71" w:rsidRPr="002D0B2C" w:rsidRDefault="00303E71" w:rsidP="00FA404A">
            <w:pPr>
              <w:tabs>
                <w:tab w:val="left" w:pos="-1440"/>
                <w:tab w:val="left" w:pos="-720"/>
              </w:tabs>
              <w:rPr>
                <w:sz w:val="20"/>
                <w:szCs w:val="20"/>
                <w:lang w:val="fr-CA"/>
              </w:rPr>
            </w:pPr>
          </w:p>
          <w:p w:rsidR="00303E71" w:rsidRPr="00CE2F64" w:rsidRDefault="00303E71" w:rsidP="00FA404A">
            <w:pPr>
              <w:tabs>
                <w:tab w:val="left" w:pos="-1440"/>
                <w:tab w:val="left" w:pos="-720"/>
              </w:tabs>
              <w:rPr>
                <w:b/>
                <w:sz w:val="20"/>
                <w:szCs w:val="20"/>
              </w:rPr>
            </w:pPr>
            <w:r w:rsidRPr="002D0B2C">
              <w:rPr>
                <w:b/>
                <w:sz w:val="20"/>
                <w:szCs w:val="20"/>
                <w:lang w:val="fr-CA"/>
              </w:rPr>
              <w:t xml:space="preserve">Kevin Wallace et al. </w:t>
            </w:r>
            <w:r w:rsidRPr="00CE2F64">
              <w:rPr>
                <w:b/>
                <w:sz w:val="20"/>
                <w:szCs w:val="20"/>
              </w:rPr>
              <w:t>(Ont.)</w:t>
            </w:r>
          </w:p>
          <w:p w:rsidR="00303E71" w:rsidRPr="00CE2F64" w:rsidRDefault="00303E71" w:rsidP="00FA404A">
            <w:pPr>
              <w:tabs>
                <w:tab w:val="left" w:pos="-1440"/>
                <w:tab w:val="left" w:pos="-720"/>
              </w:tabs>
              <w:rPr>
                <w:sz w:val="20"/>
                <w:szCs w:val="20"/>
              </w:rPr>
            </w:pPr>
            <w:r w:rsidRPr="00CE2F64">
              <w:rPr>
                <w:sz w:val="20"/>
                <w:szCs w:val="20"/>
              </w:rPr>
              <w:tab/>
              <w:t>Scott K. Fenton</w:t>
            </w:r>
          </w:p>
          <w:p w:rsidR="00303E71" w:rsidRPr="00CE2F64" w:rsidRDefault="00303E71" w:rsidP="00FA404A">
            <w:pPr>
              <w:tabs>
                <w:tab w:val="left" w:pos="-1440"/>
                <w:tab w:val="left" w:pos="-720"/>
              </w:tabs>
              <w:rPr>
                <w:sz w:val="20"/>
                <w:szCs w:val="20"/>
              </w:rPr>
            </w:pPr>
            <w:r w:rsidRPr="00CE2F64">
              <w:rPr>
                <w:sz w:val="20"/>
                <w:szCs w:val="20"/>
              </w:rPr>
              <w:tab/>
              <w:t>Fenton, Smith</w:t>
            </w:r>
          </w:p>
          <w:p w:rsidR="00303E71" w:rsidRPr="00CE2F64" w:rsidRDefault="00303E71" w:rsidP="00FA404A">
            <w:pPr>
              <w:tabs>
                <w:tab w:val="left" w:pos="-1440"/>
                <w:tab w:val="left" w:pos="-720"/>
              </w:tabs>
              <w:rPr>
                <w:sz w:val="20"/>
                <w:szCs w:val="20"/>
              </w:rPr>
            </w:pPr>
          </w:p>
          <w:p w:rsidR="00303E71" w:rsidRPr="00CE2F64" w:rsidRDefault="00303E71" w:rsidP="00F20FD1">
            <w:pPr>
              <w:rPr>
                <w:sz w:val="20"/>
                <w:szCs w:val="20"/>
              </w:rPr>
            </w:pPr>
            <w:r w:rsidRPr="00CE2F64">
              <w:rPr>
                <w:sz w:val="20"/>
                <w:szCs w:val="20"/>
              </w:rPr>
              <w:t>FILING DATE: 20.02.2015</w:t>
            </w:r>
            <w:r w:rsidR="00742BC3">
              <w:rPr>
                <w:sz w:val="20"/>
                <w:szCs w:val="20"/>
                <w:lang w:val="fr-CA"/>
              </w:rPr>
              <w:pict>
                <v:rect id="_x0000_i1030" style="width:108pt;height:1pt" o:hrpct="0" o:hralign="center" o:hrstd="t" o:hrnoshade="t" o:hr="t" fillcolor="black [3213]" stroked="f"/>
              </w:pict>
            </w:r>
          </w:p>
        </w:tc>
        <w:tc>
          <w:tcPr>
            <w:tcW w:w="1181" w:type="dxa"/>
            <w:shd w:val="clear" w:color="auto" w:fill="auto"/>
          </w:tcPr>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p w:rsidR="00303E71" w:rsidRPr="00CE2F64" w:rsidRDefault="00303E71" w:rsidP="00242AEE">
            <w:pPr>
              <w:jc w:val="center"/>
              <w:rPr>
                <w:sz w:val="20"/>
                <w:szCs w:val="20"/>
              </w:rPr>
            </w:pPr>
          </w:p>
        </w:tc>
        <w:tc>
          <w:tcPr>
            <w:tcW w:w="4320" w:type="dxa"/>
            <w:shd w:val="clear" w:color="auto" w:fill="auto"/>
          </w:tcPr>
          <w:p w:rsidR="00303E71" w:rsidRPr="002D0B2C" w:rsidRDefault="00303E71" w:rsidP="00FA404A">
            <w:pPr>
              <w:keepNext/>
              <w:keepLines/>
              <w:tabs>
                <w:tab w:val="left" w:pos="-1440"/>
                <w:tab w:val="left" w:pos="-720"/>
              </w:tabs>
              <w:rPr>
                <w:b/>
                <w:sz w:val="20"/>
                <w:szCs w:val="20"/>
              </w:rPr>
            </w:pPr>
            <w:r w:rsidRPr="002D0B2C">
              <w:rPr>
                <w:b/>
                <w:sz w:val="20"/>
                <w:szCs w:val="20"/>
              </w:rPr>
              <w:t>Brian Leigh Flanagan</w:t>
            </w:r>
          </w:p>
          <w:p w:rsidR="00303E71" w:rsidRPr="002D0B2C" w:rsidRDefault="00303E71" w:rsidP="00FA404A">
            <w:pPr>
              <w:keepNext/>
              <w:keepLines/>
              <w:tabs>
                <w:tab w:val="left" w:pos="-1440"/>
                <w:tab w:val="left" w:pos="-720"/>
              </w:tabs>
              <w:rPr>
                <w:sz w:val="20"/>
                <w:szCs w:val="20"/>
              </w:rPr>
            </w:pPr>
            <w:r w:rsidRPr="002D0B2C">
              <w:rPr>
                <w:sz w:val="20"/>
                <w:szCs w:val="20"/>
              </w:rPr>
              <w:tab/>
              <w:t>Thomas Beasley</w:t>
            </w:r>
          </w:p>
          <w:p w:rsidR="00303E71" w:rsidRPr="002D0B2C" w:rsidRDefault="00303E71" w:rsidP="00FA404A">
            <w:pPr>
              <w:keepNext/>
              <w:keepLines/>
              <w:tabs>
                <w:tab w:val="left" w:pos="-1440"/>
                <w:tab w:val="left" w:pos="-720"/>
              </w:tabs>
              <w:rPr>
                <w:sz w:val="20"/>
                <w:szCs w:val="20"/>
              </w:rPr>
            </w:pPr>
            <w:r w:rsidRPr="002D0B2C">
              <w:rPr>
                <w:sz w:val="20"/>
                <w:szCs w:val="20"/>
              </w:rPr>
              <w:tab/>
              <w:t>Bernard LLP</w:t>
            </w:r>
          </w:p>
          <w:p w:rsidR="00303E71" w:rsidRPr="002D0B2C" w:rsidRDefault="00303E71" w:rsidP="00FA404A">
            <w:pPr>
              <w:keepNext/>
              <w:keepLines/>
              <w:tabs>
                <w:tab w:val="left" w:pos="-1440"/>
                <w:tab w:val="left" w:pos="-720"/>
              </w:tabs>
              <w:rPr>
                <w:sz w:val="20"/>
                <w:szCs w:val="20"/>
              </w:rPr>
            </w:pPr>
          </w:p>
          <w:p w:rsidR="00303E71" w:rsidRPr="00CE2F64" w:rsidRDefault="00303E71" w:rsidP="00FA404A">
            <w:pPr>
              <w:keepNext/>
              <w:keepLines/>
              <w:tabs>
                <w:tab w:val="left" w:pos="-1440"/>
                <w:tab w:val="left" w:pos="-720"/>
              </w:tabs>
              <w:rPr>
                <w:sz w:val="20"/>
                <w:szCs w:val="20"/>
              </w:rPr>
            </w:pPr>
            <w:r w:rsidRPr="002D0B2C">
              <w:rPr>
                <w:sz w:val="20"/>
                <w:szCs w:val="20"/>
              </w:rPr>
              <w:tab/>
            </w:r>
            <w:r w:rsidRPr="00CE2F64">
              <w:rPr>
                <w:sz w:val="20"/>
                <w:szCs w:val="20"/>
              </w:rPr>
              <w:t>v</w:t>
            </w:r>
            <w:r w:rsidR="00A93CE2" w:rsidRPr="00CE2F64">
              <w:rPr>
                <w:sz w:val="20"/>
                <w:szCs w:val="20"/>
              </w:rPr>
              <w:t>. (3</w:t>
            </w:r>
            <w:r w:rsidRPr="00CE2F64">
              <w:rPr>
                <w:sz w:val="20"/>
                <w:szCs w:val="20"/>
              </w:rPr>
              <w:t>6</w:t>
            </w:r>
            <w:r w:rsidR="00A93CE2" w:rsidRPr="00CE2F64">
              <w:rPr>
                <w:sz w:val="20"/>
                <w:szCs w:val="20"/>
              </w:rPr>
              <w:t>316</w:t>
            </w:r>
            <w:r w:rsidRPr="00CE2F64">
              <w:rPr>
                <w:sz w:val="20"/>
                <w:szCs w:val="20"/>
              </w:rPr>
              <w:t>)</w:t>
            </w:r>
          </w:p>
          <w:p w:rsidR="00303E71" w:rsidRPr="00CE2F64" w:rsidRDefault="00303E71" w:rsidP="00FA404A">
            <w:pPr>
              <w:keepNext/>
              <w:keepLines/>
              <w:tabs>
                <w:tab w:val="left" w:pos="-1440"/>
                <w:tab w:val="left" w:pos="-720"/>
              </w:tabs>
              <w:rPr>
                <w:sz w:val="20"/>
                <w:szCs w:val="20"/>
              </w:rPr>
            </w:pPr>
          </w:p>
          <w:p w:rsidR="00303E71" w:rsidRPr="00CE2F64" w:rsidRDefault="00303E71" w:rsidP="00FA404A">
            <w:pPr>
              <w:keepNext/>
              <w:keepLines/>
              <w:tabs>
                <w:tab w:val="left" w:pos="-1440"/>
                <w:tab w:val="left" w:pos="-720"/>
              </w:tabs>
              <w:rPr>
                <w:b/>
                <w:sz w:val="20"/>
                <w:szCs w:val="20"/>
              </w:rPr>
            </w:pPr>
            <w:r w:rsidRPr="00CE2F64">
              <w:rPr>
                <w:b/>
                <w:sz w:val="20"/>
                <w:szCs w:val="20"/>
              </w:rPr>
              <w:t>Attorney General of Canada et al. (B.C.)</w:t>
            </w:r>
          </w:p>
          <w:p w:rsidR="00303E71" w:rsidRPr="002D0B2C" w:rsidRDefault="00303E71" w:rsidP="00FA404A">
            <w:pPr>
              <w:keepNext/>
              <w:keepLines/>
              <w:tabs>
                <w:tab w:val="left" w:pos="-1440"/>
                <w:tab w:val="left" w:pos="-720"/>
              </w:tabs>
              <w:rPr>
                <w:sz w:val="20"/>
                <w:szCs w:val="20"/>
              </w:rPr>
            </w:pPr>
            <w:r w:rsidRPr="00CE2F64">
              <w:rPr>
                <w:sz w:val="20"/>
                <w:szCs w:val="20"/>
              </w:rPr>
              <w:tab/>
            </w:r>
            <w:r w:rsidRPr="002D0B2C">
              <w:rPr>
                <w:sz w:val="20"/>
                <w:szCs w:val="20"/>
              </w:rPr>
              <w:t>Mitchell R. Taylor, Q.C.</w:t>
            </w:r>
          </w:p>
          <w:p w:rsidR="00303E71" w:rsidRPr="00CE2F64" w:rsidRDefault="00303E71" w:rsidP="00FA404A">
            <w:pPr>
              <w:keepNext/>
              <w:keepLines/>
              <w:tabs>
                <w:tab w:val="left" w:pos="-1440"/>
                <w:tab w:val="left" w:pos="-720"/>
              </w:tabs>
              <w:rPr>
                <w:sz w:val="20"/>
                <w:szCs w:val="20"/>
              </w:rPr>
            </w:pPr>
            <w:r w:rsidRPr="002D0B2C">
              <w:rPr>
                <w:sz w:val="20"/>
                <w:szCs w:val="20"/>
              </w:rPr>
              <w:tab/>
            </w:r>
            <w:r w:rsidRPr="00CE2F64">
              <w:rPr>
                <w:sz w:val="20"/>
                <w:szCs w:val="20"/>
              </w:rPr>
              <w:t>Department of Justice</w:t>
            </w:r>
          </w:p>
          <w:p w:rsidR="00303E71" w:rsidRPr="00CE2F64" w:rsidRDefault="00303E71" w:rsidP="00FA404A">
            <w:pPr>
              <w:keepNext/>
              <w:keepLines/>
              <w:tabs>
                <w:tab w:val="left" w:pos="-1440"/>
                <w:tab w:val="left" w:pos="-720"/>
              </w:tabs>
              <w:rPr>
                <w:sz w:val="20"/>
                <w:szCs w:val="20"/>
              </w:rPr>
            </w:pPr>
          </w:p>
          <w:p w:rsidR="00303E71" w:rsidRPr="00CE2F64" w:rsidRDefault="00303E71" w:rsidP="002D0B2C">
            <w:pPr>
              <w:rPr>
                <w:sz w:val="20"/>
                <w:szCs w:val="20"/>
              </w:rPr>
            </w:pPr>
            <w:r w:rsidRPr="00CE2F64">
              <w:rPr>
                <w:sz w:val="20"/>
                <w:szCs w:val="20"/>
              </w:rPr>
              <w:t>FILING DATE: 20.02.2015</w:t>
            </w:r>
            <w:r w:rsidR="00742BC3">
              <w:rPr>
                <w:sz w:val="20"/>
                <w:szCs w:val="20"/>
                <w:lang w:val="fr-CA"/>
              </w:rPr>
              <w:pict>
                <v:rect id="_x0000_i1031" style="width:108pt;height:1pt" o:hrpct="0" o:hralign="center" o:hrstd="t" o:hrnoshade="t" o:hr="t" fillcolor="black [3213]" stroked="f"/>
              </w:pict>
            </w:r>
          </w:p>
        </w:tc>
      </w:tr>
    </w:tbl>
    <w:p w:rsidR="006C3F47" w:rsidRPr="00CE2F64" w:rsidRDefault="006C3F47" w:rsidP="0095096B">
      <w:pPr>
        <w:tabs>
          <w:tab w:val="right" w:pos="9360"/>
        </w:tabs>
        <w:rPr>
          <w:sz w:val="20"/>
          <w:szCs w:val="20"/>
        </w:rPr>
      </w:pPr>
    </w:p>
    <w:p w:rsidR="00D94028" w:rsidRPr="00CE2F64" w:rsidRDefault="00D94028" w:rsidP="0095096B">
      <w:pPr>
        <w:tabs>
          <w:tab w:val="right" w:pos="9360"/>
        </w:tabs>
        <w:rPr>
          <w:sz w:val="20"/>
          <w:szCs w:val="20"/>
        </w:rPr>
      </w:pPr>
    </w:p>
    <w:p w:rsidR="00242AEE" w:rsidRPr="00CE2F64" w:rsidRDefault="00242AEE" w:rsidP="0095096B">
      <w:pPr>
        <w:tabs>
          <w:tab w:val="right" w:pos="9360"/>
        </w:tabs>
        <w:rPr>
          <w:sz w:val="20"/>
          <w:szCs w:val="20"/>
        </w:rPr>
      </w:pPr>
    </w:p>
    <w:p w:rsidR="00242AEE" w:rsidRPr="00CE2F64" w:rsidRDefault="00242AEE" w:rsidP="0095096B">
      <w:pPr>
        <w:tabs>
          <w:tab w:val="right" w:pos="9360"/>
        </w:tabs>
        <w:rPr>
          <w:sz w:val="20"/>
          <w:szCs w:val="20"/>
        </w:rPr>
        <w:sectPr w:rsidR="00242AEE" w:rsidRPr="00CE2F64" w:rsidSect="00950DE3">
          <w:headerReference w:type="default" r:id="rId17"/>
          <w:footerReference w:type="default" r:id="rId18"/>
          <w:headerReference w:type="first" r:id="rId19"/>
          <w:footerReference w:type="first" r:id="rId20"/>
          <w:pgSz w:w="12240" w:h="15840"/>
          <w:pgMar w:top="720" w:right="965" w:bottom="1080" w:left="1656" w:header="706" w:footer="706" w:gutter="0"/>
          <w:pgNumType w:start="45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42BC3" w:rsidTr="00BA6468">
        <w:trPr>
          <w:trHeight w:val="900"/>
        </w:trPr>
        <w:tc>
          <w:tcPr>
            <w:tcW w:w="4200" w:type="dxa"/>
            <w:tcMar>
              <w:left w:w="0" w:type="dxa"/>
              <w:right w:w="0" w:type="dxa"/>
            </w:tcMar>
          </w:tcPr>
          <w:p w:rsidR="002E2327" w:rsidRPr="00CE2F64" w:rsidRDefault="002E2327" w:rsidP="002E2327">
            <w:pPr>
              <w:keepNext/>
              <w:keepLines/>
              <w:widowControl w:val="0"/>
              <w:rPr>
                <w:b/>
                <w:szCs w:val="24"/>
              </w:rPr>
            </w:pPr>
            <w:r w:rsidRPr="00CE2F64">
              <w:rPr>
                <w:b/>
                <w:szCs w:val="24"/>
              </w:rPr>
              <w:lastRenderedPageBreak/>
              <w:t>APPLICATIONS FOR LEAVE SUBMITTED TO COURT SINCE LAST ISSUE</w:t>
            </w:r>
          </w:p>
        </w:tc>
        <w:tc>
          <w:tcPr>
            <w:tcW w:w="1200" w:type="dxa"/>
            <w:tcMar>
              <w:left w:w="0" w:type="dxa"/>
              <w:right w:w="0" w:type="dxa"/>
            </w:tcMar>
          </w:tcPr>
          <w:p w:rsidR="002E2327" w:rsidRPr="00CE2F64" w:rsidRDefault="002E2327" w:rsidP="002E2327">
            <w:pPr>
              <w:keepNext/>
              <w:keepLines/>
              <w:widowControl w:val="0"/>
              <w:jc w:val="center"/>
              <w:rPr>
                <w:b/>
                <w:szCs w:val="24"/>
              </w:rPr>
            </w:pPr>
          </w:p>
          <w:p w:rsidR="001D0D5F" w:rsidRPr="00CE2F64" w:rsidRDefault="001D0D5F" w:rsidP="002E2327">
            <w:pPr>
              <w:keepNext/>
              <w:keepLines/>
              <w:widowControl w:val="0"/>
              <w:jc w:val="center"/>
              <w:rPr>
                <w:b/>
                <w:szCs w:val="24"/>
              </w:rPr>
            </w:pPr>
          </w:p>
          <w:p w:rsidR="001D0D5F" w:rsidRPr="00CE2F64" w:rsidRDefault="001D0D5F" w:rsidP="002E2327">
            <w:pPr>
              <w:keepNext/>
              <w:keepLines/>
              <w:widowControl w:val="0"/>
              <w:jc w:val="center"/>
              <w:rPr>
                <w:b/>
                <w:szCs w:val="24"/>
              </w:rPr>
            </w:pPr>
          </w:p>
          <w:p w:rsidR="001D0D5F" w:rsidRPr="00CE2F64"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430735" w:rsidP="00CB3520">
      <w:pPr>
        <w:widowControl w:val="0"/>
        <w:rPr>
          <w:b/>
          <w:sz w:val="20"/>
          <w:szCs w:val="20"/>
        </w:rPr>
      </w:pPr>
      <w:r>
        <w:rPr>
          <w:b/>
          <w:sz w:val="20"/>
          <w:szCs w:val="20"/>
        </w:rPr>
        <w:t>M</w:t>
      </w:r>
      <w:r w:rsidR="00CB3520">
        <w:rPr>
          <w:b/>
          <w:sz w:val="20"/>
          <w:szCs w:val="20"/>
        </w:rPr>
        <w:t>AR</w:t>
      </w:r>
      <w:r>
        <w:rPr>
          <w:b/>
          <w:sz w:val="20"/>
          <w:szCs w:val="20"/>
        </w:rPr>
        <w:t>CH</w:t>
      </w:r>
      <w:r w:rsidR="00CB3520">
        <w:rPr>
          <w:b/>
          <w:sz w:val="20"/>
          <w:szCs w:val="20"/>
        </w:rPr>
        <w:t xml:space="preserve"> </w:t>
      </w:r>
      <w:r>
        <w:rPr>
          <w:b/>
          <w:sz w:val="20"/>
          <w:szCs w:val="20"/>
        </w:rPr>
        <w:t>9</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9 M</w:t>
      </w:r>
      <w:r w:rsidR="00CB3520">
        <w:rPr>
          <w:b/>
          <w:sz w:val="20"/>
          <w:szCs w:val="20"/>
        </w:rPr>
        <w:t>AR</w:t>
      </w:r>
      <w:r>
        <w:rPr>
          <w:b/>
          <w:sz w:val="20"/>
          <w:szCs w:val="20"/>
        </w:rPr>
        <w:t>S</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CE2F64" w:rsidP="00CB3520">
      <w:pPr>
        <w:pStyle w:val="ListParagraph"/>
        <w:widowControl w:val="0"/>
        <w:numPr>
          <w:ilvl w:val="0"/>
          <w:numId w:val="1"/>
        </w:numPr>
        <w:ind w:hanging="720"/>
        <w:jc w:val="both"/>
        <w:rPr>
          <w:sz w:val="20"/>
          <w:szCs w:val="20"/>
        </w:rPr>
      </w:pPr>
      <w:r w:rsidRPr="00CE2F64">
        <w:rPr>
          <w:i/>
          <w:sz w:val="20"/>
          <w:szCs w:val="20"/>
        </w:rPr>
        <w:t>Canadian Pacific Railway Company v. Attorney General of Canada et al.</w:t>
      </w:r>
      <w:r w:rsidRPr="00CE2F64">
        <w:rPr>
          <w:sz w:val="20"/>
          <w:szCs w:val="20"/>
        </w:rPr>
        <w:t xml:space="preserve"> (F.C.) (Civil) (By Leave)</w:t>
      </w:r>
      <w:r w:rsidRPr="00C50A5C">
        <w:rPr>
          <w:sz w:val="20"/>
          <w:szCs w:val="20"/>
        </w:rPr>
        <w:t xml:space="preserve"> </w:t>
      </w:r>
      <w:r w:rsidR="00CB3520" w:rsidRPr="00C50A5C">
        <w:rPr>
          <w:sz w:val="20"/>
          <w:szCs w:val="20"/>
        </w:rPr>
        <w:t>(3</w:t>
      </w:r>
      <w:r w:rsidR="00CB3520">
        <w:rPr>
          <w:sz w:val="20"/>
          <w:szCs w:val="20"/>
        </w:rPr>
        <w:t>62</w:t>
      </w:r>
      <w:r>
        <w:rPr>
          <w:sz w:val="20"/>
          <w:szCs w:val="20"/>
        </w:rPr>
        <w:t>23</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CE2F64" w:rsidP="00CB3520">
      <w:pPr>
        <w:pStyle w:val="ListParagraph"/>
        <w:widowControl w:val="0"/>
        <w:numPr>
          <w:ilvl w:val="0"/>
          <w:numId w:val="1"/>
        </w:numPr>
        <w:ind w:hanging="720"/>
        <w:jc w:val="both"/>
        <w:rPr>
          <w:sz w:val="20"/>
          <w:szCs w:val="20"/>
        </w:rPr>
      </w:pPr>
      <w:r w:rsidRPr="00CE2F64">
        <w:rPr>
          <w:i/>
          <w:sz w:val="20"/>
          <w:szCs w:val="20"/>
        </w:rPr>
        <w:t>N.A. v. A.H.</w:t>
      </w:r>
      <w:r w:rsidRPr="00CE2F64">
        <w:rPr>
          <w:sz w:val="20"/>
          <w:szCs w:val="20"/>
        </w:rPr>
        <w:t xml:space="preserve"> (Que.) (Civil) (By Leave)</w:t>
      </w:r>
      <w:r w:rsidRPr="00C612D0">
        <w:rPr>
          <w:sz w:val="20"/>
          <w:szCs w:val="20"/>
        </w:rPr>
        <w:t xml:space="preserve"> </w:t>
      </w:r>
      <w:r w:rsidR="00CB3520" w:rsidRPr="00C612D0">
        <w:rPr>
          <w:sz w:val="20"/>
          <w:szCs w:val="20"/>
        </w:rPr>
        <w:t>(3</w:t>
      </w:r>
      <w:r w:rsidR="00CB3520">
        <w:rPr>
          <w:sz w:val="20"/>
          <w:szCs w:val="20"/>
        </w:rPr>
        <w:t>6</w:t>
      </w:r>
      <w:r>
        <w:rPr>
          <w:sz w:val="20"/>
          <w:szCs w:val="20"/>
        </w:rPr>
        <w:t>191</w:t>
      </w:r>
      <w:r w:rsidR="00CB3520" w:rsidRPr="00C612D0">
        <w:rPr>
          <w:sz w:val="20"/>
          <w:szCs w:val="20"/>
        </w:rPr>
        <w:t>)</w:t>
      </w:r>
    </w:p>
    <w:p w:rsidR="00CB3520" w:rsidRPr="00C612D0" w:rsidRDefault="00CB3520" w:rsidP="00CB3520">
      <w:pPr>
        <w:widowControl w:val="0"/>
        <w:jc w:val="both"/>
        <w:rPr>
          <w:sz w:val="20"/>
          <w:szCs w:val="20"/>
        </w:rPr>
      </w:pPr>
    </w:p>
    <w:p w:rsidR="00CB3520" w:rsidRPr="00CE2F64" w:rsidRDefault="00CE2F64" w:rsidP="00CB3520">
      <w:pPr>
        <w:pStyle w:val="ListParagraph"/>
        <w:widowControl w:val="0"/>
        <w:numPr>
          <w:ilvl w:val="0"/>
          <w:numId w:val="1"/>
        </w:numPr>
        <w:ind w:hanging="720"/>
        <w:jc w:val="both"/>
        <w:rPr>
          <w:sz w:val="20"/>
          <w:szCs w:val="20"/>
          <w:lang w:val="fr-CA"/>
        </w:rPr>
      </w:pPr>
      <w:r w:rsidRPr="00CE2F64">
        <w:rPr>
          <w:i/>
          <w:sz w:val="20"/>
          <w:szCs w:val="20"/>
          <w:lang w:val="fr-CA"/>
        </w:rPr>
        <w:t>Procureur général du Canada c. Jean-Marc Poulin de Courval, Ès qualité de syndic de faillite de Sylvain Girard</w:t>
      </w:r>
      <w:r w:rsidRPr="00CE2F64">
        <w:rPr>
          <w:sz w:val="20"/>
          <w:szCs w:val="20"/>
          <w:lang w:val="fr-CA"/>
        </w:rPr>
        <w:t xml:space="preserve"> (Qc) (Civile) (Autorisation) </w:t>
      </w:r>
      <w:r w:rsidR="00CB3520" w:rsidRPr="00CE2F64">
        <w:rPr>
          <w:sz w:val="20"/>
          <w:szCs w:val="20"/>
          <w:lang w:val="fr-CA"/>
        </w:rPr>
        <w:t>(3</w:t>
      </w:r>
      <w:r w:rsidRPr="00CE2F64">
        <w:rPr>
          <w:sz w:val="20"/>
          <w:szCs w:val="20"/>
          <w:lang w:val="fr-CA"/>
        </w:rPr>
        <w:t>622</w:t>
      </w:r>
      <w:r w:rsidR="00CB3520" w:rsidRPr="00CE2F64">
        <w:rPr>
          <w:sz w:val="20"/>
          <w:szCs w:val="20"/>
          <w:lang w:val="fr-CA"/>
        </w:rPr>
        <w:t>0)</w:t>
      </w:r>
    </w:p>
    <w:p w:rsidR="00CB3520" w:rsidRPr="00CE2F64" w:rsidRDefault="00CB3520" w:rsidP="00CB3520">
      <w:pPr>
        <w:widowControl w:val="0"/>
        <w:rPr>
          <w:sz w:val="20"/>
          <w:szCs w:val="20"/>
          <w:lang w:val="fr-CA"/>
        </w:rPr>
      </w:pPr>
    </w:p>
    <w:p w:rsidR="00CB3520" w:rsidRPr="00CE2F64" w:rsidRDefault="00CE2F64" w:rsidP="00CB3520">
      <w:pPr>
        <w:pStyle w:val="ListParagraph"/>
        <w:widowControl w:val="0"/>
        <w:numPr>
          <w:ilvl w:val="0"/>
          <w:numId w:val="1"/>
        </w:numPr>
        <w:ind w:hanging="720"/>
        <w:jc w:val="both"/>
        <w:rPr>
          <w:sz w:val="20"/>
          <w:szCs w:val="20"/>
          <w:lang w:val="fr-CA"/>
        </w:rPr>
      </w:pPr>
      <w:r w:rsidRPr="00CE2F64">
        <w:rPr>
          <w:i/>
          <w:sz w:val="20"/>
          <w:szCs w:val="20"/>
          <w:lang w:val="fr-CA"/>
        </w:rPr>
        <w:t>Francine Lapierre c. Luc Lapierre et autres</w:t>
      </w:r>
      <w:r w:rsidRPr="00CE2F64">
        <w:rPr>
          <w:sz w:val="20"/>
          <w:szCs w:val="20"/>
          <w:lang w:val="fr-CA"/>
        </w:rPr>
        <w:t xml:space="preserve"> (Qc) (Civile) (Autorisation) </w:t>
      </w:r>
      <w:r w:rsidR="00CB3520" w:rsidRPr="00CE2F64">
        <w:rPr>
          <w:sz w:val="20"/>
          <w:szCs w:val="20"/>
          <w:lang w:val="fr-CA"/>
        </w:rPr>
        <w:t>(36</w:t>
      </w:r>
      <w:r w:rsidRPr="00CE2F64">
        <w:rPr>
          <w:sz w:val="20"/>
          <w:szCs w:val="20"/>
          <w:lang w:val="fr-CA"/>
        </w:rPr>
        <w:t>2</w:t>
      </w:r>
      <w:r w:rsidR="00CB3520" w:rsidRPr="00CE2F64">
        <w:rPr>
          <w:sz w:val="20"/>
          <w:szCs w:val="20"/>
          <w:lang w:val="fr-CA"/>
        </w:rPr>
        <w:t>01)</w:t>
      </w:r>
    </w:p>
    <w:p w:rsidR="00CB3520" w:rsidRPr="00CE2F64" w:rsidRDefault="00CB3520" w:rsidP="00CB3520">
      <w:pPr>
        <w:widowControl w:val="0"/>
        <w:jc w:val="both"/>
        <w:rPr>
          <w:sz w:val="20"/>
          <w:szCs w:val="20"/>
          <w:lang w:val="fr-CA"/>
        </w:rPr>
      </w:pPr>
    </w:p>
    <w:p w:rsidR="00CB3520" w:rsidRPr="00CE2F64" w:rsidRDefault="00CE2F64" w:rsidP="00CB3520">
      <w:pPr>
        <w:pStyle w:val="ListParagraph"/>
        <w:widowControl w:val="0"/>
        <w:numPr>
          <w:ilvl w:val="0"/>
          <w:numId w:val="1"/>
        </w:numPr>
        <w:ind w:hanging="720"/>
        <w:jc w:val="both"/>
        <w:rPr>
          <w:sz w:val="20"/>
          <w:szCs w:val="20"/>
          <w:lang w:val="fr-CA"/>
        </w:rPr>
      </w:pPr>
      <w:r w:rsidRPr="00CE2F64">
        <w:rPr>
          <w:i/>
          <w:sz w:val="20"/>
          <w:szCs w:val="20"/>
          <w:lang w:val="fr-CA"/>
        </w:rPr>
        <w:t>Lapointe Rosenstein Marchand Melançon s.e.n.c.r.l. et autres c. Cassels Brock &amp; Blackwell LLP</w:t>
      </w:r>
      <w:r w:rsidRPr="00CE2F64">
        <w:rPr>
          <w:sz w:val="20"/>
          <w:szCs w:val="20"/>
          <w:lang w:val="fr-CA"/>
        </w:rPr>
        <w:t xml:space="preserve"> (Ont.) (Civile) (Autorisation) </w:t>
      </w:r>
      <w:r w:rsidR="00CB3520" w:rsidRPr="00CE2F64">
        <w:rPr>
          <w:sz w:val="20"/>
          <w:szCs w:val="20"/>
          <w:lang w:val="fr-CA"/>
        </w:rPr>
        <w:t>(36</w:t>
      </w:r>
      <w:r w:rsidRPr="00CE2F64">
        <w:rPr>
          <w:sz w:val="20"/>
          <w:szCs w:val="20"/>
          <w:lang w:val="fr-CA"/>
        </w:rPr>
        <w:t>087</w:t>
      </w:r>
      <w:r w:rsidR="00CB3520" w:rsidRPr="00CE2F64">
        <w:rPr>
          <w:sz w:val="20"/>
          <w:szCs w:val="20"/>
          <w:lang w:val="fr-CA"/>
        </w:rPr>
        <w:t>)</w:t>
      </w:r>
    </w:p>
    <w:p w:rsidR="00CB3520" w:rsidRPr="00CE2F64" w:rsidRDefault="00CB3520" w:rsidP="00CB3520">
      <w:pPr>
        <w:widowControl w:val="0"/>
        <w:rPr>
          <w:sz w:val="20"/>
          <w:szCs w:val="20"/>
          <w:lang w:val="fr-CA"/>
        </w:rPr>
      </w:pPr>
    </w:p>
    <w:p w:rsidR="00CB3520" w:rsidRPr="00CE2F64" w:rsidRDefault="00CB3520" w:rsidP="00CB3520">
      <w:pPr>
        <w:widowControl w:val="0"/>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sidR="00FA3373">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115C9E" w:rsidRDefault="00CE2F64" w:rsidP="00CB3520">
      <w:pPr>
        <w:pStyle w:val="ListParagraph"/>
        <w:widowControl w:val="0"/>
        <w:numPr>
          <w:ilvl w:val="0"/>
          <w:numId w:val="1"/>
        </w:numPr>
        <w:ind w:hanging="720"/>
        <w:jc w:val="both"/>
        <w:rPr>
          <w:sz w:val="20"/>
          <w:szCs w:val="20"/>
          <w:lang w:val="fr-CA"/>
        </w:rPr>
      </w:pPr>
      <w:r w:rsidRPr="00CE2F64">
        <w:rPr>
          <w:i/>
          <w:sz w:val="20"/>
          <w:szCs w:val="20"/>
          <w:lang w:val="fr-CA"/>
        </w:rPr>
        <w:t>Conférence des juges de paix magistrats du Québec et autres c. Procureur général du Québec et autre</w:t>
      </w:r>
      <w:r w:rsidRPr="00CE2F64">
        <w:rPr>
          <w:sz w:val="20"/>
          <w:szCs w:val="20"/>
          <w:lang w:val="fr-CA"/>
        </w:rPr>
        <w:t xml:space="preserve"> (Qc) (Civile) (Autorisation)</w:t>
      </w:r>
      <w:r w:rsidRPr="00115C9E">
        <w:rPr>
          <w:sz w:val="20"/>
          <w:szCs w:val="20"/>
          <w:lang w:val="fr-CA"/>
        </w:rPr>
        <w:t xml:space="preserve"> </w:t>
      </w:r>
      <w:r w:rsidR="00CB3520" w:rsidRPr="00115C9E">
        <w:rPr>
          <w:sz w:val="20"/>
          <w:szCs w:val="20"/>
          <w:lang w:val="fr-CA"/>
        </w:rPr>
        <w:t>(3</w:t>
      </w:r>
      <w:r w:rsidR="00CB3520">
        <w:rPr>
          <w:sz w:val="20"/>
          <w:szCs w:val="20"/>
          <w:lang w:val="fr-CA"/>
        </w:rPr>
        <w:t>6</w:t>
      </w:r>
      <w:r>
        <w:rPr>
          <w:sz w:val="20"/>
          <w:szCs w:val="20"/>
          <w:lang w:val="fr-CA"/>
        </w:rPr>
        <w:t>165</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CE2F64" w:rsidRDefault="00CE2F64" w:rsidP="00CB3520">
      <w:pPr>
        <w:pStyle w:val="ListParagraph"/>
        <w:widowControl w:val="0"/>
        <w:numPr>
          <w:ilvl w:val="0"/>
          <w:numId w:val="1"/>
        </w:numPr>
        <w:ind w:hanging="720"/>
        <w:jc w:val="both"/>
        <w:rPr>
          <w:sz w:val="20"/>
          <w:szCs w:val="20"/>
          <w:lang w:val="fr-CA"/>
        </w:rPr>
      </w:pPr>
      <w:r w:rsidRPr="00CE2F64">
        <w:rPr>
          <w:i/>
          <w:sz w:val="20"/>
          <w:szCs w:val="20"/>
          <w:lang w:val="fr-CA"/>
        </w:rPr>
        <w:t>Roch Laflamme c. Brigitte Nicol</w:t>
      </w:r>
      <w:r w:rsidRPr="00CE2F64">
        <w:rPr>
          <w:sz w:val="20"/>
          <w:szCs w:val="20"/>
          <w:lang w:val="fr-CA"/>
        </w:rPr>
        <w:t xml:space="preserve"> (Qc) (Civile) (Autorisation) </w:t>
      </w:r>
      <w:r w:rsidR="00CB3520" w:rsidRPr="00CE2F64">
        <w:rPr>
          <w:sz w:val="20"/>
          <w:szCs w:val="20"/>
          <w:lang w:val="fr-CA"/>
        </w:rPr>
        <w:t>(36</w:t>
      </w:r>
      <w:r w:rsidRPr="00CE2F64">
        <w:rPr>
          <w:sz w:val="20"/>
          <w:szCs w:val="20"/>
          <w:lang w:val="fr-CA"/>
        </w:rPr>
        <w:t>245</w:t>
      </w:r>
      <w:r w:rsidR="00CB3520" w:rsidRPr="00CE2F64">
        <w:rPr>
          <w:sz w:val="20"/>
          <w:szCs w:val="20"/>
          <w:lang w:val="fr-CA"/>
        </w:rPr>
        <w:t>)</w:t>
      </w:r>
    </w:p>
    <w:p w:rsidR="00CB3520" w:rsidRPr="00CE2F64" w:rsidRDefault="00CB3520" w:rsidP="00CB3520">
      <w:pPr>
        <w:widowControl w:val="0"/>
        <w:jc w:val="both"/>
        <w:rPr>
          <w:sz w:val="20"/>
          <w:szCs w:val="20"/>
          <w:lang w:val="fr-CA"/>
        </w:rPr>
      </w:pPr>
    </w:p>
    <w:p w:rsidR="00CB3520" w:rsidRPr="00C50A5C" w:rsidRDefault="00CE2F64" w:rsidP="00CB3520">
      <w:pPr>
        <w:pStyle w:val="ListParagraph"/>
        <w:widowControl w:val="0"/>
        <w:numPr>
          <w:ilvl w:val="0"/>
          <w:numId w:val="1"/>
        </w:numPr>
        <w:ind w:hanging="720"/>
        <w:jc w:val="both"/>
        <w:rPr>
          <w:sz w:val="20"/>
          <w:szCs w:val="20"/>
          <w:lang w:val="fr-CA"/>
        </w:rPr>
      </w:pPr>
      <w:r w:rsidRPr="00CE2F64">
        <w:rPr>
          <w:i/>
          <w:sz w:val="20"/>
          <w:szCs w:val="20"/>
          <w:lang w:val="fr-CA"/>
        </w:rPr>
        <w:t>Roch Laflamme c. Municipalité de St-Magloire</w:t>
      </w:r>
      <w:r w:rsidRPr="00CE2F64">
        <w:rPr>
          <w:sz w:val="20"/>
          <w:szCs w:val="20"/>
          <w:lang w:val="fr-CA"/>
        </w:rPr>
        <w:t xml:space="preserve"> (Qc) (Civile) (Autorisation)</w:t>
      </w:r>
      <w:r w:rsidRPr="00C50A5C">
        <w:rPr>
          <w:sz w:val="20"/>
          <w:szCs w:val="20"/>
          <w:lang w:val="fr-CA"/>
        </w:rPr>
        <w:t xml:space="preserve"> </w:t>
      </w:r>
      <w:r w:rsidR="00CB3520" w:rsidRPr="00C50A5C">
        <w:rPr>
          <w:sz w:val="20"/>
          <w:szCs w:val="20"/>
          <w:lang w:val="fr-CA"/>
        </w:rPr>
        <w:t>(3</w:t>
      </w:r>
      <w:r w:rsidR="00CB3520">
        <w:rPr>
          <w:sz w:val="20"/>
          <w:szCs w:val="20"/>
          <w:lang w:val="fr-CA"/>
        </w:rPr>
        <w:t>62</w:t>
      </w:r>
      <w:r>
        <w:rPr>
          <w:sz w:val="20"/>
          <w:szCs w:val="20"/>
          <w:lang w:val="fr-CA"/>
        </w:rPr>
        <w:t>46</w:t>
      </w:r>
      <w:r w:rsidR="00CB3520" w:rsidRPr="00C50A5C">
        <w:rPr>
          <w:sz w:val="20"/>
          <w:szCs w:val="20"/>
          <w:lang w:val="fr-CA"/>
        </w:rPr>
        <w:t>)</w:t>
      </w:r>
    </w:p>
    <w:p w:rsidR="00CB3520" w:rsidRDefault="00CB3520" w:rsidP="00CB3520">
      <w:pPr>
        <w:widowControl w:val="0"/>
        <w:rPr>
          <w:sz w:val="20"/>
          <w:szCs w:val="20"/>
          <w:lang w:val="fr-CA"/>
        </w:rPr>
      </w:pPr>
    </w:p>
    <w:p w:rsidR="00CB3520" w:rsidRPr="009C5D38" w:rsidRDefault="00CE2F64" w:rsidP="00CB3520">
      <w:pPr>
        <w:pStyle w:val="ListParagraph"/>
        <w:widowControl w:val="0"/>
        <w:numPr>
          <w:ilvl w:val="0"/>
          <w:numId w:val="1"/>
        </w:numPr>
        <w:ind w:hanging="720"/>
        <w:jc w:val="both"/>
        <w:rPr>
          <w:sz w:val="20"/>
          <w:szCs w:val="20"/>
          <w:lang w:val="fr-CA"/>
        </w:rPr>
      </w:pPr>
      <w:r w:rsidRPr="00CE2F64">
        <w:rPr>
          <w:i/>
          <w:sz w:val="20"/>
          <w:szCs w:val="20"/>
          <w:lang w:val="fr-CA"/>
        </w:rPr>
        <w:t>Roch Laflamme c. Municipalité de St-Magloire</w:t>
      </w:r>
      <w:r w:rsidRPr="00CE2F64">
        <w:rPr>
          <w:sz w:val="20"/>
          <w:szCs w:val="20"/>
          <w:lang w:val="fr-CA"/>
        </w:rPr>
        <w:t xml:space="preserve"> (Qc) (Civile) (Autorisation)</w:t>
      </w:r>
      <w:r w:rsidRPr="009C5D38">
        <w:rPr>
          <w:sz w:val="20"/>
          <w:szCs w:val="20"/>
          <w:lang w:val="fr-CA"/>
        </w:rPr>
        <w:t xml:space="preserve"> </w:t>
      </w:r>
      <w:r w:rsidR="00CB3520" w:rsidRPr="009C5D38">
        <w:rPr>
          <w:sz w:val="20"/>
          <w:szCs w:val="20"/>
          <w:lang w:val="fr-CA"/>
        </w:rPr>
        <w:t>(362</w:t>
      </w:r>
      <w:r>
        <w:rPr>
          <w:sz w:val="20"/>
          <w:szCs w:val="20"/>
          <w:lang w:val="fr-CA"/>
        </w:rPr>
        <w:t>47</w:t>
      </w:r>
      <w:r w:rsidR="00CB3520" w:rsidRPr="009C5D38">
        <w:rPr>
          <w:sz w:val="20"/>
          <w:szCs w:val="20"/>
          <w:lang w:val="fr-CA"/>
        </w:rPr>
        <w:t>)</w:t>
      </w:r>
    </w:p>
    <w:p w:rsidR="00CB3520" w:rsidRPr="009C5D38" w:rsidRDefault="00CB3520" w:rsidP="00CB3520">
      <w:pPr>
        <w:widowControl w:val="0"/>
        <w:jc w:val="both"/>
        <w:rPr>
          <w:sz w:val="20"/>
          <w:szCs w:val="20"/>
          <w:lang w:val="fr-CA"/>
        </w:rPr>
      </w:pPr>
    </w:p>
    <w:p w:rsidR="00CB3520" w:rsidRPr="00115C9E" w:rsidRDefault="00CE2F64" w:rsidP="00CB3520">
      <w:pPr>
        <w:pStyle w:val="ListParagraph"/>
        <w:widowControl w:val="0"/>
        <w:numPr>
          <w:ilvl w:val="0"/>
          <w:numId w:val="1"/>
        </w:numPr>
        <w:ind w:hanging="720"/>
        <w:jc w:val="both"/>
        <w:rPr>
          <w:sz w:val="20"/>
          <w:szCs w:val="20"/>
        </w:rPr>
      </w:pPr>
      <w:r w:rsidRPr="00CE2F64">
        <w:rPr>
          <w:i/>
          <w:sz w:val="20"/>
          <w:szCs w:val="20"/>
        </w:rPr>
        <w:t>[E.G] et al. v. Director of Child and Family Services et al.</w:t>
      </w:r>
      <w:r w:rsidRPr="00CE2F64">
        <w:rPr>
          <w:sz w:val="20"/>
          <w:szCs w:val="20"/>
        </w:rPr>
        <w:t xml:space="preserve"> </w:t>
      </w:r>
      <w:r w:rsidRPr="00CE2F64">
        <w:rPr>
          <w:sz w:val="20"/>
          <w:szCs w:val="20"/>
          <w:lang w:val="fr-CA"/>
        </w:rPr>
        <w:t xml:space="preserve">(Alta.) </w:t>
      </w:r>
      <w:r w:rsidRPr="00CE2F64">
        <w:rPr>
          <w:sz w:val="20"/>
          <w:szCs w:val="20"/>
        </w:rPr>
        <w:t>(Civil) (By Leave)</w:t>
      </w:r>
      <w:r w:rsidRPr="00115C9E">
        <w:rPr>
          <w:sz w:val="20"/>
          <w:szCs w:val="20"/>
        </w:rPr>
        <w:t xml:space="preserve"> </w:t>
      </w:r>
      <w:r w:rsidR="00CB3520" w:rsidRPr="00115C9E">
        <w:rPr>
          <w:sz w:val="20"/>
          <w:szCs w:val="20"/>
        </w:rPr>
        <w:t>(3</w:t>
      </w:r>
      <w:r>
        <w:rPr>
          <w:sz w:val="20"/>
          <w:szCs w:val="20"/>
        </w:rPr>
        <w:t>627</w:t>
      </w:r>
      <w:r w:rsidR="00CB3520" w:rsidRPr="00115C9E">
        <w:rPr>
          <w:sz w:val="20"/>
          <w:szCs w:val="20"/>
        </w:rPr>
        <w:t>4)</w:t>
      </w:r>
    </w:p>
    <w:p w:rsidR="00CB3520" w:rsidRDefault="00CB3520"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Rothstein</w:t>
      </w:r>
      <w:r>
        <w:rPr>
          <w:b/>
          <w:sz w:val="20"/>
          <w:szCs w:val="20"/>
        </w:rPr>
        <w:t>,</w:t>
      </w:r>
      <w:r w:rsidRPr="00C50A5C">
        <w:rPr>
          <w:b/>
          <w:sz w:val="20"/>
          <w:szCs w:val="20"/>
        </w:rPr>
        <w:t xml:space="preserve"> </w:t>
      </w:r>
      <w:r w:rsidR="00FA3373">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Rothstein</w:t>
      </w:r>
      <w:r w:rsidRPr="00C50A5C">
        <w:rPr>
          <w:b/>
          <w:sz w:val="20"/>
          <w:szCs w:val="20"/>
          <w:lang w:val="fr-CA"/>
        </w:rPr>
        <w:t xml:space="preserve">, </w:t>
      </w:r>
      <w:r w:rsidR="00FA3373">
        <w:rPr>
          <w:b/>
          <w:sz w:val="20"/>
          <w:szCs w:val="20"/>
          <w:lang w:val="fr-CA"/>
        </w:rPr>
        <w:t xml:space="preserve">Cromwell </w:t>
      </w:r>
      <w:r w:rsidRPr="00C50A5C">
        <w:rPr>
          <w:b/>
          <w:sz w:val="20"/>
          <w:szCs w:val="20"/>
          <w:lang w:val="fr-CA"/>
        </w:rPr>
        <w:t xml:space="preserve">et </w:t>
      </w:r>
      <w:r>
        <w:rPr>
          <w:b/>
          <w:sz w:val="20"/>
          <w:szCs w:val="20"/>
          <w:lang w:val="fr-CA"/>
        </w:rPr>
        <w:t>Moldaver</w:t>
      </w:r>
    </w:p>
    <w:p w:rsidR="00CB3520" w:rsidRPr="00A8251C" w:rsidRDefault="00CB3520" w:rsidP="00CB3520">
      <w:pPr>
        <w:widowControl w:val="0"/>
        <w:jc w:val="both"/>
        <w:rPr>
          <w:sz w:val="20"/>
          <w:szCs w:val="20"/>
          <w:lang w:val="fr-CA"/>
        </w:rPr>
      </w:pPr>
    </w:p>
    <w:p w:rsidR="00CB3520" w:rsidRPr="00115C9E" w:rsidRDefault="00CE2F64" w:rsidP="00CB3520">
      <w:pPr>
        <w:pStyle w:val="ListParagraph"/>
        <w:widowControl w:val="0"/>
        <w:numPr>
          <w:ilvl w:val="0"/>
          <w:numId w:val="1"/>
        </w:numPr>
        <w:ind w:hanging="720"/>
        <w:jc w:val="both"/>
        <w:rPr>
          <w:sz w:val="20"/>
          <w:szCs w:val="20"/>
        </w:rPr>
      </w:pPr>
      <w:r w:rsidRPr="00CE2F64">
        <w:rPr>
          <w:i/>
          <w:sz w:val="20"/>
          <w:szCs w:val="20"/>
        </w:rPr>
        <w:t>Her Majesty the Queen v. Timothy Louie</w:t>
      </w:r>
      <w:r w:rsidRPr="00CE2F64">
        <w:rPr>
          <w:sz w:val="20"/>
          <w:szCs w:val="20"/>
        </w:rPr>
        <w:t xml:space="preserve"> (Sask.) (Crim.) (By Leave)</w:t>
      </w:r>
      <w:r w:rsidRPr="00115C9E">
        <w:rPr>
          <w:sz w:val="20"/>
          <w:szCs w:val="20"/>
        </w:rPr>
        <w:t xml:space="preserve"> </w:t>
      </w:r>
      <w:r w:rsidR="00CB3520" w:rsidRPr="00115C9E">
        <w:rPr>
          <w:sz w:val="20"/>
          <w:szCs w:val="20"/>
        </w:rPr>
        <w:t>(3</w:t>
      </w:r>
      <w:r w:rsidR="00CB3520">
        <w:rPr>
          <w:sz w:val="20"/>
          <w:szCs w:val="20"/>
        </w:rPr>
        <w:t>6</w:t>
      </w:r>
      <w:r>
        <w:rPr>
          <w:sz w:val="20"/>
          <w:szCs w:val="20"/>
        </w:rPr>
        <w:t>216</w:t>
      </w:r>
      <w:r w:rsidR="00CB3520" w:rsidRPr="00115C9E">
        <w:rPr>
          <w:sz w:val="20"/>
          <w:szCs w:val="20"/>
        </w:rPr>
        <w:t>)</w:t>
      </w:r>
    </w:p>
    <w:p w:rsidR="00CB3520" w:rsidRPr="00115C9E" w:rsidRDefault="00CB3520" w:rsidP="00CB3520">
      <w:pPr>
        <w:widowControl w:val="0"/>
        <w:jc w:val="both"/>
        <w:rPr>
          <w:sz w:val="20"/>
          <w:szCs w:val="20"/>
        </w:rPr>
      </w:pPr>
    </w:p>
    <w:p w:rsidR="00CB3520" w:rsidRDefault="00CE2F64" w:rsidP="00CB3520">
      <w:pPr>
        <w:pStyle w:val="ListParagraph"/>
        <w:widowControl w:val="0"/>
        <w:numPr>
          <w:ilvl w:val="0"/>
          <w:numId w:val="1"/>
        </w:numPr>
        <w:ind w:hanging="720"/>
        <w:jc w:val="both"/>
        <w:rPr>
          <w:sz w:val="20"/>
          <w:szCs w:val="20"/>
        </w:rPr>
      </w:pPr>
      <w:r w:rsidRPr="00CE2F64">
        <w:rPr>
          <w:i/>
          <w:sz w:val="20"/>
          <w:szCs w:val="20"/>
        </w:rPr>
        <w:t>Bryan Michael Evans v. Her Majesty the Queen</w:t>
      </w:r>
      <w:r w:rsidRPr="00CE2F64">
        <w:rPr>
          <w:sz w:val="20"/>
          <w:szCs w:val="20"/>
        </w:rPr>
        <w:t xml:space="preserve"> (Alta.) </w:t>
      </w:r>
      <w:r w:rsidRPr="00CE2F64">
        <w:rPr>
          <w:sz w:val="20"/>
          <w:szCs w:val="20"/>
          <w:lang w:val="fr-CA"/>
        </w:rPr>
        <w:t xml:space="preserve">(Crim.) </w:t>
      </w:r>
      <w:r w:rsidRPr="00CE2F64">
        <w:rPr>
          <w:sz w:val="20"/>
          <w:szCs w:val="20"/>
        </w:rPr>
        <w:t>(By Leave)</w:t>
      </w:r>
      <w:r w:rsidRPr="00C50A5C">
        <w:rPr>
          <w:sz w:val="20"/>
          <w:szCs w:val="20"/>
        </w:rPr>
        <w:t xml:space="preserve"> </w:t>
      </w:r>
      <w:r w:rsidR="00CB3520" w:rsidRPr="00C50A5C">
        <w:rPr>
          <w:sz w:val="20"/>
          <w:szCs w:val="20"/>
        </w:rPr>
        <w:t>(3</w:t>
      </w:r>
      <w:r w:rsidR="00CB3520">
        <w:rPr>
          <w:sz w:val="20"/>
          <w:szCs w:val="20"/>
        </w:rPr>
        <w:t>6</w:t>
      </w:r>
      <w:r>
        <w:rPr>
          <w:sz w:val="20"/>
          <w:szCs w:val="20"/>
        </w:rPr>
        <w:t>206</w:t>
      </w:r>
      <w:r w:rsidR="00CB3520" w:rsidRPr="00C50A5C">
        <w:rPr>
          <w:sz w:val="20"/>
          <w:szCs w:val="20"/>
        </w:rPr>
        <w:t>)</w:t>
      </w:r>
    </w:p>
    <w:p w:rsidR="00CB3520" w:rsidRPr="009C5D38" w:rsidRDefault="00CB3520" w:rsidP="00CB3520">
      <w:pPr>
        <w:widowControl w:val="0"/>
        <w:rPr>
          <w:i/>
          <w:sz w:val="20"/>
          <w:szCs w:val="20"/>
        </w:rPr>
      </w:pPr>
    </w:p>
    <w:p w:rsidR="00CB3520" w:rsidRPr="009C5D38" w:rsidRDefault="00CE2F64" w:rsidP="00CB3520">
      <w:pPr>
        <w:pStyle w:val="ListParagraph"/>
        <w:widowControl w:val="0"/>
        <w:numPr>
          <w:ilvl w:val="0"/>
          <w:numId w:val="1"/>
        </w:numPr>
        <w:ind w:hanging="720"/>
        <w:jc w:val="both"/>
        <w:rPr>
          <w:sz w:val="20"/>
          <w:szCs w:val="20"/>
        </w:rPr>
      </w:pPr>
      <w:r w:rsidRPr="00CE2F64">
        <w:rPr>
          <w:i/>
          <w:sz w:val="20"/>
          <w:szCs w:val="20"/>
        </w:rPr>
        <w:t>Walter Pruden v. Metis Settlements Appeal Tribunal and Kikino Metis Settlement</w:t>
      </w:r>
      <w:r w:rsidRPr="00CE2F64">
        <w:rPr>
          <w:sz w:val="20"/>
          <w:szCs w:val="20"/>
        </w:rPr>
        <w:t xml:space="preserve"> (Alta.) (Civil) (By Leave)</w:t>
      </w:r>
      <w:r w:rsidRPr="009C5D38">
        <w:rPr>
          <w:sz w:val="20"/>
          <w:szCs w:val="20"/>
        </w:rPr>
        <w:t xml:space="preserve"> </w:t>
      </w:r>
      <w:r w:rsidR="00CB3520" w:rsidRPr="009C5D38">
        <w:rPr>
          <w:sz w:val="20"/>
          <w:szCs w:val="20"/>
        </w:rPr>
        <w:t>(361</w:t>
      </w:r>
      <w:r>
        <w:rPr>
          <w:sz w:val="20"/>
          <w:szCs w:val="20"/>
        </w:rPr>
        <w:t>58</w:t>
      </w:r>
      <w:r w:rsidR="00CB3520" w:rsidRPr="009C5D38">
        <w:rPr>
          <w:sz w:val="20"/>
          <w:szCs w:val="20"/>
        </w:rPr>
        <w:t>)</w:t>
      </w:r>
    </w:p>
    <w:p w:rsidR="00CB3520" w:rsidRPr="009C5D38" w:rsidRDefault="00CB3520" w:rsidP="00CB3520">
      <w:pPr>
        <w:widowControl w:val="0"/>
        <w:jc w:val="both"/>
        <w:rPr>
          <w:sz w:val="20"/>
          <w:szCs w:val="20"/>
        </w:rPr>
      </w:pPr>
    </w:p>
    <w:p w:rsidR="00CB3520" w:rsidRPr="00CE2F64" w:rsidRDefault="00CE2F64" w:rsidP="00CB3520">
      <w:pPr>
        <w:pStyle w:val="ListParagraph"/>
        <w:widowControl w:val="0"/>
        <w:numPr>
          <w:ilvl w:val="0"/>
          <w:numId w:val="1"/>
        </w:numPr>
        <w:ind w:hanging="720"/>
        <w:jc w:val="both"/>
        <w:rPr>
          <w:sz w:val="20"/>
          <w:szCs w:val="20"/>
        </w:rPr>
      </w:pPr>
      <w:r w:rsidRPr="00CE2F64">
        <w:rPr>
          <w:i/>
          <w:sz w:val="20"/>
          <w:szCs w:val="20"/>
        </w:rPr>
        <w:t>Lise Nathalie Lemay v. Thomas H. Peters</w:t>
      </w:r>
      <w:r w:rsidRPr="00CE2F64">
        <w:rPr>
          <w:sz w:val="20"/>
          <w:szCs w:val="20"/>
        </w:rPr>
        <w:t xml:space="preserve"> (N.B.) (Civil) (By Leave) </w:t>
      </w:r>
      <w:r w:rsidR="00CB3520" w:rsidRPr="00CE2F64">
        <w:rPr>
          <w:sz w:val="20"/>
          <w:szCs w:val="20"/>
        </w:rPr>
        <w:t>(3</w:t>
      </w:r>
      <w:r w:rsidRPr="00CE2F64">
        <w:rPr>
          <w:sz w:val="20"/>
          <w:szCs w:val="20"/>
        </w:rPr>
        <w:t>6163</w:t>
      </w:r>
      <w:r w:rsidR="00CB3520" w:rsidRPr="00CE2F64">
        <w:rPr>
          <w:sz w:val="20"/>
          <w:szCs w:val="20"/>
        </w:rPr>
        <w:t>)</w:t>
      </w:r>
    </w:p>
    <w:p w:rsidR="00CB3520" w:rsidRPr="00CE2F64" w:rsidRDefault="00CB3520" w:rsidP="00CB3520">
      <w:pPr>
        <w:widowControl w:val="0"/>
        <w:jc w:val="both"/>
        <w:rPr>
          <w:sz w:val="20"/>
          <w:szCs w:val="20"/>
        </w:rPr>
      </w:pPr>
    </w:p>
    <w:p w:rsidR="00CB3520" w:rsidRPr="009C5D38" w:rsidRDefault="00CE2F64" w:rsidP="00CB3520">
      <w:pPr>
        <w:pStyle w:val="ListParagraph"/>
        <w:widowControl w:val="0"/>
        <w:numPr>
          <w:ilvl w:val="0"/>
          <w:numId w:val="1"/>
        </w:numPr>
        <w:ind w:hanging="720"/>
        <w:jc w:val="both"/>
        <w:rPr>
          <w:sz w:val="20"/>
          <w:szCs w:val="20"/>
        </w:rPr>
      </w:pPr>
      <w:r w:rsidRPr="001C3120">
        <w:rPr>
          <w:i/>
          <w:sz w:val="20"/>
          <w:szCs w:val="20"/>
        </w:rPr>
        <w:t>Edward Andrew Dennis et al. v. Her Majesty the Queen in the Right of Canada, as Represented by the Attorney General of Canada et al.</w:t>
      </w:r>
      <w:r w:rsidRPr="001C3120">
        <w:rPr>
          <w:sz w:val="20"/>
          <w:szCs w:val="20"/>
        </w:rPr>
        <w:t xml:space="preserve"> (F.C.) (Civil) (By Leave)</w:t>
      </w:r>
      <w:r w:rsidRPr="009C5D38">
        <w:rPr>
          <w:sz w:val="20"/>
          <w:szCs w:val="20"/>
        </w:rPr>
        <w:t xml:space="preserve"> </w:t>
      </w:r>
      <w:r w:rsidR="00CB3520" w:rsidRPr="009C5D38">
        <w:rPr>
          <w:sz w:val="20"/>
          <w:szCs w:val="20"/>
        </w:rPr>
        <w:t>(3</w:t>
      </w:r>
      <w:r>
        <w:rPr>
          <w:sz w:val="20"/>
          <w:szCs w:val="20"/>
        </w:rPr>
        <w:t>6208</w:t>
      </w:r>
      <w:r w:rsidR="00CB3520" w:rsidRPr="009C5D38">
        <w:rPr>
          <w:sz w:val="20"/>
          <w:szCs w:val="20"/>
        </w:rPr>
        <w:t>)</w:t>
      </w:r>
    </w:p>
    <w:p w:rsidR="002E2327" w:rsidRPr="00CB3520" w:rsidRDefault="002E2327" w:rsidP="002E2327">
      <w:pPr>
        <w:widowControl w:val="0"/>
        <w:rPr>
          <w:sz w:val="20"/>
          <w:szCs w:val="20"/>
        </w:rPr>
      </w:pPr>
    </w:p>
    <w:p w:rsidR="002E2327" w:rsidRDefault="00742BC3" w:rsidP="002E2327">
      <w:pPr>
        <w:widowControl w:val="0"/>
        <w:rPr>
          <w:sz w:val="20"/>
          <w:szCs w:val="20"/>
        </w:rPr>
      </w:pPr>
      <w:r>
        <w:rPr>
          <w:sz w:val="20"/>
          <w:szCs w:val="20"/>
        </w:rPr>
        <w:pict>
          <v:rect id="_x0000_i1034"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42BC3"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C93F84" w:rsidP="000E2959">
      <w:pPr>
        <w:rPr>
          <w:b/>
          <w:sz w:val="20"/>
          <w:szCs w:val="20"/>
        </w:rPr>
      </w:pPr>
      <w:r>
        <w:rPr>
          <w:b/>
          <w:sz w:val="20"/>
          <w:szCs w:val="20"/>
        </w:rPr>
        <w:t>M</w:t>
      </w:r>
      <w:r w:rsidR="000E2959" w:rsidRPr="00C50A5C">
        <w:rPr>
          <w:b/>
          <w:sz w:val="20"/>
          <w:szCs w:val="20"/>
        </w:rPr>
        <w:t>A</w:t>
      </w:r>
      <w:r w:rsidR="00681F61">
        <w:rPr>
          <w:b/>
          <w:sz w:val="20"/>
          <w:szCs w:val="20"/>
        </w:rPr>
        <w:t>R</w:t>
      </w:r>
      <w:r>
        <w:rPr>
          <w:b/>
          <w:sz w:val="20"/>
          <w:szCs w:val="20"/>
        </w:rPr>
        <w:t>CH</w:t>
      </w:r>
      <w:r w:rsidR="000E2959" w:rsidRPr="00C50A5C">
        <w:rPr>
          <w:b/>
          <w:sz w:val="20"/>
          <w:szCs w:val="20"/>
        </w:rPr>
        <w:t xml:space="preserve"> </w:t>
      </w:r>
      <w:r>
        <w:rPr>
          <w:b/>
          <w:sz w:val="20"/>
          <w:szCs w:val="20"/>
        </w:rPr>
        <w:t>1</w:t>
      </w:r>
      <w:r w:rsidR="00681F61">
        <w:rPr>
          <w:b/>
          <w:sz w:val="20"/>
          <w:szCs w:val="20"/>
        </w:rPr>
        <w:t>2</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1</w:t>
      </w:r>
      <w:r w:rsidR="000E2959" w:rsidRPr="00C50A5C">
        <w:rPr>
          <w:b/>
          <w:sz w:val="20"/>
          <w:szCs w:val="20"/>
        </w:rPr>
        <w:t xml:space="preserve">2 </w:t>
      </w:r>
      <w:r>
        <w:rPr>
          <w:b/>
          <w:sz w:val="20"/>
          <w:szCs w:val="20"/>
        </w:rPr>
        <w:t>M</w:t>
      </w:r>
      <w:r w:rsidR="000E2959" w:rsidRPr="00C50A5C">
        <w:rPr>
          <w:b/>
          <w:sz w:val="20"/>
          <w:szCs w:val="20"/>
        </w:rPr>
        <w:t>A</w:t>
      </w:r>
      <w:r w:rsidR="00681F61">
        <w:rPr>
          <w:b/>
          <w:sz w:val="20"/>
          <w:szCs w:val="20"/>
        </w:rPr>
        <w:t>R</w:t>
      </w:r>
      <w:r>
        <w:rPr>
          <w:b/>
          <w:sz w:val="20"/>
          <w:szCs w:val="20"/>
        </w:rPr>
        <w:t>S</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607D1" w:rsidRPr="00CE568C" w:rsidTr="00DC6BF5">
        <w:trPr>
          <w:cantSplit/>
        </w:trPr>
        <w:tc>
          <w:tcPr>
            <w:tcW w:w="1458" w:type="dxa"/>
          </w:tcPr>
          <w:p w:rsidR="00F607D1" w:rsidRPr="00CE568C" w:rsidRDefault="00F607D1" w:rsidP="00DC6BF5">
            <w:pPr>
              <w:rPr>
                <w:sz w:val="20"/>
                <w:szCs w:val="20"/>
              </w:rPr>
            </w:pPr>
            <w:r w:rsidRPr="00CE568C">
              <w:rPr>
                <w:rStyle w:val="SCCFileNumberChar"/>
                <w:sz w:val="20"/>
                <w:szCs w:val="20"/>
              </w:rPr>
              <w:t>36035</w:t>
            </w:r>
          </w:p>
          <w:p w:rsidR="00F607D1" w:rsidRPr="00CE568C" w:rsidRDefault="00F607D1" w:rsidP="00DC6BF5">
            <w:pPr>
              <w:rPr>
                <w:b/>
                <w:sz w:val="20"/>
                <w:szCs w:val="20"/>
                <w:lang w:val="fr-CA"/>
              </w:rPr>
            </w:pPr>
          </w:p>
        </w:tc>
        <w:tc>
          <w:tcPr>
            <w:tcW w:w="8118" w:type="dxa"/>
          </w:tcPr>
          <w:p w:rsidR="00F607D1" w:rsidRPr="00CE568C" w:rsidRDefault="00F607D1" w:rsidP="00DC6BF5">
            <w:pPr>
              <w:jc w:val="both"/>
              <w:rPr>
                <w:sz w:val="20"/>
                <w:szCs w:val="20"/>
              </w:rPr>
            </w:pPr>
            <w:r w:rsidRPr="00CE568C">
              <w:rPr>
                <w:rStyle w:val="SCCLsocChar"/>
                <w:sz w:val="20"/>
                <w:szCs w:val="20"/>
                <w:lang w:val="en-CA"/>
              </w:rPr>
              <w:t>Ontario Federation of Anglers and Hunters v. Alderville Indian Band now known as Mississaugas of Alderville First Nation, Gimaa Jim Bob Marsden suing on his own behalf and on behalf of the members of the Mississaugas of Alderville First Nation, Beausoleil Indian Band now known as Beausoleil First Nation, Gimaa Rodney Monague suing on his own behalf and on behalf of the members of the Beausoleil First Nation, Chippewas of Georgina Island Indian Band now known as Chippewas of Georgina Island First Nation, Gimaaniniikwe Donna Big Canoe suing on her own behalf and on behalf of the members of the Chippewas of Georgina Island First Nation, Chippewas of Rama Indian Band now known as Mnjikaning First Nation, Gimaaniniikwe Sharon Stinson-Henry suing on her own behalf and on behalf of the members of the Mnjikaning First Nation, Curve Lake Indian Band now known as Curve Lake First Nation, Gimaa Keith Knott suing on his own behalf and on behalf of the members of the Curve Lake First Nation, Hiawatha Indian Band now known as Hiawatha First Nation, Gimaaniniikwe Laurie Carr suing on her own behalf and on behalf of the members of the Hiawatha First Nation, Mississaugas of Scugog Indian Band now known as Mississaugas of Scugog Island First Nation, Gimaaniniikwe Tracy Gauthier suing on her own behalf and on behalf of the members of the Mississaugas of Scugog Island First Nation, Her Majesty the Queen</w:t>
            </w:r>
            <w:r w:rsidR="001E5FD5">
              <w:rPr>
                <w:rStyle w:val="SCCLsocChar"/>
                <w:sz w:val="20"/>
                <w:szCs w:val="20"/>
                <w:lang w:val="en-CA"/>
              </w:rPr>
              <w:t xml:space="preserve"> and</w:t>
            </w:r>
            <w:r w:rsidRPr="00CE568C">
              <w:rPr>
                <w:rStyle w:val="SCCLsocChar"/>
                <w:sz w:val="20"/>
                <w:szCs w:val="20"/>
                <w:lang w:val="en-CA"/>
              </w:rPr>
              <w:t xml:space="preserve"> Her Majesty the Queen in Right of Ontario</w:t>
            </w:r>
            <w:r w:rsidRPr="00CE568C">
              <w:rPr>
                <w:sz w:val="20"/>
                <w:szCs w:val="20"/>
              </w:rPr>
              <w:t xml:space="preserve"> (F</w:t>
            </w:r>
            <w:r>
              <w:rPr>
                <w:sz w:val="20"/>
                <w:szCs w:val="20"/>
              </w:rPr>
              <w:t>.</w:t>
            </w:r>
            <w:r w:rsidRPr="00CE568C">
              <w:rPr>
                <w:sz w:val="20"/>
                <w:szCs w:val="20"/>
              </w:rPr>
              <w:t>C</w:t>
            </w:r>
            <w:r>
              <w:rPr>
                <w:sz w:val="20"/>
                <w:szCs w:val="20"/>
              </w:rPr>
              <w:t>.</w:t>
            </w:r>
            <w:r w:rsidRPr="00CE568C">
              <w:rPr>
                <w:sz w:val="20"/>
                <w:szCs w:val="20"/>
              </w:rPr>
              <w:t>) (Civil) (By</w:t>
            </w:r>
            <w:r w:rsidR="001646D6">
              <w:rPr>
                <w:sz w:val="20"/>
                <w:szCs w:val="20"/>
              </w:rPr>
              <w:t> </w:t>
            </w:r>
            <w:r w:rsidRPr="00CE568C">
              <w:rPr>
                <w:sz w:val="20"/>
                <w:szCs w:val="20"/>
              </w:rPr>
              <w:t>Leave)</w:t>
            </w:r>
          </w:p>
          <w:p w:rsidR="00F607D1" w:rsidRPr="00CE568C" w:rsidRDefault="00F607D1" w:rsidP="00DC6BF5">
            <w:pPr>
              <w:jc w:val="both"/>
              <w:rPr>
                <w:sz w:val="20"/>
                <w:szCs w:val="20"/>
              </w:rPr>
            </w:pPr>
          </w:p>
        </w:tc>
      </w:tr>
      <w:tr w:rsidR="00F607D1" w:rsidRPr="00CE568C" w:rsidTr="00DC6BF5">
        <w:trPr>
          <w:cantSplit/>
        </w:trPr>
        <w:tc>
          <w:tcPr>
            <w:tcW w:w="1458" w:type="dxa"/>
          </w:tcPr>
          <w:p w:rsidR="00F607D1" w:rsidRPr="00CE568C" w:rsidRDefault="00F607D1" w:rsidP="00DC6BF5">
            <w:pPr>
              <w:rPr>
                <w:sz w:val="20"/>
                <w:szCs w:val="20"/>
              </w:rPr>
            </w:pPr>
            <w:r w:rsidRPr="00CE568C">
              <w:rPr>
                <w:sz w:val="20"/>
                <w:szCs w:val="20"/>
              </w:rPr>
              <w:t>Coram :</w:t>
            </w:r>
          </w:p>
        </w:tc>
        <w:tc>
          <w:tcPr>
            <w:tcW w:w="8118" w:type="dxa"/>
          </w:tcPr>
          <w:p w:rsidR="00F607D1" w:rsidRPr="00CE568C" w:rsidRDefault="00F607D1" w:rsidP="00DC6BF5">
            <w:pPr>
              <w:rPr>
                <w:sz w:val="20"/>
                <w:szCs w:val="20"/>
              </w:rPr>
            </w:pPr>
            <w:r w:rsidRPr="00CE568C">
              <w:rPr>
                <w:rStyle w:val="SCCCoramChar"/>
                <w:sz w:val="20"/>
                <w:szCs w:val="20"/>
                <w:lang w:val="en-CA"/>
              </w:rPr>
              <w:t>Rothstein, Cromwell and Moldaver JJ.</w:t>
            </w:r>
          </w:p>
          <w:p w:rsidR="00F607D1" w:rsidRPr="00CE568C" w:rsidRDefault="00F607D1" w:rsidP="00DC6BF5">
            <w:pPr>
              <w:rPr>
                <w:sz w:val="20"/>
                <w:szCs w:val="20"/>
                <w:u w:val="single"/>
              </w:rPr>
            </w:pPr>
          </w:p>
        </w:tc>
      </w:tr>
      <w:tr w:rsidR="00F607D1" w:rsidRPr="00742BC3" w:rsidTr="00DC6BF5">
        <w:trPr>
          <w:cantSplit/>
        </w:trPr>
        <w:tc>
          <w:tcPr>
            <w:tcW w:w="9576" w:type="dxa"/>
            <w:gridSpan w:val="2"/>
          </w:tcPr>
          <w:p w:rsidR="00F607D1" w:rsidRPr="00CE568C" w:rsidRDefault="00F607D1" w:rsidP="00DC6BF5">
            <w:pPr>
              <w:pStyle w:val="SCCShortJudgment"/>
              <w:rPr>
                <w:szCs w:val="20"/>
              </w:rPr>
            </w:pPr>
            <w:r w:rsidRPr="00CE568C">
              <w:rPr>
                <w:szCs w:val="20"/>
              </w:rPr>
              <w:t>The application for leave to appeal from the judgment of the Federal Court of Appeal, Number A-149-14, 2014 FCA 145, dated June 5, 2014, is dismissed with costs to the respondents with the exception of Her Majesty the Queen and Her Majesty the Queen in Right of Ontario.</w:t>
            </w:r>
          </w:p>
          <w:p w:rsidR="00F607D1" w:rsidRPr="00CE568C" w:rsidRDefault="00F607D1" w:rsidP="00DC6BF5">
            <w:pPr>
              <w:pStyle w:val="SCCShortJudgment"/>
              <w:ind w:firstLine="0"/>
              <w:rPr>
                <w:szCs w:val="20"/>
              </w:rPr>
            </w:pPr>
          </w:p>
          <w:p w:rsidR="00F607D1" w:rsidRPr="00CE568C" w:rsidRDefault="00F607D1" w:rsidP="00DC6BF5">
            <w:pPr>
              <w:pStyle w:val="SCCShortJudgment"/>
              <w:rPr>
                <w:szCs w:val="20"/>
                <w:lang w:val="fr-CA"/>
              </w:rPr>
            </w:pPr>
            <w:r w:rsidRPr="00CE568C">
              <w:rPr>
                <w:szCs w:val="20"/>
                <w:lang w:val="fr-CA"/>
              </w:rPr>
              <w:t>La demande d’autorisation d’appel de l’arrêt de la Cour d’appel fédérale, numéro A-149-14, 2014 CAF 145, daté du 5 juin 2014, est rejetée avec dépens en faveur des intimés à l’exception de Sa Majesté la Reine et Sa Majesté la Reine du chef de l’Ontario.</w:t>
            </w:r>
          </w:p>
        </w:tc>
      </w:tr>
    </w:tbl>
    <w:p w:rsidR="0002632D" w:rsidRPr="00F607D1" w:rsidRDefault="0002632D" w:rsidP="000E2959">
      <w:pPr>
        <w:rPr>
          <w:sz w:val="20"/>
          <w:szCs w:val="20"/>
          <w:lang w:val="fr-CA"/>
        </w:rPr>
      </w:pPr>
    </w:p>
    <w:p w:rsidR="00C93F84" w:rsidRPr="001B157C" w:rsidRDefault="00C93F84" w:rsidP="00C93F84">
      <w:pPr>
        <w:rPr>
          <w:sz w:val="20"/>
          <w:szCs w:val="20"/>
          <w:u w:val="single"/>
        </w:rPr>
      </w:pPr>
      <w:r w:rsidRPr="001B157C">
        <w:rPr>
          <w:sz w:val="20"/>
          <w:szCs w:val="20"/>
          <w:u w:val="single"/>
        </w:rPr>
        <w:t>CASE SUMMARY</w:t>
      </w:r>
    </w:p>
    <w:p w:rsidR="00C93F84" w:rsidRDefault="00C93F84" w:rsidP="00C93F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86B5E" w:rsidRPr="00BC0346" w:rsidTr="00EE6982">
        <w:tc>
          <w:tcPr>
            <w:tcW w:w="5000" w:type="pct"/>
            <w:gridSpan w:val="3"/>
          </w:tcPr>
          <w:p w:rsidR="00186B5E" w:rsidRPr="00BC0346" w:rsidRDefault="00186B5E" w:rsidP="00EE6982">
            <w:pPr>
              <w:jc w:val="both"/>
              <w:rPr>
                <w:rFonts w:eastAsia="Calibri"/>
                <w:sz w:val="20"/>
              </w:rPr>
            </w:pPr>
            <w:r w:rsidRPr="00BC0346">
              <w:rPr>
                <w:rFonts w:eastAsia="Calibri"/>
                <w:sz w:val="20"/>
              </w:rPr>
              <w:t xml:space="preserve">Civil procedure – Intervention – Applicant seeking intervener status in order to bring motion to have action dismissed – Order for intervention not granted – Applicant’s notice of appeal not accepted for filing – Should the underlying trial proceedings be dismissed and/or stayed on the grounds of an abuse of process, as being </w:t>
            </w:r>
            <w:r w:rsidRPr="00BC0346">
              <w:rPr>
                <w:rFonts w:eastAsia="Calibri"/>
                <w:i/>
                <w:sz w:val="20"/>
              </w:rPr>
              <w:t>res judicata</w:t>
            </w:r>
            <w:r w:rsidRPr="00BC0346">
              <w:rPr>
                <w:rFonts w:eastAsia="Calibri"/>
                <w:sz w:val="20"/>
              </w:rPr>
              <w:t xml:space="preserve"> and constituting a collateral attack on the decision in </w:t>
            </w:r>
            <w:r w:rsidRPr="00BC0346">
              <w:rPr>
                <w:rFonts w:eastAsia="Calibri"/>
                <w:i/>
                <w:sz w:val="20"/>
              </w:rPr>
              <w:t>R. v. Howard</w:t>
            </w:r>
            <w:r w:rsidRPr="00BC0346">
              <w:rPr>
                <w:rFonts w:eastAsia="Calibri"/>
                <w:sz w:val="20"/>
              </w:rPr>
              <w:t>, [1994] 2 S.C.R. 299? – Whether court of appeal erred in denying applicant leave to intervene to ensure that there would be an adjudication on this threshold legal issue.</w:t>
            </w:r>
          </w:p>
        </w:tc>
      </w:tr>
      <w:tr w:rsidR="00186B5E" w:rsidRPr="00BC0346" w:rsidTr="00EE6982">
        <w:tc>
          <w:tcPr>
            <w:tcW w:w="5000" w:type="pct"/>
            <w:gridSpan w:val="3"/>
          </w:tcPr>
          <w:p w:rsidR="00186B5E" w:rsidRPr="00BC0346" w:rsidRDefault="00186B5E" w:rsidP="00EE6982">
            <w:pPr>
              <w:jc w:val="both"/>
              <w:rPr>
                <w:rFonts w:eastAsia="Calibri"/>
                <w:sz w:val="20"/>
              </w:rPr>
            </w:pPr>
          </w:p>
        </w:tc>
      </w:tr>
      <w:tr w:rsidR="00186B5E" w:rsidRPr="00BC0346" w:rsidTr="00EE6982">
        <w:tc>
          <w:tcPr>
            <w:tcW w:w="5000" w:type="pct"/>
            <w:gridSpan w:val="3"/>
          </w:tcPr>
          <w:p w:rsidR="00186B5E" w:rsidRPr="00BC0346" w:rsidRDefault="00186B5E" w:rsidP="00EE6982">
            <w:pPr>
              <w:ind w:left="-12" w:firstLine="12"/>
              <w:contextualSpacing/>
              <w:jc w:val="both"/>
              <w:rPr>
                <w:sz w:val="20"/>
                <w:lang w:eastAsia="en-CA"/>
              </w:rPr>
            </w:pPr>
            <w:r w:rsidRPr="00BC0346">
              <w:rPr>
                <w:sz w:val="20"/>
                <w:lang w:eastAsia="en-CA"/>
              </w:rPr>
              <w:t>In 1992, several Ontario-based First Nations brought an action against the respondent, Canada, alleging that in the negotiation and signing of the Williams Treaties in 1923, it failed to provide fair compensation, did not provide reserve lands and failed to protect the First Nations’ legal interests, thereby breaching its fiduciary obligations.  Canada joined the province of Ontario by way of third party claim.  Both Canada and Ontario have fully defended the action.  The first phase of the trial commenced in May 2012.  The Ontario Federation of Anglers and Hunters brought a motion for leave to intervene.</w:t>
            </w:r>
          </w:p>
          <w:p w:rsidR="00186B5E" w:rsidRPr="00BC0346" w:rsidRDefault="00186B5E" w:rsidP="00EE6982">
            <w:pPr>
              <w:jc w:val="both"/>
              <w:rPr>
                <w:rFonts w:eastAsia="Calibri"/>
                <w:sz w:val="20"/>
              </w:rPr>
            </w:pPr>
          </w:p>
        </w:tc>
      </w:tr>
      <w:tr w:rsidR="00186B5E" w:rsidRPr="00BC0346" w:rsidTr="001646D6">
        <w:trPr>
          <w:cantSplit/>
        </w:trPr>
        <w:tc>
          <w:tcPr>
            <w:tcW w:w="2427" w:type="pct"/>
          </w:tcPr>
          <w:p w:rsidR="00186B5E" w:rsidRPr="00BC0346" w:rsidRDefault="00186B5E" w:rsidP="00EE6982">
            <w:pPr>
              <w:jc w:val="both"/>
              <w:rPr>
                <w:rFonts w:eastAsia="Calibri"/>
                <w:sz w:val="20"/>
              </w:rPr>
            </w:pPr>
            <w:r w:rsidRPr="00BC0346">
              <w:rPr>
                <w:rFonts w:eastAsia="Calibri"/>
                <w:sz w:val="20"/>
              </w:rPr>
              <w:lastRenderedPageBreak/>
              <w:t>February 18, 2014</w:t>
            </w:r>
          </w:p>
          <w:p w:rsidR="00186B5E" w:rsidRPr="00BC0346" w:rsidRDefault="00186B5E" w:rsidP="00EE6982">
            <w:pPr>
              <w:jc w:val="both"/>
              <w:rPr>
                <w:rFonts w:eastAsia="Calibri"/>
                <w:sz w:val="20"/>
              </w:rPr>
            </w:pPr>
            <w:r w:rsidRPr="00BC0346">
              <w:rPr>
                <w:rFonts w:eastAsia="Calibri"/>
                <w:sz w:val="20"/>
              </w:rPr>
              <w:t>Federal Court</w:t>
            </w:r>
          </w:p>
          <w:p w:rsidR="00186B5E" w:rsidRPr="00BC0346" w:rsidRDefault="00186B5E" w:rsidP="00EE6982">
            <w:pPr>
              <w:jc w:val="both"/>
              <w:rPr>
                <w:rFonts w:eastAsia="Calibri"/>
                <w:sz w:val="20"/>
              </w:rPr>
            </w:pPr>
            <w:r w:rsidRPr="00BC0346">
              <w:rPr>
                <w:rFonts w:eastAsia="Calibri"/>
                <w:sz w:val="20"/>
              </w:rPr>
              <w:t>(Mandamin J.)</w:t>
            </w:r>
          </w:p>
          <w:p w:rsidR="00186B5E" w:rsidRPr="00BC0346" w:rsidRDefault="00742BC3" w:rsidP="00EE6982">
            <w:pPr>
              <w:jc w:val="both"/>
              <w:rPr>
                <w:rFonts w:eastAsia="Calibri"/>
                <w:sz w:val="20"/>
              </w:rPr>
            </w:pPr>
            <w:hyperlink r:id="rId25" w:history="1">
              <w:r w:rsidR="00186B5E" w:rsidRPr="00BC0346">
                <w:rPr>
                  <w:rFonts w:eastAsia="Calibri"/>
                  <w:color w:val="0000FF"/>
                  <w:sz w:val="20"/>
                  <w:u w:val="single"/>
                </w:rPr>
                <w:t>2014 FC 155</w:t>
              </w:r>
            </w:hyperlink>
          </w:p>
          <w:p w:rsidR="00186B5E" w:rsidRPr="00BC0346" w:rsidRDefault="00186B5E" w:rsidP="00EE6982">
            <w:pPr>
              <w:jc w:val="both"/>
              <w:rPr>
                <w:rFonts w:eastAsia="Calibri"/>
                <w:sz w:val="20"/>
              </w:rPr>
            </w:pPr>
          </w:p>
        </w:tc>
        <w:tc>
          <w:tcPr>
            <w:tcW w:w="243" w:type="pct"/>
          </w:tcPr>
          <w:p w:rsidR="00186B5E" w:rsidRPr="00BC0346" w:rsidRDefault="00186B5E" w:rsidP="00EE6982">
            <w:pPr>
              <w:jc w:val="both"/>
              <w:rPr>
                <w:rFonts w:eastAsia="Calibri"/>
                <w:sz w:val="20"/>
              </w:rPr>
            </w:pPr>
          </w:p>
        </w:tc>
        <w:tc>
          <w:tcPr>
            <w:tcW w:w="2330" w:type="pct"/>
          </w:tcPr>
          <w:p w:rsidR="00186B5E" w:rsidRPr="00BC0346" w:rsidRDefault="00186B5E" w:rsidP="00EE6982">
            <w:pPr>
              <w:jc w:val="both"/>
              <w:rPr>
                <w:rFonts w:eastAsia="Calibri"/>
                <w:sz w:val="20"/>
              </w:rPr>
            </w:pPr>
            <w:r w:rsidRPr="00BC0346">
              <w:rPr>
                <w:rFonts w:eastAsia="Calibri"/>
                <w:sz w:val="20"/>
              </w:rPr>
              <w:t>Applicant’s motion for leave to intervene dismissed</w:t>
            </w:r>
          </w:p>
          <w:p w:rsidR="00186B5E" w:rsidRPr="00BC0346" w:rsidRDefault="00186B5E" w:rsidP="00EE6982">
            <w:pPr>
              <w:jc w:val="both"/>
              <w:rPr>
                <w:rFonts w:eastAsia="Calibri"/>
                <w:sz w:val="20"/>
              </w:rPr>
            </w:pPr>
          </w:p>
        </w:tc>
      </w:tr>
      <w:tr w:rsidR="00186B5E" w:rsidRPr="00BC0346" w:rsidTr="001646D6">
        <w:trPr>
          <w:cantSplit/>
        </w:trPr>
        <w:tc>
          <w:tcPr>
            <w:tcW w:w="2427" w:type="pct"/>
          </w:tcPr>
          <w:p w:rsidR="00186B5E" w:rsidRPr="00BC0346" w:rsidRDefault="00186B5E" w:rsidP="00EE6982">
            <w:pPr>
              <w:jc w:val="both"/>
              <w:rPr>
                <w:rFonts w:eastAsia="Calibri"/>
                <w:sz w:val="20"/>
              </w:rPr>
            </w:pPr>
            <w:r w:rsidRPr="00BC0346">
              <w:rPr>
                <w:rFonts w:eastAsia="Calibri"/>
                <w:sz w:val="20"/>
              </w:rPr>
              <w:t>June 5, 2014</w:t>
            </w:r>
          </w:p>
          <w:p w:rsidR="00186B5E" w:rsidRPr="00BC0346" w:rsidRDefault="00186B5E" w:rsidP="00EE6982">
            <w:pPr>
              <w:jc w:val="both"/>
              <w:rPr>
                <w:rFonts w:eastAsia="Calibri"/>
                <w:sz w:val="20"/>
              </w:rPr>
            </w:pPr>
            <w:r w:rsidRPr="00BC0346">
              <w:rPr>
                <w:rFonts w:eastAsia="Calibri"/>
                <w:sz w:val="20"/>
              </w:rPr>
              <w:t>Federal Court of Appeal</w:t>
            </w:r>
          </w:p>
          <w:p w:rsidR="00186B5E" w:rsidRPr="00BC0346" w:rsidRDefault="00186B5E" w:rsidP="00EE6982">
            <w:pPr>
              <w:jc w:val="both"/>
              <w:rPr>
                <w:rFonts w:eastAsia="Calibri"/>
                <w:sz w:val="20"/>
              </w:rPr>
            </w:pPr>
            <w:r w:rsidRPr="00BC0346">
              <w:rPr>
                <w:rFonts w:eastAsia="Calibri"/>
                <w:sz w:val="20"/>
              </w:rPr>
              <w:t>(Trudel, Stratas and Webb JJ.A.)</w:t>
            </w:r>
          </w:p>
          <w:p w:rsidR="00186B5E" w:rsidRPr="00BC0346" w:rsidRDefault="00742BC3" w:rsidP="00EE6982">
            <w:pPr>
              <w:jc w:val="both"/>
              <w:rPr>
                <w:rFonts w:eastAsia="Calibri"/>
                <w:sz w:val="20"/>
              </w:rPr>
            </w:pPr>
            <w:hyperlink r:id="rId26" w:history="1">
              <w:r w:rsidR="00186B5E" w:rsidRPr="00BC0346">
                <w:rPr>
                  <w:rFonts w:eastAsia="Calibri"/>
                  <w:color w:val="0000FF"/>
                  <w:sz w:val="20"/>
                  <w:u w:val="single"/>
                </w:rPr>
                <w:t>2014 FCA 145</w:t>
              </w:r>
            </w:hyperlink>
          </w:p>
          <w:p w:rsidR="00186B5E" w:rsidRPr="00BC0346" w:rsidRDefault="00186B5E" w:rsidP="00EE6982">
            <w:pPr>
              <w:jc w:val="both"/>
              <w:rPr>
                <w:rFonts w:eastAsia="Calibri"/>
                <w:sz w:val="20"/>
              </w:rPr>
            </w:pPr>
          </w:p>
        </w:tc>
        <w:tc>
          <w:tcPr>
            <w:tcW w:w="243" w:type="pct"/>
          </w:tcPr>
          <w:p w:rsidR="00186B5E" w:rsidRPr="00BC0346" w:rsidRDefault="00186B5E" w:rsidP="00EE6982">
            <w:pPr>
              <w:jc w:val="both"/>
              <w:rPr>
                <w:rFonts w:eastAsia="Calibri"/>
                <w:sz w:val="20"/>
              </w:rPr>
            </w:pPr>
          </w:p>
        </w:tc>
        <w:tc>
          <w:tcPr>
            <w:tcW w:w="2330" w:type="pct"/>
          </w:tcPr>
          <w:p w:rsidR="00186B5E" w:rsidRPr="00BC0346" w:rsidRDefault="00186B5E" w:rsidP="00EE6982">
            <w:pPr>
              <w:jc w:val="both"/>
              <w:rPr>
                <w:rFonts w:eastAsia="Calibri"/>
                <w:sz w:val="20"/>
              </w:rPr>
            </w:pPr>
            <w:r w:rsidRPr="00BC0346">
              <w:rPr>
                <w:rFonts w:eastAsia="Calibri"/>
                <w:sz w:val="20"/>
              </w:rPr>
              <w:t>Respondents’ motion to strike applicant’s notice of appeal granted; applicant’s motion for extension of time dismissed</w:t>
            </w:r>
          </w:p>
          <w:p w:rsidR="00186B5E" w:rsidRPr="00BC0346" w:rsidRDefault="00186B5E" w:rsidP="00EE6982">
            <w:pPr>
              <w:jc w:val="both"/>
              <w:rPr>
                <w:rFonts w:eastAsia="Calibri"/>
                <w:sz w:val="20"/>
              </w:rPr>
            </w:pPr>
          </w:p>
        </w:tc>
      </w:tr>
      <w:tr w:rsidR="00186B5E" w:rsidRPr="00BC0346" w:rsidTr="001646D6">
        <w:trPr>
          <w:cantSplit/>
        </w:trPr>
        <w:tc>
          <w:tcPr>
            <w:tcW w:w="2427" w:type="pct"/>
          </w:tcPr>
          <w:p w:rsidR="00186B5E" w:rsidRPr="00BC0346" w:rsidRDefault="00186B5E" w:rsidP="00EE6982">
            <w:pPr>
              <w:jc w:val="both"/>
              <w:rPr>
                <w:rFonts w:eastAsia="Calibri"/>
                <w:sz w:val="20"/>
              </w:rPr>
            </w:pPr>
            <w:r w:rsidRPr="00BC0346">
              <w:rPr>
                <w:rFonts w:eastAsia="Calibri"/>
                <w:sz w:val="20"/>
              </w:rPr>
              <w:t>September 3, 2014</w:t>
            </w:r>
          </w:p>
          <w:p w:rsidR="00186B5E" w:rsidRPr="00BC0346" w:rsidRDefault="00186B5E" w:rsidP="00EE6982">
            <w:pPr>
              <w:jc w:val="both"/>
              <w:rPr>
                <w:rFonts w:eastAsia="Calibri"/>
                <w:sz w:val="20"/>
              </w:rPr>
            </w:pPr>
            <w:r w:rsidRPr="00BC0346">
              <w:rPr>
                <w:rFonts w:eastAsia="Calibri"/>
                <w:sz w:val="20"/>
              </w:rPr>
              <w:t>Supreme Court of Canada</w:t>
            </w:r>
          </w:p>
        </w:tc>
        <w:tc>
          <w:tcPr>
            <w:tcW w:w="243" w:type="pct"/>
          </w:tcPr>
          <w:p w:rsidR="00186B5E" w:rsidRPr="00BC0346" w:rsidRDefault="00186B5E" w:rsidP="00EE6982">
            <w:pPr>
              <w:jc w:val="both"/>
              <w:rPr>
                <w:rFonts w:eastAsia="Calibri"/>
                <w:sz w:val="20"/>
              </w:rPr>
            </w:pPr>
          </w:p>
        </w:tc>
        <w:tc>
          <w:tcPr>
            <w:tcW w:w="2330" w:type="pct"/>
          </w:tcPr>
          <w:p w:rsidR="00186B5E" w:rsidRPr="00BC0346" w:rsidRDefault="00186B5E" w:rsidP="00EE6982">
            <w:pPr>
              <w:jc w:val="both"/>
              <w:rPr>
                <w:rFonts w:eastAsia="Calibri"/>
                <w:sz w:val="20"/>
              </w:rPr>
            </w:pPr>
            <w:r w:rsidRPr="00BC0346">
              <w:rPr>
                <w:rFonts w:eastAsia="Calibri"/>
                <w:sz w:val="20"/>
              </w:rPr>
              <w:t>Application for leave to appeal filed</w:t>
            </w:r>
          </w:p>
          <w:p w:rsidR="00186B5E" w:rsidRPr="00BC0346" w:rsidRDefault="00186B5E" w:rsidP="00EE6982">
            <w:pPr>
              <w:jc w:val="both"/>
              <w:rPr>
                <w:rFonts w:eastAsia="Calibri"/>
                <w:sz w:val="20"/>
              </w:rPr>
            </w:pPr>
          </w:p>
        </w:tc>
      </w:tr>
    </w:tbl>
    <w:p w:rsidR="00C93F84" w:rsidRDefault="00C93F84" w:rsidP="000E2959">
      <w:pPr>
        <w:rPr>
          <w:sz w:val="20"/>
          <w:szCs w:val="20"/>
        </w:rPr>
      </w:pPr>
    </w:p>
    <w:p w:rsidR="0002632D" w:rsidRPr="00C50A5C" w:rsidRDefault="00742BC3" w:rsidP="0002632D">
      <w:pPr>
        <w:rPr>
          <w:sz w:val="20"/>
          <w:szCs w:val="20"/>
        </w:rPr>
      </w:pPr>
      <w:r>
        <w:rPr>
          <w:sz w:val="20"/>
          <w:szCs w:val="20"/>
          <w:lang w:val="fr-CA"/>
        </w:rPr>
        <w:pict>
          <v:rect id="_x0000_i1037"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86B5E" w:rsidRPr="00742BC3" w:rsidTr="00EE6982">
        <w:tc>
          <w:tcPr>
            <w:tcW w:w="5000" w:type="pct"/>
            <w:gridSpan w:val="3"/>
          </w:tcPr>
          <w:p w:rsidR="00186B5E" w:rsidRPr="00BC0346" w:rsidRDefault="00186B5E" w:rsidP="00EE6982">
            <w:pPr>
              <w:jc w:val="both"/>
              <w:rPr>
                <w:rFonts w:eastAsia="Calibri"/>
                <w:sz w:val="20"/>
                <w:lang w:val="fr-CA"/>
              </w:rPr>
            </w:pPr>
            <w:r w:rsidRPr="00BC0346">
              <w:rPr>
                <w:rFonts w:eastAsia="Calibri"/>
                <w:sz w:val="20"/>
                <w:lang w:val="fr-CA"/>
              </w:rPr>
              <w:t xml:space="preserve">Procédure civile – Intervention – La demanderesse souhaite obtenir le statut d’intervenante pour pouvoir présenter une requête en rejet de l’action – L’autorisation d’intervenir a été refusée – La demanderesse s’est vu refuser le dépôt de son avis d’appel – Y a-t-il lieu de mettre fin au procès sous-jacent au motif qu’il constitue un abus de procédure pour cause de chose jugée et en tant que contestation indirecte de l’arrêt </w:t>
            </w:r>
            <w:r w:rsidRPr="00BC0346">
              <w:rPr>
                <w:rFonts w:eastAsia="Calibri"/>
                <w:i/>
                <w:sz w:val="20"/>
                <w:lang w:val="fr-CA"/>
              </w:rPr>
              <w:t>R. c. Howard</w:t>
            </w:r>
            <w:r w:rsidRPr="00BC0346">
              <w:rPr>
                <w:rFonts w:eastAsia="Calibri"/>
                <w:sz w:val="20"/>
                <w:lang w:val="fr-CA"/>
              </w:rPr>
              <w:t>, [1994] 2 R.C.S. 299? – La Cour d’appel a-t-elle eu tort de refuser à la demanderesse l’autorisation d’intervenir pour que cette question de droit préliminaire puisse être tranchée?</w:t>
            </w:r>
          </w:p>
        </w:tc>
      </w:tr>
      <w:tr w:rsidR="00186B5E" w:rsidRPr="00742BC3" w:rsidTr="00EE6982">
        <w:tc>
          <w:tcPr>
            <w:tcW w:w="5000" w:type="pct"/>
            <w:gridSpan w:val="3"/>
          </w:tcPr>
          <w:p w:rsidR="00186B5E" w:rsidRPr="00BC0346" w:rsidRDefault="00186B5E" w:rsidP="00EE6982">
            <w:pPr>
              <w:jc w:val="both"/>
              <w:rPr>
                <w:rFonts w:eastAsia="Calibri"/>
                <w:sz w:val="20"/>
                <w:lang w:val="fr-CA"/>
              </w:rPr>
            </w:pPr>
          </w:p>
        </w:tc>
      </w:tr>
      <w:tr w:rsidR="00186B5E" w:rsidRPr="00742BC3" w:rsidTr="00EE6982">
        <w:tc>
          <w:tcPr>
            <w:tcW w:w="5000" w:type="pct"/>
            <w:gridSpan w:val="3"/>
          </w:tcPr>
          <w:p w:rsidR="00186B5E" w:rsidRPr="00BC0346" w:rsidRDefault="00186B5E" w:rsidP="00EE6982">
            <w:pPr>
              <w:ind w:left="-12" w:firstLine="12"/>
              <w:contextualSpacing/>
              <w:jc w:val="both"/>
              <w:rPr>
                <w:sz w:val="20"/>
                <w:lang w:val="fr-CA" w:eastAsia="en-CA"/>
              </w:rPr>
            </w:pPr>
            <w:r w:rsidRPr="00BC0346">
              <w:rPr>
                <w:sz w:val="20"/>
                <w:lang w:val="fr-CA" w:eastAsia="en-CA"/>
              </w:rPr>
              <w:t>En 1992, plusieurs Premières Nations de l’Ontario ont intenté une action contre le Canada, intimé, alléguant que dans le cadre de la négociation et de la signature des Traités de Williams en 1923, il avait omis de verser une contrepartie équitable, de fournir des terres de réserve et de protéger les droits des Premières Nations, violant ainsi ses obligations fiduciaires.  Le Canada a mis en cause la Province de l’Ontario.  Le Canada et l’Ontario ont tous les deux opposé une défense à l’action sur le fond.  La première phase du procès a commencé en mai 2012.  L’Ontario Federation of Anglers and Hunters a présenté une requête en autorisation d’intervenir.</w:t>
            </w:r>
          </w:p>
          <w:p w:rsidR="00186B5E" w:rsidRPr="00BC0346" w:rsidRDefault="00186B5E" w:rsidP="00EE6982">
            <w:pPr>
              <w:jc w:val="both"/>
              <w:rPr>
                <w:rFonts w:eastAsia="Calibri"/>
                <w:sz w:val="20"/>
                <w:lang w:val="fr-CA"/>
              </w:rPr>
            </w:pPr>
          </w:p>
        </w:tc>
      </w:tr>
      <w:tr w:rsidR="00186B5E" w:rsidRPr="00CF1118" w:rsidTr="00EE6982">
        <w:tc>
          <w:tcPr>
            <w:tcW w:w="2427" w:type="pct"/>
          </w:tcPr>
          <w:p w:rsidR="00186B5E" w:rsidRPr="00BC0346" w:rsidRDefault="00186B5E" w:rsidP="00EE6982">
            <w:pPr>
              <w:jc w:val="both"/>
              <w:rPr>
                <w:rFonts w:eastAsia="Calibri"/>
                <w:sz w:val="20"/>
                <w:lang w:val="fr-CA"/>
              </w:rPr>
            </w:pPr>
            <w:r w:rsidRPr="00BC0346">
              <w:rPr>
                <w:rFonts w:eastAsia="Calibri"/>
                <w:sz w:val="20"/>
                <w:lang w:val="fr-CA"/>
              </w:rPr>
              <w:t>18 février 2014</w:t>
            </w:r>
          </w:p>
          <w:p w:rsidR="00186B5E" w:rsidRPr="00BC0346" w:rsidRDefault="00186B5E" w:rsidP="00EE6982">
            <w:pPr>
              <w:jc w:val="both"/>
              <w:rPr>
                <w:rFonts w:eastAsia="Calibri"/>
                <w:sz w:val="20"/>
                <w:lang w:val="fr-CA"/>
              </w:rPr>
            </w:pPr>
            <w:r w:rsidRPr="00BC0346">
              <w:rPr>
                <w:rFonts w:eastAsia="Calibri"/>
                <w:sz w:val="20"/>
                <w:lang w:val="fr-CA"/>
              </w:rPr>
              <w:t>Cour fédérale</w:t>
            </w:r>
          </w:p>
          <w:p w:rsidR="00186B5E" w:rsidRPr="00BC0346" w:rsidRDefault="00186B5E" w:rsidP="00EE6982">
            <w:pPr>
              <w:jc w:val="both"/>
              <w:rPr>
                <w:rFonts w:eastAsia="Calibri"/>
                <w:sz w:val="20"/>
                <w:lang w:val="fr-CA"/>
              </w:rPr>
            </w:pPr>
            <w:r w:rsidRPr="00BC0346">
              <w:rPr>
                <w:rFonts w:eastAsia="Calibri"/>
                <w:sz w:val="20"/>
                <w:lang w:val="fr-CA"/>
              </w:rPr>
              <w:t>(Juge Mandamin)</w:t>
            </w:r>
          </w:p>
          <w:p w:rsidR="00186B5E" w:rsidRPr="00BC0346" w:rsidRDefault="00742BC3" w:rsidP="00EE6982">
            <w:pPr>
              <w:jc w:val="both"/>
              <w:rPr>
                <w:rFonts w:eastAsia="Calibri"/>
                <w:sz w:val="20"/>
                <w:lang w:val="fr-CA"/>
              </w:rPr>
            </w:pPr>
            <w:hyperlink r:id="rId27" w:history="1">
              <w:r w:rsidR="00186B5E" w:rsidRPr="00BC0346">
                <w:rPr>
                  <w:rFonts w:eastAsia="Calibri"/>
                  <w:color w:val="0000FF"/>
                  <w:sz w:val="20"/>
                  <w:u w:val="single"/>
                  <w:lang w:val="fr-CA"/>
                </w:rPr>
                <w:t>2014 FC 155</w:t>
              </w:r>
            </w:hyperlink>
          </w:p>
          <w:p w:rsidR="00186B5E" w:rsidRPr="00BC0346" w:rsidRDefault="00186B5E" w:rsidP="00EE6982">
            <w:pPr>
              <w:jc w:val="both"/>
              <w:rPr>
                <w:rFonts w:eastAsia="Calibri"/>
                <w:sz w:val="20"/>
                <w:lang w:val="fr-CA"/>
              </w:rPr>
            </w:pPr>
          </w:p>
        </w:tc>
        <w:tc>
          <w:tcPr>
            <w:tcW w:w="243" w:type="pct"/>
          </w:tcPr>
          <w:p w:rsidR="00186B5E" w:rsidRPr="00BC0346" w:rsidRDefault="00186B5E" w:rsidP="00EE6982">
            <w:pPr>
              <w:jc w:val="both"/>
              <w:rPr>
                <w:rFonts w:eastAsia="Calibri"/>
                <w:sz w:val="20"/>
                <w:lang w:val="fr-CA"/>
              </w:rPr>
            </w:pPr>
          </w:p>
        </w:tc>
        <w:tc>
          <w:tcPr>
            <w:tcW w:w="2330" w:type="pct"/>
          </w:tcPr>
          <w:p w:rsidR="00186B5E" w:rsidRPr="00BC0346" w:rsidRDefault="00186B5E" w:rsidP="00EE6982">
            <w:pPr>
              <w:jc w:val="both"/>
              <w:rPr>
                <w:rFonts w:eastAsia="Calibri"/>
                <w:sz w:val="20"/>
                <w:lang w:val="fr-CA"/>
              </w:rPr>
            </w:pPr>
            <w:r w:rsidRPr="00BC0346">
              <w:rPr>
                <w:rFonts w:eastAsia="Calibri"/>
                <w:sz w:val="20"/>
                <w:lang w:val="fr-CA"/>
              </w:rPr>
              <w:t>Rejet de la requête de la demanderesse en autorisation d’intervenir</w:t>
            </w:r>
          </w:p>
          <w:p w:rsidR="00186B5E" w:rsidRPr="00BC0346" w:rsidRDefault="00186B5E" w:rsidP="00EE6982">
            <w:pPr>
              <w:jc w:val="both"/>
              <w:rPr>
                <w:rFonts w:eastAsia="Calibri"/>
                <w:sz w:val="20"/>
                <w:lang w:val="fr-CA"/>
              </w:rPr>
            </w:pPr>
          </w:p>
        </w:tc>
      </w:tr>
      <w:tr w:rsidR="00186B5E" w:rsidRPr="00CF1118" w:rsidTr="00EE6982">
        <w:tc>
          <w:tcPr>
            <w:tcW w:w="2427" w:type="pct"/>
          </w:tcPr>
          <w:p w:rsidR="00186B5E" w:rsidRPr="00BC0346" w:rsidRDefault="00186B5E" w:rsidP="00EE6982">
            <w:pPr>
              <w:jc w:val="both"/>
              <w:rPr>
                <w:rFonts w:eastAsia="Calibri"/>
                <w:sz w:val="20"/>
                <w:lang w:val="fr-CA"/>
              </w:rPr>
            </w:pPr>
            <w:r w:rsidRPr="00BC0346">
              <w:rPr>
                <w:rFonts w:eastAsia="Calibri"/>
                <w:sz w:val="20"/>
                <w:lang w:val="fr-CA"/>
              </w:rPr>
              <w:t>5 juin 2014</w:t>
            </w:r>
          </w:p>
          <w:p w:rsidR="00186B5E" w:rsidRPr="00BC0346" w:rsidRDefault="00186B5E" w:rsidP="00EE6982">
            <w:pPr>
              <w:jc w:val="both"/>
              <w:rPr>
                <w:rFonts w:eastAsia="Calibri"/>
                <w:sz w:val="20"/>
                <w:lang w:val="fr-CA"/>
              </w:rPr>
            </w:pPr>
            <w:r w:rsidRPr="00BC0346">
              <w:rPr>
                <w:rFonts w:eastAsia="Calibri"/>
                <w:sz w:val="20"/>
                <w:lang w:val="fr-CA"/>
              </w:rPr>
              <w:t>Cour d’appel fédérale</w:t>
            </w:r>
          </w:p>
          <w:p w:rsidR="00186B5E" w:rsidRPr="00BC0346" w:rsidRDefault="00186B5E" w:rsidP="00EE6982">
            <w:pPr>
              <w:jc w:val="both"/>
              <w:rPr>
                <w:rFonts w:eastAsia="Calibri"/>
                <w:sz w:val="20"/>
                <w:lang w:val="fr-CA"/>
              </w:rPr>
            </w:pPr>
            <w:r w:rsidRPr="00BC0346">
              <w:rPr>
                <w:rFonts w:eastAsia="Calibri"/>
                <w:sz w:val="20"/>
                <w:lang w:val="fr-CA"/>
              </w:rPr>
              <w:t>(Juges Trudel, Stratas et Webb)</w:t>
            </w:r>
          </w:p>
          <w:p w:rsidR="00186B5E" w:rsidRPr="00BC0346" w:rsidRDefault="00742BC3" w:rsidP="00EE6982">
            <w:pPr>
              <w:jc w:val="both"/>
              <w:rPr>
                <w:rFonts w:eastAsia="Calibri"/>
                <w:sz w:val="20"/>
                <w:lang w:val="fr-CA"/>
              </w:rPr>
            </w:pPr>
            <w:hyperlink r:id="rId28" w:history="1">
              <w:r w:rsidR="00186B5E" w:rsidRPr="00BC0346">
                <w:rPr>
                  <w:rFonts w:eastAsia="Calibri"/>
                  <w:color w:val="0000FF"/>
                  <w:sz w:val="20"/>
                  <w:u w:val="single"/>
                  <w:lang w:val="fr-CA"/>
                </w:rPr>
                <w:t>2014 FCA 145</w:t>
              </w:r>
            </w:hyperlink>
          </w:p>
          <w:p w:rsidR="00186B5E" w:rsidRPr="00BC0346" w:rsidRDefault="00186B5E" w:rsidP="00EE6982">
            <w:pPr>
              <w:jc w:val="both"/>
              <w:rPr>
                <w:rFonts w:eastAsia="Calibri"/>
                <w:sz w:val="20"/>
                <w:lang w:val="fr-CA"/>
              </w:rPr>
            </w:pPr>
          </w:p>
        </w:tc>
        <w:tc>
          <w:tcPr>
            <w:tcW w:w="243" w:type="pct"/>
          </w:tcPr>
          <w:p w:rsidR="00186B5E" w:rsidRPr="00BC0346" w:rsidRDefault="00186B5E" w:rsidP="00EE6982">
            <w:pPr>
              <w:jc w:val="both"/>
              <w:rPr>
                <w:rFonts w:eastAsia="Calibri"/>
                <w:sz w:val="20"/>
                <w:lang w:val="fr-CA"/>
              </w:rPr>
            </w:pPr>
          </w:p>
        </w:tc>
        <w:tc>
          <w:tcPr>
            <w:tcW w:w="2330" w:type="pct"/>
          </w:tcPr>
          <w:p w:rsidR="00186B5E" w:rsidRPr="00BC0346" w:rsidRDefault="00186B5E" w:rsidP="00EE6982">
            <w:pPr>
              <w:jc w:val="both"/>
              <w:rPr>
                <w:rFonts w:eastAsia="Calibri"/>
                <w:sz w:val="20"/>
                <w:lang w:val="fr-CA"/>
              </w:rPr>
            </w:pPr>
            <w:r w:rsidRPr="00BC0346">
              <w:rPr>
                <w:rFonts w:eastAsia="Calibri"/>
                <w:sz w:val="20"/>
                <w:lang w:val="fr-CA"/>
              </w:rPr>
              <w:t>Décision accueillant la requête des intimés en radiation de l’avis d’appel de la demanderesse; rejet de la requête de la demanderesse en prorogation de délai</w:t>
            </w:r>
          </w:p>
          <w:p w:rsidR="00186B5E" w:rsidRPr="00BC0346" w:rsidRDefault="00186B5E" w:rsidP="00EE6982">
            <w:pPr>
              <w:jc w:val="both"/>
              <w:rPr>
                <w:rFonts w:eastAsia="Calibri"/>
                <w:sz w:val="20"/>
                <w:lang w:val="fr-CA"/>
              </w:rPr>
            </w:pPr>
          </w:p>
        </w:tc>
      </w:tr>
      <w:tr w:rsidR="00186B5E" w:rsidRPr="00CF1118" w:rsidTr="00EE6982">
        <w:tc>
          <w:tcPr>
            <w:tcW w:w="2427" w:type="pct"/>
          </w:tcPr>
          <w:p w:rsidR="00186B5E" w:rsidRPr="00BC0346" w:rsidRDefault="00186B5E" w:rsidP="00EE6982">
            <w:pPr>
              <w:jc w:val="both"/>
              <w:rPr>
                <w:rFonts w:eastAsia="Calibri"/>
                <w:sz w:val="20"/>
                <w:lang w:val="fr-CA"/>
              </w:rPr>
            </w:pPr>
            <w:r w:rsidRPr="00BC0346">
              <w:rPr>
                <w:rFonts w:eastAsia="Calibri"/>
                <w:sz w:val="20"/>
                <w:lang w:val="fr-CA"/>
              </w:rPr>
              <w:t>3 septembre 2014</w:t>
            </w:r>
          </w:p>
          <w:p w:rsidR="00186B5E" w:rsidRPr="00BC0346" w:rsidRDefault="00186B5E" w:rsidP="00EE6982">
            <w:pPr>
              <w:jc w:val="both"/>
              <w:rPr>
                <w:rFonts w:eastAsia="Calibri"/>
                <w:sz w:val="20"/>
                <w:lang w:val="fr-CA"/>
              </w:rPr>
            </w:pPr>
            <w:r w:rsidRPr="00BC0346">
              <w:rPr>
                <w:rFonts w:eastAsia="Calibri"/>
                <w:sz w:val="20"/>
                <w:lang w:val="fr-CA"/>
              </w:rPr>
              <w:t>Cour suprême du Canada</w:t>
            </w:r>
          </w:p>
        </w:tc>
        <w:tc>
          <w:tcPr>
            <w:tcW w:w="243" w:type="pct"/>
          </w:tcPr>
          <w:p w:rsidR="00186B5E" w:rsidRPr="00BC0346" w:rsidRDefault="00186B5E" w:rsidP="00EE6982">
            <w:pPr>
              <w:jc w:val="both"/>
              <w:rPr>
                <w:rFonts w:eastAsia="Calibri"/>
                <w:sz w:val="20"/>
                <w:lang w:val="fr-CA"/>
              </w:rPr>
            </w:pPr>
          </w:p>
        </w:tc>
        <w:tc>
          <w:tcPr>
            <w:tcW w:w="2330" w:type="pct"/>
          </w:tcPr>
          <w:p w:rsidR="00186B5E" w:rsidRPr="00BC0346" w:rsidRDefault="00186B5E" w:rsidP="00EE6982">
            <w:pPr>
              <w:jc w:val="both"/>
              <w:rPr>
                <w:rFonts w:eastAsia="Calibri"/>
                <w:sz w:val="20"/>
                <w:lang w:val="fr-CA"/>
              </w:rPr>
            </w:pPr>
            <w:r w:rsidRPr="00BC0346">
              <w:rPr>
                <w:rFonts w:eastAsia="Calibri"/>
                <w:sz w:val="20"/>
                <w:lang w:val="fr-CA"/>
              </w:rPr>
              <w:t>Dépôt de la demande d’autorisation d’appel</w:t>
            </w:r>
          </w:p>
        </w:tc>
      </w:tr>
    </w:tbl>
    <w:p w:rsidR="0002632D" w:rsidRPr="00186B5E" w:rsidRDefault="0002632D" w:rsidP="000E2959">
      <w:pPr>
        <w:rPr>
          <w:sz w:val="20"/>
          <w:szCs w:val="20"/>
          <w:lang w:val="fr-CA"/>
        </w:rPr>
      </w:pPr>
    </w:p>
    <w:p w:rsidR="0002632D" w:rsidRDefault="00742BC3" w:rsidP="000E2959">
      <w:pPr>
        <w:rPr>
          <w:sz w:val="20"/>
          <w:szCs w:val="20"/>
          <w:lang w:val="fr-CA"/>
        </w:rPr>
      </w:pPr>
      <w:r>
        <w:rPr>
          <w:sz w:val="20"/>
          <w:szCs w:val="20"/>
          <w:lang w:val="fr-CA"/>
        </w:rPr>
        <w:pict>
          <v:rect id="_x0000_i1038" style="width:2in;height:1pt" o:hrpct="0" o:hralign="center" o:hrstd="t" o:hrnoshade="t" o:hr="t" fillcolor="black [3213]" stroked="f"/>
        </w:pict>
      </w:r>
    </w:p>
    <w:p w:rsidR="001646D6" w:rsidRDefault="001646D6">
      <w:pPr>
        <w:rPr>
          <w:sz w:val="20"/>
          <w:szCs w:val="20"/>
          <w:lang w:val="fr-CA"/>
        </w:rPr>
      </w:pPr>
    </w:p>
    <w:p w:rsidR="001646D6" w:rsidRDefault="001646D6">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607D1" w:rsidRPr="00CE568C" w:rsidTr="00F607D1">
        <w:tc>
          <w:tcPr>
            <w:tcW w:w="1458" w:type="dxa"/>
          </w:tcPr>
          <w:p w:rsidR="00F607D1" w:rsidRPr="00CE568C" w:rsidRDefault="00F607D1" w:rsidP="00DC6BF5">
            <w:pPr>
              <w:rPr>
                <w:sz w:val="20"/>
                <w:szCs w:val="20"/>
              </w:rPr>
            </w:pPr>
            <w:r w:rsidRPr="00CE568C">
              <w:rPr>
                <w:rStyle w:val="SCCFileNumberChar"/>
                <w:sz w:val="20"/>
                <w:szCs w:val="20"/>
              </w:rPr>
              <w:lastRenderedPageBreak/>
              <w:t>36071</w:t>
            </w:r>
          </w:p>
          <w:p w:rsidR="00F607D1" w:rsidRPr="00CE568C" w:rsidRDefault="00F607D1" w:rsidP="00DC6BF5">
            <w:pPr>
              <w:rPr>
                <w:b/>
                <w:sz w:val="20"/>
                <w:szCs w:val="20"/>
                <w:lang w:val="fr-CA"/>
              </w:rPr>
            </w:pPr>
          </w:p>
        </w:tc>
        <w:tc>
          <w:tcPr>
            <w:tcW w:w="8118" w:type="dxa"/>
          </w:tcPr>
          <w:p w:rsidR="00F607D1" w:rsidRPr="00CE568C" w:rsidRDefault="00F607D1" w:rsidP="00DC6BF5">
            <w:pPr>
              <w:jc w:val="both"/>
              <w:rPr>
                <w:sz w:val="20"/>
                <w:szCs w:val="20"/>
              </w:rPr>
            </w:pPr>
            <w:r w:rsidRPr="00CE568C">
              <w:rPr>
                <w:rStyle w:val="SCCLsocChar"/>
                <w:sz w:val="20"/>
                <w:szCs w:val="20"/>
                <w:lang w:val="en-CA"/>
              </w:rPr>
              <w:t>Richard Mandeville, Wismar Greaves</w:t>
            </w:r>
            <w:r w:rsidR="001646D6">
              <w:rPr>
                <w:rStyle w:val="SCCLsocChar"/>
                <w:sz w:val="20"/>
                <w:szCs w:val="20"/>
                <w:lang w:val="en-CA"/>
              </w:rPr>
              <w:t xml:space="preserve"> and</w:t>
            </w:r>
            <w:r w:rsidRPr="00CE568C">
              <w:rPr>
                <w:rStyle w:val="SCCLsocChar"/>
                <w:sz w:val="20"/>
                <w:szCs w:val="20"/>
                <w:lang w:val="en-CA"/>
              </w:rPr>
              <w:t xml:space="preserve"> Anthony Bowen v. The Manufacturers Life Insurance Company</w:t>
            </w:r>
            <w:r w:rsidRPr="00CE568C">
              <w:rPr>
                <w:sz w:val="20"/>
                <w:szCs w:val="20"/>
              </w:rPr>
              <w:t xml:space="preserve"> (Ont.) (Civil) (By Leave)</w:t>
            </w:r>
          </w:p>
          <w:p w:rsidR="00F607D1" w:rsidRPr="00CE568C" w:rsidRDefault="00F607D1" w:rsidP="00DC6BF5">
            <w:pPr>
              <w:jc w:val="both"/>
              <w:rPr>
                <w:sz w:val="20"/>
                <w:szCs w:val="20"/>
              </w:rPr>
            </w:pPr>
          </w:p>
        </w:tc>
      </w:tr>
      <w:tr w:rsidR="00F607D1" w:rsidRPr="00CE568C" w:rsidTr="00F607D1">
        <w:tc>
          <w:tcPr>
            <w:tcW w:w="1458" w:type="dxa"/>
          </w:tcPr>
          <w:p w:rsidR="00F607D1" w:rsidRPr="00CE568C" w:rsidRDefault="00F607D1" w:rsidP="00DC6BF5">
            <w:pPr>
              <w:rPr>
                <w:sz w:val="20"/>
                <w:szCs w:val="20"/>
              </w:rPr>
            </w:pPr>
            <w:r w:rsidRPr="00CE568C">
              <w:rPr>
                <w:sz w:val="20"/>
                <w:szCs w:val="20"/>
              </w:rPr>
              <w:t>Coram :</w:t>
            </w:r>
          </w:p>
        </w:tc>
        <w:tc>
          <w:tcPr>
            <w:tcW w:w="8118" w:type="dxa"/>
          </w:tcPr>
          <w:p w:rsidR="00F607D1" w:rsidRPr="00CE568C" w:rsidRDefault="00F607D1" w:rsidP="00DC6BF5">
            <w:pPr>
              <w:rPr>
                <w:sz w:val="20"/>
                <w:szCs w:val="20"/>
              </w:rPr>
            </w:pPr>
            <w:r w:rsidRPr="00CE568C">
              <w:rPr>
                <w:rStyle w:val="SCCCoramChar"/>
                <w:sz w:val="20"/>
                <w:szCs w:val="20"/>
                <w:lang w:val="en-CA"/>
              </w:rPr>
              <w:t>Abella, Karakatsanis and Wagner JJ.</w:t>
            </w:r>
          </w:p>
          <w:p w:rsidR="00F607D1" w:rsidRPr="00CE568C" w:rsidRDefault="00F607D1" w:rsidP="00DC6BF5">
            <w:pPr>
              <w:rPr>
                <w:sz w:val="20"/>
                <w:szCs w:val="20"/>
                <w:u w:val="single"/>
              </w:rPr>
            </w:pPr>
          </w:p>
        </w:tc>
      </w:tr>
      <w:tr w:rsidR="00F607D1" w:rsidRPr="00CF1118" w:rsidTr="00F607D1">
        <w:tc>
          <w:tcPr>
            <w:tcW w:w="9576" w:type="dxa"/>
            <w:gridSpan w:val="2"/>
          </w:tcPr>
          <w:p w:rsidR="00F607D1" w:rsidRPr="00CE568C" w:rsidRDefault="00F607D1" w:rsidP="00DC6BF5">
            <w:pPr>
              <w:pStyle w:val="SCCShortJudgment"/>
              <w:rPr>
                <w:szCs w:val="20"/>
              </w:rPr>
            </w:pPr>
            <w:r w:rsidRPr="00CE568C">
              <w:rPr>
                <w:szCs w:val="20"/>
              </w:rPr>
              <w:t>The motion for an extension of time to serve and file the application for leave to appeal is granted. The application for leave to appeal from the judgment of the Court of Appeal for Ontario, Number C55953, 2014 ONCA 417, dated May 22, 2014, is dismissed with costs.</w:t>
            </w:r>
          </w:p>
          <w:p w:rsidR="00F607D1" w:rsidRPr="00CE568C" w:rsidRDefault="00F607D1" w:rsidP="00DC6BF5">
            <w:pPr>
              <w:pStyle w:val="SCCShortJudgment"/>
              <w:ind w:firstLine="0"/>
              <w:rPr>
                <w:szCs w:val="20"/>
              </w:rPr>
            </w:pPr>
          </w:p>
          <w:p w:rsidR="00F607D1" w:rsidRPr="00CE568C" w:rsidRDefault="00F607D1" w:rsidP="00DC6BF5">
            <w:pPr>
              <w:pStyle w:val="SCCShortJudgment"/>
              <w:rPr>
                <w:szCs w:val="20"/>
                <w:lang w:val="fr-CA"/>
              </w:rPr>
            </w:pPr>
            <w:r w:rsidRPr="00CE568C">
              <w:rPr>
                <w:szCs w:val="20"/>
                <w:lang w:val="fr-CA"/>
              </w:rPr>
              <w:t>La requête en prorogation du délai de signification et de dépôt de la demande d’autorisation d’appel est accueillie. La demande d’autorisation d’appel de l’arrêt de la Cour d’appel de l’Ontario, numéro C55953, 2014 ONCA 417, daté du 22 mai 2014, est rejetée avec dépens.</w:t>
            </w:r>
          </w:p>
        </w:tc>
      </w:tr>
    </w:tbl>
    <w:p w:rsidR="0002632D" w:rsidRPr="00F607D1" w:rsidRDefault="0002632D" w:rsidP="0002632D">
      <w:pPr>
        <w:rPr>
          <w:sz w:val="20"/>
          <w:szCs w:val="20"/>
          <w:lang w:val="fr-CA"/>
        </w:rPr>
      </w:pPr>
    </w:p>
    <w:p w:rsidR="0002632D" w:rsidRPr="001B157C" w:rsidRDefault="0002632D" w:rsidP="0002632D">
      <w:pPr>
        <w:rPr>
          <w:sz w:val="20"/>
          <w:szCs w:val="20"/>
          <w:u w:val="single"/>
        </w:rPr>
      </w:pPr>
      <w:r w:rsidRPr="001B157C">
        <w:rPr>
          <w:sz w:val="20"/>
          <w:szCs w:val="20"/>
          <w:u w:val="single"/>
        </w:rPr>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86B5E" w:rsidRPr="00BC0346" w:rsidTr="00EE6982">
        <w:tc>
          <w:tcPr>
            <w:tcW w:w="5000" w:type="pct"/>
            <w:gridSpan w:val="3"/>
          </w:tcPr>
          <w:p w:rsidR="00186B5E" w:rsidRPr="00BC0346" w:rsidRDefault="00186B5E" w:rsidP="00EE6982">
            <w:pPr>
              <w:jc w:val="both"/>
              <w:rPr>
                <w:rFonts w:eastAsia="Calibri"/>
                <w:sz w:val="20"/>
              </w:rPr>
            </w:pPr>
            <w:r w:rsidRPr="00BC0346">
              <w:rPr>
                <w:rFonts w:eastAsia="Calibri"/>
                <w:sz w:val="20"/>
              </w:rPr>
              <w:t>Torts – Negligence – Duty of care – Pure economic loss – Commercial law – Insurance – Conversion from a mutual insurance company into a stock company – Participatory policyholders of a life insurance company whose policies were transferred to another company not given a share of the value distributed upon company’s subsequent demutualization – Whether a mutual insurance company can be held liable to participatory policyholders for failing to preserve their entitlement to a share of the value on transferring their policies – Does the recognition of a novel duty of care in negligence require a pre-existing legal right or legally-protected interest – Does statutory/regulatory authorization for an allegedly negligent act preclude the recognition of a duty of care in negligence – If leave to appeal is granted, should Manulife be permitted to cross – appeal issues that the Court of Appeal declined to address, as moot – Alleged errors by the trial judge in applying principles of damages relating to causation and qualification.</w:t>
            </w:r>
          </w:p>
        </w:tc>
      </w:tr>
      <w:tr w:rsidR="00186B5E" w:rsidRPr="00BC0346" w:rsidTr="00EE6982">
        <w:tc>
          <w:tcPr>
            <w:tcW w:w="5000" w:type="pct"/>
            <w:gridSpan w:val="3"/>
          </w:tcPr>
          <w:p w:rsidR="00186B5E" w:rsidRPr="00BC0346" w:rsidRDefault="00186B5E" w:rsidP="00EE6982">
            <w:pPr>
              <w:jc w:val="both"/>
              <w:rPr>
                <w:rFonts w:eastAsia="Calibri"/>
                <w:sz w:val="20"/>
              </w:rPr>
            </w:pPr>
          </w:p>
        </w:tc>
      </w:tr>
      <w:tr w:rsidR="00186B5E" w:rsidRPr="00BC0346" w:rsidTr="00EE6982">
        <w:tc>
          <w:tcPr>
            <w:tcW w:w="5000" w:type="pct"/>
            <w:gridSpan w:val="3"/>
          </w:tcPr>
          <w:p w:rsidR="00186B5E" w:rsidRPr="00BC0346" w:rsidRDefault="00186B5E" w:rsidP="00EE6982">
            <w:pPr>
              <w:jc w:val="both"/>
              <w:rPr>
                <w:rFonts w:eastAsia="Calibri"/>
                <w:sz w:val="20"/>
              </w:rPr>
            </w:pPr>
            <w:r w:rsidRPr="00BC0346">
              <w:rPr>
                <w:rFonts w:eastAsia="Calibri"/>
                <w:sz w:val="20"/>
              </w:rPr>
              <w:t xml:space="preserve">The respondent (“Manulife”) transferred the participating policies of Barbados residents to another life insurance company in December 1996.  The transfer was made without any compensation to policyholders for their share in the value of Manulife.  At that time Manulife stated that it had no present intention of pursuing demutualization and the regulatory framework precluded demutualization by highly capitalized mutual insurance companies.  In January 1998, Manulife announced it would demutualize, and a year later regulatory amendments made demutualization possible.  Only those who were participatory policyholders at the date of the announcement shared in the allocation of the $9 billion total value of Manulife as it transformed into a stock company. </w:t>
            </w:r>
          </w:p>
          <w:p w:rsidR="00186B5E" w:rsidRPr="00BC0346" w:rsidRDefault="00186B5E" w:rsidP="00EE6982">
            <w:pPr>
              <w:jc w:val="both"/>
              <w:rPr>
                <w:rFonts w:eastAsia="Calibri"/>
                <w:sz w:val="20"/>
              </w:rPr>
            </w:pPr>
          </w:p>
          <w:p w:rsidR="00186B5E" w:rsidRPr="00BC0346" w:rsidRDefault="00186B5E" w:rsidP="00EE6982">
            <w:pPr>
              <w:jc w:val="both"/>
              <w:rPr>
                <w:rFonts w:eastAsia="Calibri"/>
                <w:sz w:val="20"/>
              </w:rPr>
            </w:pPr>
            <w:r w:rsidRPr="00BC0346">
              <w:rPr>
                <w:rFonts w:eastAsia="Calibri"/>
                <w:sz w:val="20"/>
              </w:rPr>
              <w:t>The applicants are representative plaintiffs of a class action brought on behalf of the former Barbados policyholders.  They brought an action in damages for negligence and breach of fiduciary duty against Manulife.  They claimed that at the time of transferring their policies, Manulife should have protected their interests and their right to a share in the value of the company on demutualization.  The Superior Court of Justice dismissed their action, and the Ontario Court of Appeal dismissed the appeal and a cross-appeal on damages.</w:t>
            </w:r>
          </w:p>
          <w:p w:rsidR="00186B5E" w:rsidRPr="00BC0346" w:rsidRDefault="00186B5E" w:rsidP="00EE6982">
            <w:pPr>
              <w:jc w:val="both"/>
              <w:rPr>
                <w:rFonts w:eastAsia="Calibri"/>
                <w:sz w:val="20"/>
              </w:rPr>
            </w:pPr>
          </w:p>
        </w:tc>
      </w:tr>
      <w:tr w:rsidR="00186B5E" w:rsidRPr="00BC0346" w:rsidTr="00EE6982">
        <w:tc>
          <w:tcPr>
            <w:tcW w:w="2427" w:type="pct"/>
          </w:tcPr>
          <w:p w:rsidR="00186B5E" w:rsidRPr="00BC0346" w:rsidRDefault="00186B5E" w:rsidP="00EE6982">
            <w:pPr>
              <w:jc w:val="both"/>
              <w:rPr>
                <w:rFonts w:eastAsia="Calibri"/>
                <w:sz w:val="20"/>
              </w:rPr>
            </w:pPr>
            <w:r w:rsidRPr="00BC0346">
              <w:rPr>
                <w:rFonts w:eastAsia="Calibri"/>
                <w:sz w:val="20"/>
              </w:rPr>
              <w:t>August 1, 2012</w:t>
            </w:r>
          </w:p>
          <w:p w:rsidR="00186B5E" w:rsidRPr="00BC0346" w:rsidRDefault="00186B5E" w:rsidP="00EE6982">
            <w:pPr>
              <w:jc w:val="both"/>
              <w:rPr>
                <w:rFonts w:eastAsia="Calibri"/>
                <w:sz w:val="20"/>
              </w:rPr>
            </w:pPr>
            <w:r w:rsidRPr="00BC0346">
              <w:rPr>
                <w:rFonts w:eastAsia="Calibri"/>
                <w:sz w:val="20"/>
              </w:rPr>
              <w:t>Ontario Superior Court of Justice</w:t>
            </w:r>
          </w:p>
          <w:p w:rsidR="00186B5E" w:rsidRPr="00BC0346" w:rsidRDefault="00186B5E" w:rsidP="00EE6982">
            <w:pPr>
              <w:jc w:val="both"/>
              <w:rPr>
                <w:rFonts w:eastAsia="Calibri"/>
                <w:sz w:val="20"/>
              </w:rPr>
            </w:pPr>
            <w:r w:rsidRPr="00BC0346">
              <w:rPr>
                <w:rFonts w:eastAsia="Calibri"/>
                <w:sz w:val="20"/>
              </w:rPr>
              <w:t>(Newbould J.)</w:t>
            </w:r>
          </w:p>
          <w:p w:rsidR="00186B5E" w:rsidRPr="00BC0346" w:rsidRDefault="00742BC3" w:rsidP="00EE6982">
            <w:pPr>
              <w:jc w:val="both"/>
              <w:rPr>
                <w:rFonts w:eastAsia="Calibri"/>
                <w:sz w:val="20"/>
              </w:rPr>
            </w:pPr>
            <w:hyperlink r:id="rId29" w:history="1">
              <w:r w:rsidR="00186B5E" w:rsidRPr="00BC0346">
                <w:rPr>
                  <w:rFonts w:eastAsia="Calibri"/>
                  <w:color w:val="0000FF"/>
                  <w:sz w:val="20"/>
                  <w:u w:val="single"/>
                </w:rPr>
                <w:t>2012 OBSC 4316</w:t>
              </w:r>
            </w:hyperlink>
          </w:p>
          <w:p w:rsidR="00186B5E" w:rsidRPr="00BC0346" w:rsidRDefault="00186B5E" w:rsidP="00EE6982">
            <w:pPr>
              <w:jc w:val="both"/>
              <w:rPr>
                <w:rFonts w:eastAsia="Calibri"/>
                <w:sz w:val="20"/>
              </w:rPr>
            </w:pPr>
          </w:p>
        </w:tc>
        <w:tc>
          <w:tcPr>
            <w:tcW w:w="243" w:type="pct"/>
          </w:tcPr>
          <w:p w:rsidR="00186B5E" w:rsidRPr="00BC0346" w:rsidRDefault="00186B5E" w:rsidP="00EE6982">
            <w:pPr>
              <w:jc w:val="both"/>
              <w:rPr>
                <w:rFonts w:eastAsia="Calibri"/>
                <w:sz w:val="20"/>
              </w:rPr>
            </w:pPr>
          </w:p>
        </w:tc>
        <w:tc>
          <w:tcPr>
            <w:tcW w:w="2330" w:type="pct"/>
          </w:tcPr>
          <w:p w:rsidR="00186B5E" w:rsidRPr="00BC0346" w:rsidRDefault="00186B5E" w:rsidP="00EE6982">
            <w:pPr>
              <w:jc w:val="both"/>
              <w:rPr>
                <w:rFonts w:eastAsia="Calibri"/>
                <w:sz w:val="20"/>
              </w:rPr>
            </w:pPr>
            <w:r w:rsidRPr="00BC0346">
              <w:rPr>
                <w:rFonts w:eastAsia="Calibri"/>
                <w:sz w:val="20"/>
              </w:rPr>
              <w:t>Applicants’ class action dismissed</w:t>
            </w:r>
          </w:p>
          <w:p w:rsidR="00186B5E" w:rsidRPr="00BC0346" w:rsidRDefault="00186B5E" w:rsidP="00EE6982">
            <w:pPr>
              <w:jc w:val="both"/>
              <w:rPr>
                <w:rFonts w:eastAsia="Calibri"/>
                <w:sz w:val="20"/>
              </w:rPr>
            </w:pPr>
          </w:p>
        </w:tc>
      </w:tr>
      <w:tr w:rsidR="00186B5E" w:rsidRPr="00BC0346" w:rsidTr="00EE6982">
        <w:tc>
          <w:tcPr>
            <w:tcW w:w="2427" w:type="pct"/>
          </w:tcPr>
          <w:p w:rsidR="00186B5E" w:rsidRPr="00BC0346" w:rsidRDefault="00186B5E" w:rsidP="00EE6982">
            <w:pPr>
              <w:jc w:val="both"/>
              <w:rPr>
                <w:rFonts w:eastAsia="Calibri"/>
                <w:sz w:val="20"/>
              </w:rPr>
            </w:pPr>
            <w:r w:rsidRPr="00BC0346">
              <w:rPr>
                <w:rFonts w:eastAsia="Calibri"/>
                <w:sz w:val="20"/>
              </w:rPr>
              <w:t>May 22, 2014</w:t>
            </w:r>
          </w:p>
          <w:p w:rsidR="00186B5E" w:rsidRPr="00BC0346" w:rsidRDefault="00186B5E" w:rsidP="00EE6982">
            <w:pPr>
              <w:jc w:val="both"/>
              <w:rPr>
                <w:rFonts w:eastAsia="Calibri"/>
                <w:sz w:val="20"/>
              </w:rPr>
            </w:pPr>
            <w:r w:rsidRPr="00BC0346">
              <w:rPr>
                <w:rFonts w:eastAsia="Calibri"/>
                <w:sz w:val="20"/>
              </w:rPr>
              <w:t>Court of Appeal for Ontario</w:t>
            </w:r>
          </w:p>
          <w:p w:rsidR="00186B5E" w:rsidRPr="00BC0346" w:rsidRDefault="00186B5E" w:rsidP="00EE6982">
            <w:pPr>
              <w:jc w:val="both"/>
              <w:rPr>
                <w:rFonts w:eastAsia="Calibri"/>
                <w:sz w:val="20"/>
              </w:rPr>
            </w:pPr>
            <w:r w:rsidRPr="00BC0346">
              <w:rPr>
                <w:rFonts w:eastAsia="Calibri"/>
                <w:sz w:val="20"/>
              </w:rPr>
              <w:t>(Gillese, Blair and Strathy (ad hoc) JJ.A.)</w:t>
            </w:r>
          </w:p>
          <w:p w:rsidR="00186B5E" w:rsidRPr="00BC0346" w:rsidRDefault="00742BC3" w:rsidP="00EE6982">
            <w:pPr>
              <w:jc w:val="both"/>
              <w:rPr>
                <w:rFonts w:eastAsia="Calibri"/>
                <w:sz w:val="20"/>
              </w:rPr>
            </w:pPr>
            <w:hyperlink r:id="rId30" w:history="1">
              <w:r w:rsidR="00186B5E" w:rsidRPr="00BC0346">
                <w:rPr>
                  <w:rFonts w:eastAsia="Calibri"/>
                  <w:color w:val="0000FF"/>
                  <w:sz w:val="20"/>
                  <w:u w:val="single"/>
                </w:rPr>
                <w:t>2014 ONCA 417</w:t>
              </w:r>
            </w:hyperlink>
            <w:r w:rsidR="00186B5E" w:rsidRPr="00BC0346">
              <w:rPr>
                <w:rFonts w:eastAsia="Calibri"/>
                <w:sz w:val="20"/>
              </w:rPr>
              <w:t>; C55953</w:t>
            </w:r>
          </w:p>
          <w:p w:rsidR="00186B5E" w:rsidRPr="00BC0346" w:rsidRDefault="00186B5E" w:rsidP="00EE6982">
            <w:pPr>
              <w:jc w:val="both"/>
              <w:rPr>
                <w:rFonts w:eastAsia="Calibri"/>
                <w:sz w:val="20"/>
              </w:rPr>
            </w:pPr>
          </w:p>
        </w:tc>
        <w:tc>
          <w:tcPr>
            <w:tcW w:w="243" w:type="pct"/>
          </w:tcPr>
          <w:p w:rsidR="00186B5E" w:rsidRPr="00BC0346" w:rsidRDefault="00186B5E" w:rsidP="00EE6982">
            <w:pPr>
              <w:jc w:val="both"/>
              <w:rPr>
                <w:rFonts w:eastAsia="Calibri"/>
                <w:sz w:val="20"/>
              </w:rPr>
            </w:pPr>
          </w:p>
        </w:tc>
        <w:tc>
          <w:tcPr>
            <w:tcW w:w="2330" w:type="pct"/>
          </w:tcPr>
          <w:p w:rsidR="00186B5E" w:rsidRPr="00BC0346" w:rsidRDefault="00186B5E" w:rsidP="00EE6982">
            <w:pPr>
              <w:jc w:val="both"/>
              <w:rPr>
                <w:rFonts w:eastAsia="Calibri"/>
                <w:sz w:val="20"/>
              </w:rPr>
            </w:pPr>
            <w:r w:rsidRPr="00BC0346">
              <w:rPr>
                <w:rFonts w:eastAsia="Calibri"/>
                <w:sz w:val="20"/>
              </w:rPr>
              <w:t>Appeal and cross-appeal dismissed</w:t>
            </w:r>
          </w:p>
          <w:p w:rsidR="00186B5E" w:rsidRPr="00BC0346" w:rsidRDefault="00186B5E" w:rsidP="00EE6982">
            <w:pPr>
              <w:jc w:val="both"/>
              <w:rPr>
                <w:rFonts w:eastAsia="Calibri"/>
                <w:sz w:val="20"/>
              </w:rPr>
            </w:pPr>
          </w:p>
        </w:tc>
      </w:tr>
      <w:tr w:rsidR="00186B5E" w:rsidRPr="00BC0346" w:rsidTr="001646D6">
        <w:trPr>
          <w:cantSplit/>
        </w:trPr>
        <w:tc>
          <w:tcPr>
            <w:tcW w:w="2427" w:type="pct"/>
          </w:tcPr>
          <w:p w:rsidR="00186B5E" w:rsidRPr="00BC0346" w:rsidRDefault="00186B5E" w:rsidP="00EE6982">
            <w:pPr>
              <w:jc w:val="both"/>
              <w:rPr>
                <w:rFonts w:eastAsia="Calibri"/>
                <w:sz w:val="20"/>
              </w:rPr>
            </w:pPr>
            <w:r w:rsidRPr="00BC0346">
              <w:rPr>
                <w:rFonts w:eastAsia="Calibri"/>
                <w:sz w:val="20"/>
              </w:rPr>
              <w:lastRenderedPageBreak/>
              <w:t>September 22, 2014</w:t>
            </w:r>
          </w:p>
          <w:p w:rsidR="00186B5E" w:rsidRPr="00BC0346" w:rsidRDefault="00186B5E" w:rsidP="00EE6982">
            <w:pPr>
              <w:jc w:val="both"/>
              <w:rPr>
                <w:rFonts w:eastAsia="Calibri"/>
                <w:sz w:val="20"/>
              </w:rPr>
            </w:pPr>
            <w:r w:rsidRPr="00BC0346">
              <w:rPr>
                <w:rFonts w:eastAsia="Calibri"/>
                <w:sz w:val="20"/>
              </w:rPr>
              <w:t>Supreme Court of Canada</w:t>
            </w:r>
          </w:p>
          <w:p w:rsidR="00186B5E" w:rsidRPr="00BC0346" w:rsidRDefault="00186B5E" w:rsidP="00EE6982">
            <w:pPr>
              <w:jc w:val="both"/>
              <w:rPr>
                <w:rFonts w:eastAsia="Calibri"/>
                <w:sz w:val="20"/>
              </w:rPr>
            </w:pPr>
          </w:p>
        </w:tc>
        <w:tc>
          <w:tcPr>
            <w:tcW w:w="243" w:type="pct"/>
          </w:tcPr>
          <w:p w:rsidR="00186B5E" w:rsidRPr="00BC0346" w:rsidRDefault="00186B5E" w:rsidP="00EE6982">
            <w:pPr>
              <w:jc w:val="both"/>
              <w:rPr>
                <w:rFonts w:eastAsia="Calibri"/>
                <w:sz w:val="20"/>
              </w:rPr>
            </w:pPr>
          </w:p>
        </w:tc>
        <w:tc>
          <w:tcPr>
            <w:tcW w:w="2330" w:type="pct"/>
          </w:tcPr>
          <w:p w:rsidR="00186B5E" w:rsidRPr="00BC0346" w:rsidRDefault="00186B5E" w:rsidP="00EE6982">
            <w:pPr>
              <w:jc w:val="both"/>
              <w:rPr>
                <w:rFonts w:eastAsia="Calibri"/>
                <w:sz w:val="20"/>
              </w:rPr>
            </w:pPr>
            <w:r w:rsidRPr="00BC0346">
              <w:rPr>
                <w:rFonts w:eastAsia="Calibri"/>
                <w:sz w:val="20"/>
              </w:rPr>
              <w:t>Motion for an extension of time to serve and file an application for leave, and application for leave to appeal filed</w:t>
            </w:r>
          </w:p>
          <w:p w:rsidR="00186B5E" w:rsidRPr="00BC0346" w:rsidRDefault="00186B5E" w:rsidP="00EE6982">
            <w:pPr>
              <w:jc w:val="both"/>
              <w:rPr>
                <w:rFonts w:eastAsia="Calibri"/>
                <w:sz w:val="20"/>
              </w:rPr>
            </w:pPr>
          </w:p>
        </w:tc>
      </w:tr>
      <w:tr w:rsidR="00186B5E" w:rsidRPr="00BC0346" w:rsidTr="001646D6">
        <w:trPr>
          <w:cantSplit/>
        </w:trPr>
        <w:tc>
          <w:tcPr>
            <w:tcW w:w="2427" w:type="pct"/>
          </w:tcPr>
          <w:p w:rsidR="00186B5E" w:rsidRPr="00BC0346" w:rsidRDefault="00186B5E" w:rsidP="00EE6982">
            <w:pPr>
              <w:jc w:val="both"/>
              <w:rPr>
                <w:rFonts w:eastAsia="Calibri"/>
                <w:sz w:val="20"/>
              </w:rPr>
            </w:pPr>
            <w:r w:rsidRPr="00BC0346">
              <w:rPr>
                <w:rFonts w:eastAsia="Calibri"/>
                <w:sz w:val="20"/>
              </w:rPr>
              <w:t>October 23, 2014</w:t>
            </w:r>
          </w:p>
          <w:p w:rsidR="00186B5E" w:rsidRPr="00BC0346" w:rsidRDefault="00186B5E" w:rsidP="00EE6982">
            <w:pPr>
              <w:jc w:val="both"/>
              <w:rPr>
                <w:rFonts w:eastAsia="Calibri"/>
                <w:sz w:val="20"/>
              </w:rPr>
            </w:pPr>
            <w:r w:rsidRPr="00BC0346">
              <w:rPr>
                <w:rFonts w:eastAsia="Calibri"/>
                <w:sz w:val="20"/>
              </w:rPr>
              <w:t>Supreme Court of Canada</w:t>
            </w:r>
          </w:p>
        </w:tc>
        <w:tc>
          <w:tcPr>
            <w:tcW w:w="243" w:type="pct"/>
          </w:tcPr>
          <w:p w:rsidR="00186B5E" w:rsidRPr="00BC0346" w:rsidRDefault="00186B5E" w:rsidP="00EE6982">
            <w:pPr>
              <w:jc w:val="both"/>
              <w:rPr>
                <w:rFonts w:eastAsia="Calibri"/>
                <w:sz w:val="20"/>
              </w:rPr>
            </w:pPr>
          </w:p>
        </w:tc>
        <w:tc>
          <w:tcPr>
            <w:tcW w:w="2330" w:type="pct"/>
          </w:tcPr>
          <w:p w:rsidR="00186B5E" w:rsidRPr="00BC0346" w:rsidRDefault="00186B5E" w:rsidP="00EE6982">
            <w:pPr>
              <w:jc w:val="both"/>
              <w:rPr>
                <w:rFonts w:eastAsia="Calibri"/>
                <w:sz w:val="20"/>
              </w:rPr>
            </w:pPr>
            <w:r w:rsidRPr="00BC0346">
              <w:rPr>
                <w:rFonts w:eastAsia="Calibri"/>
                <w:sz w:val="20"/>
              </w:rPr>
              <w:t>Conditional application for leave to cross-appeal filed</w:t>
            </w: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39"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86B5E" w:rsidRPr="00CF1118" w:rsidTr="00EE6982">
        <w:tc>
          <w:tcPr>
            <w:tcW w:w="5000" w:type="pct"/>
            <w:gridSpan w:val="3"/>
          </w:tcPr>
          <w:p w:rsidR="00186B5E" w:rsidRPr="00BC0346" w:rsidRDefault="00186B5E" w:rsidP="00EE6982">
            <w:pPr>
              <w:jc w:val="both"/>
              <w:rPr>
                <w:rFonts w:eastAsia="Calibri"/>
                <w:sz w:val="20"/>
                <w:lang w:val="fr-CA"/>
              </w:rPr>
            </w:pPr>
            <w:r w:rsidRPr="00BC0346">
              <w:rPr>
                <w:rFonts w:eastAsia="Calibri"/>
                <w:sz w:val="20"/>
                <w:lang w:val="fr-CA"/>
              </w:rPr>
              <w:t>Responsabilité délictuelle – Négligence – Obligation de diligence – Perte purement financière – Droit commercial – Assurance – Conversion d’une compagnie d’assurances à forme mutuelle en compagnie d’assurances par actions – Les titulaires de police avec participation d’une compagnie d’assurance-vie dont les polices ont été transférées à une autre compagnie ne se sont pas vu accorder une part de la valeur distribuée lors de la démutualisation subséquente de la compagnie – Une compagnie d’assurances à forme mutuelle peut-elle être tenue responsable envers les titulaires de police avec participation parce qu’elle n’a pas conservé leur droit à une part de la valeur au moment du transfert de leur polices? – La reconnaissance d’une nouvelle obligation de diligence nécessite-t-elle un droit, en common law, qui existait déjà ou un droit protégé par la loi? – L’autorisation légale ou réglementaire de poser un acte censément négligent empêche-t-elle la reconnaissance d’une obligation de diligence? – Si l’autorisation d’appel est accordée, Manuvie devrait-elle être autorisée à interjeter un appel incident portant sur des questions que la Cour d’appel a refusé de traiter en raison de leur caractère théorique? – Erreurs reprochées du juge de première instance dans l’application des principes relatifs aux dommages-intérêts ayant trait à la causalité et à la qualification.</w:t>
            </w:r>
          </w:p>
        </w:tc>
      </w:tr>
      <w:tr w:rsidR="00186B5E" w:rsidRPr="00CF1118" w:rsidTr="00EE6982">
        <w:tc>
          <w:tcPr>
            <w:tcW w:w="5000" w:type="pct"/>
            <w:gridSpan w:val="3"/>
          </w:tcPr>
          <w:p w:rsidR="00186B5E" w:rsidRPr="00BC0346" w:rsidRDefault="00186B5E" w:rsidP="00EE6982">
            <w:pPr>
              <w:jc w:val="both"/>
              <w:rPr>
                <w:rFonts w:eastAsia="Calibri"/>
                <w:sz w:val="20"/>
                <w:lang w:val="fr-CA"/>
              </w:rPr>
            </w:pPr>
          </w:p>
        </w:tc>
      </w:tr>
      <w:tr w:rsidR="00186B5E" w:rsidRPr="00CF1118" w:rsidTr="00EE6982">
        <w:tc>
          <w:tcPr>
            <w:tcW w:w="5000" w:type="pct"/>
            <w:gridSpan w:val="3"/>
          </w:tcPr>
          <w:p w:rsidR="00186B5E" w:rsidRPr="00BC0346" w:rsidRDefault="00186B5E" w:rsidP="00EE6982">
            <w:pPr>
              <w:jc w:val="both"/>
              <w:rPr>
                <w:rFonts w:eastAsia="Calibri"/>
                <w:sz w:val="20"/>
                <w:lang w:val="fr-CA"/>
              </w:rPr>
            </w:pPr>
            <w:r w:rsidRPr="00BC0346">
              <w:rPr>
                <w:rFonts w:eastAsia="Calibri"/>
                <w:sz w:val="20"/>
                <w:lang w:val="fr-CA"/>
              </w:rPr>
              <w:t xml:space="preserve">L’intimée (« Manuvie ») a transféré les polices avec participation de résidents de la Barbade à une autre compagnie d’assurance-vie en décembre 1996.  Le transfert a été fait sans indemnité aux titulaires pour leur part dans la valeur de Manuvie.  À l’époque, Manuvie affirmait qu’elle n’avait pas alors l’intention de poursuivre la démutualisation et le cadre réglementaire empêchait la démutualisation par les compagnies d’assurances mutuelles à forte capitalisation.  En janvier 1998, Manuvie a annoncé qu’elle allait se démutualiser et, un an plus tard, des modifications réglementaires ont rendu la démutualisation possible.  Seuls les titulaires de police avec participation à la date de l’annonce ont pris part au partage de la valeur totale de 9 milliards de Manuvie lorsqu’elle s’est transformée en compagnie par actions. </w:t>
            </w:r>
          </w:p>
          <w:p w:rsidR="00186B5E" w:rsidRPr="00BC0346" w:rsidRDefault="00186B5E" w:rsidP="00EE6982">
            <w:pPr>
              <w:jc w:val="both"/>
              <w:rPr>
                <w:rFonts w:eastAsia="Calibri"/>
                <w:sz w:val="20"/>
                <w:lang w:val="fr-CA"/>
              </w:rPr>
            </w:pPr>
          </w:p>
          <w:p w:rsidR="00186B5E" w:rsidRPr="00BC0346" w:rsidRDefault="00186B5E" w:rsidP="00EE6982">
            <w:pPr>
              <w:jc w:val="both"/>
              <w:rPr>
                <w:rFonts w:eastAsia="Calibri"/>
                <w:sz w:val="20"/>
                <w:lang w:val="fr-CA"/>
              </w:rPr>
            </w:pPr>
            <w:r w:rsidRPr="00BC0346">
              <w:rPr>
                <w:rFonts w:eastAsia="Calibri"/>
                <w:sz w:val="20"/>
                <w:lang w:val="fr-CA"/>
              </w:rPr>
              <w:t>Les demandeurs en l’espèce représentent un groupe de demandeurs dans un recours collectif intenté au nom des anciens titulaires de police de la Barbade.  Ils ont intenté contre Manuvie une action en dommages-intérêts pour négligence et manquement à l’obligation fiduciaire.  Ils allèguent qu’au moment du transfert de leurs polices, Manuvie aurait dû protéger leurs intérêts et leur droit à une part de la valeur de la compagnie lors de la démutualisation.  La Cour supérieure de justice a rejeté leur action et la Cour d’appel de l’Ontario a rejeté l’appel et un appel incident portant sur les dommages-intérêts.</w:t>
            </w:r>
          </w:p>
          <w:p w:rsidR="00186B5E" w:rsidRPr="00BC0346" w:rsidRDefault="00186B5E" w:rsidP="00EE6982">
            <w:pPr>
              <w:jc w:val="both"/>
              <w:rPr>
                <w:rFonts w:eastAsia="Calibri"/>
                <w:sz w:val="20"/>
                <w:lang w:val="fr-CA"/>
              </w:rPr>
            </w:pPr>
          </w:p>
        </w:tc>
      </w:tr>
      <w:tr w:rsidR="00186B5E" w:rsidRPr="00CF1118" w:rsidTr="00EE6982">
        <w:tc>
          <w:tcPr>
            <w:tcW w:w="2427" w:type="pct"/>
          </w:tcPr>
          <w:p w:rsidR="00186B5E" w:rsidRPr="00BC0346" w:rsidRDefault="00186B5E" w:rsidP="00EE6982">
            <w:pPr>
              <w:jc w:val="both"/>
              <w:rPr>
                <w:rFonts w:eastAsia="Calibri"/>
                <w:sz w:val="20"/>
                <w:lang w:val="fr-CA"/>
              </w:rPr>
            </w:pPr>
            <w:r w:rsidRPr="00BC0346">
              <w:rPr>
                <w:rFonts w:eastAsia="Calibri"/>
                <w:sz w:val="20"/>
                <w:lang w:val="fr-CA"/>
              </w:rPr>
              <w:t>1</w:t>
            </w:r>
            <w:r w:rsidRPr="00BC0346">
              <w:rPr>
                <w:rFonts w:eastAsia="Calibri"/>
                <w:sz w:val="20"/>
                <w:vertAlign w:val="superscript"/>
                <w:lang w:val="fr-CA"/>
              </w:rPr>
              <w:t>er</w:t>
            </w:r>
            <w:r w:rsidRPr="00BC0346">
              <w:rPr>
                <w:rFonts w:eastAsia="Calibri"/>
                <w:sz w:val="20"/>
                <w:lang w:val="fr-CA"/>
              </w:rPr>
              <w:t xml:space="preserve"> août 2012</w:t>
            </w:r>
          </w:p>
          <w:p w:rsidR="00186B5E" w:rsidRPr="00BC0346" w:rsidRDefault="00186B5E" w:rsidP="00EE6982">
            <w:pPr>
              <w:jc w:val="both"/>
              <w:rPr>
                <w:rFonts w:eastAsia="Calibri"/>
                <w:sz w:val="20"/>
                <w:lang w:val="fr-CA"/>
              </w:rPr>
            </w:pPr>
            <w:r w:rsidRPr="00BC0346">
              <w:rPr>
                <w:rFonts w:eastAsia="Calibri"/>
                <w:sz w:val="20"/>
                <w:lang w:val="fr-CA"/>
              </w:rPr>
              <w:t>Cour supérieure de justice de l’Ontario</w:t>
            </w:r>
          </w:p>
          <w:p w:rsidR="00186B5E" w:rsidRPr="00BC0346" w:rsidRDefault="00186B5E" w:rsidP="00EE6982">
            <w:pPr>
              <w:jc w:val="both"/>
              <w:rPr>
                <w:rFonts w:eastAsia="Calibri"/>
                <w:sz w:val="20"/>
                <w:lang w:val="fr-CA"/>
              </w:rPr>
            </w:pPr>
            <w:r w:rsidRPr="00BC0346">
              <w:rPr>
                <w:rFonts w:eastAsia="Calibri"/>
                <w:sz w:val="20"/>
                <w:lang w:val="fr-CA"/>
              </w:rPr>
              <w:t>(Juge Newbould)</w:t>
            </w:r>
          </w:p>
          <w:p w:rsidR="00186B5E" w:rsidRPr="00BC0346" w:rsidRDefault="00742BC3" w:rsidP="00EE6982">
            <w:pPr>
              <w:jc w:val="both"/>
              <w:rPr>
                <w:rFonts w:eastAsia="Calibri"/>
                <w:sz w:val="20"/>
                <w:lang w:val="fr-CA"/>
              </w:rPr>
            </w:pPr>
            <w:hyperlink r:id="rId31" w:history="1">
              <w:r w:rsidR="00186B5E" w:rsidRPr="00BC0346">
                <w:rPr>
                  <w:rFonts w:eastAsia="Calibri"/>
                  <w:color w:val="0000FF"/>
                  <w:sz w:val="20"/>
                  <w:u w:val="single"/>
                  <w:lang w:val="fr-CA"/>
                </w:rPr>
                <w:t>2012 OBSC 4316</w:t>
              </w:r>
            </w:hyperlink>
          </w:p>
          <w:p w:rsidR="00186B5E" w:rsidRPr="00BC0346" w:rsidRDefault="00186B5E" w:rsidP="00EE6982">
            <w:pPr>
              <w:jc w:val="both"/>
              <w:rPr>
                <w:rFonts w:eastAsia="Calibri"/>
                <w:sz w:val="20"/>
                <w:lang w:val="fr-CA"/>
              </w:rPr>
            </w:pPr>
          </w:p>
        </w:tc>
        <w:tc>
          <w:tcPr>
            <w:tcW w:w="243" w:type="pct"/>
          </w:tcPr>
          <w:p w:rsidR="00186B5E" w:rsidRPr="00BC0346" w:rsidRDefault="00186B5E" w:rsidP="00EE6982">
            <w:pPr>
              <w:jc w:val="both"/>
              <w:rPr>
                <w:rFonts w:eastAsia="Calibri"/>
                <w:sz w:val="20"/>
                <w:lang w:val="fr-CA"/>
              </w:rPr>
            </w:pPr>
          </w:p>
        </w:tc>
        <w:tc>
          <w:tcPr>
            <w:tcW w:w="2330" w:type="pct"/>
          </w:tcPr>
          <w:p w:rsidR="00186B5E" w:rsidRPr="00BC0346" w:rsidRDefault="00186B5E" w:rsidP="00EE6982">
            <w:pPr>
              <w:jc w:val="both"/>
              <w:rPr>
                <w:rFonts w:eastAsia="Calibri"/>
                <w:sz w:val="20"/>
                <w:lang w:val="fr-CA"/>
              </w:rPr>
            </w:pPr>
            <w:r w:rsidRPr="00BC0346">
              <w:rPr>
                <w:rFonts w:eastAsia="Calibri"/>
                <w:sz w:val="20"/>
                <w:lang w:val="fr-CA"/>
              </w:rPr>
              <w:t>Rejet du recours collectif des demandeurs</w:t>
            </w:r>
          </w:p>
          <w:p w:rsidR="00186B5E" w:rsidRPr="00BC0346" w:rsidRDefault="00186B5E" w:rsidP="00EE6982">
            <w:pPr>
              <w:jc w:val="both"/>
              <w:rPr>
                <w:rFonts w:eastAsia="Calibri"/>
                <w:sz w:val="20"/>
                <w:lang w:val="fr-CA"/>
              </w:rPr>
            </w:pPr>
          </w:p>
        </w:tc>
      </w:tr>
      <w:tr w:rsidR="00186B5E" w:rsidRPr="00CF1118" w:rsidTr="00EE6982">
        <w:tc>
          <w:tcPr>
            <w:tcW w:w="2427" w:type="pct"/>
          </w:tcPr>
          <w:p w:rsidR="00186B5E" w:rsidRPr="00BC0346" w:rsidRDefault="00186B5E" w:rsidP="00EE6982">
            <w:pPr>
              <w:jc w:val="both"/>
              <w:rPr>
                <w:rFonts w:eastAsia="Calibri"/>
                <w:sz w:val="20"/>
                <w:lang w:val="fr-CA"/>
              </w:rPr>
            </w:pPr>
            <w:r w:rsidRPr="00BC0346">
              <w:rPr>
                <w:rFonts w:eastAsia="Calibri"/>
                <w:sz w:val="20"/>
                <w:lang w:val="fr-CA"/>
              </w:rPr>
              <w:t>22 mai 2014</w:t>
            </w:r>
          </w:p>
          <w:p w:rsidR="00186B5E" w:rsidRPr="00BC0346" w:rsidRDefault="00186B5E" w:rsidP="00EE6982">
            <w:pPr>
              <w:jc w:val="both"/>
              <w:rPr>
                <w:rFonts w:eastAsia="Calibri"/>
                <w:sz w:val="20"/>
                <w:lang w:val="fr-CA"/>
              </w:rPr>
            </w:pPr>
            <w:r w:rsidRPr="00BC0346">
              <w:rPr>
                <w:rFonts w:eastAsia="Calibri"/>
                <w:sz w:val="20"/>
                <w:lang w:val="fr-CA"/>
              </w:rPr>
              <w:t>Cour d’appel de l’Ontario</w:t>
            </w:r>
          </w:p>
          <w:p w:rsidR="00186B5E" w:rsidRPr="00BC0346" w:rsidRDefault="00186B5E" w:rsidP="00EE6982">
            <w:pPr>
              <w:jc w:val="both"/>
              <w:rPr>
                <w:rFonts w:eastAsia="Calibri"/>
                <w:sz w:val="20"/>
                <w:lang w:val="fr-CA"/>
              </w:rPr>
            </w:pPr>
            <w:r w:rsidRPr="00BC0346">
              <w:rPr>
                <w:rFonts w:eastAsia="Calibri"/>
                <w:sz w:val="20"/>
                <w:lang w:val="fr-CA"/>
              </w:rPr>
              <w:t>(Juges Gillese, Blair et Strathy (ad hoc))</w:t>
            </w:r>
          </w:p>
          <w:p w:rsidR="00186B5E" w:rsidRPr="00BC0346" w:rsidRDefault="00742BC3" w:rsidP="00EE6982">
            <w:pPr>
              <w:jc w:val="both"/>
              <w:rPr>
                <w:rFonts w:eastAsia="Calibri"/>
                <w:sz w:val="20"/>
                <w:lang w:val="fr-CA"/>
              </w:rPr>
            </w:pPr>
            <w:hyperlink r:id="rId32" w:history="1">
              <w:r w:rsidR="00186B5E" w:rsidRPr="00BC0346">
                <w:rPr>
                  <w:rFonts w:eastAsia="Calibri"/>
                  <w:color w:val="0000FF"/>
                  <w:sz w:val="20"/>
                  <w:u w:val="single"/>
                  <w:lang w:val="fr-CA"/>
                </w:rPr>
                <w:t>2014 ONCA 417</w:t>
              </w:r>
            </w:hyperlink>
            <w:r w:rsidR="00186B5E" w:rsidRPr="00BC0346">
              <w:rPr>
                <w:rFonts w:eastAsia="Calibri"/>
                <w:sz w:val="20"/>
                <w:lang w:val="fr-CA"/>
              </w:rPr>
              <w:t>; C55953</w:t>
            </w:r>
          </w:p>
          <w:p w:rsidR="00186B5E" w:rsidRPr="00BC0346" w:rsidRDefault="00186B5E" w:rsidP="00EE6982">
            <w:pPr>
              <w:jc w:val="both"/>
              <w:rPr>
                <w:rFonts w:eastAsia="Calibri"/>
                <w:sz w:val="20"/>
                <w:lang w:val="fr-CA"/>
              </w:rPr>
            </w:pPr>
          </w:p>
        </w:tc>
        <w:tc>
          <w:tcPr>
            <w:tcW w:w="243" w:type="pct"/>
          </w:tcPr>
          <w:p w:rsidR="00186B5E" w:rsidRPr="00BC0346" w:rsidRDefault="00186B5E" w:rsidP="00EE6982">
            <w:pPr>
              <w:jc w:val="both"/>
              <w:rPr>
                <w:rFonts w:eastAsia="Calibri"/>
                <w:sz w:val="20"/>
                <w:lang w:val="fr-CA"/>
              </w:rPr>
            </w:pPr>
          </w:p>
        </w:tc>
        <w:tc>
          <w:tcPr>
            <w:tcW w:w="2330" w:type="pct"/>
          </w:tcPr>
          <w:p w:rsidR="00186B5E" w:rsidRPr="00BC0346" w:rsidRDefault="00186B5E" w:rsidP="00EE6982">
            <w:pPr>
              <w:jc w:val="both"/>
              <w:rPr>
                <w:rFonts w:eastAsia="Calibri"/>
                <w:sz w:val="20"/>
                <w:lang w:val="fr-CA"/>
              </w:rPr>
            </w:pPr>
            <w:r w:rsidRPr="00BC0346">
              <w:rPr>
                <w:rFonts w:eastAsia="Calibri"/>
                <w:sz w:val="20"/>
                <w:lang w:val="fr-CA"/>
              </w:rPr>
              <w:t>Rejet de l’appel et de l’appel incident</w:t>
            </w:r>
          </w:p>
          <w:p w:rsidR="00186B5E" w:rsidRPr="00BC0346" w:rsidRDefault="00186B5E" w:rsidP="00EE6982">
            <w:pPr>
              <w:jc w:val="both"/>
              <w:rPr>
                <w:rFonts w:eastAsia="Calibri"/>
                <w:sz w:val="20"/>
                <w:lang w:val="fr-CA"/>
              </w:rPr>
            </w:pPr>
          </w:p>
        </w:tc>
      </w:tr>
      <w:tr w:rsidR="00186B5E" w:rsidRPr="00CF1118" w:rsidTr="001646D6">
        <w:trPr>
          <w:cantSplit/>
        </w:trPr>
        <w:tc>
          <w:tcPr>
            <w:tcW w:w="2427" w:type="pct"/>
          </w:tcPr>
          <w:p w:rsidR="00186B5E" w:rsidRPr="00BC0346" w:rsidRDefault="00186B5E" w:rsidP="00EE6982">
            <w:pPr>
              <w:jc w:val="both"/>
              <w:rPr>
                <w:rFonts w:eastAsia="Calibri"/>
                <w:sz w:val="20"/>
                <w:lang w:val="fr-CA"/>
              </w:rPr>
            </w:pPr>
            <w:r w:rsidRPr="00BC0346">
              <w:rPr>
                <w:rFonts w:eastAsia="Calibri"/>
                <w:sz w:val="20"/>
                <w:lang w:val="fr-CA"/>
              </w:rPr>
              <w:lastRenderedPageBreak/>
              <w:t>22 septembre 2014</w:t>
            </w:r>
          </w:p>
          <w:p w:rsidR="00186B5E" w:rsidRPr="00BC0346" w:rsidRDefault="00186B5E" w:rsidP="00EE6982">
            <w:pPr>
              <w:jc w:val="both"/>
              <w:rPr>
                <w:rFonts w:eastAsia="Calibri"/>
                <w:sz w:val="20"/>
                <w:lang w:val="fr-CA"/>
              </w:rPr>
            </w:pPr>
            <w:r w:rsidRPr="00BC0346">
              <w:rPr>
                <w:rFonts w:eastAsia="Calibri"/>
                <w:sz w:val="20"/>
                <w:lang w:val="fr-CA"/>
              </w:rPr>
              <w:t>Cour suprême du Canada</w:t>
            </w:r>
          </w:p>
          <w:p w:rsidR="00186B5E" w:rsidRPr="00BC0346" w:rsidRDefault="00186B5E" w:rsidP="00EE6982">
            <w:pPr>
              <w:jc w:val="both"/>
              <w:rPr>
                <w:rFonts w:eastAsia="Calibri"/>
                <w:sz w:val="20"/>
                <w:lang w:val="fr-CA"/>
              </w:rPr>
            </w:pPr>
          </w:p>
        </w:tc>
        <w:tc>
          <w:tcPr>
            <w:tcW w:w="243" w:type="pct"/>
          </w:tcPr>
          <w:p w:rsidR="00186B5E" w:rsidRPr="00BC0346" w:rsidRDefault="00186B5E" w:rsidP="00EE6982">
            <w:pPr>
              <w:jc w:val="both"/>
              <w:rPr>
                <w:rFonts w:eastAsia="Calibri"/>
                <w:sz w:val="20"/>
                <w:lang w:val="fr-CA"/>
              </w:rPr>
            </w:pPr>
          </w:p>
        </w:tc>
        <w:tc>
          <w:tcPr>
            <w:tcW w:w="2330" w:type="pct"/>
          </w:tcPr>
          <w:p w:rsidR="00186B5E" w:rsidRPr="00BC0346" w:rsidRDefault="00186B5E" w:rsidP="00EE6982">
            <w:pPr>
              <w:jc w:val="both"/>
              <w:rPr>
                <w:rFonts w:eastAsia="Calibri"/>
                <w:sz w:val="20"/>
                <w:lang w:val="fr-CA"/>
              </w:rPr>
            </w:pPr>
            <w:r w:rsidRPr="00BC0346">
              <w:rPr>
                <w:rFonts w:eastAsia="Calibri"/>
                <w:sz w:val="20"/>
                <w:lang w:val="fr-CA"/>
              </w:rPr>
              <w:t>Dépôt de la requête en prorogation du délai de signification et de dépôt de la demande d’autorisation d’appel et de la demande d’autorisation d’appel</w:t>
            </w:r>
          </w:p>
          <w:p w:rsidR="00186B5E" w:rsidRPr="00BC0346" w:rsidRDefault="00186B5E" w:rsidP="00EE6982">
            <w:pPr>
              <w:jc w:val="both"/>
              <w:rPr>
                <w:rFonts w:eastAsia="Calibri"/>
                <w:sz w:val="20"/>
                <w:lang w:val="fr-CA"/>
              </w:rPr>
            </w:pPr>
          </w:p>
        </w:tc>
      </w:tr>
      <w:tr w:rsidR="00186B5E" w:rsidRPr="00CF1118" w:rsidTr="001646D6">
        <w:trPr>
          <w:cantSplit/>
        </w:trPr>
        <w:tc>
          <w:tcPr>
            <w:tcW w:w="2427" w:type="pct"/>
          </w:tcPr>
          <w:p w:rsidR="00186B5E" w:rsidRPr="00BC0346" w:rsidRDefault="00186B5E" w:rsidP="00EE6982">
            <w:pPr>
              <w:jc w:val="both"/>
              <w:rPr>
                <w:rFonts w:eastAsia="Calibri"/>
                <w:sz w:val="20"/>
                <w:lang w:val="fr-CA"/>
              </w:rPr>
            </w:pPr>
            <w:r w:rsidRPr="00BC0346">
              <w:rPr>
                <w:rFonts w:eastAsia="Calibri"/>
                <w:sz w:val="20"/>
                <w:lang w:val="fr-CA"/>
              </w:rPr>
              <w:t>23 octobre 2014</w:t>
            </w:r>
          </w:p>
          <w:p w:rsidR="00186B5E" w:rsidRPr="00BC0346" w:rsidRDefault="00186B5E" w:rsidP="00EE6982">
            <w:pPr>
              <w:jc w:val="both"/>
              <w:rPr>
                <w:rFonts w:eastAsia="Calibri"/>
                <w:sz w:val="20"/>
                <w:lang w:val="fr-CA"/>
              </w:rPr>
            </w:pPr>
            <w:r w:rsidRPr="00BC0346">
              <w:rPr>
                <w:rFonts w:eastAsia="Calibri"/>
                <w:sz w:val="20"/>
                <w:lang w:val="fr-CA"/>
              </w:rPr>
              <w:t>Cour suprême du Canada</w:t>
            </w:r>
          </w:p>
        </w:tc>
        <w:tc>
          <w:tcPr>
            <w:tcW w:w="243" w:type="pct"/>
          </w:tcPr>
          <w:p w:rsidR="00186B5E" w:rsidRPr="00BC0346" w:rsidRDefault="00186B5E" w:rsidP="00EE6982">
            <w:pPr>
              <w:jc w:val="both"/>
              <w:rPr>
                <w:rFonts w:eastAsia="Calibri"/>
                <w:sz w:val="20"/>
                <w:lang w:val="fr-CA"/>
              </w:rPr>
            </w:pPr>
          </w:p>
        </w:tc>
        <w:tc>
          <w:tcPr>
            <w:tcW w:w="2330" w:type="pct"/>
          </w:tcPr>
          <w:p w:rsidR="00186B5E" w:rsidRPr="00BC0346" w:rsidRDefault="00186B5E" w:rsidP="00EE6982">
            <w:pPr>
              <w:jc w:val="both"/>
              <w:rPr>
                <w:rFonts w:eastAsia="Calibri"/>
                <w:sz w:val="20"/>
                <w:lang w:val="fr-CA"/>
              </w:rPr>
            </w:pPr>
            <w:r w:rsidRPr="00BC0346">
              <w:rPr>
                <w:rFonts w:eastAsia="Calibri"/>
                <w:sz w:val="20"/>
                <w:lang w:val="fr-CA"/>
              </w:rPr>
              <w:t>Dépôt de la demande conditionnelle d’autorisation d’appel incident</w:t>
            </w:r>
          </w:p>
        </w:tc>
      </w:tr>
    </w:tbl>
    <w:p w:rsidR="0002632D" w:rsidRPr="00186B5E" w:rsidRDefault="0002632D" w:rsidP="0002632D">
      <w:pPr>
        <w:rPr>
          <w:sz w:val="20"/>
          <w:szCs w:val="20"/>
          <w:lang w:val="fr-CA"/>
        </w:rPr>
      </w:pPr>
    </w:p>
    <w:p w:rsidR="0002632D" w:rsidRDefault="00742BC3" w:rsidP="0002632D">
      <w:pPr>
        <w:rPr>
          <w:sz w:val="20"/>
          <w:szCs w:val="20"/>
          <w:lang w:val="fr-CA"/>
        </w:rPr>
      </w:pPr>
      <w:r>
        <w:rPr>
          <w:sz w:val="20"/>
          <w:szCs w:val="20"/>
          <w:lang w:val="fr-CA"/>
        </w:rPr>
        <w:pict>
          <v:rect id="_x0000_i1040" style="width:2in;height:1pt" o:hrpct="0" o:hralign="center" o:hrstd="t" o:hrnoshade="t" o:hr="t" fillcolor="black [3213]" stroked="f"/>
        </w:pict>
      </w:r>
    </w:p>
    <w:p w:rsidR="00F607D1" w:rsidRDefault="00F607D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607D1" w:rsidRPr="00CE568C" w:rsidTr="00DC6BF5">
        <w:trPr>
          <w:cantSplit/>
        </w:trPr>
        <w:tc>
          <w:tcPr>
            <w:tcW w:w="1458" w:type="dxa"/>
          </w:tcPr>
          <w:p w:rsidR="00F607D1" w:rsidRPr="00CE568C" w:rsidRDefault="00F607D1" w:rsidP="00DC6BF5">
            <w:pPr>
              <w:rPr>
                <w:sz w:val="20"/>
                <w:szCs w:val="20"/>
              </w:rPr>
            </w:pPr>
            <w:r w:rsidRPr="00CE568C">
              <w:rPr>
                <w:rStyle w:val="SCCFileNumberChar"/>
                <w:sz w:val="20"/>
                <w:szCs w:val="20"/>
              </w:rPr>
              <w:t>36078</w:t>
            </w:r>
          </w:p>
          <w:p w:rsidR="00F607D1" w:rsidRPr="00CE568C" w:rsidRDefault="00F607D1" w:rsidP="00DC6BF5">
            <w:pPr>
              <w:rPr>
                <w:b/>
                <w:sz w:val="20"/>
                <w:szCs w:val="20"/>
                <w:lang w:val="fr-CA"/>
              </w:rPr>
            </w:pPr>
          </w:p>
        </w:tc>
        <w:tc>
          <w:tcPr>
            <w:tcW w:w="8118" w:type="dxa"/>
          </w:tcPr>
          <w:p w:rsidR="00F607D1" w:rsidRPr="00CE568C" w:rsidRDefault="00F607D1" w:rsidP="00DC6BF5">
            <w:pPr>
              <w:jc w:val="both"/>
              <w:rPr>
                <w:sz w:val="20"/>
                <w:szCs w:val="20"/>
              </w:rPr>
            </w:pPr>
            <w:r w:rsidRPr="00CE568C">
              <w:rPr>
                <w:rStyle w:val="SCCLsocChar"/>
                <w:sz w:val="20"/>
                <w:szCs w:val="20"/>
                <w:lang w:val="en-CA"/>
              </w:rPr>
              <w:t>Gaetan Dinelle v. Attorney General of Canada on behalf of the United States of America and Minister of Justice</w:t>
            </w:r>
            <w:r w:rsidRPr="00CE568C">
              <w:rPr>
                <w:sz w:val="20"/>
                <w:szCs w:val="20"/>
              </w:rPr>
              <w:t xml:space="preserve"> (Ont.) (Criminal) (By Leave)</w:t>
            </w:r>
          </w:p>
          <w:p w:rsidR="00F607D1" w:rsidRPr="00CE568C" w:rsidRDefault="00F607D1" w:rsidP="00DC6BF5">
            <w:pPr>
              <w:jc w:val="both"/>
              <w:rPr>
                <w:sz w:val="20"/>
                <w:szCs w:val="20"/>
              </w:rPr>
            </w:pPr>
          </w:p>
        </w:tc>
      </w:tr>
      <w:tr w:rsidR="00F607D1" w:rsidRPr="00CE568C" w:rsidTr="00DC6BF5">
        <w:trPr>
          <w:cantSplit/>
        </w:trPr>
        <w:tc>
          <w:tcPr>
            <w:tcW w:w="1458" w:type="dxa"/>
          </w:tcPr>
          <w:p w:rsidR="00F607D1" w:rsidRPr="00CE568C" w:rsidRDefault="00F607D1" w:rsidP="00DC6BF5">
            <w:pPr>
              <w:rPr>
                <w:sz w:val="20"/>
                <w:szCs w:val="20"/>
              </w:rPr>
            </w:pPr>
            <w:r w:rsidRPr="00CE568C">
              <w:rPr>
                <w:sz w:val="20"/>
                <w:szCs w:val="20"/>
              </w:rPr>
              <w:t>Coram :</w:t>
            </w:r>
          </w:p>
        </w:tc>
        <w:tc>
          <w:tcPr>
            <w:tcW w:w="8118" w:type="dxa"/>
          </w:tcPr>
          <w:p w:rsidR="00F607D1" w:rsidRPr="00CE568C" w:rsidRDefault="00F607D1" w:rsidP="00DC6BF5">
            <w:pPr>
              <w:rPr>
                <w:sz w:val="20"/>
                <w:szCs w:val="20"/>
              </w:rPr>
            </w:pPr>
            <w:r w:rsidRPr="00CE568C">
              <w:rPr>
                <w:rStyle w:val="SCCCoramChar"/>
                <w:sz w:val="20"/>
                <w:szCs w:val="20"/>
                <w:lang w:val="en-CA"/>
              </w:rPr>
              <w:t>Rothstein, Cromwell and Moldaver JJ.</w:t>
            </w:r>
          </w:p>
          <w:p w:rsidR="00F607D1" w:rsidRPr="00CE568C" w:rsidRDefault="00F607D1" w:rsidP="00DC6BF5">
            <w:pPr>
              <w:rPr>
                <w:sz w:val="20"/>
                <w:szCs w:val="20"/>
                <w:u w:val="single"/>
              </w:rPr>
            </w:pPr>
          </w:p>
        </w:tc>
      </w:tr>
      <w:tr w:rsidR="00F607D1" w:rsidRPr="00CF1118" w:rsidTr="00DC6BF5">
        <w:trPr>
          <w:cantSplit/>
        </w:trPr>
        <w:tc>
          <w:tcPr>
            <w:tcW w:w="9576" w:type="dxa"/>
            <w:gridSpan w:val="2"/>
          </w:tcPr>
          <w:p w:rsidR="00F607D1" w:rsidRPr="00CE568C" w:rsidRDefault="00F607D1" w:rsidP="00DC6BF5">
            <w:pPr>
              <w:pStyle w:val="SCCShortJudgment"/>
              <w:rPr>
                <w:szCs w:val="20"/>
              </w:rPr>
            </w:pPr>
            <w:r w:rsidRPr="00CE568C">
              <w:rPr>
                <w:szCs w:val="20"/>
              </w:rPr>
              <w:t>The application for leave to appeal from the judgment of the Court of Appeal for Ontario, Number C57737, dated July 9, 2014, is dismissed.</w:t>
            </w:r>
          </w:p>
          <w:p w:rsidR="00F607D1" w:rsidRPr="00CE568C" w:rsidRDefault="00F607D1" w:rsidP="00DC6BF5">
            <w:pPr>
              <w:pStyle w:val="SCCShortJudgment"/>
              <w:ind w:firstLine="0"/>
              <w:rPr>
                <w:szCs w:val="20"/>
              </w:rPr>
            </w:pPr>
          </w:p>
          <w:p w:rsidR="00F607D1" w:rsidRPr="00CE568C" w:rsidRDefault="00F607D1" w:rsidP="00DC6BF5">
            <w:pPr>
              <w:pStyle w:val="SCCShortJudgment"/>
              <w:rPr>
                <w:szCs w:val="20"/>
                <w:lang w:val="fr-CA"/>
              </w:rPr>
            </w:pPr>
            <w:r w:rsidRPr="00CE568C">
              <w:rPr>
                <w:szCs w:val="20"/>
                <w:lang w:val="fr-CA"/>
              </w:rPr>
              <w:t>La demande d’autorisation d’appel de l’arrêt de la Cour d’appel de l’Ontario, numéro C57737, daté du 9 juillet 2014, est rejetée.</w:t>
            </w:r>
          </w:p>
        </w:tc>
      </w:tr>
    </w:tbl>
    <w:p w:rsidR="0002632D" w:rsidRPr="00F607D1" w:rsidRDefault="0002632D" w:rsidP="0002632D">
      <w:pPr>
        <w:rPr>
          <w:sz w:val="20"/>
          <w:szCs w:val="20"/>
          <w:lang w:val="fr-CA"/>
        </w:rPr>
      </w:pPr>
    </w:p>
    <w:p w:rsidR="0002632D" w:rsidRPr="001B157C" w:rsidRDefault="0002632D" w:rsidP="0002632D">
      <w:pPr>
        <w:rPr>
          <w:sz w:val="20"/>
          <w:szCs w:val="20"/>
          <w:u w:val="single"/>
        </w:rPr>
      </w:pPr>
      <w:r w:rsidRPr="001B157C">
        <w:rPr>
          <w:sz w:val="20"/>
          <w:szCs w:val="20"/>
          <w:u w:val="single"/>
        </w:rPr>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2"/>
        <w:gridCol w:w="516"/>
        <w:gridCol w:w="4459"/>
      </w:tblGrid>
      <w:tr w:rsidR="00186B5E" w:rsidRPr="00BC0346" w:rsidTr="00EE6982">
        <w:tc>
          <w:tcPr>
            <w:tcW w:w="5000" w:type="pct"/>
            <w:gridSpan w:val="3"/>
          </w:tcPr>
          <w:p w:rsidR="00186B5E" w:rsidRPr="00BC0346" w:rsidRDefault="00186B5E" w:rsidP="00EE6982">
            <w:pPr>
              <w:jc w:val="both"/>
              <w:rPr>
                <w:rFonts w:eastAsia="Calibri"/>
                <w:smallCaps/>
                <w:sz w:val="20"/>
              </w:rPr>
            </w:pPr>
            <w:r w:rsidRPr="00BC0346">
              <w:rPr>
                <w:rFonts w:eastAsia="Calibri"/>
                <w:smallCaps/>
                <w:sz w:val="20"/>
              </w:rPr>
              <w:t xml:space="preserve">(Publication </w:t>
            </w:r>
            <w:r>
              <w:rPr>
                <w:rFonts w:eastAsia="Calibri"/>
                <w:smallCaps/>
                <w:sz w:val="20"/>
              </w:rPr>
              <w:t>B</w:t>
            </w:r>
            <w:r w:rsidRPr="00BC0346">
              <w:rPr>
                <w:rFonts w:eastAsia="Calibri"/>
                <w:smallCaps/>
                <w:sz w:val="20"/>
              </w:rPr>
              <w:t xml:space="preserve">an in </w:t>
            </w:r>
            <w:r>
              <w:rPr>
                <w:rFonts w:eastAsia="Calibri"/>
                <w:smallCaps/>
                <w:sz w:val="20"/>
              </w:rPr>
              <w:t>C</w:t>
            </w:r>
            <w:r w:rsidRPr="00BC0346">
              <w:rPr>
                <w:rFonts w:eastAsia="Calibri"/>
                <w:smallCaps/>
                <w:sz w:val="20"/>
              </w:rPr>
              <w:t>ase)</w:t>
            </w:r>
          </w:p>
          <w:p w:rsidR="00186B5E" w:rsidRPr="00BC0346" w:rsidRDefault="00186B5E" w:rsidP="00EE6982">
            <w:pPr>
              <w:jc w:val="both"/>
              <w:rPr>
                <w:rFonts w:eastAsia="Calibri"/>
                <w:sz w:val="20"/>
              </w:rPr>
            </w:pPr>
          </w:p>
          <w:p w:rsidR="00186B5E" w:rsidRPr="00BC0346" w:rsidRDefault="00186B5E" w:rsidP="00EE6982">
            <w:pPr>
              <w:jc w:val="both"/>
              <w:rPr>
                <w:rFonts w:eastAsia="Calibri"/>
                <w:sz w:val="20"/>
              </w:rPr>
            </w:pPr>
            <w:r w:rsidRPr="00BC0346">
              <w:rPr>
                <w:rFonts w:eastAsia="Calibri"/>
                <w:sz w:val="20"/>
              </w:rPr>
              <w:t>Extradition – Committal hearings – Powers of extradition judge – Whether the Court of Appeal erred in upholding the extradition judge’s decision ordering the applicant’s committal into custody to await the surrender decision of the Minister of Justice.</w:t>
            </w:r>
          </w:p>
        </w:tc>
      </w:tr>
      <w:tr w:rsidR="00186B5E" w:rsidRPr="00BC0346" w:rsidTr="00EE6982">
        <w:tc>
          <w:tcPr>
            <w:tcW w:w="5000" w:type="pct"/>
            <w:gridSpan w:val="3"/>
          </w:tcPr>
          <w:p w:rsidR="00186B5E" w:rsidRPr="00BC0346" w:rsidRDefault="00186B5E" w:rsidP="00EE6982">
            <w:pPr>
              <w:jc w:val="both"/>
              <w:rPr>
                <w:rFonts w:eastAsia="Calibri"/>
                <w:sz w:val="20"/>
              </w:rPr>
            </w:pPr>
          </w:p>
        </w:tc>
      </w:tr>
      <w:tr w:rsidR="00186B5E" w:rsidRPr="00BC0346" w:rsidTr="00EE6982">
        <w:tc>
          <w:tcPr>
            <w:tcW w:w="5000" w:type="pct"/>
            <w:gridSpan w:val="3"/>
          </w:tcPr>
          <w:p w:rsidR="00186B5E" w:rsidRPr="00BC0346" w:rsidRDefault="00186B5E" w:rsidP="00EE6982">
            <w:pPr>
              <w:jc w:val="both"/>
              <w:rPr>
                <w:rFonts w:eastAsia="Calibri"/>
                <w:sz w:val="20"/>
              </w:rPr>
            </w:pPr>
            <w:r w:rsidRPr="00BC0346">
              <w:rPr>
                <w:rFonts w:eastAsia="Calibri"/>
                <w:sz w:val="20"/>
              </w:rPr>
              <w:t>The applicant is currently in custody awaiting extradition to the United States in relation to alleged offences in that country.</w:t>
            </w:r>
          </w:p>
          <w:p w:rsidR="00186B5E" w:rsidRPr="00BC0346" w:rsidRDefault="00186B5E" w:rsidP="00EE6982">
            <w:pPr>
              <w:jc w:val="both"/>
              <w:rPr>
                <w:rFonts w:eastAsia="Calibri"/>
                <w:sz w:val="20"/>
              </w:rPr>
            </w:pPr>
          </w:p>
          <w:p w:rsidR="00186B5E" w:rsidRDefault="00186B5E" w:rsidP="00EE6982">
            <w:pPr>
              <w:jc w:val="both"/>
              <w:rPr>
                <w:rFonts w:eastAsia="Calibri"/>
                <w:sz w:val="20"/>
              </w:rPr>
            </w:pPr>
            <w:r w:rsidRPr="00BC0346">
              <w:rPr>
                <w:rFonts w:eastAsia="Calibri"/>
                <w:sz w:val="20"/>
              </w:rPr>
              <w:t>The extradition judge ordered the committal of the applicant into custody to await the Minister of Justice’s decision to surrender him for prosecution of charges in the United States.  The Minister subsequently ordered the applicant’s surrender.  The Ontario Court of Appeal unanimously dismissed the appeal from the committal order, as well as an application for judicial review from the Minister’s surrender decision.</w:t>
            </w:r>
          </w:p>
          <w:p w:rsidR="00186B5E" w:rsidRPr="00BC0346" w:rsidRDefault="00186B5E" w:rsidP="00EE6982">
            <w:pPr>
              <w:jc w:val="both"/>
              <w:rPr>
                <w:rFonts w:eastAsia="Calibri"/>
                <w:sz w:val="20"/>
              </w:rPr>
            </w:pPr>
          </w:p>
        </w:tc>
      </w:tr>
      <w:tr w:rsidR="00186B5E" w:rsidRPr="00BC0346" w:rsidTr="00EE6982">
        <w:tblPrEx>
          <w:tblCellMar>
            <w:bottom w:w="0" w:type="dxa"/>
          </w:tblCellMar>
        </w:tblPrEx>
        <w:tc>
          <w:tcPr>
            <w:tcW w:w="2389" w:type="pct"/>
          </w:tcPr>
          <w:p w:rsidR="00186B5E" w:rsidRPr="00BC0346" w:rsidRDefault="00186B5E" w:rsidP="00EE6982">
            <w:pPr>
              <w:jc w:val="both"/>
              <w:rPr>
                <w:rFonts w:eastAsia="Calibri"/>
                <w:sz w:val="20"/>
              </w:rPr>
            </w:pPr>
            <w:r w:rsidRPr="00BC0346">
              <w:rPr>
                <w:rFonts w:eastAsia="Calibri"/>
                <w:sz w:val="20"/>
              </w:rPr>
              <w:t>April 12, 2013</w:t>
            </w:r>
          </w:p>
          <w:p w:rsidR="00186B5E" w:rsidRPr="00BC0346" w:rsidRDefault="00186B5E" w:rsidP="00EE6982">
            <w:pPr>
              <w:jc w:val="both"/>
              <w:rPr>
                <w:rFonts w:eastAsia="Calibri"/>
                <w:sz w:val="20"/>
              </w:rPr>
            </w:pPr>
            <w:r w:rsidRPr="00BC0346">
              <w:rPr>
                <w:rFonts w:eastAsia="Calibri"/>
                <w:sz w:val="20"/>
              </w:rPr>
              <w:t>Ontario Superior Court of Justice</w:t>
            </w:r>
          </w:p>
          <w:p w:rsidR="00186B5E" w:rsidRPr="00BC0346" w:rsidRDefault="00186B5E" w:rsidP="00EE6982">
            <w:pPr>
              <w:jc w:val="both"/>
              <w:rPr>
                <w:rFonts w:eastAsia="Calibri"/>
                <w:sz w:val="20"/>
              </w:rPr>
            </w:pPr>
            <w:r w:rsidRPr="00BC0346">
              <w:rPr>
                <w:rFonts w:eastAsia="Calibri"/>
                <w:sz w:val="20"/>
              </w:rPr>
              <w:t>(Johnston J.)</w:t>
            </w:r>
          </w:p>
          <w:p w:rsidR="00186B5E" w:rsidRPr="00BC0346" w:rsidRDefault="00186B5E" w:rsidP="00EE6982">
            <w:pPr>
              <w:jc w:val="both"/>
              <w:rPr>
                <w:rFonts w:eastAsia="Calibri"/>
                <w:sz w:val="20"/>
              </w:rPr>
            </w:pPr>
            <w:r w:rsidRPr="00BC0346">
              <w:rPr>
                <w:rFonts w:eastAsia="Calibri"/>
                <w:sz w:val="20"/>
              </w:rPr>
              <w:t>Neutral citation:  N/A (unreported)</w:t>
            </w:r>
          </w:p>
          <w:p w:rsidR="00186B5E" w:rsidRPr="00BC0346" w:rsidRDefault="00186B5E" w:rsidP="00EE6982">
            <w:pPr>
              <w:jc w:val="both"/>
              <w:rPr>
                <w:rFonts w:eastAsia="Calibri"/>
                <w:sz w:val="20"/>
              </w:rPr>
            </w:pPr>
          </w:p>
        </w:tc>
        <w:tc>
          <w:tcPr>
            <w:tcW w:w="271" w:type="pct"/>
          </w:tcPr>
          <w:p w:rsidR="00186B5E" w:rsidRPr="00BC0346" w:rsidRDefault="00186B5E" w:rsidP="00EE6982">
            <w:pPr>
              <w:jc w:val="both"/>
              <w:rPr>
                <w:rFonts w:eastAsia="Calibri"/>
                <w:sz w:val="20"/>
              </w:rPr>
            </w:pPr>
          </w:p>
        </w:tc>
        <w:tc>
          <w:tcPr>
            <w:tcW w:w="2340" w:type="pct"/>
          </w:tcPr>
          <w:p w:rsidR="00186B5E" w:rsidRPr="00BC0346" w:rsidRDefault="00186B5E" w:rsidP="00EE6982">
            <w:pPr>
              <w:jc w:val="both"/>
              <w:rPr>
                <w:rFonts w:eastAsia="Calibri"/>
                <w:sz w:val="20"/>
              </w:rPr>
            </w:pPr>
            <w:r w:rsidRPr="00BC0346">
              <w:rPr>
                <w:rFonts w:eastAsia="Calibri"/>
                <w:sz w:val="20"/>
              </w:rPr>
              <w:t>Respondents’ application seeking order for applicant’s committal into custody to await Minister’s surrender decision, granted.</w:t>
            </w:r>
          </w:p>
          <w:p w:rsidR="00186B5E" w:rsidRPr="00BC0346" w:rsidRDefault="00186B5E" w:rsidP="00EE6982">
            <w:pPr>
              <w:jc w:val="both"/>
              <w:rPr>
                <w:rFonts w:eastAsia="Calibri"/>
                <w:sz w:val="20"/>
              </w:rPr>
            </w:pPr>
          </w:p>
        </w:tc>
      </w:tr>
      <w:tr w:rsidR="00186B5E" w:rsidRPr="00BC0346" w:rsidTr="00EE6982">
        <w:tblPrEx>
          <w:tblCellMar>
            <w:bottom w:w="0" w:type="dxa"/>
          </w:tblCellMar>
        </w:tblPrEx>
        <w:tc>
          <w:tcPr>
            <w:tcW w:w="2389" w:type="pct"/>
          </w:tcPr>
          <w:p w:rsidR="00186B5E" w:rsidRPr="00BC0346" w:rsidRDefault="00186B5E" w:rsidP="00EE6982">
            <w:pPr>
              <w:jc w:val="both"/>
              <w:rPr>
                <w:rFonts w:eastAsia="Calibri"/>
                <w:sz w:val="20"/>
              </w:rPr>
            </w:pPr>
            <w:r w:rsidRPr="00BC0346">
              <w:rPr>
                <w:rFonts w:eastAsia="Calibri"/>
                <w:sz w:val="20"/>
              </w:rPr>
              <w:t>July 9, 2014</w:t>
            </w:r>
          </w:p>
          <w:p w:rsidR="00186B5E" w:rsidRPr="00BC0346" w:rsidRDefault="00186B5E" w:rsidP="00EE6982">
            <w:pPr>
              <w:jc w:val="both"/>
              <w:rPr>
                <w:rFonts w:eastAsia="Calibri"/>
                <w:sz w:val="20"/>
              </w:rPr>
            </w:pPr>
            <w:r w:rsidRPr="00BC0346">
              <w:rPr>
                <w:rFonts w:eastAsia="Calibri"/>
                <w:sz w:val="20"/>
              </w:rPr>
              <w:t>Court of Appeal for Ontario</w:t>
            </w:r>
          </w:p>
          <w:p w:rsidR="00186B5E" w:rsidRPr="00BC0346" w:rsidRDefault="00186B5E" w:rsidP="00EE6982">
            <w:pPr>
              <w:jc w:val="both"/>
              <w:rPr>
                <w:rFonts w:eastAsia="Calibri"/>
                <w:sz w:val="20"/>
              </w:rPr>
            </w:pPr>
            <w:r w:rsidRPr="00BC0346">
              <w:rPr>
                <w:rFonts w:eastAsia="Calibri"/>
                <w:sz w:val="20"/>
              </w:rPr>
              <w:t>(Strathy C.J.O., Rouleau and van Rensburg JJ.A.)</w:t>
            </w:r>
          </w:p>
          <w:p w:rsidR="00186B5E" w:rsidRPr="00BC0346" w:rsidRDefault="00186B5E" w:rsidP="00EE6982">
            <w:pPr>
              <w:jc w:val="both"/>
              <w:rPr>
                <w:rFonts w:eastAsia="Calibri"/>
                <w:sz w:val="20"/>
              </w:rPr>
            </w:pPr>
            <w:r w:rsidRPr="00BC0346">
              <w:rPr>
                <w:rFonts w:eastAsia="Calibri"/>
                <w:sz w:val="20"/>
              </w:rPr>
              <w:t>Neutral citation: N/A (unreported)</w:t>
            </w:r>
          </w:p>
          <w:p w:rsidR="00186B5E" w:rsidRPr="00BC0346" w:rsidRDefault="00186B5E" w:rsidP="00EE6982">
            <w:pPr>
              <w:jc w:val="both"/>
              <w:rPr>
                <w:rFonts w:eastAsia="Calibri"/>
                <w:sz w:val="20"/>
              </w:rPr>
            </w:pPr>
          </w:p>
        </w:tc>
        <w:tc>
          <w:tcPr>
            <w:tcW w:w="271" w:type="pct"/>
          </w:tcPr>
          <w:p w:rsidR="00186B5E" w:rsidRPr="00BC0346" w:rsidRDefault="00186B5E" w:rsidP="00EE6982">
            <w:pPr>
              <w:jc w:val="both"/>
              <w:rPr>
                <w:rFonts w:eastAsia="Calibri"/>
                <w:sz w:val="20"/>
              </w:rPr>
            </w:pPr>
          </w:p>
        </w:tc>
        <w:tc>
          <w:tcPr>
            <w:tcW w:w="2340" w:type="pct"/>
          </w:tcPr>
          <w:p w:rsidR="00186B5E" w:rsidRPr="00BC0346" w:rsidRDefault="00186B5E" w:rsidP="00EE6982">
            <w:pPr>
              <w:jc w:val="both"/>
              <w:rPr>
                <w:rFonts w:eastAsia="Calibri"/>
                <w:sz w:val="20"/>
              </w:rPr>
            </w:pPr>
            <w:r w:rsidRPr="00BC0346">
              <w:rPr>
                <w:rFonts w:eastAsia="Calibri"/>
                <w:sz w:val="20"/>
              </w:rPr>
              <w:t>Applicant’s appeal and application for judicial review of Minister’s surrender order, dismissed.</w:t>
            </w:r>
          </w:p>
          <w:p w:rsidR="00186B5E" w:rsidRPr="00BC0346" w:rsidRDefault="00186B5E" w:rsidP="00EE6982">
            <w:pPr>
              <w:jc w:val="both"/>
              <w:rPr>
                <w:rFonts w:eastAsia="Calibri"/>
                <w:sz w:val="20"/>
              </w:rPr>
            </w:pPr>
          </w:p>
          <w:p w:rsidR="00186B5E" w:rsidRPr="00BC0346" w:rsidRDefault="00186B5E" w:rsidP="00EE6982">
            <w:pPr>
              <w:jc w:val="both"/>
              <w:rPr>
                <w:rFonts w:eastAsia="Calibri"/>
                <w:sz w:val="20"/>
              </w:rPr>
            </w:pPr>
          </w:p>
          <w:p w:rsidR="00186B5E" w:rsidRPr="00BC0346" w:rsidRDefault="00186B5E" w:rsidP="00EE6982">
            <w:pPr>
              <w:jc w:val="both"/>
              <w:rPr>
                <w:rFonts w:eastAsia="Calibri"/>
                <w:sz w:val="20"/>
              </w:rPr>
            </w:pPr>
          </w:p>
        </w:tc>
      </w:tr>
      <w:tr w:rsidR="00186B5E" w:rsidRPr="00BC0346" w:rsidTr="00EE6982">
        <w:tblPrEx>
          <w:tblCellMar>
            <w:bottom w:w="0" w:type="dxa"/>
          </w:tblCellMar>
        </w:tblPrEx>
        <w:tc>
          <w:tcPr>
            <w:tcW w:w="2389" w:type="pct"/>
          </w:tcPr>
          <w:p w:rsidR="00186B5E" w:rsidRPr="00BC0346" w:rsidRDefault="00186B5E" w:rsidP="00EE6982">
            <w:pPr>
              <w:tabs>
                <w:tab w:val="left" w:pos="5325"/>
              </w:tabs>
              <w:jc w:val="both"/>
              <w:rPr>
                <w:rFonts w:eastAsia="Calibri"/>
                <w:sz w:val="20"/>
              </w:rPr>
            </w:pPr>
            <w:r w:rsidRPr="00BC0346">
              <w:rPr>
                <w:rFonts w:eastAsia="Calibri"/>
                <w:sz w:val="20"/>
              </w:rPr>
              <w:t>October 9, 2014</w:t>
            </w:r>
          </w:p>
          <w:p w:rsidR="00186B5E" w:rsidRPr="00BC0346" w:rsidRDefault="00186B5E" w:rsidP="00EE6982">
            <w:pPr>
              <w:tabs>
                <w:tab w:val="left" w:pos="5325"/>
              </w:tabs>
              <w:jc w:val="both"/>
              <w:rPr>
                <w:rFonts w:eastAsia="Calibri"/>
                <w:sz w:val="20"/>
              </w:rPr>
            </w:pPr>
            <w:r w:rsidRPr="00BC0346">
              <w:rPr>
                <w:rFonts w:eastAsia="Calibri"/>
                <w:sz w:val="20"/>
              </w:rPr>
              <w:t>Supreme Court of Canada</w:t>
            </w:r>
          </w:p>
          <w:p w:rsidR="00186B5E" w:rsidRPr="00BC0346" w:rsidRDefault="00186B5E" w:rsidP="00EE6982">
            <w:pPr>
              <w:jc w:val="both"/>
              <w:rPr>
                <w:rFonts w:eastAsia="Calibri"/>
                <w:sz w:val="20"/>
              </w:rPr>
            </w:pPr>
            <w:r w:rsidRPr="00BC0346">
              <w:rPr>
                <w:rFonts w:eastAsia="Calibri"/>
                <w:sz w:val="20"/>
              </w:rPr>
              <w:t>Karakatsanis J.</w:t>
            </w:r>
          </w:p>
          <w:p w:rsidR="00186B5E" w:rsidRPr="00BC0346" w:rsidRDefault="00186B5E" w:rsidP="00EE6982">
            <w:pPr>
              <w:jc w:val="both"/>
              <w:rPr>
                <w:rFonts w:eastAsia="Calibri"/>
                <w:sz w:val="20"/>
              </w:rPr>
            </w:pPr>
          </w:p>
        </w:tc>
        <w:tc>
          <w:tcPr>
            <w:tcW w:w="271" w:type="pct"/>
          </w:tcPr>
          <w:p w:rsidR="00186B5E" w:rsidRPr="00BC0346" w:rsidRDefault="00186B5E" w:rsidP="00EE6982">
            <w:pPr>
              <w:jc w:val="both"/>
              <w:rPr>
                <w:rFonts w:eastAsia="Calibri"/>
                <w:sz w:val="20"/>
              </w:rPr>
            </w:pPr>
          </w:p>
        </w:tc>
        <w:tc>
          <w:tcPr>
            <w:tcW w:w="2340" w:type="pct"/>
          </w:tcPr>
          <w:p w:rsidR="00186B5E" w:rsidRPr="00BC0346" w:rsidRDefault="00186B5E" w:rsidP="00EE6982">
            <w:pPr>
              <w:jc w:val="both"/>
              <w:rPr>
                <w:rFonts w:eastAsia="Calibri"/>
                <w:sz w:val="20"/>
              </w:rPr>
            </w:pPr>
            <w:r w:rsidRPr="00BC0346">
              <w:rPr>
                <w:rFonts w:eastAsia="Calibri"/>
                <w:sz w:val="20"/>
              </w:rPr>
              <w:t>Applicant’s application for extension of time                                              to serve and file application for leave to appeal, granted.</w:t>
            </w:r>
          </w:p>
        </w:tc>
      </w:tr>
      <w:tr w:rsidR="00186B5E" w:rsidRPr="00BC0346" w:rsidTr="00F3663D">
        <w:tblPrEx>
          <w:tblCellMar>
            <w:bottom w:w="0" w:type="dxa"/>
          </w:tblCellMar>
        </w:tblPrEx>
        <w:trPr>
          <w:cantSplit/>
        </w:trPr>
        <w:tc>
          <w:tcPr>
            <w:tcW w:w="2389" w:type="pct"/>
          </w:tcPr>
          <w:p w:rsidR="00186B5E" w:rsidRPr="00BC0346" w:rsidRDefault="00186B5E" w:rsidP="00EE6982">
            <w:pPr>
              <w:jc w:val="both"/>
              <w:rPr>
                <w:rFonts w:eastAsia="Calibri"/>
                <w:sz w:val="20"/>
              </w:rPr>
            </w:pPr>
            <w:r w:rsidRPr="00BC0346">
              <w:rPr>
                <w:rFonts w:eastAsia="Calibri"/>
                <w:sz w:val="20"/>
              </w:rPr>
              <w:lastRenderedPageBreak/>
              <w:t>December 8, 2014</w:t>
            </w:r>
          </w:p>
          <w:p w:rsidR="00186B5E" w:rsidRPr="00BC0346" w:rsidRDefault="00186B5E" w:rsidP="00EE6982">
            <w:pPr>
              <w:jc w:val="both"/>
              <w:rPr>
                <w:rFonts w:eastAsia="Calibri"/>
                <w:sz w:val="20"/>
              </w:rPr>
            </w:pPr>
            <w:r w:rsidRPr="00BC0346">
              <w:rPr>
                <w:rFonts w:eastAsia="Calibri"/>
                <w:sz w:val="20"/>
              </w:rPr>
              <w:t>Supreme Court of Canada</w:t>
            </w:r>
          </w:p>
        </w:tc>
        <w:tc>
          <w:tcPr>
            <w:tcW w:w="271" w:type="pct"/>
          </w:tcPr>
          <w:p w:rsidR="00186B5E" w:rsidRPr="00BC0346" w:rsidRDefault="00186B5E" w:rsidP="00EE6982">
            <w:pPr>
              <w:jc w:val="both"/>
              <w:rPr>
                <w:rFonts w:eastAsia="Calibri"/>
                <w:sz w:val="20"/>
              </w:rPr>
            </w:pPr>
          </w:p>
        </w:tc>
        <w:tc>
          <w:tcPr>
            <w:tcW w:w="2340" w:type="pct"/>
          </w:tcPr>
          <w:p w:rsidR="00186B5E" w:rsidRPr="00BC0346" w:rsidRDefault="00186B5E" w:rsidP="00EE6982">
            <w:pPr>
              <w:jc w:val="both"/>
              <w:rPr>
                <w:rFonts w:eastAsia="Calibri"/>
                <w:sz w:val="20"/>
              </w:rPr>
            </w:pPr>
            <w:r w:rsidRPr="00BC0346">
              <w:rPr>
                <w:rFonts w:eastAsia="Calibri"/>
                <w:sz w:val="20"/>
              </w:rPr>
              <w:t>Application for leave to appeal, filed.</w:t>
            </w:r>
          </w:p>
          <w:p w:rsidR="00186B5E" w:rsidRPr="00BC0346" w:rsidRDefault="00186B5E" w:rsidP="00EE6982">
            <w:pPr>
              <w:jc w:val="both"/>
              <w:rPr>
                <w:rFonts w:eastAsia="Calibri"/>
                <w:sz w:val="20"/>
              </w:rPr>
            </w:pP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41"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2"/>
        <w:gridCol w:w="516"/>
        <w:gridCol w:w="4459"/>
      </w:tblGrid>
      <w:tr w:rsidR="00186B5E" w:rsidRPr="00CF1118" w:rsidTr="00EE6982">
        <w:tc>
          <w:tcPr>
            <w:tcW w:w="5000" w:type="pct"/>
            <w:gridSpan w:val="3"/>
          </w:tcPr>
          <w:p w:rsidR="00186B5E" w:rsidRPr="00BC0346" w:rsidRDefault="00186B5E" w:rsidP="00EE6982">
            <w:pPr>
              <w:jc w:val="both"/>
              <w:rPr>
                <w:rFonts w:eastAsia="Calibri"/>
                <w:smallCaps/>
                <w:sz w:val="20"/>
                <w:lang w:val="fr-CA"/>
              </w:rPr>
            </w:pPr>
            <w:r w:rsidRPr="00BC0346">
              <w:rPr>
                <w:rFonts w:eastAsia="Calibri"/>
                <w:smallCaps/>
                <w:sz w:val="20"/>
                <w:lang w:val="fr-CA"/>
              </w:rPr>
              <w:t>(ordonnance de non-publication dans le dossier)</w:t>
            </w:r>
          </w:p>
          <w:p w:rsidR="00186B5E" w:rsidRPr="00BC0346" w:rsidRDefault="00186B5E" w:rsidP="00EE6982">
            <w:pPr>
              <w:jc w:val="both"/>
              <w:rPr>
                <w:rFonts w:eastAsia="Calibri"/>
                <w:sz w:val="20"/>
                <w:lang w:val="fr-CA"/>
              </w:rPr>
            </w:pPr>
          </w:p>
          <w:p w:rsidR="00186B5E" w:rsidRPr="00BC0346" w:rsidRDefault="00186B5E" w:rsidP="00EE6982">
            <w:pPr>
              <w:jc w:val="both"/>
              <w:rPr>
                <w:rFonts w:eastAsia="Calibri"/>
                <w:sz w:val="20"/>
                <w:lang w:val="fr-CA"/>
              </w:rPr>
            </w:pPr>
            <w:r w:rsidRPr="00BC0346">
              <w:rPr>
                <w:rFonts w:eastAsia="Calibri"/>
                <w:sz w:val="20"/>
                <w:lang w:val="fr-CA"/>
              </w:rPr>
              <w:t xml:space="preserve">Extradition – Audiences relatives à l’incarcération – Pouvoirs du juge d’extradition – La Cour d’appel a-t-elle fait erreur en confirmant la décision du juge d’extradition d’ordonner l’incarcération du demandeur en attendant la décision du ministre de la Justice de l’extrader ou non? </w:t>
            </w:r>
          </w:p>
        </w:tc>
      </w:tr>
      <w:tr w:rsidR="00186B5E" w:rsidRPr="00CF1118" w:rsidTr="00EE6982">
        <w:tc>
          <w:tcPr>
            <w:tcW w:w="5000" w:type="pct"/>
            <w:gridSpan w:val="3"/>
          </w:tcPr>
          <w:p w:rsidR="00186B5E" w:rsidRPr="00BC0346" w:rsidRDefault="00186B5E" w:rsidP="00EE6982">
            <w:pPr>
              <w:jc w:val="both"/>
              <w:rPr>
                <w:rFonts w:eastAsia="Calibri"/>
                <w:sz w:val="20"/>
                <w:lang w:val="fr-CA"/>
              </w:rPr>
            </w:pPr>
          </w:p>
        </w:tc>
      </w:tr>
      <w:tr w:rsidR="00186B5E" w:rsidRPr="00CF1118" w:rsidTr="00EE6982">
        <w:tc>
          <w:tcPr>
            <w:tcW w:w="5000" w:type="pct"/>
            <w:gridSpan w:val="3"/>
          </w:tcPr>
          <w:p w:rsidR="00186B5E" w:rsidRPr="00BC0346" w:rsidRDefault="00186B5E" w:rsidP="00EE6982">
            <w:pPr>
              <w:jc w:val="both"/>
              <w:rPr>
                <w:rFonts w:eastAsia="Calibri"/>
                <w:sz w:val="20"/>
                <w:lang w:val="fr-CA"/>
              </w:rPr>
            </w:pPr>
            <w:r w:rsidRPr="00BC0346">
              <w:rPr>
                <w:rFonts w:eastAsia="Calibri"/>
                <w:sz w:val="20"/>
                <w:lang w:val="fr-CA"/>
              </w:rPr>
              <w:t>Le demandeur est présentement incarcéré en attendant son extradition aux États-Unis pour des infractions qu’il aurait commises dans ce pays.</w:t>
            </w:r>
          </w:p>
          <w:p w:rsidR="00186B5E" w:rsidRPr="00BC0346" w:rsidRDefault="00186B5E" w:rsidP="00EE6982">
            <w:pPr>
              <w:jc w:val="both"/>
              <w:rPr>
                <w:rFonts w:eastAsia="Calibri"/>
                <w:sz w:val="20"/>
                <w:lang w:val="fr-CA"/>
              </w:rPr>
            </w:pPr>
          </w:p>
          <w:p w:rsidR="00186B5E" w:rsidRDefault="00186B5E" w:rsidP="00EE6982">
            <w:pPr>
              <w:jc w:val="both"/>
              <w:rPr>
                <w:rFonts w:eastAsia="Calibri"/>
                <w:sz w:val="20"/>
                <w:lang w:val="fr-CA"/>
              </w:rPr>
            </w:pPr>
            <w:r w:rsidRPr="00BC0346">
              <w:rPr>
                <w:rFonts w:eastAsia="Calibri"/>
                <w:sz w:val="20"/>
                <w:lang w:val="fr-CA"/>
              </w:rPr>
              <w:t>Le juge d’extradition a ordonné l’incarcération du demandeur en attendant la décision du ministre de la Justice de le livrer ou non pour qu’il soit jugé relativement à des accusations aux États-Unis.  Le ministre a par la suite ordonné l’extradition du demandeur.  La Cour d’appel de l’Ontario a rejeté à l’unanimité l’appel de l’arrêté d’extradition ainsi que la demande de contrôle judiciaire visant la décision du ministre d’ordonner l’extradition.</w:t>
            </w:r>
          </w:p>
          <w:p w:rsidR="00186B5E" w:rsidRPr="00BC0346" w:rsidRDefault="00186B5E" w:rsidP="00EE6982">
            <w:pPr>
              <w:jc w:val="both"/>
              <w:rPr>
                <w:rFonts w:eastAsia="Calibri"/>
                <w:sz w:val="20"/>
                <w:lang w:val="fr-CA"/>
              </w:rPr>
            </w:pPr>
            <w:r w:rsidRPr="00BC0346">
              <w:rPr>
                <w:rFonts w:eastAsia="Calibri"/>
                <w:sz w:val="20"/>
                <w:lang w:val="fr-CA"/>
              </w:rPr>
              <w:t xml:space="preserve"> </w:t>
            </w:r>
          </w:p>
        </w:tc>
      </w:tr>
      <w:tr w:rsidR="00186B5E" w:rsidRPr="00CF1118" w:rsidTr="00EE6982">
        <w:tblPrEx>
          <w:tblCellMar>
            <w:bottom w:w="0" w:type="dxa"/>
          </w:tblCellMar>
        </w:tblPrEx>
        <w:tc>
          <w:tcPr>
            <w:tcW w:w="2389" w:type="pct"/>
          </w:tcPr>
          <w:p w:rsidR="00186B5E" w:rsidRPr="00BC0346" w:rsidRDefault="00186B5E" w:rsidP="00EE6982">
            <w:pPr>
              <w:jc w:val="both"/>
              <w:rPr>
                <w:rFonts w:eastAsia="Calibri"/>
                <w:sz w:val="20"/>
                <w:lang w:val="fr-CA"/>
              </w:rPr>
            </w:pPr>
            <w:r w:rsidRPr="00BC0346">
              <w:rPr>
                <w:rFonts w:eastAsia="Calibri"/>
                <w:sz w:val="20"/>
                <w:lang w:val="fr-CA"/>
              </w:rPr>
              <w:t>12 avril 2013</w:t>
            </w:r>
          </w:p>
          <w:p w:rsidR="00186B5E" w:rsidRPr="00BC0346" w:rsidRDefault="00186B5E" w:rsidP="00EE6982">
            <w:pPr>
              <w:jc w:val="both"/>
              <w:rPr>
                <w:rFonts w:eastAsia="Calibri"/>
                <w:sz w:val="20"/>
                <w:lang w:val="fr-CA"/>
              </w:rPr>
            </w:pPr>
            <w:r w:rsidRPr="00BC0346">
              <w:rPr>
                <w:rFonts w:eastAsia="Calibri"/>
                <w:sz w:val="20"/>
                <w:lang w:val="fr-CA"/>
              </w:rPr>
              <w:t xml:space="preserve">Cour supérieure de justice de l’Ontario </w:t>
            </w:r>
          </w:p>
          <w:p w:rsidR="00186B5E" w:rsidRPr="00BC0346" w:rsidRDefault="00186B5E" w:rsidP="00EE6982">
            <w:pPr>
              <w:jc w:val="both"/>
              <w:rPr>
                <w:rFonts w:eastAsia="Calibri"/>
                <w:sz w:val="20"/>
                <w:lang w:val="fr-CA"/>
              </w:rPr>
            </w:pPr>
            <w:r w:rsidRPr="00BC0346">
              <w:rPr>
                <w:rFonts w:eastAsia="Calibri"/>
                <w:sz w:val="20"/>
                <w:lang w:val="fr-CA"/>
              </w:rPr>
              <w:t>(Juge Johnston)</w:t>
            </w:r>
          </w:p>
          <w:p w:rsidR="00186B5E" w:rsidRPr="00BC0346" w:rsidRDefault="00186B5E" w:rsidP="00EE6982">
            <w:pPr>
              <w:jc w:val="both"/>
              <w:rPr>
                <w:rFonts w:eastAsia="Calibri"/>
                <w:sz w:val="20"/>
                <w:lang w:val="fr-CA"/>
              </w:rPr>
            </w:pPr>
            <w:r w:rsidRPr="00BC0346">
              <w:rPr>
                <w:rFonts w:eastAsia="Calibri"/>
                <w:sz w:val="20"/>
                <w:lang w:val="fr-CA"/>
              </w:rPr>
              <w:t>Référence neutre : S/O (non publiée)</w:t>
            </w:r>
          </w:p>
          <w:p w:rsidR="00186B5E" w:rsidRPr="00BC0346" w:rsidRDefault="00186B5E" w:rsidP="00EE6982">
            <w:pPr>
              <w:jc w:val="both"/>
              <w:rPr>
                <w:rFonts w:eastAsia="Calibri"/>
                <w:sz w:val="20"/>
                <w:lang w:val="fr-CA"/>
              </w:rPr>
            </w:pPr>
          </w:p>
        </w:tc>
        <w:tc>
          <w:tcPr>
            <w:tcW w:w="271" w:type="pct"/>
          </w:tcPr>
          <w:p w:rsidR="00186B5E" w:rsidRPr="00BC0346" w:rsidRDefault="00186B5E" w:rsidP="00EE6982">
            <w:pPr>
              <w:jc w:val="both"/>
              <w:rPr>
                <w:rFonts w:eastAsia="Calibri"/>
                <w:sz w:val="20"/>
                <w:lang w:val="fr-CA"/>
              </w:rPr>
            </w:pPr>
          </w:p>
        </w:tc>
        <w:tc>
          <w:tcPr>
            <w:tcW w:w="2340" w:type="pct"/>
          </w:tcPr>
          <w:p w:rsidR="00186B5E" w:rsidRPr="00BC0346" w:rsidRDefault="00186B5E" w:rsidP="00EE6982">
            <w:pPr>
              <w:jc w:val="both"/>
              <w:rPr>
                <w:rFonts w:eastAsia="Calibri"/>
                <w:sz w:val="20"/>
                <w:lang w:val="fr-CA"/>
              </w:rPr>
            </w:pPr>
            <w:r w:rsidRPr="00BC0346">
              <w:rPr>
                <w:rFonts w:eastAsia="Calibri"/>
                <w:sz w:val="20"/>
                <w:lang w:val="fr-CA"/>
              </w:rPr>
              <w:t>Demande des intimés visant à obtenir une ordonnance d’incarcération du demandeur en attendant la décision du ministre de l’extrader ou non, accueillie.</w:t>
            </w:r>
          </w:p>
          <w:p w:rsidR="00186B5E" w:rsidRPr="00BC0346" w:rsidRDefault="00186B5E" w:rsidP="00EE6982">
            <w:pPr>
              <w:jc w:val="both"/>
              <w:rPr>
                <w:rFonts w:eastAsia="Calibri"/>
                <w:sz w:val="20"/>
                <w:lang w:val="fr-CA"/>
              </w:rPr>
            </w:pPr>
          </w:p>
        </w:tc>
      </w:tr>
      <w:tr w:rsidR="00186B5E" w:rsidRPr="00CF1118" w:rsidTr="00EE6982">
        <w:tblPrEx>
          <w:tblCellMar>
            <w:bottom w:w="0" w:type="dxa"/>
          </w:tblCellMar>
        </w:tblPrEx>
        <w:tc>
          <w:tcPr>
            <w:tcW w:w="2389" w:type="pct"/>
          </w:tcPr>
          <w:p w:rsidR="00186B5E" w:rsidRPr="00BC0346" w:rsidRDefault="00186B5E" w:rsidP="00EE6982">
            <w:pPr>
              <w:jc w:val="both"/>
              <w:rPr>
                <w:rFonts w:eastAsia="Calibri"/>
                <w:sz w:val="20"/>
                <w:lang w:val="fr-CA"/>
              </w:rPr>
            </w:pPr>
            <w:r w:rsidRPr="00BC0346">
              <w:rPr>
                <w:rFonts w:eastAsia="Calibri"/>
                <w:sz w:val="20"/>
                <w:lang w:val="fr-CA"/>
              </w:rPr>
              <w:t>9 juillet 2014</w:t>
            </w:r>
          </w:p>
          <w:p w:rsidR="00186B5E" w:rsidRPr="00BC0346" w:rsidRDefault="00186B5E" w:rsidP="00EE6982">
            <w:pPr>
              <w:jc w:val="both"/>
              <w:rPr>
                <w:rFonts w:eastAsia="Calibri"/>
                <w:sz w:val="20"/>
                <w:lang w:val="fr-CA"/>
              </w:rPr>
            </w:pPr>
            <w:r w:rsidRPr="00BC0346">
              <w:rPr>
                <w:rFonts w:eastAsia="Calibri"/>
                <w:sz w:val="20"/>
                <w:lang w:val="fr-CA"/>
              </w:rPr>
              <w:t>Cour d’appel de l’Ontario</w:t>
            </w:r>
          </w:p>
          <w:p w:rsidR="00186B5E" w:rsidRPr="00BC0346" w:rsidRDefault="00186B5E" w:rsidP="00EE6982">
            <w:pPr>
              <w:jc w:val="both"/>
              <w:rPr>
                <w:rFonts w:eastAsia="Calibri"/>
                <w:sz w:val="20"/>
                <w:lang w:val="fr-CA"/>
              </w:rPr>
            </w:pPr>
            <w:r w:rsidRPr="00BC0346">
              <w:rPr>
                <w:rFonts w:eastAsia="Calibri"/>
                <w:sz w:val="20"/>
                <w:lang w:val="fr-CA"/>
              </w:rPr>
              <w:t xml:space="preserve">(Juge en chef Strathy et juges Rouleau et </w:t>
            </w:r>
          </w:p>
          <w:p w:rsidR="00186B5E" w:rsidRPr="00BC0346" w:rsidRDefault="00186B5E" w:rsidP="00EE6982">
            <w:pPr>
              <w:jc w:val="both"/>
              <w:rPr>
                <w:rFonts w:eastAsia="Calibri"/>
                <w:sz w:val="20"/>
                <w:lang w:val="fr-CA"/>
              </w:rPr>
            </w:pPr>
            <w:r w:rsidRPr="00BC0346">
              <w:rPr>
                <w:rFonts w:eastAsia="Calibri"/>
                <w:sz w:val="20"/>
                <w:lang w:val="fr-CA"/>
              </w:rPr>
              <w:t>van Rensburg)</w:t>
            </w:r>
          </w:p>
          <w:p w:rsidR="00186B5E" w:rsidRPr="00BC0346" w:rsidRDefault="00186B5E" w:rsidP="00EE6982">
            <w:pPr>
              <w:jc w:val="both"/>
              <w:rPr>
                <w:rFonts w:eastAsia="Calibri"/>
                <w:sz w:val="20"/>
                <w:lang w:val="fr-CA"/>
              </w:rPr>
            </w:pPr>
            <w:r w:rsidRPr="00BC0346">
              <w:rPr>
                <w:rFonts w:eastAsia="Calibri"/>
                <w:sz w:val="20"/>
                <w:lang w:val="fr-CA"/>
              </w:rPr>
              <w:t>Référence neutre : S/O (non publiée)</w:t>
            </w:r>
          </w:p>
          <w:p w:rsidR="00186B5E" w:rsidRPr="00BC0346" w:rsidRDefault="00186B5E" w:rsidP="00EE6982">
            <w:pPr>
              <w:jc w:val="both"/>
              <w:rPr>
                <w:rFonts w:eastAsia="Calibri"/>
                <w:sz w:val="20"/>
                <w:lang w:val="fr-CA"/>
              </w:rPr>
            </w:pPr>
          </w:p>
        </w:tc>
        <w:tc>
          <w:tcPr>
            <w:tcW w:w="271" w:type="pct"/>
          </w:tcPr>
          <w:p w:rsidR="00186B5E" w:rsidRPr="00BC0346" w:rsidRDefault="00186B5E" w:rsidP="00EE6982">
            <w:pPr>
              <w:jc w:val="both"/>
              <w:rPr>
                <w:rFonts w:eastAsia="Calibri"/>
                <w:sz w:val="20"/>
                <w:lang w:val="fr-CA"/>
              </w:rPr>
            </w:pPr>
          </w:p>
        </w:tc>
        <w:tc>
          <w:tcPr>
            <w:tcW w:w="2340" w:type="pct"/>
          </w:tcPr>
          <w:p w:rsidR="00186B5E" w:rsidRPr="00BC0346" w:rsidRDefault="00186B5E" w:rsidP="00EE6982">
            <w:pPr>
              <w:jc w:val="both"/>
              <w:rPr>
                <w:rFonts w:eastAsia="Calibri"/>
                <w:sz w:val="20"/>
                <w:lang w:val="fr-CA"/>
              </w:rPr>
            </w:pPr>
            <w:r w:rsidRPr="00BC0346">
              <w:rPr>
                <w:rFonts w:eastAsia="Calibri"/>
                <w:sz w:val="20"/>
                <w:lang w:val="fr-CA"/>
              </w:rPr>
              <w:t xml:space="preserve">Rejet de l’appel et de la demande de contrôle judiciaire du demandeur à l’encontre de la décision du ministre en matière d’extradition. </w:t>
            </w:r>
          </w:p>
          <w:p w:rsidR="00186B5E" w:rsidRPr="00BC0346" w:rsidRDefault="00186B5E" w:rsidP="00EE6982">
            <w:pPr>
              <w:jc w:val="both"/>
              <w:rPr>
                <w:rFonts w:eastAsia="Calibri"/>
                <w:sz w:val="20"/>
                <w:lang w:val="fr-CA"/>
              </w:rPr>
            </w:pPr>
          </w:p>
          <w:p w:rsidR="00186B5E" w:rsidRPr="00BC0346" w:rsidRDefault="00186B5E" w:rsidP="00EE6982">
            <w:pPr>
              <w:jc w:val="both"/>
              <w:rPr>
                <w:rFonts w:eastAsia="Calibri"/>
                <w:sz w:val="20"/>
                <w:lang w:val="fr-CA"/>
              </w:rPr>
            </w:pPr>
          </w:p>
          <w:p w:rsidR="00186B5E" w:rsidRPr="00BC0346" w:rsidRDefault="00186B5E" w:rsidP="00EE6982">
            <w:pPr>
              <w:jc w:val="both"/>
              <w:rPr>
                <w:rFonts w:eastAsia="Calibri"/>
                <w:sz w:val="20"/>
                <w:lang w:val="fr-CA"/>
              </w:rPr>
            </w:pPr>
          </w:p>
        </w:tc>
      </w:tr>
      <w:tr w:rsidR="00186B5E" w:rsidRPr="00CF1118" w:rsidTr="00EE6982">
        <w:tblPrEx>
          <w:tblCellMar>
            <w:bottom w:w="0" w:type="dxa"/>
          </w:tblCellMar>
        </w:tblPrEx>
        <w:tc>
          <w:tcPr>
            <w:tcW w:w="2389" w:type="pct"/>
          </w:tcPr>
          <w:p w:rsidR="00186B5E" w:rsidRPr="00BC0346" w:rsidRDefault="00186B5E" w:rsidP="00EE6982">
            <w:pPr>
              <w:tabs>
                <w:tab w:val="left" w:pos="5325"/>
              </w:tabs>
              <w:jc w:val="both"/>
              <w:rPr>
                <w:rFonts w:eastAsia="Calibri"/>
                <w:sz w:val="20"/>
                <w:lang w:val="fr-CA"/>
              </w:rPr>
            </w:pPr>
            <w:r w:rsidRPr="00BC0346">
              <w:rPr>
                <w:rFonts w:eastAsia="Calibri"/>
                <w:sz w:val="20"/>
                <w:lang w:val="fr-CA"/>
              </w:rPr>
              <w:t>9 octobre 2014</w:t>
            </w:r>
          </w:p>
          <w:p w:rsidR="00186B5E" w:rsidRPr="00BC0346" w:rsidRDefault="00186B5E" w:rsidP="00EE6982">
            <w:pPr>
              <w:tabs>
                <w:tab w:val="left" w:pos="5325"/>
              </w:tabs>
              <w:jc w:val="both"/>
              <w:rPr>
                <w:rFonts w:eastAsia="Calibri"/>
                <w:sz w:val="20"/>
                <w:lang w:val="fr-CA"/>
              </w:rPr>
            </w:pPr>
            <w:r w:rsidRPr="00BC0346">
              <w:rPr>
                <w:rFonts w:eastAsia="Calibri"/>
                <w:sz w:val="20"/>
                <w:lang w:val="fr-CA"/>
              </w:rPr>
              <w:t>Cour suprême du Canada</w:t>
            </w:r>
          </w:p>
          <w:p w:rsidR="00186B5E" w:rsidRPr="00BC0346" w:rsidRDefault="00186B5E" w:rsidP="00EE6982">
            <w:pPr>
              <w:jc w:val="both"/>
              <w:rPr>
                <w:rFonts w:eastAsia="Calibri"/>
                <w:sz w:val="20"/>
                <w:lang w:val="fr-CA"/>
              </w:rPr>
            </w:pPr>
            <w:r w:rsidRPr="00BC0346">
              <w:rPr>
                <w:rFonts w:eastAsia="Calibri"/>
                <w:sz w:val="20"/>
                <w:lang w:val="fr-CA"/>
              </w:rPr>
              <w:t xml:space="preserve">Juge Karakatsanis </w:t>
            </w:r>
          </w:p>
          <w:p w:rsidR="00186B5E" w:rsidRPr="00BC0346" w:rsidRDefault="00186B5E" w:rsidP="00EE6982">
            <w:pPr>
              <w:jc w:val="both"/>
              <w:rPr>
                <w:rFonts w:eastAsia="Calibri"/>
                <w:sz w:val="20"/>
                <w:lang w:val="fr-CA"/>
              </w:rPr>
            </w:pPr>
          </w:p>
        </w:tc>
        <w:tc>
          <w:tcPr>
            <w:tcW w:w="271" w:type="pct"/>
          </w:tcPr>
          <w:p w:rsidR="00186B5E" w:rsidRPr="00BC0346" w:rsidRDefault="00186B5E" w:rsidP="00EE6982">
            <w:pPr>
              <w:jc w:val="both"/>
              <w:rPr>
                <w:rFonts w:eastAsia="Calibri"/>
                <w:sz w:val="20"/>
                <w:lang w:val="fr-CA"/>
              </w:rPr>
            </w:pPr>
          </w:p>
        </w:tc>
        <w:tc>
          <w:tcPr>
            <w:tcW w:w="2340" w:type="pct"/>
          </w:tcPr>
          <w:p w:rsidR="00186B5E" w:rsidRPr="00BC0346" w:rsidRDefault="00186B5E" w:rsidP="00EE6982">
            <w:pPr>
              <w:jc w:val="both"/>
              <w:rPr>
                <w:rFonts w:eastAsia="Calibri"/>
                <w:sz w:val="20"/>
                <w:lang w:val="fr-CA"/>
              </w:rPr>
            </w:pPr>
            <w:r w:rsidRPr="00BC0346">
              <w:rPr>
                <w:rFonts w:eastAsia="Calibri"/>
                <w:sz w:val="20"/>
                <w:lang w:val="fr-CA"/>
              </w:rPr>
              <w:t xml:space="preserve">Demande du demandeur visant à obtenir la prorogation du délai pour signifier et déposer la demande d’autorisation d’appel, accueillie.                          </w:t>
            </w:r>
          </w:p>
        </w:tc>
      </w:tr>
      <w:tr w:rsidR="00186B5E" w:rsidRPr="00CF1118" w:rsidTr="00EE6982">
        <w:tblPrEx>
          <w:tblCellMar>
            <w:bottom w:w="0" w:type="dxa"/>
          </w:tblCellMar>
        </w:tblPrEx>
        <w:tc>
          <w:tcPr>
            <w:tcW w:w="2389" w:type="pct"/>
          </w:tcPr>
          <w:p w:rsidR="00186B5E" w:rsidRPr="00BC0346" w:rsidRDefault="00186B5E" w:rsidP="00EE6982">
            <w:pPr>
              <w:jc w:val="both"/>
              <w:rPr>
                <w:rFonts w:eastAsia="Calibri"/>
                <w:sz w:val="20"/>
                <w:lang w:val="fr-CA"/>
              </w:rPr>
            </w:pPr>
            <w:r w:rsidRPr="00BC0346">
              <w:rPr>
                <w:rFonts w:eastAsia="Calibri"/>
                <w:sz w:val="20"/>
                <w:lang w:val="fr-CA"/>
              </w:rPr>
              <w:t>8 décembre 2014</w:t>
            </w:r>
          </w:p>
          <w:p w:rsidR="00186B5E" w:rsidRPr="00BC0346" w:rsidRDefault="00186B5E" w:rsidP="00EE6982">
            <w:pPr>
              <w:jc w:val="both"/>
              <w:rPr>
                <w:rFonts w:eastAsia="Calibri"/>
                <w:sz w:val="20"/>
                <w:lang w:val="fr-CA"/>
              </w:rPr>
            </w:pPr>
            <w:r w:rsidRPr="00BC0346">
              <w:rPr>
                <w:rFonts w:eastAsia="Calibri"/>
                <w:sz w:val="20"/>
                <w:lang w:val="fr-CA"/>
              </w:rPr>
              <w:t>Cour suprême du Canada</w:t>
            </w:r>
          </w:p>
        </w:tc>
        <w:tc>
          <w:tcPr>
            <w:tcW w:w="271" w:type="pct"/>
          </w:tcPr>
          <w:p w:rsidR="00186B5E" w:rsidRPr="00BC0346" w:rsidRDefault="00186B5E" w:rsidP="00EE6982">
            <w:pPr>
              <w:jc w:val="both"/>
              <w:rPr>
                <w:rFonts w:eastAsia="Calibri"/>
                <w:sz w:val="20"/>
                <w:lang w:val="fr-CA"/>
              </w:rPr>
            </w:pPr>
          </w:p>
        </w:tc>
        <w:tc>
          <w:tcPr>
            <w:tcW w:w="2340" w:type="pct"/>
          </w:tcPr>
          <w:p w:rsidR="00186B5E" w:rsidRPr="00BC0346" w:rsidRDefault="00186B5E" w:rsidP="00EE6982">
            <w:pPr>
              <w:jc w:val="both"/>
              <w:rPr>
                <w:rFonts w:eastAsia="Calibri"/>
                <w:sz w:val="20"/>
                <w:lang w:val="fr-CA"/>
              </w:rPr>
            </w:pPr>
            <w:r w:rsidRPr="00BC0346">
              <w:rPr>
                <w:rFonts w:eastAsia="Calibri"/>
                <w:sz w:val="20"/>
                <w:lang w:val="fr-CA"/>
              </w:rPr>
              <w:t>Dépôt de la demande d’autorisation d’appel.</w:t>
            </w:r>
          </w:p>
          <w:p w:rsidR="00186B5E" w:rsidRPr="00BC0346" w:rsidRDefault="00186B5E" w:rsidP="00EE6982">
            <w:pPr>
              <w:jc w:val="both"/>
              <w:rPr>
                <w:rFonts w:eastAsia="Calibri"/>
                <w:sz w:val="20"/>
                <w:lang w:val="fr-CA"/>
              </w:rPr>
            </w:pPr>
          </w:p>
        </w:tc>
      </w:tr>
    </w:tbl>
    <w:p w:rsidR="0002632D" w:rsidRPr="00186B5E" w:rsidRDefault="0002632D" w:rsidP="0002632D">
      <w:pPr>
        <w:rPr>
          <w:sz w:val="20"/>
          <w:szCs w:val="20"/>
          <w:lang w:val="fr-CA"/>
        </w:rPr>
      </w:pPr>
    </w:p>
    <w:p w:rsidR="0002632D" w:rsidRDefault="00742BC3" w:rsidP="0002632D">
      <w:pPr>
        <w:rPr>
          <w:sz w:val="20"/>
          <w:szCs w:val="20"/>
          <w:lang w:val="fr-CA"/>
        </w:rPr>
      </w:pPr>
      <w:r>
        <w:rPr>
          <w:sz w:val="20"/>
          <w:szCs w:val="20"/>
          <w:lang w:val="fr-CA"/>
        </w:rPr>
        <w:pict>
          <v:rect id="_x0000_i1042" style="width:2in;height:1pt" o:hrpct="0" o:hralign="center" o:hrstd="t" o:hrnoshade="t" o:hr="t" fillcolor="black [3213]" stroked="f"/>
        </w:pict>
      </w:r>
    </w:p>
    <w:p w:rsidR="0002632D" w:rsidRDefault="0002632D" w:rsidP="0002632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607D1" w:rsidRPr="00CF1118" w:rsidTr="00DC6BF5">
        <w:trPr>
          <w:cantSplit/>
        </w:trPr>
        <w:tc>
          <w:tcPr>
            <w:tcW w:w="1458" w:type="dxa"/>
          </w:tcPr>
          <w:p w:rsidR="00F607D1" w:rsidRPr="00CE568C" w:rsidRDefault="00F607D1" w:rsidP="00DC6BF5">
            <w:pPr>
              <w:rPr>
                <w:sz w:val="20"/>
                <w:szCs w:val="20"/>
              </w:rPr>
            </w:pPr>
            <w:r w:rsidRPr="00CE568C">
              <w:rPr>
                <w:rStyle w:val="SCCFileNumberChar"/>
                <w:sz w:val="20"/>
                <w:szCs w:val="20"/>
              </w:rPr>
              <w:t>36084</w:t>
            </w:r>
          </w:p>
          <w:p w:rsidR="00F607D1" w:rsidRPr="00CE568C" w:rsidRDefault="00F607D1" w:rsidP="00DC6BF5">
            <w:pPr>
              <w:rPr>
                <w:b/>
                <w:sz w:val="20"/>
                <w:szCs w:val="20"/>
                <w:lang w:val="fr-CA"/>
              </w:rPr>
            </w:pPr>
          </w:p>
        </w:tc>
        <w:tc>
          <w:tcPr>
            <w:tcW w:w="8118" w:type="dxa"/>
          </w:tcPr>
          <w:p w:rsidR="00F607D1" w:rsidRPr="00CE568C" w:rsidRDefault="00F607D1" w:rsidP="00DC6BF5">
            <w:pPr>
              <w:jc w:val="both"/>
              <w:rPr>
                <w:sz w:val="20"/>
                <w:szCs w:val="20"/>
                <w:lang w:val="fr-CA"/>
              </w:rPr>
            </w:pPr>
            <w:r w:rsidRPr="00CE568C">
              <w:rPr>
                <w:rStyle w:val="SCCLsocChar"/>
                <w:sz w:val="20"/>
                <w:szCs w:val="20"/>
              </w:rPr>
              <w:t>Ginette Lebel, Magalie Lebel-Lemire, Frédéric Lebel-Lemire, François-Olivier Lebel-Lemire</w:t>
            </w:r>
            <w:r w:rsidR="003B0C67">
              <w:rPr>
                <w:rStyle w:val="SCCLsocChar"/>
                <w:sz w:val="20"/>
                <w:szCs w:val="20"/>
              </w:rPr>
              <w:t xml:space="preserve"> et</w:t>
            </w:r>
            <w:r w:rsidRPr="00CE568C">
              <w:rPr>
                <w:rStyle w:val="SCCLsocChar"/>
                <w:sz w:val="20"/>
                <w:szCs w:val="20"/>
              </w:rPr>
              <w:t xml:space="preserve"> Vincent Lebel-Lemire c. Groupe Ledor société mutuelle d’assurance</w:t>
            </w:r>
            <w:r w:rsidRPr="00CE568C">
              <w:rPr>
                <w:sz w:val="20"/>
                <w:szCs w:val="20"/>
                <w:lang w:val="fr-CA"/>
              </w:rPr>
              <w:t xml:space="preserve"> (Qc) (Civile) (Autorisation)</w:t>
            </w:r>
          </w:p>
          <w:p w:rsidR="00F607D1" w:rsidRPr="00CE568C" w:rsidRDefault="00F607D1" w:rsidP="00DC6BF5">
            <w:pPr>
              <w:jc w:val="both"/>
              <w:rPr>
                <w:sz w:val="20"/>
                <w:szCs w:val="20"/>
                <w:lang w:val="fr-CA"/>
              </w:rPr>
            </w:pPr>
          </w:p>
        </w:tc>
      </w:tr>
      <w:tr w:rsidR="00F607D1" w:rsidRPr="00CF1118" w:rsidTr="00DC6BF5">
        <w:trPr>
          <w:cantSplit/>
        </w:trPr>
        <w:tc>
          <w:tcPr>
            <w:tcW w:w="1458" w:type="dxa"/>
          </w:tcPr>
          <w:p w:rsidR="00F607D1" w:rsidRPr="00CE568C" w:rsidRDefault="00F607D1" w:rsidP="00DC6BF5">
            <w:pPr>
              <w:rPr>
                <w:sz w:val="20"/>
                <w:szCs w:val="20"/>
              </w:rPr>
            </w:pPr>
            <w:r w:rsidRPr="00CE568C">
              <w:rPr>
                <w:sz w:val="20"/>
                <w:szCs w:val="20"/>
              </w:rPr>
              <w:t>Coram :</w:t>
            </w:r>
          </w:p>
        </w:tc>
        <w:tc>
          <w:tcPr>
            <w:tcW w:w="8118" w:type="dxa"/>
          </w:tcPr>
          <w:p w:rsidR="00F607D1" w:rsidRPr="00CE568C" w:rsidRDefault="00F607D1" w:rsidP="00DC6BF5">
            <w:pPr>
              <w:rPr>
                <w:sz w:val="20"/>
                <w:szCs w:val="20"/>
                <w:lang w:val="fr-CA"/>
              </w:rPr>
            </w:pPr>
            <w:r w:rsidRPr="00CE568C">
              <w:rPr>
                <w:rStyle w:val="SCCCoramChar"/>
                <w:sz w:val="20"/>
                <w:szCs w:val="20"/>
              </w:rPr>
              <w:t>Les juges Abella, Karakatsanis et Côté</w:t>
            </w:r>
          </w:p>
          <w:p w:rsidR="00F607D1" w:rsidRPr="00CE568C" w:rsidRDefault="00F607D1" w:rsidP="00DC6BF5">
            <w:pPr>
              <w:rPr>
                <w:sz w:val="20"/>
                <w:szCs w:val="20"/>
                <w:u w:val="single"/>
                <w:lang w:val="fr-CA"/>
              </w:rPr>
            </w:pPr>
          </w:p>
        </w:tc>
      </w:tr>
      <w:tr w:rsidR="00F607D1" w:rsidRPr="00CE568C" w:rsidTr="00DC6BF5">
        <w:trPr>
          <w:cantSplit/>
        </w:trPr>
        <w:tc>
          <w:tcPr>
            <w:tcW w:w="9576" w:type="dxa"/>
            <w:gridSpan w:val="2"/>
          </w:tcPr>
          <w:p w:rsidR="00F607D1" w:rsidRPr="00CE568C" w:rsidRDefault="00F607D1" w:rsidP="00DC6BF5">
            <w:pPr>
              <w:pStyle w:val="SCCShortJudgment"/>
              <w:rPr>
                <w:szCs w:val="20"/>
                <w:lang w:val="fr-CA"/>
              </w:rPr>
            </w:pPr>
            <w:r w:rsidRPr="00CE568C">
              <w:rPr>
                <w:szCs w:val="20"/>
                <w:lang w:val="fr-CA"/>
              </w:rPr>
              <w:t>La demande d’autorisation d’appel de l’arrêt de la Cour d’appel du Québec (Québec), numéro 200-09-007861-120, 2014 QCCA 1309, daté du 2 juillet 2014, est rejetée avec dépens.</w:t>
            </w:r>
          </w:p>
          <w:p w:rsidR="00F607D1" w:rsidRPr="00CE568C" w:rsidRDefault="00F607D1" w:rsidP="00DC6BF5">
            <w:pPr>
              <w:pStyle w:val="SCCShortJudgment"/>
              <w:ind w:firstLine="0"/>
              <w:rPr>
                <w:szCs w:val="20"/>
                <w:lang w:val="fr-CA"/>
              </w:rPr>
            </w:pPr>
          </w:p>
          <w:p w:rsidR="00F607D1" w:rsidRPr="00CE568C" w:rsidRDefault="00F607D1" w:rsidP="00DC6BF5">
            <w:pPr>
              <w:pStyle w:val="SCCShortJudgment"/>
              <w:rPr>
                <w:szCs w:val="20"/>
              </w:rPr>
            </w:pPr>
            <w:r w:rsidRPr="00CE568C">
              <w:rPr>
                <w:szCs w:val="20"/>
              </w:rPr>
              <w:t>The application for leave to appeal from the judgment of the Court of Appeal of Quebec (Quebec), Number 200-09-007861-120, 2014 QCCA 1309, dated July 2, 2014, is dismissed with costs.</w:t>
            </w:r>
          </w:p>
        </w:tc>
      </w:tr>
    </w:tbl>
    <w:p w:rsidR="0002632D" w:rsidRDefault="0002632D" w:rsidP="0002632D">
      <w:pPr>
        <w:rPr>
          <w:sz w:val="20"/>
          <w:szCs w:val="20"/>
        </w:rPr>
      </w:pPr>
    </w:p>
    <w:p w:rsidR="0002632D" w:rsidRPr="001B157C" w:rsidRDefault="0002632D" w:rsidP="0002632D">
      <w:pPr>
        <w:rPr>
          <w:sz w:val="20"/>
          <w:szCs w:val="20"/>
          <w:u w:val="single"/>
        </w:rPr>
      </w:pPr>
      <w:r w:rsidRPr="001B157C">
        <w:rPr>
          <w:sz w:val="20"/>
          <w:szCs w:val="20"/>
          <w:u w:val="single"/>
        </w:rPr>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0F6" w:rsidRPr="00BC0346" w:rsidTr="00EE6982">
        <w:tc>
          <w:tcPr>
            <w:tcW w:w="5000" w:type="pct"/>
            <w:gridSpan w:val="3"/>
          </w:tcPr>
          <w:p w:rsidR="007A70F6" w:rsidRPr="00BC0346" w:rsidRDefault="007A70F6" w:rsidP="00EE6982">
            <w:pPr>
              <w:jc w:val="both"/>
              <w:rPr>
                <w:rFonts w:eastAsia="Calibri"/>
                <w:sz w:val="20"/>
              </w:rPr>
            </w:pPr>
            <w:r w:rsidRPr="00BC0346">
              <w:rPr>
                <w:rFonts w:eastAsia="Calibri"/>
                <w:sz w:val="20"/>
              </w:rPr>
              <w:t>Insurance – Property insurance – Duty to advise – Duty to minimize damages – Did the judges of the lower courts err in concluding that the insureds had not minimized their damage and that the insurer’s duty to advise was extinguished after it refused coverage?</w:t>
            </w:r>
          </w:p>
        </w:tc>
      </w:tr>
      <w:tr w:rsidR="007A70F6" w:rsidRPr="00BC0346" w:rsidTr="00EE6982">
        <w:tc>
          <w:tcPr>
            <w:tcW w:w="5000" w:type="pct"/>
            <w:gridSpan w:val="3"/>
          </w:tcPr>
          <w:p w:rsidR="007A70F6" w:rsidRPr="00BC0346" w:rsidRDefault="007A70F6" w:rsidP="00EE6982">
            <w:pPr>
              <w:jc w:val="both"/>
              <w:rPr>
                <w:rFonts w:eastAsia="Calibri"/>
                <w:sz w:val="20"/>
              </w:rPr>
            </w:pPr>
          </w:p>
        </w:tc>
      </w:tr>
      <w:tr w:rsidR="007A70F6" w:rsidRPr="00BC0346" w:rsidTr="00EE6982">
        <w:tc>
          <w:tcPr>
            <w:tcW w:w="5000" w:type="pct"/>
            <w:gridSpan w:val="3"/>
          </w:tcPr>
          <w:p w:rsidR="007A70F6" w:rsidRPr="00BC0346" w:rsidRDefault="007A70F6" w:rsidP="00EE6982">
            <w:pPr>
              <w:jc w:val="both"/>
              <w:rPr>
                <w:rFonts w:eastAsia="Calibri"/>
                <w:sz w:val="20"/>
              </w:rPr>
            </w:pPr>
            <w:r w:rsidRPr="00BC0346">
              <w:rPr>
                <w:rFonts w:eastAsia="Calibri"/>
                <w:sz w:val="20"/>
              </w:rPr>
              <w:t xml:space="preserve">The applicants own an apartment building.  In 2007, they hired the company Alie Construction (Alie) to repair the roof.  During the work, water leaked into the building as a result of heavy rain.  The day after the disaster, the applicants’ insurer, Groupe Ledor, the respondent, informed the applicants by telephone that the damage was not covered by their insurance policy.  On the same day, a company specialized in disaster recovery work assessed the damage and informed the applicants that it was urgent to dry and ventilate the building; this work, however, was not carried out.  Two months after the disaster, the tenants complained about damp and health-related problems.  Two months after that, a microbiological analysis report recommended renovation and decontamination work.  The applicants hired a company to carry out extensive work. </w:t>
            </w:r>
          </w:p>
          <w:p w:rsidR="007A70F6" w:rsidRPr="00BC0346" w:rsidRDefault="007A70F6" w:rsidP="00EE6982">
            <w:pPr>
              <w:jc w:val="both"/>
              <w:rPr>
                <w:rFonts w:eastAsia="Calibri"/>
                <w:sz w:val="20"/>
              </w:rPr>
            </w:pPr>
          </w:p>
          <w:p w:rsidR="007A70F6" w:rsidRPr="00BC0346" w:rsidRDefault="007A70F6" w:rsidP="00EE6982">
            <w:pPr>
              <w:jc w:val="both"/>
              <w:rPr>
                <w:rFonts w:eastAsia="Calibri"/>
                <w:sz w:val="20"/>
              </w:rPr>
            </w:pPr>
            <w:r w:rsidRPr="00BC0346">
              <w:rPr>
                <w:rFonts w:eastAsia="Calibri"/>
                <w:sz w:val="20"/>
              </w:rPr>
              <w:t>The applicants then instituted a proceeding against Alie and its insurer, and against their own insurer.  They claimed $558,034.71 to cover the cost of restoring the building.  The Superior Court allowed the motion in part.  Justice Bergeron concluded that the direct and immediate cause of the damage was the fault of Alie and that the contractor’s fault was a risk covered by the applicants’ insurance policy; however, she criticized the applicants for not minimizing the damage and assessed the damage as amounting to $139,112.29.  The Court of Appeal dismissed the appeal.</w:t>
            </w:r>
          </w:p>
          <w:p w:rsidR="007A70F6" w:rsidRPr="00BC0346" w:rsidRDefault="007A70F6" w:rsidP="00EE6982">
            <w:pPr>
              <w:jc w:val="both"/>
              <w:rPr>
                <w:rFonts w:eastAsia="Calibri"/>
                <w:sz w:val="20"/>
              </w:rPr>
            </w:pP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t>September 19, 2012</w:t>
            </w:r>
          </w:p>
          <w:p w:rsidR="007A70F6" w:rsidRPr="00BC0346" w:rsidRDefault="007A70F6" w:rsidP="00EE6982">
            <w:pPr>
              <w:jc w:val="both"/>
              <w:rPr>
                <w:rFonts w:eastAsia="Calibri"/>
                <w:sz w:val="20"/>
              </w:rPr>
            </w:pPr>
            <w:r w:rsidRPr="00BC0346">
              <w:rPr>
                <w:rFonts w:eastAsia="Calibri"/>
                <w:sz w:val="20"/>
              </w:rPr>
              <w:t>Quebec Superior Court</w:t>
            </w:r>
          </w:p>
          <w:p w:rsidR="007A70F6" w:rsidRPr="00BC0346" w:rsidRDefault="007A70F6" w:rsidP="00EE6982">
            <w:pPr>
              <w:jc w:val="both"/>
              <w:rPr>
                <w:rFonts w:eastAsia="Calibri"/>
                <w:sz w:val="20"/>
              </w:rPr>
            </w:pPr>
            <w:r w:rsidRPr="00BC0346">
              <w:rPr>
                <w:rFonts w:eastAsia="Calibri"/>
                <w:sz w:val="20"/>
              </w:rPr>
              <w:t>(Bergeron J.)</w:t>
            </w:r>
          </w:p>
          <w:p w:rsidR="007A70F6" w:rsidRPr="00BC0346" w:rsidRDefault="00742BC3" w:rsidP="00EE6982">
            <w:pPr>
              <w:jc w:val="both"/>
              <w:rPr>
                <w:rFonts w:eastAsia="Calibri"/>
                <w:sz w:val="20"/>
              </w:rPr>
            </w:pPr>
            <w:hyperlink r:id="rId33" w:history="1">
              <w:r w:rsidR="007A70F6" w:rsidRPr="00BC0346">
                <w:rPr>
                  <w:rFonts w:eastAsia="Calibri"/>
                  <w:color w:val="0000FF"/>
                  <w:sz w:val="20"/>
                  <w:u w:val="single"/>
                </w:rPr>
                <w:t>2012 QCCS 4504</w:t>
              </w:r>
            </w:hyperlink>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Motion to institute proceedings allowed in part</w:t>
            </w: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t>July 2, 2014</w:t>
            </w:r>
          </w:p>
          <w:p w:rsidR="007A70F6" w:rsidRPr="00BC0346" w:rsidRDefault="007A70F6" w:rsidP="00EE6982">
            <w:pPr>
              <w:jc w:val="both"/>
              <w:rPr>
                <w:rFonts w:eastAsia="Calibri"/>
                <w:sz w:val="20"/>
              </w:rPr>
            </w:pPr>
            <w:r w:rsidRPr="00BC0346">
              <w:rPr>
                <w:rFonts w:eastAsia="Calibri"/>
                <w:sz w:val="20"/>
              </w:rPr>
              <w:t>Quebec Court of Appeal (Québec)</w:t>
            </w:r>
          </w:p>
          <w:p w:rsidR="007A70F6" w:rsidRPr="00BC0346" w:rsidRDefault="007A70F6" w:rsidP="00EE6982">
            <w:pPr>
              <w:jc w:val="both"/>
              <w:rPr>
                <w:rFonts w:eastAsia="Calibri"/>
                <w:sz w:val="20"/>
                <w:lang w:val="fr-CA"/>
              </w:rPr>
            </w:pPr>
            <w:r w:rsidRPr="00BC0346">
              <w:rPr>
                <w:rFonts w:eastAsia="Calibri"/>
                <w:sz w:val="20"/>
                <w:lang w:val="fr-CA"/>
              </w:rPr>
              <w:t>(Dutil, Léger and Lévesque JJ.A.)</w:t>
            </w:r>
          </w:p>
          <w:p w:rsidR="007A70F6" w:rsidRPr="00BC0346" w:rsidRDefault="00742BC3" w:rsidP="00EE6982">
            <w:pPr>
              <w:jc w:val="both"/>
              <w:rPr>
                <w:rFonts w:eastAsia="Calibri"/>
                <w:sz w:val="20"/>
              </w:rPr>
            </w:pPr>
            <w:hyperlink r:id="rId34" w:history="1">
              <w:r w:rsidR="007A70F6" w:rsidRPr="00BC0346">
                <w:rPr>
                  <w:rFonts w:eastAsia="Calibri"/>
                  <w:color w:val="0000FF"/>
                  <w:sz w:val="20"/>
                  <w:u w:val="single"/>
                </w:rPr>
                <w:t>2014 QCCA 1309</w:t>
              </w:r>
            </w:hyperlink>
            <w:r w:rsidR="007A70F6" w:rsidRPr="00BC0346">
              <w:rPr>
                <w:rFonts w:eastAsia="Calibri"/>
                <w:sz w:val="20"/>
              </w:rPr>
              <w:t>; 200-09-007861-120</w:t>
            </w:r>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Appeal dismissed</w:t>
            </w: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t>September 26, 2014</w:t>
            </w:r>
          </w:p>
          <w:p w:rsidR="007A70F6" w:rsidRPr="00BC0346" w:rsidRDefault="007A70F6" w:rsidP="00EE6982">
            <w:pPr>
              <w:jc w:val="both"/>
              <w:rPr>
                <w:rFonts w:eastAsia="Calibri"/>
                <w:sz w:val="20"/>
              </w:rPr>
            </w:pPr>
            <w:r w:rsidRPr="00BC0346">
              <w:rPr>
                <w:rFonts w:eastAsia="Calibri"/>
                <w:sz w:val="20"/>
              </w:rPr>
              <w:t>Supreme Court of Canada</w:t>
            </w: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Application for leave to appeal filed</w:t>
            </w:r>
          </w:p>
          <w:p w:rsidR="007A70F6" w:rsidRPr="00BC0346" w:rsidRDefault="007A70F6" w:rsidP="00EE6982">
            <w:pPr>
              <w:jc w:val="both"/>
              <w:rPr>
                <w:rFonts w:eastAsia="Calibri"/>
                <w:sz w:val="20"/>
              </w:rPr>
            </w:pP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43"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0F6" w:rsidRPr="00CF1118" w:rsidTr="00EE6982">
        <w:tc>
          <w:tcPr>
            <w:tcW w:w="5000" w:type="pct"/>
            <w:gridSpan w:val="3"/>
          </w:tcPr>
          <w:p w:rsidR="007A70F6" w:rsidRPr="00BC0346" w:rsidRDefault="007A70F6" w:rsidP="00EE6982">
            <w:pPr>
              <w:jc w:val="both"/>
              <w:rPr>
                <w:rFonts w:eastAsia="Calibri"/>
                <w:sz w:val="20"/>
                <w:lang w:val="fr-CA"/>
              </w:rPr>
            </w:pPr>
            <w:r w:rsidRPr="00BC0346">
              <w:rPr>
                <w:rFonts w:eastAsia="Calibri"/>
                <w:sz w:val="20"/>
                <w:lang w:val="fr-CA"/>
              </w:rPr>
              <w:t>Assurances – Assurances de biens – Devoir de conseil – Obligation de minimiser les dommages – Les juges des instances inférieures ont-ils eu tort de conclure que les assurés n’avaient pas minimisé leurs dommages et que le devoir de conseil de l’assureur s’était éteint après qu’il eût refusé couverture?</w:t>
            </w:r>
          </w:p>
        </w:tc>
      </w:tr>
      <w:tr w:rsidR="007A70F6" w:rsidRPr="00CF1118" w:rsidTr="00EE6982">
        <w:tc>
          <w:tcPr>
            <w:tcW w:w="5000" w:type="pct"/>
            <w:gridSpan w:val="3"/>
          </w:tcPr>
          <w:p w:rsidR="007A70F6" w:rsidRPr="00BC0346" w:rsidRDefault="007A70F6" w:rsidP="00EE6982">
            <w:pPr>
              <w:jc w:val="both"/>
              <w:rPr>
                <w:rFonts w:eastAsia="Calibri"/>
                <w:sz w:val="20"/>
                <w:lang w:val="fr-CA"/>
              </w:rPr>
            </w:pPr>
          </w:p>
        </w:tc>
      </w:tr>
      <w:tr w:rsidR="007A70F6" w:rsidRPr="00BC0346" w:rsidTr="00EE6982">
        <w:tc>
          <w:tcPr>
            <w:tcW w:w="5000" w:type="pct"/>
            <w:gridSpan w:val="3"/>
          </w:tcPr>
          <w:p w:rsidR="007A70F6" w:rsidRPr="00BC0346" w:rsidRDefault="007A70F6" w:rsidP="00EE6982">
            <w:pPr>
              <w:jc w:val="both"/>
              <w:rPr>
                <w:rFonts w:eastAsia="Calibri"/>
                <w:sz w:val="20"/>
                <w:lang w:val="fr-CA"/>
              </w:rPr>
            </w:pPr>
            <w:r w:rsidRPr="00BC0346">
              <w:rPr>
                <w:rFonts w:eastAsia="Calibri"/>
                <w:sz w:val="20"/>
                <w:lang w:val="fr-CA"/>
              </w:rPr>
              <w:t xml:space="preserve">Les demandeurs sont propriétaires d’un immeuble à logements.  En 2007, ils retiennent les services de la compagnie Alie Construction (Alie) pour la réfection de la toiture.  Durant les travaux, de l’eau s’infiltre dans l’immeuble en raison de fortes pluies.  Le lendemain du sinistre, l’assureur des demandeurs, le Groupe Ledor intimé, les informe par téléphone que les dommages sont exclus de la couverture d’assurance. Le même jour, une entreprise spécialisée dans les travaux après sinistre évalue les dommages et informe les demandeurs que des travaux d’urgence d’assèchement et de ventilation des lieux doivent être réalisés, mais ces travaux ne sont pas effectués.  Deux mois après le sinistre, des </w:t>
            </w:r>
            <w:r w:rsidRPr="00BC0346">
              <w:rPr>
                <w:rFonts w:eastAsia="Calibri"/>
                <w:sz w:val="20"/>
                <w:lang w:val="fr-CA"/>
              </w:rPr>
              <w:lastRenderedPageBreak/>
              <w:t xml:space="preserve">locataires se plaignent de problèmes d’humidité et de santé.  Deux autres mois plus tard, un rapport d’analyse microbiologique recommande d’exécuter des travaux de rénovation et de décontamination.  Les demandeurs mandatent une entreprise pour effectuer des travaux importants. </w:t>
            </w:r>
          </w:p>
          <w:p w:rsidR="007A70F6" w:rsidRPr="00BC0346" w:rsidRDefault="007A70F6" w:rsidP="00EE6982">
            <w:pPr>
              <w:jc w:val="both"/>
              <w:rPr>
                <w:rFonts w:eastAsia="Calibri"/>
                <w:sz w:val="20"/>
                <w:lang w:val="fr-CA"/>
              </w:rPr>
            </w:pPr>
          </w:p>
          <w:p w:rsidR="007A70F6" w:rsidRPr="00BC0346" w:rsidRDefault="007A70F6" w:rsidP="00EE6982">
            <w:pPr>
              <w:jc w:val="both"/>
              <w:rPr>
                <w:rFonts w:eastAsia="Calibri"/>
                <w:sz w:val="20"/>
                <w:lang w:val="fr-CA"/>
              </w:rPr>
            </w:pPr>
            <w:r w:rsidRPr="00BC0346">
              <w:rPr>
                <w:rFonts w:eastAsia="Calibri"/>
                <w:sz w:val="20"/>
                <w:lang w:val="fr-CA"/>
              </w:rPr>
              <w:t>Les demandeurs intentent par la suite un recours contre Alie et son assureur et contre leur propre assureur.  Ils réclament 558 034,71 $ pour couvrir le coût de remise en état de l’</w:t>
            </w:r>
            <w:r w:rsidRPr="00BC0346">
              <w:rPr>
                <w:rFonts w:eastAsia="Calibri"/>
                <w:sz w:val="20"/>
                <w:lang w:val="fr-FR"/>
              </w:rPr>
              <w:t>immeuble</w:t>
            </w:r>
            <w:r w:rsidRPr="00BC0346">
              <w:rPr>
                <w:rFonts w:eastAsia="Calibri"/>
                <w:sz w:val="20"/>
                <w:lang w:val="fr-CA"/>
              </w:rPr>
              <w:t>.  La Cour supérieure accueille le recours en partie.  La juge Bergeron conclut que la cause directe et immédiate des dommages est la faute d’Alie et que la faute de l’entrepreneur est un risque couvert par la police d’assurance des demandeurs.  Elle reproche toutefois aux demandeurs de ne pas avoir minimisé leurs dommages et évalue ceux-ci à 139 112,29 $.  La Cour d’appel rejette l’appel.</w:t>
            </w:r>
          </w:p>
          <w:p w:rsidR="007A70F6" w:rsidRPr="00BC0346" w:rsidRDefault="007A70F6" w:rsidP="00EE6982">
            <w:pPr>
              <w:jc w:val="both"/>
              <w:rPr>
                <w:rFonts w:eastAsia="Calibri"/>
                <w:sz w:val="20"/>
                <w:lang w:val="fr-CA"/>
              </w:rPr>
            </w:pPr>
          </w:p>
        </w:tc>
      </w:tr>
      <w:tr w:rsidR="007A70F6" w:rsidRPr="00CF1118"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lastRenderedPageBreak/>
              <w:t>Le 19 septembre 2012</w:t>
            </w:r>
          </w:p>
          <w:p w:rsidR="007A70F6" w:rsidRPr="00BC0346" w:rsidRDefault="007A70F6" w:rsidP="00EE6982">
            <w:pPr>
              <w:jc w:val="both"/>
              <w:rPr>
                <w:rFonts w:eastAsia="Calibri"/>
                <w:sz w:val="20"/>
                <w:lang w:val="fr-CA"/>
              </w:rPr>
            </w:pPr>
            <w:r w:rsidRPr="00BC0346">
              <w:rPr>
                <w:rFonts w:eastAsia="Calibri"/>
                <w:sz w:val="20"/>
                <w:lang w:val="fr-CA"/>
              </w:rPr>
              <w:t>Cour supérieure du Québec</w:t>
            </w:r>
          </w:p>
          <w:p w:rsidR="007A70F6" w:rsidRPr="00BC0346" w:rsidRDefault="007A70F6" w:rsidP="00EE6982">
            <w:pPr>
              <w:jc w:val="both"/>
              <w:rPr>
                <w:rFonts w:eastAsia="Calibri"/>
                <w:sz w:val="20"/>
                <w:lang w:val="fr-CA"/>
              </w:rPr>
            </w:pPr>
            <w:r w:rsidRPr="00BC0346">
              <w:rPr>
                <w:rFonts w:eastAsia="Calibri"/>
                <w:sz w:val="20"/>
                <w:lang w:val="fr-CA"/>
              </w:rPr>
              <w:t>(La juge Bergeron)</w:t>
            </w:r>
          </w:p>
          <w:p w:rsidR="007A70F6" w:rsidRPr="00BC0346" w:rsidRDefault="00742BC3" w:rsidP="00EE6982">
            <w:pPr>
              <w:jc w:val="both"/>
              <w:rPr>
                <w:rFonts w:eastAsia="Calibri"/>
                <w:sz w:val="20"/>
                <w:lang w:val="fr-CA"/>
              </w:rPr>
            </w:pPr>
            <w:hyperlink r:id="rId35" w:history="1">
              <w:r w:rsidR="007A70F6" w:rsidRPr="00BC0346">
                <w:rPr>
                  <w:rFonts w:eastAsia="Calibri"/>
                  <w:color w:val="0000FF"/>
                  <w:sz w:val="20"/>
                  <w:u w:val="single"/>
                  <w:lang w:val="fr-CA"/>
                </w:rPr>
                <w:t>2012 QCCS 4504</w:t>
              </w:r>
            </w:hyperlink>
          </w:p>
          <w:p w:rsidR="007A70F6" w:rsidRPr="00BC0346" w:rsidRDefault="007A70F6" w:rsidP="00EE6982">
            <w:pPr>
              <w:jc w:val="both"/>
              <w:rPr>
                <w:rFonts w:eastAsia="Calibri"/>
                <w:sz w:val="20"/>
                <w:lang w:val="fr-CA"/>
              </w:rPr>
            </w:pPr>
          </w:p>
        </w:tc>
        <w:tc>
          <w:tcPr>
            <w:tcW w:w="243" w:type="pct"/>
          </w:tcPr>
          <w:p w:rsidR="007A70F6" w:rsidRPr="00BC0346" w:rsidRDefault="007A70F6" w:rsidP="00EE6982">
            <w:pPr>
              <w:jc w:val="both"/>
              <w:rPr>
                <w:rFonts w:eastAsia="Calibri"/>
                <w:sz w:val="20"/>
                <w:lang w:val="fr-CA"/>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Requête introductive d’instance accueillie en partie</w:t>
            </w:r>
          </w:p>
        </w:tc>
      </w:tr>
      <w:tr w:rsidR="007A70F6" w:rsidRPr="00BC0346"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t>Le 2 juillet 2014</w:t>
            </w:r>
          </w:p>
          <w:p w:rsidR="007A70F6" w:rsidRPr="00BC0346" w:rsidRDefault="007A70F6" w:rsidP="00EE6982">
            <w:pPr>
              <w:jc w:val="both"/>
              <w:rPr>
                <w:rFonts w:eastAsia="Calibri"/>
                <w:sz w:val="20"/>
                <w:lang w:val="fr-CA"/>
              </w:rPr>
            </w:pPr>
            <w:r w:rsidRPr="00BC0346">
              <w:rPr>
                <w:rFonts w:eastAsia="Calibri"/>
                <w:sz w:val="20"/>
                <w:lang w:val="fr-CA"/>
              </w:rPr>
              <w:t>Cour d’appel du Québec (Québec)</w:t>
            </w:r>
          </w:p>
          <w:p w:rsidR="007A70F6" w:rsidRPr="00BC0346" w:rsidRDefault="007A70F6" w:rsidP="00EE6982">
            <w:pPr>
              <w:jc w:val="both"/>
              <w:rPr>
                <w:rFonts w:eastAsia="Calibri"/>
                <w:sz w:val="20"/>
                <w:lang w:val="fr-CA"/>
              </w:rPr>
            </w:pPr>
            <w:r w:rsidRPr="00BC0346">
              <w:rPr>
                <w:rFonts w:eastAsia="Calibri"/>
                <w:sz w:val="20"/>
                <w:lang w:val="fr-CA"/>
              </w:rPr>
              <w:t>(Les juges Dutil, Léger et Lévesque)</w:t>
            </w:r>
          </w:p>
          <w:p w:rsidR="007A70F6" w:rsidRPr="00BC0346" w:rsidRDefault="00742BC3" w:rsidP="00EE6982">
            <w:pPr>
              <w:jc w:val="both"/>
              <w:rPr>
                <w:rFonts w:eastAsia="Calibri"/>
                <w:sz w:val="20"/>
                <w:lang w:val="fr-CA"/>
              </w:rPr>
            </w:pPr>
            <w:hyperlink r:id="rId36" w:history="1">
              <w:r w:rsidR="007A70F6" w:rsidRPr="00BC0346">
                <w:rPr>
                  <w:rFonts w:eastAsia="Calibri"/>
                  <w:color w:val="0000FF"/>
                  <w:sz w:val="20"/>
                  <w:u w:val="single"/>
                  <w:lang w:val="fr-CA"/>
                </w:rPr>
                <w:t>2014 QCCA 1309</w:t>
              </w:r>
            </w:hyperlink>
            <w:r w:rsidR="007A70F6" w:rsidRPr="00BC0346">
              <w:rPr>
                <w:rFonts w:eastAsia="Calibri"/>
                <w:sz w:val="20"/>
                <w:lang w:val="fr-CA"/>
              </w:rPr>
              <w:t>; 200-09-007861-120</w:t>
            </w:r>
          </w:p>
          <w:p w:rsidR="007A70F6" w:rsidRPr="00BC0346" w:rsidRDefault="007A70F6" w:rsidP="00EE6982">
            <w:pPr>
              <w:jc w:val="both"/>
              <w:rPr>
                <w:rFonts w:eastAsia="Calibri"/>
                <w:sz w:val="20"/>
                <w:lang w:val="fr-CA"/>
              </w:rPr>
            </w:pPr>
          </w:p>
        </w:tc>
        <w:tc>
          <w:tcPr>
            <w:tcW w:w="243" w:type="pct"/>
          </w:tcPr>
          <w:p w:rsidR="007A70F6" w:rsidRPr="00BC0346" w:rsidRDefault="007A70F6" w:rsidP="00EE6982">
            <w:pPr>
              <w:jc w:val="both"/>
              <w:rPr>
                <w:rFonts w:eastAsia="Calibri"/>
                <w:sz w:val="20"/>
                <w:lang w:val="fr-CA"/>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Appel rejeté</w:t>
            </w:r>
          </w:p>
        </w:tc>
      </w:tr>
      <w:tr w:rsidR="007A70F6" w:rsidRPr="00BC0346"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t>Le 26 septembre 2014</w:t>
            </w:r>
          </w:p>
          <w:p w:rsidR="007A70F6" w:rsidRPr="00BC0346" w:rsidRDefault="007A70F6" w:rsidP="00EE6982">
            <w:pPr>
              <w:jc w:val="both"/>
              <w:rPr>
                <w:rFonts w:eastAsia="Calibri"/>
                <w:sz w:val="20"/>
                <w:lang w:val="fr-CA"/>
              </w:rPr>
            </w:pPr>
            <w:r w:rsidRPr="00BC0346">
              <w:rPr>
                <w:rFonts w:eastAsia="Calibri"/>
                <w:sz w:val="20"/>
                <w:lang w:val="fr-CA"/>
              </w:rPr>
              <w:t>Cour suprême du Canada</w:t>
            </w:r>
          </w:p>
        </w:tc>
        <w:tc>
          <w:tcPr>
            <w:tcW w:w="243" w:type="pct"/>
          </w:tcPr>
          <w:p w:rsidR="007A70F6" w:rsidRPr="00BC0346" w:rsidRDefault="007A70F6" w:rsidP="00EE6982">
            <w:pPr>
              <w:jc w:val="both"/>
              <w:rPr>
                <w:rFonts w:eastAsia="Calibri"/>
                <w:sz w:val="20"/>
                <w:lang w:val="fr-CA"/>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Demande d’autorisation d’appel déposée</w:t>
            </w:r>
          </w:p>
          <w:p w:rsidR="007A70F6" w:rsidRPr="00BC0346" w:rsidRDefault="007A70F6" w:rsidP="00EE6982">
            <w:pPr>
              <w:jc w:val="both"/>
              <w:rPr>
                <w:rFonts w:eastAsia="Calibri"/>
                <w:sz w:val="20"/>
                <w:lang w:val="fr-CA"/>
              </w:rPr>
            </w:pPr>
          </w:p>
        </w:tc>
      </w:tr>
    </w:tbl>
    <w:p w:rsidR="0002632D" w:rsidRDefault="0002632D" w:rsidP="0002632D">
      <w:pPr>
        <w:rPr>
          <w:sz w:val="20"/>
          <w:szCs w:val="20"/>
        </w:rPr>
      </w:pPr>
    </w:p>
    <w:p w:rsidR="0002632D" w:rsidRDefault="00742BC3" w:rsidP="0002632D">
      <w:pPr>
        <w:rPr>
          <w:sz w:val="20"/>
          <w:szCs w:val="20"/>
          <w:lang w:val="fr-CA"/>
        </w:rPr>
      </w:pPr>
      <w:r>
        <w:rPr>
          <w:sz w:val="20"/>
          <w:szCs w:val="20"/>
          <w:lang w:val="fr-CA"/>
        </w:rPr>
        <w:pict>
          <v:rect id="_x0000_i1044" style="width:2in;height:1pt" o:hrpct="0" o:hralign="center" o:hrstd="t" o:hrnoshade="t" o:hr="t" fillcolor="black [3213]" stroked="f"/>
        </w:pict>
      </w:r>
    </w:p>
    <w:p w:rsidR="0002632D" w:rsidRDefault="0002632D" w:rsidP="0002632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C6BF5" w:rsidRPr="00CE568C" w:rsidTr="00DC6BF5">
        <w:trPr>
          <w:cantSplit/>
        </w:trPr>
        <w:tc>
          <w:tcPr>
            <w:tcW w:w="1458" w:type="dxa"/>
          </w:tcPr>
          <w:p w:rsidR="00DC6BF5" w:rsidRPr="00CE568C" w:rsidRDefault="00DC6BF5" w:rsidP="00DC6BF5">
            <w:pPr>
              <w:rPr>
                <w:sz w:val="20"/>
                <w:szCs w:val="20"/>
              </w:rPr>
            </w:pPr>
            <w:r w:rsidRPr="00CE568C">
              <w:rPr>
                <w:rStyle w:val="SCCFileNumberChar"/>
                <w:sz w:val="20"/>
                <w:szCs w:val="20"/>
              </w:rPr>
              <w:t>36101</w:t>
            </w:r>
          </w:p>
          <w:p w:rsidR="00DC6BF5" w:rsidRPr="00CE568C" w:rsidRDefault="00DC6BF5" w:rsidP="00DC6BF5">
            <w:pPr>
              <w:rPr>
                <w:b/>
                <w:sz w:val="20"/>
                <w:szCs w:val="20"/>
                <w:lang w:val="fr-CA"/>
              </w:rPr>
            </w:pPr>
          </w:p>
        </w:tc>
        <w:tc>
          <w:tcPr>
            <w:tcW w:w="8118" w:type="dxa"/>
          </w:tcPr>
          <w:p w:rsidR="00DC6BF5" w:rsidRPr="00CE568C" w:rsidRDefault="00DC6BF5" w:rsidP="00DC6BF5">
            <w:pPr>
              <w:rPr>
                <w:sz w:val="20"/>
                <w:szCs w:val="20"/>
              </w:rPr>
            </w:pPr>
            <w:r w:rsidRPr="00CE568C">
              <w:rPr>
                <w:rStyle w:val="SCCLsocChar"/>
                <w:sz w:val="20"/>
                <w:szCs w:val="20"/>
                <w:lang w:val="en-CA"/>
              </w:rPr>
              <w:t>Peter Leofric Hathaway v. Joanne Elizabeth Hathaway</w:t>
            </w:r>
            <w:r w:rsidRPr="00CE568C">
              <w:rPr>
                <w:sz w:val="20"/>
                <w:szCs w:val="20"/>
              </w:rPr>
              <w:t xml:space="preserve"> (B.C.) (Civil) (By Leave)</w:t>
            </w:r>
          </w:p>
          <w:p w:rsidR="00DC6BF5" w:rsidRPr="00CE568C" w:rsidRDefault="00DC6BF5" w:rsidP="00DC6BF5">
            <w:pPr>
              <w:rPr>
                <w:sz w:val="20"/>
                <w:szCs w:val="20"/>
              </w:rPr>
            </w:pPr>
          </w:p>
        </w:tc>
      </w:tr>
      <w:tr w:rsidR="00DC6BF5" w:rsidRPr="00CF1118" w:rsidTr="00DC6BF5">
        <w:trPr>
          <w:cantSplit/>
        </w:trPr>
        <w:tc>
          <w:tcPr>
            <w:tcW w:w="1458" w:type="dxa"/>
          </w:tcPr>
          <w:p w:rsidR="00DC6BF5" w:rsidRPr="00CE568C" w:rsidRDefault="00DC6BF5" w:rsidP="00DC6BF5">
            <w:pPr>
              <w:rPr>
                <w:sz w:val="20"/>
                <w:szCs w:val="20"/>
              </w:rPr>
            </w:pPr>
            <w:r w:rsidRPr="00CE568C">
              <w:rPr>
                <w:sz w:val="20"/>
                <w:szCs w:val="20"/>
              </w:rPr>
              <w:t>Coram :</w:t>
            </w:r>
          </w:p>
        </w:tc>
        <w:tc>
          <w:tcPr>
            <w:tcW w:w="8118" w:type="dxa"/>
          </w:tcPr>
          <w:p w:rsidR="00DC6BF5" w:rsidRPr="00CE568C" w:rsidRDefault="00DC6BF5" w:rsidP="00DC6BF5">
            <w:pPr>
              <w:rPr>
                <w:sz w:val="20"/>
                <w:szCs w:val="20"/>
                <w:lang w:val="fr-CA"/>
              </w:rPr>
            </w:pPr>
            <w:r w:rsidRPr="00CE568C">
              <w:rPr>
                <w:rStyle w:val="SCCCoramChar"/>
                <w:sz w:val="20"/>
                <w:szCs w:val="20"/>
              </w:rPr>
              <w:t>Abella, Karakatsanis and Côté JJ.</w:t>
            </w:r>
          </w:p>
          <w:p w:rsidR="00DC6BF5" w:rsidRPr="00CE568C" w:rsidRDefault="00DC6BF5" w:rsidP="00DC6BF5">
            <w:pPr>
              <w:rPr>
                <w:sz w:val="20"/>
                <w:szCs w:val="20"/>
                <w:u w:val="single"/>
                <w:lang w:val="fr-CA"/>
              </w:rPr>
            </w:pPr>
          </w:p>
        </w:tc>
      </w:tr>
      <w:tr w:rsidR="00DC6BF5" w:rsidRPr="00CF1118" w:rsidTr="00DC6BF5">
        <w:trPr>
          <w:cantSplit/>
        </w:trPr>
        <w:tc>
          <w:tcPr>
            <w:tcW w:w="9576" w:type="dxa"/>
            <w:gridSpan w:val="2"/>
          </w:tcPr>
          <w:p w:rsidR="00DC6BF5" w:rsidRPr="00CE568C" w:rsidRDefault="00DC6BF5" w:rsidP="00DC6BF5">
            <w:pPr>
              <w:pStyle w:val="SCCShortJudgment"/>
              <w:rPr>
                <w:szCs w:val="20"/>
              </w:rPr>
            </w:pPr>
            <w:r w:rsidRPr="00CE568C">
              <w:rPr>
                <w:szCs w:val="20"/>
              </w:rPr>
              <w:t>The application for leave to appeal from the judgment of the Court of Appeal for British Columbia (Vancouver), Number CA040938, 2014 BCCA 310, dated July 31, 2014, is dismissed with costs.</w:t>
            </w:r>
          </w:p>
          <w:p w:rsidR="00DC6BF5" w:rsidRPr="00CE568C" w:rsidRDefault="00DC6BF5" w:rsidP="00DC6BF5">
            <w:pPr>
              <w:pStyle w:val="SCCShortJudgment"/>
              <w:ind w:firstLine="0"/>
              <w:rPr>
                <w:szCs w:val="20"/>
              </w:rPr>
            </w:pPr>
          </w:p>
          <w:p w:rsidR="00DC6BF5" w:rsidRPr="00CE568C" w:rsidRDefault="00DC6BF5" w:rsidP="00DC6BF5">
            <w:pPr>
              <w:pStyle w:val="SCCShortJudgment"/>
              <w:rPr>
                <w:szCs w:val="20"/>
                <w:lang w:val="fr-CA"/>
              </w:rPr>
            </w:pPr>
            <w:r w:rsidRPr="00CE568C">
              <w:rPr>
                <w:szCs w:val="20"/>
                <w:lang w:val="fr-CA"/>
              </w:rPr>
              <w:t>La demande d’autorisation d’appel de l’arrêt de la Cour d’appel de la Colombie-Britannique (Vancouver), numéro CA040938, 2014 BCCA 310, daté du 31 juillet 2014, est rejetée avec dépens.</w:t>
            </w:r>
          </w:p>
        </w:tc>
      </w:tr>
    </w:tbl>
    <w:p w:rsidR="0002632D" w:rsidRPr="00DC6BF5" w:rsidRDefault="0002632D" w:rsidP="0002632D">
      <w:pPr>
        <w:rPr>
          <w:sz w:val="20"/>
          <w:szCs w:val="20"/>
          <w:lang w:val="fr-CA"/>
        </w:rPr>
      </w:pPr>
    </w:p>
    <w:p w:rsidR="0002632D" w:rsidRPr="001B157C" w:rsidRDefault="0002632D" w:rsidP="0002632D">
      <w:pPr>
        <w:rPr>
          <w:sz w:val="20"/>
          <w:szCs w:val="20"/>
          <w:u w:val="single"/>
        </w:rPr>
      </w:pPr>
      <w:r w:rsidRPr="001B157C">
        <w:rPr>
          <w:sz w:val="20"/>
          <w:szCs w:val="20"/>
          <w:u w:val="single"/>
        </w:rPr>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0F6" w:rsidRPr="00BC0346" w:rsidTr="00EE6982">
        <w:tc>
          <w:tcPr>
            <w:tcW w:w="5000" w:type="pct"/>
            <w:gridSpan w:val="3"/>
          </w:tcPr>
          <w:p w:rsidR="007A70F6" w:rsidRPr="00BC0346" w:rsidRDefault="007A70F6" w:rsidP="00EE6982">
            <w:pPr>
              <w:jc w:val="both"/>
              <w:rPr>
                <w:rFonts w:eastAsia="Calibri"/>
                <w:sz w:val="20"/>
              </w:rPr>
            </w:pPr>
            <w:r w:rsidRPr="00BC0346">
              <w:rPr>
                <w:rFonts w:eastAsia="Calibri"/>
                <w:sz w:val="20"/>
              </w:rPr>
              <w:t xml:space="preserve">Family law – Support – Spousal support – Family assets – Unequal division - Parties with significant assets and husband high-income earner - Whether duplicating legal principles which are foundation for awards of spousal support, and similar principles that may lead to an unequal division of assets to a supported spouse, is unfair to spouses who pay </w:t>
            </w:r>
            <w:r w:rsidRPr="00BC0346">
              <w:rPr>
                <w:rFonts w:eastAsia="Calibri"/>
                <w:i/>
                <w:sz w:val="20"/>
              </w:rPr>
              <w:t>Spousal Support Advisory Guidelines</w:t>
            </w:r>
            <w:r w:rsidRPr="00BC0346">
              <w:rPr>
                <w:rFonts w:eastAsia="Calibri"/>
                <w:sz w:val="20"/>
              </w:rPr>
              <w:t xml:space="preserve"> spousal support and are also deprived of an equal share of family property based on the same factors - Whether the inconsistent treatment of the status and effect of the </w:t>
            </w:r>
            <w:r w:rsidRPr="00BC0346">
              <w:rPr>
                <w:rFonts w:eastAsia="Calibri"/>
                <w:i/>
                <w:sz w:val="20"/>
              </w:rPr>
              <w:t>Spousal Support Advisory Guidelines</w:t>
            </w:r>
            <w:r w:rsidRPr="00BC0346">
              <w:rPr>
                <w:rFonts w:eastAsia="Calibri"/>
                <w:sz w:val="20"/>
              </w:rPr>
              <w:t xml:space="preserve"> between various Canadian provinces create a spousal support system that is inherently unfair.</w:t>
            </w:r>
          </w:p>
        </w:tc>
      </w:tr>
      <w:tr w:rsidR="007A70F6" w:rsidRPr="00BC0346" w:rsidTr="00EE6982">
        <w:tc>
          <w:tcPr>
            <w:tcW w:w="5000" w:type="pct"/>
            <w:gridSpan w:val="3"/>
          </w:tcPr>
          <w:p w:rsidR="007A70F6" w:rsidRPr="00BC0346" w:rsidRDefault="007A70F6" w:rsidP="00EE6982">
            <w:pPr>
              <w:jc w:val="both"/>
              <w:rPr>
                <w:rFonts w:eastAsia="Calibri"/>
                <w:sz w:val="20"/>
              </w:rPr>
            </w:pPr>
          </w:p>
        </w:tc>
      </w:tr>
      <w:tr w:rsidR="007A70F6" w:rsidRPr="00BC0346" w:rsidTr="00EE6982">
        <w:tc>
          <w:tcPr>
            <w:tcW w:w="5000" w:type="pct"/>
            <w:gridSpan w:val="3"/>
          </w:tcPr>
          <w:p w:rsidR="007A70F6" w:rsidRPr="00BC0346" w:rsidRDefault="007A70F6" w:rsidP="00EE6982">
            <w:pPr>
              <w:jc w:val="both"/>
              <w:rPr>
                <w:rFonts w:eastAsia="Calibri"/>
                <w:sz w:val="20"/>
              </w:rPr>
            </w:pPr>
            <w:r w:rsidRPr="00BC0346">
              <w:rPr>
                <w:rFonts w:eastAsia="Calibri"/>
                <w:sz w:val="20"/>
              </w:rPr>
              <w:t xml:space="preserve">The parties lived together for approximately 13 years when they married in 2003.  In 2004, they moved to Vancouver, where Mr. Hathaway obtained work in the high-risk high-return world of the junior mining industry.  Their son was born in February, 2005 and their daughter was born in January, 2007. Ms. Hathaway stayed at home to raise the children while Mr. Hathaway pursued a demanding and successful career.  The family enjoyed an affluent lifestyle.  In </w:t>
            </w:r>
            <w:r w:rsidRPr="00BC0346">
              <w:rPr>
                <w:rFonts w:eastAsia="Calibri"/>
                <w:sz w:val="20"/>
              </w:rPr>
              <w:lastRenderedPageBreak/>
              <w:t>2008, their son was diagnosed with autism and his condition required routine and consistency in the home, which was primarily Ms. Hathaway’s responsibility.  The parties separated in November 2010.  Mr. Hathaway bought a house close to the matrimonial home and for the next several months, he paid money into their joint account for family expenses.  The total value of their assets was approximately $8 million in addition to stock options that the parties agreed to share in equally.  Mr. Hathaway sought an equal division of family assets and debts while Ms. Hathaway sought a reapportionment of the family home in her favour.  Mr. Hathaway sought joint custody of the children with equal sharing of time.  Ms. Hathaway’s position was that she should continue in her role as primary caregiver.  At trial, Mr. Hathaway stated that his income for 2012 was $688,000 and took the position that appropriate spousal support should be $16,000 per month and that child support should be $9,000 a month.  Ms. Hathaway contended that his income, averaged over three years was $2.26 million per annum and that he should have to pay $54,121 in spousal support and child support of $29,000 per month, as well as retroactive child and spousal support.</w:t>
            </w:r>
          </w:p>
          <w:p w:rsidR="007A70F6" w:rsidRPr="00BC0346" w:rsidRDefault="007A70F6" w:rsidP="00EE6982">
            <w:pPr>
              <w:jc w:val="both"/>
              <w:rPr>
                <w:rFonts w:eastAsia="Calibri"/>
                <w:sz w:val="20"/>
              </w:rPr>
            </w:pP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lastRenderedPageBreak/>
              <w:t>May 1, 2013</w:t>
            </w:r>
          </w:p>
          <w:p w:rsidR="007A70F6" w:rsidRPr="00BC0346" w:rsidRDefault="007A70F6" w:rsidP="00EE6982">
            <w:pPr>
              <w:jc w:val="both"/>
              <w:rPr>
                <w:rFonts w:eastAsia="Calibri"/>
                <w:sz w:val="20"/>
              </w:rPr>
            </w:pPr>
            <w:r w:rsidRPr="00BC0346">
              <w:rPr>
                <w:rFonts w:eastAsia="Calibri"/>
                <w:sz w:val="20"/>
              </w:rPr>
              <w:t>Supreme Court of British Columbia</w:t>
            </w:r>
          </w:p>
          <w:p w:rsidR="007A70F6" w:rsidRPr="00BC0346" w:rsidRDefault="007A70F6" w:rsidP="00EE6982">
            <w:pPr>
              <w:jc w:val="both"/>
              <w:rPr>
                <w:rFonts w:eastAsia="Calibri"/>
                <w:sz w:val="20"/>
              </w:rPr>
            </w:pPr>
            <w:r w:rsidRPr="00BC0346">
              <w:rPr>
                <w:rFonts w:eastAsia="Calibri"/>
                <w:sz w:val="20"/>
              </w:rPr>
              <w:t>(Abrioux J.)</w:t>
            </w:r>
          </w:p>
          <w:p w:rsidR="007A70F6" w:rsidRPr="00BC0346" w:rsidRDefault="00742BC3" w:rsidP="00EE6982">
            <w:pPr>
              <w:jc w:val="both"/>
              <w:rPr>
                <w:rFonts w:eastAsia="Calibri"/>
                <w:sz w:val="20"/>
              </w:rPr>
            </w:pPr>
            <w:hyperlink r:id="rId37" w:history="1">
              <w:r w:rsidR="007A70F6" w:rsidRPr="00BC0346">
                <w:rPr>
                  <w:rFonts w:eastAsia="Calibri"/>
                  <w:color w:val="0000FF"/>
                  <w:sz w:val="20"/>
                  <w:u w:val="single"/>
                </w:rPr>
                <w:t>2013 BCSC 752</w:t>
              </w:r>
            </w:hyperlink>
            <w:r w:rsidR="007A70F6" w:rsidRPr="00BC0346">
              <w:rPr>
                <w:rFonts w:eastAsia="Calibri"/>
                <w:sz w:val="20"/>
              </w:rPr>
              <w:t xml:space="preserve"> </w:t>
            </w:r>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ind w:right="146"/>
              <w:jc w:val="both"/>
              <w:rPr>
                <w:rFonts w:eastAsia="Calibri"/>
                <w:sz w:val="20"/>
              </w:rPr>
            </w:pPr>
            <w:r w:rsidRPr="00BC0346">
              <w:rPr>
                <w:rFonts w:eastAsia="Calibri"/>
                <w:sz w:val="20"/>
              </w:rPr>
              <w:t>Joint custody and joint guardianship of children ordered with parenting schedule.  Child support of $12,814 and spousal support of $24,124 per month ordered.  Matrimonial home reapportioned 65 per cent to Ms. Hathaway.  Compensation payment of $645,000 ordered.</w:t>
            </w:r>
          </w:p>
          <w:p w:rsidR="007A70F6" w:rsidRPr="00BC0346" w:rsidRDefault="007A70F6" w:rsidP="00EE6982">
            <w:pPr>
              <w:jc w:val="both"/>
              <w:rPr>
                <w:rFonts w:eastAsia="Calibri"/>
                <w:sz w:val="20"/>
              </w:rPr>
            </w:pP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t>August 16, 2013</w:t>
            </w:r>
          </w:p>
          <w:p w:rsidR="007A70F6" w:rsidRPr="00BC0346" w:rsidRDefault="007A70F6" w:rsidP="00EE6982">
            <w:pPr>
              <w:jc w:val="both"/>
              <w:rPr>
                <w:rFonts w:eastAsia="Calibri"/>
                <w:sz w:val="20"/>
              </w:rPr>
            </w:pPr>
            <w:r w:rsidRPr="00BC0346">
              <w:rPr>
                <w:rFonts w:eastAsia="Calibri"/>
                <w:sz w:val="20"/>
              </w:rPr>
              <w:t>Supreme Court of British Columbia</w:t>
            </w:r>
          </w:p>
          <w:p w:rsidR="007A70F6" w:rsidRPr="00BC0346" w:rsidRDefault="007A70F6" w:rsidP="00EE6982">
            <w:pPr>
              <w:jc w:val="both"/>
              <w:rPr>
                <w:rFonts w:eastAsia="Calibri"/>
                <w:sz w:val="20"/>
              </w:rPr>
            </w:pPr>
            <w:r w:rsidRPr="00BC0346">
              <w:rPr>
                <w:rFonts w:eastAsia="Calibri"/>
                <w:sz w:val="20"/>
              </w:rPr>
              <w:t>(Abrioux J.)</w:t>
            </w:r>
          </w:p>
          <w:p w:rsidR="007A70F6" w:rsidRPr="00BC0346" w:rsidRDefault="00742BC3" w:rsidP="00EE6982">
            <w:pPr>
              <w:jc w:val="both"/>
              <w:rPr>
                <w:rFonts w:eastAsia="Calibri"/>
                <w:sz w:val="20"/>
              </w:rPr>
            </w:pPr>
            <w:hyperlink r:id="rId38" w:history="1">
              <w:r w:rsidR="007A70F6" w:rsidRPr="00BC0346">
                <w:rPr>
                  <w:rFonts w:eastAsia="Calibri"/>
                  <w:color w:val="0000FF"/>
                  <w:sz w:val="20"/>
                  <w:u w:val="single"/>
                </w:rPr>
                <w:t>2014 BCSC 125</w:t>
              </w:r>
            </w:hyperlink>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 xml:space="preserve">Corrections to trial judgment made.  Mr. Hathaway’s application to reopen trial to adduce fresh evidence dismissed. Mr. Hathaway’s motion for a stay on the payment of the compensation payment granted in part.  </w:t>
            </w:r>
          </w:p>
          <w:p w:rsidR="007A70F6" w:rsidRPr="00BC0346" w:rsidRDefault="007A70F6" w:rsidP="00EE6982">
            <w:pPr>
              <w:jc w:val="both"/>
              <w:rPr>
                <w:rFonts w:eastAsia="Calibri"/>
                <w:sz w:val="20"/>
              </w:rPr>
            </w:pP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t>July 31, 2014</w:t>
            </w:r>
          </w:p>
          <w:p w:rsidR="007A70F6" w:rsidRPr="00BC0346" w:rsidRDefault="007A70F6" w:rsidP="00EE6982">
            <w:pPr>
              <w:jc w:val="both"/>
              <w:rPr>
                <w:rFonts w:eastAsia="Calibri"/>
                <w:sz w:val="20"/>
              </w:rPr>
            </w:pPr>
            <w:r w:rsidRPr="00BC0346">
              <w:rPr>
                <w:rFonts w:eastAsia="Calibri"/>
                <w:sz w:val="20"/>
              </w:rPr>
              <w:t>Court of Appeal for British Columbia (Vancouver)</w:t>
            </w:r>
          </w:p>
          <w:p w:rsidR="007A70F6" w:rsidRPr="00BC0346" w:rsidRDefault="007A70F6" w:rsidP="00EE6982">
            <w:pPr>
              <w:jc w:val="both"/>
              <w:rPr>
                <w:rFonts w:eastAsia="Calibri"/>
                <w:sz w:val="20"/>
              </w:rPr>
            </w:pPr>
            <w:r w:rsidRPr="00BC0346">
              <w:rPr>
                <w:rFonts w:eastAsia="Calibri"/>
                <w:sz w:val="20"/>
              </w:rPr>
              <w:t>(Donald, Neilson and Harris JJ.A.)</w:t>
            </w:r>
          </w:p>
          <w:p w:rsidR="007A70F6" w:rsidRPr="00BC0346" w:rsidRDefault="00742BC3" w:rsidP="00EE6982">
            <w:pPr>
              <w:jc w:val="both"/>
              <w:rPr>
                <w:rFonts w:eastAsia="Calibri"/>
                <w:sz w:val="20"/>
              </w:rPr>
            </w:pPr>
            <w:hyperlink r:id="rId39" w:history="1">
              <w:r w:rsidR="007A70F6" w:rsidRPr="00BC0346">
                <w:rPr>
                  <w:rFonts w:eastAsia="Calibri"/>
                  <w:color w:val="0000FF"/>
                  <w:sz w:val="20"/>
                  <w:u w:val="single"/>
                </w:rPr>
                <w:t>2014 BCCA 310</w:t>
              </w:r>
            </w:hyperlink>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Mr. Hathaway’s appeal dismissed.</w:t>
            </w:r>
          </w:p>
        </w:tc>
      </w:tr>
      <w:tr w:rsidR="007A70F6" w:rsidRPr="00BC0346" w:rsidTr="00EE6982">
        <w:trPr>
          <w:trHeight w:val="20"/>
        </w:trPr>
        <w:tc>
          <w:tcPr>
            <w:tcW w:w="2427" w:type="pct"/>
          </w:tcPr>
          <w:p w:rsidR="007A70F6" w:rsidRPr="00BC0346" w:rsidRDefault="007A70F6" w:rsidP="00EE6982">
            <w:pPr>
              <w:jc w:val="both"/>
              <w:rPr>
                <w:rFonts w:eastAsia="Calibri"/>
                <w:sz w:val="20"/>
              </w:rPr>
            </w:pPr>
            <w:r w:rsidRPr="00BC0346">
              <w:rPr>
                <w:rFonts w:eastAsia="Calibri"/>
                <w:sz w:val="20"/>
              </w:rPr>
              <w:t>September 29, 2014</w:t>
            </w:r>
          </w:p>
          <w:p w:rsidR="007A70F6" w:rsidRPr="00BC0346" w:rsidRDefault="007A70F6" w:rsidP="00EE6982">
            <w:pPr>
              <w:jc w:val="both"/>
              <w:rPr>
                <w:rFonts w:eastAsia="Calibri"/>
                <w:sz w:val="20"/>
              </w:rPr>
            </w:pPr>
            <w:r w:rsidRPr="00BC0346">
              <w:rPr>
                <w:rFonts w:eastAsia="Calibri"/>
                <w:sz w:val="20"/>
              </w:rPr>
              <w:t>Supreme Court of Canada</w:t>
            </w: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Application for leave to appeal filed.</w:t>
            </w:r>
          </w:p>
          <w:p w:rsidR="007A70F6" w:rsidRPr="00BC0346" w:rsidRDefault="007A70F6" w:rsidP="00EE6982">
            <w:pPr>
              <w:jc w:val="both"/>
              <w:rPr>
                <w:rFonts w:eastAsia="Calibri"/>
                <w:sz w:val="20"/>
              </w:rPr>
            </w:pP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45"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0F6" w:rsidRPr="00CF1118" w:rsidTr="00EE6982">
        <w:tc>
          <w:tcPr>
            <w:tcW w:w="5000" w:type="pct"/>
            <w:gridSpan w:val="3"/>
          </w:tcPr>
          <w:p w:rsidR="007A70F6" w:rsidRPr="00BC0346" w:rsidRDefault="007A70F6" w:rsidP="00EE6982">
            <w:pPr>
              <w:jc w:val="both"/>
              <w:rPr>
                <w:rFonts w:eastAsia="Calibri"/>
                <w:sz w:val="20"/>
                <w:lang w:val="fr-CA"/>
              </w:rPr>
            </w:pPr>
            <w:r w:rsidRPr="00BC0346">
              <w:rPr>
                <w:rFonts w:eastAsia="Calibri"/>
                <w:sz w:val="20"/>
                <w:lang w:val="fr-CA"/>
              </w:rPr>
              <w:t xml:space="preserve">Droit de la famille – Aliments – Pension alimentaire pour conjoint – Biens familiaux – Partage inégal – Les parties ont des biens importants et le mari gagne un revenu élevé – Est-il inéquitable pour les conjoints qui paient une pension alimentaire pour conjoint en application des </w:t>
            </w:r>
            <w:r w:rsidRPr="00BC0346">
              <w:rPr>
                <w:rFonts w:eastAsia="Calibri"/>
                <w:i/>
                <w:sz w:val="20"/>
                <w:lang w:val="fr-CA"/>
              </w:rPr>
              <w:t xml:space="preserve">Spousal Support Advisory Guidelines </w:t>
            </w:r>
            <w:r w:rsidRPr="00BC0346">
              <w:rPr>
                <w:rFonts w:eastAsia="Calibri"/>
                <w:sz w:val="20"/>
                <w:lang w:val="fr-CA"/>
              </w:rPr>
              <w:t>et qui sont privés d’une part égale des biens familiaux en se basant sur les mêmes facteurs, de reproduire des principes juridiques qui servent de fondement pour accorder la pension alimentaire pour conjoint et des principes similaires qui peuvent entraîner un partage inégal des biens en faveur du conjoint qui reçoit la pension alimentaire? – Est-ce que l’</w:t>
            </w:r>
            <w:r w:rsidRPr="00BC0346">
              <w:rPr>
                <w:rFonts w:eastAsia="Calibri"/>
                <w:sz w:val="20"/>
                <w:lang w:val="fr-FR"/>
              </w:rPr>
              <w:t xml:space="preserve">inconstance dans le traitement de l’état et de l’effet des </w:t>
            </w:r>
            <w:r w:rsidRPr="00BC0346">
              <w:rPr>
                <w:rFonts w:eastAsia="Calibri"/>
                <w:i/>
                <w:sz w:val="20"/>
                <w:lang w:val="fr-CA"/>
              </w:rPr>
              <w:t>Spousal Support Advisory Guidelines</w:t>
            </w:r>
            <w:r w:rsidRPr="00BC0346">
              <w:rPr>
                <w:rFonts w:eastAsia="Calibri"/>
                <w:sz w:val="20"/>
                <w:lang w:val="fr-CA"/>
              </w:rPr>
              <w:t xml:space="preserve"> dans les provinces canadiennes crée un système de pension alimentaire pour conjoint qui est fondamentalement inéquitable?</w:t>
            </w:r>
          </w:p>
        </w:tc>
      </w:tr>
      <w:tr w:rsidR="007A70F6" w:rsidRPr="00CF1118" w:rsidTr="00EE6982">
        <w:tc>
          <w:tcPr>
            <w:tcW w:w="5000" w:type="pct"/>
            <w:gridSpan w:val="3"/>
          </w:tcPr>
          <w:p w:rsidR="007A70F6" w:rsidRPr="00BC0346" w:rsidRDefault="007A70F6" w:rsidP="00EE6982">
            <w:pPr>
              <w:jc w:val="both"/>
              <w:rPr>
                <w:rFonts w:eastAsia="Calibri"/>
                <w:sz w:val="20"/>
                <w:lang w:val="fr-CA"/>
              </w:rPr>
            </w:pPr>
          </w:p>
        </w:tc>
      </w:tr>
      <w:tr w:rsidR="007A70F6" w:rsidRPr="00CF1118" w:rsidTr="00EE6982">
        <w:tc>
          <w:tcPr>
            <w:tcW w:w="5000" w:type="pct"/>
            <w:gridSpan w:val="3"/>
          </w:tcPr>
          <w:p w:rsidR="007A70F6" w:rsidRPr="00BC0346" w:rsidRDefault="007A70F6" w:rsidP="00EE6982">
            <w:pPr>
              <w:jc w:val="both"/>
              <w:rPr>
                <w:rFonts w:eastAsia="Calibri"/>
                <w:sz w:val="20"/>
                <w:lang w:val="fr-CA"/>
              </w:rPr>
            </w:pPr>
            <w:r w:rsidRPr="00BC0346">
              <w:rPr>
                <w:rFonts w:eastAsia="Calibri"/>
                <w:sz w:val="20"/>
                <w:lang w:val="fr-CA"/>
              </w:rPr>
              <w:t xml:space="preserve">Les parties ont habité ensemble pendant environ 13 ans avant de se marier en 2003.  En 2004, ils sont déménagés à Vancouver, où Monsieur Hathaway a trouvé un emploi dans une petite société minière, un domaine à risque élevé et à forte rentabilité.  Leur fils est né en février 2005 et leur fille est née en janvier 2007.  Madame Hathaway restait à la maison pour élever les enfants pendant que Monsieur Hathaway menait une carrière exigeante et fructueuse.  La famille avait un style de vie très fortuné.  En 2008, leur fils a reçu un diagnostic d’autisme.  Son état nécessitait de la routine et de la constance à la maison : cette responsabilité revenait principalement à Madame Hathaway.  Les parties </w:t>
            </w:r>
            <w:r w:rsidRPr="00BC0346">
              <w:rPr>
                <w:rFonts w:eastAsia="Calibri"/>
                <w:sz w:val="20"/>
                <w:lang w:val="fr-CA"/>
              </w:rPr>
              <w:lastRenderedPageBreak/>
              <w:t xml:space="preserve">se sont séparées en novembre 2010.  Monsieur Hathaway a acheté une maison près du domicile conjugal.  Durant les mois qui ont suivis, il a déposé de l’argent dans le compte conjoint pour les dépenses familiales.  La valeur globale de leurs actifs s’élève à environ 8 million $, sans compter les options d’achat d’actions que les parties ont convenu de partager également.  Monsieur Hathaway a demandé un partage égal des biens familiaux et des dettes, tandis que Madame Hathaway a demandé la redistribution de la maison familiale en sa faveur.  Monsieur Hathaway a demandé la garde partagée de leurs enfants en plus de demander que les enfants passent autant de temps avec chaque parent. Madame Hathaway a pris la position selon laquelle elle devrait continuer à être la principale responsable des soins des enfants.  Au procès, Monsieur Hathaway a déclaré que son revenu de 2012 s’élevait à 688 000 $, et il a soutenu que la pension alimentaire pour conjoint devrait être de 16 000 $ par mois et que la pension alimentaire pour enfants devrait être de 9 000 $ par mois.  Madame Hathaway a soutenu que le revenu de monsieur, en faisant une moyenne des trois dernières années, était de 2,26 million $ par année et qu’il devrait payer une pension alimentaire pour conjoint de 54 121 $ par mois et une pension alimentaire pour enfants de 29 000 $ par mois, en plus de payer les pensions alimentaires pour conjoint et enfants rétroactives. </w:t>
            </w:r>
          </w:p>
          <w:p w:rsidR="007A70F6" w:rsidRPr="00BC0346" w:rsidRDefault="007A70F6" w:rsidP="00EE6982">
            <w:pPr>
              <w:jc w:val="both"/>
              <w:rPr>
                <w:rFonts w:eastAsia="Calibri"/>
                <w:sz w:val="20"/>
                <w:lang w:val="fr-CA"/>
              </w:rPr>
            </w:pPr>
          </w:p>
        </w:tc>
      </w:tr>
      <w:tr w:rsidR="007A70F6" w:rsidRPr="00CF1118"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lastRenderedPageBreak/>
              <w:t>1</w:t>
            </w:r>
            <w:r w:rsidRPr="00DC6BF5">
              <w:rPr>
                <w:rFonts w:eastAsia="Calibri"/>
                <w:sz w:val="20"/>
                <w:vertAlign w:val="superscript"/>
                <w:lang w:val="fr-CA"/>
              </w:rPr>
              <w:t>er</w:t>
            </w:r>
            <w:r w:rsidRPr="00BC0346">
              <w:rPr>
                <w:rFonts w:eastAsia="Calibri"/>
                <w:sz w:val="20"/>
                <w:lang w:val="fr-CA"/>
              </w:rPr>
              <w:t xml:space="preserve"> mai 2013</w:t>
            </w:r>
          </w:p>
          <w:p w:rsidR="007A70F6" w:rsidRPr="00BC0346" w:rsidRDefault="007A70F6" w:rsidP="00EE6982">
            <w:pPr>
              <w:jc w:val="both"/>
              <w:rPr>
                <w:rFonts w:eastAsia="Calibri"/>
                <w:sz w:val="20"/>
                <w:lang w:val="fr-CA"/>
              </w:rPr>
            </w:pPr>
            <w:r w:rsidRPr="00BC0346">
              <w:rPr>
                <w:rFonts w:eastAsia="Calibri"/>
                <w:sz w:val="20"/>
                <w:lang w:val="fr-CA"/>
              </w:rPr>
              <w:t xml:space="preserve">Cour suprême de la Colombie-Britannique </w:t>
            </w:r>
          </w:p>
          <w:p w:rsidR="007A70F6" w:rsidRPr="00BC0346" w:rsidRDefault="007A70F6" w:rsidP="00EE6982">
            <w:pPr>
              <w:jc w:val="both"/>
              <w:rPr>
                <w:rFonts w:eastAsia="Calibri"/>
                <w:sz w:val="20"/>
              </w:rPr>
            </w:pPr>
            <w:r w:rsidRPr="00BC0346">
              <w:rPr>
                <w:rFonts w:eastAsia="Calibri"/>
                <w:sz w:val="20"/>
              </w:rPr>
              <w:t>(Juge Abrioux)</w:t>
            </w:r>
          </w:p>
          <w:p w:rsidR="007A70F6" w:rsidRPr="00BC0346" w:rsidRDefault="00742BC3" w:rsidP="00EE6982">
            <w:pPr>
              <w:jc w:val="both"/>
              <w:rPr>
                <w:rFonts w:eastAsia="Calibri"/>
                <w:sz w:val="20"/>
              </w:rPr>
            </w:pPr>
            <w:hyperlink r:id="rId40" w:history="1">
              <w:r w:rsidR="007A70F6" w:rsidRPr="00BC0346">
                <w:rPr>
                  <w:rFonts w:eastAsia="Calibri"/>
                  <w:color w:val="0000FF"/>
                  <w:sz w:val="20"/>
                  <w:u w:val="single"/>
                </w:rPr>
                <w:t>2013 BCSC 752</w:t>
              </w:r>
            </w:hyperlink>
            <w:r w:rsidR="007A70F6" w:rsidRPr="00BC0346">
              <w:rPr>
                <w:rFonts w:eastAsia="Calibri"/>
                <w:sz w:val="20"/>
              </w:rPr>
              <w:t xml:space="preserve"> </w:t>
            </w:r>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Ordonnances de garde partagée et de tutelle conjointe des enfants sont accordées avec un horaire d’exercice du rôle parental.  Pension alimentaire pour enfants de 12 814 $ par mois et pension alimentaire pour conjoint de 24 124 $ par mois sont ordonnées.  Redistribution du domicile conjugal : 65 pourcent à Madame Hathaway.  Le paiement d’une indemnité compensatoire de 645 000 $ est ordonné.</w:t>
            </w:r>
          </w:p>
          <w:p w:rsidR="007A70F6" w:rsidRPr="00BC0346" w:rsidRDefault="007A70F6" w:rsidP="00EE6982">
            <w:pPr>
              <w:jc w:val="both"/>
              <w:rPr>
                <w:rFonts w:eastAsia="Calibri"/>
                <w:sz w:val="20"/>
                <w:lang w:val="fr-CA"/>
              </w:rPr>
            </w:pPr>
          </w:p>
        </w:tc>
      </w:tr>
      <w:tr w:rsidR="007A70F6" w:rsidRPr="00CF1118"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t>16 août 2013</w:t>
            </w:r>
          </w:p>
          <w:p w:rsidR="007A70F6" w:rsidRPr="00BC0346" w:rsidRDefault="007A70F6" w:rsidP="00EE6982">
            <w:pPr>
              <w:jc w:val="both"/>
              <w:rPr>
                <w:rFonts w:eastAsia="Calibri"/>
                <w:sz w:val="20"/>
                <w:lang w:val="fr-CA"/>
              </w:rPr>
            </w:pPr>
            <w:r w:rsidRPr="00BC0346">
              <w:rPr>
                <w:rFonts w:eastAsia="Calibri"/>
                <w:sz w:val="20"/>
                <w:lang w:val="fr-CA"/>
              </w:rPr>
              <w:t>Cour suprême de la Colombie-Britannique (Juge Abrioux)</w:t>
            </w:r>
          </w:p>
          <w:p w:rsidR="007A70F6" w:rsidRPr="00BC0346" w:rsidRDefault="00742BC3" w:rsidP="00EE6982">
            <w:pPr>
              <w:jc w:val="both"/>
              <w:rPr>
                <w:rFonts w:eastAsia="Calibri"/>
                <w:sz w:val="20"/>
                <w:lang w:val="fr-CA"/>
              </w:rPr>
            </w:pPr>
            <w:hyperlink r:id="rId41" w:history="1">
              <w:r w:rsidR="007A70F6" w:rsidRPr="00BC0346">
                <w:rPr>
                  <w:rFonts w:eastAsia="Calibri"/>
                  <w:color w:val="0000FF"/>
                  <w:sz w:val="20"/>
                  <w:u w:val="single"/>
                  <w:lang w:val="fr-CA"/>
                </w:rPr>
                <w:t>2014 BCSC 125</w:t>
              </w:r>
            </w:hyperlink>
          </w:p>
          <w:p w:rsidR="007A70F6" w:rsidRPr="00BC0346" w:rsidRDefault="007A70F6" w:rsidP="00EE6982">
            <w:pPr>
              <w:jc w:val="both"/>
              <w:rPr>
                <w:rFonts w:eastAsia="Calibri"/>
                <w:sz w:val="20"/>
                <w:lang w:val="fr-CA"/>
              </w:rPr>
            </w:pPr>
          </w:p>
        </w:tc>
        <w:tc>
          <w:tcPr>
            <w:tcW w:w="243" w:type="pct"/>
          </w:tcPr>
          <w:p w:rsidR="007A70F6" w:rsidRPr="00BC0346" w:rsidRDefault="007A70F6" w:rsidP="00EE6982">
            <w:pPr>
              <w:jc w:val="both"/>
              <w:rPr>
                <w:rFonts w:eastAsia="Calibri"/>
                <w:sz w:val="20"/>
                <w:lang w:val="fr-CA"/>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Des modifications sont apportées au jugement de première instance.  La demande de Monsieur Hathaway de rouvrir le procès pour admettre un nouvel élément de preuve est refusée.  La requête de Monsieur Hathaway en sursis d’exécution du paiement de l’indemnité compensatoire est accueillie en partie.</w:t>
            </w:r>
          </w:p>
          <w:p w:rsidR="007A70F6" w:rsidRPr="00BC0346" w:rsidRDefault="007A70F6" w:rsidP="00EE6982">
            <w:pPr>
              <w:jc w:val="both"/>
              <w:rPr>
                <w:rFonts w:eastAsia="Calibri"/>
                <w:sz w:val="20"/>
                <w:lang w:val="fr-CA"/>
              </w:rPr>
            </w:pPr>
          </w:p>
        </w:tc>
      </w:tr>
      <w:tr w:rsidR="007A70F6" w:rsidRPr="00CF1118"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t>31 juillet 2014</w:t>
            </w:r>
          </w:p>
          <w:p w:rsidR="007A70F6" w:rsidRPr="00BC0346" w:rsidRDefault="007A70F6" w:rsidP="00EE6982">
            <w:pPr>
              <w:jc w:val="both"/>
              <w:rPr>
                <w:rFonts w:eastAsia="Calibri"/>
                <w:sz w:val="20"/>
                <w:lang w:val="fr-CA"/>
              </w:rPr>
            </w:pPr>
            <w:r w:rsidRPr="00BC0346">
              <w:rPr>
                <w:rFonts w:eastAsia="Calibri"/>
                <w:sz w:val="20"/>
                <w:lang w:val="fr-CA"/>
              </w:rPr>
              <w:t>Cour d’appel de la Colombie-Britannique (Vancouver)</w:t>
            </w:r>
          </w:p>
          <w:p w:rsidR="007A70F6" w:rsidRPr="00BC0346" w:rsidRDefault="007A70F6" w:rsidP="00EE6982">
            <w:pPr>
              <w:jc w:val="both"/>
              <w:rPr>
                <w:rFonts w:eastAsia="Calibri"/>
                <w:sz w:val="20"/>
                <w:lang w:val="fr-CA"/>
              </w:rPr>
            </w:pPr>
            <w:r w:rsidRPr="00BC0346">
              <w:rPr>
                <w:rFonts w:eastAsia="Calibri"/>
                <w:sz w:val="20"/>
                <w:lang w:val="fr-CA"/>
              </w:rPr>
              <w:t>(Juges Donald, Neilson et Harris)</w:t>
            </w:r>
          </w:p>
          <w:p w:rsidR="007A70F6" w:rsidRPr="00BC0346" w:rsidRDefault="00742BC3" w:rsidP="00EE6982">
            <w:pPr>
              <w:jc w:val="both"/>
              <w:rPr>
                <w:rFonts w:eastAsia="Calibri"/>
                <w:sz w:val="20"/>
              </w:rPr>
            </w:pPr>
            <w:hyperlink r:id="rId42" w:history="1">
              <w:r w:rsidR="007A70F6" w:rsidRPr="00BC0346">
                <w:rPr>
                  <w:rFonts w:eastAsia="Calibri"/>
                  <w:color w:val="0000FF"/>
                  <w:sz w:val="20"/>
                  <w:u w:val="single"/>
                </w:rPr>
                <w:t>2014 BCCA 310</w:t>
              </w:r>
            </w:hyperlink>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 xml:space="preserve">Appel de M. Hathaway rejeté. </w:t>
            </w:r>
          </w:p>
        </w:tc>
      </w:tr>
      <w:tr w:rsidR="007A70F6" w:rsidRPr="00BC0346"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t>29 septembre 2014</w:t>
            </w:r>
          </w:p>
          <w:p w:rsidR="007A70F6" w:rsidRPr="00BC0346" w:rsidRDefault="007A70F6" w:rsidP="00EE6982">
            <w:pPr>
              <w:jc w:val="both"/>
              <w:rPr>
                <w:rFonts w:eastAsia="Calibri"/>
                <w:sz w:val="20"/>
                <w:lang w:val="fr-CA"/>
              </w:rPr>
            </w:pPr>
            <w:r w:rsidRPr="00BC0346">
              <w:rPr>
                <w:rFonts w:eastAsia="Calibri"/>
                <w:sz w:val="20"/>
                <w:lang w:val="fr-CA"/>
              </w:rPr>
              <w:t>Cour suprême du Canada</w:t>
            </w:r>
          </w:p>
        </w:tc>
        <w:tc>
          <w:tcPr>
            <w:tcW w:w="243" w:type="pct"/>
          </w:tcPr>
          <w:p w:rsidR="007A70F6" w:rsidRPr="00BC0346" w:rsidRDefault="007A70F6" w:rsidP="00EE6982">
            <w:pPr>
              <w:jc w:val="both"/>
              <w:rPr>
                <w:rFonts w:eastAsia="Calibri"/>
                <w:sz w:val="20"/>
                <w:lang w:val="fr-CA"/>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 xml:space="preserve">Demande d’autorisation d’appel déposée. </w:t>
            </w:r>
          </w:p>
        </w:tc>
      </w:tr>
    </w:tbl>
    <w:p w:rsidR="0002632D" w:rsidRDefault="0002632D" w:rsidP="0002632D">
      <w:pPr>
        <w:rPr>
          <w:sz w:val="20"/>
          <w:szCs w:val="20"/>
        </w:rPr>
      </w:pPr>
    </w:p>
    <w:p w:rsidR="0002632D" w:rsidRDefault="00742BC3" w:rsidP="0002632D">
      <w:pPr>
        <w:rPr>
          <w:sz w:val="20"/>
          <w:szCs w:val="20"/>
          <w:lang w:val="fr-CA"/>
        </w:rPr>
      </w:pPr>
      <w:r>
        <w:rPr>
          <w:sz w:val="20"/>
          <w:szCs w:val="20"/>
          <w:lang w:val="fr-CA"/>
        </w:rPr>
        <w:pict>
          <v:rect id="_x0000_i1046" style="width:2in;height:1pt" o:hrpct="0" o:hralign="center" o:hrstd="t" o:hrnoshade="t" o:hr="t" fillcolor="black [3213]" stroked="f"/>
        </w:pict>
      </w:r>
    </w:p>
    <w:p w:rsidR="0002632D" w:rsidRDefault="0002632D" w:rsidP="0002632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C6BF5" w:rsidRPr="00CE568C" w:rsidTr="00DC6BF5">
        <w:trPr>
          <w:cantSplit/>
        </w:trPr>
        <w:tc>
          <w:tcPr>
            <w:tcW w:w="1458" w:type="dxa"/>
          </w:tcPr>
          <w:p w:rsidR="00DC6BF5" w:rsidRPr="00CE568C" w:rsidRDefault="00DC6BF5" w:rsidP="00DC6BF5">
            <w:pPr>
              <w:rPr>
                <w:sz w:val="20"/>
                <w:szCs w:val="20"/>
              </w:rPr>
            </w:pPr>
            <w:r w:rsidRPr="00CE568C">
              <w:rPr>
                <w:rStyle w:val="SCCFileNumberChar"/>
                <w:sz w:val="20"/>
                <w:szCs w:val="20"/>
              </w:rPr>
              <w:t>36134</w:t>
            </w:r>
          </w:p>
          <w:p w:rsidR="00DC6BF5" w:rsidRPr="00CE568C" w:rsidRDefault="00DC6BF5" w:rsidP="00DC6BF5">
            <w:pPr>
              <w:rPr>
                <w:b/>
                <w:sz w:val="20"/>
                <w:szCs w:val="20"/>
                <w:lang w:val="fr-CA"/>
              </w:rPr>
            </w:pPr>
          </w:p>
        </w:tc>
        <w:tc>
          <w:tcPr>
            <w:tcW w:w="8118" w:type="dxa"/>
          </w:tcPr>
          <w:p w:rsidR="00DC6BF5" w:rsidRPr="00CE568C" w:rsidRDefault="00DC6BF5" w:rsidP="00DC6BF5">
            <w:pPr>
              <w:rPr>
                <w:sz w:val="20"/>
                <w:szCs w:val="20"/>
              </w:rPr>
            </w:pPr>
            <w:r w:rsidRPr="00CE568C">
              <w:rPr>
                <w:rStyle w:val="SCCLsocChar"/>
                <w:sz w:val="20"/>
                <w:szCs w:val="20"/>
                <w:lang w:val="en-CA"/>
              </w:rPr>
              <w:t>Mark Harris</w:t>
            </w:r>
            <w:r w:rsidR="00D9078C">
              <w:rPr>
                <w:rStyle w:val="SCCLsocChar"/>
                <w:sz w:val="20"/>
                <w:szCs w:val="20"/>
                <w:lang w:val="en-CA"/>
              </w:rPr>
              <w:t xml:space="preserve"> and</w:t>
            </w:r>
            <w:r w:rsidRPr="00CE568C">
              <w:rPr>
                <w:rStyle w:val="SCCLsocChar"/>
                <w:sz w:val="20"/>
                <w:szCs w:val="20"/>
                <w:lang w:val="en-CA"/>
              </w:rPr>
              <w:t xml:space="preserve"> Fiona Harris v. Lorne Levine</w:t>
            </w:r>
            <w:r w:rsidRPr="00CE568C">
              <w:rPr>
                <w:sz w:val="20"/>
                <w:szCs w:val="20"/>
              </w:rPr>
              <w:t xml:space="preserve"> (Ont.) (Civil) (By Leave)</w:t>
            </w:r>
          </w:p>
          <w:p w:rsidR="00DC6BF5" w:rsidRPr="00CE568C" w:rsidRDefault="00DC6BF5" w:rsidP="00DC6BF5">
            <w:pPr>
              <w:rPr>
                <w:sz w:val="20"/>
                <w:szCs w:val="20"/>
              </w:rPr>
            </w:pPr>
          </w:p>
        </w:tc>
      </w:tr>
      <w:tr w:rsidR="00DC6BF5" w:rsidRPr="00CE568C" w:rsidTr="00DC6BF5">
        <w:trPr>
          <w:cantSplit/>
        </w:trPr>
        <w:tc>
          <w:tcPr>
            <w:tcW w:w="1458" w:type="dxa"/>
          </w:tcPr>
          <w:p w:rsidR="00DC6BF5" w:rsidRPr="00CE568C" w:rsidRDefault="00DC6BF5" w:rsidP="00DC6BF5">
            <w:pPr>
              <w:rPr>
                <w:sz w:val="20"/>
                <w:szCs w:val="20"/>
              </w:rPr>
            </w:pPr>
            <w:r w:rsidRPr="00CE568C">
              <w:rPr>
                <w:sz w:val="20"/>
                <w:szCs w:val="20"/>
              </w:rPr>
              <w:t>Coram :</w:t>
            </w:r>
          </w:p>
        </w:tc>
        <w:tc>
          <w:tcPr>
            <w:tcW w:w="8118" w:type="dxa"/>
          </w:tcPr>
          <w:p w:rsidR="00DC6BF5" w:rsidRPr="00CE568C" w:rsidRDefault="00DC6BF5" w:rsidP="00DC6BF5">
            <w:pPr>
              <w:rPr>
                <w:sz w:val="20"/>
                <w:szCs w:val="20"/>
              </w:rPr>
            </w:pPr>
            <w:r w:rsidRPr="00CE568C">
              <w:rPr>
                <w:rStyle w:val="SCCCoramChar"/>
                <w:sz w:val="20"/>
                <w:szCs w:val="20"/>
                <w:lang w:val="en-CA"/>
              </w:rPr>
              <w:t>Rothstein, Cromwell and Moldaver JJ.</w:t>
            </w:r>
          </w:p>
          <w:p w:rsidR="00DC6BF5" w:rsidRPr="00CE568C" w:rsidRDefault="00DC6BF5" w:rsidP="00DC6BF5">
            <w:pPr>
              <w:rPr>
                <w:sz w:val="20"/>
                <w:szCs w:val="20"/>
                <w:u w:val="single"/>
              </w:rPr>
            </w:pPr>
          </w:p>
        </w:tc>
      </w:tr>
      <w:tr w:rsidR="00DC6BF5" w:rsidRPr="00CF1118" w:rsidTr="00DC6BF5">
        <w:trPr>
          <w:cantSplit/>
        </w:trPr>
        <w:tc>
          <w:tcPr>
            <w:tcW w:w="9576" w:type="dxa"/>
            <w:gridSpan w:val="2"/>
          </w:tcPr>
          <w:p w:rsidR="00DC6BF5" w:rsidRPr="00CE568C" w:rsidRDefault="00DC6BF5" w:rsidP="00DC6BF5">
            <w:pPr>
              <w:pStyle w:val="SCCShortJudgment"/>
              <w:rPr>
                <w:szCs w:val="20"/>
              </w:rPr>
            </w:pPr>
            <w:r w:rsidRPr="00CE568C">
              <w:rPr>
                <w:szCs w:val="20"/>
              </w:rPr>
              <w:t>The application for leave to appeal from the judgment of the Court of Appeal for Ontario, Number C58562, 2014 ONCA 608, dated August 21, 2014, is dismissed with costs.</w:t>
            </w:r>
          </w:p>
          <w:p w:rsidR="00DC6BF5" w:rsidRPr="00CE568C" w:rsidRDefault="00DC6BF5" w:rsidP="00DC6BF5">
            <w:pPr>
              <w:pStyle w:val="SCCShortJudgment"/>
              <w:ind w:firstLine="0"/>
              <w:rPr>
                <w:szCs w:val="20"/>
              </w:rPr>
            </w:pPr>
          </w:p>
          <w:p w:rsidR="00DC6BF5" w:rsidRPr="00CE568C" w:rsidRDefault="00DC6BF5" w:rsidP="00DC6BF5">
            <w:pPr>
              <w:pStyle w:val="SCCShortJudgment"/>
              <w:rPr>
                <w:szCs w:val="20"/>
                <w:lang w:val="fr-CA"/>
              </w:rPr>
            </w:pPr>
            <w:r w:rsidRPr="00CE568C">
              <w:rPr>
                <w:szCs w:val="20"/>
                <w:lang w:val="fr-CA"/>
              </w:rPr>
              <w:t>La demande d’autorisation d’appel de l’arrêt de la Cour d’appel de l’Ontario, numéro C58562, 2014 ONCA 608, daté du 21 août 2014, est rejetée avec dépens.</w:t>
            </w:r>
          </w:p>
        </w:tc>
      </w:tr>
    </w:tbl>
    <w:p w:rsidR="00D9078C" w:rsidRDefault="00D9078C" w:rsidP="0002632D">
      <w:pPr>
        <w:rPr>
          <w:sz w:val="20"/>
          <w:szCs w:val="20"/>
          <w:lang w:val="fr-CA"/>
        </w:rPr>
      </w:pPr>
    </w:p>
    <w:p w:rsidR="00D9078C" w:rsidRDefault="00D9078C">
      <w:pPr>
        <w:rPr>
          <w:sz w:val="20"/>
          <w:szCs w:val="20"/>
          <w:lang w:val="fr-CA"/>
        </w:rPr>
      </w:pPr>
      <w:r>
        <w:rPr>
          <w:sz w:val="20"/>
          <w:szCs w:val="20"/>
          <w:lang w:val="fr-CA"/>
        </w:rPr>
        <w:br w:type="page"/>
      </w:r>
    </w:p>
    <w:p w:rsidR="0002632D" w:rsidRPr="001B157C" w:rsidRDefault="0002632D" w:rsidP="0002632D">
      <w:pPr>
        <w:rPr>
          <w:sz w:val="20"/>
          <w:szCs w:val="20"/>
          <w:u w:val="single"/>
        </w:rPr>
      </w:pPr>
      <w:r w:rsidRPr="001B157C">
        <w:rPr>
          <w:sz w:val="20"/>
          <w:szCs w:val="20"/>
          <w:u w:val="single"/>
        </w:rPr>
        <w:lastRenderedPageBreak/>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0F6" w:rsidRPr="00BC0346" w:rsidTr="00EE6982">
        <w:tc>
          <w:tcPr>
            <w:tcW w:w="5000" w:type="pct"/>
            <w:gridSpan w:val="3"/>
          </w:tcPr>
          <w:p w:rsidR="007A70F6" w:rsidRPr="00BC0346" w:rsidRDefault="007A70F6" w:rsidP="00EE6982">
            <w:pPr>
              <w:jc w:val="both"/>
              <w:rPr>
                <w:rFonts w:eastAsia="Calibri"/>
                <w:sz w:val="20"/>
              </w:rPr>
            </w:pPr>
            <w:r w:rsidRPr="00BC0346">
              <w:rPr>
                <w:rFonts w:eastAsia="Calibri"/>
                <w:sz w:val="20"/>
              </w:rPr>
              <w:t>Civil procedure – Abuse of process – Negligence – Whether the Court of Appeal erred in law by determining that a criminal defence lawyer is immune from civil liability for negligence in performing his duties for his client while representing him in criminal proceedings in which the client has been found guilty – Whether the Court of Appeal erred in law by finding that a civil suit against a criminal lawyer for negligence in representing the client in criminal proceedings constitutes a re-litigation of the criminal prosecution and is, therefore, an abuse of process – Whether the Court of Appeal erred in law by finding that there is an obligation to pursue an application for ineffective representation as a precedent for negligence action against the lawyer – Whether the Court of Appeal erred in law by finding that, in order to successfully pursue a civil claim against a criminal defence lawyer for negligent representation, it is necessary to determine that the accused was innocent of the charges instead of determining that all that was necessary was a finding on the balance of probabilities that it was the negligence of the defence lawyer that resulted in the conviction.</w:t>
            </w:r>
          </w:p>
        </w:tc>
      </w:tr>
      <w:tr w:rsidR="007A70F6" w:rsidRPr="00BC0346" w:rsidTr="00EE6982">
        <w:tc>
          <w:tcPr>
            <w:tcW w:w="5000" w:type="pct"/>
            <w:gridSpan w:val="3"/>
          </w:tcPr>
          <w:p w:rsidR="007A70F6" w:rsidRPr="00BC0346" w:rsidRDefault="007A70F6" w:rsidP="00EE6982">
            <w:pPr>
              <w:jc w:val="both"/>
              <w:rPr>
                <w:rFonts w:eastAsia="Calibri"/>
                <w:sz w:val="20"/>
              </w:rPr>
            </w:pPr>
          </w:p>
        </w:tc>
      </w:tr>
      <w:tr w:rsidR="007A70F6" w:rsidRPr="00BC0346" w:rsidTr="00EE6982">
        <w:tc>
          <w:tcPr>
            <w:tcW w:w="5000" w:type="pct"/>
            <w:gridSpan w:val="3"/>
          </w:tcPr>
          <w:p w:rsidR="007A70F6" w:rsidRPr="00BC0346" w:rsidRDefault="007A70F6" w:rsidP="00EE6982">
            <w:pPr>
              <w:jc w:val="both"/>
              <w:rPr>
                <w:rFonts w:eastAsia="Calibri"/>
                <w:sz w:val="20"/>
              </w:rPr>
            </w:pPr>
            <w:r w:rsidRPr="00BC0346">
              <w:rPr>
                <w:rFonts w:eastAsia="Calibri"/>
                <w:sz w:val="20"/>
              </w:rPr>
              <w:t xml:space="preserve">Mr. Levine is the former criminal defence counsel of Mr. Harris.  Mr. Harris was found guilty of one count of criminal harassment and one count of assault causing bodily harm as a result of a parking dispute he had with a neighbour.  On appeal in the criminal proceeding, Mr. Harris initially alleged that he received ineffective assistance from counsel, but he abandoned that argument prior to the hearing of the appeal.  Mr. Harris’ appeal was dismissed and he did not seek leave to appeal to the Supreme Court of Canada.  He also did not attempt to overturn his conviction pursuant to s. 696.1 of the </w:t>
            </w:r>
            <w:r w:rsidRPr="00BC0346">
              <w:rPr>
                <w:rFonts w:eastAsia="Calibri"/>
                <w:i/>
                <w:sz w:val="20"/>
              </w:rPr>
              <w:t>Criminal Code</w:t>
            </w:r>
            <w:r w:rsidRPr="00BC0346">
              <w:rPr>
                <w:rFonts w:eastAsia="Calibri"/>
                <w:sz w:val="20"/>
              </w:rPr>
              <w:t>.  Mr. Harris chose instead to commence an action in negligence against Mr. Levine in which he took the position that he was innocent of the criminal charges.  Mr. Harris claimed damages totalling $1.1 million.</w:t>
            </w:r>
          </w:p>
          <w:p w:rsidR="007A70F6" w:rsidRPr="00BC0346" w:rsidRDefault="007A70F6" w:rsidP="00EE6982">
            <w:pPr>
              <w:jc w:val="both"/>
              <w:rPr>
                <w:rFonts w:eastAsia="Calibri"/>
                <w:sz w:val="20"/>
              </w:rPr>
            </w:pPr>
          </w:p>
          <w:p w:rsidR="007A70F6" w:rsidRPr="00BC0346" w:rsidRDefault="007A70F6" w:rsidP="00EE6982">
            <w:pPr>
              <w:jc w:val="both"/>
              <w:rPr>
                <w:rFonts w:eastAsia="Calibri"/>
                <w:sz w:val="20"/>
              </w:rPr>
            </w:pPr>
            <w:r w:rsidRPr="00BC0346">
              <w:rPr>
                <w:rFonts w:eastAsia="Calibri"/>
                <w:sz w:val="20"/>
              </w:rPr>
              <w:t>The motion judge struck Mr. Harris’ claim on the basis that it was an abuse of process.  The Court of Appeal dismissed the appeal.</w:t>
            </w:r>
          </w:p>
          <w:p w:rsidR="007A70F6" w:rsidRPr="00BC0346" w:rsidRDefault="007A70F6" w:rsidP="00EE6982">
            <w:pPr>
              <w:jc w:val="both"/>
              <w:rPr>
                <w:rFonts w:eastAsia="Calibri"/>
                <w:sz w:val="20"/>
              </w:rPr>
            </w:pP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t>February 28, 2014</w:t>
            </w:r>
          </w:p>
          <w:p w:rsidR="007A70F6" w:rsidRPr="00BC0346" w:rsidRDefault="007A70F6" w:rsidP="00EE6982">
            <w:pPr>
              <w:jc w:val="both"/>
              <w:rPr>
                <w:rFonts w:eastAsia="Calibri"/>
                <w:sz w:val="20"/>
              </w:rPr>
            </w:pPr>
            <w:r w:rsidRPr="00BC0346">
              <w:rPr>
                <w:rFonts w:eastAsia="Calibri"/>
                <w:sz w:val="20"/>
              </w:rPr>
              <w:t>Ontario Superior Court of Justice</w:t>
            </w:r>
          </w:p>
          <w:p w:rsidR="007A70F6" w:rsidRPr="00BC0346" w:rsidRDefault="007A70F6" w:rsidP="00EE6982">
            <w:pPr>
              <w:jc w:val="both"/>
              <w:rPr>
                <w:rFonts w:eastAsia="Calibri"/>
                <w:sz w:val="20"/>
              </w:rPr>
            </w:pPr>
            <w:r w:rsidRPr="00BC0346">
              <w:rPr>
                <w:rFonts w:eastAsia="Calibri"/>
                <w:sz w:val="20"/>
              </w:rPr>
              <w:t>(Penny J.)</w:t>
            </w:r>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Respondent’s motion to strike the Applicant’s claim allowed; Applicant’s statement of claim dismissed</w:t>
            </w:r>
          </w:p>
          <w:p w:rsidR="007A70F6" w:rsidRPr="00BC0346" w:rsidRDefault="007A70F6" w:rsidP="00EE6982">
            <w:pPr>
              <w:jc w:val="both"/>
              <w:rPr>
                <w:rFonts w:eastAsia="Calibri"/>
                <w:sz w:val="20"/>
              </w:rPr>
            </w:pP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t>August 21, 2014</w:t>
            </w:r>
          </w:p>
          <w:p w:rsidR="007A70F6" w:rsidRPr="00BC0346" w:rsidRDefault="007A70F6" w:rsidP="00EE6982">
            <w:pPr>
              <w:jc w:val="both"/>
              <w:rPr>
                <w:rFonts w:eastAsia="Calibri"/>
                <w:sz w:val="20"/>
              </w:rPr>
            </w:pPr>
            <w:r w:rsidRPr="00BC0346">
              <w:rPr>
                <w:rFonts w:eastAsia="Calibri"/>
                <w:sz w:val="20"/>
              </w:rPr>
              <w:t>Court of Appeal for Ontario</w:t>
            </w:r>
          </w:p>
          <w:p w:rsidR="007A70F6" w:rsidRPr="00BC0346" w:rsidRDefault="007A70F6" w:rsidP="00EE6982">
            <w:pPr>
              <w:jc w:val="both"/>
              <w:rPr>
                <w:rFonts w:eastAsia="Calibri"/>
                <w:sz w:val="20"/>
              </w:rPr>
            </w:pPr>
            <w:r w:rsidRPr="00BC0346">
              <w:rPr>
                <w:rFonts w:eastAsia="Calibri"/>
                <w:sz w:val="20"/>
              </w:rPr>
              <w:t>(Blair, Pepall and Hourigan JJ.A.)</w:t>
            </w:r>
          </w:p>
          <w:p w:rsidR="007A70F6" w:rsidRPr="00BC0346" w:rsidRDefault="007A70F6" w:rsidP="00EE6982">
            <w:pPr>
              <w:jc w:val="both"/>
              <w:rPr>
                <w:rFonts w:eastAsia="Calibri"/>
                <w:sz w:val="20"/>
              </w:rPr>
            </w:pPr>
            <w:r w:rsidRPr="00BC0346">
              <w:rPr>
                <w:rFonts w:eastAsia="Calibri"/>
                <w:sz w:val="20"/>
              </w:rPr>
              <w:t>2014 ONCA 6008; C58562</w:t>
            </w:r>
          </w:p>
          <w:p w:rsidR="007A70F6" w:rsidRPr="00BC0346" w:rsidRDefault="00742BC3" w:rsidP="00EE6982">
            <w:pPr>
              <w:jc w:val="both"/>
              <w:rPr>
                <w:rFonts w:eastAsia="Calibri"/>
                <w:sz w:val="20"/>
              </w:rPr>
            </w:pPr>
            <w:hyperlink r:id="rId43" w:history="1">
              <w:r w:rsidR="007A70F6" w:rsidRPr="00BC0346">
                <w:rPr>
                  <w:rFonts w:eastAsia="Calibri"/>
                  <w:color w:val="0000FF"/>
                  <w:sz w:val="20"/>
                  <w:u w:val="single"/>
                </w:rPr>
                <w:t>http://canlii.ca/t/g8qzv</w:t>
              </w:r>
            </w:hyperlink>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Appeal dismissed</w:t>
            </w:r>
          </w:p>
          <w:p w:rsidR="007A70F6" w:rsidRPr="00BC0346" w:rsidRDefault="007A70F6" w:rsidP="00EE6982">
            <w:pPr>
              <w:jc w:val="both"/>
              <w:rPr>
                <w:rFonts w:eastAsia="Calibri"/>
                <w:sz w:val="20"/>
              </w:rPr>
            </w:pPr>
          </w:p>
        </w:tc>
      </w:tr>
      <w:tr w:rsidR="007A70F6" w:rsidRPr="00BC0346" w:rsidTr="00EE6982">
        <w:tc>
          <w:tcPr>
            <w:tcW w:w="2427" w:type="pct"/>
          </w:tcPr>
          <w:p w:rsidR="007A70F6" w:rsidRPr="00BC0346" w:rsidRDefault="007A70F6" w:rsidP="00EE6982">
            <w:pPr>
              <w:jc w:val="both"/>
              <w:rPr>
                <w:rFonts w:eastAsia="Calibri"/>
                <w:sz w:val="20"/>
              </w:rPr>
            </w:pPr>
            <w:r w:rsidRPr="00BC0346">
              <w:rPr>
                <w:rFonts w:eastAsia="Calibri"/>
                <w:sz w:val="20"/>
              </w:rPr>
              <w:t>October 20, 2014</w:t>
            </w:r>
          </w:p>
          <w:p w:rsidR="007A70F6" w:rsidRPr="00BC0346" w:rsidRDefault="007A70F6" w:rsidP="00EE6982">
            <w:pPr>
              <w:jc w:val="both"/>
              <w:rPr>
                <w:rFonts w:eastAsia="Calibri"/>
                <w:sz w:val="20"/>
              </w:rPr>
            </w:pPr>
            <w:r w:rsidRPr="00BC0346">
              <w:rPr>
                <w:rFonts w:eastAsia="Calibri"/>
                <w:sz w:val="20"/>
              </w:rPr>
              <w:t>Supreme Court of Canada</w:t>
            </w: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rPr>
            </w:pPr>
            <w:r w:rsidRPr="00BC0346">
              <w:rPr>
                <w:rFonts w:eastAsia="Calibri"/>
                <w:sz w:val="20"/>
              </w:rPr>
              <w:t>Application for leave to appeal filed</w:t>
            </w: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47"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0F6" w:rsidRPr="00CF1118" w:rsidTr="00EE6982">
        <w:tc>
          <w:tcPr>
            <w:tcW w:w="5000" w:type="pct"/>
            <w:gridSpan w:val="3"/>
          </w:tcPr>
          <w:p w:rsidR="007A70F6" w:rsidRPr="00BC0346" w:rsidRDefault="007A70F6" w:rsidP="00EE6982">
            <w:pPr>
              <w:jc w:val="both"/>
              <w:rPr>
                <w:rFonts w:eastAsia="Calibri"/>
                <w:sz w:val="20"/>
                <w:lang w:val="fr-CA"/>
              </w:rPr>
            </w:pPr>
            <w:r w:rsidRPr="00BC0346">
              <w:rPr>
                <w:rFonts w:eastAsia="Calibri"/>
                <w:sz w:val="20"/>
                <w:lang w:val="fr-CA"/>
              </w:rPr>
              <w:t xml:space="preserve">Procédure civile – Abus de procédure – Négligence – La Cour d’appel a-t-elle commis une erreur de droit en statuant qu’un avocat de la défense jouissait d’une immunité contre la responsabilité civile pour négligence dans l’exécution de ses obligations envers son client pendant qu’il le représentait dans une instance criminelle au terme de laquelle le client a été déclaré coupable? – La Cour d’appel a-t-elle commis une erreur de droit en concluant qu’une poursuite au civil contre un criminaliste pour négligence dans la représentation du client dans une instance criminelle constituait une remise en cause de la poursuite criminelle, constituant ainsi un abus de procédure? – La Cour d’appel a-t-elle commis une erreur de droit en concluant qu’il existait une obligation de procéder par voie de demande en représentation inefficace préalablement à une action pour négligence contre l’avocat? – La Cour d’appel a-t-elle </w:t>
            </w:r>
            <w:r w:rsidRPr="00BC0346">
              <w:rPr>
                <w:rFonts w:eastAsia="Calibri"/>
                <w:sz w:val="20"/>
                <w:lang w:val="fr-CA"/>
              </w:rPr>
              <w:lastRenderedPageBreak/>
              <w:t>commis une erreur de droit en concluant que pour avoir gain de cause dans une demande civile contre un avocat de la défense pour représentation négligente, il fallait déterminer si l’accusé était innocent des accusations, plutôt que de statuer qu’il suffisait de conclure, selon la prépondérance des probabilités, que la déclaration de culpabilité était attribuable à la négligence de l’avocat de la défense?</w:t>
            </w:r>
          </w:p>
        </w:tc>
      </w:tr>
      <w:tr w:rsidR="007A70F6" w:rsidRPr="00CF1118" w:rsidTr="00EE6982">
        <w:tc>
          <w:tcPr>
            <w:tcW w:w="5000" w:type="pct"/>
            <w:gridSpan w:val="3"/>
          </w:tcPr>
          <w:p w:rsidR="007A70F6" w:rsidRPr="00BC0346" w:rsidRDefault="007A70F6" w:rsidP="00EE6982">
            <w:pPr>
              <w:jc w:val="both"/>
              <w:rPr>
                <w:rFonts w:eastAsia="Calibri"/>
                <w:sz w:val="20"/>
                <w:lang w:val="fr-CA"/>
              </w:rPr>
            </w:pPr>
          </w:p>
        </w:tc>
      </w:tr>
      <w:tr w:rsidR="007A70F6" w:rsidRPr="00BC0346" w:rsidTr="00EE6982">
        <w:tc>
          <w:tcPr>
            <w:tcW w:w="5000" w:type="pct"/>
            <w:gridSpan w:val="3"/>
          </w:tcPr>
          <w:p w:rsidR="007A70F6" w:rsidRPr="00BC0346" w:rsidRDefault="007A70F6" w:rsidP="00EE6982">
            <w:pPr>
              <w:jc w:val="both"/>
              <w:rPr>
                <w:rFonts w:eastAsia="Calibri"/>
                <w:sz w:val="20"/>
                <w:lang w:val="fr-CA"/>
              </w:rPr>
            </w:pPr>
            <w:r w:rsidRPr="00BC0346">
              <w:rPr>
                <w:rFonts w:eastAsia="Calibri"/>
                <w:sz w:val="20"/>
                <w:lang w:val="fr-CA"/>
              </w:rPr>
              <w:t xml:space="preserve">Maître Levine est l’ancien avocat de la défense de M. Harris.  Monsieur Harris a été déclaré coupable sous un chef de harcèlement criminel et un chef de voies de fait causant des lésions corporelles à la suite d’un différend avec un voisin à propos du stationnement.  En appel dans l’instance criminelle, M. Harris a d’abord allégué qu’il avait reçu une aide inefficace de son avocat, mais il a abandonné cet argument avant l’instruction de l’appel.  L’appel de M. Harris a été rejeté et il n’a pas demandé l’autorisation d’appel à la Cour suprême du Canada.  Il n’a pas non plus cherché à faire infirmer la déclaration de culpabilité en application de l’art. 696.1 du </w:t>
            </w:r>
            <w:r w:rsidRPr="00BC0346">
              <w:rPr>
                <w:rFonts w:eastAsia="Calibri"/>
                <w:i/>
                <w:sz w:val="20"/>
                <w:lang w:val="fr-CA"/>
              </w:rPr>
              <w:t>Code criminel</w:t>
            </w:r>
            <w:r w:rsidRPr="00BC0346">
              <w:rPr>
                <w:rFonts w:eastAsia="Calibri"/>
                <w:sz w:val="20"/>
                <w:lang w:val="fr-CA"/>
              </w:rPr>
              <w:t>.  Monsieur Harris a plutôt choisi d’intenter une action pour négligence contre M</w:t>
            </w:r>
            <w:r w:rsidRPr="00BC0346">
              <w:rPr>
                <w:rFonts w:eastAsia="Calibri"/>
                <w:sz w:val="20"/>
                <w:vertAlign w:val="superscript"/>
                <w:lang w:val="fr-CA"/>
              </w:rPr>
              <w:t>e</w:t>
            </w:r>
            <w:r w:rsidRPr="00BC0346">
              <w:rPr>
                <w:rFonts w:eastAsia="Calibri"/>
                <w:sz w:val="20"/>
                <w:lang w:val="fr-CA"/>
              </w:rPr>
              <w:t xml:space="preserve"> Levine, plaidant son innocence des accusations criminelles.  Monsieur Harris a demandé des dommages-intérêts de 1,1 million de dollars.</w:t>
            </w:r>
          </w:p>
          <w:p w:rsidR="007A70F6" w:rsidRPr="00BC0346" w:rsidRDefault="007A70F6" w:rsidP="00EE6982">
            <w:pPr>
              <w:jc w:val="both"/>
              <w:rPr>
                <w:rFonts w:eastAsia="Calibri"/>
                <w:sz w:val="20"/>
                <w:lang w:val="fr-CA"/>
              </w:rPr>
            </w:pPr>
          </w:p>
          <w:p w:rsidR="007A70F6" w:rsidRPr="00BC0346" w:rsidRDefault="007A70F6" w:rsidP="00EE6982">
            <w:pPr>
              <w:jc w:val="both"/>
              <w:rPr>
                <w:rFonts w:eastAsia="Calibri"/>
                <w:sz w:val="20"/>
                <w:lang w:val="fr-CA"/>
              </w:rPr>
            </w:pPr>
            <w:r w:rsidRPr="00BC0346">
              <w:rPr>
                <w:rFonts w:eastAsia="Calibri"/>
                <w:sz w:val="20"/>
                <w:lang w:val="fr-CA"/>
              </w:rPr>
              <w:t>Le juge de première instance a radié la réclamation de M. Harris, statuant qu’il s’agissait d’un abus de procédure.  La Cour d’appel a rejeté l’appel.</w:t>
            </w:r>
          </w:p>
          <w:p w:rsidR="007A70F6" w:rsidRPr="00BC0346" w:rsidRDefault="007A70F6" w:rsidP="00EE6982">
            <w:pPr>
              <w:jc w:val="both"/>
              <w:rPr>
                <w:rFonts w:eastAsia="Calibri"/>
                <w:sz w:val="20"/>
                <w:lang w:val="fr-CA"/>
              </w:rPr>
            </w:pPr>
          </w:p>
        </w:tc>
      </w:tr>
      <w:tr w:rsidR="007A70F6" w:rsidRPr="00CF1118"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t>28 février 2014</w:t>
            </w:r>
          </w:p>
          <w:p w:rsidR="007A70F6" w:rsidRPr="00BC0346" w:rsidRDefault="007A70F6" w:rsidP="00EE6982">
            <w:pPr>
              <w:jc w:val="both"/>
              <w:rPr>
                <w:rFonts w:eastAsia="Calibri"/>
                <w:sz w:val="20"/>
                <w:lang w:val="fr-CA"/>
              </w:rPr>
            </w:pPr>
            <w:r w:rsidRPr="00BC0346">
              <w:rPr>
                <w:rFonts w:eastAsia="Calibri"/>
                <w:sz w:val="20"/>
                <w:lang w:val="fr-CA"/>
              </w:rPr>
              <w:t>Cour supérieure de justice de l’Ontario</w:t>
            </w:r>
          </w:p>
          <w:p w:rsidR="007A70F6" w:rsidRPr="00BC0346" w:rsidRDefault="007A70F6" w:rsidP="00EE6982">
            <w:pPr>
              <w:jc w:val="both"/>
              <w:rPr>
                <w:rFonts w:eastAsia="Calibri"/>
                <w:sz w:val="20"/>
                <w:lang w:val="fr-CA"/>
              </w:rPr>
            </w:pPr>
            <w:r w:rsidRPr="00BC0346">
              <w:rPr>
                <w:rFonts w:eastAsia="Calibri"/>
                <w:sz w:val="20"/>
                <w:lang w:val="fr-CA"/>
              </w:rPr>
              <w:t>(Juge Penny)</w:t>
            </w:r>
          </w:p>
          <w:p w:rsidR="007A70F6" w:rsidRPr="00BC0346" w:rsidRDefault="007A70F6" w:rsidP="00EE6982">
            <w:pPr>
              <w:jc w:val="both"/>
              <w:rPr>
                <w:rFonts w:eastAsia="Calibri"/>
                <w:sz w:val="20"/>
                <w:lang w:val="fr-CA"/>
              </w:rPr>
            </w:pPr>
          </w:p>
        </w:tc>
        <w:tc>
          <w:tcPr>
            <w:tcW w:w="243" w:type="pct"/>
          </w:tcPr>
          <w:p w:rsidR="007A70F6" w:rsidRPr="00BC0346" w:rsidRDefault="007A70F6" w:rsidP="00EE6982">
            <w:pPr>
              <w:jc w:val="both"/>
              <w:rPr>
                <w:rFonts w:eastAsia="Calibri"/>
                <w:sz w:val="20"/>
                <w:lang w:val="fr-CA"/>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Décision accueillant la motion de l’intimé en radiation de la réclamation du demandeur; rejet de la déclaration du demandeur</w:t>
            </w:r>
          </w:p>
          <w:p w:rsidR="007A70F6" w:rsidRPr="00BC0346" w:rsidRDefault="007A70F6" w:rsidP="00EE6982">
            <w:pPr>
              <w:jc w:val="both"/>
              <w:rPr>
                <w:rFonts w:eastAsia="Calibri"/>
                <w:sz w:val="20"/>
                <w:lang w:val="fr-CA"/>
              </w:rPr>
            </w:pPr>
          </w:p>
        </w:tc>
      </w:tr>
      <w:tr w:rsidR="007A70F6" w:rsidRPr="00BC0346"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t>21 août 2014</w:t>
            </w:r>
          </w:p>
          <w:p w:rsidR="007A70F6" w:rsidRPr="00BC0346" w:rsidRDefault="007A70F6" w:rsidP="00EE6982">
            <w:pPr>
              <w:jc w:val="both"/>
              <w:rPr>
                <w:rFonts w:eastAsia="Calibri"/>
                <w:sz w:val="20"/>
                <w:lang w:val="fr-CA"/>
              </w:rPr>
            </w:pPr>
            <w:r w:rsidRPr="00BC0346">
              <w:rPr>
                <w:rFonts w:eastAsia="Calibri"/>
                <w:sz w:val="20"/>
                <w:lang w:val="fr-CA"/>
              </w:rPr>
              <w:t>Cour d’appel de l’Ontario</w:t>
            </w:r>
          </w:p>
          <w:p w:rsidR="007A70F6" w:rsidRPr="00BC0346" w:rsidRDefault="007A70F6" w:rsidP="00EE6982">
            <w:pPr>
              <w:jc w:val="both"/>
              <w:rPr>
                <w:rFonts w:eastAsia="Calibri"/>
                <w:sz w:val="20"/>
                <w:lang w:val="fr-CA"/>
              </w:rPr>
            </w:pPr>
            <w:r w:rsidRPr="00BC0346">
              <w:rPr>
                <w:rFonts w:eastAsia="Calibri"/>
                <w:sz w:val="20"/>
                <w:lang w:val="fr-CA"/>
              </w:rPr>
              <w:t>(Juges Blair, Pepall et Hourigan)</w:t>
            </w:r>
          </w:p>
          <w:p w:rsidR="007A70F6" w:rsidRPr="00BC0346" w:rsidRDefault="007A70F6" w:rsidP="00EE6982">
            <w:pPr>
              <w:jc w:val="both"/>
              <w:rPr>
                <w:rFonts w:eastAsia="Calibri"/>
                <w:sz w:val="20"/>
              </w:rPr>
            </w:pPr>
            <w:r w:rsidRPr="00BC0346">
              <w:rPr>
                <w:rFonts w:eastAsia="Calibri"/>
                <w:sz w:val="20"/>
              </w:rPr>
              <w:t>2014 ONCA 6008; C58562</w:t>
            </w:r>
          </w:p>
          <w:p w:rsidR="007A70F6" w:rsidRPr="00BC0346" w:rsidRDefault="00742BC3" w:rsidP="00EE6982">
            <w:pPr>
              <w:jc w:val="both"/>
              <w:rPr>
                <w:rFonts w:eastAsia="Calibri"/>
                <w:sz w:val="20"/>
              </w:rPr>
            </w:pPr>
            <w:hyperlink r:id="rId44" w:history="1">
              <w:r w:rsidR="007A70F6" w:rsidRPr="00BC0346">
                <w:rPr>
                  <w:rFonts w:eastAsia="Calibri"/>
                  <w:color w:val="0000FF"/>
                  <w:sz w:val="20"/>
                  <w:u w:val="single"/>
                </w:rPr>
                <w:t>http://canlii.ca/t/g8qzv</w:t>
              </w:r>
            </w:hyperlink>
          </w:p>
          <w:p w:rsidR="007A70F6" w:rsidRPr="00BC0346" w:rsidRDefault="007A70F6" w:rsidP="00EE6982">
            <w:pPr>
              <w:jc w:val="both"/>
              <w:rPr>
                <w:rFonts w:eastAsia="Calibri"/>
                <w:sz w:val="20"/>
              </w:rPr>
            </w:pPr>
          </w:p>
        </w:tc>
        <w:tc>
          <w:tcPr>
            <w:tcW w:w="243" w:type="pct"/>
          </w:tcPr>
          <w:p w:rsidR="007A70F6" w:rsidRPr="00BC0346" w:rsidRDefault="007A70F6" w:rsidP="00EE6982">
            <w:pPr>
              <w:jc w:val="both"/>
              <w:rPr>
                <w:rFonts w:eastAsia="Calibri"/>
                <w:sz w:val="20"/>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Rejet de l’appel</w:t>
            </w:r>
          </w:p>
          <w:p w:rsidR="007A70F6" w:rsidRPr="00BC0346" w:rsidRDefault="007A70F6" w:rsidP="00EE6982">
            <w:pPr>
              <w:jc w:val="both"/>
              <w:rPr>
                <w:rFonts w:eastAsia="Calibri"/>
                <w:sz w:val="20"/>
                <w:lang w:val="fr-CA"/>
              </w:rPr>
            </w:pPr>
          </w:p>
        </w:tc>
      </w:tr>
      <w:tr w:rsidR="007A70F6" w:rsidRPr="00CF1118" w:rsidTr="00EE6982">
        <w:tc>
          <w:tcPr>
            <w:tcW w:w="2427" w:type="pct"/>
          </w:tcPr>
          <w:p w:rsidR="007A70F6" w:rsidRPr="00BC0346" w:rsidRDefault="007A70F6" w:rsidP="00EE6982">
            <w:pPr>
              <w:jc w:val="both"/>
              <w:rPr>
                <w:rFonts w:eastAsia="Calibri"/>
                <w:sz w:val="20"/>
                <w:lang w:val="fr-CA"/>
              </w:rPr>
            </w:pPr>
            <w:r w:rsidRPr="00BC0346">
              <w:rPr>
                <w:rFonts w:eastAsia="Calibri"/>
                <w:sz w:val="20"/>
                <w:lang w:val="fr-CA"/>
              </w:rPr>
              <w:t>20 octobre 2014</w:t>
            </w:r>
          </w:p>
          <w:p w:rsidR="007A70F6" w:rsidRPr="00BC0346" w:rsidRDefault="007A70F6" w:rsidP="00EE6982">
            <w:pPr>
              <w:jc w:val="both"/>
              <w:rPr>
                <w:rFonts w:eastAsia="Calibri"/>
                <w:sz w:val="20"/>
                <w:lang w:val="fr-CA"/>
              </w:rPr>
            </w:pPr>
            <w:r w:rsidRPr="00BC0346">
              <w:rPr>
                <w:rFonts w:eastAsia="Calibri"/>
                <w:sz w:val="20"/>
                <w:lang w:val="fr-CA"/>
              </w:rPr>
              <w:t>Cour suprême du Canada</w:t>
            </w:r>
          </w:p>
        </w:tc>
        <w:tc>
          <w:tcPr>
            <w:tcW w:w="243" w:type="pct"/>
          </w:tcPr>
          <w:p w:rsidR="007A70F6" w:rsidRPr="00BC0346" w:rsidRDefault="007A70F6" w:rsidP="00EE6982">
            <w:pPr>
              <w:jc w:val="both"/>
              <w:rPr>
                <w:rFonts w:eastAsia="Calibri"/>
                <w:sz w:val="20"/>
                <w:lang w:val="fr-CA"/>
              </w:rPr>
            </w:pPr>
          </w:p>
        </w:tc>
        <w:tc>
          <w:tcPr>
            <w:tcW w:w="2330" w:type="pct"/>
          </w:tcPr>
          <w:p w:rsidR="007A70F6" w:rsidRPr="00BC0346" w:rsidRDefault="007A70F6" w:rsidP="00EE6982">
            <w:pPr>
              <w:jc w:val="both"/>
              <w:rPr>
                <w:rFonts w:eastAsia="Calibri"/>
                <w:sz w:val="20"/>
                <w:lang w:val="fr-CA"/>
              </w:rPr>
            </w:pPr>
            <w:r w:rsidRPr="00BC0346">
              <w:rPr>
                <w:rFonts w:eastAsia="Calibri"/>
                <w:sz w:val="20"/>
                <w:lang w:val="fr-CA"/>
              </w:rPr>
              <w:t>Dépôt de la demande d’autorisation d’appel</w:t>
            </w:r>
          </w:p>
        </w:tc>
      </w:tr>
    </w:tbl>
    <w:p w:rsidR="0002632D" w:rsidRPr="007A70F6" w:rsidRDefault="0002632D" w:rsidP="0002632D">
      <w:pPr>
        <w:rPr>
          <w:sz w:val="20"/>
          <w:szCs w:val="20"/>
          <w:lang w:val="fr-CA"/>
        </w:rPr>
      </w:pPr>
    </w:p>
    <w:p w:rsidR="0002632D" w:rsidRDefault="00742BC3" w:rsidP="0002632D">
      <w:pPr>
        <w:rPr>
          <w:sz w:val="20"/>
          <w:szCs w:val="20"/>
          <w:lang w:val="fr-CA"/>
        </w:rPr>
      </w:pPr>
      <w:r>
        <w:rPr>
          <w:sz w:val="20"/>
          <w:szCs w:val="20"/>
          <w:lang w:val="fr-CA"/>
        </w:rPr>
        <w:pict>
          <v:rect id="_x0000_i1048" style="width:2in;height:1pt" o:hrpct="0" o:hralign="center" o:hrstd="t" o:hrnoshade="t" o:hr="t" fillcolor="black [3213]" stroked="f"/>
        </w:pict>
      </w:r>
    </w:p>
    <w:p w:rsidR="0002632D" w:rsidRDefault="0002632D" w:rsidP="0002632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C6BF5" w:rsidRPr="00CE568C" w:rsidTr="00DC6BF5">
        <w:trPr>
          <w:cantSplit/>
        </w:trPr>
        <w:tc>
          <w:tcPr>
            <w:tcW w:w="1458" w:type="dxa"/>
          </w:tcPr>
          <w:p w:rsidR="00DC6BF5" w:rsidRPr="00CE568C" w:rsidRDefault="00DC6BF5" w:rsidP="00DC6BF5">
            <w:pPr>
              <w:rPr>
                <w:sz w:val="20"/>
                <w:szCs w:val="20"/>
              </w:rPr>
            </w:pPr>
            <w:r w:rsidRPr="00CE568C">
              <w:rPr>
                <w:rStyle w:val="SCCFileNumberChar"/>
                <w:sz w:val="20"/>
                <w:szCs w:val="20"/>
              </w:rPr>
              <w:t>36171</w:t>
            </w:r>
          </w:p>
          <w:p w:rsidR="00DC6BF5" w:rsidRPr="00CE568C" w:rsidRDefault="00DC6BF5" w:rsidP="00DC6BF5">
            <w:pPr>
              <w:rPr>
                <w:b/>
                <w:sz w:val="20"/>
                <w:szCs w:val="20"/>
                <w:lang w:val="fr-CA"/>
              </w:rPr>
            </w:pPr>
          </w:p>
        </w:tc>
        <w:tc>
          <w:tcPr>
            <w:tcW w:w="8118" w:type="dxa"/>
          </w:tcPr>
          <w:p w:rsidR="00DC6BF5" w:rsidRPr="00CE568C" w:rsidRDefault="00D9078C" w:rsidP="00DC6BF5">
            <w:pPr>
              <w:rPr>
                <w:sz w:val="20"/>
                <w:szCs w:val="20"/>
              </w:rPr>
            </w:pPr>
            <w:r>
              <w:rPr>
                <w:rStyle w:val="SCCLsocChar"/>
                <w:sz w:val="20"/>
                <w:szCs w:val="20"/>
                <w:lang w:val="en-CA"/>
              </w:rPr>
              <w:t>Jacob Worm and</w:t>
            </w:r>
            <w:r w:rsidR="00DC6BF5" w:rsidRPr="00CE568C">
              <w:rPr>
                <w:rStyle w:val="SCCLsocChar"/>
                <w:sz w:val="20"/>
                <w:szCs w:val="20"/>
                <w:lang w:val="en-CA"/>
              </w:rPr>
              <w:t xml:space="preserve"> Tyrone Worm v. Her Majesty the Queen</w:t>
            </w:r>
            <w:r w:rsidR="00DC6BF5" w:rsidRPr="00CE568C">
              <w:rPr>
                <w:sz w:val="20"/>
                <w:szCs w:val="20"/>
              </w:rPr>
              <w:t xml:space="preserve"> (Sask.) (Criminal) (By Leave)</w:t>
            </w:r>
          </w:p>
          <w:p w:rsidR="00DC6BF5" w:rsidRPr="00CE568C" w:rsidRDefault="00DC6BF5" w:rsidP="00DC6BF5">
            <w:pPr>
              <w:rPr>
                <w:sz w:val="20"/>
                <w:szCs w:val="20"/>
              </w:rPr>
            </w:pPr>
          </w:p>
        </w:tc>
      </w:tr>
      <w:tr w:rsidR="00DC6BF5" w:rsidRPr="00CF1118" w:rsidTr="00DC6BF5">
        <w:trPr>
          <w:cantSplit/>
        </w:trPr>
        <w:tc>
          <w:tcPr>
            <w:tcW w:w="1458" w:type="dxa"/>
          </w:tcPr>
          <w:p w:rsidR="00DC6BF5" w:rsidRPr="00CE568C" w:rsidRDefault="00DC6BF5" w:rsidP="00DC6BF5">
            <w:pPr>
              <w:rPr>
                <w:sz w:val="20"/>
                <w:szCs w:val="20"/>
              </w:rPr>
            </w:pPr>
            <w:r w:rsidRPr="00CE568C">
              <w:rPr>
                <w:sz w:val="20"/>
                <w:szCs w:val="20"/>
              </w:rPr>
              <w:t>Coram :</w:t>
            </w:r>
          </w:p>
        </w:tc>
        <w:tc>
          <w:tcPr>
            <w:tcW w:w="8118" w:type="dxa"/>
          </w:tcPr>
          <w:p w:rsidR="00DC6BF5" w:rsidRPr="00CE568C" w:rsidRDefault="00DC6BF5" w:rsidP="00DC6BF5">
            <w:pPr>
              <w:rPr>
                <w:sz w:val="20"/>
                <w:szCs w:val="20"/>
                <w:lang w:val="fr-CA"/>
              </w:rPr>
            </w:pPr>
            <w:r w:rsidRPr="00CE568C">
              <w:rPr>
                <w:rStyle w:val="SCCCoramChar"/>
                <w:sz w:val="20"/>
                <w:szCs w:val="20"/>
              </w:rPr>
              <w:t>Abella, Karakatsanis and Côté JJ.</w:t>
            </w:r>
          </w:p>
          <w:p w:rsidR="00DC6BF5" w:rsidRPr="00CE568C" w:rsidRDefault="00DC6BF5" w:rsidP="00DC6BF5">
            <w:pPr>
              <w:rPr>
                <w:sz w:val="20"/>
                <w:szCs w:val="20"/>
                <w:u w:val="single"/>
                <w:lang w:val="fr-CA"/>
              </w:rPr>
            </w:pPr>
          </w:p>
        </w:tc>
      </w:tr>
      <w:tr w:rsidR="00DC6BF5" w:rsidRPr="00CF1118" w:rsidTr="00DC6BF5">
        <w:trPr>
          <w:cantSplit/>
        </w:trPr>
        <w:tc>
          <w:tcPr>
            <w:tcW w:w="9576" w:type="dxa"/>
            <w:gridSpan w:val="2"/>
          </w:tcPr>
          <w:p w:rsidR="00DC6BF5" w:rsidRPr="00CE568C" w:rsidRDefault="00DC6BF5" w:rsidP="00DC6BF5">
            <w:pPr>
              <w:pStyle w:val="SCCShortJudgment"/>
              <w:rPr>
                <w:szCs w:val="20"/>
              </w:rPr>
            </w:pPr>
            <w:r w:rsidRPr="00CE568C">
              <w:rPr>
                <w:szCs w:val="20"/>
              </w:rPr>
              <w:t>The application for leave to appeal from the judgment of the Court of Appeal for Saskatchewan, Numbers 1673-CR and 1675-CR, 2014 SKCA 94, dated September 15, 2014, is dismissed.</w:t>
            </w:r>
          </w:p>
          <w:p w:rsidR="00DC6BF5" w:rsidRPr="00CE568C" w:rsidRDefault="00DC6BF5" w:rsidP="00DC6BF5">
            <w:pPr>
              <w:pStyle w:val="SCCShortJudgment"/>
              <w:ind w:firstLine="0"/>
              <w:rPr>
                <w:szCs w:val="20"/>
              </w:rPr>
            </w:pPr>
          </w:p>
          <w:p w:rsidR="00DC6BF5" w:rsidRPr="00CE568C" w:rsidRDefault="00DC6BF5" w:rsidP="00DC6BF5">
            <w:pPr>
              <w:pStyle w:val="SCCShortJudgment"/>
              <w:rPr>
                <w:szCs w:val="20"/>
                <w:lang w:val="fr-CA"/>
              </w:rPr>
            </w:pPr>
            <w:r w:rsidRPr="00CE568C">
              <w:rPr>
                <w:szCs w:val="20"/>
                <w:lang w:val="fr-CA"/>
              </w:rPr>
              <w:t>La demande d’autorisation d’appel de l’arrêt de la Cour d’appel de la Saskatchewan, numéros 1673-CR et 1675-CR, 2014 SKCA 94, daté du 15 septembre 2014, est rejetée.</w:t>
            </w:r>
          </w:p>
        </w:tc>
      </w:tr>
    </w:tbl>
    <w:p w:rsidR="0002632D" w:rsidRPr="00DC6BF5" w:rsidRDefault="0002632D" w:rsidP="0002632D">
      <w:pPr>
        <w:rPr>
          <w:sz w:val="20"/>
          <w:szCs w:val="20"/>
          <w:lang w:val="fr-CA"/>
        </w:rPr>
      </w:pPr>
    </w:p>
    <w:p w:rsidR="0002632D" w:rsidRPr="001B157C" w:rsidRDefault="0002632D" w:rsidP="0002632D">
      <w:pPr>
        <w:rPr>
          <w:sz w:val="20"/>
          <w:szCs w:val="20"/>
          <w:u w:val="single"/>
        </w:rPr>
      </w:pPr>
      <w:r w:rsidRPr="001B157C">
        <w:rPr>
          <w:sz w:val="20"/>
          <w:szCs w:val="20"/>
          <w:u w:val="single"/>
        </w:rPr>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457" w:rsidRPr="00BC0346" w:rsidTr="00EE6982">
        <w:tc>
          <w:tcPr>
            <w:tcW w:w="5000" w:type="pct"/>
            <w:gridSpan w:val="3"/>
          </w:tcPr>
          <w:p w:rsidR="00F77457" w:rsidRPr="00BC0346" w:rsidRDefault="00F77457" w:rsidP="00EE6982">
            <w:pPr>
              <w:jc w:val="both"/>
              <w:rPr>
                <w:rFonts w:eastAsia="Calibri"/>
                <w:smallCaps/>
                <w:sz w:val="20"/>
              </w:rPr>
            </w:pPr>
            <w:r w:rsidRPr="00BC0346">
              <w:rPr>
                <w:rFonts w:eastAsia="Calibri"/>
                <w:smallCaps/>
                <w:sz w:val="20"/>
              </w:rPr>
              <w:t xml:space="preserve">(Publication </w:t>
            </w:r>
            <w:r>
              <w:rPr>
                <w:rFonts w:eastAsia="Calibri"/>
                <w:smallCaps/>
                <w:sz w:val="20"/>
              </w:rPr>
              <w:t>B</w:t>
            </w:r>
            <w:r w:rsidRPr="00BC0346">
              <w:rPr>
                <w:rFonts w:eastAsia="Calibri"/>
                <w:smallCaps/>
                <w:sz w:val="20"/>
              </w:rPr>
              <w:t xml:space="preserve">an in </w:t>
            </w:r>
            <w:r>
              <w:rPr>
                <w:rFonts w:eastAsia="Calibri"/>
                <w:smallCaps/>
                <w:sz w:val="20"/>
              </w:rPr>
              <w:t>C</w:t>
            </w:r>
            <w:r w:rsidRPr="00BC0346">
              <w:rPr>
                <w:rFonts w:eastAsia="Calibri"/>
                <w:smallCaps/>
                <w:sz w:val="20"/>
              </w:rPr>
              <w:t xml:space="preserve">ase) (Court </w:t>
            </w:r>
            <w:r>
              <w:rPr>
                <w:rFonts w:eastAsia="Calibri"/>
                <w:smallCaps/>
                <w:sz w:val="20"/>
              </w:rPr>
              <w:t>F</w:t>
            </w:r>
            <w:r w:rsidRPr="00BC0346">
              <w:rPr>
                <w:rFonts w:eastAsia="Calibri"/>
                <w:smallCaps/>
                <w:sz w:val="20"/>
              </w:rPr>
              <w:t xml:space="preserve">ile </w:t>
            </w:r>
            <w:r>
              <w:rPr>
                <w:rFonts w:eastAsia="Calibri"/>
                <w:smallCaps/>
                <w:sz w:val="20"/>
              </w:rPr>
              <w:t>C</w:t>
            </w:r>
            <w:r w:rsidRPr="00BC0346">
              <w:rPr>
                <w:rFonts w:eastAsia="Calibri"/>
                <w:smallCaps/>
                <w:sz w:val="20"/>
              </w:rPr>
              <w:t xml:space="preserve">ontains </w:t>
            </w:r>
            <w:r>
              <w:rPr>
                <w:rFonts w:eastAsia="Calibri"/>
                <w:smallCaps/>
                <w:sz w:val="20"/>
              </w:rPr>
              <w:t>I</w:t>
            </w:r>
            <w:r w:rsidRPr="00BC0346">
              <w:rPr>
                <w:rFonts w:eastAsia="Calibri"/>
                <w:smallCaps/>
                <w:sz w:val="20"/>
              </w:rPr>
              <w:t xml:space="preserve">nformation </w:t>
            </w:r>
            <w:r>
              <w:rPr>
                <w:rFonts w:eastAsia="Calibri"/>
                <w:smallCaps/>
                <w:sz w:val="20"/>
              </w:rPr>
              <w:t>T</w:t>
            </w:r>
            <w:r w:rsidRPr="00BC0346">
              <w:rPr>
                <w:rFonts w:eastAsia="Calibri"/>
                <w:smallCaps/>
                <w:sz w:val="20"/>
              </w:rPr>
              <w:t xml:space="preserve">hat is not </w:t>
            </w:r>
            <w:r>
              <w:rPr>
                <w:rFonts w:eastAsia="Calibri"/>
                <w:smallCaps/>
                <w:sz w:val="20"/>
              </w:rPr>
              <w:t>A</w:t>
            </w:r>
            <w:r w:rsidRPr="00BC0346">
              <w:rPr>
                <w:rFonts w:eastAsia="Calibri"/>
                <w:smallCaps/>
                <w:sz w:val="20"/>
              </w:rPr>
              <w:t xml:space="preserve">vailable for </w:t>
            </w:r>
            <w:r>
              <w:rPr>
                <w:rFonts w:eastAsia="Calibri"/>
                <w:smallCaps/>
                <w:sz w:val="20"/>
              </w:rPr>
              <w:t>I</w:t>
            </w:r>
            <w:r w:rsidRPr="00BC0346">
              <w:rPr>
                <w:rFonts w:eastAsia="Calibri"/>
                <w:smallCaps/>
                <w:sz w:val="20"/>
              </w:rPr>
              <w:t xml:space="preserve">nspection by the </w:t>
            </w:r>
            <w:r>
              <w:rPr>
                <w:rFonts w:eastAsia="Calibri"/>
                <w:smallCaps/>
                <w:sz w:val="20"/>
              </w:rPr>
              <w:t>P</w:t>
            </w:r>
            <w:r w:rsidRPr="00BC0346">
              <w:rPr>
                <w:rFonts w:eastAsia="Calibri"/>
                <w:smallCaps/>
                <w:sz w:val="20"/>
              </w:rPr>
              <w:t>ublic)</w:t>
            </w:r>
          </w:p>
          <w:p w:rsidR="00F77457" w:rsidRPr="00BC0346" w:rsidRDefault="00F77457" w:rsidP="00EE6982">
            <w:pPr>
              <w:jc w:val="both"/>
              <w:rPr>
                <w:rFonts w:eastAsia="Calibri"/>
                <w:sz w:val="20"/>
              </w:rPr>
            </w:pPr>
          </w:p>
          <w:p w:rsidR="00F77457" w:rsidRPr="00BC0346" w:rsidRDefault="00F77457" w:rsidP="00EE6982">
            <w:pPr>
              <w:jc w:val="both"/>
              <w:rPr>
                <w:rFonts w:eastAsia="Calibri"/>
                <w:sz w:val="20"/>
              </w:rPr>
            </w:pPr>
            <w:r w:rsidRPr="00BC0346">
              <w:rPr>
                <w:rFonts w:eastAsia="Calibri"/>
                <w:sz w:val="20"/>
              </w:rPr>
              <w:t xml:space="preserve">Criminal law – Evidence – Disclosure – Obligations of Crown –Competence of defence counsel – Disclosure of inducements allegedly offered to witness in exchange for testimony against applicants – Whether analysis of allegation of miscarriage of justice requires examination of both defence counsel’s competence and Crown conduct? – What </w:t>
            </w:r>
            <w:r w:rsidRPr="00BC0346">
              <w:rPr>
                <w:rFonts w:eastAsia="Calibri"/>
                <w:sz w:val="20"/>
              </w:rPr>
              <w:lastRenderedPageBreak/>
              <w:t>standard is applicable to ethical and professional obligations of Crown in providing disclosure? – Whether expert evidence is required to establish standard of competence of defence counsel?</w:t>
            </w:r>
          </w:p>
        </w:tc>
      </w:tr>
      <w:tr w:rsidR="00F77457" w:rsidRPr="00BC0346" w:rsidTr="00EE6982">
        <w:tc>
          <w:tcPr>
            <w:tcW w:w="5000" w:type="pct"/>
            <w:gridSpan w:val="3"/>
          </w:tcPr>
          <w:p w:rsidR="00F77457" w:rsidRPr="00BC0346" w:rsidRDefault="00F77457" w:rsidP="00EE6982">
            <w:pPr>
              <w:jc w:val="both"/>
              <w:rPr>
                <w:rFonts w:eastAsia="Calibri"/>
                <w:sz w:val="20"/>
              </w:rPr>
            </w:pPr>
          </w:p>
        </w:tc>
      </w:tr>
      <w:tr w:rsidR="00F77457" w:rsidRPr="00BC0346" w:rsidTr="00EE6982">
        <w:tc>
          <w:tcPr>
            <w:tcW w:w="5000" w:type="pct"/>
            <w:gridSpan w:val="3"/>
          </w:tcPr>
          <w:p w:rsidR="00F77457" w:rsidRPr="00BC0346" w:rsidRDefault="00F77457" w:rsidP="00EE6982">
            <w:pPr>
              <w:jc w:val="both"/>
              <w:rPr>
                <w:rFonts w:eastAsia="Calibri"/>
                <w:sz w:val="20"/>
              </w:rPr>
            </w:pPr>
            <w:r w:rsidRPr="00BC0346">
              <w:rPr>
                <w:rFonts w:eastAsia="Calibri"/>
                <w:sz w:val="20"/>
              </w:rPr>
              <w:t xml:space="preserve">Douglas Anderson, a Regina homeowner, was shot and killed during the course of a violent home invasion in 2006.  Four individuals, one of which was a young offender, were charged in relation to Mr. Anderson’s death.  The applicants, brothers, were among those charged.   </w:t>
            </w:r>
          </w:p>
          <w:p w:rsidR="00F77457" w:rsidRPr="00BC0346" w:rsidRDefault="00F77457" w:rsidP="00EE6982">
            <w:pPr>
              <w:jc w:val="both"/>
              <w:rPr>
                <w:rFonts w:eastAsia="Calibri"/>
                <w:sz w:val="20"/>
              </w:rPr>
            </w:pPr>
          </w:p>
          <w:p w:rsidR="00F77457" w:rsidRPr="00BC0346" w:rsidRDefault="00F77457" w:rsidP="00EE6982">
            <w:pPr>
              <w:jc w:val="both"/>
              <w:rPr>
                <w:rFonts w:eastAsia="Calibri"/>
                <w:sz w:val="20"/>
              </w:rPr>
            </w:pPr>
            <w:r w:rsidRPr="00BC0346">
              <w:rPr>
                <w:rFonts w:eastAsia="Calibri"/>
                <w:sz w:val="20"/>
              </w:rPr>
              <w:t xml:space="preserve">The three adult accused were tried before a judge and jury.  At trial, the Crown called as witnesses two other participants in the home invasion as well as the sister of one of those participants, an acquaintance of the applicants who did not participate in the home invasion but was with them both before and after offence.  Those witnesses confirmed the Crown’s theory of the case that the applicant Jacob Worm had shot Mr. Anderson. In her jury instructions, the trial judge warned the jury to be cautious in accepting the evidence offered by the applicants’ accomplices, notably because those accomplices may have had an interest in testifying favourably for the Crown.  At the time of his testimony at the applicants’ trial, one of the accomplices was facing charges of second degree murder and aggravated assault with respect to a separate incident.  He was released on bail from those charges after giving police a statement with respect to the 2006 home invasion.  That statement implicated the applicants.  He was never charged in connection with his participation in home invasion during which Mr. Anderson was killed. </w:t>
            </w:r>
          </w:p>
          <w:p w:rsidR="00F77457" w:rsidRPr="00BC0346" w:rsidRDefault="00F77457" w:rsidP="00EE6982">
            <w:pPr>
              <w:jc w:val="both"/>
              <w:rPr>
                <w:rFonts w:eastAsia="Calibri"/>
                <w:sz w:val="20"/>
              </w:rPr>
            </w:pPr>
          </w:p>
          <w:p w:rsidR="00F77457" w:rsidRPr="00BC0346" w:rsidRDefault="00F77457" w:rsidP="00EE6982">
            <w:pPr>
              <w:jc w:val="both"/>
              <w:rPr>
                <w:rFonts w:eastAsia="Calibri"/>
                <w:sz w:val="20"/>
              </w:rPr>
            </w:pPr>
            <w:r w:rsidRPr="00BC0346">
              <w:rPr>
                <w:rFonts w:eastAsia="Calibri"/>
                <w:sz w:val="20"/>
              </w:rPr>
              <w:t>A jury found Jacob Worm guilty of second degree murder and found his brother, Tyrone Worm, and the third adult accused, guilty of manslaughter for their role in the offence.  Jacob Worm was later sentenced to life imprisonment.  His brother Tyrone was sentenced to 12 years imprisonment.  The applicants appealed their conviction and sentences.</w:t>
            </w:r>
          </w:p>
          <w:p w:rsidR="00F77457" w:rsidRPr="00BC0346" w:rsidRDefault="00F77457" w:rsidP="00EE6982">
            <w:pPr>
              <w:jc w:val="both"/>
              <w:rPr>
                <w:rFonts w:eastAsia="Calibri"/>
                <w:sz w:val="20"/>
              </w:rPr>
            </w:pP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January 30, 2009</w:t>
            </w:r>
          </w:p>
          <w:p w:rsidR="00F77457" w:rsidRPr="00BC0346" w:rsidRDefault="00F77457" w:rsidP="00EE6982">
            <w:pPr>
              <w:jc w:val="both"/>
              <w:rPr>
                <w:rFonts w:eastAsia="Calibri"/>
                <w:sz w:val="20"/>
              </w:rPr>
            </w:pPr>
            <w:r w:rsidRPr="00BC0346">
              <w:rPr>
                <w:rFonts w:eastAsia="Calibri"/>
                <w:sz w:val="20"/>
              </w:rPr>
              <w:t>Court of Queen’s Bench of Saskatchewan</w:t>
            </w:r>
          </w:p>
          <w:p w:rsidR="00F77457" w:rsidRPr="00BC0346" w:rsidRDefault="00F77457" w:rsidP="00EE6982">
            <w:pPr>
              <w:jc w:val="both"/>
              <w:rPr>
                <w:rFonts w:eastAsia="Calibri"/>
                <w:sz w:val="20"/>
              </w:rPr>
            </w:pPr>
            <w:r w:rsidRPr="00BC0346">
              <w:rPr>
                <w:rFonts w:eastAsia="Calibri"/>
                <w:sz w:val="20"/>
              </w:rPr>
              <w:t>(Dawson J.)</w:t>
            </w:r>
          </w:p>
          <w:p w:rsidR="00F77457" w:rsidRPr="00BC0346" w:rsidRDefault="00F77457" w:rsidP="00EE6982">
            <w:pPr>
              <w:jc w:val="both"/>
              <w:rPr>
                <w:rFonts w:eastAsia="Calibri"/>
                <w:sz w:val="20"/>
              </w:rPr>
            </w:pPr>
            <w:r w:rsidRPr="00BC0346">
              <w:rPr>
                <w:rFonts w:eastAsia="Calibri"/>
                <w:sz w:val="20"/>
              </w:rPr>
              <w:t>Docket No. Q.B.C. 20/2008</w:t>
            </w: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i/>
                <w:sz w:val="20"/>
              </w:rPr>
            </w:pPr>
            <w:r w:rsidRPr="00BC0346">
              <w:rPr>
                <w:rFonts w:eastAsia="Calibri"/>
                <w:sz w:val="20"/>
              </w:rPr>
              <w:t xml:space="preserve">Applicant Jacob Worm convicted, by jury, of second degree murder pursuant to s. 235 of the </w:t>
            </w:r>
            <w:r w:rsidRPr="00BC0346">
              <w:rPr>
                <w:rFonts w:eastAsia="Calibri"/>
                <w:i/>
                <w:sz w:val="20"/>
              </w:rPr>
              <w:t>Criminal Code</w:t>
            </w:r>
            <w:r w:rsidRPr="00BC0346">
              <w:rPr>
                <w:rFonts w:eastAsia="Calibri"/>
                <w:sz w:val="20"/>
              </w:rPr>
              <w:t xml:space="preserve">; Applicant Tyrone Worm convicted, by jury, of manslaughter pursuant to s. 236 of the </w:t>
            </w:r>
            <w:r w:rsidRPr="00BC0346">
              <w:rPr>
                <w:rFonts w:eastAsia="Calibri"/>
                <w:i/>
                <w:sz w:val="20"/>
              </w:rPr>
              <w:t>Criminal Code</w:t>
            </w:r>
          </w:p>
          <w:p w:rsidR="00F77457" w:rsidRPr="00BC0346" w:rsidRDefault="00F77457" w:rsidP="00EE6982">
            <w:pPr>
              <w:jc w:val="both"/>
              <w:rPr>
                <w:rFonts w:eastAsia="Calibri"/>
                <w:sz w:val="20"/>
              </w:rPr>
            </w:pP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April 3, 2009</w:t>
            </w:r>
          </w:p>
          <w:p w:rsidR="00F77457" w:rsidRPr="00BC0346" w:rsidRDefault="00F77457" w:rsidP="00EE6982">
            <w:pPr>
              <w:jc w:val="both"/>
              <w:rPr>
                <w:rFonts w:eastAsia="Calibri"/>
                <w:sz w:val="20"/>
              </w:rPr>
            </w:pPr>
            <w:r w:rsidRPr="00BC0346">
              <w:rPr>
                <w:rFonts w:eastAsia="Calibri"/>
                <w:sz w:val="20"/>
              </w:rPr>
              <w:t>Court of Queen’s Bench of Saskatchewan</w:t>
            </w:r>
          </w:p>
          <w:p w:rsidR="00F77457" w:rsidRPr="00BC0346" w:rsidRDefault="00F77457" w:rsidP="00EE6982">
            <w:pPr>
              <w:jc w:val="both"/>
              <w:rPr>
                <w:rFonts w:eastAsia="Calibri"/>
                <w:sz w:val="20"/>
              </w:rPr>
            </w:pPr>
            <w:r w:rsidRPr="00BC0346">
              <w:rPr>
                <w:rFonts w:eastAsia="Calibri"/>
                <w:sz w:val="20"/>
              </w:rPr>
              <w:t>(Dawson J.)</w:t>
            </w:r>
          </w:p>
          <w:p w:rsidR="00F77457" w:rsidRPr="00BC0346" w:rsidRDefault="00742BC3" w:rsidP="00EE6982">
            <w:pPr>
              <w:jc w:val="both"/>
              <w:rPr>
                <w:rFonts w:eastAsia="Calibri"/>
                <w:sz w:val="20"/>
              </w:rPr>
            </w:pPr>
            <w:hyperlink r:id="rId45" w:history="1">
              <w:r w:rsidR="00F77457" w:rsidRPr="00BC0346">
                <w:rPr>
                  <w:rFonts w:eastAsia="Calibri"/>
                  <w:color w:val="0000FF"/>
                  <w:sz w:val="20"/>
                  <w:u w:val="single"/>
                </w:rPr>
                <w:t>2009 SKQB 122</w:t>
              </w:r>
            </w:hyperlink>
          </w:p>
          <w:p w:rsidR="00F77457" w:rsidRPr="00BC0346" w:rsidRDefault="00742BC3" w:rsidP="00EE6982">
            <w:pPr>
              <w:jc w:val="both"/>
              <w:rPr>
                <w:rFonts w:eastAsia="Calibri"/>
                <w:sz w:val="20"/>
              </w:rPr>
            </w:pPr>
            <w:hyperlink r:id="rId46" w:history="1">
              <w:r w:rsidR="00F77457" w:rsidRPr="00BC0346">
                <w:rPr>
                  <w:rFonts w:eastAsia="Calibri"/>
                  <w:color w:val="0000FF"/>
                  <w:sz w:val="20"/>
                  <w:u w:val="single"/>
                </w:rPr>
                <w:t>2009 SKQB 125</w:t>
              </w:r>
            </w:hyperlink>
          </w:p>
          <w:p w:rsidR="00F77457" w:rsidRPr="00BC0346" w:rsidRDefault="00F77457" w:rsidP="00EE6982">
            <w:pPr>
              <w:jc w:val="both"/>
              <w:rPr>
                <w:rFonts w:eastAsia="Calibri"/>
                <w:sz w:val="20"/>
              </w:rPr>
            </w:pPr>
            <w:r w:rsidRPr="00BC0346">
              <w:rPr>
                <w:rFonts w:eastAsia="Calibri"/>
                <w:sz w:val="20"/>
              </w:rPr>
              <w:t>Docket No. Q.B.C. 20/2008</w:t>
            </w:r>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Applicant Jacob Worm sentenced to life imprisonment with no eligibility for parole for 16 years; Applicant Tyrone Worm sentenced to 12 years imprisonment.</w:t>
            </w:r>
          </w:p>
          <w:p w:rsidR="00F77457" w:rsidRPr="00BC0346" w:rsidRDefault="00F77457" w:rsidP="00EE6982">
            <w:pPr>
              <w:jc w:val="both"/>
              <w:rPr>
                <w:rFonts w:eastAsia="Calibri"/>
                <w:sz w:val="20"/>
              </w:rPr>
            </w:pP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September 15, 2014</w:t>
            </w:r>
          </w:p>
          <w:p w:rsidR="00F77457" w:rsidRPr="00BC0346" w:rsidRDefault="00F77457" w:rsidP="00EE6982">
            <w:pPr>
              <w:jc w:val="both"/>
              <w:rPr>
                <w:rFonts w:eastAsia="Calibri"/>
                <w:sz w:val="20"/>
              </w:rPr>
            </w:pPr>
            <w:r w:rsidRPr="00BC0346">
              <w:rPr>
                <w:rFonts w:eastAsia="Calibri"/>
                <w:sz w:val="20"/>
              </w:rPr>
              <w:t>Court of Appeal for Saskatchewan</w:t>
            </w:r>
          </w:p>
          <w:p w:rsidR="00F77457" w:rsidRPr="00BC0346" w:rsidRDefault="00F77457" w:rsidP="00EE6982">
            <w:pPr>
              <w:jc w:val="both"/>
              <w:rPr>
                <w:rFonts w:eastAsia="Calibri"/>
                <w:sz w:val="20"/>
              </w:rPr>
            </w:pPr>
            <w:r w:rsidRPr="00BC0346">
              <w:rPr>
                <w:rFonts w:eastAsia="Calibri"/>
                <w:sz w:val="20"/>
              </w:rPr>
              <w:t>(Caldwell, Ottenbreit and Herauf JJ.A.)</w:t>
            </w:r>
          </w:p>
          <w:p w:rsidR="00F77457" w:rsidRPr="00BC0346" w:rsidRDefault="00742BC3" w:rsidP="00EE6982">
            <w:pPr>
              <w:jc w:val="both"/>
              <w:rPr>
                <w:rFonts w:eastAsia="Calibri"/>
                <w:sz w:val="20"/>
              </w:rPr>
            </w:pPr>
            <w:hyperlink r:id="rId47" w:history="1">
              <w:r w:rsidR="00F77457" w:rsidRPr="00BC0346">
                <w:rPr>
                  <w:rFonts w:eastAsia="Calibri"/>
                  <w:color w:val="0000FF"/>
                  <w:sz w:val="20"/>
                  <w:u w:val="single"/>
                </w:rPr>
                <w:t>2014 SKCA 94</w:t>
              </w:r>
            </w:hyperlink>
          </w:p>
          <w:p w:rsidR="00F77457" w:rsidRPr="00BC0346" w:rsidRDefault="00F77457" w:rsidP="00EE6982">
            <w:pPr>
              <w:jc w:val="both"/>
              <w:rPr>
                <w:rFonts w:eastAsia="Calibri"/>
                <w:sz w:val="20"/>
              </w:rPr>
            </w:pPr>
            <w:r w:rsidRPr="00BC0346">
              <w:rPr>
                <w:rFonts w:eastAsia="Calibri"/>
                <w:sz w:val="20"/>
              </w:rPr>
              <w:t>Docket Nos. 1673-CR, 1675-CR and 1678-CR</w:t>
            </w:r>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Appeals from conviction, dismissed; Leave to appeal sentences, granted, but appeals dismissed.</w:t>
            </w:r>
          </w:p>
          <w:p w:rsidR="00F77457" w:rsidRPr="00BC0346" w:rsidRDefault="00F77457" w:rsidP="00EE6982">
            <w:pPr>
              <w:jc w:val="both"/>
              <w:rPr>
                <w:rFonts w:eastAsia="Calibri"/>
                <w:sz w:val="20"/>
              </w:rPr>
            </w:pP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November 14, 2014</w:t>
            </w:r>
          </w:p>
          <w:p w:rsidR="00F77457" w:rsidRPr="00BC0346" w:rsidRDefault="00F77457" w:rsidP="00EE6982">
            <w:pPr>
              <w:jc w:val="both"/>
              <w:rPr>
                <w:rFonts w:eastAsia="Calibri"/>
                <w:sz w:val="20"/>
              </w:rPr>
            </w:pPr>
            <w:r w:rsidRPr="00BC0346">
              <w:rPr>
                <w:rFonts w:eastAsia="Calibri"/>
                <w:sz w:val="20"/>
              </w:rPr>
              <w:t>Supreme Court of Canada</w:t>
            </w: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Application for leave to appeal filed</w:t>
            </w:r>
          </w:p>
          <w:p w:rsidR="00F77457" w:rsidRPr="00BC0346" w:rsidRDefault="00F77457" w:rsidP="00EE6982">
            <w:pPr>
              <w:jc w:val="both"/>
              <w:rPr>
                <w:rFonts w:eastAsia="Calibri"/>
                <w:sz w:val="20"/>
              </w:rPr>
            </w:pP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49"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457" w:rsidRPr="00CF1118" w:rsidTr="00EE6982">
        <w:tc>
          <w:tcPr>
            <w:tcW w:w="5000" w:type="pct"/>
            <w:gridSpan w:val="3"/>
          </w:tcPr>
          <w:p w:rsidR="00F77457" w:rsidRPr="00BC0346" w:rsidRDefault="00F77457" w:rsidP="00EE6982">
            <w:pPr>
              <w:jc w:val="both"/>
              <w:rPr>
                <w:rFonts w:eastAsia="Calibri"/>
                <w:smallCaps/>
                <w:sz w:val="20"/>
                <w:lang w:val="fr-CA"/>
              </w:rPr>
            </w:pPr>
            <w:r w:rsidRPr="00BC0346">
              <w:rPr>
                <w:rFonts w:eastAsia="Calibri"/>
                <w:smallCaps/>
                <w:sz w:val="20"/>
                <w:lang w:val="fr-CA"/>
              </w:rPr>
              <w:t>(Ordonnance de non-Publication dans le dossier)</w:t>
            </w:r>
            <w:r>
              <w:rPr>
                <w:rFonts w:eastAsia="Calibri"/>
                <w:smallCaps/>
                <w:sz w:val="20"/>
                <w:lang w:val="fr-CA"/>
              </w:rPr>
              <w:t xml:space="preserve"> </w:t>
            </w:r>
            <w:r w:rsidRPr="00BC0346">
              <w:rPr>
                <w:rFonts w:eastAsia="Calibri"/>
                <w:smallCaps/>
                <w:sz w:val="20"/>
                <w:lang w:val="fr-CA"/>
              </w:rPr>
              <w:t xml:space="preserve"> (Le dossier de la Cour renferme des données que le public n’est pas autorisé à consulter)</w:t>
            </w:r>
          </w:p>
          <w:p w:rsidR="00F77457" w:rsidRPr="00BC0346" w:rsidRDefault="00F77457" w:rsidP="00EE6982">
            <w:pPr>
              <w:jc w:val="both"/>
              <w:rPr>
                <w:rFonts w:eastAsia="Calibri"/>
                <w:sz w:val="20"/>
                <w:lang w:val="fr-CA"/>
              </w:rPr>
            </w:pPr>
          </w:p>
          <w:p w:rsidR="00F77457" w:rsidRPr="00BC0346" w:rsidRDefault="00F77457" w:rsidP="00EE6982">
            <w:pPr>
              <w:jc w:val="both"/>
              <w:rPr>
                <w:rFonts w:eastAsia="Calibri"/>
                <w:sz w:val="20"/>
                <w:lang w:val="fr-CA"/>
              </w:rPr>
            </w:pPr>
            <w:r w:rsidRPr="00BC0346">
              <w:rPr>
                <w:rFonts w:eastAsia="Calibri"/>
                <w:sz w:val="20"/>
                <w:lang w:val="fr-CA"/>
              </w:rPr>
              <w:t xml:space="preserve">Droit criminel – Preuve – Communication de la preuve – Obligations du ministère public – Compétence de l’avocat de </w:t>
            </w:r>
            <w:r w:rsidRPr="00BC0346">
              <w:rPr>
                <w:rFonts w:eastAsia="Calibri"/>
                <w:sz w:val="20"/>
                <w:lang w:val="fr-CA"/>
              </w:rPr>
              <w:lastRenderedPageBreak/>
              <w:t>la défense – Divulgation des incitations qui auraient été offertes au témoin en échange de son témoignage contre les demandeurs – Est-ce que l’étude de l’allégation d’erreur judiciaire exige l’examen de la compétence de l’avocat de la défense et du comportement du ministère public? – Quelle norme s’applique aux obligations éthiques et professionnelles du ministère public dans le cadre de la communication de la preuve? – Est-ce que la preuve d’expert est nécessaire pour établir la compétence minimale d’un avocat de la défense?</w:t>
            </w:r>
          </w:p>
        </w:tc>
      </w:tr>
      <w:tr w:rsidR="00F77457" w:rsidRPr="00CF1118" w:rsidTr="00EE6982">
        <w:tc>
          <w:tcPr>
            <w:tcW w:w="5000" w:type="pct"/>
            <w:gridSpan w:val="3"/>
          </w:tcPr>
          <w:p w:rsidR="00F77457" w:rsidRPr="00BC0346" w:rsidRDefault="00F77457" w:rsidP="00EE6982">
            <w:pPr>
              <w:jc w:val="both"/>
              <w:rPr>
                <w:rFonts w:eastAsia="Calibri"/>
                <w:sz w:val="20"/>
                <w:lang w:val="fr-CA"/>
              </w:rPr>
            </w:pPr>
          </w:p>
        </w:tc>
      </w:tr>
      <w:tr w:rsidR="00F77457" w:rsidRPr="00CF1118" w:rsidTr="00EE6982">
        <w:tc>
          <w:tcPr>
            <w:tcW w:w="5000" w:type="pct"/>
            <w:gridSpan w:val="3"/>
          </w:tcPr>
          <w:p w:rsidR="00F77457" w:rsidRPr="00BC0346" w:rsidRDefault="00F77457" w:rsidP="00EE6982">
            <w:pPr>
              <w:jc w:val="both"/>
              <w:rPr>
                <w:rFonts w:eastAsia="Calibri"/>
                <w:sz w:val="20"/>
                <w:lang w:val="fr-CA"/>
              </w:rPr>
            </w:pPr>
            <w:r w:rsidRPr="00BC0346">
              <w:rPr>
                <w:rFonts w:eastAsia="Calibri"/>
                <w:sz w:val="20"/>
                <w:lang w:val="fr-CA"/>
              </w:rPr>
              <w:t>Douglas Anderson, un propriétaire de Régina, a été abattu durant un braquage de domicile violent en 2006.  Des accusations ont été portées contre quatre individus, dont un jeune contrevenant, en lien avec la mort de Monsieur Anderson.  Les demandeurs, qui sont frères, étaient parmi les quatre personnes qui ont été accusées.</w:t>
            </w:r>
          </w:p>
          <w:p w:rsidR="00F77457" w:rsidRPr="00BC0346" w:rsidRDefault="00F77457" w:rsidP="00EE6982">
            <w:pPr>
              <w:jc w:val="both"/>
              <w:rPr>
                <w:rFonts w:eastAsia="Calibri"/>
                <w:sz w:val="20"/>
                <w:lang w:val="fr-CA"/>
              </w:rPr>
            </w:pPr>
          </w:p>
          <w:p w:rsidR="00F77457" w:rsidRPr="00BC0346" w:rsidRDefault="00F77457" w:rsidP="00EE6982">
            <w:pPr>
              <w:jc w:val="both"/>
              <w:rPr>
                <w:rFonts w:eastAsia="Calibri"/>
                <w:sz w:val="20"/>
                <w:lang w:val="fr-CA"/>
              </w:rPr>
            </w:pPr>
            <w:r w:rsidRPr="00BC0346">
              <w:rPr>
                <w:rFonts w:eastAsia="Calibri"/>
                <w:sz w:val="20"/>
                <w:lang w:val="fr-CA"/>
              </w:rPr>
              <w:t xml:space="preserve">Les trois adultes qui ont été accusés ont subi leur procès devant un juge et un jury.  Durant le procès, le ministère public a appelé à témoigner deux autres personnes ayant participé au braquage de maison ainsi que la soeur d’un des participants, qui est une connaissance des demandeurs et qui n’a pas participé au braquage de maison mais qui était avec eux avant et après l’infraction.  Ces témoins ont confirmé la théorie du ministère public que le demandeur Jacob Worm a abattu Monsieur Anderson.  Dans ses directives au jury, la juge du procès a averti les jurés qu’ils devaient faire preuve de prudence en acceptant la preuve provenant des complices des demandeurs, notamment parce qu’ils pouvaient avoir eu intérêt à donner une déposition favorable au ministère public.  À la date de son témoignage au procès des demandeurs, un des complices faisait face à des accusations de meurtre au deuxième degré et de voies de fait graves dans un incident distinct.  Il a été libéré sous caution de ces accusations après avoir fait une déclaration à la police en lien avec le braquage de maison de 2006.  La déclaration impliquait les demandeurs. Des accusations n’ont jamais été portées contre lui pour sa participation au braquage de maison durant lequel Monsieur Anderson a été tué. </w:t>
            </w:r>
          </w:p>
          <w:p w:rsidR="00F77457" w:rsidRPr="00BC0346" w:rsidRDefault="00F77457" w:rsidP="00EE6982">
            <w:pPr>
              <w:jc w:val="both"/>
              <w:rPr>
                <w:rFonts w:eastAsia="Calibri"/>
                <w:sz w:val="20"/>
                <w:lang w:val="fr-CA"/>
              </w:rPr>
            </w:pPr>
          </w:p>
          <w:p w:rsidR="00F77457" w:rsidRPr="00BC0346" w:rsidRDefault="00F77457" w:rsidP="00EE6982">
            <w:pPr>
              <w:jc w:val="both"/>
              <w:rPr>
                <w:rFonts w:eastAsia="Calibri"/>
                <w:sz w:val="20"/>
                <w:lang w:val="fr-CA"/>
              </w:rPr>
            </w:pPr>
            <w:r w:rsidRPr="00BC0346">
              <w:rPr>
                <w:rFonts w:eastAsia="Calibri"/>
                <w:sz w:val="20"/>
                <w:lang w:val="fr-CA"/>
              </w:rPr>
              <w:t xml:space="preserve">Le jury a déclaré Jacob Worm coupable de meurtre au deuxième degré et a déclaré son frère, Tyrone Worm, et le troisième accusé, coupables d’homicide involontaire coupable pour le rôle qu’ils ont joué dans l’infraction.  Jacob Worm a été condamné à une peine d’emprisonnement à perpétuité.  Son frère Tyrone a été condamné à une peine de 12 ans de prison. Les demandeurs ont interjeté appel de leurs déclarations de culpabilité et de leurs peines. </w:t>
            </w:r>
          </w:p>
          <w:p w:rsidR="00F77457" w:rsidRPr="00BC0346" w:rsidRDefault="00F77457" w:rsidP="00EE6982">
            <w:pPr>
              <w:jc w:val="both"/>
              <w:rPr>
                <w:rFonts w:eastAsia="Calibri"/>
                <w:sz w:val="20"/>
                <w:lang w:val="fr-CA"/>
              </w:rPr>
            </w:pPr>
          </w:p>
        </w:tc>
      </w:tr>
      <w:tr w:rsidR="00F77457" w:rsidRPr="00CF1118"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30 janvier 2009</w:t>
            </w:r>
          </w:p>
          <w:p w:rsidR="00F77457" w:rsidRPr="00BC0346" w:rsidRDefault="00F77457" w:rsidP="00EE6982">
            <w:pPr>
              <w:jc w:val="both"/>
              <w:rPr>
                <w:rFonts w:eastAsia="Calibri"/>
                <w:sz w:val="20"/>
                <w:lang w:val="fr-CA"/>
              </w:rPr>
            </w:pPr>
            <w:r w:rsidRPr="00BC0346">
              <w:rPr>
                <w:rFonts w:eastAsia="Calibri"/>
                <w:color w:val="000000"/>
                <w:sz w:val="20"/>
                <w:lang w:val="fr-CA"/>
              </w:rPr>
              <w:t xml:space="preserve">Cour du Banc de la Reine de la Saskatchewan </w:t>
            </w:r>
          </w:p>
          <w:p w:rsidR="00F77457" w:rsidRPr="00BC0346" w:rsidRDefault="00F77457" w:rsidP="00EE6982">
            <w:pPr>
              <w:jc w:val="both"/>
              <w:rPr>
                <w:rFonts w:eastAsia="Calibri"/>
                <w:sz w:val="20"/>
              </w:rPr>
            </w:pPr>
            <w:r w:rsidRPr="00BC0346">
              <w:rPr>
                <w:rFonts w:eastAsia="Calibri"/>
                <w:sz w:val="20"/>
              </w:rPr>
              <w:t>(Juge Dawson)</w:t>
            </w:r>
          </w:p>
          <w:p w:rsidR="00F77457" w:rsidRPr="00BC0346" w:rsidRDefault="00F77457" w:rsidP="00EE6982">
            <w:pPr>
              <w:jc w:val="both"/>
              <w:rPr>
                <w:rFonts w:eastAsia="Calibri"/>
                <w:sz w:val="20"/>
              </w:rPr>
            </w:pPr>
            <w:r w:rsidRPr="00BC0346">
              <w:rPr>
                <w:rFonts w:eastAsia="Calibri"/>
                <w:sz w:val="20"/>
              </w:rPr>
              <w:t>Docket No. Q.B.C. 20/2008</w:t>
            </w: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i/>
                <w:sz w:val="20"/>
                <w:lang w:val="fr-CA"/>
              </w:rPr>
            </w:pPr>
            <w:r w:rsidRPr="00BC0346">
              <w:rPr>
                <w:rFonts w:eastAsia="Calibri"/>
                <w:sz w:val="20"/>
                <w:lang w:val="fr-CA"/>
              </w:rPr>
              <w:t xml:space="preserve">Demandeur Jacob Worm est déclaré coupable par un jury de meurtre au deuxième degré en vertu de l’art. 235 du </w:t>
            </w:r>
            <w:r w:rsidRPr="00BC0346">
              <w:rPr>
                <w:rFonts w:eastAsia="Calibri"/>
                <w:i/>
                <w:sz w:val="20"/>
                <w:lang w:val="fr-CA"/>
              </w:rPr>
              <w:t>Code criminel</w:t>
            </w:r>
            <w:r w:rsidRPr="00BC0346">
              <w:rPr>
                <w:rFonts w:eastAsia="Calibri"/>
                <w:sz w:val="20"/>
                <w:lang w:val="fr-CA"/>
              </w:rPr>
              <w:t xml:space="preserve">; Demandeur Tyrone Worm est déclaré coupable par un jury d’homicide involontaire coupable en vertu de l’art. 236 du </w:t>
            </w:r>
            <w:r w:rsidRPr="00BC0346">
              <w:rPr>
                <w:rFonts w:eastAsia="Calibri"/>
                <w:i/>
                <w:sz w:val="20"/>
                <w:lang w:val="fr-CA"/>
              </w:rPr>
              <w:t>Code criminel.</w:t>
            </w:r>
          </w:p>
          <w:p w:rsidR="00F77457" w:rsidRPr="00BC0346" w:rsidRDefault="00F77457" w:rsidP="00EE6982">
            <w:pPr>
              <w:jc w:val="both"/>
              <w:rPr>
                <w:rFonts w:eastAsia="Calibri"/>
                <w:sz w:val="20"/>
                <w:lang w:val="fr-CA"/>
              </w:rPr>
            </w:pPr>
          </w:p>
        </w:tc>
      </w:tr>
      <w:tr w:rsidR="00F77457" w:rsidRPr="00CF1118"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3 avril 2009</w:t>
            </w:r>
          </w:p>
          <w:p w:rsidR="00F77457" w:rsidRPr="00BC0346" w:rsidRDefault="00F77457" w:rsidP="00EE6982">
            <w:pPr>
              <w:jc w:val="both"/>
              <w:rPr>
                <w:rFonts w:eastAsia="Calibri"/>
                <w:sz w:val="20"/>
                <w:lang w:val="fr-CA"/>
              </w:rPr>
            </w:pPr>
            <w:r w:rsidRPr="00BC0346">
              <w:rPr>
                <w:rFonts w:eastAsia="Calibri"/>
                <w:color w:val="000000"/>
                <w:sz w:val="20"/>
                <w:lang w:val="fr-CA"/>
              </w:rPr>
              <w:t xml:space="preserve">Cour du Banc de la Reine de la Saskatchewan </w:t>
            </w:r>
          </w:p>
          <w:p w:rsidR="00F77457" w:rsidRPr="00BC0346" w:rsidRDefault="00F77457" w:rsidP="00EE6982">
            <w:pPr>
              <w:jc w:val="both"/>
              <w:rPr>
                <w:rFonts w:eastAsia="Calibri"/>
                <w:sz w:val="20"/>
              </w:rPr>
            </w:pPr>
            <w:r w:rsidRPr="00BC0346">
              <w:rPr>
                <w:rFonts w:eastAsia="Calibri"/>
                <w:sz w:val="20"/>
              </w:rPr>
              <w:t>(Juge Dawson)</w:t>
            </w:r>
          </w:p>
          <w:p w:rsidR="00F77457" w:rsidRPr="00BC0346" w:rsidRDefault="00742BC3" w:rsidP="00EE6982">
            <w:pPr>
              <w:jc w:val="both"/>
              <w:rPr>
                <w:rFonts w:eastAsia="Calibri"/>
                <w:sz w:val="20"/>
              </w:rPr>
            </w:pPr>
            <w:hyperlink r:id="rId48" w:history="1">
              <w:r w:rsidR="00F77457" w:rsidRPr="00BC0346">
                <w:rPr>
                  <w:rFonts w:eastAsia="Calibri"/>
                  <w:color w:val="0000FF"/>
                  <w:sz w:val="20"/>
                  <w:u w:val="single"/>
                </w:rPr>
                <w:t>2009 SKQB 122</w:t>
              </w:r>
            </w:hyperlink>
          </w:p>
          <w:p w:rsidR="00F77457" w:rsidRPr="00BC0346" w:rsidRDefault="00742BC3" w:rsidP="00EE6982">
            <w:pPr>
              <w:jc w:val="both"/>
              <w:rPr>
                <w:rFonts w:eastAsia="Calibri"/>
                <w:sz w:val="20"/>
              </w:rPr>
            </w:pPr>
            <w:hyperlink r:id="rId49" w:history="1">
              <w:r w:rsidR="00F77457" w:rsidRPr="00BC0346">
                <w:rPr>
                  <w:rFonts w:eastAsia="Calibri"/>
                  <w:color w:val="0000FF"/>
                  <w:sz w:val="20"/>
                  <w:u w:val="single"/>
                </w:rPr>
                <w:t>2009 SKQB 125</w:t>
              </w:r>
            </w:hyperlink>
          </w:p>
          <w:p w:rsidR="00F77457" w:rsidRPr="00BC0346" w:rsidRDefault="00F77457" w:rsidP="00EE6982">
            <w:pPr>
              <w:jc w:val="both"/>
              <w:rPr>
                <w:rFonts w:eastAsia="Calibri"/>
                <w:sz w:val="20"/>
              </w:rPr>
            </w:pPr>
            <w:r w:rsidRPr="00BC0346">
              <w:rPr>
                <w:rFonts w:eastAsia="Calibri"/>
                <w:sz w:val="20"/>
              </w:rPr>
              <w:t>Docket No. Q.B.C. 20/2008</w:t>
            </w:r>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lang w:val="fr-CA"/>
              </w:rPr>
            </w:pPr>
            <w:r w:rsidRPr="00BC0346">
              <w:rPr>
                <w:rFonts w:eastAsia="Calibri"/>
                <w:sz w:val="20"/>
                <w:lang w:val="fr-CA"/>
              </w:rPr>
              <w:t>Demandeur Jacob Worm est condamné à une peine d’emprisonnement à perpétuité sans possibilité de libération conditionnelle avant 16 ans; Demandeur Tyrone Worm est condamné à une peine de 12 ans de prison.</w:t>
            </w:r>
          </w:p>
          <w:p w:rsidR="00F77457" w:rsidRPr="00BC0346" w:rsidRDefault="00F77457" w:rsidP="00EE6982">
            <w:pPr>
              <w:jc w:val="both"/>
              <w:rPr>
                <w:rFonts w:eastAsia="Calibri"/>
                <w:sz w:val="20"/>
                <w:lang w:val="fr-CA"/>
              </w:rPr>
            </w:pPr>
          </w:p>
        </w:tc>
      </w:tr>
      <w:tr w:rsidR="00F77457" w:rsidRPr="00CF1118"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15 septembre 2014</w:t>
            </w:r>
          </w:p>
          <w:p w:rsidR="00F77457" w:rsidRPr="00BC0346" w:rsidRDefault="00F77457" w:rsidP="00EE6982">
            <w:pPr>
              <w:jc w:val="both"/>
              <w:rPr>
                <w:rFonts w:eastAsia="Calibri"/>
                <w:sz w:val="20"/>
                <w:lang w:val="fr-CA"/>
              </w:rPr>
            </w:pPr>
            <w:r w:rsidRPr="00BC0346">
              <w:rPr>
                <w:rFonts w:eastAsia="Calibri"/>
                <w:sz w:val="20"/>
                <w:lang w:val="fr-CA"/>
              </w:rPr>
              <w:t>Cour d’appel de la Saskatchewan</w:t>
            </w:r>
          </w:p>
          <w:p w:rsidR="00F77457" w:rsidRPr="00BC0346" w:rsidRDefault="00F77457" w:rsidP="00EE6982">
            <w:pPr>
              <w:jc w:val="both"/>
              <w:rPr>
                <w:rFonts w:eastAsia="Calibri"/>
                <w:sz w:val="20"/>
                <w:lang w:val="fr-CA"/>
              </w:rPr>
            </w:pPr>
            <w:r w:rsidRPr="00BC0346">
              <w:rPr>
                <w:rFonts w:eastAsia="Calibri"/>
                <w:sz w:val="20"/>
                <w:lang w:val="fr-CA"/>
              </w:rPr>
              <w:t>(Juges Caldwell, Ottenbreit et Herauf)</w:t>
            </w:r>
          </w:p>
          <w:p w:rsidR="00F77457" w:rsidRPr="00BC0346" w:rsidRDefault="00742BC3" w:rsidP="00EE6982">
            <w:pPr>
              <w:jc w:val="both"/>
              <w:rPr>
                <w:rFonts w:eastAsia="Calibri"/>
                <w:sz w:val="20"/>
              </w:rPr>
            </w:pPr>
            <w:hyperlink r:id="rId50" w:history="1">
              <w:r w:rsidR="00F77457" w:rsidRPr="00BC0346">
                <w:rPr>
                  <w:rFonts w:eastAsia="Calibri"/>
                  <w:color w:val="0000FF"/>
                  <w:sz w:val="20"/>
                  <w:u w:val="single"/>
                </w:rPr>
                <w:t>2014 SKCA 94</w:t>
              </w:r>
            </w:hyperlink>
          </w:p>
          <w:p w:rsidR="00F77457" w:rsidRPr="00BC0346" w:rsidRDefault="00F77457" w:rsidP="00EE6982">
            <w:pPr>
              <w:jc w:val="both"/>
              <w:rPr>
                <w:rFonts w:eastAsia="Calibri"/>
                <w:sz w:val="20"/>
              </w:rPr>
            </w:pPr>
            <w:r w:rsidRPr="00BC0346">
              <w:rPr>
                <w:rFonts w:eastAsia="Calibri"/>
                <w:sz w:val="20"/>
              </w:rPr>
              <w:t>Docket Nos. 1673-CR, 1675-CR and 1678-CR</w:t>
            </w:r>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lang w:val="fr-CA"/>
              </w:rPr>
            </w:pPr>
            <w:r w:rsidRPr="00BC0346">
              <w:rPr>
                <w:rFonts w:eastAsia="Calibri"/>
                <w:sz w:val="20"/>
                <w:lang w:val="fr-CA"/>
              </w:rPr>
              <w:t>Appels des déclarations de culpabilité, rejetés; Autorisation d’appel des peines, accordée mais les appels sont rejetés.</w:t>
            </w:r>
          </w:p>
          <w:p w:rsidR="00F77457" w:rsidRPr="00BC0346" w:rsidRDefault="00F77457" w:rsidP="00EE6982">
            <w:pPr>
              <w:jc w:val="both"/>
              <w:rPr>
                <w:rFonts w:eastAsia="Calibri"/>
                <w:sz w:val="20"/>
                <w:lang w:val="fr-CA"/>
              </w:rPr>
            </w:pPr>
          </w:p>
        </w:tc>
      </w:tr>
      <w:tr w:rsidR="00F77457" w:rsidRPr="00BC0346"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14 novembre 2014</w:t>
            </w:r>
          </w:p>
          <w:p w:rsidR="00F77457" w:rsidRPr="00BC0346" w:rsidRDefault="00F77457" w:rsidP="00EE6982">
            <w:pPr>
              <w:jc w:val="both"/>
              <w:rPr>
                <w:rFonts w:eastAsia="Calibri"/>
                <w:sz w:val="20"/>
                <w:lang w:val="fr-CA"/>
              </w:rPr>
            </w:pPr>
            <w:r w:rsidRPr="00BC0346">
              <w:rPr>
                <w:rFonts w:eastAsia="Calibri"/>
                <w:sz w:val="20"/>
                <w:lang w:val="fr-CA"/>
              </w:rPr>
              <w:t>Cour suprême du Canada</w:t>
            </w:r>
          </w:p>
        </w:tc>
        <w:tc>
          <w:tcPr>
            <w:tcW w:w="243" w:type="pct"/>
          </w:tcPr>
          <w:p w:rsidR="00F77457" w:rsidRPr="00BC0346" w:rsidRDefault="00F77457" w:rsidP="00EE6982">
            <w:pPr>
              <w:jc w:val="both"/>
              <w:rPr>
                <w:rFonts w:eastAsia="Calibri"/>
                <w:sz w:val="20"/>
                <w:lang w:val="fr-CA"/>
              </w:rPr>
            </w:pPr>
          </w:p>
        </w:tc>
        <w:tc>
          <w:tcPr>
            <w:tcW w:w="2330" w:type="pct"/>
          </w:tcPr>
          <w:p w:rsidR="00F77457" w:rsidRPr="00BC0346" w:rsidRDefault="00F77457" w:rsidP="00EE6982">
            <w:pPr>
              <w:jc w:val="both"/>
              <w:rPr>
                <w:rFonts w:eastAsia="Calibri"/>
                <w:sz w:val="20"/>
              </w:rPr>
            </w:pPr>
            <w:r w:rsidRPr="00BC0346">
              <w:rPr>
                <w:rFonts w:eastAsia="Calibri"/>
                <w:sz w:val="20"/>
                <w:lang w:val="fr-CA"/>
              </w:rPr>
              <w:t>Demande d’autorisation d’appel déposée.</w:t>
            </w:r>
          </w:p>
          <w:p w:rsidR="00F77457" w:rsidRPr="00BC0346" w:rsidRDefault="00F77457" w:rsidP="00EE6982">
            <w:pPr>
              <w:jc w:val="both"/>
              <w:rPr>
                <w:rFonts w:eastAsia="Calibri"/>
                <w:sz w:val="20"/>
              </w:rPr>
            </w:pPr>
          </w:p>
        </w:tc>
      </w:tr>
    </w:tbl>
    <w:p w:rsidR="0002632D" w:rsidRDefault="0002632D" w:rsidP="0002632D">
      <w:pPr>
        <w:rPr>
          <w:sz w:val="20"/>
          <w:szCs w:val="20"/>
        </w:rPr>
      </w:pPr>
    </w:p>
    <w:p w:rsidR="0002632D" w:rsidRDefault="00742BC3" w:rsidP="0002632D">
      <w:pPr>
        <w:rPr>
          <w:sz w:val="20"/>
          <w:szCs w:val="20"/>
          <w:lang w:val="fr-CA"/>
        </w:rPr>
      </w:pPr>
      <w:r>
        <w:rPr>
          <w:sz w:val="20"/>
          <w:szCs w:val="20"/>
          <w:lang w:val="fr-CA"/>
        </w:rPr>
        <w:pict>
          <v:rect id="_x0000_i1050" style="width:2in;height:1pt" o:hrpct="0" o:hralign="center" o:hrstd="t" o:hrnoshade="t" o:hr="t" fillcolor="black [3213]" stroked="f"/>
        </w:pict>
      </w:r>
    </w:p>
    <w:p w:rsidR="0002632D" w:rsidRDefault="0002632D" w:rsidP="0002632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C6BF5" w:rsidRPr="00CE568C" w:rsidTr="00DC6BF5">
        <w:tc>
          <w:tcPr>
            <w:tcW w:w="1458" w:type="dxa"/>
          </w:tcPr>
          <w:p w:rsidR="00DC6BF5" w:rsidRPr="00CE568C" w:rsidRDefault="00DC6BF5" w:rsidP="00DC6BF5">
            <w:pPr>
              <w:rPr>
                <w:sz w:val="20"/>
                <w:szCs w:val="20"/>
              </w:rPr>
            </w:pPr>
            <w:r w:rsidRPr="00CE568C">
              <w:rPr>
                <w:rStyle w:val="SCCFileNumberChar"/>
                <w:sz w:val="20"/>
                <w:szCs w:val="20"/>
              </w:rPr>
              <w:t>36185</w:t>
            </w:r>
          </w:p>
          <w:p w:rsidR="00DC6BF5" w:rsidRPr="00CE568C" w:rsidRDefault="00DC6BF5" w:rsidP="00DC6BF5">
            <w:pPr>
              <w:rPr>
                <w:b/>
                <w:sz w:val="20"/>
                <w:szCs w:val="20"/>
                <w:lang w:val="fr-CA"/>
              </w:rPr>
            </w:pPr>
          </w:p>
        </w:tc>
        <w:tc>
          <w:tcPr>
            <w:tcW w:w="8118" w:type="dxa"/>
          </w:tcPr>
          <w:p w:rsidR="00DC6BF5" w:rsidRPr="00CE568C" w:rsidRDefault="00DC6BF5" w:rsidP="00DC6BF5">
            <w:pPr>
              <w:rPr>
                <w:sz w:val="20"/>
                <w:szCs w:val="20"/>
              </w:rPr>
            </w:pPr>
            <w:r w:rsidRPr="00CE568C">
              <w:rPr>
                <w:rStyle w:val="SCCLsocChar"/>
                <w:sz w:val="20"/>
                <w:szCs w:val="20"/>
                <w:lang w:val="en-CA"/>
              </w:rPr>
              <w:t>Daryle Jackson Blackduck v. Her Majesty the Queen</w:t>
            </w:r>
            <w:r w:rsidRPr="00CE568C">
              <w:rPr>
                <w:sz w:val="20"/>
                <w:szCs w:val="20"/>
              </w:rPr>
              <w:t xml:space="preserve"> (N.W.T.) (Criminal) (By Leave)</w:t>
            </w:r>
          </w:p>
          <w:p w:rsidR="00DC6BF5" w:rsidRPr="00CE568C" w:rsidRDefault="00DC6BF5" w:rsidP="00DC6BF5">
            <w:pPr>
              <w:rPr>
                <w:sz w:val="20"/>
                <w:szCs w:val="20"/>
              </w:rPr>
            </w:pPr>
          </w:p>
        </w:tc>
      </w:tr>
      <w:tr w:rsidR="00DC6BF5" w:rsidRPr="00CF1118" w:rsidTr="00DC6BF5">
        <w:tc>
          <w:tcPr>
            <w:tcW w:w="1458" w:type="dxa"/>
          </w:tcPr>
          <w:p w:rsidR="00DC6BF5" w:rsidRPr="00CE568C" w:rsidRDefault="00DC6BF5" w:rsidP="00DC6BF5">
            <w:pPr>
              <w:rPr>
                <w:sz w:val="20"/>
                <w:szCs w:val="20"/>
              </w:rPr>
            </w:pPr>
            <w:r w:rsidRPr="00CE568C">
              <w:rPr>
                <w:sz w:val="20"/>
                <w:szCs w:val="20"/>
              </w:rPr>
              <w:t>Coram :</w:t>
            </w:r>
          </w:p>
        </w:tc>
        <w:tc>
          <w:tcPr>
            <w:tcW w:w="8118" w:type="dxa"/>
          </w:tcPr>
          <w:p w:rsidR="00DC6BF5" w:rsidRPr="00CE568C" w:rsidRDefault="00DC6BF5" w:rsidP="00DC6BF5">
            <w:pPr>
              <w:rPr>
                <w:sz w:val="20"/>
                <w:szCs w:val="20"/>
                <w:lang w:val="fr-CA"/>
              </w:rPr>
            </w:pPr>
            <w:r w:rsidRPr="00CE568C">
              <w:rPr>
                <w:rStyle w:val="SCCCoramChar"/>
                <w:sz w:val="20"/>
                <w:szCs w:val="20"/>
              </w:rPr>
              <w:t>Abella, Karakatsanis and Côté JJ.</w:t>
            </w:r>
          </w:p>
          <w:p w:rsidR="00DC6BF5" w:rsidRPr="00CE568C" w:rsidRDefault="00DC6BF5" w:rsidP="00DC6BF5">
            <w:pPr>
              <w:rPr>
                <w:sz w:val="20"/>
                <w:szCs w:val="20"/>
                <w:u w:val="single"/>
                <w:lang w:val="fr-CA"/>
              </w:rPr>
            </w:pPr>
          </w:p>
        </w:tc>
      </w:tr>
      <w:tr w:rsidR="00DC6BF5" w:rsidRPr="00CF1118" w:rsidTr="00DC6BF5">
        <w:tc>
          <w:tcPr>
            <w:tcW w:w="9576" w:type="dxa"/>
            <w:gridSpan w:val="2"/>
          </w:tcPr>
          <w:p w:rsidR="00DC6BF5" w:rsidRPr="00CE568C" w:rsidRDefault="00DC6BF5" w:rsidP="00DC6BF5">
            <w:pPr>
              <w:pStyle w:val="SCCShortJudgment"/>
              <w:rPr>
                <w:szCs w:val="20"/>
              </w:rPr>
            </w:pPr>
            <w:r w:rsidRPr="00CE568C">
              <w:rPr>
                <w:szCs w:val="20"/>
              </w:rPr>
              <w:t>The motion for an extension of time to serve and file the application for leave to appeal is granted. The application for leave to appeal from the judgment of the Supreme Court of the Northwest Territories, Number S-1-CR-2012-000069, 2014 NWTSC 48, dated April 29, 2014, is dismissed.</w:t>
            </w:r>
          </w:p>
          <w:p w:rsidR="00DC6BF5" w:rsidRPr="00CE568C" w:rsidRDefault="00DC6BF5" w:rsidP="00DC6BF5">
            <w:pPr>
              <w:pStyle w:val="SCCShortJudgment"/>
              <w:ind w:firstLine="0"/>
              <w:rPr>
                <w:szCs w:val="20"/>
              </w:rPr>
            </w:pPr>
          </w:p>
          <w:p w:rsidR="00DC6BF5" w:rsidRPr="00CE568C" w:rsidRDefault="00DC6BF5" w:rsidP="00DC6BF5">
            <w:pPr>
              <w:pStyle w:val="SCCShortJudgment"/>
              <w:rPr>
                <w:szCs w:val="20"/>
                <w:lang w:val="fr-CA"/>
              </w:rPr>
            </w:pPr>
            <w:r w:rsidRPr="00CE568C">
              <w:rPr>
                <w:szCs w:val="20"/>
                <w:lang w:val="fr-CA"/>
              </w:rPr>
              <w:t>La requête en prorogation du délai de signification et de dépôt de la demande d’autorisation d’appel est accueillie. La demande d’autorisation d’appel de l’arrêt de la Cour suprême des Territoires du Nord-Ouest, numéro S-1-CR-2012-000069, 2014 NWTSC 48, daté du 29 avril 2014, est rejetée.</w:t>
            </w:r>
          </w:p>
        </w:tc>
      </w:tr>
    </w:tbl>
    <w:p w:rsidR="0002632D" w:rsidRPr="00DC6BF5" w:rsidRDefault="0002632D" w:rsidP="0002632D">
      <w:pPr>
        <w:rPr>
          <w:sz w:val="20"/>
          <w:szCs w:val="20"/>
          <w:lang w:val="fr-CA"/>
        </w:rPr>
      </w:pPr>
    </w:p>
    <w:p w:rsidR="0002632D" w:rsidRPr="001B157C" w:rsidRDefault="0002632D" w:rsidP="0002632D">
      <w:pPr>
        <w:rPr>
          <w:sz w:val="20"/>
          <w:szCs w:val="20"/>
          <w:u w:val="single"/>
        </w:rPr>
      </w:pPr>
      <w:r w:rsidRPr="001B157C">
        <w:rPr>
          <w:sz w:val="20"/>
          <w:szCs w:val="20"/>
          <w:u w:val="single"/>
        </w:rPr>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24"/>
        <w:gridCol w:w="453"/>
        <w:gridCol w:w="4550"/>
      </w:tblGrid>
      <w:tr w:rsidR="00F77457" w:rsidRPr="00BC0346" w:rsidTr="00EE6982">
        <w:tc>
          <w:tcPr>
            <w:tcW w:w="5000" w:type="pct"/>
            <w:gridSpan w:val="3"/>
          </w:tcPr>
          <w:p w:rsidR="00F77457" w:rsidRPr="00BC0346" w:rsidRDefault="00F77457" w:rsidP="00EE6982">
            <w:pPr>
              <w:jc w:val="both"/>
              <w:rPr>
                <w:rFonts w:eastAsia="Calibri"/>
                <w:smallCaps/>
                <w:sz w:val="20"/>
              </w:rPr>
            </w:pPr>
            <w:r w:rsidRPr="00BC0346">
              <w:rPr>
                <w:rFonts w:eastAsia="Calibri"/>
                <w:smallCaps/>
                <w:sz w:val="20"/>
              </w:rPr>
              <w:t xml:space="preserve">(Publication </w:t>
            </w:r>
            <w:r>
              <w:rPr>
                <w:rFonts w:eastAsia="Calibri"/>
                <w:smallCaps/>
                <w:sz w:val="20"/>
              </w:rPr>
              <w:t>B</w:t>
            </w:r>
            <w:r w:rsidRPr="00BC0346">
              <w:rPr>
                <w:rFonts w:eastAsia="Calibri"/>
                <w:smallCaps/>
                <w:sz w:val="20"/>
              </w:rPr>
              <w:t xml:space="preserve">an in </w:t>
            </w:r>
            <w:r>
              <w:rPr>
                <w:rFonts w:eastAsia="Calibri"/>
                <w:smallCaps/>
                <w:sz w:val="20"/>
              </w:rPr>
              <w:t>C</w:t>
            </w:r>
            <w:r w:rsidRPr="00BC0346">
              <w:rPr>
                <w:rFonts w:eastAsia="Calibri"/>
                <w:smallCaps/>
                <w:sz w:val="20"/>
              </w:rPr>
              <w:t>ase)</w:t>
            </w:r>
          </w:p>
          <w:p w:rsidR="00F77457" w:rsidRPr="00BC0346" w:rsidRDefault="00F77457" w:rsidP="00EE6982">
            <w:pPr>
              <w:jc w:val="both"/>
              <w:rPr>
                <w:rFonts w:eastAsia="Calibri"/>
                <w:sz w:val="20"/>
              </w:rPr>
            </w:pPr>
          </w:p>
          <w:p w:rsidR="00F77457" w:rsidRPr="00BC0346" w:rsidRDefault="00F77457" w:rsidP="00EE6982">
            <w:pPr>
              <w:jc w:val="both"/>
              <w:rPr>
                <w:rFonts w:eastAsia="Calibri"/>
                <w:sz w:val="20"/>
              </w:rPr>
            </w:pPr>
            <w:r w:rsidRPr="00BC0346">
              <w:rPr>
                <w:rFonts w:eastAsia="Calibri"/>
                <w:sz w:val="20"/>
              </w:rPr>
              <w:t xml:space="preserve">Criminal law – Jurors – Selection – What is the standard of review when it is alleged that a trial judge has erred in the exercise of his authority to supervise and control the jury selection process – Whether it is appropriate for a trial judge to conclude that when talesmen are sought, a sheriff has limited discretion to exclude potential jurors – </w:t>
            </w:r>
            <w:r w:rsidRPr="00BC0346">
              <w:rPr>
                <w:rFonts w:eastAsia="Calibri"/>
                <w:i/>
                <w:sz w:val="20"/>
              </w:rPr>
              <w:t>Criminal Code</w:t>
            </w:r>
            <w:r w:rsidRPr="00BC0346">
              <w:rPr>
                <w:rFonts w:eastAsia="Calibri"/>
                <w:sz w:val="20"/>
              </w:rPr>
              <w:t>, R.S.C. 1985, c. C-46, s. 629.</w:t>
            </w:r>
          </w:p>
        </w:tc>
      </w:tr>
      <w:tr w:rsidR="00F77457" w:rsidRPr="00BC0346" w:rsidTr="00EE6982">
        <w:tc>
          <w:tcPr>
            <w:tcW w:w="5000" w:type="pct"/>
            <w:gridSpan w:val="3"/>
          </w:tcPr>
          <w:p w:rsidR="00F77457" w:rsidRPr="00BC0346" w:rsidRDefault="00F77457" w:rsidP="00EE6982">
            <w:pPr>
              <w:jc w:val="both"/>
              <w:rPr>
                <w:rFonts w:eastAsia="Calibri"/>
                <w:sz w:val="20"/>
              </w:rPr>
            </w:pPr>
          </w:p>
        </w:tc>
      </w:tr>
      <w:tr w:rsidR="00F77457" w:rsidRPr="00BC0346" w:rsidTr="00EE6982">
        <w:tc>
          <w:tcPr>
            <w:tcW w:w="5000" w:type="pct"/>
            <w:gridSpan w:val="3"/>
          </w:tcPr>
          <w:p w:rsidR="00F77457" w:rsidRPr="00BC0346" w:rsidRDefault="00F77457" w:rsidP="00EE6982">
            <w:pPr>
              <w:jc w:val="both"/>
              <w:rPr>
                <w:rFonts w:eastAsia="Calibri"/>
                <w:sz w:val="20"/>
              </w:rPr>
            </w:pPr>
            <w:r w:rsidRPr="00BC0346">
              <w:rPr>
                <w:rFonts w:eastAsia="Calibri"/>
                <w:sz w:val="20"/>
              </w:rPr>
              <w:t>Mr. Blackduck’s trial on a charge of sexual assault was scheduled to begin on April 28, 2014.  He elected trial by judge and jury.  Jury selection proceeded and a number of people were excused on consent of the Crown and defence counsel.  A number of others were excused for various reasons including relationships with the accused or witnesses involved in the case, the inability to understand English and personal hardship.</w:t>
            </w:r>
          </w:p>
          <w:p w:rsidR="00F77457" w:rsidRPr="00BC0346" w:rsidRDefault="00F77457" w:rsidP="00EE6982">
            <w:pPr>
              <w:jc w:val="both"/>
              <w:rPr>
                <w:rFonts w:eastAsia="Calibri"/>
                <w:sz w:val="20"/>
              </w:rPr>
            </w:pPr>
          </w:p>
          <w:p w:rsidR="00F77457" w:rsidRPr="00BC0346" w:rsidRDefault="00F77457" w:rsidP="00EE6982">
            <w:pPr>
              <w:jc w:val="both"/>
              <w:rPr>
                <w:rFonts w:eastAsia="Calibri"/>
                <w:sz w:val="20"/>
              </w:rPr>
            </w:pPr>
            <w:r w:rsidRPr="00BC0346">
              <w:rPr>
                <w:rFonts w:eastAsia="Calibri"/>
                <w:sz w:val="20"/>
              </w:rPr>
              <w:t>Six jurors were selected before the initial jury panel was exhausted.  The Crown’s request for the summoning of talesmen was then granted and the Deputy Sheriff was directed to summons approximately 30 talesmen for jury selection.  One of the selected jurors was subsequently excused on the basis of personal hardship as he had a funeral to attend in another community.  This left five jurors remaining on the jury and eight jurors (including an alternate) yet to be selected.</w:t>
            </w:r>
          </w:p>
          <w:p w:rsidR="00F77457" w:rsidRPr="00BC0346" w:rsidRDefault="00F77457" w:rsidP="00EE6982">
            <w:pPr>
              <w:jc w:val="both"/>
              <w:rPr>
                <w:rFonts w:eastAsia="Calibri"/>
                <w:sz w:val="20"/>
              </w:rPr>
            </w:pPr>
          </w:p>
          <w:p w:rsidR="00F77457" w:rsidRPr="00BC0346" w:rsidRDefault="00F77457" w:rsidP="00EE6982">
            <w:pPr>
              <w:jc w:val="both"/>
              <w:rPr>
                <w:rFonts w:eastAsia="Calibri"/>
                <w:sz w:val="20"/>
              </w:rPr>
            </w:pPr>
            <w:r w:rsidRPr="00BC0346">
              <w:rPr>
                <w:rFonts w:eastAsia="Calibri"/>
                <w:sz w:val="20"/>
              </w:rPr>
              <w:t xml:space="preserve">The jury panel had assembled for the continuation of jury selection when defence counsel advised that he would be making an application challenging the jury panel pursuant to s. 629 of the </w:t>
            </w:r>
            <w:r w:rsidRPr="00BC0346">
              <w:rPr>
                <w:rFonts w:eastAsia="Calibri"/>
                <w:i/>
                <w:sz w:val="20"/>
              </w:rPr>
              <w:t>Criminal Code</w:t>
            </w:r>
            <w:r w:rsidRPr="00BC0346">
              <w:rPr>
                <w:rFonts w:eastAsia="Calibri"/>
                <w:sz w:val="20"/>
              </w:rPr>
              <w:t>.  Defence counsel advised that he had spoken with the court interpreter and was concerned that the Deputy Sheriff had engaged in pre-screening by attending certain locations and by pre-screening talesmen for relationships with the accused, complainant and witnesses in the trial.  Defence counsel alleged that the Deputy Sheriff was guilty of partiality in returning the panel of talesmen.  The application was dismissed and jury selection continued.</w:t>
            </w:r>
          </w:p>
          <w:p w:rsidR="00F77457" w:rsidRPr="00BC0346" w:rsidRDefault="00F77457" w:rsidP="00EE6982">
            <w:pPr>
              <w:jc w:val="both"/>
              <w:rPr>
                <w:rFonts w:eastAsia="Calibri"/>
                <w:sz w:val="20"/>
              </w:rPr>
            </w:pPr>
          </w:p>
          <w:p w:rsidR="00F77457" w:rsidRPr="00BC0346" w:rsidRDefault="00F77457" w:rsidP="00EE6982">
            <w:pPr>
              <w:jc w:val="both"/>
              <w:rPr>
                <w:rFonts w:eastAsia="Calibri"/>
                <w:sz w:val="20"/>
              </w:rPr>
            </w:pPr>
            <w:r w:rsidRPr="00BC0346">
              <w:rPr>
                <w:rFonts w:eastAsia="Calibri"/>
                <w:sz w:val="20"/>
              </w:rPr>
              <w:t>On April 29, 2014 twenty five persons attended for jury selection; five were absent.  A number of people were excused for various reasons. Four more jurors were selected before the additional panel was exhausted.  At the end of jury selection, nine jurors had been selected.  The Crown did not seek to have further talesmen summoned.  As a full jury had not been selected, a mistrial was declared.  A new trial date of January 19, 2015 was scheduled.</w:t>
            </w:r>
          </w:p>
          <w:p w:rsidR="00F77457" w:rsidRPr="00BC0346" w:rsidRDefault="00F77457" w:rsidP="00EE6982">
            <w:pPr>
              <w:jc w:val="both"/>
              <w:rPr>
                <w:rFonts w:eastAsia="Calibri"/>
                <w:sz w:val="20"/>
              </w:rPr>
            </w:pPr>
          </w:p>
        </w:tc>
      </w:tr>
      <w:tr w:rsidR="00F77457" w:rsidRPr="00BC0346" w:rsidTr="00EE6982">
        <w:tc>
          <w:tcPr>
            <w:tcW w:w="2374" w:type="pct"/>
          </w:tcPr>
          <w:p w:rsidR="00F77457" w:rsidRPr="00BC0346" w:rsidRDefault="00F77457" w:rsidP="00EE6982">
            <w:pPr>
              <w:jc w:val="both"/>
              <w:rPr>
                <w:rFonts w:eastAsia="Calibri"/>
                <w:sz w:val="20"/>
              </w:rPr>
            </w:pPr>
            <w:r w:rsidRPr="00BC0346">
              <w:rPr>
                <w:rFonts w:eastAsia="Calibri"/>
                <w:sz w:val="20"/>
              </w:rPr>
              <w:t>April 29, 2014</w:t>
            </w:r>
          </w:p>
          <w:p w:rsidR="00F77457" w:rsidRPr="00BC0346" w:rsidRDefault="00F77457" w:rsidP="00EE6982">
            <w:pPr>
              <w:jc w:val="both"/>
              <w:rPr>
                <w:rFonts w:eastAsia="Calibri"/>
                <w:sz w:val="20"/>
              </w:rPr>
            </w:pPr>
            <w:r w:rsidRPr="00BC0346">
              <w:rPr>
                <w:rFonts w:eastAsia="Calibri"/>
                <w:sz w:val="20"/>
              </w:rPr>
              <w:t>Supreme Court of the Northwest Territories</w:t>
            </w:r>
          </w:p>
          <w:p w:rsidR="00F77457" w:rsidRPr="00BC0346" w:rsidRDefault="00F77457" w:rsidP="00EE6982">
            <w:pPr>
              <w:jc w:val="both"/>
              <w:rPr>
                <w:rFonts w:eastAsia="Calibri"/>
                <w:sz w:val="20"/>
              </w:rPr>
            </w:pPr>
            <w:r w:rsidRPr="00BC0346">
              <w:rPr>
                <w:rFonts w:eastAsia="Calibri"/>
                <w:sz w:val="20"/>
              </w:rPr>
              <w:t>(Smallwood J.)</w:t>
            </w:r>
          </w:p>
          <w:p w:rsidR="00F77457" w:rsidRPr="00BC0346" w:rsidRDefault="00F77457" w:rsidP="00EE6982">
            <w:pPr>
              <w:jc w:val="both"/>
              <w:rPr>
                <w:rFonts w:eastAsia="Calibri"/>
                <w:sz w:val="20"/>
              </w:rPr>
            </w:pPr>
            <w:r w:rsidRPr="00BC0346">
              <w:rPr>
                <w:rFonts w:eastAsia="Calibri"/>
                <w:sz w:val="20"/>
              </w:rPr>
              <w:t>2014 NWTSC 48; S-1-CR-2012-000069</w:t>
            </w:r>
          </w:p>
          <w:p w:rsidR="00F77457" w:rsidRPr="00BC0346" w:rsidRDefault="00742BC3" w:rsidP="00EE6982">
            <w:pPr>
              <w:jc w:val="both"/>
              <w:rPr>
                <w:rFonts w:eastAsia="Calibri"/>
                <w:sz w:val="20"/>
              </w:rPr>
            </w:pPr>
            <w:hyperlink r:id="rId51" w:history="1">
              <w:r w:rsidR="00F77457" w:rsidRPr="00BC0346">
                <w:rPr>
                  <w:rFonts w:eastAsia="Calibri"/>
                  <w:color w:val="0000FF"/>
                  <w:sz w:val="20"/>
                  <w:u w:val="single"/>
                </w:rPr>
                <w:t>http://canlii.ca/t/g83bl</w:t>
              </w:r>
            </w:hyperlink>
          </w:p>
          <w:p w:rsidR="00F77457" w:rsidRPr="00BC0346" w:rsidRDefault="00F77457" w:rsidP="00EE6982">
            <w:pPr>
              <w:jc w:val="both"/>
              <w:rPr>
                <w:rFonts w:eastAsia="Calibri"/>
                <w:sz w:val="20"/>
              </w:rPr>
            </w:pPr>
          </w:p>
        </w:tc>
        <w:tc>
          <w:tcPr>
            <w:tcW w:w="238" w:type="pct"/>
          </w:tcPr>
          <w:p w:rsidR="00F77457" w:rsidRPr="00BC0346" w:rsidRDefault="00F77457" w:rsidP="00EE6982">
            <w:pPr>
              <w:jc w:val="both"/>
              <w:rPr>
                <w:rFonts w:eastAsia="Calibri"/>
                <w:sz w:val="20"/>
              </w:rPr>
            </w:pPr>
          </w:p>
        </w:tc>
        <w:tc>
          <w:tcPr>
            <w:tcW w:w="2388" w:type="pct"/>
          </w:tcPr>
          <w:p w:rsidR="00F77457" w:rsidRPr="00BC0346" w:rsidRDefault="00F77457" w:rsidP="00EE6982">
            <w:pPr>
              <w:jc w:val="both"/>
              <w:rPr>
                <w:rFonts w:eastAsia="Calibri"/>
                <w:sz w:val="20"/>
              </w:rPr>
            </w:pPr>
            <w:r w:rsidRPr="00BC0346">
              <w:rPr>
                <w:rFonts w:eastAsia="Calibri"/>
                <w:sz w:val="20"/>
              </w:rPr>
              <w:t>Application challenging jury panel dismissed</w:t>
            </w:r>
          </w:p>
          <w:p w:rsidR="00F77457" w:rsidRPr="00BC0346" w:rsidRDefault="00F77457" w:rsidP="00EE6982">
            <w:pPr>
              <w:jc w:val="both"/>
              <w:rPr>
                <w:rFonts w:eastAsia="Calibri"/>
                <w:sz w:val="20"/>
              </w:rPr>
            </w:pPr>
          </w:p>
        </w:tc>
      </w:tr>
      <w:tr w:rsidR="00F77457" w:rsidRPr="00BC0346" w:rsidTr="00EE6982">
        <w:tc>
          <w:tcPr>
            <w:tcW w:w="2374" w:type="pct"/>
          </w:tcPr>
          <w:p w:rsidR="00F77457" w:rsidRPr="00BC0346" w:rsidRDefault="00F77457" w:rsidP="00EE6982">
            <w:pPr>
              <w:jc w:val="both"/>
              <w:rPr>
                <w:rFonts w:eastAsia="Calibri"/>
                <w:sz w:val="20"/>
              </w:rPr>
            </w:pPr>
            <w:r w:rsidRPr="00BC0346">
              <w:rPr>
                <w:rFonts w:eastAsia="Calibri"/>
                <w:sz w:val="20"/>
              </w:rPr>
              <w:lastRenderedPageBreak/>
              <w:t>November 20, 2014</w:t>
            </w:r>
          </w:p>
          <w:p w:rsidR="00F77457" w:rsidRPr="00BC0346" w:rsidRDefault="00F77457" w:rsidP="00EE6982">
            <w:pPr>
              <w:jc w:val="both"/>
              <w:rPr>
                <w:rFonts w:eastAsia="Calibri"/>
                <w:sz w:val="20"/>
              </w:rPr>
            </w:pPr>
            <w:r w:rsidRPr="00BC0346">
              <w:rPr>
                <w:rFonts w:eastAsia="Calibri"/>
                <w:sz w:val="20"/>
              </w:rPr>
              <w:t>Supreme Court of Canada</w:t>
            </w:r>
          </w:p>
        </w:tc>
        <w:tc>
          <w:tcPr>
            <w:tcW w:w="238" w:type="pct"/>
          </w:tcPr>
          <w:p w:rsidR="00F77457" w:rsidRPr="00BC0346" w:rsidRDefault="00F77457" w:rsidP="00EE6982">
            <w:pPr>
              <w:jc w:val="both"/>
              <w:rPr>
                <w:rFonts w:eastAsia="Calibri"/>
                <w:sz w:val="20"/>
              </w:rPr>
            </w:pPr>
          </w:p>
        </w:tc>
        <w:tc>
          <w:tcPr>
            <w:tcW w:w="2388" w:type="pct"/>
          </w:tcPr>
          <w:p w:rsidR="00F77457" w:rsidRPr="00BC0346" w:rsidRDefault="00F77457" w:rsidP="00EE6982">
            <w:pPr>
              <w:jc w:val="both"/>
              <w:rPr>
                <w:rFonts w:eastAsia="Calibri"/>
                <w:sz w:val="20"/>
              </w:rPr>
            </w:pPr>
            <w:r w:rsidRPr="00BC0346">
              <w:rPr>
                <w:rFonts w:eastAsia="Calibri"/>
                <w:sz w:val="20"/>
              </w:rPr>
              <w:t>Motion for extension of time to serve and file application for leave to appeal and Application for leave to appeal filed</w:t>
            </w: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51"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24"/>
        <w:gridCol w:w="453"/>
        <w:gridCol w:w="4550"/>
      </w:tblGrid>
      <w:tr w:rsidR="00F77457" w:rsidRPr="00BC0346" w:rsidTr="00EE6982">
        <w:tc>
          <w:tcPr>
            <w:tcW w:w="5000" w:type="pct"/>
            <w:gridSpan w:val="3"/>
          </w:tcPr>
          <w:p w:rsidR="00F77457" w:rsidRPr="00BC0346" w:rsidRDefault="00F77457" w:rsidP="00EE6982">
            <w:pPr>
              <w:jc w:val="both"/>
              <w:rPr>
                <w:rFonts w:eastAsia="Calibri"/>
                <w:smallCaps/>
                <w:sz w:val="20"/>
                <w:lang w:val="fr-CA"/>
              </w:rPr>
            </w:pPr>
            <w:r w:rsidRPr="00BC0346">
              <w:rPr>
                <w:rFonts w:eastAsia="Calibri"/>
                <w:smallCaps/>
                <w:sz w:val="20"/>
                <w:lang w:val="fr-CA"/>
              </w:rPr>
              <w:t>(Ordonnance de non-publication dans le dossier)</w:t>
            </w:r>
          </w:p>
          <w:p w:rsidR="00F77457" w:rsidRPr="00BC0346" w:rsidRDefault="00F77457" w:rsidP="00EE6982">
            <w:pPr>
              <w:jc w:val="both"/>
              <w:rPr>
                <w:rFonts w:eastAsia="Calibri"/>
                <w:sz w:val="20"/>
                <w:lang w:val="fr-CA"/>
              </w:rPr>
            </w:pPr>
          </w:p>
          <w:p w:rsidR="00F77457" w:rsidRPr="00BC0346" w:rsidRDefault="00F77457" w:rsidP="00EE6982">
            <w:pPr>
              <w:jc w:val="both"/>
              <w:rPr>
                <w:rFonts w:eastAsia="Calibri"/>
                <w:sz w:val="20"/>
                <w:lang w:val="fr-CA"/>
              </w:rPr>
            </w:pPr>
            <w:r w:rsidRPr="00BC0346">
              <w:rPr>
                <w:rFonts w:eastAsia="Calibri"/>
                <w:sz w:val="20"/>
                <w:lang w:val="fr-CA"/>
              </w:rPr>
              <w:t xml:space="preserve">Droit criminel – Jurés – Sélection – Quelle est la norme de contrôle lorsqu’il est allégué que le juge du procès a commis une erreur dans l’exercice de son pouvoir de superviser et de contrôler le processus de sélection du jury? – Est-il loisible au juge du procès de conclure que lorsque des jurés </w:t>
            </w:r>
            <w:r w:rsidRPr="00BC0346">
              <w:rPr>
                <w:rFonts w:eastAsia="Calibri"/>
                <w:i/>
                <w:sz w:val="20"/>
                <w:lang w:val="fr-CA"/>
              </w:rPr>
              <w:t>ad hoc</w:t>
            </w:r>
            <w:r w:rsidRPr="00BC0346">
              <w:rPr>
                <w:rFonts w:eastAsia="Calibri"/>
                <w:sz w:val="20"/>
                <w:lang w:val="fr-CA"/>
              </w:rPr>
              <w:t xml:space="preserve"> sont recherchés, le shérif jouit d’un pouvoir discrétionnaire limité pour exclure des candidats jurés? – </w:t>
            </w:r>
            <w:r w:rsidRPr="00BC0346">
              <w:rPr>
                <w:rFonts w:eastAsia="Calibri"/>
                <w:i/>
                <w:sz w:val="20"/>
                <w:lang w:val="fr-CA"/>
              </w:rPr>
              <w:t>Code criminel</w:t>
            </w:r>
            <w:r w:rsidRPr="00BC0346">
              <w:rPr>
                <w:rFonts w:eastAsia="Calibri"/>
                <w:sz w:val="20"/>
                <w:lang w:val="fr-CA"/>
              </w:rPr>
              <w:t>, L.R.C. 1985, ch. C-46, art. 629.</w:t>
            </w:r>
          </w:p>
        </w:tc>
      </w:tr>
      <w:tr w:rsidR="00F77457" w:rsidRPr="00BC0346" w:rsidTr="00EE6982">
        <w:tc>
          <w:tcPr>
            <w:tcW w:w="5000" w:type="pct"/>
            <w:gridSpan w:val="3"/>
          </w:tcPr>
          <w:p w:rsidR="00F77457" w:rsidRPr="00BC0346" w:rsidRDefault="00F77457" w:rsidP="00EE6982">
            <w:pPr>
              <w:jc w:val="both"/>
              <w:rPr>
                <w:rFonts w:eastAsia="Calibri"/>
                <w:sz w:val="20"/>
                <w:lang w:val="fr-CA"/>
              </w:rPr>
            </w:pPr>
          </w:p>
        </w:tc>
      </w:tr>
      <w:tr w:rsidR="00F77457" w:rsidRPr="00CF1118" w:rsidTr="00EE6982">
        <w:tc>
          <w:tcPr>
            <w:tcW w:w="5000" w:type="pct"/>
            <w:gridSpan w:val="3"/>
          </w:tcPr>
          <w:p w:rsidR="00F77457" w:rsidRPr="00BC0346" w:rsidRDefault="00F77457" w:rsidP="00EE6982">
            <w:pPr>
              <w:jc w:val="both"/>
              <w:rPr>
                <w:rFonts w:eastAsia="Calibri"/>
                <w:sz w:val="20"/>
                <w:lang w:val="fr-CA"/>
              </w:rPr>
            </w:pPr>
            <w:r w:rsidRPr="00BC0346">
              <w:rPr>
                <w:rFonts w:eastAsia="Calibri"/>
                <w:sz w:val="20"/>
                <w:lang w:val="fr-CA"/>
              </w:rPr>
              <w:t>Le procès de M. Blackduck, accusé d’agression sexuelle, devait commencer le 28 avril 2014.  Il a choisi de subir son procès devant juge et jury.  La sélection du jury s’est mise en branle et un certain nombre de personnes ont été dispensées sur consentement du ministère public et de l’avocat de la défense.  D’autres ont été dispensées pour diverses raisons, notamment en raison de leurs liens avec l’accusé ou des témoins impliqués dans l’affaire, de leur incapacité de comprendre l’anglais et pour cause d’inconvénient personnel sérieux.</w:t>
            </w:r>
          </w:p>
          <w:p w:rsidR="00F77457" w:rsidRPr="00BC0346" w:rsidRDefault="00F77457" w:rsidP="00EE6982">
            <w:pPr>
              <w:jc w:val="both"/>
              <w:rPr>
                <w:rFonts w:eastAsia="Calibri"/>
                <w:sz w:val="20"/>
                <w:lang w:val="fr-CA"/>
              </w:rPr>
            </w:pPr>
          </w:p>
          <w:p w:rsidR="00F77457" w:rsidRPr="00BC0346" w:rsidRDefault="00F77457" w:rsidP="00EE6982">
            <w:pPr>
              <w:jc w:val="both"/>
              <w:rPr>
                <w:rFonts w:eastAsia="Calibri"/>
                <w:sz w:val="20"/>
                <w:lang w:val="fr-CA"/>
              </w:rPr>
            </w:pPr>
            <w:r w:rsidRPr="00BC0346">
              <w:rPr>
                <w:rFonts w:eastAsia="Calibri"/>
                <w:sz w:val="20"/>
                <w:lang w:val="fr-CA"/>
              </w:rPr>
              <w:t xml:space="preserve">Six jurés ont été choisis avant l’épuisement du tableau initial des jurés.  La demande du ministère public pour l’assignation de jurés </w:t>
            </w:r>
            <w:r w:rsidRPr="00BC0346">
              <w:rPr>
                <w:rFonts w:eastAsia="Calibri"/>
                <w:i/>
                <w:sz w:val="20"/>
                <w:lang w:val="fr-CA"/>
              </w:rPr>
              <w:t>ad hoc</w:t>
            </w:r>
            <w:r w:rsidRPr="00BC0346">
              <w:rPr>
                <w:rFonts w:eastAsia="Calibri"/>
                <w:sz w:val="20"/>
                <w:lang w:val="fr-CA"/>
              </w:rPr>
              <w:t xml:space="preserve"> a alors été accueillie et le shérif adjoint a reçu l’ordre d’assigner environ 30 jurés </w:t>
            </w:r>
            <w:r w:rsidRPr="00BC0346">
              <w:rPr>
                <w:rFonts w:eastAsia="Calibri"/>
                <w:i/>
                <w:sz w:val="20"/>
                <w:lang w:val="fr-CA"/>
              </w:rPr>
              <w:t>ad hoc</w:t>
            </w:r>
            <w:r w:rsidRPr="00BC0346">
              <w:rPr>
                <w:rFonts w:eastAsia="Calibri"/>
                <w:sz w:val="20"/>
                <w:lang w:val="fr-CA"/>
              </w:rPr>
              <w:t xml:space="preserve"> pour la sélection du jury.  Un des jurés choisis a été subséquemment dispensé pour cause d’inconvénient personnel sérieux, puisqu’il devait assister à des obsèques dans une autre communauté.  Il restait donc cinq jurés sur le jury et il fallait en choisir huit autres (y compris un suppléant).</w:t>
            </w:r>
          </w:p>
          <w:p w:rsidR="00F77457" w:rsidRPr="00BC0346" w:rsidRDefault="00F77457" w:rsidP="00EE6982">
            <w:pPr>
              <w:jc w:val="both"/>
              <w:rPr>
                <w:rFonts w:eastAsia="Calibri"/>
                <w:sz w:val="20"/>
                <w:lang w:val="fr-CA"/>
              </w:rPr>
            </w:pPr>
          </w:p>
          <w:p w:rsidR="00F77457" w:rsidRPr="00BC0346" w:rsidRDefault="00F77457" w:rsidP="00EE6982">
            <w:pPr>
              <w:jc w:val="both"/>
              <w:rPr>
                <w:rFonts w:eastAsia="Calibri"/>
                <w:sz w:val="20"/>
                <w:lang w:val="fr-CA"/>
              </w:rPr>
            </w:pPr>
            <w:r w:rsidRPr="00BC0346">
              <w:rPr>
                <w:rFonts w:eastAsia="Calibri"/>
                <w:sz w:val="20"/>
                <w:lang w:val="fr-CA"/>
              </w:rPr>
              <w:t xml:space="preserve">Les jurés du tableau s’étaient réunis pour la suite de la sélection du jury lorsque l’avocat de la défense a fait savoir qu’il allait présenter une demande de récusation du tableau des jurés en application de l’art. 629 du </w:t>
            </w:r>
            <w:r w:rsidRPr="00BC0346">
              <w:rPr>
                <w:rFonts w:eastAsia="Calibri"/>
                <w:i/>
                <w:sz w:val="20"/>
                <w:lang w:val="fr-CA"/>
              </w:rPr>
              <w:t>Code criminel</w:t>
            </w:r>
            <w:r w:rsidRPr="00BC0346">
              <w:rPr>
                <w:rFonts w:eastAsia="Calibri"/>
                <w:sz w:val="20"/>
                <w:lang w:val="fr-CA"/>
              </w:rPr>
              <w:t xml:space="preserve">.  L’avocat de la défense a fait savoir qu’il avait parlé à l’interprète judiciaire et qu’il craignait que le shérif adjoint se soit livré à une présélection des candidats en se rendant à certains endroits et en faisant la présélection des jurés </w:t>
            </w:r>
            <w:r w:rsidRPr="00BC0346">
              <w:rPr>
                <w:rFonts w:eastAsia="Calibri"/>
                <w:i/>
                <w:sz w:val="20"/>
                <w:lang w:val="fr-CA"/>
              </w:rPr>
              <w:t>ad hoc</w:t>
            </w:r>
            <w:r w:rsidRPr="00BC0346">
              <w:rPr>
                <w:rFonts w:eastAsia="Calibri"/>
                <w:sz w:val="20"/>
                <w:lang w:val="fr-CA"/>
              </w:rPr>
              <w:t xml:space="preserve"> pour connaître leurs liens avec l’accusé, la plaignante et les témoins au procès.  Selon l’avocat de la défense, le shérif adjoint était coupable de parti pris dans l’établissement du tableau des jurés </w:t>
            </w:r>
            <w:r w:rsidRPr="00BC0346">
              <w:rPr>
                <w:rFonts w:eastAsia="Calibri"/>
                <w:i/>
                <w:sz w:val="20"/>
                <w:lang w:val="fr-CA"/>
              </w:rPr>
              <w:t>ad hoc</w:t>
            </w:r>
            <w:r w:rsidRPr="00BC0346">
              <w:rPr>
                <w:rFonts w:eastAsia="Calibri"/>
                <w:sz w:val="20"/>
                <w:lang w:val="fr-CA"/>
              </w:rPr>
              <w:t>.  La demande a été rejetée et la sélection du jury s’est poursuivie.</w:t>
            </w:r>
          </w:p>
          <w:p w:rsidR="00F77457" w:rsidRPr="00BC0346" w:rsidRDefault="00F77457" w:rsidP="00EE6982">
            <w:pPr>
              <w:jc w:val="both"/>
              <w:rPr>
                <w:rFonts w:eastAsia="Calibri"/>
                <w:sz w:val="20"/>
                <w:lang w:val="fr-CA"/>
              </w:rPr>
            </w:pPr>
          </w:p>
          <w:p w:rsidR="00F77457" w:rsidRPr="00BC0346" w:rsidRDefault="00F77457" w:rsidP="00EE6982">
            <w:pPr>
              <w:jc w:val="both"/>
              <w:rPr>
                <w:rFonts w:eastAsia="Calibri"/>
                <w:sz w:val="20"/>
                <w:lang w:val="fr-CA"/>
              </w:rPr>
            </w:pPr>
            <w:r w:rsidRPr="00BC0346">
              <w:rPr>
                <w:rFonts w:eastAsia="Calibri"/>
                <w:sz w:val="20"/>
                <w:lang w:val="fr-CA"/>
              </w:rPr>
              <w:t xml:space="preserve">Le 29 avril 2014, vingt-cinq personnes se sont présentées à la sélection du jury; cinq personnes étaient absentes.  Un certain nombre de personnes ont été dispensées pour diverses raisons.  Quatre jurés de plus ont été choisis avant l’épuisement du tableau supplémentaire.  Au terme de la sélection du jury, neuf jurés avaient été choisis.  Le ministère public n’a pas demandé que d’autres jurés </w:t>
            </w:r>
            <w:r w:rsidRPr="00BC0346">
              <w:rPr>
                <w:rFonts w:eastAsia="Calibri"/>
                <w:i/>
                <w:sz w:val="20"/>
                <w:lang w:val="fr-CA"/>
              </w:rPr>
              <w:t>ad hoc</w:t>
            </w:r>
            <w:r w:rsidRPr="00BC0346">
              <w:rPr>
                <w:rFonts w:eastAsia="Calibri"/>
                <w:sz w:val="20"/>
                <w:lang w:val="fr-CA"/>
              </w:rPr>
              <w:t xml:space="preserve"> soit assignés.  Puisqu’un jury complet n’avait pas été sélectionné, le procès a été annulé.  Une date a été fixée pour la tenue d’un nouveau procès, à savoir le 19 janvier 2015.</w:t>
            </w:r>
          </w:p>
          <w:p w:rsidR="00F77457" w:rsidRPr="00BC0346" w:rsidRDefault="00F77457" w:rsidP="00EE6982">
            <w:pPr>
              <w:jc w:val="both"/>
              <w:rPr>
                <w:rFonts w:eastAsia="Calibri"/>
                <w:sz w:val="20"/>
                <w:lang w:val="fr-CA"/>
              </w:rPr>
            </w:pPr>
          </w:p>
        </w:tc>
      </w:tr>
      <w:tr w:rsidR="00F77457" w:rsidRPr="00CF1118" w:rsidTr="00EE6982">
        <w:tc>
          <w:tcPr>
            <w:tcW w:w="2374" w:type="pct"/>
          </w:tcPr>
          <w:p w:rsidR="00F77457" w:rsidRPr="00BC0346" w:rsidRDefault="00F77457" w:rsidP="00EE6982">
            <w:pPr>
              <w:jc w:val="both"/>
              <w:rPr>
                <w:rFonts w:eastAsia="Calibri"/>
                <w:sz w:val="20"/>
                <w:lang w:val="fr-CA"/>
              </w:rPr>
            </w:pPr>
            <w:r w:rsidRPr="00BC0346">
              <w:rPr>
                <w:rFonts w:eastAsia="Calibri"/>
                <w:sz w:val="20"/>
                <w:lang w:val="fr-CA"/>
              </w:rPr>
              <w:t>29 avril 2014</w:t>
            </w:r>
          </w:p>
          <w:p w:rsidR="00F77457" w:rsidRPr="00BC0346" w:rsidRDefault="00F77457" w:rsidP="00EE6982">
            <w:pPr>
              <w:jc w:val="both"/>
              <w:rPr>
                <w:rFonts w:eastAsia="Calibri"/>
                <w:sz w:val="20"/>
                <w:lang w:val="fr-CA"/>
              </w:rPr>
            </w:pPr>
            <w:r w:rsidRPr="00BC0346">
              <w:rPr>
                <w:rFonts w:eastAsia="Calibri"/>
                <w:sz w:val="20"/>
                <w:lang w:val="fr-CA"/>
              </w:rPr>
              <w:t>Cour suprême des Territoires-du-Nord-Ouest</w:t>
            </w:r>
          </w:p>
          <w:p w:rsidR="00F77457" w:rsidRPr="00BC0346" w:rsidRDefault="00F77457" w:rsidP="00EE6982">
            <w:pPr>
              <w:jc w:val="both"/>
              <w:rPr>
                <w:rFonts w:eastAsia="Calibri"/>
                <w:sz w:val="20"/>
              </w:rPr>
            </w:pPr>
            <w:r w:rsidRPr="00BC0346">
              <w:rPr>
                <w:rFonts w:eastAsia="Calibri"/>
                <w:sz w:val="20"/>
              </w:rPr>
              <w:t>(Juge Smallwood)</w:t>
            </w:r>
          </w:p>
          <w:p w:rsidR="00F77457" w:rsidRPr="00BC0346" w:rsidRDefault="00F77457" w:rsidP="00EE6982">
            <w:pPr>
              <w:jc w:val="both"/>
              <w:rPr>
                <w:rFonts w:eastAsia="Calibri"/>
                <w:sz w:val="20"/>
              </w:rPr>
            </w:pPr>
            <w:r w:rsidRPr="00BC0346">
              <w:rPr>
                <w:rFonts w:eastAsia="Calibri"/>
                <w:sz w:val="20"/>
              </w:rPr>
              <w:t>2014 NWTSC 48; S-1-CR-2012-000069</w:t>
            </w:r>
          </w:p>
          <w:p w:rsidR="00F77457" w:rsidRPr="00BC0346" w:rsidRDefault="00742BC3" w:rsidP="00EE6982">
            <w:pPr>
              <w:jc w:val="both"/>
              <w:rPr>
                <w:rFonts w:eastAsia="Calibri"/>
                <w:sz w:val="20"/>
                <w:lang w:val="fr-CA"/>
              </w:rPr>
            </w:pPr>
            <w:hyperlink r:id="rId52" w:history="1">
              <w:r w:rsidR="00F77457" w:rsidRPr="00BC0346">
                <w:rPr>
                  <w:rFonts w:eastAsia="Calibri"/>
                  <w:color w:val="0000FF"/>
                  <w:sz w:val="20"/>
                  <w:u w:val="single"/>
                  <w:lang w:val="fr-CA"/>
                </w:rPr>
                <w:t>http://canlii.ca/t/g83bl</w:t>
              </w:r>
            </w:hyperlink>
          </w:p>
          <w:p w:rsidR="00F77457" w:rsidRPr="00BC0346" w:rsidRDefault="00F77457" w:rsidP="00EE6982">
            <w:pPr>
              <w:jc w:val="both"/>
              <w:rPr>
                <w:rFonts w:eastAsia="Calibri"/>
                <w:sz w:val="20"/>
                <w:lang w:val="fr-CA"/>
              </w:rPr>
            </w:pPr>
          </w:p>
        </w:tc>
        <w:tc>
          <w:tcPr>
            <w:tcW w:w="238" w:type="pct"/>
          </w:tcPr>
          <w:p w:rsidR="00F77457" w:rsidRPr="00BC0346" w:rsidRDefault="00F77457" w:rsidP="00EE6982">
            <w:pPr>
              <w:jc w:val="both"/>
              <w:rPr>
                <w:rFonts w:eastAsia="Calibri"/>
                <w:sz w:val="20"/>
                <w:lang w:val="fr-CA"/>
              </w:rPr>
            </w:pPr>
          </w:p>
        </w:tc>
        <w:tc>
          <w:tcPr>
            <w:tcW w:w="2388" w:type="pct"/>
          </w:tcPr>
          <w:p w:rsidR="00F77457" w:rsidRPr="00BC0346" w:rsidRDefault="00F77457" w:rsidP="00EE6982">
            <w:pPr>
              <w:jc w:val="both"/>
              <w:rPr>
                <w:rFonts w:eastAsia="Calibri"/>
                <w:sz w:val="20"/>
                <w:lang w:val="fr-CA"/>
              </w:rPr>
            </w:pPr>
            <w:r w:rsidRPr="00BC0346">
              <w:rPr>
                <w:rFonts w:eastAsia="Calibri"/>
                <w:sz w:val="20"/>
                <w:lang w:val="fr-CA"/>
              </w:rPr>
              <w:t>Rejet de la demande de récusation du tableau des jurés</w:t>
            </w:r>
          </w:p>
          <w:p w:rsidR="00F77457" w:rsidRPr="00BC0346" w:rsidRDefault="00F77457" w:rsidP="00EE6982">
            <w:pPr>
              <w:jc w:val="both"/>
              <w:rPr>
                <w:rFonts w:eastAsia="Calibri"/>
                <w:sz w:val="20"/>
                <w:lang w:val="fr-CA"/>
              </w:rPr>
            </w:pPr>
          </w:p>
        </w:tc>
      </w:tr>
      <w:tr w:rsidR="00F77457" w:rsidRPr="00CF1118" w:rsidTr="00EE6982">
        <w:tc>
          <w:tcPr>
            <w:tcW w:w="2374" w:type="pct"/>
          </w:tcPr>
          <w:p w:rsidR="00F77457" w:rsidRPr="00BC0346" w:rsidRDefault="00F77457" w:rsidP="00EE6982">
            <w:pPr>
              <w:jc w:val="both"/>
              <w:rPr>
                <w:rFonts w:eastAsia="Calibri"/>
                <w:sz w:val="20"/>
                <w:lang w:val="fr-CA"/>
              </w:rPr>
            </w:pPr>
            <w:r w:rsidRPr="00BC0346">
              <w:rPr>
                <w:rFonts w:eastAsia="Calibri"/>
                <w:sz w:val="20"/>
                <w:lang w:val="fr-CA"/>
              </w:rPr>
              <w:t>20 novembre 2014</w:t>
            </w:r>
          </w:p>
          <w:p w:rsidR="00F77457" w:rsidRPr="00BC0346" w:rsidRDefault="00F77457" w:rsidP="00EE6982">
            <w:pPr>
              <w:jc w:val="both"/>
              <w:rPr>
                <w:rFonts w:eastAsia="Calibri"/>
                <w:sz w:val="20"/>
                <w:lang w:val="fr-CA"/>
              </w:rPr>
            </w:pPr>
            <w:r w:rsidRPr="00BC0346">
              <w:rPr>
                <w:rFonts w:eastAsia="Calibri"/>
                <w:sz w:val="20"/>
                <w:lang w:val="fr-CA"/>
              </w:rPr>
              <w:t>Cour suprême du Canada</w:t>
            </w:r>
          </w:p>
        </w:tc>
        <w:tc>
          <w:tcPr>
            <w:tcW w:w="238" w:type="pct"/>
          </w:tcPr>
          <w:p w:rsidR="00F77457" w:rsidRPr="00BC0346" w:rsidRDefault="00F77457" w:rsidP="00EE6982">
            <w:pPr>
              <w:jc w:val="both"/>
              <w:rPr>
                <w:rFonts w:eastAsia="Calibri"/>
                <w:sz w:val="20"/>
                <w:lang w:val="fr-CA"/>
              </w:rPr>
            </w:pPr>
          </w:p>
        </w:tc>
        <w:tc>
          <w:tcPr>
            <w:tcW w:w="2388" w:type="pct"/>
          </w:tcPr>
          <w:p w:rsidR="00F77457" w:rsidRPr="00BC0346" w:rsidRDefault="00F77457" w:rsidP="00EE6982">
            <w:pPr>
              <w:jc w:val="both"/>
              <w:rPr>
                <w:rFonts w:eastAsia="Calibri"/>
                <w:sz w:val="20"/>
                <w:lang w:val="fr-CA"/>
              </w:rPr>
            </w:pPr>
            <w:r w:rsidRPr="00BC0346">
              <w:rPr>
                <w:rFonts w:eastAsia="Calibri"/>
                <w:sz w:val="20"/>
                <w:lang w:val="fr-CA"/>
              </w:rPr>
              <w:t>Dépôt de la requête en prorogation du délai de signification et de dépôt de la demande d’autorisation d’appel et de la demande d’autorisation d’appel</w:t>
            </w:r>
          </w:p>
        </w:tc>
      </w:tr>
    </w:tbl>
    <w:p w:rsidR="0002632D" w:rsidRPr="00F77457" w:rsidRDefault="0002632D" w:rsidP="0002632D">
      <w:pPr>
        <w:rPr>
          <w:sz w:val="20"/>
          <w:szCs w:val="20"/>
          <w:lang w:val="fr-CA"/>
        </w:rPr>
      </w:pPr>
    </w:p>
    <w:p w:rsidR="0002632D" w:rsidRDefault="00742BC3" w:rsidP="0002632D">
      <w:pPr>
        <w:rPr>
          <w:sz w:val="20"/>
          <w:szCs w:val="20"/>
          <w:lang w:val="fr-CA"/>
        </w:rPr>
      </w:pPr>
      <w:r>
        <w:rPr>
          <w:sz w:val="20"/>
          <w:szCs w:val="20"/>
          <w:lang w:val="fr-CA"/>
        </w:rPr>
        <w:pict>
          <v:rect id="_x0000_i1052" style="width:2in;height:1pt" o:hrpct="0" o:hralign="center" o:hrstd="t" o:hrnoshade="t" o:hr="t" fillcolor="black [3213]" stroked="f"/>
        </w:pict>
      </w:r>
    </w:p>
    <w:p w:rsidR="0002632D" w:rsidRDefault="0002632D" w:rsidP="0002632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C6BF5" w:rsidRPr="00CE568C" w:rsidTr="00DC6BF5">
        <w:trPr>
          <w:cantSplit/>
        </w:trPr>
        <w:tc>
          <w:tcPr>
            <w:tcW w:w="1458" w:type="dxa"/>
          </w:tcPr>
          <w:p w:rsidR="00DC6BF5" w:rsidRPr="00CE568C" w:rsidRDefault="00DC6BF5" w:rsidP="00DC6BF5">
            <w:pPr>
              <w:rPr>
                <w:sz w:val="20"/>
                <w:szCs w:val="20"/>
              </w:rPr>
            </w:pPr>
            <w:r w:rsidRPr="00CE568C">
              <w:rPr>
                <w:rStyle w:val="SCCFileNumberChar"/>
                <w:sz w:val="20"/>
                <w:szCs w:val="20"/>
              </w:rPr>
              <w:t>36193</w:t>
            </w:r>
          </w:p>
          <w:p w:rsidR="00DC6BF5" w:rsidRPr="00CE568C" w:rsidRDefault="00DC6BF5" w:rsidP="00DC6BF5">
            <w:pPr>
              <w:rPr>
                <w:b/>
                <w:sz w:val="20"/>
                <w:szCs w:val="20"/>
                <w:lang w:val="fr-CA"/>
              </w:rPr>
            </w:pPr>
          </w:p>
        </w:tc>
        <w:tc>
          <w:tcPr>
            <w:tcW w:w="8118" w:type="dxa"/>
          </w:tcPr>
          <w:p w:rsidR="00DC6BF5" w:rsidRPr="00CE568C" w:rsidRDefault="00DC6BF5" w:rsidP="00DC6BF5">
            <w:pPr>
              <w:rPr>
                <w:sz w:val="20"/>
                <w:szCs w:val="20"/>
              </w:rPr>
            </w:pPr>
            <w:r w:rsidRPr="00CE568C">
              <w:rPr>
                <w:rStyle w:val="SCCLsocChar"/>
                <w:sz w:val="20"/>
                <w:szCs w:val="20"/>
              </w:rPr>
              <w:t>Joseph Anthony Ceruti v. Jennifer Lynn Murray</w:t>
            </w:r>
            <w:r w:rsidRPr="00CE568C">
              <w:rPr>
                <w:sz w:val="20"/>
                <w:szCs w:val="20"/>
                <w:lang w:val="fr-CA"/>
              </w:rPr>
              <w:t xml:space="preserve"> (Ont.) </w:t>
            </w:r>
            <w:r w:rsidRPr="00CE568C">
              <w:rPr>
                <w:sz w:val="20"/>
                <w:szCs w:val="20"/>
              </w:rPr>
              <w:t>(Civil) (By Leave)</w:t>
            </w:r>
          </w:p>
          <w:p w:rsidR="00DC6BF5" w:rsidRPr="00CE568C" w:rsidRDefault="00DC6BF5" w:rsidP="00DC6BF5">
            <w:pPr>
              <w:rPr>
                <w:sz w:val="20"/>
                <w:szCs w:val="20"/>
              </w:rPr>
            </w:pPr>
          </w:p>
        </w:tc>
      </w:tr>
      <w:tr w:rsidR="00DC6BF5" w:rsidRPr="00CF1118" w:rsidTr="00DC6BF5">
        <w:trPr>
          <w:cantSplit/>
        </w:trPr>
        <w:tc>
          <w:tcPr>
            <w:tcW w:w="1458" w:type="dxa"/>
          </w:tcPr>
          <w:p w:rsidR="00DC6BF5" w:rsidRPr="00CE568C" w:rsidRDefault="00DC6BF5" w:rsidP="00DC6BF5">
            <w:pPr>
              <w:rPr>
                <w:sz w:val="20"/>
                <w:szCs w:val="20"/>
              </w:rPr>
            </w:pPr>
            <w:r w:rsidRPr="00CE568C">
              <w:rPr>
                <w:sz w:val="20"/>
                <w:szCs w:val="20"/>
              </w:rPr>
              <w:t>Coram :</w:t>
            </w:r>
          </w:p>
        </w:tc>
        <w:tc>
          <w:tcPr>
            <w:tcW w:w="8118" w:type="dxa"/>
          </w:tcPr>
          <w:p w:rsidR="00DC6BF5" w:rsidRPr="00CE568C" w:rsidRDefault="00DC6BF5" w:rsidP="00DC6BF5">
            <w:pPr>
              <w:rPr>
                <w:sz w:val="20"/>
                <w:szCs w:val="20"/>
                <w:lang w:val="fr-CA"/>
              </w:rPr>
            </w:pPr>
            <w:r w:rsidRPr="00CE568C">
              <w:rPr>
                <w:rStyle w:val="SCCCoramChar"/>
                <w:sz w:val="20"/>
                <w:szCs w:val="20"/>
              </w:rPr>
              <w:t>Abella, Karakatsanis and Côté JJ.</w:t>
            </w:r>
          </w:p>
          <w:p w:rsidR="00DC6BF5" w:rsidRPr="00CE568C" w:rsidRDefault="00DC6BF5" w:rsidP="00DC6BF5">
            <w:pPr>
              <w:rPr>
                <w:sz w:val="20"/>
                <w:szCs w:val="20"/>
                <w:u w:val="single"/>
                <w:lang w:val="fr-CA"/>
              </w:rPr>
            </w:pPr>
          </w:p>
        </w:tc>
      </w:tr>
      <w:tr w:rsidR="00DC6BF5" w:rsidRPr="00CF1118" w:rsidTr="00DC6BF5">
        <w:trPr>
          <w:cantSplit/>
        </w:trPr>
        <w:tc>
          <w:tcPr>
            <w:tcW w:w="9576" w:type="dxa"/>
            <w:gridSpan w:val="2"/>
          </w:tcPr>
          <w:p w:rsidR="00DC6BF5" w:rsidRPr="00CE568C" w:rsidRDefault="00DC6BF5" w:rsidP="00DC6BF5">
            <w:pPr>
              <w:pStyle w:val="SCCShortJudgment"/>
              <w:rPr>
                <w:szCs w:val="20"/>
              </w:rPr>
            </w:pPr>
            <w:r w:rsidRPr="00CE568C">
              <w:rPr>
                <w:szCs w:val="20"/>
              </w:rPr>
              <w:t>The application for leave to appeal from the judgment of the Court of Appeal for Ontario, Number C58592, 2014 ONCA 679, dated October 2, 2014, is dismissed with costs.</w:t>
            </w:r>
          </w:p>
          <w:p w:rsidR="00DC6BF5" w:rsidRPr="00CE568C" w:rsidRDefault="00DC6BF5" w:rsidP="00DC6BF5">
            <w:pPr>
              <w:pStyle w:val="SCCShortJudgment"/>
              <w:ind w:firstLine="0"/>
              <w:rPr>
                <w:szCs w:val="20"/>
              </w:rPr>
            </w:pPr>
          </w:p>
          <w:p w:rsidR="00DC6BF5" w:rsidRPr="00CE568C" w:rsidRDefault="00DC6BF5" w:rsidP="00DC6BF5">
            <w:pPr>
              <w:pStyle w:val="SCCShortJudgment"/>
              <w:rPr>
                <w:szCs w:val="20"/>
                <w:lang w:val="fr-CA"/>
              </w:rPr>
            </w:pPr>
            <w:r w:rsidRPr="00CE568C">
              <w:rPr>
                <w:szCs w:val="20"/>
                <w:lang w:val="fr-CA"/>
              </w:rPr>
              <w:t>La demande d’autorisation d’appel de l’arrêt de la Cour d’appel de l’Ontario, numéro C58592, 2014 ONCA 679, daté du 2 octobre 2014, est rejetée avec dépens.</w:t>
            </w:r>
          </w:p>
        </w:tc>
      </w:tr>
    </w:tbl>
    <w:p w:rsidR="0002632D" w:rsidRPr="00DC6BF5" w:rsidRDefault="0002632D" w:rsidP="0002632D">
      <w:pPr>
        <w:rPr>
          <w:sz w:val="20"/>
          <w:szCs w:val="20"/>
          <w:lang w:val="fr-CA"/>
        </w:rPr>
      </w:pPr>
    </w:p>
    <w:p w:rsidR="0002632D" w:rsidRPr="001B157C" w:rsidRDefault="0002632D" w:rsidP="0002632D">
      <w:pPr>
        <w:rPr>
          <w:sz w:val="20"/>
          <w:szCs w:val="20"/>
          <w:u w:val="single"/>
        </w:rPr>
      </w:pPr>
      <w:r w:rsidRPr="001B157C">
        <w:rPr>
          <w:sz w:val="20"/>
          <w:szCs w:val="20"/>
          <w:u w:val="single"/>
        </w:rPr>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457" w:rsidRPr="00BC0346" w:rsidTr="00EE6982">
        <w:tc>
          <w:tcPr>
            <w:tcW w:w="5000" w:type="pct"/>
            <w:gridSpan w:val="3"/>
          </w:tcPr>
          <w:p w:rsidR="00F77457" w:rsidRPr="00BC0346" w:rsidRDefault="00F77457" w:rsidP="00EE6982">
            <w:pPr>
              <w:jc w:val="both"/>
              <w:rPr>
                <w:rFonts w:eastAsia="Calibri"/>
                <w:sz w:val="20"/>
              </w:rPr>
            </w:pPr>
            <w:r w:rsidRPr="00BC0346">
              <w:rPr>
                <w:rFonts w:eastAsia="Calibri"/>
                <w:sz w:val="20"/>
              </w:rPr>
              <w:t xml:space="preserve">Private international law – Choice of forum – Court having jurisdiction – Family law – Custody – Canadian woman marrying and becoming pregnant in United States but returning to Canada – Child born in Canada and residing there with mother – Father obtaining custody order in United States – What effect does attorning to a foreign jurisdiction have on a domestic court’s subsequent determination </w:t>
            </w:r>
            <w:r w:rsidRPr="00BC0346">
              <w:rPr>
                <w:rFonts w:eastAsia="Calibri"/>
                <w:i/>
                <w:sz w:val="20"/>
              </w:rPr>
              <w:t>simpliciter</w:t>
            </w:r>
            <w:r w:rsidRPr="00BC0346">
              <w:rPr>
                <w:rFonts w:eastAsia="Calibri"/>
                <w:sz w:val="20"/>
              </w:rPr>
              <w:t xml:space="preserve"> and </w:t>
            </w:r>
            <w:r w:rsidRPr="00BC0346">
              <w:rPr>
                <w:rFonts w:eastAsia="Calibri"/>
                <w:i/>
                <w:sz w:val="20"/>
              </w:rPr>
              <w:t>forum non conveniens</w:t>
            </w:r>
            <w:r w:rsidRPr="00BC0346">
              <w:rPr>
                <w:rFonts w:eastAsia="Calibri"/>
                <w:sz w:val="20"/>
              </w:rPr>
              <w:t xml:space="preserve"> in the context of adjudicating custody and access? – Is it incumbent on a Canadian court to avoid a multiplicity of custody and access proceedings? – What is the proper test for and role of fresh evidence when undertaking in a </w:t>
            </w:r>
            <w:r w:rsidRPr="00BC0346">
              <w:rPr>
                <w:rFonts w:eastAsia="Calibri"/>
                <w:i/>
                <w:sz w:val="20"/>
              </w:rPr>
              <w:t>forum non conveniens</w:t>
            </w:r>
            <w:r w:rsidRPr="00BC0346">
              <w:rPr>
                <w:rFonts w:eastAsia="Calibri"/>
                <w:sz w:val="20"/>
              </w:rPr>
              <w:t xml:space="preserve"> analysis? – Does comity play a part in this determination?</w:t>
            </w:r>
          </w:p>
        </w:tc>
      </w:tr>
      <w:tr w:rsidR="00F77457" w:rsidRPr="00BC0346" w:rsidTr="00EE6982">
        <w:tc>
          <w:tcPr>
            <w:tcW w:w="5000" w:type="pct"/>
            <w:gridSpan w:val="3"/>
          </w:tcPr>
          <w:p w:rsidR="00F77457" w:rsidRPr="00BC0346" w:rsidRDefault="00F77457" w:rsidP="00EE6982">
            <w:pPr>
              <w:jc w:val="both"/>
              <w:rPr>
                <w:rFonts w:eastAsia="Calibri"/>
                <w:sz w:val="20"/>
              </w:rPr>
            </w:pPr>
          </w:p>
        </w:tc>
      </w:tr>
      <w:tr w:rsidR="00F77457" w:rsidRPr="00BC0346" w:rsidTr="00EE6982">
        <w:tc>
          <w:tcPr>
            <w:tcW w:w="5000" w:type="pct"/>
            <w:gridSpan w:val="3"/>
          </w:tcPr>
          <w:p w:rsidR="00F77457" w:rsidRPr="00BC0346" w:rsidRDefault="00F77457" w:rsidP="00EE6982">
            <w:pPr>
              <w:shd w:val="clear" w:color="auto" w:fill="FFFFFF"/>
              <w:jc w:val="both"/>
              <w:rPr>
                <w:sz w:val="20"/>
                <w:lang w:eastAsia="en-CA"/>
              </w:rPr>
            </w:pPr>
            <w:r w:rsidRPr="00BC0346">
              <w:rPr>
                <w:sz w:val="20"/>
                <w:lang w:eastAsia="en-CA"/>
              </w:rPr>
              <w:t xml:space="preserve">In March, 2013, Ms. Murray, a Canadian citizen, moved from Ontario to Indiana to live with Mr. Ceruti, an American citizen.  She became pregnant the following month and the couple was married on May 8, 2013.  On June 18, 2013, the parties separated and Mr. Ceruti served Ms. Murray with a petition for divorce.  On that same day, Ms. Murray moved back to Ontario.  Her Indiana counsel entered a notice of appearance in the Indiana proceeding on July 5, 2013.  Mr. Ceruti sought an order for sole custody of the child upon the child’s birth.  Ms. Murray filed a petition to annul the marriage in Indiana but no relief was sought with respect to her unborn child.  In October, 2013, her Indiana counsel withdrew from the record.  On the following Monday, there was a hearing before the Superior Court in Indiana, on Mr. Ceruti’s motion to preserve and retain jurisdiction, for final orders pertaining to custody and child support, and the appointment of a guardian </w:t>
            </w:r>
            <w:r w:rsidRPr="00BC0346">
              <w:rPr>
                <w:i/>
                <w:iCs/>
                <w:sz w:val="20"/>
                <w:lang w:eastAsia="en-CA"/>
              </w:rPr>
              <w:t>ad litem</w:t>
            </w:r>
            <w:r w:rsidRPr="00BC0346">
              <w:rPr>
                <w:sz w:val="20"/>
                <w:lang w:eastAsia="en-CA"/>
              </w:rPr>
              <w:t xml:space="preserve">. Ms. Murray participated in part of the hearing, without counsel, via telephone from Ontario.  She had previously consulted with Ontario lawyers and understood that custody could not be addressed until the child was born.  On December 2, 2013, the Indiana court ruled that it had jurisdiction over the issue of custody and ordered that Mr. Ceruti would have full and co-equal parenting time rights.  The child was born in Ontario on December 11, 2013.  On December 20, 2013, Ms. Murray obtained an </w:t>
            </w:r>
            <w:r w:rsidRPr="00BC0346">
              <w:rPr>
                <w:i/>
                <w:iCs/>
                <w:sz w:val="20"/>
                <w:lang w:eastAsia="en-CA"/>
              </w:rPr>
              <w:t>ex parte</w:t>
            </w:r>
            <w:r w:rsidRPr="00BC0346">
              <w:rPr>
                <w:sz w:val="20"/>
                <w:lang w:eastAsia="en-CA"/>
              </w:rPr>
              <w:t xml:space="preserve"> order in Windsor, Ontario, for temporary custody and for an order that the child not be removed from the province on an interim basis. She filed an application in the Superior Court seeking custody of the child.  Mr. Ceruti brought a motion to set aside the </w:t>
            </w:r>
            <w:r w:rsidRPr="00BC0346">
              <w:rPr>
                <w:i/>
                <w:iCs/>
                <w:sz w:val="20"/>
                <w:lang w:eastAsia="en-CA"/>
              </w:rPr>
              <w:t>ex parte</w:t>
            </w:r>
            <w:r w:rsidRPr="00BC0346">
              <w:rPr>
                <w:sz w:val="20"/>
                <w:lang w:eastAsia="en-CA"/>
              </w:rPr>
              <w:t xml:space="preserve"> order and to stay her application.</w:t>
            </w:r>
          </w:p>
          <w:p w:rsidR="00F77457" w:rsidRPr="00BC0346" w:rsidRDefault="00F77457" w:rsidP="00EE6982">
            <w:pPr>
              <w:shd w:val="clear" w:color="auto" w:fill="FFFFFF"/>
              <w:jc w:val="both"/>
              <w:rPr>
                <w:sz w:val="20"/>
                <w:lang w:eastAsia="en-CA"/>
              </w:rPr>
            </w:pP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March 19, 2014</w:t>
            </w:r>
          </w:p>
          <w:p w:rsidR="00F77457" w:rsidRPr="00BC0346" w:rsidRDefault="00F77457" w:rsidP="00EE6982">
            <w:pPr>
              <w:jc w:val="both"/>
              <w:rPr>
                <w:rFonts w:eastAsia="Calibri"/>
                <w:sz w:val="20"/>
              </w:rPr>
            </w:pPr>
            <w:r w:rsidRPr="00BC0346">
              <w:rPr>
                <w:rFonts w:eastAsia="Calibri"/>
                <w:sz w:val="20"/>
              </w:rPr>
              <w:t>Ontario Superior Court of Justice</w:t>
            </w:r>
          </w:p>
          <w:p w:rsidR="00F77457" w:rsidRPr="00BC0346" w:rsidRDefault="00F77457" w:rsidP="00EE6982">
            <w:pPr>
              <w:jc w:val="both"/>
              <w:rPr>
                <w:rFonts w:eastAsia="Calibri"/>
                <w:sz w:val="20"/>
              </w:rPr>
            </w:pPr>
            <w:r w:rsidRPr="00BC0346">
              <w:rPr>
                <w:rFonts w:eastAsia="Calibri"/>
                <w:sz w:val="20"/>
              </w:rPr>
              <w:t>(Patterson J.)</w:t>
            </w:r>
          </w:p>
          <w:p w:rsidR="00F77457" w:rsidRPr="00BC0346" w:rsidRDefault="00742BC3" w:rsidP="00EE6982">
            <w:pPr>
              <w:jc w:val="both"/>
              <w:rPr>
                <w:rFonts w:eastAsia="Calibri"/>
                <w:sz w:val="20"/>
              </w:rPr>
            </w:pPr>
            <w:hyperlink r:id="rId53" w:history="1">
              <w:r w:rsidR="00F77457" w:rsidRPr="00BC0346">
                <w:rPr>
                  <w:rFonts w:eastAsia="Calibri"/>
                  <w:color w:val="0000FF"/>
                  <w:sz w:val="20"/>
                  <w:u w:val="single"/>
                </w:rPr>
                <w:t>2014 ONSC 1766</w:t>
              </w:r>
            </w:hyperlink>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Father’s motion to stay Ontario custody and access proceedings and to have Indiana court declared more appropriate forum dismissed</w:t>
            </w:r>
          </w:p>
          <w:p w:rsidR="00F77457" w:rsidRPr="00BC0346" w:rsidRDefault="00F77457" w:rsidP="00EE6982">
            <w:pPr>
              <w:jc w:val="both"/>
              <w:rPr>
                <w:rFonts w:eastAsia="Calibri"/>
                <w:sz w:val="20"/>
              </w:rPr>
            </w:pP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October 2, 2014</w:t>
            </w:r>
          </w:p>
          <w:p w:rsidR="00F77457" w:rsidRPr="00BC0346" w:rsidRDefault="00F77457" w:rsidP="00EE6982">
            <w:pPr>
              <w:jc w:val="both"/>
              <w:rPr>
                <w:rFonts w:eastAsia="Calibri"/>
                <w:sz w:val="20"/>
              </w:rPr>
            </w:pPr>
            <w:r w:rsidRPr="00BC0346">
              <w:rPr>
                <w:rFonts w:eastAsia="Calibri"/>
                <w:sz w:val="20"/>
              </w:rPr>
              <w:t>Court of Appeal for Ontario</w:t>
            </w:r>
          </w:p>
          <w:p w:rsidR="00F77457" w:rsidRPr="00BC0346" w:rsidRDefault="00F77457" w:rsidP="00EE6982">
            <w:pPr>
              <w:jc w:val="both"/>
              <w:rPr>
                <w:rFonts w:eastAsia="Calibri"/>
                <w:sz w:val="20"/>
              </w:rPr>
            </w:pPr>
            <w:r w:rsidRPr="00BC0346">
              <w:rPr>
                <w:rFonts w:eastAsia="Calibri"/>
                <w:sz w:val="20"/>
              </w:rPr>
              <w:t>(Simmons, Rouleau and Hourigan JJ.A.)</w:t>
            </w:r>
          </w:p>
          <w:p w:rsidR="00F77457" w:rsidRPr="00BC0346" w:rsidRDefault="00742BC3" w:rsidP="00EE6982">
            <w:pPr>
              <w:jc w:val="both"/>
              <w:rPr>
                <w:rFonts w:eastAsia="Calibri"/>
                <w:sz w:val="20"/>
              </w:rPr>
            </w:pPr>
            <w:hyperlink r:id="rId54" w:history="1">
              <w:r w:rsidR="00F77457" w:rsidRPr="00BC0346">
                <w:rPr>
                  <w:rFonts w:eastAsia="Calibri"/>
                  <w:color w:val="0000FF"/>
                  <w:sz w:val="20"/>
                  <w:u w:val="single"/>
                </w:rPr>
                <w:t>2014 ONCA 679</w:t>
              </w:r>
            </w:hyperlink>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Father’s appeal dismissed</w:t>
            </w:r>
          </w:p>
          <w:p w:rsidR="00F77457" w:rsidRPr="00BC0346" w:rsidRDefault="00F77457" w:rsidP="00EE6982">
            <w:pPr>
              <w:jc w:val="both"/>
              <w:rPr>
                <w:rFonts w:eastAsia="Calibri"/>
                <w:sz w:val="20"/>
              </w:rPr>
            </w:pPr>
          </w:p>
        </w:tc>
      </w:tr>
    </w:tbl>
    <w:p w:rsidR="00204846" w:rsidRDefault="00204846">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lastRenderedPageBreak/>
              <w:t>December 1, 2014</w:t>
            </w:r>
          </w:p>
          <w:p w:rsidR="00F77457" w:rsidRPr="00BC0346" w:rsidRDefault="00F77457" w:rsidP="00EE6982">
            <w:pPr>
              <w:jc w:val="both"/>
              <w:rPr>
                <w:rFonts w:eastAsia="Calibri"/>
                <w:sz w:val="20"/>
              </w:rPr>
            </w:pPr>
            <w:r w:rsidRPr="00BC0346">
              <w:rPr>
                <w:rFonts w:eastAsia="Calibri"/>
                <w:sz w:val="20"/>
              </w:rPr>
              <w:t>Supreme Court of Canada</w:t>
            </w: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Application for leave to appeal filed</w:t>
            </w:r>
          </w:p>
          <w:p w:rsidR="00F77457" w:rsidRPr="00BC0346" w:rsidRDefault="00F77457" w:rsidP="00EE6982">
            <w:pPr>
              <w:jc w:val="both"/>
              <w:rPr>
                <w:rFonts w:eastAsia="Calibri"/>
                <w:sz w:val="20"/>
              </w:rPr>
            </w:pP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53"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457" w:rsidRPr="00CF1118" w:rsidTr="00EE6982">
        <w:tc>
          <w:tcPr>
            <w:tcW w:w="5000" w:type="pct"/>
            <w:gridSpan w:val="3"/>
          </w:tcPr>
          <w:p w:rsidR="00F77457" w:rsidRPr="00BC0346" w:rsidRDefault="00F77457" w:rsidP="00EE6982">
            <w:pPr>
              <w:jc w:val="both"/>
              <w:rPr>
                <w:rFonts w:eastAsia="Calibri"/>
                <w:sz w:val="20"/>
                <w:lang w:val="fr-CA"/>
              </w:rPr>
            </w:pPr>
            <w:r w:rsidRPr="00BC0346">
              <w:rPr>
                <w:rFonts w:eastAsia="Calibri"/>
                <w:sz w:val="20"/>
                <w:lang w:val="fr-CA"/>
              </w:rPr>
              <w:t>Droit international privé – Choix du tribunal – Juridiction compétente – Droit de la famille – Garde – Une femme canadienne s’est mariée et est devenue enceinte aux États-Unis, mais est retournée au Canada – L’enfant est né au Canada et y habite avec sa mère – Le père a obtenu une ordonnance de garde aux États-Unis – Dans le contexte de décision relative à la garde et à l’accès, quel effet peut avoir le fait de se soumettre à un tribunal étranger sur la décision subséquente du tribunal interne au sujet des questions de la simple reconnaissance de compétence et du forum non conveniens? – Incombe-t-il au tribunal canadien d’éviter une multiplicité de procédures relatives à la garde et à l’accès? – Quel est le critère approprié lors de l’analyse du principe forum non conveniens et quel rôle doivent jouer les nouveaux éléments de preuve dans cette analyse? – Est-ce que la courtoisie joue un rôle dans cette détermination?</w:t>
            </w:r>
          </w:p>
        </w:tc>
      </w:tr>
      <w:tr w:rsidR="00F77457" w:rsidRPr="00CF1118" w:rsidTr="00EE6982">
        <w:tc>
          <w:tcPr>
            <w:tcW w:w="5000" w:type="pct"/>
            <w:gridSpan w:val="3"/>
          </w:tcPr>
          <w:p w:rsidR="00F77457" w:rsidRPr="00BC0346" w:rsidRDefault="00F77457" w:rsidP="00EE6982">
            <w:pPr>
              <w:jc w:val="both"/>
              <w:rPr>
                <w:rFonts w:eastAsia="Calibri"/>
                <w:sz w:val="20"/>
                <w:lang w:val="fr-CA"/>
              </w:rPr>
            </w:pPr>
          </w:p>
        </w:tc>
      </w:tr>
      <w:tr w:rsidR="00F77457" w:rsidRPr="00CF1118" w:rsidTr="00EE6982">
        <w:tc>
          <w:tcPr>
            <w:tcW w:w="5000" w:type="pct"/>
            <w:gridSpan w:val="3"/>
          </w:tcPr>
          <w:p w:rsidR="00F77457" w:rsidRPr="00BC0346" w:rsidRDefault="00F77457" w:rsidP="00EE6982">
            <w:pPr>
              <w:shd w:val="clear" w:color="auto" w:fill="FFFFFF"/>
              <w:jc w:val="both"/>
              <w:rPr>
                <w:sz w:val="20"/>
                <w:lang w:val="fr-CA" w:eastAsia="en-CA"/>
              </w:rPr>
            </w:pPr>
            <w:r w:rsidRPr="00BC0346">
              <w:rPr>
                <w:sz w:val="20"/>
                <w:lang w:val="fr-CA" w:eastAsia="en-CA"/>
              </w:rPr>
              <w:t xml:space="preserve">En mars 2013, Madame Murray, une citoyenne canadienne, est déménagée de l’Ontario en Indiana pour habiter avec Monsieur Ceruti, un citoyen américain.  Elle est devenue enceinte le mois suivant et le couple s’est marié le 8 mai 2013.  Le 18 juin 2013, les parties se sont séparées.  Monsieur Ceruti a fait signifier à Madame Murray la requête en divorce. Le même jour, Madame Murray est retournée vivre en Ontario.  Son avocat en Indiana a déposé un avis de comparution dans le cadre de l’instance en Indiana le 5 juillet 2013.  Monsieur Ceruti a demandé une ordonnance en vue d’obtenir la garde exclusive de l’enfant à la naissance de l’enfant.  Madame Murray a déposé une demande d’annulation de mariage en Indiana, mais n’a pas fait de demande relativement à son enfant à naître.  En octobre 2013, son avocat en Indiana s’est retiré du dossier.  Le lundi suivant, une audience a été tenue devant la Cour supérieure en Indiana relativement à la requête de Monsieur Ceruti afin de maintenir la compétence du tribunal à l’égard des ordonnances définitives de garde et d’accès et de la nomination d’une tutrice à l’instance. Madame Murray a participé à une partie de l’audience par téléphone de l’Ontario.  Elle avait préalablement consulté des avocats en Ontario et comprenait que la garde de l’enfant ne pouvait pas être traitée avant la naissance de l’enfant.  Le 2 décembre 2013, la Cour de l’Indiana a statué qu’elle avait compétence pour juger de la garde et a rendu une ordonnance selon laquelle Monsieur Ceruti aurait un droit d’accès à l’enfant en pleine égalité.  L’enfant est né en Ontario le 11 décembre 2013.  Le 20 décembre 2013, Madame Murray a obtenu une ordonnance </w:t>
            </w:r>
            <w:r w:rsidRPr="00BC0346">
              <w:rPr>
                <w:i/>
                <w:iCs/>
                <w:sz w:val="20"/>
                <w:lang w:val="fr-CA" w:eastAsia="en-CA"/>
              </w:rPr>
              <w:t>ex parte</w:t>
            </w:r>
            <w:r w:rsidRPr="00BC0346">
              <w:rPr>
                <w:sz w:val="20"/>
                <w:lang w:val="fr-CA" w:eastAsia="en-CA"/>
              </w:rPr>
              <w:t xml:space="preserve"> à Windsor, en Ontario, lui accordant la garde temporaire et interdisant que l’enfant soit emmené à l’extérieur de la province provisoirement.  Elle a déposé une demande, à la Cour supérieure, afin d’obtenir la garde de l’enfant. Monsieur Ceruti a présenté une requête afin d’annuler l’ordonnance </w:t>
            </w:r>
            <w:r w:rsidRPr="00BC0346">
              <w:rPr>
                <w:i/>
                <w:iCs/>
                <w:sz w:val="20"/>
                <w:lang w:val="fr-CA" w:eastAsia="en-CA"/>
              </w:rPr>
              <w:t>ex parte</w:t>
            </w:r>
            <w:r w:rsidRPr="00BC0346">
              <w:rPr>
                <w:sz w:val="20"/>
                <w:lang w:val="fr-CA" w:eastAsia="en-CA"/>
              </w:rPr>
              <w:t xml:space="preserve"> et de suspendre la demande de madame. </w:t>
            </w:r>
          </w:p>
          <w:p w:rsidR="00F77457" w:rsidRPr="00BC0346" w:rsidRDefault="00F77457" w:rsidP="00EE6982">
            <w:pPr>
              <w:shd w:val="clear" w:color="auto" w:fill="FFFFFF"/>
              <w:jc w:val="both"/>
              <w:rPr>
                <w:sz w:val="20"/>
                <w:lang w:val="fr-CA" w:eastAsia="en-CA"/>
              </w:rPr>
            </w:pPr>
          </w:p>
        </w:tc>
      </w:tr>
      <w:tr w:rsidR="00F77457" w:rsidRPr="00CF1118"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19 mars 2014</w:t>
            </w:r>
          </w:p>
          <w:p w:rsidR="00F77457" w:rsidRPr="00BC0346" w:rsidRDefault="00F77457" w:rsidP="00EE6982">
            <w:pPr>
              <w:jc w:val="both"/>
              <w:rPr>
                <w:rFonts w:eastAsia="Calibri"/>
                <w:sz w:val="20"/>
                <w:lang w:val="fr-CA"/>
              </w:rPr>
            </w:pPr>
            <w:r w:rsidRPr="00BC0346">
              <w:rPr>
                <w:rFonts w:eastAsia="Calibri"/>
                <w:sz w:val="20"/>
                <w:lang w:val="fr-CA"/>
              </w:rPr>
              <w:t xml:space="preserve">Cour supérieure de justice de l’Ontario </w:t>
            </w:r>
          </w:p>
          <w:p w:rsidR="00F77457" w:rsidRPr="00BC0346" w:rsidRDefault="00F77457" w:rsidP="00EE6982">
            <w:pPr>
              <w:jc w:val="both"/>
              <w:rPr>
                <w:rFonts w:eastAsia="Calibri"/>
                <w:sz w:val="20"/>
              </w:rPr>
            </w:pPr>
            <w:r w:rsidRPr="00BC0346">
              <w:rPr>
                <w:rFonts w:eastAsia="Calibri"/>
                <w:sz w:val="20"/>
              </w:rPr>
              <w:t>(Juge Patterson)</w:t>
            </w:r>
          </w:p>
          <w:p w:rsidR="00F77457" w:rsidRPr="00BC0346" w:rsidRDefault="00742BC3" w:rsidP="00EE6982">
            <w:pPr>
              <w:jc w:val="both"/>
              <w:rPr>
                <w:rFonts w:eastAsia="Calibri"/>
                <w:sz w:val="20"/>
              </w:rPr>
            </w:pPr>
            <w:hyperlink r:id="rId55" w:history="1">
              <w:r w:rsidR="00F77457" w:rsidRPr="00BC0346">
                <w:rPr>
                  <w:rFonts w:eastAsia="Calibri"/>
                  <w:color w:val="0000FF"/>
                  <w:sz w:val="20"/>
                  <w:u w:val="single"/>
                </w:rPr>
                <w:t>2014 ONSC 1766</w:t>
              </w:r>
            </w:hyperlink>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lang w:val="fr-CA"/>
              </w:rPr>
            </w:pPr>
            <w:r w:rsidRPr="00BC0346">
              <w:rPr>
                <w:rFonts w:eastAsia="Calibri"/>
                <w:sz w:val="20"/>
                <w:lang w:val="fr-CA"/>
              </w:rPr>
              <w:t>Requête du père en suspension des procédures de garde et d’accès en Ontario et visant à faire déclarer le tribunal de l’Indiana plus approprié, rejetée</w:t>
            </w:r>
          </w:p>
          <w:p w:rsidR="00F77457" w:rsidRPr="00BC0346" w:rsidRDefault="00F77457" w:rsidP="00EE6982">
            <w:pPr>
              <w:jc w:val="both"/>
              <w:rPr>
                <w:rFonts w:eastAsia="Calibri"/>
                <w:sz w:val="20"/>
                <w:lang w:val="fr-CA"/>
              </w:rPr>
            </w:pPr>
          </w:p>
        </w:tc>
      </w:tr>
      <w:tr w:rsidR="00F77457" w:rsidRPr="00BC0346"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2 octobre 2014</w:t>
            </w:r>
          </w:p>
          <w:p w:rsidR="00F77457" w:rsidRPr="00BC0346" w:rsidRDefault="00F77457" w:rsidP="00EE6982">
            <w:pPr>
              <w:jc w:val="both"/>
              <w:rPr>
                <w:rFonts w:eastAsia="Calibri"/>
                <w:sz w:val="20"/>
                <w:lang w:val="fr-CA"/>
              </w:rPr>
            </w:pPr>
            <w:r w:rsidRPr="00BC0346">
              <w:rPr>
                <w:rFonts w:eastAsia="Calibri"/>
                <w:sz w:val="20"/>
                <w:lang w:val="fr-CA"/>
              </w:rPr>
              <w:t>Cour d’appel de l’Ontario</w:t>
            </w:r>
          </w:p>
          <w:p w:rsidR="00F77457" w:rsidRPr="00BC0346" w:rsidRDefault="00F77457" w:rsidP="00EE6982">
            <w:pPr>
              <w:jc w:val="both"/>
              <w:rPr>
                <w:rFonts w:eastAsia="Calibri"/>
                <w:sz w:val="20"/>
                <w:lang w:val="fr-CA"/>
              </w:rPr>
            </w:pPr>
            <w:r w:rsidRPr="00BC0346">
              <w:rPr>
                <w:rFonts w:eastAsia="Calibri"/>
                <w:sz w:val="20"/>
                <w:lang w:val="fr-CA"/>
              </w:rPr>
              <w:t>(Juges Simmons, Rouleau et Hourigan)</w:t>
            </w:r>
          </w:p>
          <w:p w:rsidR="00F77457" w:rsidRPr="00BC0346" w:rsidRDefault="00742BC3" w:rsidP="00EE6982">
            <w:pPr>
              <w:jc w:val="both"/>
              <w:rPr>
                <w:rFonts w:eastAsia="Calibri"/>
                <w:sz w:val="20"/>
              </w:rPr>
            </w:pPr>
            <w:hyperlink r:id="rId56" w:history="1">
              <w:r w:rsidR="00F77457" w:rsidRPr="00BC0346">
                <w:rPr>
                  <w:rFonts w:eastAsia="Calibri"/>
                  <w:color w:val="0000FF"/>
                  <w:sz w:val="20"/>
                  <w:u w:val="single"/>
                </w:rPr>
                <w:t>2014 ONCA 679</w:t>
              </w:r>
            </w:hyperlink>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Appel du père rejeté</w:t>
            </w:r>
          </w:p>
          <w:p w:rsidR="00F77457" w:rsidRPr="00BC0346" w:rsidRDefault="00F77457" w:rsidP="00EE6982">
            <w:pPr>
              <w:jc w:val="both"/>
              <w:rPr>
                <w:rFonts w:eastAsia="Calibri"/>
                <w:sz w:val="20"/>
              </w:rPr>
            </w:pPr>
          </w:p>
        </w:tc>
      </w:tr>
      <w:tr w:rsidR="00F77457" w:rsidRPr="00BC0346"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1</w:t>
            </w:r>
            <w:r w:rsidRPr="00F77457">
              <w:rPr>
                <w:rFonts w:eastAsia="Calibri"/>
                <w:sz w:val="20"/>
                <w:vertAlign w:val="superscript"/>
                <w:lang w:val="fr-CA"/>
              </w:rPr>
              <w:t>er</w:t>
            </w:r>
            <w:r w:rsidRPr="00BC0346">
              <w:rPr>
                <w:rFonts w:eastAsia="Calibri"/>
                <w:sz w:val="20"/>
                <w:lang w:val="fr-CA"/>
              </w:rPr>
              <w:t xml:space="preserve"> décembre 2014</w:t>
            </w:r>
          </w:p>
          <w:p w:rsidR="00F77457" w:rsidRPr="00BC0346" w:rsidRDefault="00F77457" w:rsidP="00EE6982">
            <w:pPr>
              <w:jc w:val="both"/>
              <w:rPr>
                <w:rFonts w:eastAsia="Calibri"/>
                <w:sz w:val="20"/>
                <w:lang w:val="fr-CA"/>
              </w:rPr>
            </w:pPr>
            <w:r w:rsidRPr="00BC0346">
              <w:rPr>
                <w:rFonts w:eastAsia="Calibri"/>
                <w:sz w:val="20"/>
                <w:lang w:val="fr-CA"/>
              </w:rPr>
              <w:t>Cour suprême du Canada</w:t>
            </w:r>
          </w:p>
        </w:tc>
        <w:tc>
          <w:tcPr>
            <w:tcW w:w="243" w:type="pct"/>
          </w:tcPr>
          <w:p w:rsidR="00F77457" w:rsidRPr="00BC0346" w:rsidRDefault="00F77457" w:rsidP="00EE6982">
            <w:pPr>
              <w:jc w:val="both"/>
              <w:rPr>
                <w:rFonts w:eastAsia="Calibri"/>
                <w:sz w:val="20"/>
                <w:lang w:val="fr-CA"/>
              </w:rPr>
            </w:pPr>
          </w:p>
        </w:tc>
        <w:tc>
          <w:tcPr>
            <w:tcW w:w="2330" w:type="pct"/>
          </w:tcPr>
          <w:p w:rsidR="00F77457" w:rsidRPr="00BC0346" w:rsidRDefault="00F77457" w:rsidP="00EE6982">
            <w:pPr>
              <w:jc w:val="both"/>
              <w:rPr>
                <w:rFonts w:eastAsia="Calibri"/>
                <w:sz w:val="20"/>
              </w:rPr>
            </w:pPr>
            <w:r w:rsidRPr="00BC0346">
              <w:rPr>
                <w:rFonts w:eastAsia="Calibri"/>
                <w:sz w:val="20"/>
              </w:rPr>
              <w:t>Demande d’autorisation d’appel déposée</w:t>
            </w:r>
          </w:p>
        </w:tc>
      </w:tr>
    </w:tbl>
    <w:p w:rsidR="0002632D" w:rsidRDefault="0002632D" w:rsidP="0002632D">
      <w:pPr>
        <w:rPr>
          <w:sz w:val="20"/>
          <w:szCs w:val="20"/>
        </w:rPr>
      </w:pPr>
    </w:p>
    <w:p w:rsidR="0002632D" w:rsidRDefault="00742BC3" w:rsidP="0002632D">
      <w:pPr>
        <w:rPr>
          <w:sz w:val="20"/>
          <w:szCs w:val="20"/>
          <w:lang w:val="fr-CA"/>
        </w:rPr>
      </w:pPr>
      <w:r>
        <w:rPr>
          <w:sz w:val="20"/>
          <w:szCs w:val="20"/>
          <w:lang w:val="fr-CA"/>
        </w:rPr>
        <w:pict>
          <v:rect id="_x0000_i1054" style="width:2in;height:1pt" o:hrpct="0" o:hralign="center" o:hrstd="t" o:hrnoshade="t" o:hr="t" fillcolor="black [3213]" stroked="f"/>
        </w:pict>
      </w:r>
    </w:p>
    <w:p w:rsidR="00204846" w:rsidRDefault="00204846">
      <w:pPr>
        <w:rPr>
          <w:sz w:val="20"/>
          <w:szCs w:val="20"/>
          <w:lang w:val="fr-CA"/>
        </w:rPr>
      </w:pPr>
    </w:p>
    <w:p w:rsidR="00204846" w:rsidRDefault="00204846">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24545" w:rsidRPr="00CE568C" w:rsidTr="00924545">
        <w:tc>
          <w:tcPr>
            <w:tcW w:w="1458" w:type="dxa"/>
          </w:tcPr>
          <w:p w:rsidR="00924545" w:rsidRPr="00CE568C" w:rsidRDefault="00924545" w:rsidP="001E5FD5">
            <w:pPr>
              <w:rPr>
                <w:sz w:val="20"/>
                <w:szCs w:val="20"/>
              </w:rPr>
            </w:pPr>
            <w:r w:rsidRPr="00CE568C">
              <w:rPr>
                <w:rStyle w:val="SCCFileNumberChar"/>
                <w:sz w:val="20"/>
                <w:szCs w:val="20"/>
              </w:rPr>
              <w:lastRenderedPageBreak/>
              <w:t>36209</w:t>
            </w:r>
          </w:p>
          <w:p w:rsidR="00924545" w:rsidRPr="00CE568C" w:rsidRDefault="00924545" w:rsidP="001E5FD5">
            <w:pPr>
              <w:rPr>
                <w:b/>
                <w:sz w:val="20"/>
                <w:szCs w:val="20"/>
                <w:lang w:val="fr-CA"/>
              </w:rPr>
            </w:pPr>
          </w:p>
        </w:tc>
        <w:tc>
          <w:tcPr>
            <w:tcW w:w="8118" w:type="dxa"/>
          </w:tcPr>
          <w:p w:rsidR="00924545" w:rsidRPr="00CE568C" w:rsidRDefault="00924545" w:rsidP="001E5FD5">
            <w:pPr>
              <w:jc w:val="both"/>
              <w:rPr>
                <w:sz w:val="20"/>
                <w:szCs w:val="20"/>
              </w:rPr>
            </w:pPr>
            <w:r w:rsidRPr="00CE568C">
              <w:rPr>
                <w:rStyle w:val="SCCLsocChar"/>
                <w:sz w:val="20"/>
                <w:szCs w:val="20"/>
                <w:lang w:val="en-CA"/>
              </w:rPr>
              <w:t>David Prabakar Jayaraj v. His Excellency the Right Honorable Governor General, The Honorable Prime Minister, The Honorable Minister of Justice and Attorney General of Canada</w:t>
            </w:r>
            <w:r w:rsidRPr="00CE568C">
              <w:rPr>
                <w:sz w:val="20"/>
                <w:szCs w:val="20"/>
              </w:rPr>
              <w:t xml:space="preserve"> (F</w:t>
            </w:r>
            <w:r w:rsidR="00A96BDA">
              <w:rPr>
                <w:sz w:val="20"/>
                <w:szCs w:val="20"/>
              </w:rPr>
              <w:t>.</w:t>
            </w:r>
            <w:r w:rsidRPr="00CE568C">
              <w:rPr>
                <w:sz w:val="20"/>
                <w:szCs w:val="20"/>
              </w:rPr>
              <w:t>C</w:t>
            </w:r>
            <w:r w:rsidR="00A96BDA">
              <w:rPr>
                <w:sz w:val="20"/>
                <w:szCs w:val="20"/>
              </w:rPr>
              <w:t>.</w:t>
            </w:r>
            <w:r w:rsidRPr="00CE568C">
              <w:rPr>
                <w:sz w:val="20"/>
                <w:szCs w:val="20"/>
              </w:rPr>
              <w:t>) (Civil) (By Leave)</w:t>
            </w:r>
          </w:p>
          <w:p w:rsidR="00924545" w:rsidRPr="00CE568C" w:rsidRDefault="00924545" w:rsidP="001E5FD5">
            <w:pPr>
              <w:jc w:val="both"/>
              <w:rPr>
                <w:sz w:val="20"/>
                <w:szCs w:val="20"/>
              </w:rPr>
            </w:pPr>
          </w:p>
        </w:tc>
      </w:tr>
      <w:tr w:rsidR="00924545" w:rsidRPr="00CE568C" w:rsidTr="00924545">
        <w:tc>
          <w:tcPr>
            <w:tcW w:w="1458" w:type="dxa"/>
          </w:tcPr>
          <w:p w:rsidR="00924545" w:rsidRPr="00CE568C" w:rsidRDefault="00924545" w:rsidP="001E5FD5">
            <w:pPr>
              <w:rPr>
                <w:sz w:val="20"/>
                <w:szCs w:val="20"/>
              </w:rPr>
            </w:pPr>
            <w:r w:rsidRPr="00CE568C">
              <w:rPr>
                <w:sz w:val="20"/>
                <w:szCs w:val="20"/>
              </w:rPr>
              <w:t>Coram :</w:t>
            </w:r>
          </w:p>
        </w:tc>
        <w:tc>
          <w:tcPr>
            <w:tcW w:w="8118" w:type="dxa"/>
          </w:tcPr>
          <w:p w:rsidR="00924545" w:rsidRPr="00CE568C" w:rsidRDefault="00924545" w:rsidP="001E5FD5">
            <w:pPr>
              <w:rPr>
                <w:sz w:val="20"/>
                <w:szCs w:val="20"/>
              </w:rPr>
            </w:pPr>
            <w:r w:rsidRPr="00CE568C">
              <w:rPr>
                <w:rStyle w:val="SCCCoramChar"/>
                <w:sz w:val="20"/>
                <w:szCs w:val="20"/>
                <w:lang w:val="en-CA"/>
              </w:rPr>
              <w:t>Rothstein, Cromwell and Moldaver JJ.</w:t>
            </w:r>
          </w:p>
          <w:p w:rsidR="00924545" w:rsidRPr="00CE568C" w:rsidRDefault="00924545" w:rsidP="001E5FD5">
            <w:pPr>
              <w:rPr>
                <w:sz w:val="20"/>
                <w:szCs w:val="20"/>
                <w:u w:val="single"/>
              </w:rPr>
            </w:pPr>
          </w:p>
        </w:tc>
      </w:tr>
      <w:tr w:rsidR="00924545" w:rsidRPr="00CF1118" w:rsidTr="00924545">
        <w:tc>
          <w:tcPr>
            <w:tcW w:w="9576" w:type="dxa"/>
            <w:gridSpan w:val="2"/>
          </w:tcPr>
          <w:p w:rsidR="00924545" w:rsidRPr="00CE568C" w:rsidRDefault="00924545" w:rsidP="001E5FD5">
            <w:pPr>
              <w:pStyle w:val="SCCShortJudgment"/>
              <w:rPr>
                <w:szCs w:val="20"/>
              </w:rPr>
            </w:pPr>
            <w:r w:rsidRPr="00CE568C">
              <w:rPr>
                <w:szCs w:val="20"/>
              </w:rPr>
              <w:t>The application for leave to appeal from the judgment of the Federal Court of Appeal, Number A-400-14, dated November 14, 2014, is dismissed without costs.</w:t>
            </w:r>
          </w:p>
          <w:p w:rsidR="00924545" w:rsidRPr="00CE568C" w:rsidRDefault="00924545" w:rsidP="001E5FD5">
            <w:pPr>
              <w:pStyle w:val="SCCShortJudgment"/>
              <w:ind w:firstLine="0"/>
              <w:rPr>
                <w:szCs w:val="20"/>
              </w:rPr>
            </w:pPr>
          </w:p>
          <w:p w:rsidR="00924545" w:rsidRPr="00CE568C" w:rsidRDefault="00924545" w:rsidP="001E5FD5">
            <w:pPr>
              <w:pStyle w:val="SCCShortJudgment"/>
              <w:rPr>
                <w:szCs w:val="20"/>
                <w:lang w:val="fr-CA"/>
              </w:rPr>
            </w:pPr>
            <w:r w:rsidRPr="00CE568C">
              <w:rPr>
                <w:szCs w:val="20"/>
                <w:lang w:val="fr-CA"/>
              </w:rPr>
              <w:t>La demande d’autorisation d’appel de l’arrêt de la Cour d’appel fédérale, numéro A-400-14, daté du 14 novembre 2014, est rejetée sans dépens.</w:t>
            </w:r>
          </w:p>
        </w:tc>
      </w:tr>
    </w:tbl>
    <w:p w:rsidR="0002632D" w:rsidRPr="00924545" w:rsidRDefault="0002632D" w:rsidP="0002632D">
      <w:pPr>
        <w:rPr>
          <w:sz w:val="20"/>
          <w:szCs w:val="20"/>
          <w:lang w:val="fr-CA"/>
        </w:rPr>
      </w:pPr>
    </w:p>
    <w:p w:rsidR="0002632D" w:rsidRPr="001B157C" w:rsidRDefault="0002632D" w:rsidP="0002632D">
      <w:pPr>
        <w:rPr>
          <w:sz w:val="20"/>
          <w:szCs w:val="20"/>
          <w:u w:val="single"/>
        </w:rPr>
      </w:pPr>
      <w:r w:rsidRPr="001B157C">
        <w:rPr>
          <w:sz w:val="20"/>
          <w:szCs w:val="20"/>
          <w:u w:val="single"/>
        </w:rPr>
        <w:t>CASE SUMMARY</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457" w:rsidRPr="00BC0346" w:rsidTr="00EE6982">
        <w:tc>
          <w:tcPr>
            <w:tcW w:w="5000" w:type="pct"/>
            <w:gridSpan w:val="3"/>
          </w:tcPr>
          <w:p w:rsidR="00F77457" w:rsidRPr="00BC0346" w:rsidRDefault="00F77457" w:rsidP="00EE6982">
            <w:pPr>
              <w:jc w:val="both"/>
              <w:rPr>
                <w:rFonts w:eastAsia="Calibri"/>
                <w:smallCaps/>
                <w:sz w:val="20"/>
              </w:rPr>
            </w:pPr>
            <w:r w:rsidRPr="00BC0346">
              <w:rPr>
                <w:rFonts w:eastAsia="Calibri"/>
                <w:sz w:val="20"/>
              </w:rPr>
              <w:t>Courts – Judges – Nomination of federally-appointed judges – Reasonable apprehension of bias – Applicant seeking to challenge nomination of 15 judges but being denied an extension of time to do so – Whether Court of Appeal erred in dismissing applicant’s appeal?</w:t>
            </w:r>
          </w:p>
        </w:tc>
      </w:tr>
      <w:tr w:rsidR="00F77457" w:rsidRPr="00BC0346" w:rsidTr="00EE6982">
        <w:tc>
          <w:tcPr>
            <w:tcW w:w="5000" w:type="pct"/>
            <w:gridSpan w:val="3"/>
          </w:tcPr>
          <w:p w:rsidR="00F77457" w:rsidRPr="00BC0346" w:rsidRDefault="00F77457" w:rsidP="00EE6982">
            <w:pPr>
              <w:jc w:val="both"/>
              <w:rPr>
                <w:rFonts w:eastAsia="Calibri"/>
                <w:sz w:val="20"/>
              </w:rPr>
            </w:pPr>
          </w:p>
        </w:tc>
      </w:tr>
      <w:tr w:rsidR="00F77457" w:rsidRPr="00BC0346" w:rsidTr="00EE6982">
        <w:tc>
          <w:tcPr>
            <w:tcW w:w="5000" w:type="pct"/>
            <w:gridSpan w:val="3"/>
          </w:tcPr>
          <w:p w:rsidR="00F77457" w:rsidRPr="00BC0346" w:rsidRDefault="00F77457" w:rsidP="00EE6982">
            <w:pPr>
              <w:jc w:val="both"/>
              <w:rPr>
                <w:rFonts w:eastAsia="Calibri"/>
                <w:sz w:val="20"/>
              </w:rPr>
            </w:pPr>
            <w:r w:rsidRPr="00BC0346">
              <w:rPr>
                <w:rFonts w:eastAsia="Calibri"/>
                <w:sz w:val="20"/>
              </w:rPr>
              <w:t xml:space="preserve">On June 3, 2014, the appointment of Justice Clément Gascon to the Supreme Court of Canada was announced. The applicant wished to challenge that nomination as well as the nomination, in the summer of 2014, of 14 other federally-appointed judges. </w:t>
            </w:r>
          </w:p>
          <w:p w:rsidR="00F77457" w:rsidRPr="00BC0346" w:rsidRDefault="00F77457" w:rsidP="00EE6982">
            <w:pPr>
              <w:jc w:val="both"/>
              <w:rPr>
                <w:rFonts w:eastAsia="Calibri"/>
                <w:sz w:val="20"/>
              </w:rPr>
            </w:pPr>
          </w:p>
          <w:p w:rsidR="00F77457" w:rsidRPr="00BC0346" w:rsidRDefault="00F77457" w:rsidP="00EE6982">
            <w:pPr>
              <w:jc w:val="both"/>
              <w:rPr>
                <w:rFonts w:eastAsia="Calibri"/>
                <w:sz w:val="20"/>
              </w:rPr>
            </w:pPr>
            <w:r w:rsidRPr="00BC0346">
              <w:rPr>
                <w:rFonts w:eastAsia="Calibri"/>
                <w:sz w:val="20"/>
              </w:rPr>
              <w:t>On August 27, 2014, the applicant filed a motion in the Federal Court requesting an extension of time to file a notice of application for judicial review of the appointments.</w:t>
            </w:r>
          </w:p>
          <w:p w:rsidR="00F77457" w:rsidRPr="00BC0346" w:rsidRDefault="00F77457" w:rsidP="00EE6982">
            <w:pPr>
              <w:jc w:val="both"/>
              <w:rPr>
                <w:rFonts w:eastAsia="Calibri"/>
                <w:sz w:val="20"/>
              </w:rPr>
            </w:pP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September 12, 2014</w:t>
            </w:r>
          </w:p>
          <w:p w:rsidR="00F77457" w:rsidRPr="00BC0346" w:rsidRDefault="00F77457" w:rsidP="00EE6982">
            <w:pPr>
              <w:jc w:val="both"/>
              <w:rPr>
                <w:rFonts w:eastAsia="Calibri"/>
                <w:sz w:val="20"/>
              </w:rPr>
            </w:pPr>
            <w:r w:rsidRPr="00BC0346">
              <w:rPr>
                <w:rFonts w:eastAsia="Calibri"/>
                <w:sz w:val="20"/>
              </w:rPr>
              <w:t>Federal Court</w:t>
            </w:r>
          </w:p>
          <w:p w:rsidR="00F77457" w:rsidRPr="00BC0346" w:rsidRDefault="00F77457" w:rsidP="00EE6982">
            <w:pPr>
              <w:jc w:val="both"/>
              <w:rPr>
                <w:rFonts w:eastAsia="Calibri"/>
                <w:sz w:val="20"/>
              </w:rPr>
            </w:pPr>
            <w:r w:rsidRPr="00BC0346">
              <w:rPr>
                <w:rFonts w:eastAsia="Calibri"/>
                <w:sz w:val="20"/>
              </w:rPr>
              <w:t>(Hughes J.)</w:t>
            </w:r>
          </w:p>
          <w:p w:rsidR="00F77457" w:rsidRPr="00BC0346" w:rsidRDefault="00F77457" w:rsidP="00EE6982">
            <w:pPr>
              <w:jc w:val="both"/>
              <w:rPr>
                <w:rFonts w:eastAsia="Calibri"/>
                <w:sz w:val="20"/>
              </w:rPr>
            </w:pPr>
            <w:r w:rsidRPr="00BC0346">
              <w:rPr>
                <w:rFonts w:eastAsia="Calibri"/>
                <w:sz w:val="20"/>
              </w:rPr>
              <w:t>Docket No. 14-T-43</w:t>
            </w:r>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 xml:space="preserve">Motion for an extension of time to file an application for judicial review, dismissed </w:t>
            </w: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November 14, 2014</w:t>
            </w:r>
          </w:p>
          <w:p w:rsidR="00F77457" w:rsidRPr="00BC0346" w:rsidRDefault="00F77457" w:rsidP="00EE6982">
            <w:pPr>
              <w:jc w:val="both"/>
              <w:rPr>
                <w:rFonts w:eastAsia="Calibri"/>
                <w:sz w:val="20"/>
              </w:rPr>
            </w:pPr>
            <w:r w:rsidRPr="00BC0346">
              <w:rPr>
                <w:rFonts w:eastAsia="Calibri"/>
                <w:sz w:val="20"/>
              </w:rPr>
              <w:t>Federal Court of Appeal</w:t>
            </w:r>
          </w:p>
          <w:p w:rsidR="00F77457" w:rsidRPr="00BC0346" w:rsidRDefault="00F77457" w:rsidP="00EE6982">
            <w:pPr>
              <w:jc w:val="both"/>
              <w:rPr>
                <w:rFonts w:eastAsia="Calibri"/>
                <w:sz w:val="20"/>
              </w:rPr>
            </w:pPr>
            <w:r w:rsidRPr="00BC0346">
              <w:rPr>
                <w:rFonts w:eastAsia="Calibri"/>
                <w:sz w:val="20"/>
              </w:rPr>
              <w:t>(Nadon, Pelletier and Gauthier JJ.A.)</w:t>
            </w:r>
          </w:p>
          <w:p w:rsidR="00F77457" w:rsidRPr="00BC0346" w:rsidRDefault="00F77457" w:rsidP="00EE6982">
            <w:pPr>
              <w:jc w:val="both"/>
              <w:rPr>
                <w:rFonts w:eastAsia="Calibri"/>
                <w:sz w:val="20"/>
              </w:rPr>
            </w:pPr>
            <w:r w:rsidRPr="00BC0346">
              <w:rPr>
                <w:rFonts w:eastAsia="Calibri"/>
                <w:sz w:val="20"/>
              </w:rPr>
              <w:t>Docket No. A-400-14</w:t>
            </w:r>
          </w:p>
          <w:p w:rsidR="00F77457" w:rsidRPr="00BC0346" w:rsidRDefault="00F77457" w:rsidP="00EE6982">
            <w:pPr>
              <w:jc w:val="both"/>
              <w:rPr>
                <w:rFonts w:eastAsia="Calibri"/>
                <w:sz w:val="20"/>
              </w:rPr>
            </w:pP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 xml:space="preserve">Appeal dismissed </w:t>
            </w:r>
          </w:p>
          <w:p w:rsidR="00F77457" w:rsidRPr="00BC0346" w:rsidRDefault="00F77457" w:rsidP="00EE6982">
            <w:pPr>
              <w:jc w:val="both"/>
              <w:rPr>
                <w:rFonts w:eastAsia="Calibri"/>
                <w:sz w:val="20"/>
              </w:rPr>
            </w:pPr>
          </w:p>
        </w:tc>
      </w:tr>
      <w:tr w:rsidR="00F77457" w:rsidRPr="00BC0346" w:rsidTr="00EE6982">
        <w:tc>
          <w:tcPr>
            <w:tcW w:w="2427" w:type="pct"/>
          </w:tcPr>
          <w:p w:rsidR="00F77457" w:rsidRPr="00BC0346" w:rsidRDefault="00F77457" w:rsidP="00EE6982">
            <w:pPr>
              <w:jc w:val="both"/>
              <w:rPr>
                <w:rFonts w:eastAsia="Calibri"/>
                <w:sz w:val="20"/>
              </w:rPr>
            </w:pPr>
            <w:r w:rsidRPr="00BC0346">
              <w:rPr>
                <w:rFonts w:eastAsia="Calibri"/>
                <w:sz w:val="20"/>
              </w:rPr>
              <w:t>December 2, 2014</w:t>
            </w:r>
          </w:p>
          <w:p w:rsidR="00F77457" w:rsidRPr="00BC0346" w:rsidRDefault="00F77457" w:rsidP="00EE6982">
            <w:pPr>
              <w:jc w:val="both"/>
              <w:rPr>
                <w:rFonts w:eastAsia="Calibri"/>
                <w:sz w:val="20"/>
              </w:rPr>
            </w:pPr>
            <w:r w:rsidRPr="00BC0346">
              <w:rPr>
                <w:rFonts w:eastAsia="Calibri"/>
                <w:sz w:val="20"/>
              </w:rPr>
              <w:t>Supreme Court of Canada</w:t>
            </w:r>
          </w:p>
        </w:tc>
        <w:tc>
          <w:tcPr>
            <w:tcW w:w="243" w:type="pct"/>
          </w:tcPr>
          <w:p w:rsidR="00F77457" w:rsidRPr="00BC0346" w:rsidRDefault="00F77457" w:rsidP="00EE6982">
            <w:pPr>
              <w:jc w:val="both"/>
              <w:rPr>
                <w:rFonts w:eastAsia="Calibri"/>
                <w:sz w:val="20"/>
              </w:rPr>
            </w:pPr>
          </w:p>
        </w:tc>
        <w:tc>
          <w:tcPr>
            <w:tcW w:w="2330" w:type="pct"/>
          </w:tcPr>
          <w:p w:rsidR="00F77457" w:rsidRPr="00BC0346" w:rsidRDefault="00F77457" w:rsidP="00EE6982">
            <w:pPr>
              <w:jc w:val="both"/>
              <w:rPr>
                <w:rFonts w:eastAsia="Calibri"/>
                <w:sz w:val="20"/>
              </w:rPr>
            </w:pPr>
            <w:r w:rsidRPr="00BC0346">
              <w:rPr>
                <w:rFonts w:eastAsia="Calibri"/>
                <w:sz w:val="20"/>
              </w:rPr>
              <w:t>Application for leave to appeal filed</w:t>
            </w:r>
          </w:p>
          <w:p w:rsidR="00F77457" w:rsidRPr="00BC0346" w:rsidRDefault="00F77457" w:rsidP="00EE6982">
            <w:pPr>
              <w:jc w:val="both"/>
              <w:rPr>
                <w:rFonts w:eastAsia="Calibri"/>
                <w:sz w:val="20"/>
              </w:rPr>
            </w:pPr>
          </w:p>
        </w:tc>
      </w:tr>
    </w:tbl>
    <w:p w:rsidR="0002632D" w:rsidRDefault="0002632D" w:rsidP="0002632D">
      <w:pPr>
        <w:rPr>
          <w:sz w:val="20"/>
          <w:szCs w:val="20"/>
        </w:rPr>
      </w:pPr>
    </w:p>
    <w:p w:rsidR="0002632D" w:rsidRPr="00C50A5C" w:rsidRDefault="00742BC3" w:rsidP="0002632D">
      <w:pPr>
        <w:rPr>
          <w:sz w:val="20"/>
          <w:szCs w:val="20"/>
        </w:rPr>
      </w:pPr>
      <w:r>
        <w:rPr>
          <w:sz w:val="20"/>
          <w:szCs w:val="20"/>
          <w:lang w:val="fr-CA"/>
        </w:rPr>
        <w:pict>
          <v:rect id="_x0000_i1055" style="width:2in;height:1pt" o:hrpct="0" o:hralign="center" o:hrstd="t" o:hrnoshade="t" o:hr="t" fillcolor="black [3213]" stroked="f"/>
        </w:pict>
      </w:r>
    </w:p>
    <w:p w:rsidR="0002632D" w:rsidRDefault="0002632D" w:rsidP="0002632D">
      <w:pPr>
        <w:rPr>
          <w:sz w:val="20"/>
          <w:szCs w:val="20"/>
        </w:rPr>
      </w:pPr>
    </w:p>
    <w:p w:rsidR="0002632D" w:rsidRPr="001B157C" w:rsidRDefault="0002632D" w:rsidP="0002632D">
      <w:pPr>
        <w:rPr>
          <w:sz w:val="20"/>
          <w:szCs w:val="20"/>
          <w:u w:val="single"/>
          <w:lang w:val="fr-CA"/>
        </w:rPr>
      </w:pPr>
      <w:r w:rsidRPr="001B157C">
        <w:rPr>
          <w:sz w:val="20"/>
          <w:szCs w:val="20"/>
          <w:u w:val="single"/>
          <w:lang w:val="fr-CA"/>
        </w:rPr>
        <w:t>RÉSUMÉ DE L’AFFAIRE</w:t>
      </w:r>
    </w:p>
    <w:p w:rsidR="0002632D" w:rsidRDefault="0002632D" w:rsidP="000263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457" w:rsidRPr="00CF1118" w:rsidTr="00EE6982">
        <w:tc>
          <w:tcPr>
            <w:tcW w:w="5000" w:type="pct"/>
            <w:gridSpan w:val="3"/>
          </w:tcPr>
          <w:p w:rsidR="00F77457" w:rsidRPr="00BC0346" w:rsidRDefault="00F77457" w:rsidP="00EE6982">
            <w:pPr>
              <w:jc w:val="both"/>
              <w:rPr>
                <w:rFonts w:eastAsia="Calibri"/>
                <w:smallCaps/>
                <w:sz w:val="20"/>
                <w:lang w:val="fr-CA"/>
              </w:rPr>
            </w:pPr>
            <w:r w:rsidRPr="00BC0346">
              <w:rPr>
                <w:rFonts w:eastAsia="Calibri"/>
                <w:sz w:val="20"/>
                <w:lang w:val="fr-CA"/>
              </w:rPr>
              <w:t>Tribunaux – Juges – Nomination de juges de nomination fédérale – Crainte raisonnable de partialité – Le demandeur veut contester la nomination de quinze juges, mais il se voit refuser une prorogation de délai pour le faire – La Cour d’appel a-t-elle eu tort de rejeter l’appel du demandeur?</w:t>
            </w:r>
          </w:p>
        </w:tc>
      </w:tr>
      <w:tr w:rsidR="00F77457" w:rsidRPr="00CF1118" w:rsidTr="00EE6982">
        <w:tc>
          <w:tcPr>
            <w:tcW w:w="5000" w:type="pct"/>
            <w:gridSpan w:val="3"/>
          </w:tcPr>
          <w:p w:rsidR="00F77457" w:rsidRPr="00BC0346" w:rsidRDefault="00F77457" w:rsidP="00EE6982">
            <w:pPr>
              <w:jc w:val="both"/>
              <w:rPr>
                <w:rFonts w:eastAsia="Calibri"/>
                <w:sz w:val="20"/>
                <w:lang w:val="fr-CA"/>
              </w:rPr>
            </w:pPr>
          </w:p>
        </w:tc>
      </w:tr>
      <w:tr w:rsidR="00F77457" w:rsidRPr="00CF1118" w:rsidTr="00EE6982">
        <w:tc>
          <w:tcPr>
            <w:tcW w:w="5000" w:type="pct"/>
            <w:gridSpan w:val="3"/>
          </w:tcPr>
          <w:p w:rsidR="00F77457" w:rsidRPr="00BC0346" w:rsidRDefault="00F77457" w:rsidP="00EE6982">
            <w:pPr>
              <w:jc w:val="both"/>
              <w:rPr>
                <w:rFonts w:eastAsia="Calibri"/>
                <w:sz w:val="20"/>
                <w:lang w:val="fr-CA"/>
              </w:rPr>
            </w:pPr>
            <w:r w:rsidRPr="00BC0346">
              <w:rPr>
                <w:rFonts w:eastAsia="Calibri"/>
                <w:sz w:val="20"/>
                <w:lang w:val="fr-CA"/>
              </w:rPr>
              <w:t xml:space="preserve">Le 3 juin 2014, la nomination du juge Clément Gascon à la Cour suprême du Canada a été annoncée.  Le demandeur a voulu contester cette nomination ainsi que la nomination, à l’été 2014, de quatorze autres juges de nomination fédérale. </w:t>
            </w:r>
          </w:p>
          <w:p w:rsidR="00F77457" w:rsidRPr="00BC0346" w:rsidRDefault="00F77457" w:rsidP="00EE6982">
            <w:pPr>
              <w:jc w:val="both"/>
              <w:rPr>
                <w:rFonts w:eastAsia="Calibri"/>
                <w:sz w:val="20"/>
                <w:lang w:val="fr-CA"/>
              </w:rPr>
            </w:pPr>
          </w:p>
          <w:p w:rsidR="00F77457" w:rsidRPr="00BC0346" w:rsidRDefault="00F77457" w:rsidP="00EE6982">
            <w:pPr>
              <w:jc w:val="both"/>
              <w:rPr>
                <w:rFonts w:eastAsia="Calibri"/>
                <w:sz w:val="20"/>
                <w:lang w:val="fr-CA"/>
              </w:rPr>
            </w:pPr>
            <w:r w:rsidRPr="00BC0346">
              <w:rPr>
                <w:rFonts w:eastAsia="Calibri"/>
                <w:sz w:val="20"/>
                <w:lang w:val="fr-CA"/>
              </w:rPr>
              <w:t>Le 27 août 2014, le demandeur a déposé en Cour fédérale une requête en prorogation du délai de dépôt d’un avis de demande de contrôle judiciaire des nominations.</w:t>
            </w:r>
          </w:p>
          <w:p w:rsidR="00F77457" w:rsidRPr="00BC0346" w:rsidRDefault="00F77457" w:rsidP="00EE6982">
            <w:pPr>
              <w:jc w:val="both"/>
              <w:rPr>
                <w:rFonts w:eastAsia="Calibri"/>
                <w:sz w:val="20"/>
                <w:lang w:val="fr-CA"/>
              </w:rPr>
            </w:pPr>
          </w:p>
        </w:tc>
      </w:tr>
      <w:tr w:rsidR="00F77457" w:rsidRPr="00CF1118"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lastRenderedPageBreak/>
              <w:t>12 septembre 2014</w:t>
            </w:r>
          </w:p>
          <w:p w:rsidR="00F77457" w:rsidRPr="00BC0346" w:rsidRDefault="00F77457" w:rsidP="00EE6982">
            <w:pPr>
              <w:jc w:val="both"/>
              <w:rPr>
                <w:rFonts w:eastAsia="Calibri"/>
                <w:sz w:val="20"/>
                <w:lang w:val="fr-CA"/>
              </w:rPr>
            </w:pPr>
            <w:r w:rsidRPr="00BC0346">
              <w:rPr>
                <w:rFonts w:eastAsia="Calibri"/>
                <w:sz w:val="20"/>
                <w:lang w:val="fr-CA"/>
              </w:rPr>
              <w:t>Cour fédérale</w:t>
            </w:r>
          </w:p>
          <w:p w:rsidR="00F77457" w:rsidRPr="00BC0346" w:rsidRDefault="00F77457" w:rsidP="00EE6982">
            <w:pPr>
              <w:jc w:val="both"/>
              <w:rPr>
                <w:rFonts w:eastAsia="Calibri"/>
                <w:sz w:val="20"/>
                <w:lang w:val="fr-CA"/>
              </w:rPr>
            </w:pPr>
            <w:r w:rsidRPr="00BC0346">
              <w:rPr>
                <w:rFonts w:eastAsia="Calibri"/>
                <w:sz w:val="20"/>
                <w:lang w:val="fr-CA"/>
              </w:rPr>
              <w:t>(Juge Hughes)</w:t>
            </w:r>
          </w:p>
          <w:p w:rsidR="00F77457" w:rsidRPr="00BC0346" w:rsidRDefault="00F77457" w:rsidP="00EE6982">
            <w:pPr>
              <w:jc w:val="both"/>
              <w:rPr>
                <w:rFonts w:eastAsia="Calibri"/>
                <w:sz w:val="20"/>
                <w:lang w:val="fr-CA"/>
              </w:rPr>
            </w:pPr>
            <w:r w:rsidRPr="00BC0346">
              <w:rPr>
                <w:rFonts w:eastAsia="Calibri"/>
                <w:sz w:val="20"/>
                <w:lang w:val="fr-CA"/>
              </w:rPr>
              <w:t>N</w:t>
            </w:r>
            <w:r w:rsidRPr="00BC0346">
              <w:rPr>
                <w:rFonts w:eastAsia="Calibri"/>
                <w:sz w:val="20"/>
                <w:vertAlign w:val="superscript"/>
                <w:lang w:val="fr-CA"/>
              </w:rPr>
              <w:t>o</w:t>
            </w:r>
            <w:r w:rsidRPr="00BC0346">
              <w:rPr>
                <w:rFonts w:eastAsia="Calibri"/>
                <w:sz w:val="20"/>
                <w:lang w:val="fr-CA"/>
              </w:rPr>
              <w:t xml:space="preserve"> du greffe 14-T-43</w:t>
            </w:r>
          </w:p>
          <w:p w:rsidR="00F77457" w:rsidRPr="00BC0346" w:rsidRDefault="00F77457" w:rsidP="00EE6982">
            <w:pPr>
              <w:jc w:val="both"/>
              <w:rPr>
                <w:rFonts w:eastAsia="Calibri"/>
                <w:sz w:val="20"/>
                <w:lang w:val="fr-CA"/>
              </w:rPr>
            </w:pPr>
          </w:p>
        </w:tc>
        <w:tc>
          <w:tcPr>
            <w:tcW w:w="243" w:type="pct"/>
          </w:tcPr>
          <w:p w:rsidR="00F77457" w:rsidRPr="00BC0346" w:rsidRDefault="00F77457" w:rsidP="00EE6982">
            <w:pPr>
              <w:jc w:val="both"/>
              <w:rPr>
                <w:rFonts w:eastAsia="Calibri"/>
                <w:sz w:val="20"/>
                <w:lang w:val="fr-CA"/>
              </w:rPr>
            </w:pPr>
          </w:p>
        </w:tc>
        <w:tc>
          <w:tcPr>
            <w:tcW w:w="2330" w:type="pct"/>
          </w:tcPr>
          <w:p w:rsidR="00F77457" w:rsidRPr="00BC0346" w:rsidRDefault="00F77457" w:rsidP="00EE6982">
            <w:pPr>
              <w:jc w:val="both"/>
              <w:rPr>
                <w:rFonts w:eastAsia="Calibri"/>
                <w:sz w:val="20"/>
                <w:lang w:val="fr-CA"/>
              </w:rPr>
            </w:pPr>
            <w:r w:rsidRPr="00BC0346">
              <w:rPr>
                <w:rFonts w:eastAsia="Calibri"/>
                <w:sz w:val="20"/>
                <w:lang w:val="fr-CA"/>
              </w:rPr>
              <w:t xml:space="preserve">Rejet de la requête en prorogation du délai de dépôt d’une demande de contrôle judiciaire </w:t>
            </w:r>
          </w:p>
        </w:tc>
      </w:tr>
      <w:tr w:rsidR="00F77457" w:rsidRPr="00BC0346"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14 novembre 2014</w:t>
            </w:r>
          </w:p>
          <w:p w:rsidR="00F77457" w:rsidRPr="00BC0346" w:rsidRDefault="00F77457" w:rsidP="00EE6982">
            <w:pPr>
              <w:jc w:val="both"/>
              <w:rPr>
                <w:rFonts w:eastAsia="Calibri"/>
                <w:sz w:val="20"/>
                <w:lang w:val="fr-CA"/>
              </w:rPr>
            </w:pPr>
            <w:r w:rsidRPr="00BC0346">
              <w:rPr>
                <w:rFonts w:eastAsia="Calibri"/>
                <w:sz w:val="20"/>
                <w:lang w:val="fr-CA"/>
              </w:rPr>
              <w:t>Cour d’appel fédérale</w:t>
            </w:r>
          </w:p>
          <w:p w:rsidR="00F77457" w:rsidRPr="00BC0346" w:rsidRDefault="00F77457" w:rsidP="00EE6982">
            <w:pPr>
              <w:jc w:val="both"/>
              <w:rPr>
                <w:rFonts w:eastAsia="Calibri"/>
                <w:sz w:val="20"/>
                <w:lang w:val="fr-CA"/>
              </w:rPr>
            </w:pPr>
            <w:r w:rsidRPr="00BC0346">
              <w:rPr>
                <w:rFonts w:eastAsia="Calibri"/>
                <w:sz w:val="20"/>
                <w:lang w:val="fr-CA"/>
              </w:rPr>
              <w:t>(Juges Nadon, Pelletier et Gauthier)</w:t>
            </w:r>
          </w:p>
          <w:p w:rsidR="00F77457" w:rsidRPr="00BC0346" w:rsidRDefault="00F77457" w:rsidP="00EE6982">
            <w:pPr>
              <w:jc w:val="both"/>
              <w:rPr>
                <w:rFonts w:eastAsia="Calibri"/>
                <w:sz w:val="20"/>
                <w:lang w:val="fr-CA"/>
              </w:rPr>
            </w:pPr>
            <w:r w:rsidRPr="00BC0346">
              <w:rPr>
                <w:rFonts w:eastAsia="Calibri"/>
                <w:sz w:val="20"/>
                <w:lang w:val="fr-CA"/>
              </w:rPr>
              <w:t>N</w:t>
            </w:r>
            <w:r w:rsidRPr="00BC0346">
              <w:rPr>
                <w:rFonts w:eastAsia="Calibri"/>
                <w:sz w:val="20"/>
                <w:vertAlign w:val="superscript"/>
                <w:lang w:val="fr-CA"/>
              </w:rPr>
              <w:t>o</w:t>
            </w:r>
            <w:r w:rsidRPr="00BC0346">
              <w:rPr>
                <w:rFonts w:eastAsia="Calibri"/>
                <w:sz w:val="20"/>
                <w:lang w:val="fr-CA"/>
              </w:rPr>
              <w:t xml:space="preserve"> du greffe A-400-14</w:t>
            </w:r>
          </w:p>
          <w:p w:rsidR="00F77457" w:rsidRPr="00BC0346" w:rsidRDefault="00F77457" w:rsidP="00EE6982">
            <w:pPr>
              <w:jc w:val="both"/>
              <w:rPr>
                <w:rFonts w:eastAsia="Calibri"/>
                <w:sz w:val="20"/>
                <w:lang w:val="fr-CA"/>
              </w:rPr>
            </w:pPr>
          </w:p>
        </w:tc>
        <w:tc>
          <w:tcPr>
            <w:tcW w:w="243" w:type="pct"/>
          </w:tcPr>
          <w:p w:rsidR="00F77457" w:rsidRPr="00BC0346" w:rsidRDefault="00F77457" w:rsidP="00EE6982">
            <w:pPr>
              <w:jc w:val="both"/>
              <w:rPr>
                <w:rFonts w:eastAsia="Calibri"/>
                <w:sz w:val="20"/>
                <w:lang w:val="fr-CA"/>
              </w:rPr>
            </w:pPr>
          </w:p>
        </w:tc>
        <w:tc>
          <w:tcPr>
            <w:tcW w:w="2330" w:type="pct"/>
          </w:tcPr>
          <w:p w:rsidR="00F77457" w:rsidRPr="00BC0346" w:rsidRDefault="00F77457" w:rsidP="00EE6982">
            <w:pPr>
              <w:jc w:val="both"/>
              <w:rPr>
                <w:rFonts w:eastAsia="Calibri"/>
                <w:sz w:val="20"/>
                <w:lang w:val="fr-CA"/>
              </w:rPr>
            </w:pPr>
            <w:r w:rsidRPr="00BC0346">
              <w:rPr>
                <w:rFonts w:eastAsia="Calibri"/>
                <w:sz w:val="20"/>
                <w:lang w:val="fr-CA"/>
              </w:rPr>
              <w:t xml:space="preserve">Rejet de l’appel </w:t>
            </w:r>
          </w:p>
          <w:p w:rsidR="00F77457" w:rsidRPr="00BC0346" w:rsidRDefault="00F77457" w:rsidP="00EE6982">
            <w:pPr>
              <w:jc w:val="both"/>
              <w:rPr>
                <w:rFonts w:eastAsia="Calibri"/>
                <w:sz w:val="20"/>
                <w:lang w:val="fr-CA"/>
              </w:rPr>
            </w:pPr>
          </w:p>
        </w:tc>
      </w:tr>
      <w:tr w:rsidR="00F77457" w:rsidRPr="00CF1118" w:rsidTr="00EE6982">
        <w:tc>
          <w:tcPr>
            <w:tcW w:w="2427" w:type="pct"/>
          </w:tcPr>
          <w:p w:rsidR="00F77457" w:rsidRPr="00BC0346" w:rsidRDefault="00F77457" w:rsidP="00EE6982">
            <w:pPr>
              <w:jc w:val="both"/>
              <w:rPr>
                <w:rFonts w:eastAsia="Calibri"/>
                <w:sz w:val="20"/>
                <w:lang w:val="fr-CA"/>
              </w:rPr>
            </w:pPr>
            <w:r w:rsidRPr="00BC0346">
              <w:rPr>
                <w:rFonts w:eastAsia="Calibri"/>
                <w:sz w:val="20"/>
                <w:lang w:val="fr-CA"/>
              </w:rPr>
              <w:t>2 décembre 2014</w:t>
            </w:r>
          </w:p>
          <w:p w:rsidR="00F77457" w:rsidRPr="00BC0346" w:rsidRDefault="00F77457" w:rsidP="00EE6982">
            <w:pPr>
              <w:jc w:val="both"/>
              <w:rPr>
                <w:rFonts w:eastAsia="Calibri"/>
                <w:sz w:val="20"/>
                <w:lang w:val="fr-CA"/>
              </w:rPr>
            </w:pPr>
            <w:r w:rsidRPr="00BC0346">
              <w:rPr>
                <w:rFonts w:eastAsia="Calibri"/>
                <w:sz w:val="20"/>
                <w:lang w:val="fr-CA"/>
              </w:rPr>
              <w:t>Cour suprême du Canada</w:t>
            </w:r>
          </w:p>
        </w:tc>
        <w:tc>
          <w:tcPr>
            <w:tcW w:w="243" w:type="pct"/>
          </w:tcPr>
          <w:p w:rsidR="00F77457" w:rsidRPr="00BC0346" w:rsidRDefault="00F77457" w:rsidP="00EE6982">
            <w:pPr>
              <w:jc w:val="both"/>
              <w:rPr>
                <w:rFonts w:eastAsia="Calibri"/>
                <w:sz w:val="20"/>
                <w:lang w:val="fr-CA"/>
              </w:rPr>
            </w:pPr>
          </w:p>
        </w:tc>
        <w:tc>
          <w:tcPr>
            <w:tcW w:w="2330" w:type="pct"/>
          </w:tcPr>
          <w:p w:rsidR="00F77457" w:rsidRPr="00BC0346" w:rsidRDefault="00F77457" w:rsidP="00EE6982">
            <w:pPr>
              <w:jc w:val="both"/>
              <w:rPr>
                <w:rFonts w:eastAsia="Calibri"/>
                <w:sz w:val="20"/>
                <w:lang w:val="fr-CA"/>
              </w:rPr>
            </w:pPr>
            <w:r w:rsidRPr="00BC0346">
              <w:rPr>
                <w:rFonts w:eastAsia="Calibri"/>
                <w:sz w:val="20"/>
                <w:lang w:val="fr-CA"/>
              </w:rPr>
              <w:t>Dépôt de la demande d’autorisation d’appel</w:t>
            </w:r>
          </w:p>
          <w:p w:rsidR="00F77457" w:rsidRPr="00BC0346" w:rsidRDefault="00F77457" w:rsidP="00EE6982">
            <w:pPr>
              <w:jc w:val="both"/>
              <w:rPr>
                <w:rFonts w:eastAsia="Calibri"/>
                <w:sz w:val="20"/>
                <w:lang w:val="fr-CA"/>
              </w:rPr>
            </w:pPr>
          </w:p>
        </w:tc>
      </w:tr>
    </w:tbl>
    <w:p w:rsidR="0002632D" w:rsidRPr="00F77457" w:rsidRDefault="0002632D" w:rsidP="0002632D">
      <w:pPr>
        <w:rPr>
          <w:sz w:val="20"/>
          <w:szCs w:val="20"/>
          <w:lang w:val="fr-CA"/>
        </w:rPr>
      </w:pPr>
    </w:p>
    <w:p w:rsidR="0002632D" w:rsidRDefault="00742BC3" w:rsidP="0002632D">
      <w:pPr>
        <w:rPr>
          <w:sz w:val="20"/>
          <w:szCs w:val="20"/>
          <w:lang w:val="fr-CA"/>
        </w:rPr>
      </w:pPr>
      <w:r>
        <w:rPr>
          <w:sz w:val="20"/>
          <w:szCs w:val="20"/>
          <w:lang w:val="fr-CA"/>
        </w:rPr>
        <w:pict>
          <v:rect id="_x0000_i1056" style="width:2in;height:1pt" o:hrpct="0" o:hralign="center" o:hrstd="t" o:hrnoshade="t" o:hr="t" fillcolor="black [3213]" stroked="f"/>
        </w:pict>
      </w:r>
    </w:p>
    <w:p w:rsidR="0002632D" w:rsidRDefault="0002632D" w:rsidP="0002632D">
      <w:pPr>
        <w:rPr>
          <w:sz w:val="20"/>
          <w:szCs w:val="20"/>
          <w:lang w:val="fr-CA"/>
        </w:rPr>
      </w:pPr>
    </w:p>
    <w:p w:rsidR="000E2959" w:rsidRPr="00186B5E" w:rsidRDefault="000E2959" w:rsidP="000E2959">
      <w:pPr>
        <w:rPr>
          <w:sz w:val="20"/>
          <w:szCs w:val="20"/>
          <w:lang w:val="fr-CA"/>
        </w:rPr>
      </w:pPr>
    </w:p>
    <w:p w:rsidR="000E2959" w:rsidRPr="00186B5E"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B0C67" w:rsidRPr="003B0C67" w:rsidRDefault="003B0C67" w:rsidP="003B0C67">
      <w:pPr>
        <w:tabs>
          <w:tab w:val="left" w:pos="-1440"/>
          <w:tab w:val="left" w:pos="-720"/>
        </w:tabs>
        <w:jc w:val="both"/>
        <w:rPr>
          <w:rFonts w:eastAsia="Times New Roman" w:cs="Times New Roman"/>
          <w:sz w:val="20"/>
          <w:szCs w:val="20"/>
          <w:lang w:val="fr-CA" w:eastAsia="en-CA"/>
        </w:rPr>
      </w:pPr>
      <w:r w:rsidRPr="003B0C67">
        <w:rPr>
          <w:rFonts w:eastAsia="Times New Roman" w:cs="Times New Roman"/>
          <w:sz w:val="20"/>
          <w:szCs w:val="20"/>
          <w:lang w:val="fr-CA" w:eastAsia="en-CA"/>
        </w:rPr>
        <w:t>26.02.2015</w:t>
      </w:r>
    </w:p>
    <w:p w:rsidR="003B0C67" w:rsidRPr="003B0C67" w:rsidRDefault="003B0C67" w:rsidP="003B0C67">
      <w:pPr>
        <w:tabs>
          <w:tab w:val="left" w:pos="-1440"/>
          <w:tab w:val="left" w:pos="-720"/>
        </w:tabs>
        <w:jc w:val="both"/>
        <w:rPr>
          <w:rFonts w:eastAsia="Times New Roman" w:cs="Times New Roman"/>
          <w:sz w:val="20"/>
          <w:szCs w:val="20"/>
          <w:lang w:val="fr-CA" w:eastAsia="en-CA"/>
        </w:rPr>
      </w:pPr>
    </w:p>
    <w:p w:rsidR="003B0C67" w:rsidRPr="003B0C67" w:rsidRDefault="003B0C67" w:rsidP="003B0C67">
      <w:pPr>
        <w:tabs>
          <w:tab w:val="left" w:pos="-1440"/>
          <w:tab w:val="left" w:pos="-720"/>
        </w:tabs>
        <w:jc w:val="both"/>
        <w:rPr>
          <w:rFonts w:eastAsia="Times New Roman" w:cs="Times New Roman"/>
          <w:sz w:val="20"/>
          <w:szCs w:val="20"/>
          <w:lang w:val="fr-CA" w:eastAsia="en-CA"/>
        </w:rPr>
      </w:pPr>
      <w:r w:rsidRPr="003B0C67">
        <w:rPr>
          <w:rFonts w:eastAsia="Times New Roman" w:cs="Times New Roman"/>
          <w:sz w:val="20"/>
          <w:szCs w:val="20"/>
          <w:lang w:val="fr-CA" w:eastAsia="en-CA"/>
        </w:rPr>
        <w:t>Before / Devant:   CÔTÉ J. / LA JUGE CÔTÉ</w:t>
      </w:r>
    </w:p>
    <w:p w:rsidR="003B0C67" w:rsidRPr="003B0C67" w:rsidRDefault="003B0C67" w:rsidP="003B0C67">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B0C67" w:rsidRPr="003B0C67" w:rsidTr="00A96BDA">
        <w:trPr>
          <w:trHeight w:val="151"/>
        </w:trPr>
        <w:tc>
          <w:tcPr>
            <w:tcW w:w="4338" w:type="dxa"/>
          </w:tcPr>
          <w:p w:rsidR="003B0C67" w:rsidRPr="003B0C67" w:rsidRDefault="003B0C67" w:rsidP="003B0C67">
            <w:pPr>
              <w:tabs>
                <w:tab w:val="left" w:pos="-1440"/>
                <w:tab w:val="left" w:pos="-720"/>
              </w:tabs>
              <w:jc w:val="both"/>
            </w:pPr>
            <w:r w:rsidRPr="003B0C67">
              <w:rPr>
                <w:b/>
                <w:bCs/>
              </w:rPr>
              <w:t xml:space="preserve">Motion for </w:t>
            </w:r>
            <w:r w:rsidRPr="003B0C67">
              <w:rPr>
                <w:b/>
                <w:bCs/>
                <w:lang w:val="en-GB"/>
              </w:rPr>
              <w:t>reconsideration</w:t>
            </w:r>
          </w:p>
          <w:p w:rsidR="003B0C67" w:rsidRPr="003B0C67" w:rsidRDefault="000A5A7E" w:rsidP="003B0C67">
            <w:pPr>
              <w:tabs>
                <w:tab w:val="left" w:pos="-1440"/>
                <w:tab w:val="left" w:pos="-720"/>
              </w:tabs>
              <w:jc w:val="both"/>
            </w:pPr>
            <w:r w:rsidRPr="003B0C67">
              <w:rPr>
                <w:lang w:val="en-US"/>
              </w:rPr>
              <w:fldChar w:fldCharType="begin"/>
            </w:r>
            <w:r w:rsidR="003B0C67" w:rsidRPr="003B0C67">
              <w:instrText xml:space="preserve"> SEQ CHAPTER \h \r 1</w:instrText>
            </w:r>
            <w:r w:rsidRPr="003B0C67">
              <w:rPr>
                <w:lang w:val="en-US"/>
              </w:rPr>
              <w:fldChar w:fldCharType="end"/>
            </w:r>
          </w:p>
        </w:tc>
        <w:tc>
          <w:tcPr>
            <w:tcW w:w="1170" w:type="dxa"/>
          </w:tcPr>
          <w:p w:rsidR="003B0C67" w:rsidRPr="003B0C67" w:rsidRDefault="003B0C67" w:rsidP="003B0C67">
            <w:pPr>
              <w:jc w:val="both"/>
            </w:pPr>
          </w:p>
          <w:p w:rsidR="003B0C67" w:rsidRPr="003B0C67" w:rsidRDefault="003B0C67" w:rsidP="003B0C67">
            <w:pPr>
              <w:jc w:val="both"/>
            </w:pPr>
          </w:p>
        </w:tc>
        <w:tc>
          <w:tcPr>
            <w:tcW w:w="4327" w:type="dxa"/>
          </w:tcPr>
          <w:p w:rsidR="003B0C67" w:rsidRPr="003B0C67" w:rsidRDefault="003B0C67" w:rsidP="003B0C67">
            <w:pPr>
              <w:jc w:val="both"/>
              <w:rPr>
                <w:b/>
                <w:lang w:val="fr-CA"/>
              </w:rPr>
            </w:pPr>
            <w:r w:rsidRPr="003B0C67">
              <w:rPr>
                <w:b/>
                <w:bCs/>
                <w:lang w:val="fr-CA"/>
              </w:rPr>
              <w:t>Requête en réexamen</w:t>
            </w:r>
            <w:r w:rsidR="000A5A7E" w:rsidRPr="003B0C67">
              <w:rPr>
                <w:b/>
                <w:lang w:val="en-US"/>
              </w:rPr>
              <w:fldChar w:fldCharType="begin"/>
            </w:r>
            <w:r w:rsidRPr="003B0C67">
              <w:rPr>
                <w:b/>
                <w:lang w:val="fr-CA"/>
              </w:rPr>
              <w:instrText xml:space="preserve"> SEQ CHAPTER \h \r 1</w:instrText>
            </w:r>
            <w:r w:rsidR="000A5A7E" w:rsidRPr="003B0C67">
              <w:rPr>
                <w:b/>
                <w:lang w:val="en-US"/>
              </w:rPr>
              <w:fldChar w:fldCharType="end"/>
            </w:r>
            <w:r w:rsidR="000A5A7E" w:rsidRPr="003B0C67">
              <w:rPr>
                <w:b/>
                <w:lang w:val="en-US"/>
              </w:rPr>
              <w:fldChar w:fldCharType="begin"/>
            </w:r>
            <w:r w:rsidRPr="003B0C67">
              <w:rPr>
                <w:b/>
                <w:lang w:val="fr-CA"/>
              </w:rPr>
              <w:instrText xml:space="preserve"> SEQ CHAPTER \h \r 1</w:instrText>
            </w:r>
            <w:r w:rsidR="000A5A7E" w:rsidRPr="003B0C67">
              <w:rPr>
                <w:b/>
                <w:lang w:val="en-US"/>
              </w:rPr>
              <w:fldChar w:fldCharType="end"/>
            </w:r>
          </w:p>
        </w:tc>
      </w:tr>
      <w:tr w:rsidR="003B0C67" w:rsidRPr="003B0C67" w:rsidTr="00A96BDA">
        <w:trPr>
          <w:trHeight w:val="150"/>
        </w:trPr>
        <w:tc>
          <w:tcPr>
            <w:tcW w:w="4338" w:type="dxa"/>
          </w:tcPr>
          <w:p w:rsidR="003B0C67" w:rsidRPr="003B0C67" w:rsidRDefault="003B0C67" w:rsidP="003B0C67">
            <w:pPr>
              <w:tabs>
                <w:tab w:val="left" w:pos="-1440"/>
                <w:tab w:val="left" w:pos="-720"/>
              </w:tabs>
              <w:jc w:val="both"/>
            </w:pPr>
            <w:r w:rsidRPr="003B0C67">
              <w:t>Kris Rana</w:t>
            </w:r>
          </w:p>
          <w:p w:rsidR="003B0C67" w:rsidRPr="003B0C67" w:rsidRDefault="003B0C67" w:rsidP="003B0C67">
            <w:pPr>
              <w:tabs>
                <w:tab w:val="left" w:pos="-1440"/>
                <w:tab w:val="left" w:pos="-720"/>
              </w:tabs>
              <w:jc w:val="both"/>
            </w:pPr>
          </w:p>
          <w:p w:rsidR="003B0C67" w:rsidRPr="003B0C67" w:rsidRDefault="003B0C67" w:rsidP="003B0C67">
            <w:pPr>
              <w:tabs>
                <w:tab w:val="left" w:pos="-1440"/>
                <w:tab w:val="left" w:pos="-720"/>
              </w:tabs>
              <w:jc w:val="both"/>
            </w:pPr>
            <w:r w:rsidRPr="003B0C67">
              <w:tab/>
              <w:t>v. (35973)</w:t>
            </w:r>
          </w:p>
          <w:p w:rsidR="003B0C67" w:rsidRPr="003B0C67" w:rsidRDefault="003B0C67" w:rsidP="003B0C67">
            <w:pPr>
              <w:tabs>
                <w:tab w:val="left" w:pos="-1440"/>
                <w:tab w:val="left" w:pos="-720"/>
              </w:tabs>
              <w:jc w:val="both"/>
            </w:pPr>
          </w:p>
          <w:p w:rsidR="003B0C67" w:rsidRPr="003B0C67" w:rsidRDefault="003B0C67" w:rsidP="003B0C67">
            <w:pPr>
              <w:tabs>
                <w:tab w:val="left" w:pos="-1440"/>
                <w:tab w:val="left" w:pos="-720"/>
              </w:tabs>
              <w:jc w:val="both"/>
            </w:pPr>
            <w:r w:rsidRPr="003B0C67">
              <w:t>Her Majesty the Queen in Right of the Province of Ontario (Crim.) (Ont.)</w:t>
            </w:r>
          </w:p>
        </w:tc>
        <w:tc>
          <w:tcPr>
            <w:tcW w:w="1170" w:type="dxa"/>
          </w:tcPr>
          <w:p w:rsidR="003B0C67" w:rsidRPr="003B0C67" w:rsidRDefault="003B0C67" w:rsidP="003B0C67">
            <w:pPr>
              <w:jc w:val="both"/>
            </w:pPr>
          </w:p>
        </w:tc>
        <w:tc>
          <w:tcPr>
            <w:tcW w:w="4327" w:type="dxa"/>
          </w:tcPr>
          <w:p w:rsidR="003B0C67" w:rsidRPr="003B0C67" w:rsidRDefault="003B0C67" w:rsidP="003B0C67">
            <w:pPr>
              <w:jc w:val="both"/>
            </w:pPr>
          </w:p>
        </w:tc>
      </w:tr>
    </w:tbl>
    <w:p w:rsidR="003B0C67" w:rsidRPr="003B0C67" w:rsidRDefault="003B0C67" w:rsidP="003B0C67">
      <w:pPr>
        <w:tabs>
          <w:tab w:val="left" w:pos="-1440"/>
          <w:tab w:val="left" w:pos="-720"/>
        </w:tabs>
        <w:jc w:val="both"/>
        <w:rPr>
          <w:rFonts w:eastAsia="Times New Roman" w:cs="Times New Roman"/>
          <w:sz w:val="20"/>
          <w:szCs w:val="20"/>
          <w:lang w:eastAsia="en-CA"/>
        </w:rPr>
      </w:pPr>
    </w:p>
    <w:p w:rsidR="003B0C67" w:rsidRPr="003B0C67" w:rsidRDefault="003B0C67" w:rsidP="003B0C67">
      <w:pPr>
        <w:tabs>
          <w:tab w:val="left" w:pos="-1440"/>
          <w:tab w:val="left" w:pos="-720"/>
        </w:tabs>
        <w:jc w:val="both"/>
        <w:rPr>
          <w:rFonts w:eastAsia="Times New Roman" w:cs="Times New Roman"/>
          <w:sz w:val="20"/>
          <w:szCs w:val="20"/>
          <w:lang w:eastAsia="en-CA"/>
        </w:rPr>
      </w:pPr>
      <w:r w:rsidRPr="003B0C67">
        <w:rPr>
          <w:rFonts w:eastAsia="Times New Roman" w:cs="Times New Roman"/>
          <w:b/>
          <w:sz w:val="20"/>
          <w:szCs w:val="20"/>
          <w:lang w:eastAsia="en-CA"/>
        </w:rPr>
        <w:t>DISMISSED / REJETÉE</w:t>
      </w:r>
    </w:p>
    <w:p w:rsidR="003B0C67" w:rsidRPr="003B0C67" w:rsidRDefault="003B0C67" w:rsidP="003B0C67">
      <w:pPr>
        <w:tabs>
          <w:tab w:val="left" w:pos="-1440"/>
          <w:tab w:val="left" w:pos="-720"/>
        </w:tabs>
        <w:jc w:val="both"/>
        <w:rPr>
          <w:rFonts w:eastAsia="Times New Roman" w:cs="Times New Roman"/>
          <w:sz w:val="20"/>
          <w:szCs w:val="20"/>
          <w:lang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b/>
          <w:sz w:val="20"/>
          <w:szCs w:val="20"/>
          <w:lang w:val="en-US" w:eastAsia="en-CA"/>
        </w:rPr>
        <w:t>UPON</w:t>
      </w:r>
      <w:r w:rsidRPr="003B0C67">
        <w:rPr>
          <w:rFonts w:eastAsia="Times New Roman" w:cs="Times New Roman"/>
          <w:sz w:val="20"/>
          <w:szCs w:val="20"/>
          <w:lang w:val="en-US" w:eastAsia="en-CA"/>
        </w:rPr>
        <w:t xml:space="preserve"> the applicant seeking to file a motion for reconsideration of the application for leave to appeal and the decision denying the stay of the driving prohibition;</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b/>
          <w:sz w:val="20"/>
          <w:szCs w:val="20"/>
          <w:lang w:val="en-US" w:eastAsia="en-CA"/>
        </w:rPr>
        <w:t>AND UPON APPLICATION</w:t>
      </w:r>
      <w:r w:rsidRPr="003B0C67">
        <w:rPr>
          <w:rFonts w:eastAsia="Times New Roman" w:cs="Times New Roman"/>
          <w:sz w:val="20"/>
          <w:szCs w:val="20"/>
          <w:lang w:val="en-US" w:eastAsia="en-CA"/>
        </w:rPr>
        <w:t xml:space="preserve"> by the applicant for an order appointing counsel;</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b/>
          <w:sz w:val="20"/>
          <w:szCs w:val="20"/>
          <w:lang w:val="en-US" w:eastAsia="en-CA"/>
        </w:rPr>
        <w:t>AND UPON</w:t>
      </w:r>
      <w:r w:rsidRPr="003B0C67">
        <w:rPr>
          <w:rFonts w:eastAsia="Times New Roman" w:cs="Times New Roman"/>
          <w:sz w:val="20"/>
          <w:szCs w:val="20"/>
          <w:lang w:val="en-US" w:eastAsia="en-CA"/>
        </w:rPr>
        <w:t xml:space="preserve"> the Registrar referring these matters to a judge pursuant to Rule 13 of the </w:t>
      </w:r>
      <w:r w:rsidRPr="003B0C67">
        <w:rPr>
          <w:rFonts w:eastAsia="Times New Roman" w:cs="Times New Roman"/>
          <w:i/>
          <w:sz w:val="20"/>
          <w:szCs w:val="20"/>
          <w:lang w:val="en-US" w:eastAsia="en-CA"/>
        </w:rPr>
        <w:t>Rules of the Supreme Court of Canada</w:t>
      </w:r>
      <w:r w:rsidRPr="003B0C67">
        <w:rPr>
          <w:rFonts w:eastAsia="Times New Roman" w:cs="Times New Roman"/>
          <w:sz w:val="20"/>
          <w:szCs w:val="20"/>
          <w:lang w:val="en-US" w:eastAsia="en-CA"/>
        </w:rPr>
        <w:t>;</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b/>
          <w:sz w:val="20"/>
          <w:szCs w:val="20"/>
          <w:lang w:val="en-US" w:eastAsia="en-CA"/>
        </w:rPr>
        <w:t xml:space="preserve">AND HAVING READ </w:t>
      </w:r>
      <w:r w:rsidRPr="003B0C67">
        <w:rPr>
          <w:rFonts w:eastAsia="Times New Roman" w:cs="Times New Roman"/>
          <w:sz w:val="20"/>
          <w:szCs w:val="20"/>
          <w:lang w:val="en-US" w:eastAsia="en-CA"/>
        </w:rPr>
        <w:t xml:space="preserve">the material; </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b/>
          <w:sz w:val="20"/>
          <w:szCs w:val="20"/>
          <w:lang w:val="en-US" w:eastAsia="en-CA"/>
        </w:rPr>
        <w:t>IT IS HEREBY ORDERED THAT</w:t>
      </w:r>
      <w:r w:rsidRPr="003B0C67">
        <w:rPr>
          <w:rFonts w:eastAsia="Times New Roman" w:cs="Times New Roman"/>
          <w:sz w:val="20"/>
          <w:szCs w:val="20"/>
          <w:lang w:val="en-US" w:eastAsia="en-CA"/>
        </w:rPr>
        <w:t xml:space="preserve"> </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sz w:val="20"/>
          <w:szCs w:val="20"/>
          <w:lang w:val="en-US" w:eastAsia="en-CA"/>
        </w:rPr>
        <w:t>The motion to appoint counsel is dismissed.</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sz w:val="20"/>
          <w:szCs w:val="20"/>
          <w:lang w:val="en-US" w:eastAsia="en-CA"/>
        </w:rPr>
        <w:t xml:space="preserve">The motion for reconsideration is not accepted for filing. The Registrar shall return the materials to the </w:t>
      </w:r>
      <w:r w:rsidRPr="00E563A0">
        <w:rPr>
          <w:rFonts w:eastAsia="Times New Roman" w:cs="Times New Roman"/>
          <w:sz w:val="20"/>
          <w:szCs w:val="20"/>
          <w:lang w:val="en-US" w:eastAsia="en-CA"/>
        </w:rPr>
        <w:t>applicant.</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b/>
          <w:sz w:val="20"/>
          <w:szCs w:val="20"/>
          <w:lang w:val="fr-CA" w:eastAsia="en-CA"/>
        </w:rPr>
        <w:t>À LA SUITE DE LA DEMANDE</w:t>
      </w:r>
      <w:r w:rsidRPr="003B0C67">
        <w:rPr>
          <w:rFonts w:eastAsia="Times New Roman" w:cs="Times New Roman"/>
          <w:sz w:val="20"/>
          <w:szCs w:val="20"/>
          <w:lang w:val="fr-CA" w:eastAsia="en-CA"/>
        </w:rPr>
        <w:t xml:space="preserve"> présentée par le demandeur visant le dépôt d’une requête en réexamen de la demande d’autorisation d’appel et du refus d’ordonner le sursis de l’interdiction de conduire;</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b/>
          <w:sz w:val="20"/>
          <w:szCs w:val="20"/>
          <w:lang w:val="fr-CA" w:eastAsia="en-CA"/>
        </w:rPr>
        <w:t>ET À LA SUITE DE LA DEMANDE</w:t>
      </w:r>
      <w:r w:rsidRPr="003B0C67">
        <w:rPr>
          <w:rFonts w:eastAsia="Times New Roman" w:cs="Times New Roman"/>
          <w:sz w:val="20"/>
          <w:szCs w:val="20"/>
          <w:lang w:val="fr-CA" w:eastAsia="en-CA"/>
        </w:rPr>
        <w:t xml:space="preserve"> présentée par le demandeur visant la nomination d’un avocat;</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b/>
          <w:sz w:val="20"/>
          <w:szCs w:val="20"/>
          <w:lang w:val="fr-CA" w:eastAsia="en-CA"/>
        </w:rPr>
        <w:t xml:space="preserve">ET À LA SUITE </w:t>
      </w:r>
      <w:r w:rsidRPr="003B0C67">
        <w:rPr>
          <w:rFonts w:eastAsia="Times New Roman" w:cs="Times New Roman"/>
          <w:sz w:val="20"/>
          <w:szCs w:val="20"/>
          <w:lang w:val="fr-CA" w:eastAsia="en-CA"/>
        </w:rPr>
        <w:t xml:space="preserve">du renvoi par le registraire de ces questions à un juge en vertu de l’art. 13 des </w:t>
      </w:r>
      <w:r w:rsidRPr="003B0C67">
        <w:rPr>
          <w:rFonts w:eastAsia="Times New Roman" w:cs="Times New Roman"/>
          <w:i/>
          <w:sz w:val="20"/>
          <w:szCs w:val="20"/>
          <w:lang w:val="fr-CA" w:eastAsia="en-CA"/>
        </w:rPr>
        <w:t>Règles de la Cour suprême du Canada</w:t>
      </w:r>
      <w:r w:rsidRPr="003B0C67">
        <w:rPr>
          <w:rFonts w:eastAsia="Times New Roman" w:cs="Times New Roman"/>
          <w:sz w:val="20"/>
          <w:szCs w:val="20"/>
          <w:lang w:val="fr-CA" w:eastAsia="en-CA"/>
        </w:rPr>
        <w:t xml:space="preserve">; </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b/>
          <w:sz w:val="20"/>
          <w:szCs w:val="20"/>
          <w:lang w:val="fr-CA" w:eastAsia="en-CA"/>
        </w:rPr>
        <w:t>ET APRÈS EXAMEN</w:t>
      </w:r>
      <w:r w:rsidRPr="003B0C67">
        <w:rPr>
          <w:rFonts w:eastAsia="Times New Roman" w:cs="Times New Roman"/>
          <w:sz w:val="20"/>
          <w:szCs w:val="20"/>
          <w:lang w:val="fr-CA" w:eastAsia="en-CA"/>
        </w:rPr>
        <w:t xml:space="preserve"> des documents;</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rPr>
          <w:rFonts w:eastAsia="Times New Roman" w:cs="Times New Roman"/>
          <w:b/>
          <w:sz w:val="20"/>
          <w:szCs w:val="20"/>
          <w:lang w:val="fr-CA" w:eastAsia="en-CA"/>
        </w:rPr>
      </w:pPr>
      <w:r w:rsidRPr="003B0C67">
        <w:rPr>
          <w:rFonts w:eastAsia="Times New Roman" w:cs="Times New Roman"/>
          <w:b/>
          <w:sz w:val="20"/>
          <w:szCs w:val="20"/>
          <w:lang w:val="fr-CA" w:eastAsia="en-CA"/>
        </w:rPr>
        <w:t>IL EST ORDONNÉ CE QUI SUIT :</w:t>
      </w:r>
    </w:p>
    <w:p w:rsidR="003B0C67" w:rsidRPr="003B0C67" w:rsidRDefault="003B0C67" w:rsidP="003B0C67">
      <w:pPr>
        <w:rPr>
          <w:rFonts w:eastAsia="Times New Roman" w:cs="Times New Roman"/>
          <w:sz w:val="20"/>
          <w:szCs w:val="20"/>
          <w:lang w:val="fr-CA" w:eastAsia="en-CA"/>
        </w:rPr>
      </w:pPr>
    </w:p>
    <w:p w:rsidR="003B0C67" w:rsidRPr="003B0C67" w:rsidRDefault="003B0C67" w:rsidP="003B0C67">
      <w:pPr>
        <w:rPr>
          <w:rFonts w:eastAsia="Times New Roman" w:cs="Times New Roman"/>
          <w:sz w:val="20"/>
          <w:szCs w:val="20"/>
          <w:lang w:val="fr-CA" w:eastAsia="en-CA"/>
        </w:rPr>
      </w:pPr>
      <w:r w:rsidRPr="003B0C67">
        <w:rPr>
          <w:rFonts w:eastAsia="Times New Roman" w:cs="Times New Roman"/>
          <w:sz w:val="20"/>
          <w:szCs w:val="20"/>
          <w:lang w:val="fr-CA" w:eastAsia="en-CA"/>
        </w:rPr>
        <w:t>La requête visant la nomination d’un avocat est rejetée.</w:t>
      </w:r>
    </w:p>
    <w:p w:rsidR="003B0C67" w:rsidRPr="003B0C67" w:rsidRDefault="003B0C67" w:rsidP="003B0C67">
      <w:pPr>
        <w:rPr>
          <w:rFonts w:eastAsia="Times New Roman" w:cs="Times New Roman"/>
          <w:sz w:val="20"/>
          <w:szCs w:val="20"/>
          <w:lang w:val="fr-CA" w:eastAsia="en-CA"/>
        </w:rPr>
      </w:pPr>
    </w:p>
    <w:p w:rsidR="003B0C67" w:rsidRPr="003B0C67" w:rsidRDefault="003B0C67" w:rsidP="003B0C67">
      <w:pPr>
        <w:rPr>
          <w:rFonts w:eastAsia="Times New Roman" w:cs="Times New Roman"/>
          <w:sz w:val="20"/>
          <w:szCs w:val="20"/>
          <w:lang w:val="fr-CA" w:eastAsia="en-CA"/>
        </w:rPr>
      </w:pPr>
      <w:r w:rsidRPr="003B0C67">
        <w:rPr>
          <w:rFonts w:eastAsia="Times New Roman" w:cs="Times New Roman"/>
          <w:sz w:val="20"/>
          <w:szCs w:val="20"/>
          <w:lang w:val="fr-CA" w:eastAsia="en-CA"/>
        </w:rPr>
        <w:t xml:space="preserve">Le dépôt de la requête en réexamen est refusé. Le registraire retournera les documents </w:t>
      </w:r>
      <w:r w:rsidRPr="00E563A0">
        <w:rPr>
          <w:rFonts w:eastAsia="Times New Roman" w:cs="Times New Roman"/>
          <w:sz w:val="20"/>
          <w:szCs w:val="20"/>
          <w:lang w:val="fr-CA" w:eastAsia="en-CA"/>
        </w:rPr>
        <w:t>au demandeur</w:t>
      </w:r>
      <w:r w:rsidRPr="003B0C67">
        <w:rPr>
          <w:rFonts w:eastAsia="Times New Roman" w:cs="Times New Roman"/>
          <w:sz w:val="20"/>
          <w:szCs w:val="20"/>
          <w:lang w:val="fr-CA" w:eastAsia="en-CA"/>
        </w:rPr>
        <w:t>.</w:t>
      </w:r>
    </w:p>
    <w:p w:rsidR="003B0C67" w:rsidRPr="003B0C67" w:rsidRDefault="003B0C67" w:rsidP="003B0C67">
      <w:pPr>
        <w:tabs>
          <w:tab w:val="left" w:pos="-1440"/>
          <w:tab w:val="left" w:pos="-720"/>
        </w:tabs>
        <w:jc w:val="both"/>
        <w:rPr>
          <w:rFonts w:eastAsia="Times New Roman" w:cs="Times New Roman"/>
          <w:sz w:val="20"/>
          <w:szCs w:val="20"/>
          <w:lang w:val="fr-CA" w:eastAsia="en-CA"/>
        </w:rPr>
      </w:pPr>
    </w:p>
    <w:p w:rsidR="003B0C67" w:rsidRPr="003B0C67" w:rsidRDefault="00742BC3" w:rsidP="003B0C6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3B0C67" w:rsidRPr="003B0C67" w:rsidRDefault="003B0C67" w:rsidP="003B0C67">
      <w:pPr>
        <w:rPr>
          <w:rFonts w:eastAsia="Times New Roman" w:cs="Times New Roman"/>
          <w:sz w:val="20"/>
          <w:szCs w:val="20"/>
          <w:lang w:eastAsia="en-CA"/>
        </w:rPr>
      </w:pPr>
      <w:r w:rsidRPr="003B0C67">
        <w:rPr>
          <w:rFonts w:eastAsia="Times New Roman" w:cs="Times New Roman"/>
          <w:sz w:val="20"/>
          <w:szCs w:val="20"/>
          <w:lang w:eastAsia="en-CA"/>
        </w:rPr>
        <w:br w:type="page"/>
      </w:r>
    </w:p>
    <w:p w:rsidR="003B0C67" w:rsidRPr="003B0C67" w:rsidRDefault="003B0C67" w:rsidP="003B0C67">
      <w:pPr>
        <w:tabs>
          <w:tab w:val="left" w:pos="-1440"/>
          <w:tab w:val="left" w:pos="-720"/>
        </w:tabs>
        <w:jc w:val="both"/>
        <w:rPr>
          <w:rFonts w:eastAsia="Times New Roman" w:cs="Times New Roman"/>
          <w:sz w:val="20"/>
          <w:szCs w:val="20"/>
          <w:lang w:eastAsia="en-CA"/>
        </w:rPr>
      </w:pPr>
      <w:r w:rsidRPr="003B0C67">
        <w:rPr>
          <w:rFonts w:eastAsia="Times New Roman" w:cs="Times New Roman"/>
          <w:sz w:val="20"/>
          <w:szCs w:val="20"/>
          <w:lang w:eastAsia="en-CA"/>
        </w:rPr>
        <w:lastRenderedPageBreak/>
        <w:t>02.03.2015</w:t>
      </w:r>
    </w:p>
    <w:p w:rsidR="003B0C67" w:rsidRPr="003B0C67" w:rsidRDefault="003B0C67" w:rsidP="003B0C67">
      <w:pPr>
        <w:tabs>
          <w:tab w:val="left" w:pos="-1440"/>
          <w:tab w:val="left" w:pos="-720"/>
        </w:tabs>
        <w:jc w:val="both"/>
        <w:rPr>
          <w:rFonts w:eastAsia="Times New Roman" w:cs="Times New Roman"/>
          <w:sz w:val="20"/>
          <w:szCs w:val="20"/>
          <w:lang w:eastAsia="en-CA"/>
        </w:rPr>
      </w:pPr>
    </w:p>
    <w:p w:rsidR="003B0C67" w:rsidRPr="003B0C67" w:rsidRDefault="003B0C67" w:rsidP="003B0C67">
      <w:pPr>
        <w:tabs>
          <w:tab w:val="left" w:pos="-1440"/>
          <w:tab w:val="left" w:pos="-720"/>
        </w:tabs>
        <w:jc w:val="both"/>
        <w:rPr>
          <w:rFonts w:eastAsia="Times New Roman" w:cs="Times New Roman"/>
          <w:sz w:val="20"/>
          <w:szCs w:val="20"/>
          <w:lang w:eastAsia="en-CA"/>
        </w:rPr>
      </w:pPr>
      <w:r w:rsidRPr="003B0C67">
        <w:rPr>
          <w:rFonts w:eastAsia="Times New Roman" w:cs="Times New Roman"/>
          <w:sz w:val="20"/>
          <w:szCs w:val="20"/>
          <w:lang w:eastAsia="en-CA"/>
        </w:rPr>
        <w:t>Before / Devant:   THE REGISTRAR / LE REGISTRAIRE</w:t>
      </w:r>
    </w:p>
    <w:p w:rsidR="003B0C67" w:rsidRPr="003B0C67" w:rsidRDefault="003B0C67" w:rsidP="003B0C67">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B0C67" w:rsidRPr="003B0C67" w:rsidTr="00A96BDA">
        <w:trPr>
          <w:trHeight w:val="151"/>
        </w:trPr>
        <w:tc>
          <w:tcPr>
            <w:tcW w:w="4338" w:type="dxa"/>
          </w:tcPr>
          <w:p w:rsidR="003B0C67" w:rsidRPr="003B0C67" w:rsidRDefault="000A5A7E" w:rsidP="003B0C67">
            <w:pPr>
              <w:tabs>
                <w:tab w:val="left" w:pos="-1440"/>
                <w:tab w:val="left" w:pos="-720"/>
              </w:tabs>
              <w:jc w:val="both"/>
              <w:rPr>
                <w:lang w:val="fr-CA"/>
              </w:rPr>
            </w:pPr>
            <w:r w:rsidRPr="003B0C67">
              <w:rPr>
                <w:lang w:val="en-US"/>
              </w:rPr>
              <w:fldChar w:fldCharType="begin"/>
            </w:r>
            <w:r w:rsidR="003B0C67" w:rsidRPr="003B0C67">
              <w:instrText xml:space="preserve"> SEQ CHAPTER \h \r 1</w:instrText>
            </w:r>
            <w:r w:rsidRPr="003B0C67">
              <w:rPr>
                <w:lang w:val="en-US"/>
              </w:rPr>
              <w:fldChar w:fldCharType="end"/>
            </w:r>
            <w:r w:rsidR="003B0C67" w:rsidRPr="003B0C67">
              <w:rPr>
                <w:b/>
                <w:bCs/>
              </w:rPr>
              <w:t>Miscellan</w:t>
            </w:r>
            <w:r w:rsidR="003B0C67" w:rsidRPr="003B0C67">
              <w:rPr>
                <w:b/>
                <w:bCs/>
                <w:lang w:val="fr-CA"/>
              </w:rPr>
              <w:t>eous motion</w:t>
            </w:r>
          </w:p>
          <w:p w:rsidR="003B0C67" w:rsidRPr="003B0C67" w:rsidRDefault="000A5A7E" w:rsidP="003B0C67">
            <w:pPr>
              <w:tabs>
                <w:tab w:val="left" w:pos="-1440"/>
                <w:tab w:val="left" w:pos="-720"/>
              </w:tabs>
              <w:jc w:val="both"/>
              <w:rPr>
                <w:lang w:val="fr-CA"/>
              </w:rPr>
            </w:pPr>
            <w:r w:rsidRPr="003B0C67">
              <w:rPr>
                <w:lang w:val="en-US"/>
              </w:rPr>
              <w:fldChar w:fldCharType="begin"/>
            </w:r>
            <w:r w:rsidR="003B0C67" w:rsidRPr="003B0C67">
              <w:rPr>
                <w:lang w:val="fr-CA"/>
              </w:rPr>
              <w:instrText xml:space="preserve"> SEQ CHAPTER \h \r 1</w:instrText>
            </w:r>
            <w:r w:rsidRPr="003B0C67">
              <w:rPr>
                <w:lang w:val="en-US"/>
              </w:rPr>
              <w:fldChar w:fldCharType="end"/>
            </w:r>
          </w:p>
        </w:tc>
        <w:tc>
          <w:tcPr>
            <w:tcW w:w="1170" w:type="dxa"/>
          </w:tcPr>
          <w:p w:rsidR="003B0C67" w:rsidRPr="003B0C67" w:rsidRDefault="003B0C67" w:rsidP="003B0C67">
            <w:pPr>
              <w:jc w:val="both"/>
              <w:rPr>
                <w:lang w:val="fr-CA"/>
              </w:rPr>
            </w:pPr>
          </w:p>
          <w:p w:rsidR="003B0C67" w:rsidRPr="003B0C67" w:rsidRDefault="003B0C67" w:rsidP="003B0C67">
            <w:pPr>
              <w:jc w:val="both"/>
              <w:rPr>
                <w:lang w:val="fr-CA"/>
              </w:rPr>
            </w:pPr>
          </w:p>
        </w:tc>
        <w:tc>
          <w:tcPr>
            <w:tcW w:w="4327" w:type="dxa"/>
          </w:tcPr>
          <w:p w:rsidR="003B0C67" w:rsidRPr="003B0C67" w:rsidRDefault="000A5A7E" w:rsidP="003B0C67">
            <w:pPr>
              <w:jc w:val="both"/>
              <w:rPr>
                <w:b/>
                <w:lang w:val="fr-CA"/>
              </w:rPr>
            </w:pPr>
            <w:r w:rsidRPr="003B0C67">
              <w:rPr>
                <w:lang w:val="en-US"/>
              </w:rPr>
              <w:fldChar w:fldCharType="begin"/>
            </w:r>
            <w:r w:rsidR="003B0C67" w:rsidRPr="003B0C67">
              <w:rPr>
                <w:lang w:val="fr-CA"/>
              </w:rPr>
              <w:instrText xml:space="preserve"> SEQ CHAPTER \h \r 1</w:instrText>
            </w:r>
            <w:r w:rsidRPr="003B0C67">
              <w:rPr>
                <w:lang w:val="en-US"/>
              </w:rPr>
              <w:fldChar w:fldCharType="end"/>
            </w:r>
            <w:r w:rsidR="003B0C67" w:rsidRPr="003B0C67">
              <w:rPr>
                <w:b/>
                <w:bCs/>
                <w:lang w:val="fr-CA"/>
              </w:rPr>
              <w:t>Requête diverse</w:t>
            </w:r>
          </w:p>
          <w:p w:rsidR="003B0C67" w:rsidRPr="003B0C67" w:rsidRDefault="000A5A7E" w:rsidP="003B0C67">
            <w:pPr>
              <w:jc w:val="both"/>
              <w:rPr>
                <w:b/>
                <w:lang w:val="fr-CA"/>
              </w:rPr>
            </w:pPr>
            <w:r w:rsidRPr="003B0C67">
              <w:rPr>
                <w:b/>
                <w:lang w:val="en-US"/>
              </w:rPr>
              <w:fldChar w:fldCharType="begin"/>
            </w:r>
            <w:r w:rsidR="003B0C67" w:rsidRPr="003B0C67">
              <w:rPr>
                <w:b/>
                <w:lang w:val="fr-CA"/>
              </w:rPr>
              <w:instrText xml:space="preserve"> SEQ CHAPTER \h \r 1</w:instrText>
            </w:r>
            <w:r w:rsidRPr="003B0C67">
              <w:rPr>
                <w:b/>
                <w:lang w:val="en-US"/>
              </w:rPr>
              <w:fldChar w:fldCharType="end"/>
            </w:r>
            <w:r w:rsidRPr="003B0C67">
              <w:rPr>
                <w:b/>
                <w:lang w:val="en-US"/>
              </w:rPr>
              <w:fldChar w:fldCharType="begin"/>
            </w:r>
            <w:r w:rsidR="003B0C67" w:rsidRPr="003B0C67">
              <w:rPr>
                <w:b/>
                <w:lang w:val="fr-CA"/>
              </w:rPr>
              <w:instrText xml:space="preserve"> SEQ CHAPTER \h \r 1</w:instrText>
            </w:r>
            <w:r w:rsidRPr="003B0C67">
              <w:rPr>
                <w:b/>
                <w:lang w:val="en-US"/>
              </w:rPr>
              <w:fldChar w:fldCharType="end"/>
            </w:r>
          </w:p>
        </w:tc>
      </w:tr>
      <w:tr w:rsidR="003B0C67" w:rsidRPr="003B0C67" w:rsidTr="00A96BDA">
        <w:trPr>
          <w:trHeight w:val="150"/>
        </w:trPr>
        <w:tc>
          <w:tcPr>
            <w:tcW w:w="4338" w:type="dxa"/>
          </w:tcPr>
          <w:p w:rsidR="003B0C67" w:rsidRPr="003B0C67" w:rsidRDefault="003B0C67" w:rsidP="003B0C67">
            <w:pPr>
              <w:tabs>
                <w:tab w:val="left" w:pos="-1440"/>
                <w:tab w:val="left" w:pos="-720"/>
              </w:tabs>
              <w:jc w:val="both"/>
            </w:pPr>
            <w:r w:rsidRPr="003B0C67">
              <w:t>Derek Riesberry</w:t>
            </w:r>
          </w:p>
          <w:p w:rsidR="003B0C67" w:rsidRPr="003B0C67" w:rsidRDefault="003B0C67" w:rsidP="003B0C67">
            <w:pPr>
              <w:tabs>
                <w:tab w:val="left" w:pos="-1440"/>
                <w:tab w:val="left" w:pos="-720"/>
              </w:tabs>
              <w:jc w:val="both"/>
            </w:pPr>
          </w:p>
          <w:p w:rsidR="003B0C67" w:rsidRPr="003B0C67" w:rsidRDefault="003B0C67" w:rsidP="003B0C67">
            <w:pPr>
              <w:tabs>
                <w:tab w:val="left" w:pos="-1440"/>
                <w:tab w:val="left" w:pos="-720"/>
              </w:tabs>
              <w:jc w:val="both"/>
            </w:pPr>
            <w:r w:rsidRPr="003B0C67">
              <w:tab/>
              <w:t>c. (36179)</w:t>
            </w:r>
          </w:p>
          <w:p w:rsidR="003B0C67" w:rsidRPr="003B0C67" w:rsidRDefault="003B0C67" w:rsidP="003B0C67">
            <w:pPr>
              <w:tabs>
                <w:tab w:val="left" w:pos="-1440"/>
                <w:tab w:val="left" w:pos="-720"/>
              </w:tabs>
              <w:jc w:val="both"/>
            </w:pPr>
          </w:p>
          <w:p w:rsidR="003B0C67" w:rsidRPr="003B0C67" w:rsidRDefault="003B0C67" w:rsidP="003B0C67">
            <w:pPr>
              <w:tabs>
                <w:tab w:val="left" w:pos="-1440"/>
                <w:tab w:val="left" w:pos="-720"/>
              </w:tabs>
              <w:jc w:val="both"/>
            </w:pPr>
            <w:r w:rsidRPr="003B0C67">
              <w:t>Her Majesty the Queen (Crim.) (Ont.)</w:t>
            </w:r>
          </w:p>
        </w:tc>
        <w:tc>
          <w:tcPr>
            <w:tcW w:w="1170" w:type="dxa"/>
          </w:tcPr>
          <w:p w:rsidR="003B0C67" w:rsidRPr="003B0C67" w:rsidRDefault="003B0C67" w:rsidP="003B0C67">
            <w:pPr>
              <w:jc w:val="both"/>
            </w:pPr>
          </w:p>
        </w:tc>
        <w:tc>
          <w:tcPr>
            <w:tcW w:w="4327" w:type="dxa"/>
          </w:tcPr>
          <w:p w:rsidR="003B0C67" w:rsidRPr="003B0C67" w:rsidRDefault="003B0C67" w:rsidP="003B0C67">
            <w:pPr>
              <w:jc w:val="both"/>
            </w:pPr>
          </w:p>
        </w:tc>
      </w:tr>
    </w:tbl>
    <w:p w:rsidR="003B0C67" w:rsidRPr="003B0C67" w:rsidRDefault="003B0C67" w:rsidP="003B0C67">
      <w:pPr>
        <w:tabs>
          <w:tab w:val="left" w:pos="-1440"/>
          <w:tab w:val="left" w:pos="-720"/>
        </w:tabs>
        <w:jc w:val="both"/>
        <w:rPr>
          <w:rFonts w:eastAsia="Times New Roman" w:cs="Times New Roman"/>
          <w:sz w:val="20"/>
          <w:szCs w:val="20"/>
          <w:lang w:eastAsia="en-CA"/>
        </w:rPr>
      </w:pPr>
    </w:p>
    <w:p w:rsidR="003B0C67" w:rsidRPr="003B0C67" w:rsidRDefault="003B0C67" w:rsidP="003B0C67">
      <w:pPr>
        <w:tabs>
          <w:tab w:val="left" w:pos="-1440"/>
          <w:tab w:val="left" w:pos="-720"/>
        </w:tabs>
        <w:jc w:val="both"/>
        <w:rPr>
          <w:rFonts w:eastAsia="Times New Roman" w:cs="Times New Roman"/>
          <w:sz w:val="20"/>
          <w:szCs w:val="20"/>
          <w:lang w:eastAsia="en-CA"/>
        </w:rPr>
      </w:pPr>
      <w:r w:rsidRPr="003B0C67">
        <w:rPr>
          <w:rFonts w:eastAsia="Times New Roman" w:cs="Times New Roman"/>
          <w:b/>
          <w:sz w:val="20"/>
          <w:szCs w:val="20"/>
          <w:lang w:eastAsia="en-CA"/>
        </w:rPr>
        <w:t>DISMISSED / REJETÉE</w:t>
      </w:r>
    </w:p>
    <w:p w:rsidR="003B0C67" w:rsidRPr="003B0C67" w:rsidRDefault="003B0C67" w:rsidP="003B0C67">
      <w:pPr>
        <w:tabs>
          <w:tab w:val="left" w:pos="-1440"/>
          <w:tab w:val="left" w:pos="-720"/>
        </w:tabs>
        <w:jc w:val="both"/>
        <w:rPr>
          <w:rFonts w:eastAsia="Times New Roman" w:cs="Times New Roman"/>
          <w:sz w:val="20"/>
          <w:szCs w:val="20"/>
          <w:lang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b/>
          <w:sz w:val="20"/>
          <w:szCs w:val="20"/>
          <w:lang w:val="en-US" w:eastAsia="en-CA"/>
        </w:rPr>
        <w:t>UPON APPLICATION</w:t>
      </w:r>
      <w:r w:rsidRPr="003B0C67">
        <w:rPr>
          <w:rFonts w:eastAsia="Times New Roman" w:cs="Times New Roman"/>
          <w:sz w:val="20"/>
          <w:szCs w:val="20"/>
          <w:lang w:val="en-US" w:eastAsia="en-CA"/>
        </w:rPr>
        <w:t xml:space="preserve"> </w:t>
      </w:r>
      <w:r w:rsidR="000A5A7E" w:rsidRPr="003B0C67">
        <w:rPr>
          <w:rFonts w:eastAsia="Times New Roman" w:cs="Times New Roman"/>
          <w:sz w:val="20"/>
          <w:szCs w:val="20"/>
          <w:lang w:val="en-US" w:eastAsia="en-CA"/>
        </w:rPr>
        <w:fldChar w:fldCharType="begin"/>
      </w:r>
      <w:r w:rsidRPr="003B0C67">
        <w:rPr>
          <w:rFonts w:eastAsia="Times New Roman" w:cs="Times New Roman"/>
          <w:sz w:val="20"/>
          <w:szCs w:val="20"/>
          <w:lang w:val="en-US" w:eastAsia="en-CA"/>
        </w:rPr>
        <w:instrText xml:space="preserve"> SEQ CHAPTER \h \r 1</w:instrText>
      </w:r>
      <w:r w:rsidR="000A5A7E" w:rsidRPr="003B0C67">
        <w:rPr>
          <w:rFonts w:eastAsia="Times New Roman" w:cs="Times New Roman"/>
          <w:sz w:val="20"/>
          <w:szCs w:val="20"/>
          <w:lang w:val="en-US" w:eastAsia="en-CA"/>
        </w:rPr>
        <w:fldChar w:fldCharType="end"/>
      </w:r>
      <w:r w:rsidRPr="003B0C67">
        <w:rPr>
          <w:rFonts w:eastAsia="Times New Roman" w:cs="Times New Roman"/>
          <w:sz w:val="20"/>
          <w:szCs w:val="20"/>
          <w:lang w:val="en-US" w:eastAsia="en-CA"/>
        </w:rPr>
        <w:t xml:space="preserve">by the applicant pursuant to the provisions of Rule 32(2) for an order to file additional material, namely a letter requesting a mandatory oral hearing of the leave application under s. 43(1.2) of the </w:t>
      </w:r>
      <w:r w:rsidRPr="003B0C67">
        <w:rPr>
          <w:rFonts w:eastAsia="Times New Roman" w:cs="Times New Roman"/>
          <w:i/>
          <w:sz w:val="20"/>
          <w:szCs w:val="20"/>
          <w:lang w:val="en-US" w:eastAsia="en-CA"/>
        </w:rPr>
        <w:t>Supreme Court Act</w:t>
      </w:r>
      <w:r w:rsidRPr="003B0C67">
        <w:rPr>
          <w:rFonts w:eastAsia="Times New Roman" w:cs="Times New Roman"/>
          <w:sz w:val="20"/>
          <w:szCs w:val="20"/>
          <w:lang w:val="en-US" w:eastAsia="en-CA"/>
        </w:rPr>
        <w:t xml:space="preserve">; </w:t>
      </w:r>
    </w:p>
    <w:p w:rsidR="003B0C67" w:rsidRPr="003B0C67" w:rsidRDefault="003B0C67" w:rsidP="003B0C67">
      <w:pPr>
        <w:autoSpaceDE w:val="0"/>
        <w:autoSpaceDN w:val="0"/>
        <w:adjustRightInd w:val="0"/>
        <w:jc w:val="both"/>
        <w:rPr>
          <w:rFonts w:eastAsia="Times New Roman" w:cs="Times New Roman"/>
          <w:sz w:val="20"/>
          <w:szCs w:val="20"/>
          <w:lang w:val="en-US" w:eastAsia="en-CA"/>
        </w:rPr>
      </w:pPr>
    </w:p>
    <w:p w:rsidR="003B0C67" w:rsidRPr="003B0C67" w:rsidRDefault="000A5A7E" w:rsidP="003B0C67">
      <w:pPr>
        <w:jc w:val="both"/>
        <w:rPr>
          <w:rFonts w:eastAsia="Times New Roman" w:cs="Times New Roman"/>
          <w:sz w:val="20"/>
          <w:szCs w:val="20"/>
          <w:lang w:val="en-US" w:eastAsia="en-CA"/>
        </w:rPr>
      </w:pPr>
      <w:r w:rsidRPr="003B0C67">
        <w:rPr>
          <w:rFonts w:eastAsia="Times New Roman" w:cs="Times New Roman"/>
          <w:sz w:val="20"/>
          <w:szCs w:val="20"/>
          <w:lang w:val="en-US" w:eastAsia="en-CA"/>
        </w:rPr>
        <w:fldChar w:fldCharType="begin"/>
      </w:r>
      <w:r w:rsidR="003B0C67" w:rsidRPr="003B0C67">
        <w:rPr>
          <w:rFonts w:eastAsia="Times New Roman" w:cs="Times New Roman"/>
          <w:sz w:val="20"/>
          <w:szCs w:val="20"/>
          <w:lang w:val="en-US" w:eastAsia="en-CA"/>
        </w:rPr>
        <w:instrText xml:space="preserve"> SEQ CHAPTER \h \r 1</w:instrText>
      </w:r>
      <w:r w:rsidRPr="003B0C67">
        <w:rPr>
          <w:rFonts w:eastAsia="Times New Roman" w:cs="Times New Roman"/>
          <w:sz w:val="20"/>
          <w:szCs w:val="20"/>
          <w:lang w:val="en-US" w:eastAsia="en-CA"/>
        </w:rPr>
        <w:fldChar w:fldCharType="end"/>
      </w:r>
      <w:r w:rsidR="003B0C67" w:rsidRPr="003B0C67">
        <w:rPr>
          <w:rFonts w:eastAsia="Times New Roman" w:cs="Times New Roman"/>
          <w:b/>
          <w:bCs/>
          <w:sz w:val="20"/>
          <w:szCs w:val="20"/>
          <w:lang w:val="en-US" w:eastAsia="en-CA"/>
        </w:rPr>
        <w:t xml:space="preserve">AND THE MATERIAL FILED </w:t>
      </w:r>
      <w:r w:rsidR="003B0C67" w:rsidRPr="003B0C67">
        <w:rPr>
          <w:rFonts w:eastAsia="Times New Roman" w:cs="Times New Roman"/>
          <w:bCs/>
          <w:sz w:val="20"/>
          <w:szCs w:val="20"/>
          <w:lang w:val="en-US" w:eastAsia="en-CA"/>
        </w:rPr>
        <w:t>having been read</w:t>
      </w:r>
      <w:r w:rsidR="003B0C67" w:rsidRPr="003B0C67">
        <w:rPr>
          <w:rFonts w:eastAsia="Times New Roman" w:cs="Times New Roman"/>
          <w:sz w:val="20"/>
          <w:szCs w:val="20"/>
          <w:lang w:val="en-US" w:eastAsia="en-CA"/>
        </w:rPr>
        <w:t>;</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b/>
          <w:sz w:val="20"/>
          <w:szCs w:val="20"/>
          <w:lang w:val="en-US" w:eastAsia="en-CA"/>
        </w:rPr>
      </w:pPr>
      <w:r w:rsidRPr="003B0C67">
        <w:rPr>
          <w:rFonts w:eastAsia="Times New Roman" w:cs="Times New Roman"/>
          <w:b/>
          <w:sz w:val="20"/>
          <w:szCs w:val="20"/>
          <w:lang w:val="en-US" w:eastAsia="en-CA"/>
        </w:rPr>
        <w:t>IT IS HEREBY ORDERED THAT:</w:t>
      </w:r>
    </w:p>
    <w:p w:rsidR="003B0C67" w:rsidRPr="003B0C67" w:rsidRDefault="003B0C67" w:rsidP="003B0C67">
      <w:pPr>
        <w:ind w:left="360"/>
        <w:contextualSpacing/>
        <w:jc w:val="both"/>
        <w:rPr>
          <w:sz w:val="20"/>
          <w:szCs w:val="20"/>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sz w:val="20"/>
          <w:szCs w:val="20"/>
          <w:lang w:val="en-US" w:eastAsia="en-CA"/>
        </w:rPr>
        <w:t xml:space="preserve">The motion is dismissed.  </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sz w:val="20"/>
          <w:szCs w:val="20"/>
          <w:lang w:val="en-US" w:eastAsia="en-CA"/>
        </w:rPr>
        <w:t xml:space="preserve">Section 43 (1) of the </w:t>
      </w:r>
      <w:r w:rsidRPr="003B0C67">
        <w:rPr>
          <w:rFonts w:eastAsia="Times New Roman" w:cs="Times New Roman"/>
          <w:i/>
          <w:sz w:val="20"/>
          <w:szCs w:val="20"/>
          <w:lang w:val="en-US" w:eastAsia="en-CA"/>
        </w:rPr>
        <w:t xml:space="preserve">Supreme Court Act </w:t>
      </w:r>
      <w:r w:rsidRPr="003B0C67">
        <w:rPr>
          <w:rFonts w:eastAsia="Times New Roman" w:cs="Times New Roman"/>
          <w:sz w:val="20"/>
          <w:szCs w:val="20"/>
          <w:lang w:val="en-US" w:eastAsia="en-CA"/>
        </w:rPr>
        <w:t xml:space="preserve">provides that an application to the Supreme Court for leave to appeal shall be made to the Court in writing.  Rule 25 of the </w:t>
      </w:r>
      <w:r w:rsidRPr="003B0C67">
        <w:rPr>
          <w:rFonts w:eastAsia="Times New Roman" w:cs="Times New Roman"/>
          <w:i/>
          <w:sz w:val="20"/>
          <w:szCs w:val="20"/>
          <w:lang w:val="en-US" w:eastAsia="en-CA"/>
        </w:rPr>
        <w:t>Rules of the Supreme Court of Canada</w:t>
      </w:r>
      <w:r w:rsidRPr="003B0C67">
        <w:rPr>
          <w:rFonts w:eastAsia="Times New Roman" w:cs="Times New Roman"/>
          <w:sz w:val="20"/>
          <w:szCs w:val="20"/>
          <w:lang w:val="en-US" w:eastAsia="en-CA"/>
        </w:rPr>
        <w:t xml:space="preserve"> sets out the supporting material required for an application for leave, including a notice of application for leave to appeal that sets out the nature of the order and relief sought and a memorandum of argument that sets out in Part V, “the order or orders sought.”  The Court must order an oral hearing, even a mandatory one under s. 43(1.2) of the </w:t>
      </w:r>
      <w:r w:rsidRPr="003B0C67">
        <w:rPr>
          <w:rFonts w:eastAsia="Times New Roman" w:cs="Times New Roman"/>
          <w:i/>
          <w:sz w:val="20"/>
          <w:szCs w:val="20"/>
          <w:lang w:val="en-US" w:eastAsia="en-CA"/>
        </w:rPr>
        <w:t>Supreme Court Act</w:t>
      </w:r>
      <w:r w:rsidRPr="003B0C67">
        <w:rPr>
          <w:rFonts w:eastAsia="Times New Roman" w:cs="Times New Roman"/>
          <w:sz w:val="20"/>
          <w:szCs w:val="20"/>
          <w:lang w:val="en-US" w:eastAsia="en-CA"/>
        </w:rPr>
        <w:t xml:space="preserve">.  It follows from s. 43(1) and Rule 25 that a request for an order for an oral hearing must be made in writing.  </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val="en-US" w:eastAsia="en-CA"/>
        </w:rPr>
      </w:pPr>
      <w:r w:rsidRPr="003B0C67">
        <w:rPr>
          <w:rFonts w:eastAsia="Times New Roman" w:cs="Times New Roman"/>
          <w:sz w:val="20"/>
          <w:szCs w:val="20"/>
          <w:lang w:val="en-US" w:eastAsia="en-CA"/>
        </w:rPr>
        <w:t>No written request was received until after the leave application was submitted to a panel for decision.  Rule 32(2) provides that no documents shall be filed after the leave application has been submitted to the Court, unless the Registrar otherwise orders.  In the circumstances of this case, the request for an oral hearing is made too late in the proceedings, and I accordingly exercise my discretion to refuse the letter for filing.</w:t>
      </w:r>
    </w:p>
    <w:p w:rsidR="003B0C67" w:rsidRPr="003B0C67" w:rsidRDefault="003B0C67" w:rsidP="003B0C67">
      <w:pPr>
        <w:jc w:val="both"/>
        <w:rPr>
          <w:rFonts w:eastAsia="Times New Roman" w:cs="Times New Roman"/>
          <w:sz w:val="20"/>
          <w:szCs w:val="20"/>
          <w:lang w:val="en-US" w:eastAsia="en-CA"/>
        </w:rPr>
      </w:pPr>
    </w:p>
    <w:p w:rsidR="003B0C67" w:rsidRPr="003B0C67" w:rsidRDefault="003B0C67" w:rsidP="003B0C67">
      <w:pPr>
        <w:jc w:val="both"/>
        <w:rPr>
          <w:rFonts w:eastAsia="Times New Roman" w:cs="Times New Roman"/>
          <w:sz w:val="20"/>
          <w:szCs w:val="20"/>
          <w:lang w:eastAsia="en-CA"/>
        </w:rPr>
      </w:pPr>
    </w:p>
    <w:p w:rsidR="003B0C67" w:rsidRPr="003B0C67" w:rsidRDefault="003B0C67" w:rsidP="003B0C67">
      <w:pPr>
        <w:jc w:val="both"/>
        <w:rPr>
          <w:rFonts w:eastAsia="Times New Roman" w:cs="Times New Roman"/>
          <w:sz w:val="20"/>
          <w:szCs w:val="20"/>
          <w:lang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b/>
          <w:sz w:val="20"/>
          <w:szCs w:val="20"/>
          <w:lang w:val="fr-CA" w:eastAsia="en-CA"/>
        </w:rPr>
        <w:t>À LA SUITE DE LA DEMANDE</w:t>
      </w:r>
      <w:r w:rsidRPr="003B0C67">
        <w:rPr>
          <w:rFonts w:eastAsia="Times New Roman" w:cs="Times New Roman"/>
          <w:sz w:val="20"/>
          <w:szCs w:val="20"/>
          <w:lang w:val="fr-CA" w:eastAsia="en-CA"/>
        </w:rPr>
        <w:t xml:space="preserve"> présentée par le demandeur en application des dispositions du par. 32(2) des </w:t>
      </w:r>
      <w:r w:rsidRPr="003B0C67">
        <w:rPr>
          <w:rFonts w:eastAsia="Times New Roman" w:cs="Times New Roman"/>
          <w:i/>
          <w:sz w:val="20"/>
          <w:szCs w:val="20"/>
          <w:lang w:val="fr-CA" w:eastAsia="en-CA"/>
        </w:rPr>
        <w:t>Règles</w:t>
      </w:r>
      <w:r w:rsidRPr="003B0C67">
        <w:rPr>
          <w:rFonts w:eastAsia="Times New Roman" w:cs="Times New Roman"/>
          <w:sz w:val="20"/>
          <w:szCs w:val="20"/>
          <w:lang w:val="fr-CA" w:eastAsia="en-CA"/>
        </w:rPr>
        <w:t xml:space="preserve"> visant le dépôt d’un document supplémentaire, à savoir une lettre requérant la tenue d’une audience pour décider d’une demande d’autorisation d’appel en application du par. 43(1.2) de la </w:t>
      </w:r>
      <w:r w:rsidRPr="003B0C67">
        <w:rPr>
          <w:rFonts w:eastAsia="Times New Roman" w:cs="Times New Roman"/>
          <w:i/>
          <w:sz w:val="20"/>
          <w:szCs w:val="20"/>
          <w:lang w:val="fr-CA" w:eastAsia="en-CA"/>
        </w:rPr>
        <w:t>Loi sur la Cour suprême</w:t>
      </w:r>
      <w:r w:rsidRPr="003B0C67">
        <w:rPr>
          <w:rFonts w:eastAsia="Times New Roman" w:cs="Times New Roman"/>
          <w:sz w:val="20"/>
          <w:szCs w:val="20"/>
          <w:lang w:val="fr-CA" w:eastAsia="en-CA"/>
        </w:rPr>
        <w:t>;</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b/>
          <w:sz w:val="20"/>
          <w:szCs w:val="20"/>
          <w:lang w:val="fr-CA" w:eastAsia="en-CA"/>
        </w:rPr>
        <w:t>ET APRÈS EXAMEN</w:t>
      </w:r>
      <w:r w:rsidRPr="003B0C67">
        <w:rPr>
          <w:rFonts w:eastAsia="Times New Roman" w:cs="Times New Roman"/>
          <w:sz w:val="20"/>
          <w:szCs w:val="20"/>
          <w:lang w:val="fr-CA" w:eastAsia="en-CA"/>
        </w:rPr>
        <w:t xml:space="preserve"> des documents déposés;</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jc w:val="both"/>
        <w:rPr>
          <w:rFonts w:eastAsia="Times New Roman" w:cs="Times New Roman"/>
          <w:b/>
          <w:sz w:val="20"/>
          <w:szCs w:val="20"/>
          <w:lang w:val="fr-CA" w:eastAsia="en-CA"/>
        </w:rPr>
      </w:pPr>
      <w:r w:rsidRPr="003B0C67">
        <w:rPr>
          <w:rFonts w:eastAsia="Times New Roman" w:cs="Times New Roman"/>
          <w:b/>
          <w:sz w:val="20"/>
          <w:szCs w:val="20"/>
          <w:lang w:val="fr-CA" w:eastAsia="en-CA"/>
        </w:rPr>
        <w:t>IL EST ORDONNÉ CE QUI SUIT :</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sz w:val="20"/>
          <w:szCs w:val="20"/>
          <w:lang w:val="fr-CA" w:eastAsia="en-CA"/>
        </w:rPr>
        <w:t>La requête est rejetée.</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sz w:val="20"/>
          <w:szCs w:val="20"/>
          <w:lang w:val="fr-CA" w:eastAsia="en-CA"/>
        </w:rPr>
        <w:t xml:space="preserve">Le paragraphe 43(1) de la </w:t>
      </w:r>
      <w:r w:rsidRPr="003B0C67">
        <w:rPr>
          <w:rFonts w:eastAsia="Times New Roman" w:cs="Times New Roman"/>
          <w:i/>
          <w:sz w:val="20"/>
          <w:szCs w:val="20"/>
          <w:lang w:val="fr-CA" w:eastAsia="en-CA"/>
        </w:rPr>
        <w:t>Loi sur la Cour suprême</w:t>
      </w:r>
      <w:r w:rsidRPr="003B0C67">
        <w:rPr>
          <w:rFonts w:eastAsia="Times New Roman" w:cs="Times New Roman"/>
          <w:sz w:val="20"/>
          <w:szCs w:val="20"/>
          <w:lang w:val="fr-CA" w:eastAsia="en-CA"/>
        </w:rPr>
        <w:t xml:space="preserve"> prévoit qu’une demande d’autorisation d’appel est présentée à la Cour par écrit. L’article 25 des </w:t>
      </w:r>
      <w:r w:rsidRPr="003B0C67">
        <w:rPr>
          <w:rFonts w:eastAsia="Times New Roman" w:cs="Times New Roman"/>
          <w:i/>
          <w:sz w:val="20"/>
          <w:szCs w:val="20"/>
          <w:lang w:val="fr-CA" w:eastAsia="en-CA"/>
        </w:rPr>
        <w:t>Règles de la Cour suprême du Canada</w:t>
      </w:r>
      <w:r w:rsidRPr="003B0C67">
        <w:rPr>
          <w:rFonts w:eastAsia="Times New Roman" w:cs="Times New Roman"/>
          <w:sz w:val="20"/>
          <w:szCs w:val="20"/>
          <w:lang w:val="fr-CA" w:eastAsia="en-CA"/>
        </w:rPr>
        <w:t xml:space="preserve"> dresse la liste des documents qui doivent être déposés à l’appui d’une demande d’autorisation d’appel. Cette liste comprend, entre autres, un avis de demande d’autorisation d’appel qui précise la nature de l’ordonnance et de la mesure de réparation demandées ainsi qu’un mémoire dont la partie V énonce « les ordonnances demandées ». La tenue d’une audience découle nécessairement d’une ordonnance de la Cour, même celle, obligatoire, visée par le par. 43(1.2) de la </w:t>
      </w:r>
      <w:r w:rsidRPr="003B0C67">
        <w:rPr>
          <w:rFonts w:eastAsia="Times New Roman" w:cs="Times New Roman"/>
          <w:i/>
          <w:sz w:val="20"/>
          <w:szCs w:val="20"/>
          <w:lang w:val="fr-CA" w:eastAsia="en-CA"/>
        </w:rPr>
        <w:t>Loi sur la Cour suprême</w:t>
      </w:r>
      <w:r w:rsidRPr="003B0C67">
        <w:rPr>
          <w:rFonts w:eastAsia="Times New Roman" w:cs="Times New Roman"/>
          <w:sz w:val="20"/>
          <w:szCs w:val="20"/>
          <w:lang w:val="fr-CA" w:eastAsia="en-CA"/>
        </w:rPr>
        <w:t xml:space="preserve">. Il </w:t>
      </w:r>
      <w:r w:rsidRPr="003B0C67">
        <w:rPr>
          <w:rFonts w:eastAsia="Times New Roman" w:cs="Times New Roman"/>
          <w:sz w:val="20"/>
          <w:szCs w:val="20"/>
          <w:lang w:val="fr-CA" w:eastAsia="en-CA"/>
        </w:rPr>
        <w:lastRenderedPageBreak/>
        <w:t xml:space="preserve">découle du par. 43(1) et de l’art. 25 des </w:t>
      </w:r>
      <w:r w:rsidRPr="003B0C67">
        <w:rPr>
          <w:rFonts w:eastAsia="Times New Roman" w:cs="Times New Roman"/>
          <w:i/>
          <w:sz w:val="20"/>
          <w:szCs w:val="20"/>
          <w:lang w:val="fr-CA" w:eastAsia="en-CA"/>
        </w:rPr>
        <w:t>Règles</w:t>
      </w:r>
      <w:r w:rsidRPr="003B0C67">
        <w:rPr>
          <w:rFonts w:eastAsia="Times New Roman" w:cs="Times New Roman"/>
          <w:sz w:val="20"/>
          <w:szCs w:val="20"/>
          <w:lang w:val="fr-CA" w:eastAsia="en-CA"/>
        </w:rPr>
        <w:t xml:space="preserve"> qu’une demande visant le prononcé d’une ordonnance intimant la tenue d’une audience doit être présentée par écrit.</w:t>
      </w:r>
    </w:p>
    <w:p w:rsidR="003B0C67" w:rsidRPr="003B0C67" w:rsidRDefault="003B0C67" w:rsidP="003B0C67">
      <w:pPr>
        <w:jc w:val="both"/>
        <w:rPr>
          <w:rFonts w:eastAsia="Times New Roman" w:cs="Times New Roman"/>
          <w:sz w:val="20"/>
          <w:szCs w:val="20"/>
          <w:lang w:val="fr-CA" w:eastAsia="en-CA"/>
        </w:rPr>
      </w:pPr>
    </w:p>
    <w:p w:rsidR="003B0C67" w:rsidRPr="003B0C67" w:rsidRDefault="003B0C67" w:rsidP="003B0C67">
      <w:pPr>
        <w:jc w:val="both"/>
        <w:rPr>
          <w:rFonts w:eastAsia="Times New Roman" w:cs="Times New Roman"/>
          <w:sz w:val="20"/>
          <w:szCs w:val="20"/>
          <w:lang w:val="fr-CA" w:eastAsia="en-CA"/>
        </w:rPr>
      </w:pPr>
      <w:r w:rsidRPr="003B0C67">
        <w:rPr>
          <w:rFonts w:eastAsia="Times New Roman" w:cs="Times New Roman"/>
          <w:sz w:val="20"/>
          <w:szCs w:val="20"/>
          <w:lang w:val="fr-CA" w:eastAsia="en-CA"/>
        </w:rPr>
        <w:t xml:space="preserve">Aucune demande écrite n’a été reçue avant que la demande d’autorisation d’appel soit soumise à une formation de juges pour décision. Le par. 32(2) des </w:t>
      </w:r>
      <w:r w:rsidRPr="003B0C67">
        <w:rPr>
          <w:rFonts w:eastAsia="Times New Roman" w:cs="Times New Roman"/>
          <w:i/>
          <w:sz w:val="20"/>
          <w:szCs w:val="20"/>
          <w:lang w:val="fr-CA" w:eastAsia="en-CA"/>
        </w:rPr>
        <w:t>Règles</w:t>
      </w:r>
      <w:r w:rsidRPr="003B0C67">
        <w:rPr>
          <w:rFonts w:eastAsia="Times New Roman" w:cs="Times New Roman"/>
          <w:sz w:val="20"/>
          <w:szCs w:val="20"/>
          <w:lang w:val="fr-CA" w:eastAsia="en-CA"/>
        </w:rPr>
        <w:t xml:space="preserve"> prévoit qu’aucun document ne peut être déposé après que la demande d’autorisation d’appel a été soumise à l’examen de la Cour, sauf ordonnance contraire du registraire. Dans les circonstances de la présente affaire, la demande visant la tenue d’une audience a été présentée trop tard durant le processus et, en conséquence, j’exerce le pouvoir discrétionnaire qui m’est conféré de refuser le dépôt de la lettre.</w:t>
      </w:r>
    </w:p>
    <w:p w:rsidR="003B0C67" w:rsidRPr="003B0C67" w:rsidRDefault="003B0C67" w:rsidP="003B0C67">
      <w:pPr>
        <w:tabs>
          <w:tab w:val="left" w:pos="-1440"/>
          <w:tab w:val="left" w:pos="-720"/>
        </w:tabs>
        <w:jc w:val="both"/>
        <w:rPr>
          <w:rFonts w:eastAsia="Times New Roman" w:cs="Times New Roman"/>
          <w:sz w:val="20"/>
          <w:szCs w:val="20"/>
          <w:lang w:val="fr-CA" w:eastAsia="en-CA"/>
        </w:rPr>
      </w:pPr>
    </w:p>
    <w:p w:rsidR="003B0C67" w:rsidRPr="003B0C67" w:rsidRDefault="00742BC3" w:rsidP="003B0C6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3B0C67" w:rsidRPr="003B0C67" w:rsidRDefault="003B0C67" w:rsidP="003B0C67">
      <w:pPr>
        <w:tabs>
          <w:tab w:val="left" w:pos="-1440"/>
          <w:tab w:val="left" w:pos="-720"/>
        </w:tabs>
        <w:jc w:val="both"/>
        <w:rPr>
          <w:rFonts w:eastAsia="Times New Roman" w:cs="Times New Roman"/>
          <w:sz w:val="20"/>
          <w:szCs w:val="20"/>
          <w:lang w:eastAsia="en-CA"/>
        </w:rPr>
      </w:pPr>
    </w:p>
    <w:p w:rsidR="003B0C67" w:rsidRPr="003B0C67" w:rsidRDefault="003B0C67" w:rsidP="003B0C67">
      <w:pPr>
        <w:tabs>
          <w:tab w:val="left" w:pos="-1440"/>
          <w:tab w:val="left" w:pos="-720"/>
        </w:tabs>
        <w:jc w:val="both"/>
        <w:rPr>
          <w:rFonts w:eastAsia="Times New Roman" w:cs="Times New Roman"/>
          <w:sz w:val="20"/>
          <w:szCs w:val="20"/>
          <w:lang w:val="fr-CA" w:eastAsia="en-CA"/>
        </w:rPr>
      </w:pPr>
      <w:r w:rsidRPr="003B0C67">
        <w:rPr>
          <w:rFonts w:eastAsia="Times New Roman" w:cs="Times New Roman"/>
          <w:sz w:val="20"/>
          <w:szCs w:val="20"/>
          <w:lang w:val="fr-CA" w:eastAsia="en-CA"/>
        </w:rPr>
        <w:t>04.03.2015</w:t>
      </w:r>
    </w:p>
    <w:p w:rsidR="003B0C67" w:rsidRPr="003B0C67" w:rsidRDefault="003B0C67" w:rsidP="003B0C67">
      <w:pPr>
        <w:tabs>
          <w:tab w:val="left" w:pos="-1440"/>
          <w:tab w:val="left" w:pos="-720"/>
        </w:tabs>
        <w:jc w:val="both"/>
        <w:rPr>
          <w:rFonts w:eastAsia="Times New Roman" w:cs="Times New Roman"/>
          <w:sz w:val="20"/>
          <w:szCs w:val="20"/>
          <w:lang w:val="fr-CA" w:eastAsia="en-CA"/>
        </w:rPr>
      </w:pPr>
    </w:p>
    <w:p w:rsidR="003B0C67" w:rsidRPr="003B0C67" w:rsidRDefault="003B0C67" w:rsidP="003B0C67">
      <w:pPr>
        <w:tabs>
          <w:tab w:val="left" w:pos="-1440"/>
          <w:tab w:val="left" w:pos="-720"/>
        </w:tabs>
        <w:jc w:val="both"/>
        <w:rPr>
          <w:rFonts w:eastAsia="Times New Roman" w:cs="Times New Roman"/>
          <w:sz w:val="20"/>
          <w:szCs w:val="20"/>
          <w:lang w:val="fr-CA" w:eastAsia="en-CA"/>
        </w:rPr>
      </w:pPr>
      <w:r w:rsidRPr="003B0C67">
        <w:rPr>
          <w:rFonts w:eastAsia="Times New Roman" w:cs="Times New Roman"/>
          <w:sz w:val="20"/>
          <w:szCs w:val="20"/>
          <w:lang w:val="fr-CA" w:eastAsia="en-CA"/>
        </w:rPr>
        <w:t>Before / Devant :   ROTHSTEIN J. / LE JUGE ROTHSTEIN</w:t>
      </w:r>
    </w:p>
    <w:p w:rsidR="003B0C67" w:rsidRPr="003B0C67" w:rsidRDefault="003B0C67" w:rsidP="003B0C6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3B0C67" w:rsidRPr="00CF1118" w:rsidTr="00A96BDA">
        <w:tc>
          <w:tcPr>
            <w:tcW w:w="4338" w:type="dxa"/>
            <w:gridSpan w:val="2"/>
          </w:tcPr>
          <w:p w:rsidR="003B0C67" w:rsidRPr="003B0C67" w:rsidRDefault="003B0C67" w:rsidP="003B0C67">
            <w:pPr>
              <w:jc w:val="both"/>
              <w:rPr>
                <w:b/>
              </w:rPr>
            </w:pPr>
            <w:r w:rsidRPr="003B0C67">
              <w:rPr>
                <w:b/>
                <w:lang w:val="en-US"/>
              </w:rPr>
              <w:t xml:space="preserve">Order on interventions with respect to oral argument </w:t>
            </w:r>
            <w:r w:rsidR="000A5A7E" w:rsidRPr="003B0C67">
              <w:rPr>
                <w:b/>
                <w:lang w:val="en-US"/>
              </w:rPr>
              <w:fldChar w:fldCharType="begin"/>
            </w:r>
            <w:r w:rsidRPr="003B0C67">
              <w:rPr>
                <w:b/>
              </w:rPr>
              <w:instrText xml:space="preserve"> SEQ CHAPTER \h \r 1</w:instrText>
            </w:r>
            <w:r w:rsidR="000A5A7E" w:rsidRPr="003B0C67">
              <w:rPr>
                <w:b/>
                <w:lang w:val="en-US"/>
              </w:rPr>
              <w:fldChar w:fldCharType="end"/>
            </w:r>
          </w:p>
        </w:tc>
        <w:tc>
          <w:tcPr>
            <w:tcW w:w="1170" w:type="dxa"/>
          </w:tcPr>
          <w:p w:rsidR="003B0C67" w:rsidRPr="003B0C67" w:rsidRDefault="003B0C67" w:rsidP="003B0C67"/>
          <w:p w:rsidR="003B0C67" w:rsidRPr="003B0C67" w:rsidRDefault="003B0C67" w:rsidP="003B0C67"/>
          <w:p w:rsidR="003B0C67" w:rsidRPr="003B0C67" w:rsidRDefault="003B0C67" w:rsidP="003B0C67"/>
        </w:tc>
        <w:tc>
          <w:tcPr>
            <w:tcW w:w="4327" w:type="dxa"/>
          </w:tcPr>
          <w:p w:rsidR="003B0C67" w:rsidRPr="003B0C67" w:rsidRDefault="003B0C67" w:rsidP="003B0C67">
            <w:pPr>
              <w:jc w:val="both"/>
              <w:rPr>
                <w:b/>
                <w:lang w:val="fr-CA"/>
              </w:rPr>
            </w:pPr>
            <w:r w:rsidRPr="003B0C67">
              <w:rPr>
                <w:b/>
                <w:lang w:val="fr-CA"/>
              </w:rPr>
              <w:t>Ordonnance relative à la présentation d’une plaidoirie orale par les intervenants</w:t>
            </w:r>
            <w:r w:rsidR="000A5A7E" w:rsidRPr="003B0C67">
              <w:rPr>
                <w:b/>
                <w:lang w:val="en-US"/>
              </w:rPr>
              <w:fldChar w:fldCharType="begin"/>
            </w:r>
            <w:r w:rsidRPr="003B0C67">
              <w:rPr>
                <w:b/>
                <w:lang w:val="fr-CA"/>
              </w:rPr>
              <w:instrText xml:space="preserve"> SEQ CHAPTER \h \r 1</w:instrText>
            </w:r>
            <w:r w:rsidR="000A5A7E" w:rsidRPr="003B0C67">
              <w:rPr>
                <w:b/>
                <w:lang w:val="en-US"/>
              </w:rPr>
              <w:fldChar w:fldCharType="end"/>
            </w:r>
          </w:p>
        </w:tc>
      </w:tr>
      <w:tr w:rsidR="003B0C67" w:rsidRPr="003B0C67" w:rsidTr="00A96BDA">
        <w:trPr>
          <w:trHeight w:hRule="exact" w:val="576"/>
        </w:trPr>
        <w:tc>
          <w:tcPr>
            <w:tcW w:w="1368" w:type="dxa"/>
          </w:tcPr>
          <w:p w:rsidR="003B0C67" w:rsidRPr="003B0C67" w:rsidRDefault="003B0C67" w:rsidP="003B0C67">
            <w:r w:rsidRPr="003B0C67">
              <w:t>RE:</w:t>
            </w:r>
          </w:p>
        </w:tc>
        <w:tc>
          <w:tcPr>
            <w:tcW w:w="2970" w:type="dxa"/>
          </w:tcPr>
          <w:p w:rsidR="003B0C67" w:rsidRPr="003B0C67" w:rsidRDefault="003B0C67" w:rsidP="003B0C67">
            <w:r w:rsidRPr="003B0C67">
              <w:rPr>
                <w:lang w:val="en-US"/>
              </w:rPr>
              <w:t>Criminal Lawyers’ Association (Ontario);</w:t>
            </w:r>
          </w:p>
        </w:tc>
        <w:tc>
          <w:tcPr>
            <w:tcW w:w="1170" w:type="dxa"/>
          </w:tcPr>
          <w:p w:rsidR="003B0C67" w:rsidRPr="003B0C67" w:rsidRDefault="003B0C67" w:rsidP="003B0C67"/>
        </w:tc>
        <w:tc>
          <w:tcPr>
            <w:tcW w:w="4327" w:type="dxa"/>
          </w:tcPr>
          <w:p w:rsidR="003B0C67" w:rsidRPr="003B0C67" w:rsidRDefault="003B0C67" w:rsidP="003B0C67"/>
        </w:tc>
      </w:tr>
      <w:tr w:rsidR="003B0C67" w:rsidRPr="003B0C67" w:rsidTr="00A96BDA">
        <w:trPr>
          <w:trHeight w:hRule="exact" w:val="576"/>
        </w:trPr>
        <w:tc>
          <w:tcPr>
            <w:tcW w:w="1368" w:type="dxa"/>
          </w:tcPr>
          <w:p w:rsidR="003B0C67" w:rsidRPr="003B0C67" w:rsidRDefault="003B0C67" w:rsidP="003B0C67"/>
        </w:tc>
        <w:tc>
          <w:tcPr>
            <w:tcW w:w="2970" w:type="dxa"/>
          </w:tcPr>
          <w:p w:rsidR="003B0C67" w:rsidRPr="003B0C67" w:rsidRDefault="003B0C67" w:rsidP="003B0C67">
            <w:r w:rsidRPr="003B0C67">
              <w:rPr>
                <w:lang w:val="en-US"/>
              </w:rPr>
              <w:t>British Columbia Civil Liberties Association</w:t>
            </w:r>
          </w:p>
        </w:tc>
        <w:tc>
          <w:tcPr>
            <w:tcW w:w="1170" w:type="dxa"/>
          </w:tcPr>
          <w:p w:rsidR="003B0C67" w:rsidRPr="003B0C67" w:rsidRDefault="003B0C67" w:rsidP="003B0C67"/>
        </w:tc>
        <w:tc>
          <w:tcPr>
            <w:tcW w:w="4327" w:type="dxa"/>
          </w:tcPr>
          <w:p w:rsidR="003B0C67" w:rsidRPr="003B0C67" w:rsidRDefault="003B0C67" w:rsidP="003B0C67"/>
        </w:tc>
      </w:tr>
      <w:tr w:rsidR="003B0C67" w:rsidRPr="003B0C67" w:rsidTr="00A96BDA">
        <w:tc>
          <w:tcPr>
            <w:tcW w:w="1368" w:type="dxa"/>
          </w:tcPr>
          <w:p w:rsidR="003B0C67" w:rsidRPr="003B0C67" w:rsidRDefault="003B0C67" w:rsidP="003B0C67"/>
        </w:tc>
        <w:tc>
          <w:tcPr>
            <w:tcW w:w="2970" w:type="dxa"/>
          </w:tcPr>
          <w:p w:rsidR="003B0C67" w:rsidRPr="003B0C67" w:rsidRDefault="003B0C67" w:rsidP="003B0C67"/>
        </w:tc>
        <w:tc>
          <w:tcPr>
            <w:tcW w:w="1170" w:type="dxa"/>
          </w:tcPr>
          <w:p w:rsidR="003B0C67" w:rsidRPr="003B0C67" w:rsidRDefault="003B0C67" w:rsidP="003B0C67"/>
        </w:tc>
        <w:tc>
          <w:tcPr>
            <w:tcW w:w="4327" w:type="dxa"/>
          </w:tcPr>
          <w:p w:rsidR="003B0C67" w:rsidRPr="003B0C67" w:rsidRDefault="003B0C67" w:rsidP="003B0C67"/>
        </w:tc>
      </w:tr>
      <w:tr w:rsidR="003B0C67" w:rsidRPr="003B0C67" w:rsidTr="00A96BDA">
        <w:tc>
          <w:tcPr>
            <w:tcW w:w="1368" w:type="dxa"/>
          </w:tcPr>
          <w:p w:rsidR="003B0C67" w:rsidRPr="003B0C67" w:rsidRDefault="003B0C67" w:rsidP="003B0C67">
            <w:r w:rsidRPr="003B0C67">
              <w:t>IN / DANS :</w:t>
            </w:r>
          </w:p>
        </w:tc>
        <w:tc>
          <w:tcPr>
            <w:tcW w:w="2970" w:type="dxa"/>
          </w:tcPr>
          <w:p w:rsidR="003B0C67" w:rsidRPr="003B0C67" w:rsidRDefault="003B0C67" w:rsidP="003B0C67">
            <w:r w:rsidRPr="003B0C67">
              <w:t>M.M. a.k.a. M.M.M.</w:t>
            </w:r>
          </w:p>
          <w:p w:rsidR="003B0C67" w:rsidRPr="003B0C67" w:rsidRDefault="003B0C67" w:rsidP="003B0C67"/>
          <w:p w:rsidR="003B0C67" w:rsidRPr="003B0C67" w:rsidRDefault="003B0C67" w:rsidP="003B0C67">
            <w:r w:rsidRPr="003B0C67">
              <w:tab/>
              <w:t>v. (35838)</w:t>
            </w:r>
          </w:p>
          <w:p w:rsidR="003B0C67" w:rsidRPr="003B0C67" w:rsidRDefault="003B0C67" w:rsidP="003B0C67"/>
          <w:p w:rsidR="003B0C67" w:rsidRPr="003B0C67" w:rsidRDefault="003B0C67" w:rsidP="003B0C67">
            <w:pPr>
              <w:rPr>
                <w:lang w:val="fr-CA"/>
              </w:rPr>
            </w:pPr>
            <w:r w:rsidRPr="003B0C67">
              <w:t xml:space="preserve">Minister of Justice Canada on behalf of the United States of America (Crim.) </w:t>
            </w:r>
            <w:r w:rsidRPr="003B0C67">
              <w:rPr>
                <w:lang w:val="fr-CA"/>
              </w:rPr>
              <w:t>(Que.)</w:t>
            </w:r>
          </w:p>
        </w:tc>
        <w:tc>
          <w:tcPr>
            <w:tcW w:w="1170" w:type="dxa"/>
          </w:tcPr>
          <w:p w:rsidR="003B0C67" w:rsidRPr="003B0C67" w:rsidRDefault="003B0C67" w:rsidP="003B0C67">
            <w:pPr>
              <w:rPr>
                <w:lang w:val="fr-CA"/>
              </w:rPr>
            </w:pPr>
          </w:p>
        </w:tc>
        <w:tc>
          <w:tcPr>
            <w:tcW w:w="4327" w:type="dxa"/>
          </w:tcPr>
          <w:p w:rsidR="003B0C67" w:rsidRPr="003B0C67" w:rsidRDefault="003B0C67" w:rsidP="003B0C67">
            <w:pPr>
              <w:rPr>
                <w:lang w:val="fr-CA"/>
              </w:rPr>
            </w:pPr>
          </w:p>
        </w:tc>
      </w:tr>
    </w:tbl>
    <w:p w:rsidR="003B0C67" w:rsidRPr="003B0C67" w:rsidRDefault="003B0C67" w:rsidP="003B0C67">
      <w:pPr>
        <w:tabs>
          <w:tab w:val="left" w:pos="-1440"/>
          <w:tab w:val="left" w:pos="-720"/>
        </w:tabs>
        <w:jc w:val="both"/>
        <w:rPr>
          <w:rFonts w:eastAsia="Times New Roman" w:cs="Times New Roman"/>
          <w:sz w:val="20"/>
          <w:szCs w:val="20"/>
          <w:lang w:val="fr-CA" w:eastAsia="en-CA"/>
        </w:rPr>
      </w:pPr>
    </w:p>
    <w:p w:rsidR="003B0C67" w:rsidRPr="003B0C67" w:rsidRDefault="003B0C67" w:rsidP="003B0C67">
      <w:pPr>
        <w:spacing w:line="233" w:lineRule="auto"/>
        <w:jc w:val="both"/>
        <w:rPr>
          <w:rFonts w:eastAsia="Times New Roman" w:cs="Times New Roman"/>
          <w:sz w:val="20"/>
          <w:szCs w:val="20"/>
          <w:lang w:val="en-US" w:eastAsia="en-CA"/>
        </w:rPr>
      </w:pPr>
      <w:r w:rsidRPr="003B0C67">
        <w:rPr>
          <w:rFonts w:eastAsia="Times New Roman" w:cs="Times New Roman"/>
          <w:b/>
          <w:sz w:val="20"/>
          <w:szCs w:val="20"/>
          <w:lang w:val="en-US" w:eastAsia="en-CA"/>
        </w:rPr>
        <w:t>FURTHER TO THE ORDER</w:t>
      </w:r>
      <w:r w:rsidRPr="003B0C67">
        <w:rPr>
          <w:rFonts w:eastAsia="Times New Roman" w:cs="Times New Roman"/>
          <w:sz w:val="20"/>
          <w:szCs w:val="20"/>
          <w:lang w:val="en-US" w:eastAsia="en-CA"/>
        </w:rPr>
        <w:t xml:space="preserve"> dated February 11, 2015, granting leave to intervene to the Criminal Lawyers’ Association (Ontario) and the British Columbia Civil Liberties Association;</w:t>
      </w:r>
    </w:p>
    <w:p w:rsidR="003B0C67" w:rsidRPr="003B0C67" w:rsidRDefault="003B0C67" w:rsidP="003B0C67">
      <w:pPr>
        <w:spacing w:line="233" w:lineRule="auto"/>
        <w:jc w:val="both"/>
        <w:rPr>
          <w:rFonts w:eastAsia="Times New Roman" w:cs="Times New Roman"/>
          <w:sz w:val="20"/>
          <w:szCs w:val="20"/>
          <w:lang w:val="en-US" w:eastAsia="en-CA"/>
        </w:rPr>
      </w:pPr>
    </w:p>
    <w:p w:rsidR="003B0C67" w:rsidRPr="003B0C67" w:rsidRDefault="003B0C67" w:rsidP="003B0C67">
      <w:pPr>
        <w:spacing w:line="233" w:lineRule="auto"/>
        <w:jc w:val="both"/>
        <w:rPr>
          <w:rFonts w:eastAsia="Times New Roman" w:cs="Times New Roman"/>
          <w:sz w:val="20"/>
          <w:szCs w:val="20"/>
          <w:lang w:val="en-US" w:eastAsia="en-CA"/>
        </w:rPr>
      </w:pPr>
      <w:r w:rsidRPr="003B0C67">
        <w:rPr>
          <w:rFonts w:eastAsia="Times New Roman" w:cs="Times New Roman"/>
          <w:b/>
          <w:bCs/>
          <w:sz w:val="20"/>
          <w:szCs w:val="20"/>
          <w:lang w:val="en-US" w:eastAsia="en-CA"/>
        </w:rPr>
        <w:t xml:space="preserve">IT IS HEREBY FURTHER ORDERED THAT </w:t>
      </w:r>
      <w:r w:rsidRPr="003B0C67">
        <w:rPr>
          <w:rFonts w:eastAsia="Times New Roman" w:cs="Times New Roman"/>
          <w:bCs/>
          <w:sz w:val="20"/>
          <w:szCs w:val="20"/>
          <w:lang w:val="en-US" w:eastAsia="en-CA"/>
        </w:rPr>
        <w:t>the said interveners are each granted permission to present oral argument not exceeding ten (10) minutes at the hearing of the appeal.</w:t>
      </w:r>
    </w:p>
    <w:p w:rsidR="003B0C67" w:rsidRPr="003B0C67" w:rsidRDefault="003B0C67" w:rsidP="003B0C67">
      <w:pPr>
        <w:spacing w:line="233" w:lineRule="auto"/>
        <w:jc w:val="both"/>
        <w:rPr>
          <w:rFonts w:eastAsia="Times New Roman" w:cs="Times New Roman"/>
          <w:sz w:val="20"/>
          <w:szCs w:val="20"/>
          <w:lang w:val="en-US" w:eastAsia="en-CA"/>
        </w:rPr>
      </w:pPr>
    </w:p>
    <w:p w:rsidR="003B0C67" w:rsidRPr="003B0C67" w:rsidRDefault="003B0C67" w:rsidP="003B0C67">
      <w:pPr>
        <w:spacing w:line="233" w:lineRule="auto"/>
        <w:jc w:val="both"/>
        <w:rPr>
          <w:rFonts w:eastAsia="Times New Roman" w:cs="Times New Roman"/>
          <w:sz w:val="20"/>
          <w:szCs w:val="20"/>
          <w:lang w:val="en-US" w:eastAsia="en-CA"/>
        </w:rPr>
      </w:pPr>
    </w:p>
    <w:p w:rsidR="003B0C67" w:rsidRPr="003B0C67" w:rsidRDefault="003B0C67" w:rsidP="003B0C67">
      <w:pPr>
        <w:spacing w:line="233" w:lineRule="auto"/>
        <w:jc w:val="both"/>
        <w:rPr>
          <w:rFonts w:eastAsia="Times New Roman" w:cs="Times New Roman"/>
          <w:sz w:val="20"/>
          <w:szCs w:val="20"/>
          <w:lang w:val="en-US" w:eastAsia="en-CA"/>
        </w:rPr>
      </w:pPr>
    </w:p>
    <w:p w:rsidR="003B0C67" w:rsidRPr="003B0C67" w:rsidRDefault="003B0C67" w:rsidP="003B0C67">
      <w:pPr>
        <w:spacing w:line="233" w:lineRule="auto"/>
        <w:jc w:val="both"/>
        <w:rPr>
          <w:rFonts w:eastAsia="Times New Roman" w:cs="Times New Roman"/>
          <w:sz w:val="20"/>
          <w:szCs w:val="20"/>
          <w:lang w:val="fr-CA" w:eastAsia="en-CA"/>
        </w:rPr>
      </w:pPr>
      <w:r w:rsidRPr="003B0C67">
        <w:rPr>
          <w:rFonts w:eastAsia="Times New Roman" w:cs="Times New Roman"/>
          <w:b/>
          <w:sz w:val="20"/>
          <w:szCs w:val="20"/>
          <w:lang w:val="fr-CA" w:eastAsia="en-CA"/>
        </w:rPr>
        <w:t>À LA SUITE DE L’ORDONNANCE</w:t>
      </w:r>
      <w:r w:rsidRPr="003B0C67">
        <w:rPr>
          <w:rFonts w:eastAsia="Times New Roman" w:cs="Times New Roman"/>
          <w:sz w:val="20"/>
          <w:szCs w:val="20"/>
          <w:lang w:val="fr-CA" w:eastAsia="en-CA"/>
        </w:rPr>
        <w:t xml:space="preserve"> datée du 11 février 2015 autorisant la Criminal Lawyers’ Association (Ontario) et l’Association des libertés civiles de la Colombie-Britannique à intervenir;</w:t>
      </w:r>
    </w:p>
    <w:p w:rsidR="003B0C67" w:rsidRPr="003B0C67" w:rsidRDefault="003B0C67" w:rsidP="003B0C67">
      <w:pPr>
        <w:spacing w:line="233" w:lineRule="auto"/>
        <w:jc w:val="both"/>
        <w:rPr>
          <w:rFonts w:eastAsia="Times New Roman" w:cs="Times New Roman"/>
          <w:sz w:val="20"/>
          <w:szCs w:val="20"/>
          <w:lang w:val="fr-CA" w:eastAsia="en-CA"/>
        </w:rPr>
      </w:pPr>
    </w:p>
    <w:p w:rsidR="003B0C67" w:rsidRPr="003B0C67" w:rsidRDefault="003B0C67" w:rsidP="003B0C67">
      <w:pPr>
        <w:spacing w:line="233" w:lineRule="auto"/>
        <w:jc w:val="both"/>
        <w:rPr>
          <w:rFonts w:eastAsia="Times New Roman" w:cs="Times New Roman"/>
          <w:sz w:val="20"/>
          <w:szCs w:val="20"/>
          <w:lang w:val="fr-CA" w:eastAsia="en-CA"/>
        </w:rPr>
      </w:pPr>
      <w:r w:rsidRPr="003B0C67">
        <w:rPr>
          <w:rFonts w:eastAsia="Times New Roman" w:cs="Times New Roman"/>
          <w:b/>
          <w:sz w:val="20"/>
          <w:szCs w:val="20"/>
          <w:lang w:val="fr-CA" w:eastAsia="en-CA"/>
        </w:rPr>
        <w:t>IL EST EN OUTRE ORDONNÉ CE QUI SUIT :</w:t>
      </w:r>
      <w:r w:rsidRPr="003B0C67">
        <w:rPr>
          <w:rFonts w:eastAsia="Times New Roman" w:cs="Times New Roman"/>
          <w:sz w:val="20"/>
          <w:szCs w:val="20"/>
          <w:lang w:val="fr-CA" w:eastAsia="en-CA"/>
        </w:rPr>
        <w:t xml:space="preserve"> lesdits intervenants sont autorisés à présenter chacun une plaidoirie orale d’au plus dix (10) minutes lors de l’audition de l’appel.</w:t>
      </w:r>
    </w:p>
    <w:p w:rsidR="003B0C67" w:rsidRPr="003B0C67" w:rsidRDefault="003B0C67" w:rsidP="003B0C67">
      <w:pPr>
        <w:spacing w:line="233" w:lineRule="auto"/>
        <w:rPr>
          <w:rFonts w:eastAsia="Times New Roman" w:cs="Times New Roman"/>
          <w:sz w:val="20"/>
          <w:szCs w:val="20"/>
          <w:lang w:val="fr-CA" w:eastAsia="en-CA"/>
        </w:rPr>
      </w:pPr>
    </w:p>
    <w:p w:rsidR="003B0C67" w:rsidRPr="003B0C67" w:rsidRDefault="00742BC3" w:rsidP="003B0C6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3B0C67" w:rsidRPr="003B0C67" w:rsidRDefault="003B0C67" w:rsidP="003B0C67">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F111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F1118" w:rsidRDefault="008E5555" w:rsidP="0052229C">
      <w:pPr>
        <w:rPr>
          <w:b/>
          <w:sz w:val="20"/>
          <w:szCs w:val="20"/>
          <w:lang w:val="en-US"/>
        </w:rPr>
      </w:pPr>
      <w:r w:rsidRPr="00CF1118">
        <w:rPr>
          <w:b/>
          <w:sz w:val="20"/>
          <w:szCs w:val="20"/>
          <w:lang w:val="en-US"/>
        </w:rPr>
        <w:t>MARCH</w:t>
      </w:r>
      <w:r w:rsidR="0052229C" w:rsidRPr="00CF1118">
        <w:rPr>
          <w:b/>
          <w:sz w:val="20"/>
          <w:szCs w:val="20"/>
          <w:lang w:val="en-US"/>
        </w:rPr>
        <w:t xml:space="preserve"> 1</w:t>
      </w:r>
      <w:r w:rsidRPr="00CF1118">
        <w:rPr>
          <w:b/>
          <w:sz w:val="20"/>
          <w:szCs w:val="20"/>
          <w:lang w:val="en-US"/>
        </w:rPr>
        <w:t>3</w:t>
      </w:r>
      <w:r w:rsidR="0052229C" w:rsidRPr="00CF1118">
        <w:rPr>
          <w:b/>
          <w:sz w:val="20"/>
          <w:szCs w:val="20"/>
          <w:lang w:val="en-US"/>
        </w:rPr>
        <w:t>, 201</w:t>
      </w:r>
      <w:r w:rsidRPr="00CF1118">
        <w:rPr>
          <w:b/>
          <w:sz w:val="20"/>
          <w:szCs w:val="20"/>
          <w:lang w:val="en-US"/>
        </w:rPr>
        <w:t>5</w:t>
      </w:r>
      <w:r w:rsidR="0052229C" w:rsidRPr="00CF1118">
        <w:rPr>
          <w:b/>
          <w:sz w:val="20"/>
          <w:szCs w:val="20"/>
          <w:lang w:val="en-US"/>
        </w:rPr>
        <w:t xml:space="preserve"> / LE 1</w:t>
      </w:r>
      <w:r w:rsidRPr="00CF1118">
        <w:rPr>
          <w:b/>
          <w:sz w:val="20"/>
          <w:szCs w:val="20"/>
          <w:lang w:val="en-US"/>
        </w:rPr>
        <w:t>3</w:t>
      </w:r>
      <w:r w:rsidR="0052229C" w:rsidRPr="00CF1118">
        <w:rPr>
          <w:b/>
          <w:sz w:val="20"/>
          <w:szCs w:val="20"/>
          <w:lang w:val="en-US"/>
        </w:rPr>
        <w:t xml:space="preserve"> </w:t>
      </w:r>
      <w:r w:rsidRPr="00CF1118">
        <w:rPr>
          <w:b/>
          <w:sz w:val="20"/>
          <w:szCs w:val="20"/>
          <w:lang w:val="en-US"/>
        </w:rPr>
        <w:t>M</w:t>
      </w:r>
      <w:r w:rsidR="0052229C" w:rsidRPr="00CF1118">
        <w:rPr>
          <w:b/>
          <w:sz w:val="20"/>
          <w:szCs w:val="20"/>
          <w:lang w:val="en-US"/>
        </w:rPr>
        <w:t>AR</w:t>
      </w:r>
      <w:r w:rsidRPr="00CF1118">
        <w:rPr>
          <w:b/>
          <w:sz w:val="20"/>
          <w:szCs w:val="20"/>
          <w:lang w:val="en-US"/>
        </w:rPr>
        <w:t>S</w:t>
      </w:r>
      <w:r w:rsidR="0052229C" w:rsidRPr="00CF1118">
        <w:rPr>
          <w:b/>
          <w:sz w:val="20"/>
          <w:szCs w:val="20"/>
          <w:lang w:val="en-US"/>
        </w:rPr>
        <w:t xml:space="preserve"> 201</w:t>
      </w:r>
      <w:r w:rsidRPr="00CF1118">
        <w:rPr>
          <w:b/>
          <w:sz w:val="20"/>
          <w:szCs w:val="20"/>
          <w:lang w:val="en-US"/>
        </w:rPr>
        <w:t>5</w:t>
      </w:r>
    </w:p>
    <w:p w:rsidR="0052229C" w:rsidRPr="00CF1118" w:rsidRDefault="0052229C" w:rsidP="0052229C">
      <w:pPr>
        <w:rPr>
          <w:sz w:val="20"/>
          <w:szCs w:val="20"/>
          <w:lang w:val="en-US"/>
        </w:rPr>
      </w:pPr>
    </w:p>
    <w:p w:rsidR="00055CDF" w:rsidRPr="00851490" w:rsidRDefault="000A5A7E" w:rsidP="00055CDF">
      <w:pPr>
        <w:ind w:left="1440" w:hanging="1440"/>
        <w:jc w:val="both"/>
        <w:rPr>
          <w:sz w:val="20"/>
          <w:szCs w:val="20"/>
        </w:rPr>
      </w:pPr>
      <w:r w:rsidRPr="00851490">
        <w:rPr>
          <w:b/>
          <w:sz w:val="20"/>
          <w:szCs w:val="20"/>
        </w:rPr>
        <w:fldChar w:fldCharType="begin"/>
      </w:r>
      <w:r w:rsidR="00055CDF" w:rsidRPr="00851490">
        <w:rPr>
          <w:b/>
          <w:sz w:val="20"/>
          <w:szCs w:val="20"/>
        </w:rPr>
        <w:instrText xml:space="preserve"> SEQ CHAPTER \h \r 1</w:instrText>
      </w:r>
      <w:r w:rsidRPr="00851490">
        <w:rPr>
          <w:b/>
          <w:sz w:val="20"/>
          <w:szCs w:val="20"/>
        </w:rPr>
        <w:fldChar w:fldCharType="end"/>
      </w:r>
      <w:r w:rsidR="00055CDF" w:rsidRPr="00851490">
        <w:rPr>
          <w:b/>
          <w:sz w:val="20"/>
          <w:szCs w:val="20"/>
        </w:rPr>
        <w:t>35669</w:t>
      </w:r>
      <w:r w:rsidR="00055CDF" w:rsidRPr="00851490">
        <w:rPr>
          <w:sz w:val="20"/>
          <w:szCs w:val="20"/>
        </w:rPr>
        <w:tab/>
      </w:r>
      <w:r w:rsidR="00055CDF" w:rsidRPr="00851490">
        <w:rPr>
          <w:b/>
          <w:sz w:val="20"/>
          <w:szCs w:val="20"/>
          <w:u w:val="single"/>
        </w:rPr>
        <w:t>Her Majesty The Queen v. Nahoor Araya</w:t>
      </w:r>
      <w:r w:rsidR="00055CDF" w:rsidRPr="00851490">
        <w:rPr>
          <w:b/>
          <w:sz w:val="20"/>
          <w:szCs w:val="20"/>
        </w:rPr>
        <w:t xml:space="preserve"> </w:t>
      </w:r>
      <w:r w:rsidR="00055CDF" w:rsidRPr="00851490">
        <w:rPr>
          <w:sz w:val="20"/>
          <w:szCs w:val="20"/>
        </w:rPr>
        <w:t>(Ont.)</w:t>
      </w:r>
    </w:p>
    <w:p w:rsidR="00055CDF" w:rsidRPr="00851490" w:rsidRDefault="00055CDF" w:rsidP="00055CDF">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851490">
        <w:rPr>
          <w:b/>
          <w:sz w:val="20"/>
          <w:szCs w:val="20"/>
        </w:rPr>
        <w:t>2015 SCC 11 / 2015 CSC 11</w:t>
      </w:r>
    </w:p>
    <w:p w:rsidR="00055CDF" w:rsidRPr="00851490" w:rsidRDefault="00055CDF" w:rsidP="00055CDF">
      <w:pPr>
        <w:ind w:left="1440" w:hanging="1440"/>
        <w:rPr>
          <w:sz w:val="20"/>
          <w:szCs w:val="20"/>
        </w:rPr>
      </w:pPr>
    </w:p>
    <w:p w:rsidR="00055CDF" w:rsidRPr="00851490" w:rsidRDefault="00055CDF" w:rsidP="00055CDF">
      <w:pPr>
        <w:ind w:left="1440" w:hanging="1440"/>
        <w:rPr>
          <w:sz w:val="20"/>
          <w:szCs w:val="20"/>
          <w:u w:val="single"/>
        </w:rPr>
      </w:pPr>
      <w:r w:rsidRPr="00851490">
        <w:rPr>
          <w:sz w:val="20"/>
          <w:szCs w:val="20"/>
        </w:rPr>
        <w:t>Coram:</w:t>
      </w:r>
      <w:r w:rsidRPr="00851490">
        <w:rPr>
          <w:sz w:val="20"/>
          <w:szCs w:val="20"/>
        </w:rPr>
        <w:tab/>
      </w:r>
      <w:r w:rsidRPr="00851490">
        <w:rPr>
          <w:sz w:val="20"/>
          <w:szCs w:val="20"/>
          <w:u w:val="single"/>
        </w:rPr>
        <w:t>McLachlin C.J. and Rothstein, Cromwell, Moldaver and Karakatsanis JJ.</w:t>
      </w:r>
    </w:p>
    <w:p w:rsidR="00055CDF" w:rsidRPr="00851490" w:rsidRDefault="00055CDF" w:rsidP="00055CDF">
      <w:pPr>
        <w:jc w:val="both"/>
        <w:rPr>
          <w:sz w:val="20"/>
          <w:szCs w:val="20"/>
        </w:rPr>
      </w:pPr>
    </w:p>
    <w:p w:rsidR="00055CDF" w:rsidRPr="00851490" w:rsidRDefault="00055CDF" w:rsidP="00055CDF">
      <w:pPr>
        <w:jc w:val="both"/>
        <w:rPr>
          <w:rFonts w:eastAsia="Calibri"/>
          <w:sz w:val="20"/>
          <w:szCs w:val="20"/>
        </w:rPr>
      </w:pPr>
      <w:r w:rsidRPr="00851490">
        <w:rPr>
          <w:rFonts w:eastAsia="Calibri"/>
          <w:sz w:val="20"/>
          <w:szCs w:val="20"/>
        </w:rPr>
        <w:t xml:space="preserve">The appeal from the judgment </w:t>
      </w:r>
      <w:bookmarkStart w:id="2" w:name="BM_1_"/>
      <w:bookmarkEnd w:id="2"/>
      <w:r w:rsidRPr="00851490">
        <w:rPr>
          <w:rFonts w:eastAsia="Calibri"/>
          <w:sz w:val="20"/>
          <w:szCs w:val="20"/>
        </w:rPr>
        <w:t>of the Court of Appeal for Ontario, Number C54733, 2013 ONCA 734, dated December 5, 2013, heard on October 17, 2014, is allowed. The respondent’s conviction for manslaughter is restored and the matter is remanded to the Ontario Court of Appeal for consideration of the sentencing appeal.</w:t>
      </w:r>
    </w:p>
    <w:p w:rsidR="00055CDF" w:rsidRPr="00851490" w:rsidRDefault="00055CDF" w:rsidP="00055CDF">
      <w:pPr>
        <w:jc w:val="both"/>
        <w:rPr>
          <w:rFonts w:eastAsia="Calibri"/>
          <w:sz w:val="20"/>
          <w:szCs w:val="20"/>
        </w:rPr>
      </w:pPr>
    </w:p>
    <w:p w:rsidR="00055CDF" w:rsidRPr="00851490" w:rsidRDefault="00055CDF" w:rsidP="00055CDF">
      <w:pPr>
        <w:jc w:val="both"/>
        <w:rPr>
          <w:rFonts w:eastAsia="Calibri"/>
          <w:sz w:val="20"/>
          <w:szCs w:val="20"/>
          <w:lang w:val="fr-CA"/>
        </w:rPr>
      </w:pPr>
      <w:r w:rsidRPr="00851490">
        <w:rPr>
          <w:rFonts w:eastAsia="Calibri"/>
          <w:sz w:val="20"/>
          <w:szCs w:val="20"/>
          <w:lang w:val="fr-CA"/>
        </w:rPr>
        <w:t>L’appel interjeté contre l’arrêt de la Cour d’appel de l’Ontario, numéro C54733, 2013 ONCA 734, en date du 5 décembre 2013, entendu le 17 octobre 2014, est accueilli. La déclaration de culpabilité d’homicide involontaire coupable prononcée contre l’intimé est rétablie et le dossier est renvoyé à la Cour d’appel de l’Ontario pour qu’elle statue sur l’appel de la peine.</w:t>
      </w:r>
    </w:p>
    <w:p w:rsidR="008E5555" w:rsidRDefault="008E5555" w:rsidP="0052229C">
      <w:pPr>
        <w:rPr>
          <w:sz w:val="20"/>
          <w:szCs w:val="20"/>
          <w:lang w:val="fr-CA"/>
        </w:rPr>
      </w:pPr>
    </w:p>
    <w:p w:rsidR="00D004FC" w:rsidRDefault="00742BC3" w:rsidP="00D004FC">
      <w:pPr>
        <w:jc w:val="both"/>
        <w:rPr>
          <w:rFonts w:cs="Times New Roman"/>
          <w:b/>
          <w:sz w:val="20"/>
          <w:szCs w:val="20"/>
        </w:rPr>
      </w:pPr>
      <w:r>
        <w:rPr>
          <w:rFonts w:cs="Times New Roman"/>
          <w:b/>
          <w:sz w:val="20"/>
          <w:szCs w:val="20"/>
        </w:rPr>
        <w:pict>
          <v:rect id="_x0000_i106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EE086E" w:rsidRPr="00B859FB" w:rsidRDefault="00EE086E" w:rsidP="00EE086E">
      <w:pPr>
        <w:widowControl w:val="0"/>
        <w:autoSpaceDE w:val="0"/>
        <w:autoSpaceDN w:val="0"/>
        <w:adjustRightInd w:val="0"/>
        <w:rPr>
          <w:i/>
          <w:sz w:val="20"/>
          <w:szCs w:val="20"/>
        </w:rPr>
      </w:pPr>
      <w:r w:rsidRPr="00B859FB">
        <w:rPr>
          <w:i/>
          <w:sz w:val="20"/>
          <w:szCs w:val="20"/>
        </w:rPr>
        <w:t>Her Majesty the Queen v. Nahoor Araya</w:t>
      </w:r>
      <w:r w:rsidRPr="00B859FB">
        <w:rPr>
          <w:sz w:val="20"/>
          <w:szCs w:val="20"/>
        </w:rPr>
        <w:t xml:space="preserve"> (Ont.) (</w:t>
      </w:r>
      <w:hyperlink r:id="rId75" w:history="1">
        <w:r w:rsidRPr="00B859FB">
          <w:rPr>
            <w:rStyle w:val="Hyperlink"/>
            <w:sz w:val="20"/>
            <w:szCs w:val="20"/>
          </w:rPr>
          <w:t>35669</w:t>
        </w:r>
      </w:hyperlink>
      <w:r w:rsidRPr="00B859FB">
        <w:rPr>
          <w:sz w:val="20"/>
          <w:szCs w:val="20"/>
        </w:rPr>
        <w:t>)</w:t>
      </w:r>
    </w:p>
    <w:p w:rsidR="00AD7AC6" w:rsidRPr="00334E4E" w:rsidRDefault="00AD7AC6" w:rsidP="00AD7AC6">
      <w:pPr>
        <w:jc w:val="both"/>
        <w:rPr>
          <w:b/>
          <w:sz w:val="20"/>
          <w:szCs w:val="20"/>
        </w:rPr>
      </w:pPr>
      <w:r w:rsidRPr="004C646F">
        <w:rPr>
          <w:b/>
          <w:sz w:val="20"/>
          <w:szCs w:val="20"/>
        </w:rPr>
        <w:t xml:space="preserve">Indexed as: R. </w:t>
      </w:r>
      <w:r w:rsidRPr="004C646F">
        <w:rPr>
          <w:b/>
          <w:i/>
          <w:sz w:val="20"/>
          <w:szCs w:val="20"/>
        </w:rPr>
        <w:t>v.</w:t>
      </w:r>
      <w:r w:rsidRPr="004C646F">
        <w:rPr>
          <w:b/>
          <w:sz w:val="20"/>
          <w:szCs w:val="20"/>
        </w:rPr>
        <w:t xml:space="preserve"> Araya</w:t>
      </w:r>
      <w:r>
        <w:rPr>
          <w:b/>
          <w:sz w:val="20"/>
          <w:szCs w:val="20"/>
        </w:rPr>
        <w:t xml:space="preserve"> / </w:t>
      </w:r>
      <w:r w:rsidRPr="00334E4E">
        <w:rPr>
          <w:b/>
          <w:sz w:val="20"/>
          <w:szCs w:val="20"/>
        </w:rPr>
        <w:t>Répertorié : </w:t>
      </w:r>
      <w:r w:rsidRPr="00334E4E">
        <w:rPr>
          <w:rStyle w:val="SCCAppellantForIndexChar"/>
          <w:rFonts w:eastAsiaTheme="minorHAnsi"/>
          <w:sz w:val="20"/>
          <w:lang w:val="en-CA"/>
        </w:rPr>
        <w:t>R.</w:t>
      </w:r>
      <w:r w:rsidRPr="00334E4E">
        <w:rPr>
          <w:b/>
          <w:sz w:val="20"/>
          <w:szCs w:val="20"/>
        </w:rPr>
        <w:t xml:space="preserve"> </w:t>
      </w:r>
      <w:r w:rsidRPr="00334E4E">
        <w:rPr>
          <w:b/>
          <w:i/>
          <w:sz w:val="20"/>
          <w:szCs w:val="20"/>
        </w:rPr>
        <w:t>c.</w:t>
      </w:r>
      <w:r w:rsidRPr="00334E4E">
        <w:rPr>
          <w:b/>
          <w:sz w:val="20"/>
          <w:szCs w:val="20"/>
        </w:rPr>
        <w:t xml:space="preserve"> </w:t>
      </w:r>
      <w:r w:rsidRPr="00334E4E">
        <w:rPr>
          <w:rStyle w:val="SCCRespondentForIndexChar"/>
          <w:rFonts w:eastAsiaTheme="minorHAnsi"/>
          <w:sz w:val="20"/>
        </w:rPr>
        <w:t>Araya</w:t>
      </w:r>
    </w:p>
    <w:p w:rsidR="0052229C" w:rsidRPr="00FA3373" w:rsidRDefault="0052229C" w:rsidP="0052229C">
      <w:pPr>
        <w:pStyle w:val="SCCSystemYear"/>
        <w:jc w:val="both"/>
        <w:rPr>
          <w:sz w:val="20"/>
          <w:lang w:val="en-CA"/>
        </w:rPr>
      </w:pPr>
      <w:r w:rsidRPr="00FA3373">
        <w:rPr>
          <w:sz w:val="20"/>
          <w:lang w:val="en-CA"/>
        </w:rPr>
        <w:t>Neutral citation:  201</w:t>
      </w:r>
      <w:r w:rsidR="00020DC3" w:rsidRPr="00FA3373">
        <w:rPr>
          <w:sz w:val="20"/>
          <w:lang w:val="en-CA"/>
        </w:rPr>
        <w:t>5</w:t>
      </w:r>
      <w:r w:rsidRPr="00FA3373">
        <w:rPr>
          <w:sz w:val="20"/>
          <w:lang w:val="en-CA"/>
        </w:rPr>
        <w:t xml:space="preserve"> SCC 1</w:t>
      </w:r>
      <w:r w:rsidR="00EE086E">
        <w:rPr>
          <w:sz w:val="20"/>
          <w:lang w:val="en-CA"/>
        </w:rPr>
        <w:t>1</w:t>
      </w:r>
      <w:r w:rsidRPr="00FA3373">
        <w:rPr>
          <w:sz w:val="20"/>
          <w:lang w:val="en-CA"/>
        </w:rPr>
        <w:t xml:space="preserve"> / Référence neutre : 201</w:t>
      </w:r>
      <w:r w:rsidR="00020DC3" w:rsidRPr="00FA3373">
        <w:rPr>
          <w:sz w:val="20"/>
          <w:lang w:val="en-CA"/>
        </w:rPr>
        <w:t>5</w:t>
      </w:r>
      <w:r w:rsidRPr="00FA3373">
        <w:rPr>
          <w:sz w:val="20"/>
          <w:lang w:val="en-CA"/>
        </w:rPr>
        <w:t xml:space="preserve"> CSC 1</w:t>
      </w:r>
      <w:r w:rsidR="00EE086E">
        <w:rPr>
          <w:sz w:val="20"/>
          <w:lang w:val="en-CA"/>
        </w:rPr>
        <w:t>1</w:t>
      </w:r>
    </w:p>
    <w:p w:rsidR="0052229C" w:rsidRPr="00334E4E" w:rsidRDefault="0052229C" w:rsidP="0052229C">
      <w:pPr>
        <w:rPr>
          <w:rFonts w:cs="Times New Roman"/>
          <w:sz w:val="20"/>
          <w:szCs w:val="20"/>
        </w:rPr>
      </w:pPr>
      <w:r w:rsidRPr="00334E4E">
        <w:rPr>
          <w:rFonts w:cs="Times New Roman"/>
          <w:sz w:val="20"/>
          <w:szCs w:val="20"/>
        </w:rPr>
        <w:t xml:space="preserve">Hearing:  </w:t>
      </w:r>
      <w:r w:rsidR="00AD7AC6" w:rsidRPr="00334E4E">
        <w:rPr>
          <w:rFonts w:cs="Times New Roman"/>
          <w:sz w:val="20"/>
          <w:szCs w:val="20"/>
        </w:rPr>
        <w:t>October</w:t>
      </w:r>
      <w:r w:rsidRPr="00334E4E">
        <w:rPr>
          <w:rFonts w:cs="Times New Roman"/>
          <w:sz w:val="20"/>
          <w:szCs w:val="20"/>
        </w:rPr>
        <w:t xml:space="preserve"> </w:t>
      </w:r>
      <w:r w:rsidR="00AD7AC6" w:rsidRPr="00334E4E">
        <w:rPr>
          <w:rFonts w:cs="Times New Roman"/>
          <w:sz w:val="20"/>
          <w:szCs w:val="20"/>
        </w:rPr>
        <w:t>17</w:t>
      </w:r>
      <w:r w:rsidRPr="00334E4E">
        <w:rPr>
          <w:rFonts w:cs="Times New Roman"/>
          <w:sz w:val="20"/>
          <w:szCs w:val="20"/>
        </w:rPr>
        <w:t>, 201</w:t>
      </w:r>
      <w:r w:rsidR="00020DC3" w:rsidRPr="00334E4E">
        <w:rPr>
          <w:rFonts w:cs="Times New Roman"/>
          <w:sz w:val="20"/>
          <w:szCs w:val="20"/>
        </w:rPr>
        <w:t>4</w:t>
      </w:r>
      <w:r w:rsidRPr="00334E4E">
        <w:rPr>
          <w:rFonts w:cs="Times New Roman"/>
          <w:sz w:val="20"/>
          <w:szCs w:val="20"/>
        </w:rPr>
        <w:t xml:space="preserve"> / Judgment:  </w:t>
      </w:r>
      <w:r w:rsidR="00EE086E" w:rsidRPr="00334E4E">
        <w:rPr>
          <w:rFonts w:cs="Times New Roman"/>
          <w:sz w:val="20"/>
          <w:szCs w:val="20"/>
        </w:rPr>
        <w:t>M</w:t>
      </w:r>
      <w:r w:rsidRPr="00334E4E">
        <w:rPr>
          <w:rFonts w:cs="Times New Roman"/>
          <w:sz w:val="20"/>
          <w:szCs w:val="20"/>
        </w:rPr>
        <w:t>ar</w:t>
      </w:r>
      <w:r w:rsidR="00EE086E" w:rsidRPr="00334E4E">
        <w:rPr>
          <w:rFonts w:cs="Times New Roman"/>
          <w:sz w:val="20"/>
          <w:szCs w:val="20"/>
        </w:rPr>
        <w:t>ch</w:t>
      </w:r>
      <w:r w:rsidRPr="00334E4E">
        <w:rPr>
          <w:rFonts w:cs="Times New Roman"/>
          <w:sz w:val="20"/>
          <w:szCs w:val="20"/>
        </w:rPr>
        <w:t xml:space="preserve"> 1</w:t>
      </w:r>
      <w:r w:rsidR="00EE086E" w:rsidRPr="00334E4E">
        <w:rPr>
          <w:rFonts w:cs="Times New Roman"/>
          <w:sz w:val="20"/>
          <w:szCs w:val="20"/>
        </w:rPr>
        <w:t>3</w:t>
      </w:r>
      <w:r w:rsidRPr="00334E4E">
        <w:rPr>
          <w:rFonts w:cs="Times New Roman"/>
          <w:sz w:val="20"/>
          <w:szCs w:val="20"/>
        </w:rPr>
        <w:t>, 201</w:t>
      </w:r>
      <w:r w:rsidR="00020DC3" w:rsidRPr="00334E4E">
        <w:rPr>
          <w:rFonts w:cs="Times New Roman"/>
          <w:sz w:val="20"/>
          <w:szCs w:val="20"/>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AD7AC6">
        <w:rPr>
          <w:rFonts w:cs="Times New Roman"/>
          <w:sz w:val="20"/>
          <w:szCs w:val="20"/>
          <w:lang w:val="fr-CA"/>
        </w:rPr>
        <w:t>17</w:t>
      </w:r>
      <w:r w:rsidRPr="003B3977">
        <w:rPr>
          <w:rFonts w:cs="Times New Roman"/>
          <w:sz w:val="20"/>
          <w:szCs w:val="20"/>
          <w:lang w:val="fr-CA"/>
        </w:rPr>
        <w:t xml:space="preserve"> </w:t>
      </w:r>
      <w:r w:rsidR="00AD7AC6">
        <w:rPr>
          <w:rFonts w:cs="Times New Roman"/>
          <w:sz w:val="20"/>
          <w:szCs w:val="20"/>
          <w:lang w:val="fr-CA"/>
        </w:rPr>
        <w:t>octob</w:t>
      </w:r>
      <w:r w:rsidRPr="003B3977">
        <w:rPr>
          <w:rFonts w:cs="Times New Roman"/>
          <w:sz w:val="20"/>
          <w:szCs w:val="20"/>
          <w:lang w:val="fr-CA"/>
        </w:rPr>
        <w:t>r</w:t>
      </w:r>
      <w:r w:rsidR="00AD7AC6">
        <w:rPr>
          <w:rFonts w:cs="Times New Roman"/>
          <w:sz w:val="20"/>
          <w:szCs w:val="20"/>
          <w:lang w:val="fr-CA"/>
        </w:rPr>
        <w:t>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EE086E">
        <w:rPr>
          <w:rFonts w:cs="Times New Roman"/>
          <w:sz w:val="20"/>
          <w:szCs w:val="20"/>
          <w:lang w:val="fr-CA"/>
        </w:rPr>
        <w:t>3</w:t>
      </w:r>
      <w:r>
        <w:rPr>
          <w:rFonts w:cs="Times New Roman"/>
          <w:sz w:val="20"/>
          <w:szCs w:val="20"/>
          <w:lang w:val="fr-CA"/>
        </w:rPr>
        <w:t xml:space="preserve"> </w:t>
      </w:r>
      <w:r w:rsidR="00EE086E">
        <w:rPr>
          <w:rFonts w:cs="Times New Roman"/>
          <w:sz w:val="20"/>
          <w:szCs w:val="20"/>
          <w:lang w:val="fr-CA"/>
        </w:rPr>
        <w:t>ma</w:t>
      </w:r>
      <w:r>
        <w:rPr>
          <w:rFonts w:cs="Times New Roman"/>
          <w:sz w:val="20"/>
          <w:szCs w:val="20"/>
          <w:lang w:val="fr-CA"/>
        </w:rPr>
        <w:t>r</w:t>
      </w:r>
      <w:r w:rsidR="00EE086E">
        <w:rPr>
          <w:rFonts w:cs="Times New Roman"/>
          <w:sz w:val="20"/>
          <w:szCs w:val="20"/>
          <w:lang w:val="fr-CA"/>
        </w:rPr>
        <w:t xml:space="preserve">s </w:t>
      </w:r>
      <w:r w:rsidRPr="003B3977">
        <w:rPr>
          <w:rFonts w:cs="Times New Roman"/>
          <w:sz w:val="20"/>
          <w:szCs w:val="20"/>
          <w:lang w:val="fr-CA"/>
        </w:rPr>
        <w:t>201</w:t>
      </w:r>
      <w:r w:rsidR="00020DC3">
        <w:rPr>
          <w:rFonts w:cs="Times New Roman"/>
          <w:sz w:val="20"/>
          <w:szCs w:val="20"/>
          <w:lang w:val="fr-CA"/>
        </w:rPr>
        <w:t>5</w:t>
      </w:r>
    </w:p>
    <w:p w:rsidR="005C6840" w:rsidRPr="003B3977" w:rsidRDefault="00742BC3" w:rsidP="005C6840">
      <w:pPr>
        <w:rPr>
          <w:rFonts w:cs="Times New Roman"/>
          <w:sz w:val="20"/>
          <w:szCs w:val="20"/>
          <w:lang w:val="fr-CA"/>
        </w:rPr>
      </w:pPr>
      <w:r>
        <w:rPr>
          <w:rFonts w:cs="Times New Roman"/>
          <w:i/>
          <w:sz w:val="20"/>
          <w:szCs w:val="20"/>
        </w:rPr>
        <w:pict>
          <v:rect id="_x0000_i106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D7AC6" w:rsidRPr="004C646F" w:rsidRDefault="00AD7AC6" w:rsidP="00AD7AC6">
      <w:pPr>
        <w:jc w:val="both"/>
        <w:rPr>
          <w:sz w:val="20"/>
          <w:szCs w:val="20"/>
        </w:rPr>
      </w:pPr>
      <w:r w:rsidRPr="004C646F">
        <w:rPr>
          <w:sz w:val="20"/>
          <w:szCs w:val="20"/>
        </w:rPr>
        <w:t>Present: McLachlin C.J. and Rothstein, Cromwell, Moldaver and Karakatsanis JJ.</w:t>
      </w:r>
    </w:p>
    <w:p w:rsidR="00AD7AC6" w:rsidRDefault="00AD7AC6" w:rsidP="00AD7AC6">
      <w:pPr>
        <w:pStyle w:val="SCCNormalDoubleSpacing"/>
        <w:spacing w:line="240" w:lineRule="auto"/>
        <w:rPr>
          <w:sz w:val="20"/>
        </w:rPr>
      </w:pPr>
    </w:p>
    <w:p w:rsidR="00AD7AC6" w:rsidRPr="004C646F" w:rsidRDefault="00AD7AC6" w:rsidP="00AD7AC6">
      <w:pPr>
        <w:pStyle w:val="SCCNormalDoubleSpacing"/>
        <w:spacing w:line="240" w:lineRule="auto"/>
        <w:rPr>
          <w:sz w:val="20"/>
        </w:rPr>
      </w:pPr>
      <w:r w:rsidRPr="004C646F">
        <w:rPr>
          <w:sz w:val="20"/>
        </w:rPr>
        <w:tab/>
      </w:r>
      <w:r w:rsidRPr="004C646F">
        <w:rPr>
          <w:i/>
          <w:sz w:val="20"/>
        </w:rPr>
        <w:t>Criminal law — Charge to jury — Evidence — Admissibility — Limiting instructions — Characterization of witness’s testimony — Accused convicted of manslaughter — Accused’s appearance changing between time of offence and time of trial — Whether photographs of accused taken days after offence admissible — Whether trial judge’s instructions to jury on use it could make of photographs of accused insufficient — Whether trial judge erred in jury instructions by referring to witness’s account of conversation with accused as confession.</w:t>
      </w:r>
    </w:p>
    <w:p w:rsidR="00AD7AC6" w:rsidRDefault="00AD7AC6" w:rsidP="00AD7AC6">
      <w:pPr>
        <w:pStyle w:val="SCCNormalDoubleSpacing"/>
        <w:spacing w:line="240" w:lineRule="auto"/>
        <w:rPr>
          <w:sz w:val="20"/>
        </w:rPr>
      </w:pPr>
    </w:p>
    <w:p w:rsidR="00AD7AC6" w:rsidRPr="004C646F" w:rsidRDefault="00AD7AC6" w:rsidP="00AD7AC6">
      <w:pPr>
        <w:pStyle w:val="SCCNormalDoubleSpacing"/>
        <w:spacing w:line="240" w:lineRule="auto"/>
        <w:rPr>
          <w:sz w:val="20"/>
        </w:rPr>
      </w:pPr>
      <w:r w:rsidRPr="004C646F">
        <w:rPr>
          <w:sz w:val="20"/>
        </w:rPr>
        <w:tab/>
        <w:t>A was convicted of manslaughter for his alleged involvement in a shooting that took place in a Toronto park. The victim and some friends were socializing in the park when a group of men entered the park and attempted to rob some of them. The victim was shot and killed while chasing after the assailants who fled the scene. Eyewitnesses only provided general descriptions of the assailants — young, black, thin and clean</w:t>
      </w:r>
      <w:r w:rsidRPr="004C646F">
        <w:rPr>
          <w:sz w:val="20"/>
        </w:rPr>
        <w:noBreakHyphen/>
        <w:t xml:space="preserve">shaven — and described the shooter as being between 5’4” and 5’8”. A, who was 6’1” at the time, was not identified as being among the assailants. He was arrested five days after the shooting, when a teacher of his notified the police that A had approached him and confessed to being present at the shooting but not to having fired the gun. </w:t>
      </w:r>
    </w:p>
    <w:p w:rsidR="00AD7AC6" w:rsidRDefault="00AD7AC6" w:rsidP="00AD7AC6">
      <w:pPr>
        <w:pStyle w:val="SCCNormalDoubleSpacing"/>
        <w:spacing w:line="240" w:lineRule="auto"/>
        <w:rPr>
          <w:sz w:val="20"/>
        </w:rPr>
      </w:pPr>
    </w:p>
    <w:p w:rsidR="00AD7AC6" w:rsidRPr="004C646F" w:rsidRDefault="00AD7AC6" w:rsidP="00AD7AC6">
      <w:pPr>
        <w:pStyle w:val="SCCNormalDoubleSpacing"/>
        <w:spacing w:line="240" w:lineRule="auto"/>
        <w:rPr>
          <w:sz w:val="20"/>
        </w:rPr>
      </w:pPr>
      <w:r w:rsidRPr="004C646F">
        <w:rPr>
          <w:sz w:val="20"/>
        </w:rPr>
        <w:tab/>
        <w:t>Because A’s appearance had changed between the time of the shooting and his trial, the Crown sought to have admitted two photographs of him taken five days after the shooting in order to establish what he looked like at the time. The defence objected, arguing that the photographs were highly prejudicial. The trial judge admitted the photographs for the purpose of allowing the jury to consider whether A had any of the physical attributes described by the eyewitnesses, subject to a limiting instruction that warned the jury that it could not conclude that A was among the assailants solely because his appearance fit within the general description provided by the eyewitnesses. In his instructions to the jury, the trial judge also summarized the Crown’s position that the conversation which took place between A and his teacher should be viewed as a confession of guilt. A appealed his conviction and sentence. A majority of the Court of Appeal allowed the appeal and remitted the matter for a new trial.</w:t>
      </w:r>
    </w:p>
    <w:p w:rsidR="00AD7AC6" w:rsidRDefault="00AD7AC6" w:rsidP="00AD7AC6">
      <w:pPr>
        <w:pStyle w:val="SCCNormalDoubleSpacing"/>
        <w:spacing w:line="240" w:lineRule="auto"/>
        <w:rPr>
          <w:sz w:val="20"/>
        </w:rPr>
      </w:pPr>
    </w:p>
    <w:p w:rsidR="00AD7AC6" w:rsidRPr="004C646F" w:rsidRDefault="00AD7AC6" w:rsidP="00AD7AC6">
      <w:pPr>
        <w:pStyle w:val="SCCNormalDoubleSpacing"/>
        <w:spacing w:line="240" w:lineRule="auto"/>
        <w:rPr>
          <w:sz w:val="20"/>
        </w:rPr>
      </w:pPr>
      <w:r w:rsidRPr="004C646F">
        <w:rPr>
          <w:sz w:val="20"/>
        </w:rPr>
        <w:tab/>
      </w:r>
      <w:r w:rsidRPr="004C646F">
        <w:rPr>
          <w:i/>
          <w:iCs/>
          <w:sz w:val="20"/>
        </w:rPr>
        <w:t>Held</w:t>
      </w:r>
      <w:r w:rsidRPr="004C646F">
        <w:rPr>
          <w:iCs/>
          <w:sz w:val="20"/>
        </w:rPr>
        <w:t>:</w:t>
      </w:r>
      <w:r w:rsidRPr="004C646F">
        <w:rPr>
          <w:sz w:val="20"/>
        </w:rPr>
        <w:t xml:space="preserve"> The appeal should be allowed, A’s conviction for manslaughter restored, and the matter remanded to the Court of Appeal for consideration of the sentencing appeal.</w:t>
      </w:r>
    </w:p>
    <w:p w:rsidR="00AD7AC6" w:rsidRDefault="00AD7AC6" w:rsidP="00AD7AC6">
      <w:pPr>
        <w:pStyle w:val="SCCNormalDoubleSpacing"/>
        <w:spacing w:line="240" w:lineRule="auto"/>
        <w:rPr>
          <w:sz w:val="20"/>
        </w:rPr>
      </w:pPr>
    </w:p>
    <w:p w:rsidR="00AD7AC6" w:rsidRPr="004C646F" w:rsidRDefault="00AD7AC6" w:rsidP="00AD7AC6">
      <w:pPr>
        <w:pStyle w:val="SCCNormalDoubleSpacing"/>
        <w:spacing w:line="240" w:lineRule="auto"/>
        <w:rPr>
          <w:sz w:val="20"/>
        </w:rPr>
      </w:pPr>
      <w:r w:rsidRPr="004C646F">
        <w:rPr>
          <w:sz w:val="20"/>
        </w:rPr>
        <w:tab/>
        <w:t>There is no reason to disturb the trial judge’s finding that the photographs were admissible. Whether A could have been among the assailants was a critical issue in this case, because he denied being in the park the night of the shooting. Moreover, A did not concede that his appearance fit within the general eyewitness descriptions. Accordingly, the photographs were relevant to the limited question of whether A’s appearance at the time of the shooting fit within the general descriptions provided by witnesses. Regarding the potential prejudicial effect of the photographs, there are particular dangers involved in showing eyewitnesses a single photograph to determine if the individual shown is the individual they saw, because the witness’s memory may be tainted by exposure to that photograph. However, this concern is not relevant where it is the jury who has been exposed to the photograph of a single person and asked to consider whether the person shown falls within a general description. The jury has no pre</w:t>
      </w:r>
      <w:r w:rsidRPr="004C646F">
        <w:rPr>
          <w:sz w:val="20"/>
        </w:rPr>
        <w:noBreakHyphen/>
        <w:t>existing memory of the person’s appearance to corrupt, nor is the concern about the over</w:t>
      </w:r>
      <w:r w:rsidRPr="004C646F">
        <w:rPr>
          <w:sz w:val="20"/>
        </w:rPr>
        <w:noBreakHyphen/>
        <w:t xml:space="preserve">persuasiveness of tainted witness testimony relevant in this context. In light of the deference afforded to trial judges on questions of balancing probative effect against prejudice, there is no reason to disturb the trial judge’s finding that the risk associated with the photographs could be appropriately mitigated by a limiting instruction, and thus that the probative value of the photographs outweighed their prejudicial effect. </w:t>
      </w:r>
    </w:p>
    <w:p w:rsidR="00AD7AC6" w:rsidRDefault="00AD7AC6" w:rsidP="00AD7AC6">
      <w:pPr>
        <w:pStyle w:val="SCCNormalDoubleSpacing"/>
        <w:spacing w:line="240" w:lineRule="auto"/>
        <w:rPr>
          <w:sz w:val="20"/>
        </w:rPr>
      </w:pPr>
    </w:p>
    <w:p w:rsidR="00AD7AC6" w:rsidRPr="004C646F" w:rsidRDefault="00AD7AC6" w:rsidP="00AD7AC6">
      <w:pPr>
        <w:pStyle w:val="SCCNormalDoubleSpacing"/>
        <w:spacing w:line="240" w:lineRule="auto"/>
        <w:rPr>
          <w:sz w:val="20"/>
        </w:rPr>
      </w:pPr>
      <w:r w:rsidRPr="004C646F">
        <w:rPr>
          <w:sz w:val="20"/>
        </w:rPr>
        <w:tab/>
        <w:t xml:space="preserve">The trial judge’s limiting instruction with respect to the use it could make of the photographs was adequate. Parsing the language in one particular sentence to determine whether it was sufficient to warn of an impermissible line </w:t>
      </w:r>
      <w:r w:rsidRPr="004C646F">
        <w:rPr>
          <w:sz w:val="20"/>
        </w:rPr>
        <w:lastRenderedPageBreak/>
        <w:t>of reasoning, without taking into consideration the greater context of the jury instructions and the trial itself, represents the kind of dissection and minute scrutiny this Court has warned against. In this case, there does not appear to be a considerable risk that the jury would have, as a consequence of minor imperfections with the jury instructions, abandoned their common sense and adopted clearly flawed reasoning. Moreover, the risk of a juror actually using the photographs as the basis for an impermissible line of reasoning in the context of this case was appropriately minimized both by the fact that Crown counsel did not urge the jury to adopt impermissible lines of inference and by the trial judge’s charge to the jury as a whole.</w:t>
      </w:r>
    </w:p>
    <w:p w:rsidR="00AD7AC6" w:rsidRDefault="00AD7AC6" w:rsidP="00AD7AC6">
      <w:pPr>
        <w:pStyle w:val="SCCNormalDoubleSpacing"/>
        <w:spacing w:line="240" w:lineRule="auto"/>
        <w:rPr>
          <w:sz w:val="20"/>
        </w:rPr>
      </w:pPr>
    </w:p>
    <w:p w:rsidR="00AD7AC6" w:rsidRPr="004C646F" w:rsidRDefault="00AD7AC6" w:rsidP="00AD7AC6">
      <w:pPr>
        <w:pStyle w:val="SCCNormalDoubleSpacing"/>
        <w:spacing w:line="240" w:lineRule="auto"/>
        <w:rPr>
          <w:sz w:val="20"/>
        </w:rPr>
      </w:pPr>
      <w:r w:rsidRPr="004C646F">
        <w:rPr>
          <w:sz w:val="20"/>
        </w:rPr>
        <w:tab/>
        <w:t xml:space="preserve">The trial judge’s use of the word “confession” in his jury instructions does not constitute a toxic instruction such that a new trial should be ordered. Indeed, the trial judge did not himself label A’s statements to his teacher as confessions. Rather, he repeatedly described the school exchange as a conversation. Moreover, the trial judge only referred to the exchanges as a confession when reiterating the Crown’s position, which was that the school conversation should be viewed as a confession of guilt. When viewed in light of the trial judge’s other cautions to the jury, including the caution that the teacher’s testimony be evaluated only for its evidence of what A said, rather than the teacher’s interpretation of his statements, as well as the caution that confession to mere presence at the scene was not sufficient to establish guilt, a single use of the word “confession” in describing the Crown’s submissions would not have been so toxic as to call for a correcting instruction. The trial judge fairly described the conversation between A and his teacher and it was properly for the jury to conclude whether the conversation amounted to a confession. </w:t>
      </w:r>
    </w:p>
    <w:p w:rsidR="00AD7AC6" w:rsidRDefault="00AD7AC6" w:rsidP="00AD7AC6">
      <w:pPr>
        <w:pStyle w:val="SCCNormalDoubleSpacing"/>
        <w:spacing w:line="240" w:lineRule="auto"/>
        <w:rPr>
          <w:sz w:val="20"/>
        </w:rPr>
      </w:pPr>
    </w:p>
    <w:p w:rsidR="00AD7AC6" w:rsidRDefault="00AD7AC6" w:rsidP="00AD7AC6">
      <w:pPr>
        <w:pStyle w:val="SCCNormalDoubleSpacing"/>
        <w:spacing w:line="240" w:lineRule="auto"/>
        <w:rPr>
          <w:sz w:val="20"/>
        </w:rPr>
      </w:pPr>
      <w:r w:rsidRPr="004C646F">
        <w:rPr>
          <w:sz w:val="20"/>
        </w:rPr>
        <w:tab/>
        <w:t>Since the jury instructions were adequate, it is not necessary to consider whether the facts of this case would warrant the application of the curative proviso provided in s. 686(1)(</w:t>
      </w:r>
      <w:r w:rsidRPr="004C646F">
        <w:rPr>
          <w:i/>
          <w:sz w:val="20"/>
        </w:rPr>
        <w:t>b</w:t>
      </w:r>
      <w:r w:rsidRPr="004C646F">
        <w:rPr>
          <w:sz w:val="20"/>
        </w:rPr>
        <w:t xml:space="preserve">)(iii) of the </w:t>
      </w:r>
      <w:r w:rsidRPr="004C646F">
        <w:rPr>
          <w:i/>
          <w:sz w:val="20"/>
        </w:rPr>
        <w:t>Criminal Code</w:t>
      </w:r>
      <w:r w:rsidRPr="004C646F">
        <w:rPr>
          <w:sz w:val="20"/>
        </w:rPr>
        <w:t xml:space="preserve">. </w:t>
      </w:r>
    </w:p>
    <w:p w:rsidR="00AD7AC6" w:rsidRDefault="00AD7AC6" w:rsidP="00AD7AC6">
      <w:pPr>
        <w:pStyle w:val="SCCNormalDoubleSpacing"/>
        <w:spacing w:line="240" w:lineRule="auto"/>
        <w:rPr>
          <w:sz w:val="20"/>
        </w:rPr>
      </w:pPr>
    </w:p>
    <w:p w:rsidR="00AD7AC6" w:rsidRPr="004C646F" w:rsidRDefault="00AD7AC6" w:rsidP="00AD7AC6">
      <w:pPr>
        <w:pStyle w:val="SCCNormalDoubleSpacing"/>
        <w:spacing w:line="240" w:lineRule="auto"/>
        <w:rPr>
          <w:sz w:val="20"/>
        </w:rPr>
      </w:pPr>
      <w:r w:rsidRPr="004C646F">
        <w:rPr>
          <w:sz w:val="20"/>
        </w:rPr>
        <w:tab/>
        <w:t>APPEAL from a judgment of the Ontario Court of Appeal (Laskin, Gillese and Strathy JJ.A.), 2013 ONCA 734, 312 O.A.C. 284, 305 C.C.C. (3d) 14, [2013] O.J. No. 5546 (QL), 2013 CarswellOnt 16738 (WL Can.), setting aside the accused’s conviction for manslaughter. Appeal allowed.</w:t>
      </w:r>
    </w:p>
    <w:p w:rsidR="00AD7AC6" w:rsidRDefault="00AD7AC6" w:rsidP="00AD7AC6">
      <w:pPr>
        <w:pStyle w:val="SCCNormalDoubleSpacing"/>
        <w:spacing w:line="240" w:lineRule="auto"/>
        <w:rPr>
          <w:i/>
          <w:sz w:val="20"/>
        </w:rPr>
      </w:pPr>
    </w:p>
    <w:p w:rsidR="00AD7AC6" w:rsidRPr="004C646F" w:rsidRDefault="00AD7AC6" w:rsidP="00AD7AC6">
      <w:pPr>
        <w:pStyle w:val="SCCNormalDoubleSpacing"/>
        <w:spacing w:line="240" w:lineRule="auto"/>
        <w:rPr>
          <w:sz w:val="20"/>
        </w:rPr>
      </w:pPr>
      <w:r w:rsidRPr="004C646F">
        <w:rPr>
          <w:i/>
          <w:sz w:val="20"/>
        </w:rPr>
        <w:tab/>
        <w:t>Michael Bernstein</w:t>
      </w:r>
      <w:r w:rsidRPr="004C646F">
        <w:rPr>
          <w:sz w:val="20"/>
        </w:rPr>
        <w:t>, for the appellant.</w:t>
      </w:r>
    </w:p>
    <w:p w:rsidR="00AD7AC6" w:rsidRDefault="00AD7AC6" w:rsidP="00AD7AC6">
      <w:pPr>
        <w:pStyle w:val="SCCNormalDoubleSpacing"/>
        <w:spacing w:line="240" w:lineRule="auto"/>
        <w:rPr>
          <w:i/>
          <w:sz w:val="20"/>
        </w:rPr>
      </w:pPr>
    </w:p>
    <w:p w:rsidR="00AD7AC6" w:rsidRPr="004C646F" w:rsidRDefault="00AD7AC6" w:rsidP="00AD7AC6">
      <w:pPr>
        <w:pStyle w:val="SCCNormalDoubleSpacing"/>
        <w:spacing w:line="240" w:lineRule="auto"/>
        <w:rPr>
          <w:sz w:val="20"/>
        </w:rPr>
      </w:pPr>
      <w:r w:rsidRPr="004C646F">
        <w:rPr>
          <w:i/>
          <w:sz w:val="20"/>
        </w:rPr>
        <w:tab/>
        <w:t>James Lockyer</w:t>
      </w:r>
      <w:r w:rsidRPr="004C646F">
        <w:rPr>
          <w:sz w:val="20"/>
        </w:rPr>
        <w:t xml:space="preserve"> and </w:t>
      </w:r>
      <w:r w:rsidRPr="004C646F">
        <w:rPr>
          <w:i/>
          <w:sz w:val="20"/>
        </w:rPr>
        <w:t>Richard Posner</w:t>
      </w:r>
      <w:r w:rsidRPr="004C646F">
        <w:rPr>
          <w:sz w:val="20"/>
        </w:rPr>
        <w:t>, for the respondent.</w:t>
      </w:r>
    </w:p>
    <w:p w:rsidR="00AD7AC6" w:rsidRDefault="00AD7AC6" w:rsidP="00AD7AC6">
      <w:pPr>
        <w:pStyle w:val="SCCLawFirm"/>
        <w:spacing w:line="240" w:lineRule="auto"/>
        <w:rPr>
          <w:sz w:val="20"/>
        </w:rPr>
      </w:pPr>
    </w:p>
    <w:p w:rsidR="00AD7AC6" w:rsidRPr="004C646F" w:rsidRDefault="00AD7AC6" w:rsidP="00AD7AC6">
      <w:pPr>
        <w:pStyle w:val="SCCLawFirm"/>
        <w:spacing w:line="240" w:lineRule="auto"/>
        <w:rPr>
          <w:sz w:val="20"/>
        </w:rPr>
      </w:pPr>
      <w:r w:rsidRPr="004C646F">
        <w:rPr>
          <w:sz w:val="20"/>
        </w:rPr>
        <w:tab/>
        <w:t>Solicitor for the appellant: Attorney General of Ontario, Toronto.</w:t>
      </w:r>
    </w:p>
    <w:p w:rsidR="00AD7AC6" w:rsidRDefault="00AD7AC6" w:rsidP="00AD7AC6">
      <w:pPr>
        <w:pStyle w:val="SCCLawFirm"/>
        <w:spacing w:line="240" w:lineRule="auto"/>
        <w:rPr>
          <w:sz w:val="20"/>
        </w:rPr>
      </w:pPr>
    </w:p>
    <w:p w:rsidR="00AD7AC6" w:rsidRDefault="00AD7AC6" w:rsidP="00AD7AC6">
      <w:pPr>
        <w:pStyle w:val="SCCLawFirm"/>
        <w:spacing w:line="240" w:lineRule="auto"/>
        <w:rPr>
          <w:sz w:val="20"/>
        </w:rPr>
      </w:pPr>
      <w:r w:rsidRPr="004C646F">
        <w:rPr>
          <w:sz w:val="20"/>
        </w:rPr>
        <w:tab/>
        <w:t>Solicitors for the respondent: Lockyer Campbell Posner, Toronto.</w:t>
      </w:r>
    </w:p>
    <w:p w:rsidR="0052229C" w:rsidRPr="00AD7AC6" w:rsidRDefault="0052229C" w:rsidP="0052229C">
      <w:pPr>
        <w:rPr>
          <w:rFonts w:cs="Times New Roman"/>
          <w:sz w:val="20"/>
          <w:szCs w:val="20"/>
          <w:lang w:val="fr-CA"/>
        </w:rPr>
      </w:pPr>
      <w:r w:rsidRPr="00AD7AC6">
        <w:rPr>
          <w:rFonts w:cs="Times New Roman"/>
          <w:sz w:val="20"/>
          <w:szCs w:val="20"/>
          <w:lang w:val="fr-CA"/>
        </w:rPr>
        <w:t>________________________</w:t>
      </w:r>
    </w:p>
    <w:p w:rsidR="0052229C" w:rsidRPr="00AD7AC6" w:rsidRDefault="0052229C" w:rsidP="0052229C">
      <w:pPr>
        <w:rPr>
          <w:rFonts w:cs="Times New Roman"/>
          <w:sz w:val="20"/>
          <w:szCs w:val="20"/>
          <w:lang w:val="fr-CA"/>
        </w:rPr>
      </w:pPr>
    </w:p>
    <w:p w:rsidR="00AD7AC6" w:rsidRPr="003D42C0" w:rsidRDefault="00AD7AC6" w:rsidP="00AD7AC6">
      <w:pPr>
        <w:jc w:val="both"/>
        <w:rPr>
          <w:sz w:val="20"/>
          <w:szCs w:val="20"/>
          <w:lang w:val="fr-CA"/>
        </w:rPr>
      </w:pPr>
      <w:r w:rsidRPr="003D42C0">
        <w:rPr>
          <w:sz w:val="20"/>
          <w:szCs w:val="20"/>
          <w:lang w:val="fr-CA"/>
        </w:rPr>
        <w:t>Présents : La juge en chef McLachlin et les juges Rothstein, Cromwell, Moldaver et Karakatsanis.</w:t>
      </w:r>
    </w:p>
    <w:p w:rsidR="00AD7AC6" w:rsidRDefault="00AD7AC6" w:rsidP="00AD7AC6">
      <w:pPr>
        <w:pStyle w:val="SCCNormalDoubleSpacing"/>
        <w:spacing w:line="240" w:lineRule="auto"/>
        <w:rPr>
          <w:sz w:val="20"/>
          <w:lang w:val="fr-CA"/>
        </w:rPr>
      </w:pPr>
    </w:p>
    <w:p w:rsidR="00AD7AC6" w:rsidRPr="003D42C0" w:rsidRDefault="00AD7AC6" w:rsidP="00AD7AC6">
      <w:pPr>
        <w:pStyle w:val="SCCNormalDoubleSpacing"/>
        <w:spacing w:line="240" w:lineRule="auto"/>
        <w:rPr>
          <w:i/>
          <w:sz w:val="20"/>
          <w:lang w:val="fr-CA"/>
        </w:rPr>
      </w:pPr>
      <w:r w:rsidRPr="003D42C0">
        <w:rPr>
          <w:sz w:val="20"/>
          <w:lang w:val="fr-CA"/>
        </w:rPr>
        <w:tab/>
      </w:r>
      <w:r w:rsidRPr="003D42C0">
        <w:rPr>
          <w:i/>
          <w:sz w:val="20"/>
          <w:lang w:val="fr-CA"/>
        </w:rPr>
        <w:t>Droit criminel — Exposé au jury — Preuve — Admissibilité — Directives restrictives — Qualification du témoignage d’un témoin — Accusé déclaré coupable d’homicide involontaire coupable — Modification de l’apparence de l’accusé entre la perpétration de l’infraction et la tenue du procès — Les photos de l’accusé prises quelques jours après l’infraction étaient</w:t>
      </w:r>
      <w:r w:rsidRPr="003D42C0">
        <w:rPr>
          <w:i/>
          <w:sz w:val="20"/>
          <w:lang w:val="fr-CA"/>
        </w:rPr>
        <w:noBreakHyphen/>
        <w:t>elles admissibles? — Les directives du juge du procès sur l’usage que le jury pouvait en faire étaient</w:t>
      </w:r>
      <w:r w:rsidRPr="003D42C0">
        <w:rPr>
          <w:i/>
          <w:sz w:val="20"/>
          <w:lang w:val="fr-CA"/>
        </w:rPr>
        <w:noBreakHyphen/>
        <w:t>elles insuffisantes? — Dans son exposé, le juge a</w:t>
      </w:r>
      <w:r w:rsidRPr="003D42C0">
        <w:rPr>
          <w:i/>
          <w:sz w:val="20"/>
          <w:lang w:val="fr-CA"/>
        </w:rPr>
        <w:noBreakHyphen/>
        <w:t>t</w:t>
      </w:r>
      <w:r w:rsidRPr="003D42C0">
        <w:rPr>
          <w:i/>
          <w:sz w:val="20"/>
          <w:lang w:val="fr-CA"/>
        </w:rPr>
        <w:noBreakHyphen/>
        <w:t>il eu tort de décrire les propos de l’accusé relatés par un témoin comme un aveu?</w:t>
      </w:r>
    </w:p>
    <w:p w:rsidR="00AD7AC6" w:rsidRDefault="00AD7AC6" w:rsidP="00AD7AC6">
      <w:pPr>
        <w:pStyle w:val="SCCNormalDoubleSpacing"/>
        <w:spacing w:line="240" w:lineRule="auto"/>
        <w:rPr>
          <w:sz w:val="20"/>
          <w:lang w:val="fr-CA"/>
        </w:rPr>
      </w:pPr>
    </w:p>
    <w:p w:rsidR="00AD7AC6" w:rsidRPr="003D42C0" w:rsidRDefault="00AD7AC6" w:rsidP="00AD7AC6">
      <w:pPr>
        <w:pStyle w:val="SCCNormalDoubleSpacing"/>
        <w:spacing w:line="240" w:lineRule="auto"/>
        <w:rPr>
          <w:sz w:val="20"/>
          <w:lang w:val="fr-CA"/>
        </w:rPr>
      </w:pPr>
      <w:r w:rsidRPr="003D42C0">
        <w:rPr>
          <w:sz w:val="20"/>
          <w:lang w:val="fr-CA"/>
        </w:rPr>
        <w:tab/>
        <w:t>A a été déclaré coupable d’homicide involontaire coupable pour sa participation alléguée à un meurtre par balle survenu dans un parc de Toronto. La victime et quelques amis bavardaient dans le parc lorsqu’un groupe d’hommes s’est amené et a tenté de voler certains d’entre eux. La victime a été abattue d’une balle après s’être mise à la poursuite des agresseurs qui avaient pris la fuite. Les témoins oculaires n’ont pu donner qu’une description générale des agresseurs : jeunes, de race noire, minces et rasés de près. Ils ont dit du tireur qu’il mesurait entre 5 pieds 4 pouces et 5 pieds 8 pouces. A, qui faisait alors 6 pieds un pouce n’a pas été identifié comme étant l’un des agresseurs. Il a été arrêté cinq jours plus tard après que son enseignant eut informé la police qu’il l’avait approché et lui avait confié avoir été présent lors de l’homicide, mais ne pas avoir tiré le coup de feu.</w:t>
      </w:r>
    </w:p>
    <w:p w:rsidR="00AD7AC6" w:rsidRDefault="00AD7AC6" w:rsidP="00AD7AC6">
      <w:pPr>
        <w:pStyle w:val="SCCNormalDoubleSpacing"/>
        <w:spacing w:line="240" w:lineRule="auto"/>
        <w:rPr>
          <w:sz w:val="20"/>
          <w:lang w:val="fr-CA"/>
        </w:rPr>
      </w:pPr>
    </w:p>
    <w:p w:rsidR="00AD7AC6" w:rsidRPr="003D42C0" w:rsidRDefault="00AD7AC6" w:rsidP="00AD7AC6">
      <w:pPr>
        <w:pStyle w:val="SCCNormalDoubleSpacing"/>
        <w:spacing w:line="240" w:lineRule="auto"/>
        <w:rPr>
          <w:sz w:val="20"/>
          <w:lang w:val="fr-CA"/>
        </w:rPr>
      </w:pPr>
      <w:r w:rsidRPr="003D42C0">
        <w:rPr>
          <w:sz w:val="20"/>
          <w:lang w:val="fr-CA"/>
        </w:rPr>
        <w:tab/>
        <w:t xml:space="preserve">A ayant changé d’apparence entre le jour de l’homicide et son procès, le ministère public a demandé l’admission en preuve de deux photos de lui prises cinq jours après l’homicide afin d’établir ce dont il avait l’air à </w:t>
      </w:r>
      <w:r w:rsidRPr="003D42C0">
        <w:rPr>
          <w:sz w:val="20"/>
          <w:lang w:val="fr-CA"/>
        </w:rPr>
        <w:lastRenderedPageBreak/>
        <w:t>l’époque. La défense s’y est opposée en faisant valoir que les photos étaient très préjudiciables. Le juge du procès les a admises à la seule fin de permettre au jury de déterminer si A avait l’une ou l’autre des caractéristiques physiques mentionnées par les témoins, sous réserve de la directive restrictive de se garder de conclure à tort que A avait été au nombre des agresseurs seulement parce que son apparence correspondait aux descriptions générales des témoins oculaires. Dans son exposé au jury, le juge a également résumé la thèse du ministère public, à savoir que l’entretien à l’école de A avec son enseignant devait être considéré comme un aveu de culpabilité. A a interjeté appel de la déclaration de culpabilité et de la peine. Les juges majoritaires de la Cour d’appel lui ont donné gain de cause et ont ordonné un nouveau procès.</w:t>
      </w:r>
    </w:p>
    <w:p w:rsidR="00AD7AC6" w:rsidRDefault="00AD7AC6" w:rsidP="00AD7AC6">
      <w:pPr>
        <w:pStyle w:val="SCCNormalDoubleSpacing"/>
        <w:spacing w:line="240" w:lineRule="auto"/>
        <w:rPr>
          <w:sz w:val="20"/>
          <w:lang w:val="fr-CA"/>
        </w:rPr>
      </w:pPr>
    </w:p>
    <w:p w:rsidR="00AD7AC6" w:rsidRPr="003D42C0" w:rsidRDefault="00AD7AC6" w:rsidP="00AD7AC6">
      <w:pPr>
        <w:pStyle w:val="SCCNormalDoubleSpacing"/>
        <w:spacing w:line="240" w:lineRule="auto"/>
        <w:rPr>
          <w:sz w:val="20"/>
          <w:lang w:val="fr-CA"/>
        </w:rPr>
      </w:pPr>
      <w:r w:rsidRPr="003D42C0">
        <w:rPr>
          <w:sz w:val="20"/>
          <w:lang w:val="fr-CA"/>
        </w:rPr>
        <w:tab/>
      </w:r>
      <w:r w:rsidRPr="003D42C0">
        <w:rPr>
          <w:i/>
          <w:sz w:val="20"/>
          <w:lang w:val="fr-CA"/>
        </w:rPr>
        <w:t>Arrêt</w:t>
      </w:r>
      <w:r w:rsidRPr="003D42C0">
        <w:rPr>
          <w:sz w:val="20"/>
          <w:lang w:val="fr-CA"/>
        </w:rPr>
        <w:t xml:space="preserve"> : Le pourvoi est accueilli, la déclaration de culpabilité d’homicide involontaire coupable de A est rétablie et l’affaire est renvoyée à la Cour d’appel pour qu’elle statue sur l’appel de la peine. </w:t>
      </w:r>
    </w:p>
    <w:p w:rsidR="00AD7AC6" w:rsidRDefault="00AD7AC6" w:rsidP="00AD7AC6">
      <w:pPr>
        <w:pStyle w:val="SCCNormalDoubleSpacing"/>
        <w:spacing w:line="240" w:lineRule="auto"/>
        <w:rPr>
          <w:sz w:val="20"/>
          <w:lang w:val="fr-CA"/>
        </w:rPr>
      </w:pPr>
    </w:p>
    <w:p w:rsidR="00AD7AC6" w:rsidRPr="003D42C0" w:rsidRDefault="00AD7AC6" w:rsidP="00AD7AC6">
      <w:pPr>
        <w:pStyle w:val="SCCNormalDoubleSpacing"/>
        <w:spacing w:line="240" w:lineRule="auto"/>
        <w:rPr>
          <w:sz w:val="20"/>
          <w:lang w:val="fr-CA"/>
        </w:rPr>
      </w:pPr>
      <w:r w:rsidRPr="003D42C0">
        <w:rPr>
          <w:sz w:val="20"/>
          <w:lang w:val="fr-CA"/>
        </w:rPr>
        <w:tab/>
        <w:t>Nul motif ne justifie de réformer la conclusion du juge du procès selon laquelle les photos étaient admissibles en preuve. La question de savoir si A avait pu se trouver parmi les agresseurs revêtait une importance cruciale, car il niait être allé au parc le soir en question. Qui plus est, A ne reconnaissait pas que son apparence correspondait aux descriptions générales des témoins oculaires. Les photos étaient donc pertinentes quant à la seule question de savoir si l’apparence de A au moment des faits correspondait aux descriptions générales des témoins. En ce qui concerne l’effet préjudiciable éventuel, montrer aux témoins une seule photo pour savoir si la personne photographiée est celle qu’ils ont vue comporte des risques particuliers, car leur souvenir peut être influencé par la vue de la photo. Cette crainte n’est cependant pas justifiée lorsque c’est au jury qu’on montre la photo d’une seule personne et auquel on demande de déterminer si cette personne correspond à une description générale. Le jury n’a pas de l’apparence de la personne un souvenir préexistant qui est susceptible d’être influencé, et la crainte qu’un témoignage ainsi vicié ne soit trop persuasif n’est pas justifiée dans le contexte. Au vu de la déférence qui s’impose à l’endroit de la mise en balance de la valeur probante et de l’effet préjudiciable par le juge de première instance, nul motif ne justifie de réformer la conclusion selon laquelle le risque associé aux photos pouvait être dûment atténué par une directive restrictive, de sorte que la valeur probante des photos l’emportait sur leur effet préjudiciable.</w:t>
      </w:r>
    </w:p>
    <w:p w:rsidR="00AD7AC6" w:rsidRDefault="00AD7AC6" w:rsidP="00AD7AC6">
      <w:pPr>
        <w:pStyle w:val="SCCNormalDoubleSpacing"/>
        <w:spacing w:line="240" w:lineRule="auto"/>
        <w:rPr>
          <w:sz w:val="20"/>
          <w:lang w:val="fr-CA"/>
        </w:rPr>
      </w:pPr>
    </w:p>
    <w:p w:rsidR="00AD7AC6" w:rsidRPr="003D42C0" w:rsidRDefault="00AD7AC6" w:rsidP="00AD7AC6">
      <w:pPr>
        <w:pStyle w:val="SCCNormalDoubleSpacing"/>
        <w:spacing w:line="240" w:lineRule="auto"/>
        <w:rPr>
          <w:sz w:val="20"/>
          <w:lang w:val="fr-CA"/>
        </w:rPr>
      </w:pPr>
      <w:r w:rsidRPr="003D42C0">
        <w:rPr>
          <w:sz w:val="20"/>
          <w:lang w:val="fr-CA"/>
        </w:rPr>
        <w:tab/>
        <w:t>La directive restrictive du juge du procès concernant l’usage qui pouvait être fait des photos était suffisante. La réduire à la formulation d’une phrase en particulier pour déterminer si elle met suffisamment en garde ou non contre un raisonnement inacceptable, sans tenir compte du contexte général de l’exposé au jury, ni du procès comme tel, revient à se livrer à la dissection et à l’examen détaillé contre lesquels notre Cour a déjà fait une mise en garde. En l’espèce, il ne semble pas y avoir eu un grand risque que le jury, à cause de légères imperfections de l’exposé, perde tout bon sens et adhère à un raisonnement manifestement erroné. De plus, le fait que l’avocat du ministère public n’a pas invité le jury à tirer d’inférences inacceptables et l’exposé du juge du procès dans son ensemble ont adéquatement atténué le risque qu’un juré utilise de fait les photos pour échafauder un raisonnement inacceptable.</w:t>
      </w:r>
    </w:p>
    <w:p w:rsidR="00AD7AC6" w:rsidRDefault="00AD7AC6" w:rsidP="00AD7AC6">
      <w:pPr>
        <w:pStyle w:val="SCCNormalDoubleSpacing"/>
        <w:spacing w:line="240" w:lineRule="auto"/>
        <w:rPr>
          <w:sz w:val="20"/>
          <w:lang w:val="fr-CA"/>
        </w:rPr>
      </w:pPr>
    </w:p>
    <w:p w:rsidR="00AD7AC6" w:rsidRPr="003D42C0" w:rsidRDefault="00AD7AC6" w:rsidP="00AD7AC6">
      <w:pPr>
        <w:pStyle w:val="SCCNormalDoubleSpacing"/>
        <w:spacing w:line="240" w:lineRule="auto"/>
        <w:rPr>
          <w:sz w:val="20"/>
          <w:lang w:val="fr-CA"/>
        </w:rPr>
      </w:pPr>
      <w:r w:rsidRPr="003D42C0">
        <w:rPr>
          <w:sz w:val="20"/>
          <w:lang w:val="fr-CA"/>
        </w:rPr>
        <w:tab/>
        <w:t>L’emploi du mot « aveu » par le juge du procès n’a pas rendu ses directives toxiques de telle sorte qu’un nouveau procès doive être ordonné. En effet, le juge n’a pas qualifié d’aveux les déclarations de A à son enseignant. Il a en fait décrit maintes fois l’échange survenu à l’école comme un « entretien ». En outre, il n’a parlé d’aveux à cet égard que pour rappeler la thèse du ministère public selon laquelle l’entretien à l’école devait être considéré comme un aveu de culpabilité. À la lumière des autres mises en garde du jury, y compris celle voulant qu’il doive considérer le témoignage de l’enseignant seulement pour établir ce que A avait dit, et non son interprétation de ses propos, de même que la précision selon laquelle l’aveu de la seule présence sur les lieux n’était pas suffisant pour établir la culpabilité, l’utilisation une seule fois du mot « aveu » pour faire état de la thèse du ministère public ne saurait avoir rendu la directive toxique au point de justifier sa rectification. Le juge a bien fait état de l’entretien de A avec son enseignant, et le jury était admis à conclure qu’il s’agissait d’un aveu ou non.</w:t>
      </w:r>
    </w:p>
    <w:p w:rsidR="00AD7AC6" w:rsidRDefault="00AD7AC6" w:rsidP="00AD7AC6">
      <w:pPr>
        <w:pStyle w:val="SCCNormalDoubleSpacing"/>
        <w:spacing w:line="240" w:lineRule="auto"/>
        <w:rPr>
          <w:sz w:val="20"/>
          <w:lang w:val="fr-CA"/>
        </w:rPr>
      </w:pPr>
    </w:p>
    <w:p w:rsidR="00AD7AC6" w:rsidRDefault="00AD7AC6" w:rsidP="00AD7AC6">
      <w:pPr>
        <w:pStyle w:val="SCCNormalDoubleSpacing"/>
        <w:spacing w:line="240" w:lineRule="auto"/>
        <w:rPr>
          <w:sz w:val="20"/>
          <w:lang w:val="fr-CA"/>
        </w:rPr>
      </w:pPr>
      <w:r w:rsidRPr="003D42C0">
        <w:rPr>
          <w:sz w:val="20"/>
          <w:lang w:val="fr-CA"/>
        </w:rPr>
        <w:tab/>
        <w:t>Comme les directives au jury étaient adéquates, il est inutile d’examiner si les faits de l’espèce justifieraient l’application de la disposition réparatrice correspondant au sous</w:t>
      </w:r>
      <w:r w:rsidRPr="003D42C0">
        <w:rPr>
          <w:sz w:val="20"/>
          <w:lang w:val="fr-CA"/>
        </w:rPr>
        <w:noBreakHyphen/>
        <w:t>al. 686(1)</w:t>
      </w:r>
      <w:r w:rsidRPr="003D42C0">
        <w:rPr>
          <w:i/>
          <w:sz w:val="20"/>
          <w:lang w:val="fr-CA"/>
        </w:rPr>
        <w:t>b</w:t>
      </w:r>
      <w:r w:rsidRPr="003D42C0">
        <w:rPr>
          <w:sz w:val="20"/>
          <w:lang w:val="fr-CA"/>
        </w:rPr>
        <w:t xml:space="preserve">)(iii) du </w:t>
      </w:r>
      <w:r w:rsidRPr="003D42C0">
        <w:rPr>
          <w:i/>
          <w:sz w:val="20"/>
          <w:lang w:val="fr-CA"/>
        </w:rPr>
        <w:t>Code criminel</w:t>
      </w:r>
      <w:r w:rsidRPr="003D42C0">
        <w:rPr>
          <w:sz w:val="20"/>
          <w:lang w:val="fr-CA"/>
        </w:rPr>
        <w:t>.</w:t>
      </w:r>
    </w:p>
    <w:p w:rsidR="00AD7AC6" w:rsidRDefault="00AD7AC6" w:rsidP="00AD7AC6">
      <w:pPr>
        <w:pStyle w:val="SCCNormalDoubleSpacing"/>
        <w:spacing w:line="240" w:lineRule="auto"/>
        <w:rPr>
          <w:sz w:val="20"/>
          <w:lang w:val="fr-CA"/>
        </w:rPr>
      </w:pPr>
    </w:p>
    <w:p w:rsidR="00AD7AC6" w:rsidRPr="003D42C0" w:rsidRDefault="00AD7AC6" w:rsidP="00AD7AC6">
      <w:pPr>
        <w:pStyle w:val="SCCNormalDoubleSpacing"/>
        <w:spacing w:line="240" w:lineRule="auto"/>
        <w:rPr>
          <w:sz w:val="20"/>
          <w:lang w:val="fr-CA"/>
        </w:rPr>
      </w:pPr>
      <w:r w:rsidRPr="003D42C0">
        <w:rPr>
          <w:sz w:val="20"/>
          <w:lang w:val="fr-CA"/>
        </w:rPr>
        <w:tab/>
        <w:t>POURVOI contre un arrêt de la Cour d’appel de l’Ontario (les juges Laskin, Gillese et Strathy), 2013 ONCA 734, 312 O.A.C. 284, 305 C.C.C. (3d) 14, [2013] O.J. No. 5546 (QL), 2013 CarswellOnt 16738 (WL Can.), qui a annulé la déclaration de culpabilité d’homicide involontaire coupable prononcée contre l’accusé. Pourvoi accueilli.</w:t>
      </w:r>
    </w:p>
    <w:p w:rsidR="00AD7AC6" w:rsidRDefault="00AD7AC6" w:rsidP="00AD7AC6">
      <w:pPr>
        <w:pStyle w:val="SCCNormalDoubleSpacing"/>
        <w:spacing w:line="240" w:lineRule="auto"/>
        <w:rPr>
          <w:rStyle w:val="SCCCounselNameChar"/>
          <w:i w:val="0"/>
          <w:sz w:val="20"/>
          <w:lang w:val="fr-CA"/>
        </w:rPr>
      </w:pPr>
    </w:p>
    <w:p w:rsidR="00AD7AC6" w:rsidRPr="003D42C0" w:rsidRDefault="00AD7AC6" w:rsidP="00AD7AC6">
      <w:pPr>
        <w:pStyle w:val="SCCNormalDoubleSpacing"/>
        <w:spacing w:line="240" w:lineRule="auto"/>
        <w:rPr>
          <w:sz w:val="20"/>
          <w:lang w:val="fr-CA"/>
        </w:rPr>
      </w:pPr>
      <w:r w:rsidRPr="003D42C0">
        <w:rPr>
          <w:rStyle w:val="SCCCounselNameChar"/>
          <w:sz w:val="20"/>
          <w:lang w:val="fr-CA"/>
        </w:rPr>
        <w:tab/>
        <w:t>Michael Bernstein</w:t>
      </w:r>
      <w:r w:rsidRPr="003D42C0">
        <w:rPr>
          <w:rStyle w:val="SCCCounselPartyRoleChar"/>
          <w:sz w:val="20"/>
          <w:lang w:val="fr-CA"/>
        </w:rPr>
        <w:t>, pour l’appelante.</w:t>
      </w:r>
    </w:p>
    <w:p w:rsidR="00AD7AC6" w:rsidRDefault="00AD7AC6" w:rsidP="00AD7AC6">
      <w:pPr>
        <w:pStyle w:val="SCCNormalDoubleSpacing"/>
        <w:spacing w:line="240" w:lineRule="auto"/>
        <w:rPr>
          <w:rStyle w:val="SCCCounselNameChar"/>
          <w:i w:val="0"/>
          <w:sz w:val="20"/>
          <w:lang w:val="fr-CA"/>
        </w:rPr>
      </w:pPr>
    </w:p>
    <w:p w:rsidR="00AD7AC6" w:rsidRPr="003D42C0" w:rsidRDefault="00AD7AC6" w:rsidP="00AD7AC6">
      <w:pPr>
        <w:pStyle w:val="SCCNormalDoubleSpacing"/>
        <w:spacing w:line="240" w:lineRule="auto"/>
        <w:rPr>
          <w:sz w:val="20"/>
          <w:lang w:val="fr-CA"/>
        </w:rPr>
      </w:pPr>
      <w:r w:rsidRPr="003D42C0">
        <w:rPr>
          <w:rStyle w:val="SCCCounselNameChar"/>
          <w:sz w:val="20"/>
          <w:lang w:val="fr-CA"/>
        </w:rPr>
        <w:tab/>
        <w:t>James Lockyer</w:t>
      </w:r>
      <w:r w:rsidRPr="003D42C0">
        <w:rPr>
          <w:rStyle w:val="SCCCounselSeparatorChar"/>
          <w:sz w:val="20"/>
        </w:rPr>
        <w:t xml:space="preserve"> et </w:t>
      </w:r>
      <w:r w:rsidRPr="003D42C0">
        <w:rPr>
          <w:rStyle w:val="SCCCounselNameChar"/>
          <w:sz w:val="20"/>
          <w:lang w:val="fr-CA"/>
        </w:rPr>
        <w:t>Richard Posner</w:t>
      </w:r>
      <w:r w:rsidRPr="003D42C0">
        <w:rPr>
          <w:rStyle w:val="SCCCounselPartyRoleChar"/>
          <w:sz w:val="20"/>
          <w:lang w:val="fr-CA"/>
        </w:rPr>
        <w:t>, pour l’intimé.</w:t>
      </w:r>
    </w:p>
    <w:p w:rsidR="00AD7AC6" w:rsidRDefault="00AD7AC6" w:rsidP="00AD7AC6">
      <w:pPr>
        <w:pStyle w:val="SCCLawFirm"/>
        <w:spacing w:line="240" w:lineRule="auto"/>
        <w:rPr>
          <w:sz w:val="20"/>
          <w:lang w:val="fr-CA"/>
        </w:rPr>
      </w:pPr>
    </w:p>
    <w:p w:rsidR="00AD7AC6" w:rsidRPr="003D42C0" w:rsidRDefault="00AD7AC6" w:rsidP="00AD7AC6">
      <w:pPr>
        <w:pStyle w:val="SCCLawFirm"/>
        <w:spacing w:line="240" w:lineRule="auto"/>
        <w:rPr>
          <w:sz w:val="20"/>
          <w:lang w:val="fr-CA"/>
        </w:rPr>
      </w:pPr>
      <w:r w:rsidRPr="003D42C0">
        <w:rPr>
          <w:sz w:val="20"/>
          <w:lang w:val="fr-CA"/>
        </w:rPr>
        <w:tab/>
        <w:t>Procureur de l’appelante : Procureur général de l’Ontario, Toronto.</w:t>
      </w:r>
    </w:p>
    <w:p w:rsidR="00AD7AC6" w:rsidRDefault="00AD7AC6" w:rsidP="00AD7AC6">
      <w:pPr>
        <w:pStyle w:val="SCCLawFirm"/>
        <w:spacing w:line="240" w:lineRule="auto"/>
        <w:rPr>
          <w:sz w:val="20"/>
          <w:lang w:val="fr-CA"/>
        </w:rPr>
      </w:pPr>
    </w:p>
    <w:p w:rsidR="00AD7AC6" w:rsidRDefault="00AD7AC6" w:rsidP="00AD7AC6">
      <w:pPr>
        <w:pStyle w:val="SCCLawFirm"/>
        <w:spacing w:line="240" w:lineRule="auto"/>
        <w:rPr>
          <w:sz w:val="20"/>
          <w:lang w:val="fr-CA"/>
        </w:rPr>
      </w:pPr>
      <w:r w:rsidRPr="003D42C0">
        <w:rPr>
          <w:sz w:val="20"/>
          <w:lang w:val="fr-CA"/>
        </w:rPr>
        <w:tab/>
        <w:t>Procureurs de l’intimé : Lockyer Campbell Posner, Toronto.</w:t>
      </w:r>
    </w:p>
    <w:p w:rsidR="003B3977" w:rsidRPr="00AD7AC6" w:rsidRDefault="003B3977" w:rsidP="005C6840">
      <w:pPr>
        <w:rPr>
          <w:rFonts w:cs="Times New Roman"/>
          <w:sz w:val="20"/>
          <w:szCs w:val="20"/>
          <w:lang w:val="fr-CA"/>
        </w:rPr>
      </w:pPr>
    </w:p>
    <w:p w:rsidR="0052229C" w:rsidRDefault="00742BC3" w:rsidP="008E5555">
      <w:pPr>
        <w:rPr>
          <w:sz w:val="20"/>
          <w:lang w:val="fr-CA"/>
        </w:rPr>
      </w:pPr>
      <w:r>
        <w:rPr>
          <w:rFonts w:cs="Times New Roman"/>
          <w:sz w:val="20"/>
          <w:szCs w:val="20"/>
          <w:lang w:val="fr-CA"/>
        </w:rPr>
        <w:pict>
          <v:rect id="_x0000_i1068" style="width:144.3pt;height:1pt" o:hrpct="300" o:hralign="center" o:hrstd="t" o:hrnoshade="t" o:hr="t" fillcolor="black [3213]" stroked="f"/>
        </w:pict>
      </w:r>
    </w:p>
    <w:p w:rsidR="00902E51" w:rsidRPr="00352A49" w:rsidRDefault="00902E51" w:rsidP="00902E51">
      <w:pPr>
        <w:rPr>
          <w:sz w:val="20"/>
          <w:szCs w:val="20"/>
          <w:lang w:val="fr-CA"/>
        </w:rPr>
      </w:pP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E563A0"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086A0B" w:rsidRPr="00E563A0" w:rsidTr="005A79A3">
        <w:trPr>
          <w:cantSplit/>
          <w:trHeight w:val="1152"/>
        </w:trPr>
        <w:tc>
          <w:tcPr>
            <w:tcW w:w="4320" w:type="dxa"/>
            <w:tcBorders>
              <w:top w:val="nil"/>
              <w:left w:val="nil"/>
              <w:bottom w:val="nil"/>
              <w:right w:val="nil"/>
            </w:tcBorders>
          </w:tcPr>
          <w:p w:rsidR="00086A0B" w:rsidRPr="00DD0B49" w:rsidRDefault="00086A0B" w:rsidP="005A79A3">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086A0B" w:rsidRPr="00DD0B49" w:rsidRDefault="00086A0B" w:rsidP="005A79A3">
            <w:pPr>
              <w:rPr>
                <w:rFonts w:cs="Times New Roman"/>
                <w:b/>
                <w:bCs/>
                <w:sz w:val="20"/>
                <w:szCs w:val="20"/>
                <w:lang w:val="en-GB"/>
              </w:rPr>
            </w:pPr>
          </w:p>
        </w:tc>
        <w:tc>
          <w:tcPr>
            <w:tcW w:w="4320" w:type="dxa"/>
            <w:tcBorders>
              <w:top w:val="nil"/>
              <w:left w:val="nil"/>
              <w:bottom w:val="nil"/>
              <w:right w:val="nil"/>
            </w:tcBorders>
          </w:tcPr>
          <w:p w:rsidR="00086A0B" w:rsidRPr="00DD0B49" w:rsidRDefault="00086A0B" w:rsidP="005A79A3">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086A0B" w:rsidRPr="00DD0B49" w:rsidTr="005A79A3">
        <w:tc>
          <w:tcPr>
            <w:tcW w:w="4320" w:type="dxa"/>
            <w:tcBorders>
              <w:top w:val="nil"/>
              <w:left w:val="nil"/>
              <w:bottom w:val="nil"/>
              <w:right w:val="nil"/>
            </w:tcBorders>
          </w:tcPr>
          <w:p w:rsidR="00086A0B" w:rsidRPr="00DD0B49" w:rsidRDefault="00086A0B" w:rsidP="005A79A3">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4</w:t>
            </w:r>
            <w:r w:rsidRPr="00DD0B49">
              <w:rPr>
                <w:rFonts w:cs="Times New Roman"/>
                <w:b/>
                <w:bCs/>
                <w:sz w:val="20"/>
                <w:szCs w:val="20"/>
                <w:lang w:val="en-GB"/>
              </w:rPr>
              <w:t xml:space="preserve">] </w:t>
            </w:r>
            <w:r>
              <w:rPr>
                <w:rFonts w:cs="Times New Roman"/>
                <w:b/>
                <w:bCs/>
                <w:sz w:val="20"/>
                <w:szCs w:val="20"/>
                <w:lang w:val="en-GB"/>
              </w:rPr>
              <w:t>2</w:t>
            </w:r>
            <w:r w:rsidRPr="00DD0B49">
              <w:rPr>
                <w:rFonts w:cs="Times New Roman"/>
                <w:b/>
                <w:bCs/>
                <w:sz w:val="20"/>
                <w:szCs w:val="20"/>
                <w:lang w:val="en-GB"/>
              </w:rPr>
              <w:t xml:space="preserve"> S.C.R. Part </w:t>
            </w:r>
            <w:r>
              <w:rPr>
                <w:rFonts w:cs="Times New Roman"/>
                <w:b/>
                <w:bCs/>
                <w:sz w:val="20"/>
                <w:szCs w:val="20"/>
                <w:lang w:val="en-GB"/>
              </w:rPr>
              <w:t>3</w:t>
            </w:r>
          </w:p>
          <w:p w:rsidR="00086A0B" w:rsidRPr="00DD0B49" w:rsidRDefault="00086A0B" w:rsidP="005A79A3">
            <w:pPr>
              <w:rPr>
                <w:rFonts w:cs="Times New Roman"/>
                <w:sz w:val="20"/>
                <w:szCs w:val="20"/>
                <w:lang w:val="en-GB"/>
              </w:rPr>
            </w:pPr>
          </w:p>
          <w:p w:rsidR="00086A0B" w:rsidRPr="00DD0B49" w:rsidRDefault="00086A0B" w:rsidP="005A79A3">
            <w:pPr>
              <w:rPr>
                <w:rFonts w:cs="Times New Roman"/>
                <w:sz w:val="20"/>
                <w:szCs w:val="20"/>
                <w:lang w:val="en-GB"/>
              </w:rPr>
            </w:pPr>
            <w:r>
              <w:rPr>
                <w:rFonts w:cs="Times New Roman"/>
                <w:sz w:val="20"/>
                <w:szCs w:val="20"/>
                <w:lang w:val="en-GB"/>
              </w:rPr>
              <w:t xml:space="preserve">Amex Bank of Canada </w:t>
            </w:r>
            <w:r w:rsidRPr="00DD0B49">
              <w:rPr>
                <w:rFonts w:cs="Times New Roman"/>
                <w:i/>
                <w:sz w:val="20"/>
                <w:szCs w:val="20"/>
                <w:lang w:val="en-GB"/>
              </w:rPr>
              <w:t>v.</w:t>
            </w:r>
            <w:r w:rsidRPr="00DD0B49">
              <w:rPr>
                <w:rFonts w:cs="Times New Roman"/>
                <w:sz w:val="20"/>
                <w:szCs w:val="20"/>
                <w:lang w:val="en-GB"/>
              </w:rPr>
              <w:t xml:space="preserve"> </w:t>
            </w:r>
            <w:r>
              <w:rPr>
                <w:rFonts w:cs="Times New Roman"/>
                <w:sz w:val="20"/>
                <w:szCs w:val="20"/>
                <w:lang w:val="en-GB"/>
              </w:rPr>
              <w:t>Adams</w:t>
            </w:r>
            <w:r w:rsidRPr="00DD0B49">
              <w:rPr>
                <w:rFonts w:cs="Times New Roman"/>
                <w:sz w:val="20"/>
                <w:szCs w:val="20"/>
                <w:lang w:val="en-GB"/>
              </w:rPr>
              <w:t>,</w:t>
            </w:r>
          </w:p>
          <w:p w:rsidR="00086A0B" w:rsidRPr="00DD0B49" w:rsidRDefault="00086A0B" w:rsidP="005A79A3">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56</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787</w:t>
            </w:r>
          </w:p>
          <w:p w:rsidR="00086A0B" w:rsidRPr="00DD0B49" w:rsidRDefault="00086A0B" w:rsidP="005A79A3">
            <w:pPr>
              <w:rPr>
                <w:rFonts w:cs="Times New Roman"/>
                <w:sz w:val="20"/>
                <w:szCs w:val="20"/>
                <w:lang w:val="en-GB"/>
              </w:rPr>
            </w:pPr>
          </w:p>
          <w:p w:rsidR="00086A0B" w:rsidRPr="00DD0B49" w:rsidRDefault="00086A0B" w:rsidP="005A79A3">
            <w:pPr>
              <w:rPr>
                <w:rFonts w:cs="Times New Roman"/>
                <w:sz w:val="20"/>
                <w:szCs w:val="20"/>
                <w:lang w:val="en-GB"/>
              </w:rPr>
            </w:pPr>
            <w:r>
              <w:rPr>
                <w:rFonts w:cs="Times New Roman"/>
                <w:sz w:val="20"/>
                <w:szCs w:val="20"/>
                <w:lang w:val="en-GB"/>
              </w:rPr>
              <w:t xml:space="preserve">Bank of Montreal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Marcotte</w:t>
            </w:r>
            <w:r w:rsidRPr="00DD0B49">
              <w:rPr>
                <w:rFonts w:cs="Times New Roman"/>
                <w:sz w:val="20"/>
                <w:szCs w:val="20"/>
                <w:lang w:val="en-GB"/>
              </w:rPr>
              <w:t>,</w:t>
            </w:r>
          </w:p>
          <w:p w:rsidR="00086A0B" w:rsidRPr="00BE42DA" w:rsidRDefault="00086A0B" w:rsidP="005A79A3">
            <w:pPr>
              <w:rPr>
                <w:rFonts w:cs="Times New Roman"/>
                <w:sz w:val="20"/>
                <w:szCs w:val="20"/>
                <w:lang w:val="fr-CA"/>
              </w:rPr>
            </w:pPr>
            <w:r w:rsidRPr="00BE42DA">
              <w:rPr>
                <w:rFonts w:cs="Times New Roman"/>
                <w:sz w:val="20"/>
                <w:szCs w:val="20"/>
                <w:lang w:val="fr-CA"/>
              </w:rPr>
              <w:t>2014 SCC 55, [2014] 2 S.C.R. 725</w:t>
            </w:r>
          </w:p>
          <w:p w:rsidR="00086A0B" w:rsidRPr="00BE42DA" w:rsidRDefault="00086A0B" w:rsidP="005A79A3">
            <w:pPr>
              <w:rPr>
                <w:rFonts w:cs="Times New Roman"/>
                <w:iCs/>
                <w:sz w:val="20"/>
                <w:szCs w:val="20"/>
                <w:lang w:val="fr-CA"/>
              </w:rPr>
            </w:pPr>
          </w:p>
          <w:p w:rsidR="00086A0B" w:rsidRPr="005A79A3" w:rsidRDefault="005A79A3" w:rsidP="005A79A3">
            <w:pPr>
              <w:rPr>
                <w:rFonts w:cs="Times New Roman"/>
                <w:iCs/>
                <w:sz w:val="20"/>
                <w:szCs w:val="20"/>
                <w:lang w:val="fr-CA"/>
              </w:rPr>
            </w:pPr>
            <w:r w:rsidRPr="005A79A3">
              <w:rPr>
                <w:rFonts w:cs="Times New Roman"/>
                <w:sz w:val="20"/>
                <w:szCs w:val="20"/>
                <w:lang w:val="fr-CA"/>
              </w:rPr>
              <w:t>M</w:t>
            </w:r>
            <w:r w:rsidR="00086A0B" w:rsidRPr="005A79A3">
              <w:rPr>
                <w:rFonts w:cs="Times New Roman"/>
                <w:sz w:val="20"/>
                <w:szCs w:val="20"/>
                <w:lang w:val="fr-CA"/>
              </w:rPr>
              <w:t>a</w:t>
            </w:r>
            <w:r w:rsidRPr="005A79A3">
              <w:rPr>
                <w:rFonts w:cs="Times New Roman"/>
                <w:sz w:val="20"/>
                <w:szCs w:val="20"/>
                <w:lang w:val="fr-CA"/>
              </w:rPr>
              <w:t>rcotte</w:t>
            </w:r>
            <w:r w:rsidR="00086A0B" w:rsidRPr="005A79A3">
              <w:rPr>
                <w:rFonts w:cs="Times New Roman"/>
                <w:iCs/>
                <w:sz w:val="20"/>
                <w:szCs w:val="20"/>
                <w:lang w:val="fr-CA"/>
              </w:rPr>
              <w:t xml:space="preserve"> </w:t>
            </w:r>
            <w:r w:rsidR="00086A0B" w:rsidRPr="005A79A3">
              <w:rPr>
                <w:rFonts w:cs="Times New Roman"/>
                <w:i/>
                <w:iCs/>
                <w:sz w:val="20"/>
                <w:szCs w:val="20"/>
                <w:lang w:val="fr-CA"/>
              </w:rPr>
              <w:t>v.</w:t>
            </w:r>
            <w:r w:rsidR="00086A0B" w:rsidRPr="005A79A3">
              <w:rPr>
                <w:rFonts w:cs="Times New Roman"/>
                <w:iCs/>
                <w:sz w:val="20"/>
                <w:szCs w:val="20"/>
                <w:lang w:val="fr-CA"/>
              </w:rPr>
              <w:t xml:space="preserve"> </w:t>
            </w:r>
            <w:r w:rsidRPr="005A79A3">
              <w:rPr>
                <w:rFonts w:cs="Times New Roman"/>
                <w:iCs/>
                <w:sz w:val="20"/>
                <w:szCs w:val="20"/>
                <w:lang w:val="fr-CA"/>
              </w:rPr>
              <w:t>Fédération des c</w:t>
            </w:r>
            <w:r w:rsidR="00086A0B" w:rsidRPr="005A79A3">
              <w:rPr>
                <w:rFonts w:cs="Times New Roman"/>
                <w:iCs/>
                <w:sz w:val="20"/>
                <w:szCs w:val="20"/>
                <w:lang w:val="fr-CA"/>
              </w:rPr>
              <w:t>a</w:t>
            </w:r>
            <w:r w:rsidRPr="005A79A3">
              <w:rPr>
                <w:rFonts w:cs="Times New Roman"/>
                <w:iCs/>
                <w:sz w:val="20"/>
                <w:szCs w:val="20"/>
                <w:lang w:val="fr-CA"/>
              </w:rPr>
              <w:t>isses Desj</w:t>
            </w:r>
            <w:r w:rsidR="00086A0B" w:rsidRPr="005A79A3">
              <w:rPr>
                <w:rFonts w:cs="Times New Roman"/>
                <w:iCs/>
                <w:sz w:val="20"/>
                <w:szCs w:val="20"/>
                <w:lang w:val="fr-CA"/>
              </w:rPr>
              <w:t>a</w:t>
            </w:r>
            <w:r w:rsidRPr="005A79A3">
              <w:rPr>
                <w:rFonts w:cs="Times New Roman"/>
                <w:iCs/>
                <w:sz w:val="20"/>
                <w:szCs w:val="20"/>
                <w:lang w:val="fr-CA"/>
              </w:rPr>
              <w:t>r</w:t>
            </w:r>
            <w:r w:rsidR="00086A0B" w:rsidRPr="005A79A3">
              <w:rPr>
                <w:rFonts w:cs="Times New Roman"/>
                <w:iCs/>
                <w:sz w:val="20"/>
                <w:szCs w:val="20"/>
                <w:lang w:val="fr-CA"/>
              </w:rPr>
              <w:t>d</w:t>
            </w:r>
            <w:r w:rsidRPr="005A79A3">
              <w:rPr>
                <w:rFonts w:cs="Times New Roman"/>
                <w:iCs/>
                <w:sz w:val="20"/>
                <w:szCs w:val="20"/>
                <w:lang w:val="fr-CA"/>
              </w:rPr>
              <w:t>ins du Québec</w:t>
            </w:r>
            <w:r w:rsidR="00086A0B" w:rsidRPr="005A79A3">
              <w:rPr>
                <w:rFonts w:cs="Times New Roman"/>
                <w:iCs/>
                <w:sz w:val="20"/>
                <w:szCs w:val="20"/>
                <w:lang w:val="fr-CA"/>
              </w:rPr>
              <w:t>,</w:t>
            </w:r>
          </w:p>
          <w:p w:rsidR="00086A0B" w:rsidRPr="00DD0B49" w:rsidRDefault="00086A0B" w:rsidP="005A79A3">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sidR="005A79A3">
              <w:rPr>
                <w:rFonts w:cs="Times New Roman"/>
                <w:sz w:val="20"/>
                <w:szCs w:val="20"/>
                <w:lang w:val="en-GB"/>
              </w:rPr>
              <w:t>57</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w:t>
            </w:r>
            <w:r w:rsidR="005A79A3">
              <w:rPr>
                <w:rFonts w:cs="Times New Roman"/>
                <w:sz w:val="20"/>
                <w:szCs w:val="20"/>
                <w:lang w:val="en-GB"/>
              </w:rPr>
              <w:t>80</w:t>
            </w:r>
            <w:r>
              <w:rPr>
                <w:rFonts w:cs="Times New Roman"/>
                <w:sz w:val="20"/>
                <w:szCs w:val="20"/>
                <w:lang w:val="en-GB"/>
              </w:rPr>
              <w:t>5</w:t>
            </w:r>
          </w:p>
          <w:p w:rsidR="00086A0B" w:rsidRPr="00DD0B49" w:rsidRDefault="00086A0B" w:rsidP="005A79A3">
            <w:pPr>
              <w:rPr>
                <w:rFonts w:cs="Times New Roman"/>
                <w:sz w:val="20"/>
                <w:szCs w:val="20"/>
                <w:lang w:val="en-GB"/>
              </w:rPr>
            </w:pPr>
          </w:p>
          <w:p w:rsidR="00086A0B" w:rsidRPr="00DD0B49" w:rsidRDefault="005A79A3" w:rsidP="005A79A3">
            <w:pPr>
              <w:rPr>
                <w:rFonts w:cs="Times New Roman"/>
                <w:sz w:val="20"/>
                <w:szCs w:val="20"/>
                <w:lang w:val="en-GB"/>
              </w:rPr>
            </w:pPr>
            <w:r>
              <w:rPr>
                <w:rFonts w:cs="Times New Roman"/>
                <w:sz w:val="20"/>
                <w:szCs w:val="20"/>
                <w:lang w:val="en-GB"/>
              </w:rPr>
              <w:t>R.</w:t>
            </w:r>
            <w:r w:rsidR="00086A0B">
              <w:rPr>
                <w:rFonts w:cs="Times New Roman"/>
                <w:sz w:val="20"/>
                <w:szCs w:val="20"/>
                <w:lang w:val="en-GB"/>
              </w:rPr>
              <w:t xml:space="preserve"> </w:t>
            </w:r>
            <w:r w:rsidR="00086A0B" w:rsidRPr="00DD0B49">
              <w:rPr>
                <w:rFonts w:cs="Times New Roman"/>
                <w:i/>
                <w:iCs/>
                <w:sz w:val="20"/>
                <w:szCs w:val="20"/>
                <w:lang w:val="en-GB"/>
              </w:rPr>
              <w:t>v.</w:t>
            </w:r>
            <w:r w:rsidR="00086A0B" w:rsidRPr="00DD0B49">
              <w:rPr>
                <w:rFonts w:cs="Times New Roman"/>
                <w:sz w:val="20"/>
                <w:szCs w:val="20"/>
                <w:lang w:val="en-GB"/>
              </w:rPr>
              <w:t xml:space="preserve"> </w:t>
            </w:r>
            <w:r>
              <w:rPr>
                <w:rFonts w:cs="Times New Roman"/>
                <w:sz w:val="20"/>
                <w:szCs w:val="20"/>
                <w:lang w:val="en-GB"/>
              </w:rPr>
              <w:t>Mi</w:t>
            </w:r>
            <w:r w:rsidR="00086A0B">
              <w:rPr>
                <w:rFonts w:cs="Times New Roman"/>
                <w:sz w:val="20"/>
                <w:szCs w:val="20"/>
                <w:lang w:val="en-GB"/>
              </w:rPr>
              <w:t>an</w:t>
            </w:r>
            <w:r w:rsidR="00086A0B" w:rsidRPr="00DD0B49">
              <w:rPr>
                <w:rFonts w:cs="Times New Roman"/>
                <w:sz w:val="20"/>
                <w:szCs w:val="20"/>
                <w:lang w:val="en-GB"/>
              </w:rPr>
              <w:t>,</w:t>
            </w:r>
          </w:p>
          <w:p w:rsidR="00086A0B" w:rsidRPr="00DD0B49" w:rsidRDefault="00086A0B" w:rsidP="005A79A3">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sidR="005A79A3">
              <w:rPr>
                <w:rFonts w:cs="Times New Roman"/>
                <w:sz w:val="20"/>
                <w:szCs w:val="20"/>
                <w:lang w:val="en-GB"/>
              </w:rPr>
              <w:t>54</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w:t>
            </w:r>
            <w:r w:rsidR="005A79A3">
              <w:rPr>
                <w:rFonts w:cs="Times New Roman"/>
                <w:sz w:val="20"/>
                <w:szCs w:val="20"/>
                <w:lang w:val="en-GB"/>
              </w:rPr>
              <w:t>689</w:t>
            </w:r>
          </w:p>
          <w:p w:rsidR="00086A0B" w:rsidRDefault="00086A0B" w:rsidP="005A79A3">
            <w:pPr>
              <w:rPr>
                <w:rFonts w:cs="Times New Roman"/>
                <w:sz w:val="20"/>
                <w:szCs w:val="20"/>
                <w:lang w:val="en-GB"/>
              </w:rPr>
            </w:pPr>
          </w:p>
          <w:p w:rsidR="00086A0B" w:rsidRPr="00DD0B49" w:rsidRDefault="005A79A3" w:rsidP="005A79A3">
            <w:pPr>
              <w:rPr>
                <w:rFonts w:cs="Times New Roman"/>
                <w:sz w:val="20"/>
                <w:szCs w:val="20"/>
                <w:lang w:val="en-GB"/>
              </w:rPr>
            </w:pPr>
            <w:r>
              <w:rPr>
                <w:rFonts w:cs="Times New Roman"/>
                <w:sz w:val="20"/>
                <w:szCs w:val="20"/>
                <w:lang w:val="en-GB"/>
              </w:rPr>
              <w:t>Sattva Cap</w:t>
            </w:r>
            <w:r w:rsidR="00086A0B">
              <w:rPr>
                <w:rFonts w:cs="Times New Roman"/>
                <w:sz w:val="20"/>
                <w:szCs w:val="20"/>
                <w:lang w:val="en-GB"/>
              </w:rPr>
              <w:t>i</w:t>
            </w:r>
            <w:r>
              <w:rPr>
                <w:rFonts w:cs="Times New Roman"/>
                <w:sz w:val="20"/>
                <w:szCs w:val="20"/>
                <w:lang w:val="en-GB"/>
              </w:rPr>
              <w:t>tal Corp.</w:t>
            </w:r>
            <w:r w:rsidR="00086A0B">
              <w:rPr>
                <w:rFonts w:cs="Times New Roman"/>
                <w:sz w:val="20"/>
                <w:szCs w:val="20"/>
                <w:lang w:val="en-GB"/>
              </w:rPr>
              <w:t xml:space="preserve"> </w:t>
            </w:r>
            <w:r w:rsidR="00086A0B" w:rsidRPr="00DD0B49">
              <w:rPr>
                <w:rFonts w:cs="Times New Roman"/>
                <w:i/>
                <w:iCs/>
                <w:sz w:val="20"/>
                <w:szCs w:val="20"/>
                <w:lang w:val="en-GB"/>
              </w:rPr>
              <w:t>v</w:t>
            </w:r>
            <w:r w:rsidR="00086A0B" w:rsidRPr="00DD0B49">
              <w:rPr>
                <w:rFonts w:cs="Times New Roman"/>
                <w:sz w:val="20"/>
                <w:szCs w:val="20"/>
                <w:lang w:val="en-GB"/>
              </w:rPr>
              <w:t xml:space="preserve">. </w:t>
            </w:r>
            <w:r>
              <w:rPr>
                <w:rFonts w:cs="Times New Roman"/>
                <w:sz w:val="20"/>
                <w:szCs w:val="20"/>
                <w:lang w:val="en-GB"/>
              </w:rPr>
              <w:t>Cresto</w:t>
            </w:r>
            <w:r w:rsidR="00086A0B">
              <w:rPr>
                <w:rFonts w:cs="Times New Roman"/>
                <w:sz w:val="20"/>
                <w:szCs w:val="20"/>
                <w:lang w:val="en-GB"/>
              </w:rPr>
              <w:t>n M</w:t>
            </w:r>
            <w:r>
              <w:rPr>
                <w:rFonts w:cs="Times New Roman"/>
                <w:sz w:val="20"/>
                <w:szCs w:val="20"/>
                <w:lang w:val="en-GB"/>
              </w:rPr>
              <w:t>oly Corp.</w:t>
            </w:r>
            <w:r w:rsidR="00086A0B" w:rsidRPr="00DD0B49">
              <w:rPr>
                <w:rFonts w:cs="Times New Roman"/>
                <w:sz w:val="20"/>
                <w:szCs w:val="20"/>
                <w:lang w:val="en-GB"/>
              </w:rPr>
              <w:t>,</w:t>
            </w:r>
          </w:p>
          <w:p w:rsidR="00086A0B" w:rsidRPr="00DD0B49" w:rsidRDefault="00086A0B" w:rsidP="005A79A3">
            <w:pPr>
              <w:rPr>
                <w:rFonts w:cs="Times New Roman"/>
                <w:sz w:val="20"/>
                <w:szCs w:val="20"/>
              </w:rPr>
            </w:pPr>
            <w:r w:rsidRPr="00DD0B49">
              <w:rPr>
                <w:rFonts w:cs="Times New Roman"/>
                <w:sz w:val="20"/>
                <w:szCs w:val="20"/>
              </w:rPr>
              <w:t>201</w:t>
            </w:r>
            <w:r>
              <w:rPr>
                <w:rFonts w:cs="Times New Roman"/>
                <w:sz w:val="20"/>
                <w:szCs w:val="20"/>
              </w:rPr>
              <w:t>4</w:t>
            </w:r>
            <w:r w:rsidRPr="00DD0B49">
              <w:rPr>
                <w:rFonts w:cs="Times New Roman"/>
                <w:sz w:val="20"/>
                <w:szCs w:val="20"/>
              </w:rPr>
              <w:t xml:space="preserve"> SCC </w:t>
            </w:r>
            <w:r w:rsidR="005A79A3">
              <w:rPr>
                <w:rFonts w:cs="Times New Roman"/>
                <w:sz w:val="20"/>
                <w:szCs w:val="20"/>
              </w:rPr>
              <w:t>5</w:t>
            </w:r>
            <w:r>
              <w:rPr>
                <w:rFonts w:cs="Times New Roman"/>
                <w:sz w:val="20"/>
                <w:szCs w:val="20"/>
              </w:rPr>
              <w:t>3</w:t>
            </w:r>
            <w:r w:rsidRPr="00DD0B49">
              <w:rPr>
                <w:rFonts w:cs="Times New Roman"/>
                <w:sz w:val="20"/>
                <w:szCs w:val="20"/>
              </w:rPr>
              <w:t>, [201</w:t>
            </w:r>
            <w:r>
              <w:rPr>
                <w:rFonts w:cs="Times New Roman"/>
                <w:sz w:val="20"/>
                <w:szCs w:val="20"/>
              </w:rPr>
              <w:t>4</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S.C.R. </w:t>
            </w:r>
            <w:r w:rsidR="005A79A3">
              <w:rPr>
                <w:rFonts w:cs="Times New Roman"/>
                <w:sz w:val="20"/>
                <w:szCs w:val="20"/>
              </w:rPr>
              <w:t>633</w:t>
            </w:r>
          </w:p>
          <w:p w:rsidR="00086A0B" w:rsidRDefault="00086A0B" w:rsidP="005A79A3">
            <w:pPr>
              <w:rPr>
                <w:rFonts w:cs="Times New Roman"/>
                <w:sz w:val="20"/>
                <w:szCs w:val="20"/>
              </w:rPr>
            </w:pPr>
          </w:p>
          <w:p w:rsidR="00086A0B" w:rsidRPr="00DD0B49" w:rsidRDefault="00742BC3" w:rsidP="004F1D2C">
            <w:pPr>
              <w:keepNext/>
              <w:keepLines/>
              <w:rPr>
                <w:rFonts w:cs="Times New Roman"/>
                <w:bCs/>
                <w:sz w:val="20"/>
                <w:szCs w:val="20"/>
                <w:lang w:val="fr-CA"/>
              </w:rPr>
            </w:pPr>
            <w:r>
              <w:rPr>
                <w:rFonts w:cs="Times New Roman"/>
                <w:sz w:val="20"/>
                <w:szCs w:val="20"/>
              </w:rPr>
              <w:pict>
                <v:rect id="_x0000_i1071" style="width:129.6pt;height:1pt" o:hrpct="600" o:hralign="center" o:hrstd="t" o:hrnoshade="t" o:hr="t" fillcolor="black [3213]" stroked="f"/>
              </w:pict>
            </w:r>
          </w:p>
        </w:tc>
        <w:tc>
          <w:tcPr>
            <w:tcW w:w="840" w:type="dxa"/>
            <w:tcBorders>
              <w:top w:val="nil"/>
              <w:left w:val="nil"/>
              <w:bottom w:val="nil"/>
              <w:right w:val="nil"/>
            </w:tcBorders>
          </w:tcPr>
          <w:p w:rsidR="00086A0B" w:rsidRPr="00DD0B49" w:rsidRDefault="00086A0B" w:rsidP="005A79A3">
            <w:pPr>
              <w:rPr>
                <w:rFonts w:cs="Times New Roman"/>
                <w:b/>
                <w:bCs/>
                <w:sz w:val="20"/>
                <w:szCs w:val="20"/>
                <w:lang w:val="fr-CA"/>
              </w:rPr>
            </w:pPr>
          </w:p>
        </w:tc>
        <w:tc>
          <w:tcPr>
            <w:tcW w:w="4320" w:type="dxa"/>
            <w:tcBorders>
              <w:top w:val="nil"/>
              <w:left w:val="nil"/>
              <w:bottom w:val="nil"/>
              <w:right w:val="nil"/>
            </w:tcBorders>
          </w:tcPr>
          <w:p w:rsidR="00086A0B" w:rsidRPr="00DD0B49" w:rsidRDefault="00086A0B" w:rsidP="005A79A3">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4</w:t>
            </w:r>
            <w:r w:rsidRPr="00DD0B49">
              <w:rPr>
                <w:rFonts w:cs="Times New Roman"/>
                <w:b/>
                <w:bCs/>
                <w:sz w:val="20"/>
                <w:szCs w:val="20"/>
                <w:lang w:val="fr-CA"/>
              </w:rPr>
              <w:t xml:space="preserve">] </w:t>
            </w:r>
            <w:r>
              <w:rPr>
                <w:rFonts w:cs="Times New Roman"/>
                <w:b/>
                <w:bCs/>
                <w:sz w:val="20"/>
                <w:szCs w:val="20"/>
                <w:lang w:val="fr-CA"/>
              </w:rPr>
              <w:t>2</w:t>
            </w:r>
            <w:r w:rsidRPr="00DD0B49">
              <w:rPr>
                <w:rFonts w:cs="Times New Roman"/>
                <w:b/>
                <w:bCs/>
                <w:sz w:val="20"/>
                <w:szCs w:val="20"/>
                <w:lang w:val="fr-CA"/>
              </w:rPr>
              <w:t xml:space="preserve"> R.C.S. Partie </w:t>
            </w:r>
            <w:r>
              <w:rPr>
                <w:rFonts w:cs="Times New Roman"/>
                <w:b/>
                <w:bCs/>
                <w:sz w:val="20"/>
                <w:szCs w:val="20"/>
                <w:lang w:val="fr-CA"/>
              </w:rPr>
              <w:t>3</w:t>
            </w:r>
          </w:p>
          <w:p w:rsidR="00086A0B" w:rsidRPr="00DD0B49" w:rsidRDefault="00086A0B" w:rsidP="005A79A3">
            <w:pPr>
              <w:rPr>
                <w:rFonts w:cs="Times New Roman"/>
                <w:b/>
                <w:bCs/>
                <w:sz w:val="20"/>
                <w:szCs w:val="20"/>
                <w:lang w:val="fr-CA"/>
              </w:rPr>
            </w:pPr>
          </w:p>
          <w:p w:rsidR="00086A0B" w:rsidRPr="00EE0831" w:rsidRDefault="00086A0B" w:rsidP="005A79A3">
            <w:pPr>
              <w:rPr>
                <w:rFonts w:cs="Times New Roman"/>
                <w:sz w:val="20"/>
                <w:szCs w:val="20"/>
                <w:lang w:val="fr-CA"/>
              </w:rPr>
            </w:pPr>
            <w:r>
              <w:rPr>
                <w:rFonts w:cs="Times New Roman"/>
                <w:sz w:val="20"/>
                <w:szCs w:val="20"/>
                <w:lang w:val="fr-CA"/>
              </w:rPr>
              <w:t>Banque Amex du Canada</w:t>
            </w:r>
            <w:r w:rsidRPr="00EE0831">
              <w:rPr>
                <w:rFonts w:cs="Times New Roman"/>
                <w:sz w:val="20"/>
                <w:szCs w:val="20"/>
                <w:lang w:val="fr-CA"/>
              </w:rPr>
              <w:t xml:space="preserve"> </w:t>
            </w:r>
            <w:r w:rsidRPr="00EE0831">
              <w:rPr>
                <w:rFonts w:cs="Times New Roman"/>
                <w:i/>
                <w:sz w:val="20"/>
                <w:szCs w:val="20"/>
                <w:lang w:val="fr-CA"/>
              </w:rPr>
              <w:t>c.</w:t>
            </w:r>
            <w:r w:rsidRPr="00EE0831">
              <w:rPr>
                <w:rFonts w:cs="Times New Roman"/>
                <w:sz w:val="20"/>
                <w:szCs w:val="20"/>
                <w:lang w:val="fr-CA"/>
              </w:rPr>
              <w:t xml:space="preserve"> </w:t>
            </w:r>
            <w:r>
              <w:rPr>
                <w:rFonts w:cs="Times New Roman"/>
                <w:sz w:val="20"/>
                <w:szCs w:val="20"/>
                <w:lang w:val="fr-CA"/>
              </w:rPr>
              <w:t>Ad</w:t>
            </w:r>
            <w:r w:rsidRPr="00EE0831">
              <w:rPr>
                <w:rFonts w:cs="Times New Roman"/>
                <w:sz w:val="20"/>
                <w:szCs w:val="20"/>
                <w:lang w:val="fr-CA"/>
              </w:rPr>
              <w:t>a</w:t>
            </w:r>
            <w:r>
              <w:rPr>
                <w:rFonts w:cs="Times New Roman"/>
                <w:sz w:val="20"/>
                <w:szCs w:val="20"/>
                <w:lang w:val="fr-CA"/>
              </w:rPr>
              <w:t>ms</w:t>
            </w:r>
            <w:r w:rsidRPr="00EE0831">
              <w:rPr>
                <w:rFonts w:cs="Times New Roman"/>
                <w:sz w:val="20"/>
                <w:szCs w:val="20"/>
                <w:lang w:val="fr-CA"/>
              </w:rPr>
              <w:t>,</w:t>
            </w:r>
          </w:p>
          <w:p w:rsidR="00086A0B" w:rsidRPr="00EE0831" w:rsidRDefault="00086A0B" w:rsidP="005A79A3">
            <w:pPr>
              <w:rPr>
                <w:rFonts w:cs="Times New Roman"/>
                <w:sz w:val="20"/>
                <w:szCs w:val="20"/>
                <w:lang w:val="fr-CA"/>
              </w:rPr>
            </w:pPr>
            <w:r w:rsidRPr="00EE0831">
              <w:rPr>
                <w:rFonts w:cs="Times New Roman"/>
                <w:sz w:val="20"/>
                <w:szCs w:val="20"/>
                <w:lang w:val="fr-CA"/>
              </w:rPr>
              <w:t>201</w:t>
            </w:r>
            <w:r>
              <w:rPr>
                <w:rFonts w:cs="Times New Roman"/>
                <w:sz w:val="20"/>
                <w:szCs w:val="20"/>
                <w:lang w:val="fr-CA"/>
              </w:rPr>
              <w:t>4</w:t>
            </w:r>
            <w:r w:rsidRPr="00EE0831">
              <w:rPr>
                <w:rFonts w:cs="Times New Roman"/>
                <w:sz w:val="20"/>
                <w:szCs w:val="20"/>
                <w:lang w:val="fr-CA"/>
              </w:rPr>
              <w:t xml:space="preserve"> CSC </w:t>
            </w:r>
            <w:r>
              <w:rPr>
                <w:rFonts w:cs="Times New Roman"/>
                <w:sz w:val="20"/>
                <w:szCs w:val="20"/>
                <w:lang w:val="fr-CA"/>
              </w:rPr>
              <w:t>56</w:t>
            </w:r>
            <w:r w:rsidRPr="00EE0831">
              <w:rPr>
                <w:rFonts w:cs="Times New Roman"/>
                <w:sz w:val="20"/>
                <w:szCs w:val="20"/>
                <w:lang w:val="fr-CA"/>
              </w:rPr>
              <w:t>, [201</w:t>
            </w:r>
            <w:r>
              <w:rPr>
                <w:rFonts w:cs="Times New Roman"/>
                <w:sz w:val="20"/>
                <w:szCs w:val="20"/>
                <w:lang w:val="fr-CA"/>
              </w:rPr>
              <w:t>4</w:t>
            </w:r>
            <w:r w:rsidRPr="00EE0831">
              <w:rPr>
                <w:rFonts w:cs="Times New Roman"/>
                <w:sz w:val="20"/>
                <w:szCs w:val="20"/>
                <w:lang w:val="fr-CA"/>
              </w:rPr>
              <w:t xml:space="preserve">] </w:t>
            </w:r>
            <w:r>
              <w:rPr>
                <w:rFonts w:cs="Times New Roman"/>
                <w:sz w:val="20"/>
                <w:szCs w:val="20"/>
                <w:lang w:val="fr-CA"/>
              </w:rPr>
              <w:t>2</w:t>
            </w:r>
            <w:r w:rsidRPr="00EE0831">
              <w:rPr>
                <w:rFonts w:cs="Times New Roman"/>
                <w:sz w:val="20"/>
                <w:szCs w:val="20"/>
                <w:lang w:val="fr-CA"/>
              </w:rPr>
              <w:t xml:space="preserve"> R.C.S. </w:t>
            </w:r>
            <w:r>
              <w:rPr>
                <w:rFonts w:cs="Times New Roman"/>
                <w:sz w:val="20"/>
                <w:szCs w:val="20"/>
                <w:lang w:val="fr-CA"/>
              </w:rPr>
              <w:t>787</w:t>
            </w:r>
          </w:p>
          <w:p w:rsidR="00086A0B" w:rsidRPr="00EE0831" w:rsidRDefault="00086A0B" w:rsidP="005A79A3">
            <w:pPr>
              <w:rPr>
                <w:rFonts w:cs="Times New Roman"/>
                <w:sz w:val="20"/>
                <w:szCs w:val="20"/>
                <w:lang w:val="fr-CA"/>
              </w:rPr>
            </w:pPr>
          </w:p>
          <w:p w:rsidR="00086A0B" w:rsidRPr="00EE0831" w:rsidRDefault="005A79A3" w:rsidP="005A79A3">
            <w:pPr>
              <w:rPr>
                <w:rFonts w:cs="Times New Roman"/>
                <w:sz w:val="20"/>
                <w:szCs w:val="20"/>
                <w:lang w:val="fr-CA"/>
              </w:rPr>
            </w:pPr>
            <w:r>
              <w:rPr>
                <w:rFonts w:cs="Times New Roman"/>
                <w:sz w:val="20"/>
                <w:szCs w:val="20"/>
                <w:lang w:val="fr-CA"/>
              </w:rPr>
              <w:t>Ba</w:t>
            </w:r>
            <w:r w:rsidR="00086A0B">
              <w:rPr>
                <w:rFonts w:cs="Times New Roman"/>
                <w:sz w:val="20"/>
                <w:szCs w:val="20"/>
                <w:lang w:val="fr-CA"/>
              </w:rPr>
              <w:t>n</w:t>
            </w:r>
            <w:r>
              <w:rPr>
                <w:rFonts w:cs="Times New Roman"/>
                <w:sz w:val="20"/>
                <w:szCs w:val="20"/>
                <w:lang w:val="fr-CA"/>
              </w:rPr>
              <w:t>qu</w:t>
            </w:r>
            <w:r w:rsidR="00086A0B">
              <w:rPr>
                <w:rFonts w:cs="Times New Roman"/>
                <w:sz w:val="20"/>
                <w:szCs w:val="20"/>
                <w:lang w:val="fr-CA"/>
              </w:rPr>
              <w:t>e de</w:t>
            </w:r>
            <w:r>
              <w:rPr>
                <w:rFonts w:cs="Times New Roman"/>
                <w:sz w:val="20"/>
                <w:szCs w:val="20"/>
                <w:lang w:val="fr-CA"/>
              </w:rPr>
              <w:t xml:space="preserve"> Montréal</w:t>
            </w:r>
            <w:r w:rsidR="00086A0B" w:rsidRPr="00EE0831">
              <w:rPr>
                <w:rFonts w:cs="Times New Roman"/>
                <w:sz w:val="20"/>
                <w:szCs w:val="20"/>
                <w:lang w:val="fr-CA"/>
              </w:rPr>
              <w:t xml:space="preserve"> </w:t>
            </w:r>
            <w:r w:rsidR="00086A0B" w:rsidRPr="00EE0831">
              <w:rPr>
                <w:rFonts w:cs="Times New Roman"/>
                <w:i/>
                <w:iCs/>
                <w:sz w:val="20"/>
                <w:szCs w:val="20"/>
                <w:lang w:val="fr-CA"/>
              </w:rPr>
              <w:t>c.</w:t>
            </w:r>
            <w:r w:rsidR="00086A0B" w:rsidRPr="00EE0831">
              <w:rPr>
                <w:rFonts w:cs="Times New Roman"/>
                <w:iCs/>
                <w:sz w:val="20"/>
                <w:szCs w:val="20"/>
                <w:lang w:val="fr-CA"/>
              </w:rPr>
              <w:t xml:space="preserve"> </w:t>
            </w:r>
            <w:r>
              <w:rPr>
                <w:rFonts w:cs="Times New Roman"/>
                <w:iCs/>
                <w:sz w:val="20"/>
                <w:szCs w:val="20"/>
                <w:lang w:val="fr-CA"/>
              </w:rPr>
              <w:t>M</w:t>
            </w:r>
            <w:r w:rsidR="00086A0B" w:rsidRPr="00EE0831">
              <w:rPr>
                <w:rFonts w:cs="Times New Roman"/>
                <w:iCs/>
                <w:sz w:val="20"/>
                <w:szCs w:val="20"/>
                <w:lang w:val="fr-CA"/>
              </w:rPr>
              <w:t>a</w:t>
            </w:r>
            <w:r>
              <w:rPr>
                <w:rFonts w:cs="Times New Roman"/>
                <w:iCs/>
                <w:sz w:val="20"/>
                <w:szCs w:val="20"/>
                <w:lang w:val="fr-CA"/>
              </w:rPr>
              <w:t>rcotte</w:t>
            </w:r>
            <w:r w:rsidR="00086A0B" w:rsidRPr="00EE0831">
              <w:rPr>
                <w:rFonts w:cs="Times New Roman"/>
                <w:sz w:val="20"/>
                <w:szCs w:val="20"/>
                <w:lang w:val="fr-CA"/>
              </w:rPr>
              <w:t>,</w:t>
            </w:r>
          </w:p>
          <w:p w:rsidR="00086A0B" w:rsidRPr="00C34FEA" w:rsidRDefault="00086A0B" w:rsidP="005A79A3">
            <w:pPr>
              <w:rPr>
                <w:rFonts w:cs="Times New Roman"/>
                <w:sz w:val="20"/>
                <w:szCs w:val="20"/>
                <w:lang w:val="fr-CA"/>
              </w:rPr>
            </w:pPr>
            <w:r w:rsidRPr="00C34FEA">
              <w:rPr>
                <w:rFonts w:cs="Times New Roman"/>
                <w:sz w:val="20"/>
                <w:szCs w:val="20"/>
                <w:lang w:val="fr-CA"/>
              </w:rPr>
              <w:t xml:space="preserve">2014 CSC </w:t>
            </w:r>
            <w:r w:rsidR="005A79A3">
              <w:rPr>
                <w:rFonts w:cs="Times New Roman"/>
                <w:sz w:val="20"/>
                <w:szCs w:val="20"/>
                <w:lang w:val="fr-CA"/>
              </w:rPr>
              <w:t>55</w:t>
            </w:r>
            <w:r w:rsidRPr="00C34FEA">
              <w:rPr>
                <w:rFonts w:cs="Times New Roman"/>
                <w:sz w:val="20"/>
                <w:szCs w:val="20"/>
                <w:lang w:val="fr-CA"/>
              </w:rPr>
              <w:t xml:space="preserve">, [2014] 2 R.C.S. </w:t>
            </w:r>
            <w:r w:rsidR="005A79A3">
              <w:rPr>
                <w:rFonts w:cs="Times New Roman"/>
                <w:sz w:val="20"/>
                <w:szCs w:val="20"/>
                <w:lang w:val="fr-CA"/>
              </w:rPr>
              <w:t>72</w:t>
            </w:r>
            <w:r w:rsidRPr="00C34FEA">
              <w:rPr>
                <w:rFonts w:cs="Times New Roman"/>
                <w:sz w:val="20"/>
                <w:szCs w:val="20"/>
                <w:lang w:val="fr-CA"/>
              </w:rPr>
              <w:t>5</w:t>
            </w:r>
          </w:p>
          <w:p w:rsidR="00086A0B" w:rsidRPr="00C34FEA" w:rsidRDefault="00086A0B" w:rsidP="005A79A3">
            <w:pPr>
              <w:rPr>
                <w:rFonts w:cs="Times New Roman"/>
                <w:iCs/>
                <w:sz w:val="20"/>
                <w:szCs w:val="20"/>
                <w:lang w:val="fr-CA"/>
              </w:rPr>
            </w:pPr>
          </w:p>
          <w:p w:rsidR="00086A0B" w:rsidRPr="00C34FEA" w:rsidRDefault="005A79A3" w:rsidP="005A79A3">
            <w:pPr>
              <w:rPr>
                <w:rFonts w:cs="Times New Roman"/>
                <w:sz w:val="20"/>
                <w:szCs w:val="20"/>
                <w:lang w:val="fr-CA"/>
              </w:rPr>
            </w:pPr>
            <w:r>
              <w:rPr>
                <w:rFonts w:cs="Times New Roman"/>
                <w:iCs/>
                <w:sz w:val="20"/>
                <w:szCs w:val="20"/>
                <w:lang w:val="fr-CA"/>
              </w:rPr>
              <w:t>Ma</w:t>
            </w:r>
            <w:r w:rsidR="00086A0B" w:rsidRPr="00C34FEA">
              <w:rPr>
                <w:rFonts w:cs="Times New Roman"/>
                <w:iCs/>
                <w:sz w:val="20"/>
                <w:szCs w:val="20"/>
                <w:lang w:val="fr-CA"/>
              </w:rPr>
              <w:t>r</w:t>
            </w:r>
            <w:r>
              <w:rPr>
                <w:rFonts w:cs="Times New Roman"/>
                <w:iCs/>
                <w:sz w:val="20"/>
                <w:szCs w:val="20"/>
                <w:lang w:val="fr-CA"/>
              </w:rPr>
              <w:t>c</w:t>
            </w:r>
            <w:r w:rsidR="00086A0B" w:rsidRPr="00C34FEA">
              <w:rPr>
                <w:rFonts w:cs="Times New Roman"/>
                <w:iCs/>
                <w:sz w:val="20"/>
                <w:szCs w:val="20"/>
                <w:lang w:val="fr-CA"/>
              </w:rPr>
              <w:t>ot</w:t>
            </w:r>
            <w:r>
              <w:rPr>
                <w:rFonts w:cs="Times New Roman"/>
                <w:iCs/>
                <w:sz w:val="20"/>
                <w:szCs w:val="20"/>
                <w:lang w:val="fr-CA"/>
              </w:rPr>
              <w:t>t</w:t>
            </w:r>
            <w:r w:rsidR="00086A0B" w:rsidRPr="00C34FEA">
              <w:rPr>
                <w:rFonts w:cs="Times New Roman"/>
                <w:iCs/>
                <w:sz w:val="20"/>
                <w:szCs w:val="20"/>
                <w:lang w:val="fr-CA"/>
              </w:rPr>
              <w:t xml:space="preserve">e </w:t>
            </w:r>
            <w:r w:rsidR="00086A0B" w:rsidRPr="00C34FEA">
              <w:rPr>
                <w:rFonts w:cs="Times New Roman"/>
                <w:i/>
                <w:iCs/>
                <w:sz w:val="20"/>
                <w:szCs w:val="20"/>
                <w:lang w:val="fr-CA"/>
              </w:rPr>
              <w:t>c.</w:t>
            </w:r>
            <w:r w:rsidR="00086A0B" w:rsidRPr="00C34FEA">
              <w:rPr>
                <w:rFonts w:cs="Times New Roman"/>
                <w:iCs/>
                <w:sz w:val="20"/>
                <w:szCs w:val="20"/>
                <w:lang w:val="fr-CA"/>
              </w:rPr>
              <w:t xml:space="preserve"> </w:t>
            </w:r>
            <w:r>
              <w:rPr>
                <w:rFonts w:cs="Times New Roman"/>
                <w:iCs/>
                <w:sz w:val="20"/>
                <w:szCs w:val="20"/>
                <w:lang w:val="fr-CA"/>
              </w:rPr>
              <w:t xml:space="preserve">Fédération </w:t>
            </w:r>
            <w:r w:rsidR="00086A0B">
              <w:rPr>
                <w:rFonts w:cs="Times New Roman"/>
                <w:iCs/>
                <w:sz w:val="20"/>
                <w:szCs w:val="20"/>
                <w:lang w:val="fr-CA"/>
              </w:rPr>
              <w:t xml:space="preserve">des </w:t>
            </w:r>
            <w:r>
              <w:rPr>
                <w:rFonts w:cs="Times New Roman"/>
                <w:iCs/>
                <w:sz w:val="20"/>
                <w:szCs w:val="20"/>
                <w:lang w:val="fr-CA"/>
              </w:rPr>
              <w:t>c</w:t>
            </w:r>
            <w:r w:rsidR="00086A0B">
              <w:rPr>
                <w:rFonts w:cs="Times New Roman"/>
                <w:iCs/>
                <w:sz w:val="20"/>
                <w:szCs w:val="20"/>
                <w:lang w:val="fr-CA"/>
              </w:rPr>
              <w:t>a</w:t>
            </w:r>
            <w:r>
              <w:rPr>
                <w:rFonts w:cs="Times New Roman"/>
                <w:iCs/>
                <w:sz w:val="20"/>
                <w:szCs w:val="20"/>
                <w:lang w:val="fr-CA"/>
              </w:rPr>
              <w:t>isses Desj</w:t>
            </w:r>
            <w:r w:rsidR="00086A0B" w:rsidRPr="00C34FEA">
              <w:rPr>
                <w:rFonts w:cs="Times New Roman"/>
                <w:iCs/>
                <w:sz w:val="20"/>
                <w:szCs w:val="20"/>
                <w:lang w:val="fr-CA"/>
              </w:rPr>
              <w:t>a</w:t>
            </w:r>
            <w:r w:rsidR="00086A0B">
              <w:rPr>
                <w:rFonts w:cs="Times New Roman"/>
                <w:iCs/>
                <w:sz w:val="20"/>
                <w:szCs w:val="20"/>
                <w:lang w:val="fr-CA"/>
              </w:rPr>
              <w:t>rd</w:t>
            </w:r>
            <w:r>
              <w:rPr>
                <w:rFonts w:cs="Times New Roman"/>
                <w:iCs/>
                <w:sz w:val="20"/>
                <w:szCs w:val="20"/>
                <w:lang w:val="fr-CA"/>
              </w:rPr>
              <w:t>ins d</w:t>
            </w:r>
            <w:r w:rsidR="00086A0B">
              <w:rPr>
                <w:rFonts w:cs="Times New Roman"/>
                <w:iCs/>
                <w:sz w:val="20"/>
                <w:szCs w:val="20"/>
                <w:lang w:val="fr-CA"/>
              </w:rPr>
              <w:t>u</w:t>
            </w:r>
            <w:r>
              <w:rPr>
                <w:rFonts w:cs="Times New Roman"/>
                <w:iCs/>
                <w:sz w:val="20"/>
                <w:szCs w:val="20"/>
                <w:lang w:val="fr-CA"/>
              </w:rPr>
              <w:t xml:space="preserve"> Québec</w:t>
            </w:r>
            <w:r w:rsidR="00086A0B" w:rsidRPr="00C34FEA">
              <w:rPr>
                <w:rFonts w:cs="Times New Roman"/>
                <w:iCs/>
                <w:sz w:val="20"/>
                <w:szCs w:val="20"/>
                <w:lang w:val="fr-CA"/>
              </w:rPr>
              <w:t>,</w:t>
            </w:r>
          </w:p>
          <w:p w:rsidR="00086A0B" w:rsidRPr="00BE42DA" w:rsidRDefault="00086A0B" w:rsidP="005A79A3">
            <w:pPr>
              <w:rPr>
                <w:rFonts w:cs="Times New Roman"/>
                <w:sz w:val="20"/>
                <w:szCs w:val="20"/>
              </w:rPr>
            </w:pPr>
            <w:r w:rsidRPr="00BE42DA">
              <w:rPr>
                <w:rFonts w:cs="Times New Roman"/>
                <w:sz w:val="20"/>
                <w:szCs w:val="20"/>
              </w:rPr>
              <w:t xml:space="preserve">2014 CSC </w:t>
            </w:r>
            <w:r w:rsidR="005A79A3" w:rsidRPr="00BE42DA">
              <w:rPr>
                <w:rFonts w:cs="Times New Roman"/>
                <w:sz w:val="20"/>
                <w:szCs w:val="20"/>
              </w:rPr>
              <w:t>57</w:t>
            </w:r>
            <w:r w:rsidRPr="00BE42DA">
              <w:rPr>
                <w:rFonts w:cs="Times New Roman"/>
                <w:sz w:val="20"/>
                <w:szCs w:val="20"/>
              </w:rPr>
              <w:t xml:space="preserve">, [2014] 2 R.C.S. </w:t>
            </w:r>
            <w:r w:rsidR="005A79A3" w:rsidRPr="00BE42DA">
              <w:rPr>
                <w:rFonts w:cs="Times New Roman"/>
                <w:sz w:val="20"/>
                <w:szCs w:val="20"/>
              </w:rPr>
              <w:t>805</w:t>
            </w:r>
          </w:p>
          <w:p w:rsidR="00086A0B" w:rsidRPr="00BE42DA" w:rsidRDefault="00086A0B" w:rsidP="005A79A3">
            <w:pPr>
              <w:rPr>
                <w:rFonts w:cs="Times New Roman"/>
                <w:iCs/>
                <w:sz w:val="20"/>
                <w:szCs w:val="20"/>
              </w:rPr>
            </w:pPr>
          </w:p>
          <w:p w:rsidR="00086A0B" w:rsidRPr="005A79A3" w:rsidRDefault="005A79A3" w:rsidP="005A79A3">
            <w:pPr>
              <w:rPr>
                <w:rFonts w:cs="Times New Roman"/>
                <w:iCs/>
                <w:sz w:val="20"/>
                <w:szCs w:val="20"/>
              </w:rPr>
            </w:pPr>
            <w:r w:rsidRPr="005A79A3">
              <w:rPr>
                <w:rFonts w:cs="Times New Roman"/>
                <w:sz w:val="20"/>
                <w:szCs w:val="20"/>
              </w:rPr>
              <w:t xml:space="preserve">R. </w:t>
            </w:r>
            <w:r w:rsidR="00086A0B" w:rsidRPr="005A79A3">
              <w:rPr>
                <w:rFonts w:cs="Times New Roman"/>
                <w:i/>
                <w:iCs/>
                <w:sz w:val="20"/>
                <w:szCs w:val="20"/>
              </w:rPr>
              <w:t>c.</w:t>
            </w:r>
            <w:r w:rsidR="00086A0B" w:rsidRPr="005A79A3">
              <w:rPr>
                <w:rFonts w:cs="Times New Roman"/>
                <w:sz w:val="20"/>
                <w:szCs w:val="20"/>
              </w:rPr>
              <w:t xml:space="preserve"> </w:t>
            </w:r>
            <w:r w:rsidRPr="005A79A3">
              <w:rPr>
                <w:rFonts w:cs="Times New Roman"/>
                <w:sz w:val="20"/>
                <w:szCs w:val="20"/>
              </w:rPr>
              <w:t>Mi</w:t>
            </w:r>
            <w:r w:rsidR="00086A0B" w:rsidRPr="005A79A3">
              <w:rPr>
                <w:rFonts w:cs="Times New Roman"/>
                <w:sz w:val="20"/>
                <w:szCs w:val="20"/>
              </w:rPr>
              <w:t xml:space="preserve">an, </w:t>
            </w:r>
          </w:p>
          <w:p w:rsidR="00086A0B" w:rsidRPr="00BE42DA" w:rsidRDefault="00086A0B" w:rsidP="005A79A3">
            <w:pPr>
              <w:rPr>
                <w:rFonts w:cs="Times New Roman"/>
                <w:sz w:val="20"/>
                <w:szCs w:val="20"/>
              </w:rPr>
            </w:pPr>
            <w:r w:rsidRPr="00BE42DA">
              <w:rPr>
                <w:rFonts w:cs="Times New Roman"/>
                <w:sz w:val="20"/>
                <w:szCs w:val="20"/>
              </w:rPr>
              <w:t xml:space="preserve">2014 CSC </w:t>
            </w:r>
            <w:r w:rsidR="005A79A3" w:rsidRPr="00BE42DA">
              <w:rPr>
                <w:rFonts w:cs="Times New Roman"/>
                <w:sz w:val="20"/>
                <w:szCs w:val="20"/>
              </w:rPr>
              <w:t>54</w:t>
            </w:r>
            <w:r w:rsidRPr="00BE42DA">
              <w:rPr>
                <w:rFonts w:cs="Times New Roman"/>
                <w:sz w:val="20"/>
                <w:szCs w:val="20"/>
              </w:rPr>
              <w:t xml:space="preserve">, [2014] 2 R.C.S. </w:t>
            </w:r>
            <w:r w:rsidR="005A79A3" w:rsidRPr="00BE42DA">
              <w:rPr>
                <w:rFonts w:cs="Times New Roman"/>
                <w:sz w:val="20"/>
                <w:szCs w:val="20"/>
              </w:rPr>
              <w:t>6</w:t>
            </w:r>
            <w:r w:rsidRPr="00BE42DA">
              <w:rPr>
                <w:rFonts w:cs="Times New Roman"/>
                <w:sz w:val="20"/>
                <w:szCs w:val="20"/>
              </w:rPr>
              <w:t>8</w:t>
            </w:r>
            <w:r w:rsidR="005A79A3" w:rsidRPr="00BE42DA">
              <w:rPr>
                <w:rFonts w:cs="Times New Roman"/>
                <w:sz w:val="20"/>
                <w:szCs w:val="20"/>
              </w:rPr>
              <w:t>9</w:t>
            </w:r>
          </w:p>
          <w:p w:rsidR="00086A0B" w:rsidRPr="00BE42DA" w:rsidRDefault="00086A0B" w:rsidP="005A79A3">
            <w:pPr>
              <w:rPr>
                <w:rFonts w:cs="Times New Roman"/>
                <w:sz w:val="20"/>
                <w:szCs w:val="20"/>
              </w:rPr>
            </w:pPr>
          </w:p>
          <w:p w:rsidR="00086A0B" w:rsidRPr="005A79A3" w:rsidRDefault="005A79A3" w:rsidP="005A79A3">
            <w:pPr>
              <w:rPr>
                <w:rFonts w:cs="Times New Roman"/>
                <w:sz w:val="20"/>
                <w:szCs w:val="20"/>
              </w:rPr>
            </w:pPr>
            <w:r w:rsidRPr="005A79A3">
              <w:rPr>
                <w:rFonts w:cs="Times New Roman"/>
                <w:sz w:val="20"/>
                <w:szCs w:val="20"/>
              </w:rPr>
              <w:t>S</w:t>
            </w:r>
            <w:r w:rsidR="00086A0B" w:rsidRPr="005A79A3">
              <w:rPr>
                <w:rFonts w:cs="Times New Roman"/>
                <w:sz w:val="20"/>
                <w:szCs w:val="20"/>
              </w:rPr>
              <w:t>att</w:t>
            </w:r>
            <w:r w:rsidRPr="005A79A3">
              <w:rPr>
                <w:rFonts w:cs="Times New Roman"/>
                <w:sz w:val="20"/>
                <w:szCs w:val="20"/>
              </w:rPr>
              <w:t>va Cap</w:t>
            </w:r>
            <w:r w:rsidR="00086A0B" w:rsidRPr="005A79A3">
              <w:rPr>
                <w:rFonts w:cs="Times New Roman"/>
                <w:sz w:val="20"/>
                <w:szCs w:val="20"/>
              </w:rPr>
              <w:t>i</w:t>
            </w:r>
            <w:r w:rsidRPr="005A79A3">
              <w:rPr>
                <w:rFonts w:cs="Times New Roman"/>
                <w:sz w:val="20"/>
                <w:szCs w:val="20"/>
              </w:rPr>
              <w:t>tal Corp.</w:t>
            </w:r>
            <w:r w:rsidR="00086A0B" w:rsidRPr="005A79A3">
              <w:rPr>
                <w:rFonts w:cs="Times New Roman"/>
                <w:sz w:val="20"/>
                <w:szCs w:val="20"/>
              </w:rPr>
              <w:t xml:space="preserve"> </w:t>
            </w:r>
            <w:r w:rsidR="00086A0B" w:rsidRPr="005A79A3">
              <w:rPr>
                <w:rFonts w:cs="Times New Roman"/>
                <w:i/>
                <w:iCs/>
                <w:sz w:val="20"/>
                <w:szCs w:val="20"/>
              </w:rPr>
              <w:t>c</w:t>
            </w:r>
            <w:r w:rsidR="00086A0B" w:rsidRPr="005A79A3">
              <w:rPr>
                <w:rFonts w:cs="Times New Roman"/>
                <w:sz w:val="20"/>
                <w:szCs w:val="20"/>
              </w:rPr>
              <w:t>. C</w:t>
            </w:r>
            <w:r w:rsidRPr="005A79A3">
              <w:rPr>
                <w:rFonts w:cs="Times New Roman"/>
                <w:sz w:val="20"/>
                <w:szCs w:val="20"/>
              </w:rPr>
              <w:t>rest</w:t>
            </w:r>
            <w:r w:rsidR="00086A0B" w:rsidRPr="005A79A3">
              <w:rPr>
                <w:rFonts w:cs="Times New Roman"/>
                <w:sz w:val="20"/>
                <w:szCs w:val="20"/>
              </w:rPr>
              <w:t>on</w:t>
            </w:r>
            <w:r w:rsidRPr="005A79A3">
              <w:rPr>
                <w:rFonts w:cs="Times New Roman"/>
                <w:sz w:val="20"/>
                <w:szCs w:val="20"/>
              </w:rPr>
              <w:t xml:space="preserve"> Moly Corp.</w:t>
            </w:r>
            <w:r w:rsidR="00086A0B" w:rsidRPr="005A79A3">
              <w:rPr>
                <w:rFonts w:cs="Times New Roman"/>
                <w:sz w:val="20"/>
                <w:szCs w:val="20"/>
              </w:rPr>
              <w:t>,</w:t>
            </w:r>
          </w:p>
          <w:p w:rsidR="00086A0B" w:rsidRPr="005A79A3" w:rsidRDefault="00086A0B" w:rsidP="005A79A3">
            <w:pPr>
              <w:rPr>
                <w:rFonts w:cs="Times New Roman"/>
                <w:sz w:val="20"/>
                <w:szCs w:val="20"/>
                <w:lang w:val="fr-CA"/>
              </w:rPr>
            </w:pPr>
            <w:r w:rsidRPr="005A79A3">
              <w:rPr>
                <w:rFonts w:cs="Times New Roman"/>
                <w:sz w:val="20"/>
                <w:szCs w:val="20"/>
                <w:lang w:val="fr-CA"/>
              </w:rPr>
              <w:t xml:space="preserve">2014 CSC </w:t>
            </w:r>
            <w:r w:rsidR="005A79A3">
              <w:rPr>
                <w:rFonts w:cs="Times New Roman"/>
                <w:sz w:val="20"/>
                <w:szCs w:val="20"/>
                <w:lang w:val="fr-CA"/>
              </w:rPr>
              <w:t>53</w:t>
            </w:r>
            <w:r w:rsidRPr="005A79A3">
              <w:rPr>
                <w:rFonts w:cs="Times New Roman"/>
                <w:sz w:val="20"/>
                <w:szCs w:val="20"/>
                <w:lang w:val="fr-CA"/>
              </w:rPr>
              <w:t xml:space="preserve">, [2014] 2 R.C.S. </w:t>
            </w:r>
            <w:r w:rsidR="005A79A3">
              <w:rPr>
                <w:rFonts w:cs="Times New Roman"/>
                <w:sz w:val="20"/>
                <w:szCs w:val="20"/>
                <w:lang w:val="fr-CA"/>
              </w:rPr>
              <w:t>633</w:t>
            </w:r>
          </w:p>
          <w:p w:rsidR="00086A0B" w:rsidRDefault="00086A0B" w:rsidP="005A79A3">
            <w:pPr>
              <w:rPr>
                <w:rFonts w:cs="Times New Roman"/>
                <w:sz w:val="20"/>
                <w:szCs w:val="20"/>
                <w:lang w:val="fr-CA"/>
              </w:rPr>
            </w:pPr>
          </w:p>
          <w:p w:rsidR="00086A0B" w:rsidRPr="00DD0B49" w:rsidRDefault="00742BC3" w:rsidP="004F1D2C">
            <w:pPr>
              <w:rPr>
                <w:rFonts w:cs="Times New Roman"/>
                <w:bCs/>
                <w:sz w:val="20"/>
                <w:szCs w:val="20"/>
                <w:lang w:val="fr-CA"/>
              </w:rPr>
            </w:pPr>
            <w:r>
              <w:rPr>
                <w:rFonts w:cs="Times New Roman"/>
                <w:sz w:val="20"/>
                <w:szCs w:val="20"/>
              </w:rPr>
              <w:pict>
                <v:rect id="_x0000_i1072" style="width:129.6pt;height:1pt" o:hrpct="600" o:hralign="center" o:hrstd="t" o:hrnoshade="t" o:hr="t" fillcolor="black [3213]" stroked="f"/>
              </w:pict>
            </w:r>
          </w:p>
        </w:tc>
      </w:tr>
    </w:tbl>
    <w:p w:rsidR="00086A0B" w:rsidRDefault="00086A0B" w:rsidP="00086A0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086A0B" w:rsidRPr="00E563A0" w:rsidTr="005A79A3">
        <w:trPr>
          <w:cantSplit/>
          <w:trHeight w:val="1152"/>
        </w:trPr>
        <w:tc>
          <w:tcPr>
            <w:tcW w:w="4320" w:type="dxa"/>
            <w:tcBorders>
              <w:top w:val="nil"/>
              <w:left w:val="nil"/>
              <w:bottom w:val="nil"/>
              <w:right w:val="nil"/>
            </w:tcBorders>
          </w:tcPr>
          <w:p w:rsidR="00086A0B" w:rsidRPr="00DD0B49" w:rsidRDefault="00086A0B" w:rsidP="005A79A3">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086A0B" w:rsidRPr="00DD0B49" w:rsidRDefault="00086A0B" w:rsidP="005A79A3">
            <w:pPr>
              <w:rPr>
                <w:rFonts w:cs="Times New Roman"/>
                <w:b/>
                <w:bCs/>
                <w:sz w:val="20"/>
                <w:szCs w:val="20"/>
                <w:lang w:val="en-GB"/>
              </w:rPr>
            </w:pPr>
          </w:p>
        </w:tc>
        <w:tc>
          <w:tcPr>
            <w:tcW w:w="4320" w:type="dxa"/>
            <w:tcBorders>
              <w:top w:val="nil"/>
              <w:left w:val="nil"/>
              <w:bottom w:val="nil"/>
              <w:right w:val="nil"/>
            </w:tcBorders>
          </w:tcPr>
          <w:p w:rsidR="00086A0B" w:rsidRPr="00DD0B49" w:rsidRDefault="00086A0B" w:rsidP="005A79A3">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086A0B" w:rsidRPr="00DD0B49" w:rsidTr="005A79A3">
        <w:tc>
          <w:tcPr>
            <w:tcW w:w="4320" w:type="dxa"/>
            <w:tcBorders>
              <w:top w:val="nil"/>
              <w:left w:val="nil"/>
              <w:bottom w:val="nil"/>
              <w:right w:val="nil"/>
            </w:tcBorders>
          </w:tcPr>
          <w:p w:rsidR="00086A0B" w:rsidRPr="00DD0B49" w:rsidRDefault="00086A0B" w:rsidP="005A79A3">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4</w:t>
            </w:r>
            <w:r w:rsidRPr="00DD0B49">
              <w:rPr>
                <w:rFonts w:cs="Times New Roman"/>
                <w:b/>
                <w:bCs/>
                <w:sz w:val="20"/>
                <w:szCs w:val="20"/>
                <w:lang w:val="en-GB"/>
              </w:rPr>
              <w:t xml:space="preserve">] </w:t>
            </w:r>
            <w:r>
              <w:rPr>
                <w:rFonts w:cs="Times New Roman"/>
                <w:b/>
                <w:bCs/>
                <w:sz w:val="20"/>
                <w:szCs w:val="20"/>
                <w:lang w:val="en-GB"/>
              </w:rPr>
              <w:t>3</w:t>
            </w:r>
            <w:r w:rsidRPr="00DD0B49">
              <w:rPr>
                <w:rFonts w:cs="Times New Roman"/>
                <w:b/>
                <w:bCs/>
                <w:sz w:val="20"/>
                <w:szCs w:val="20"/>
                <w:lang w:val="en-GB"/>
              </w:rPr>
              <w:t xml:space="preserve"> S.C.R. Part </w:t>
            </w:r>
            <w:r>
              <w:rPr>
                <w:rFonts w:cs="Times New Roman"/>
                <w:b/>
                <w:bCs/>
                <w:sz w:val="20"/>
                <w:szCs w:val="20"/>
                <w:lang w:val="en-GB"/>
              </w:rPr>
              <w:t>1</w:t>
            </w:r>
          </w:p>
          <w:p w:rsidR="00086A0B" w:rsidRPr="00DD0B49" w:rsidRDefault="00086A0B" w:rsidP="005A79A3">
            <w:pPr>
              <w:rPr>
                <w:rFonts w:cs="Times New Roman"/>
                <w:sz w:val="20"/>
                <w:szCs w:val="20"/>
                <w:lang w:val="en-GB"/>
              </w:rPr>
            </w:pPr>
          </w:p>
          <w:p w:rsidR="00086A0B" w:rsidRPr="005A79A3" w:rsidRDefault="005A79A3" w:rsidP="005A79A3">
            <w:pPr>
              <w:rPr>
                <w:rFonts w:cs="Times New Roman"/>
                <w:sz w:val="20"/>
                <w:szCs w:val="20"/>
              </w:rPr>
            </w:pPr>
            <w:r w:rsidRPr="005A79A3">
              <w:rPr>
                <w:rFonts w:cs="Times New Roman"/>
                <w:sz w:val="20"/>
                <w:szCs w:val="20"/>
              </w:rPr>
              <w:t>K</w:t>
            </w:r>
            <w:r w:rsidR="00086A0B" w:rsidRPr="005A79A3">
              <w:rPr>
                <w:rFonts w:cs="Times New Roman"/>
                <w:sz w:val="20"/>
                <w:szCs w:val="20"/>
              </w:rPr>
              <w:t>a</w:t>
            </w:r>
            <w:r w:rsidRPr="005A79A3">
              <w:rPr>
                <w:rFonts w:cs="Times New Roman"/>
                <w:sz w:val="20"/>
                <w:szCs w:val="20"/>
              </w:rPr>
              <w:t>zemi Est</w:t>
            </w:r>
            <w:r w:rsidR="00086A0B" w:rsidRPr="005A79A3">
              <w:rPr>
                <w:rFonts w:cs="Times New Roman"/>
                <w:sz w:val="20"/>
                <w:szCs w:val="20"/>
              </w:rPr>
              <w:t>a</w:t>
            </w:r>
            <w:r w:rsidRPr="005A79A3">
              <w:rPr>
                <w:rFonts w:cs="Times New Roman"/>
                <w:sz w:val="20"/>
                <w:szCs w:val="20"/>
              </w:rPr>
              <w:t>te</w:t>
            </w:r>
            <w:r w:rsidR="00086A0B" w:rsidRPr="005A79A3">
              <w:rPr>
                <w:rFonts w:cs="Times New Roman"/>
                <w:sz w:val="20"/>
                <w:szCs w:val="20"/>
              </w:rPr>
              <w:t xml:space="preserve"> </w:t>
            </w:r>
            <w:r w:rsidR="00086A0B" w:rsidRPr="005A79A3">
              <w:rPr>
                <w:rFonts w:cs="Times New Roman"/>
                <w:i/>
                <w:sz w:val="20"/>
                <w:szCs w:val="20"/>
              </w:rPr>
              <w:t>v.</w:t>
            </w:r>
            <w:r w:rsidR="00086A0B" w:rsidRPr="005A79A3">
              <w:rPr>
                <w:rFonts w:cs="Times New Roman"/>
                <w:sz w:val="20"/>
                <w:szCs w:val="20"/>
              </w:rPr>
              <w:t xml:space="preserve"> </w:t>
            </w:r>
            <w:r w:rsidRPr="005A79A3">
              <w:rPr>
                <w:rFonts w:cs="Times New Roman"/>
                <w:sz w:val="20"/>
                <w:szCs w:val="20"/>
              </w:rPr>
              <w:t>Islamic Republic of Ira</w:t>
            </w:r>
            <w:r w:rsidR="00086A0B" w:rsidRPr="005A79A3">
              <w:rPr>
                <w:rFonts w:cs="Times New Roman"/>
                <w:sz w:val="20"/>
                <w:szCs w:val="20"/>
              </w:rPr>
              <w:t>n,</w:t>
            </w:r>
          </w:p>
          <w:p w:rsidR="00086A0B" w:rsidRPr="00BE42DA" w:rsidRDefault="00086A0B" w:rsidP="005A79A3">
            <w:pPr>
              <w:rPr>
                <w:rFonts w:cs="Times New Roman"/>
                <w:sz w:val="20"/>
                <w:szCs w:val="20"/>
                <w:lang w:val="fr-CA"/>
              </w:rPr>
            </w:pPr>
            <w:r w:rsidRPr="00BE42DA">
              <w:rPr>
                <w:rFonts w:cs="Times New Roman"/>
                <w:sz w:val="20"/>
                <w:szCs w:val="20"/>
                <w:lang w:val="fr-CA"/>
              </w:rPr>
              <w:t xml:space="preserve">2014 SCC </w:t>
            </w:r>
            <w:r w:rsidR="005A79A3" w:rsidRPr="00BE42DA">
              <w:rPr>
                <w:rFonts w:cs="Times New Roman"/>
                <w:sz w:val="20"/>
                <w:szCs w:val="20"/>
                <w:lang w:val="fr-CA"/>
              </w:rPr>
              <w:t>62</w:t>
            </w:r>
            <w:r w:rsidRPr="00BE42DA">
              <w:rPr>
                <w:rFonts w:cs="Times New Roman"/>
                <w:sz w:val="20"/>
                <w:szCs w:val="20"/>
                <w:lang w:val="fr-CA"/>
              </w:rPr>
              <w:t xml:space="preserve">, [2014] 3 S.C.R. </w:t>
            </w:r>
            <w:r w:rsidR="005A79A3" w:rsidRPr="00BE42DA">
              <w:rPr>
                <w:rFonts w:cs="Times New Roman"/>
                <w:sz w:val="20"/>
                <w:szCs w:val="20"/>
                <w:lang w:val="fr-CA"/>
              </w:rPr>
              <w:t>1</w:t>
            </w:r>
            <w:r w:rsidRPr="00BE42DA">
              <w:rPr>
                <w:rFonts w:cs="Times New Roman"/>
                <w:sz w:val="20"/>
                <w:szCs w:val="20"/>
                <w:lang w:val="fr-CA"/>
              </w:rPr>
              <w:t>7</w:t>
            </w:r>
            <w:r w:rsidR="005A79A3" w:rsidRPr="00BE42DA">
              <w:rPr>
                <w:rFonts w:cs="Times New Roman"/>
                <w:sz w:val="20"/>
                <w:szCs w:val="20"/>
                <w:lang w:val="fr-CA"/>
              </w:rPr>
              <w:t>6</w:t>
            </w:r>
          </w:p>
          <w:p w:rsidR="00086A0B" w:rsidRPr="00BE42DA" w:rsidRDefault="00086A0B" w:rsidP="005A79A3">
            <w:pPr>
              <w:rPr>
                <w:rFonts w:cs="Times New Roman"/>
                <w:sz w:val="20"/>
                <w:szCs w:val="20"/>
                <w:lang w:val="fr-CA"/>
              </w:rPr>
            </w:pPr>
          </w:p>
          <w:p w:rsidR="00086A0B" w:rsidRPr="005A79A3" w:rsidRDefault="005A79A3" w:rsidP="005A79A3">
            <w:pPr>
              <w:rPr>
                <w:rFonts w:cs="Times New Roman"/>
                <w:sz w:val="20"/>
                <w:szCs w:val="20"/>
                <w:lang w:val="fr-CA"/>
              </w:rPr>
            </w:pPr>
            <w:r w:rsidRPr="005A79A3">
              <w:rPr>
                <w:rFonts w:cs="Times New Roman"/>
                <w:sz w:val="20"/>
                <w:szCs w:val="20"/>
                <w:lang w:val="fr-CA"/>
              </w:rPr>
              <w:t xml:space="preserve">R. </w:t>
            </w:r>
            <w:r w:rsidRPr="005A79A3">
              <w:rPr>
                <w:rFonts w:cs="Times New Roman"/>
                <w:i/>
                <w:iCs/>
                <w:sz w:val="20"/>
                <w:szCs w:val="20"/>
                <w:lang w:val="fr-CA"/>
              </w:rPr>
              <w:t>v.</w:t>
            </w:r>
            <w:r w:rsidRPr="005A79A3">
              <w:rPr>
                <w:rFonts w:cs="Times New Roman"/>
                <w:iCs/>
                <w:sz w:val="20"/>
                <w:szCs w:val="20"/>
                <w:lang w:val="fr-CA"/>
              </w:rPr>
              <w:t xml:space="preserve"> Conception</w:t>
            </w:r>
            <w:r w:rsidR="00086A0B" w:rsidRPr="005A79A3">
              <w:rPr>
                <w:rFonts w:cs="Times New Roman"/>
                <w:sz w:val="20"/>
                <w:szCs w:val="20"/>
                <w:lang w:val="fr-CA"/>
              </w:rPr>
              <w:t>,</w:t>
            </w:r>
          </w:p>
          <w:p w:rsidR="00086A0B" w:rsidRPr="005A79A3" w:rsidRDefault="00086A0B" w:rsidP="005A79A3">
            <w:pPr>
              <w:rPr>
                <w:rFonts w:cs="Times New Roman"/>
                <w:sz w:val="20"/>
                <w:szCs w:val="20"/>
              </w:rPr>
            </w:pPr>
            <w:r w:rsidRPr="005A79A3">
              <w:rPr>
                <w:rFonts w:cs="Times New Roman"/>
                <w:sz w:val="20"/>
                <w:szCs w:val="20"/>
              </w:rPr>
              <w:t xml:space="preserve">2014 SCC </w:t>
            </w:r>
            <w:r w:rsidR="005A79A3" w:rsidRPr="005A79A3">
              <w:rPr>
                <w:rFonts w:cs="Times New Roman"/>
                <w:sz w:val="20"/>
                <w:szCs w:val="20"/>
              </w:rPr>
              <w:t>60</w:t>
            </w:r>
            <w:r w:rsidRPr="005A79A3">
              <w:rPr>
                <w:rFonts w:cs="Times New Roman"/>
                <w:sz w:val="20"/>
                <w:szCs w:val="20"/>
              </w:rPr>
              <w:t xml:space="preserve">, [2014] 3 S.C.R. </w:t>
            </w:r>
            <w:r w:rsidR="005A79A3" w:rsidRPr="005A79A3">
              <w:rPr>
                <w:rFonts w:cs="Times New Roman"/>
                <w:sz w:val="20"/>
                <w:szCs w:val="20"/>
              </w:rPr>
              <w:t>82</w:t>
            </w:r>
          </w:p>
          <w:p w:rsidR="00086A0B" w:rsidRPr="005A79A3" w:rsidRDefault="00086A0B" w:rsidP="005A79A3">
            <w:pPr>
              <w:rPr>
                <w:rFonts w:cs="Times New Roman"/>
                <w:sz w:val="20"/>
                <w:szCs w:val="20"/>
              </w:rPr>
            </w:pPr>
          </w:p>
          <w:p w:rsidR="00086A0B" w:rsidRPr="005A79A3" w:rsidRDefault="005A79A3" w:rsidP="005A79A3">
            <w:pPr>
              <w:rPr>
                <w:rFonts w:cs="Times New Roman"/>
                <w:sz w:val="20"/>
                <w:szCs w:val="20"/>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Mack</w:t>
            </w:r>
            <w:r w:rsidR="00086A0B" w:rsidRPr="005A79A3">
              <w:rPr>
                <w:rFonts w:cs="Times New Roman"/>
                <w:iCs/>
                <w:sz w:val="20"/>
                <w:szCs w:val="20"/>
              </w:rPr>
              <w:t>,</w:t>
            </w:r>
          </w:p>
          <w:p w:rsidR="00086A0B" w:rsidRPr="00E0705E" w:rsidRDefault="00086A0B" w:rsidP="005A79A3">
            <w:pPr>
              <w:rPr>
                <w:rFonts w:cs="Times New Roman"/>
                <w:sz w:val="20"/>
                <w:szCs w:val="20"/>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5</w:t>
            </w:r>
            <w:r w:rsidR="005A79A3">
              <w:rPr>
                <w:rFonts w:cs="Times New Roman"/>
                <w:sz w:val="20"/>
                <w:szCs w:val="20"/>
                <w:lang w:val="en-GB"/>
              </w:rPr>
              <w:t>8</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sidR="005A79A3">
              <w:rPr>
                <w:rFonts w:cs="Times New Roman"/>
                <w:sz w:val="20"/>
                <w:szCs w:val="20"/>
                <w:lang w:val="en-GB"/>
              </w:rPr>
              <w:t>3</w:t>
            </w:r>
          </w:p>
          <w:p w:rsidR="00086A0B" w:rsidRPr="00E0705E" w:rsidRDefault="00086A0B" w:rsidP="005A79A3">
            <w:pPr>
              <w:rPr>
                <w:rFonts w:cs="Times New Roman"/>
                <w:sz w:val="20"/>
                <w:szCs w:val="20"/>
              </w:rPr>
            </w:pPr>
          </w:p>
          <w:p w:rsidR="00086A0B" w:rsidRPr="00DD0B49" w:rsidRDefault="00086A0B" w:rsidP="005A79A3">
            <w:pPr>
              <w:rPr>
                <w:rFonts w:cs="Times New Roman"/>
                <w:sz w:val="20"/>
                <w:szCs w:val="20"/>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5A79A3">
              <w:rPr>
                <w:rFonts w:cs="Times New Roman"/>
                <w:iCs/>
                <w:sz w:val="20"/>
                <w:szCs w:val="20"/>
                <w:lang w:val="en-GB"/>
              </w:rPr>
              <w:t>Mohamed</w:t>
            </w:r>
            <w:r w:rsidRPr="00DD0B49">
              <w:rPr>
                <w:rFonts w:cs="Times New Roman"/>
                <w:sz w:val="20"/>
                <w:szCs w:val="20"/>
              </w:rPr>
              <w:t>,</w:t>
            </w:r>
          </w:p>
          <w:p w:rsidR="00086A0B" w:rsidRPr="005A79A3" w:rsidRDefault="00086A0B" w:rsidP="005A79A3">
            <w:pPr>
              <w:rPr>
                <w:rFonts w:cs="Times New Roman"/>
                <w:sz w:val="20"/>
                <w:szCs w:val="20"/>
              </w:rPr>
            </w:pPr>
            <w:r w:rsidRPr="005A79A3">
              <w:rPr>
                <w:rFonts w:cs="Times New Roman"/>
                <w:sz w:val="20"/>
                <w:szCs w:val="20"/>
              </w:rPr>
              <w:t xml:space="preserve">2014 SCC </w:t>
            </w:r>
            <w:r w:rsidR="005A79A3" w:rsidRPr="005A79A3">
              <w:rPr>
                <w:rFonts w:cs="Times New Roman"/>
                <w:sz w:val="20"/>
                <w:szCs w:val="20"/>
              </w:rPr>
              <w:t>63</w:t>
            </w:r>
            <w:r w:rsidRPr="005A79A3">
              <w:rPr>
                <w:rFonts w:cs="Times New Roman"/>
                <w:sz w:val="20"/>
                <w:szCs w:val="20"/>
              </w:rPr>
              <w:t xml:space="preserve">, [2014] 3 S.C.R. </w:t>
            </w:r>
            <w:r w:rsidR="005A79A3" w:rsidRPr="005A79A3">
              <w:rPr>
                <w:rFonts w:cs="Times New Roman"/>
                <w:sz w:val="20"/>
                <w:szCs w:val="20"/>
              </w:rPr>
              <w:t>280</w:t>
            </w:r>
          </w:p>
          <w:p w:rsidR="00086A0B" w:rsidRPr="005A79A3" w:rsidRDefault="00086A0B" w:rsidP="005A79A3">
            <w:pPr>
              <w:rPr>
                <w:rFonts w:cs="Times New Roman"/>
                <w:sz w:val="20"/>
                <w:szCs w:val="20"/>
              </w:rPr>
            </w:pPr>
          </w:p>
          <w:p w:rsidR="00086A0B" w:rsidRPr="005A79A3" w:rsidRDefault="00086A0B" w:rsidP="005A79A3">
            <w:pPr>
              <w:rPr>
                <w:rFonts w:cs="Times New Roman"/>
                <w:sz w:val="20"/>
                <w:szCs w:val="20"/>
              </w:rPr>
            </w:pPr>
            <w:r w:rsidRPr="005A79A3">
              <w:rPr>
                <w:rFonts w:cs="Times New Roman"/>
                <w:sz w:val="20"/>
                <w:szCs w:val="20"/>
              </w:rPr>
              <w:t xml:space="preserve">R. </w:t>
            </w:r>
            <w:r w:rsidRPr="005A79A3">
              <w:rPr>
                <w:rFonts w:cs="Times New Roman"/>
                <w:i/>
                <w:iCs/>
                <w:sz w:val="20"/>
                <w:szCs w:val="20"/>
              </w:rPr>
              <w:t>v.</w:t>
            </w:r>
            <w:r w:rsidRPr="005A79A3">
              <w:rPr>
                <w:rFonts w:cs="Times New Roman"/>
                <w:iCs/>
                <w:sz w:val="20"/>
                <w:szCs w:val="20"/>
              </w:rPr>
              <w:t xml:space="preserve"> </w:t>
            </w:r>
            <w:r w:rsidR="005A79A3" w:rsidRPr="005A79A3">
              <w:rPr>
                <w:rFonts w:cs="Times New Roman"/>
                <w:iCs/>
                <w:sz w:val="20"/>
                <w:szCs w:val="20"/>
              </w:rPr>
              <w:t>St</w:t>
            </w:r>
            <w:r w:rsidRPr="005A79A3">
              <w:rPr>
                <w:rFonts w:cs="Times New Roman"/>
                <w:iCs/>
                <w:sz w:val="20"/>
                <w:szCs w:val="20"/>
              </w:rPr>
              <w:t>eele</w:t>
            </w:r>
            <w:r w:rsidRPr="005A79A3">
              <w:rPr>
                <w:rFonts w:cs="Times New Roman"/>
                <w:sz w:val="20"/>
                <w:szCs w:val="20"/>
              </w:rPr>
              <w:t>,</w:t>
            </w:r>
          </w:p>
          <w:p w:rsidR="00086A0B" w:rsidRPr="005A79A3" w:rsidRDefault="00086A0B" w:rsidP="005A79A3">
            <w:pPr>
              <w:rPr>
                <w:rFonts w:cs="Times New Roman"/>
                <w:sz w:val="20"/>
                <w:szCs w:val="20"/>
              </w:rPr>
            </w:pPr>
            <w:r w:rsidRPr="005A79A3">
              <w:rPr>
                <w:rFonts w:cs="Times New Roman"/>
                <w:sz w:val="20"/>
                <w:szCs w:val="20"/>
              </w:rPr>
              <w:t>2014 SCC 6</w:t>
            </w:r>
            <w:r w:rsidR="005A79A3" w:rsidRPr="005A79A3">
              <w:rPr>
                <w:rFonts w:cs="Times New Roman"/>
                <w:sz w:val="20"/>
                <w:szCs w:val="20"/>
              </w:rPr>
              <w:t>1</w:t>
            </w:r>
            <w:r w:rsidRPr="005A79A3">
              <w:rPr>
                <w:rFonts w:cs="Times New Roman"/>
                <w:sz w:val="20"/>
                <w:szCs w:val="20"/>
              </w:rPr>
              <w:t xml:space="preserve">, [2014] 3 S.C.R. </w:t>
            </w:r>
            <w:r w:rsidR="005A79A3" w:rsidRPr="005A79A3">
              <w:rPr>
                <w:rFonts w:cs="Times New Roman"/>
                <w:sz w:val="20"/>
                <w:szCs w:val="20"/>
              </w:rPr>
              <w:t>1</w:t>
            </w:r>
            <w:r w:rsidRPr="005A79A3">
              <w:rPr>
                <w:rFonts w:cs="Times New Roman"/>
                <w:sz w:val="20"/>
                <w:szCs w:val="20"/>
              </w:rPr>
              <w:t>3</w:t>
            </w:r>
            <w:r w:rsidR="005A79A3" w:rsidRPr="005A79A3">
              <w:rPr>
                <w:rFonts w:cs="Times New Roman"/>
                <w:sz w:val="20"/>
                <w:szCs w:val="20"/>
              </w:rPr>
              <w:t>8</w:t>
            </w:r>
          </w:p>
          <w:p w:rsidR="00086A0B" w:rsidRPr="005A79A3" w:rsidRDefault="00086A0B" w:rsidP="005A79A3">
            <w:pPr>
              <w:rPr>
                <w:rFonts w:cs="Times New Roman"/>
                <w:iCs/>
                <w:sz w:val="20"/>
                <w:szCs w:val="20"/>
              </w:rPr>
            </w:pPr>
          </w:p>
          <w:p w:rsidR="00086A0B" w:rsidRPr="005A79A3" w:rsidRDefault="005A79A3" w:rsidP="005A79A3">
            <w:pPr>
              <w:rPr>
                <w:rFonts w:cs="Times New Roman"/>
                <w:iCs/>
                <w:sz w:val="20"/>
                <w:szCs w:val="20"/>
              </w:rPr>
            </w:pPr>
            <w:r w:rsidRPr="005A79A3">
              <w:rPr>
                <w:rFonts w:cs="Times New Roman"/>
                <w:iCs/>
                <w:sz w:val="20"/>
                <w:szCs w:val="20"/>
              </w:rPr>
              <w:t>Trial Lawyers Association of British Columbia</w:t>
            </w:r>
            <w:r w:rsidR="00086A0B" w:rsidRPr="005A79A3">
              <w:rPr>
                <w:rFonts w:cs="Times New Roman"/>
                <w:iCs/>
                <w:sz w:val="20"/>
                <w:szCs w:val="20"/>
              </w:rPr>
              <w:t xml:space="preserve"> </w:t>
            </w:r>
            <w:r w:rsidR="00086A0B" w:rsidRPr="005A79A3">
              <w:rPr>
                <w:rFonts w:cs="Times New Roman"/>
                <w:i/>
                <w:iCs/>
                <w:sz w:val="20"/>
                <w:szCs w:val="20"/>
              </w:rPr>
              <w:t>v.</w:t>
            </w:r>
            <w:r w:rsidR="00086A0B" w:rsidRPr="005A79A3">
              <w:rPr>
                <w:rFonts w:cs="Times New Roman"/>
                <w:iCs/>
                <w:sz w:val="20"/>
                <w:szCs w:val="20"/>
              </w:rPr>
              <w:t xml:space="preserve"> </w:t>
            </w:r>
            <w:r>
              <w:rPr>
                <w:rFonts w:cs="Times New Roman"/>
                <w:iCs/>
                <w:sz w:val="20"/>
                <w:szCs w:val="20"/>
              </w:rPr>
              <w:t>Br</w:t>
            </w:r>
            <w:r w:rsidR="00086A0B" w:rsidRPr="005A79A3">
              <w:rPr>
                <w:rFonts w:cs="Times New Roman"/>
                <w:iCs/>
                <w:sz w:val="20"/>
                <w:szCs w:val="20"/>
              </w:rPr>
              <w:t>i</w:t>
            </w:r>
            <w:r>
              <w:rPr>
                <w:rFonts w:cs="Times New Roman"/>
                <w:iCs/>
                <w:sz w:val="20"/>
                <w:szCs w:val="20"/>
              </w:rPr>
              <w:t>ti</w:t>
            </w:r>
            <w:r w:rsidR="00086A0B" w:rsidRPr="005A79A3">
              <w:rPr>
                <w:rFonts w:cs="Times New Roman"/>
                <w:iCs/>
                <w:sz w:val="20"/>
                <w:szCs w:val="20"/>
              </w:rPr>
              <w:t>s</w:t>
            </w:r>
            <w:r>
              <w:rPr>
                <w:rFonts w:cs="Times New Roman"/>
                <w:iCs/>
                <w:sz w:val="20"/>
                <w:szCs w:val="20"/>
              </w:rPr>
              <w:t>h Columbia (Attorney General)</w:t>
            </w:r>
            <w:r w:rsidR="00086A0B" w:rsidRPr="005A79A3">
              <w:rPr>
                <w:rFonts w:cs="Times New Roman"/>
                <w:iCs/>
                <w:sz w:val="20"/>
                <w:szCs w:val="20"/>
              </w:rPr>
              <w:t>,</w:t>
            </w:r>
          </w:p>
          <w:p w:rsidR="00086A0B" w:rsidRDefault="00086A0B" w:rsidP="005A79A3">
            <w:pPr>
              <w:rPr>
                <w:rFonts w:cs="Times New Roman"/>
                <w:sz w:val="20"/>
                <w:szCs w:val="20"/>
              </w:rPr>
            </w:pPr>
            <w:r w:rsidRPr="003332E2">
              <w:rPr>
                <w:rFonts w:cs="Times New Roman"/>
                <w:sz w:val="20"/>
                <w:szCs w:val="20"/>
              </w:rPr>
              <w:t xml:space="preserve">2014 SCC </w:t>
            </w:r>
            <w:r w:rsidR="005A79A3">
              <w:rPr>
                <w:rFonts w:cs="Times New Roman"/>
                <w:sz w:val="20"/>
                <w:szCs w:val="20"/>
              </w:rPr>
              <w:t>59</w:t>
            </w:r>
            <w:r w:rsidRPr="003332E2">
              <w:rPr>
                <w:rFonts w:cs="Times New Roman"/>
                <w:sz w:val="20"/>
                <w:szCs w:val="20"/>
              </w:rPr>
              <w:t xml:space="preserve">, [2014] </w:t>
            </w:r>
            <w:r>
              <w:rPr>
                <w:rFonts w:cs="Times New Roman"/>
                <w:sz w:val="20"/>
                <w:szCs w:val="20"/>
              </w:rPr>
              <w:t>3</w:t>
            </w:r>
            <w:r w:rsidRPr="003332E2">
              <w:rPr>
                <w:rFonts w:cs="Times New Roman"/>
                <w:sz w:val="20"/>
                <w:szCs w:val="20"/>
              </w:rPr>
              <w:t xml:space="preserve"> S.C.R. 3</w:t>
            </w:r>
            <w:r w:rsidR="005A79A3">
              <w:rPr>
                <w:rFonts w:cs="Times New Roman"/>
                <w:sz w:val="20"/>
                <w:szCs w:val="20"/>
              </w:rPr>
              <w:t>1</w:t>
            </w:r>
          </w:p>
          <w:p w:rsidR="005A79A3" w:rsidRPr="003332E2" w:rsidRDefault="005A79A3" w:rsidP="005A79A3">
            <w:pPr>
              <w:rPr>
                <w:rFonts w:cs="Times New Roman"/>
                <w:sz w:val="20"/>
                <w:szCs w:val="20"/>
              </w:rPr>
            </w:pPr>
          </w:p>
          <w:p w:rsidR="00086A0B" w:rsidRPr="00DD0B49" w:rsidRDefault="00742BC3" w:rsidP="005A79A3">
            <w:pPr>
              <w:keepNext/>
              <w:keepLines/>
              <w:rPr>
                <w:rFonts w:cs="Times New Roman"/>
                <w:bCs/>
                <w:sz w:val="20"/>
                <w:szCs w:val="20"/>
                <w:lang w:val="fr-CA"/>
              </w:rPr>
            </w:pPr>
            <w:r>
              <w:rPr>
                <w:rFonts w:cs="Times New Roman"/>
                <w:sz w:val="20"/>
                <w:szCs w:val="20"/>
              </w:rPr>
              <w:pict>
                <v:rect id="_x0000_i1073" style="width:129.6pt;height:1pt" o:hrpct="600" o:hralign="center" o:hrstd="t" o:hrnoshade="t" o:hr="t" fillcolor="black [3213]" stroked="f"/>
              </w:pict>
            </w:r>
          </w:p>
          <w:p w:rsidR="00086A0B" w:rsidRPr="00DD0B49" w:rsidRDefault="00086A0B" w:rsidP="005A79A3">
            <w:pPr>
              <w:keepNext/>
              <w:keepLines/>
              <w:rPr>
                <w:rFonts w:cs="Times New Roman"/>
                <w:bCs/>
                <w:sz w:val="20"/>
                <w:szCs w:val="20"/>
                <w:lang w:val="fr-CA"/>
              </w:rPr>
            </w:pPr>
          </w:p>
        </w:tc>
        <w:tc>
          <w:tcPr>
            <w:tcW w:w="840" w:type="dxa"/>
            <w:tcBorders>
              <w:top w:val="nil"/>
              <w:left w:val="nil"/>
              <w:bottom w:val="nil"/>
              <w:right w:val="nil"/>
            </w:tcBorders>
          </w:tcPr>
          <w:p w:rsidR="00086A0B" w:rsidRPr="00DD0B49" w:rsidRDefault="00086A0B" w:rsidP="005A79A3">
            <w:pPr>
              <w:rPr>
                <w:rFonts w:cs="Times New Roman"/>
                <w:b/>
                <w:bCs/>
                <w:sz w:val="20"/>
                <w:szCs w:val="20"/>
                <w:lang w:val="fr-CA"/>
              </w:rPr>
            </w:pPr>
          </w:p>
        </w:tc>
        <w:tc>
          <w:tcPr>
            <w:tcW w:w="4320" w:type="dxa"/>
            <w:tcBorders>
              <w:top w:val="nil"/>
              <w:left w:val="nil"/>
              <w:bottom w:val="nil"/>
              <w:right w:val="nil"/>
            </w:tcBorders>
          </w:tcPr>
          <w:p w:rsidR="00086A0B" w:rsidRPr="00DD0B49" w:rsidRDefault="00086A0B" w:rsidP="005A79A3">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4</w:t>
            </w:r>
            <w:r w:rsidRPr="00DD0B49">
              <w:rPr>
                <w:rFonts w:cs="Times New Roman"/>
                <w:b/>
                <w:bCs/>
                <w:sz w:val="20"/>
                <w:szCs w:val="20"/>
                <w:lang w:val="fr-CA"/>
              </w:rPr>
              <w:t xml:space="preserve">] </w:t>
            </w:r>
            <w:r>
              <w:rPr>
                <w:rFonts w:cs="Times New Roman"/>
                <w:b/>
                <w:bCs/>
                <w:sz w:val="20"/>
                <w:szCs w:val="20"/>
                <w:lang w:val="fr-CA"/>
              </w:rPr>
              <w:t>3</w:t>
            </w:r>
            <w:r w:rsidRPr="00DD0B49">
              <w:rPr>
                <w:rFonts w:cs="Times New Roman"/>
                <w:b/>
                <w:bCs/>
                <w:sz w:val="20"/>
                <w:szCs w:val="20"/>
                <w:lang w:val="fr-CA"/>
              </w:rPr>
              <w:t xml:space="preserve"> R.C.S. Partie </w:t>
            </w:r>
            <w:r>
              <w:rPr>
                <w:rFonts w:cs="Times New Roman"/>
                <w:b/>
                <w:bCs/>
                <w:sz w:val="20"/>
                <w:szCs w:val="20"/>
                <w:lang w:val="fr-CA"/>
              </w:rPr>
              <w:t>1</w:t>
            </w:r>
          </w:p>
          <w:p w:rsidR="00086A0B" w:rsidRPr="00DD0B49" w:rsidRDefault="00086A0B" w:rsidP="005A79A3">
            <w:pPr>
              <w:rPr>
                <w:rFonts w:cs="Times New Roman"/>
                <w:b/>
                <w:bCs/>
                <w:sz w:val="20"/>
                <w:szCs w:val="20"/>
                <w:lang w:val="fr-CA"/>
              </w:rPr>
            </w:pPr>
          </w:p>
          <w:p w:rsidR="00086A0B" w:rsidRPr="00F029FD" w:rsidRDefault="005A79A3" w:rsidP="005A79A3">
            <w:pPr>
              <w:rPr>
                <w:rFonts w:cs="Times New Roman"/>
                <w:sz w:val="20"/>
                <w:szCs w:val="20"/>
                <w:lang w:val="fr-CA"/>
              </w:rPr>
            </w:pPr>
            <w:r>
              <w:rPr>
                <w:rFonts w:cs="Times New Roman"/>
                <w:sz w:val="20"/>
                <w:szCs w:val="20"/>
                <w:lang w:val="fr-CA"/>
              </w:rPr>
              <w:t>Kazemi (Succession</w:t>
            </w:r>
            <w:r w:rsidR="00086A0B">
              <w:rPr>
                <w:rFonts w:cs="Times New Roman"/>
                <w:sz w:val="20"/>
                <w:szCs w:val="20"/>
                <w:lang w:val="fr-CA"/>
              </w:rPr>
              <w:t xml:space="preserve">) </w:t>
            </w:r>
            <w:r w:rsidR="00086A0B" w:rsidRPr="00F029FD">
              <w:rPr>
                <w:rFonts w:cs="Times New Roman"/>
                <w:i/>
                <w:sz w:val="20"/>
                <w:szCs w:val="20"/>
                <w:lang w:val="fr-CA"/>
              </w:rPr>
              <w:t>c.</w:t>
            </w:r>
            <w:r w:rsidR="00086A0B" w:rsidRPr="00F029FD">
              <w:rPr>
                <w:rFonts w:cs="Times New Roman"/>
                <w:sz w:val="20"/>
                <w:szCs w:val="20"/>
                <w:lang w:val="fr-CA"/>
              </w:rPr>
              <w:t xml:space="preserve"> </w:t>
            </w:r>
            <w:r>
              <w:rPr>
                <w:rFonts w:cs="Times New Roman"/>
                <w:sz w:val="20"/>
                <w:szCs w:val="20"/>
                <w:lang w:val="fr-CA"/>
              </w:rPr>
              <w:t>République islamique d’I</w:t>
            </w:r>
            <w:r w:rsidR="00086A0B">
              <w:rPr>
                <w:rFonts w:cs="Times New Roman"/>
                <w:sz w:val="20"/>
                <w:szCs w:val="20"/>
                <w:lang w:val="fr-CA"/>
              </w:rPr>
              <w:t>ran</w:t>
            </w:r>
            <w:r w:rsidR="00086A0B" w:rsidRPr="00F029FD">
              <w:rPr>
                <w:rFonts w:cs="Times New Roman"/>
                <w:sz w:val="20"/>
                <w:szCs w:val="20"/>
                <w:lang w:val="fr-CA"/>
              </w:rPr>
              <w:t>,</w:t>
            </w:r>
          </w:p>
          <w:p w:rsidR="00086A0B" w:rsidRPr="006E775A" w:rsidRDefault="00086A0B" w:rsidP="005A79A3">
            <w:pPr>
              <w:rPr>
                <w:rFonts w:cs="Times New Roman"/>
                <w:sz w:val="20"/>
                <w:szCs w:val="20"/>
                <w:lang w:val="fr-CA"/>
              </w:rPr>
            </w:pPr>
            <w:r w:rsidRPr="006E775A">
              <w:rPr>
                <w:rFonts w:cs="Times New Roman"/>
                <w:sz w:val="20"/>
                <w:szCs w:val="20"/>
                <w:lang w:val="fr-CA"/>
              </w:rPr>
              <w:t xml:space="preserve">2014 CSC </w:t>
            </w:r>
            <w:r w:rsidR="005A79A3">
              <w:rPr>
                <w:rFonts w:cs="Times New Roman"/>
                <w:sz w:val="20"/>
                <w:szCs w:val="20"/>
                <w:lang w:val="fr-CA"/>
              </w:rPr>
              <w:t>62</w:t>
            </w:r>
            <w:r w:rsidRPr="006E775A">
              <w:rPr>
                <w:rFonts w:cs="Times New Roman"/>
                <w:sz w:val="20"/>
                <w:szCs w:val="20"/>
                <w:lang w:val="fr-CA"/>
              </w:rPr>
              <w:t xml:space="preserve">, [2014] </w:t>
            </w:r>
            <w:r>
              <w:rPr>
                <w:rFonts w:cs="Times New Roman"/>
                <w:sz w:val="20"/>
                <w:szCs w:val="20"/>
                <w:lang w:val="fr-CA"/>
              </w:rPr>
              <w:t>3</w:t>
            </w:r>
            <w:r w:rsidRPr="006E775A">
              <w:rPr>
                <w:rFonts w:cs="Times New Roman"/>
                <w:sz w:val="20"/>
                <w:szCs w:val="20"/>
                <w:lang w:val="fr-CA"/>
              </w:rPr>
              <w:t xml:space="preserve"> R.C.S. </w:t>
            </w:r>
            <w:r w:rsidR="005A79A3">
              <w:rPr>
                <w:rFonts w:cs="Times New Roman"/>
                <w:sz w:val="20"/>
                <w:szCs w:val="20"/>
                <w:lang w:val="fr-CA"/>
              </w:rPr>
              <w:t>1</w:t>
            </w:r>
            <w:r>
              <w:rPr>
                <w:rFonts w:cs="Times New Roman"/>
                <w:sz w:val="20"/>
                <w:szCs w:val="20"/>
                <w:lang w:val="fr-CA"/>
              </w:rPr>
              <w:t>7</w:t>
            </w:r>
            <w:r w:rsidR="005A79A3">
              <w:rPr>
                <w:rFonts w:cs="Times New Roman"/>
                <w:sz w:val="20"/>
                <w:szCs w:val="20"/>
                <w:lang w:val="fr-CA"/>
              </w:rPr>
              <w:t>6</w:t>
            </w:r>
          </w:p>
          <w:p w:rsidR="00086A0B" w:rsidRPr="0029235F" w:rsidRDefault="00086A0B" w:rsidP="005A79A3">
            <w:pPr>
              <w:rPr>
                <w:rFonts w:cs="Times New Roman"/>
                <w:sz w:val="20"/>
                <w:szCs w:val="20"/>
                <w:lang w:val="fr-CA"/>
              </w:rPr>
            </w:pPr>
          </w:p>
          <w:p w:rsidR="00086A0B" w:rsidRPr="00F029FD" w:rsidRDefault="005A79A3" w:rsidP="005A79A3">
            <w:pPr>
              <w:rPr>
                <w:rFonts w:cs="Times New Roman"/>
                <w:sz w:val="20"/>
                <w:szCs w:val="20"/>
                <w:lang w:val="fr-CA"/>
              </w:rPr>
            </w:pPr>
            <w:r>
              <w:rPr>
                <w:rFonts w:cs="Times New Roman"/>
                <w:sz w:val="20"/>
                <w:szCs w:val="20"/>
                <w:lang w:val="fr-CA"/>
              </w:rPr>
              <w:t>R.</w:t>
            </w:r>
            <w:r w:rsidR="00086A0B" w:rsidRPr="00C34FEA">
              <w:rPr>
                <w:rFonts w:cs="Times New Roman"/>
                <w:sz w:val="20"/>
                <w:szCs w:val="20"/>
                <w:lang w:val="fr-CA"/>
              </w:rPr>
              <w:t xml:space="preserve"> </w:t>
            </w:r>
            <w:r w:rsidR="00086A0B" w:rsidRPr="00F029FD">
              <w:rPr>
                <w:rFonts w:cs="Times New Roman"/>
                <w:i/>
                <w:iCs/>
                <w:sz w:val="20"/>
                <w:szCs w:val="20"/>
                <w:lang w:val="fr-CA"/>
              </w:rPr>
              <w:t>c.</w:t>
            </w:r>
            <w:r w:rsidR="00086A0B" w:rsidRPr="00F029FD">
              <w:rPr>
                <w:rFonts w:cs="Times New Roman"/>
                <w:sz w:val="20"/>
                <w:szCs w:val="20"/>
                <w:lang w:val="fr-CA"/>
              </w:rPr>
              <w:t xml:space="preserve"> </w:t>
            </w:r>
            <w:r>
              <w:rPr>
                <w:rFonts w:cs="Times New Roman"/>
                <w:sz w:val="20"/>
                <w:szCs w:val="20"/>
                <w:lang w:val="fr-CA"/>
              </w:rPr>
              <w:t>C</w:t>
            </w:r>
            <w:r w:rsidR="00086A0B">
              <w:rPr>
                <w:rFonts w:cs="Times New Roman"/>
                <w:sz w:val="20"/>
                <w:szCs w:val="20"/>
                <w:lang w:val="fr-CA"/>
              </w:rPr>
              <w:t>on</w:t>
            </w:r>
            <w:r>
              <w:rPr>
                <w:rFonts w:cs="Times New Roman"/>
                <w:sz w:val="20"/>
                <w:szCs w:val="20"/>
                <w:lang w:val="fr-CA"/>
              </w:rPr>
              <w:t>cep</w:t>
            </w:r>
            <w:r w:rsidR="00086A0B">
              <w:rPr>
                <w:rFonts w:cs="Times New Roman"/>
                <w:sz w:val="20"/>
                <w:szCs w:val="20"/>
                <w:lang w:val="fr-CA"/>
              </w:rPr>
              <w:t>t</w:t>
            </w:r>
            <w:r>
              <w:rPr>
                <w:rFonts w:cs="Times New Roman"/>
                <w:sz w:val="20"/>
                <w:szCs w:val="20"/>
                <w:lang w:val="fr-CA"/>
              </w:rPr>
              <w:t>ion</w:t>
            </w:r>
            <w:r w:rsidR="00086A0B" w:rsidRPr="00F029FD">
              <w:rPr>
                <w:rFonts w:cs="Times New Roman"/>
                <w:sz w:val="20"/>
                <w:szCs w:val="20"/>
                <w:lang w:val="fr-CA"/>
              </w:rPr>
              <w:t>,</w:t>
            </w:r>
          </w:p>
          <w:p w:rsidR="00086A0B" w:rsidRPr="00BE42DA" w:rsidRDefault="00086A0B" w:rsidP="005A79A3">
            <w:pPr>
              <w:rPr>
                <w:rFonts w:cs="Times New Roman"/>
                <w:sz w:val="20"/>
                <w:szCs w:val="20"/>
              </w:rPr>
            </w:pPr>
            <w:r w:rsidRPr="00BE42DA">
              <w:rPr>
                <w:rFonts w:cs="Times New Roman"/>
                <w:sz w:val="20"/>
                <w:szCs w:val="20"/>
              </w:rPr>
              <w:t xml:space="preserve">2014 CSC </w:t>
            </w:r>
            <w:r w:rsidR="005A79A3" w:rsidRPr="00BE42DA">
              <w:rPr>
                <w:rFonts w:cs="Times New Roman"/>
                <w:sz w:val="20"/>
                <w:szCs w:val="20"/>
              </w:rPr>
              <w:t>60</w:t>
            </w:r>
            <w:r w:rsidRPr="00BE42DA">
              <w:rPr>
                <w:rFonts w:cs="Times New Roman"/>
                <w:sz w:val="20"/>
                <w:szCs w:val="20"/>
              </w:rPr>
              <w:t xml:space="preserve">, [2014] 3 R.C.S. </w:t>
            </w:r>
            <w:r w:rsidR="005A79A3" w:rsidRPr="00BE42DA">
              <w:rPr>
                <w:rFonts w:cs="Times New Roman"/>
                <w:sz w:val="20"/>
                <w:szCs w:val="20"/>
              </w:rPr>
              <w:t>82</w:t>
            </w:r>
          </w:p>
          <w:p w:rsidR="00086A0B" w:rsidRPr="00BE42DA" w:rsidRDefault="00086A0B" w:rsidP="005A79A3">
            <w:pPr>
              <w:rPr>
                <w:rFonts w:cs="Times New Roman"/>
                <w:sz w:val="20"/>
                <w:szCs w:val="20"/>
              </w:rPr>
            </w:pPr>
          </w:p>
          <w:p w:rsidR="00086A0B" w:rsidRPr="005A79A3" w:rsidRDefault="005A79A3" w:rsidP="005A79A3">
            <w:pPr>
              <w:rPr>
                <w:rFonts w:cs="Times New Roman"/>
                <w:sz w:val="20"/>
                <w:szCs w:val="20"/>
              </w:rPr>
            </w:pPr>
            <w:r w:rsidRPr="005A79A3">
              <w:rPr>
                <w:rFonts w:cs="Times New Roman"/>
                <w:sz w:val="20"/>
                <w:szCs w:val="20"/>
              </w:rPr>
              <w:t>R.</w:t>
            </w:r>
            <w:r w:rsidR="00086A0B" w:rsidRPr="005A79A3">
              <w:rPr>
                <w:rFonts w:cs="Times New Roman"/>
                <w:sz w:val="20"/>
                <w:szCs w:val="20"/>
              </w:rPr>
              <w:t xml:space="preserve"> </w:t>
            </w:r>
            <w:r w:rsidR="00086A0B" w:rsidRPr="005A79A3">
              <w:rPr>
                <w:rFonts w:cs="Times New Roman"/>
                <w:i/>
                <w:iCs/>
                <w:sz w:val="20"/>
                <w:szCs w:val="20"/>
              </w:rPr>
              <w:t xml:space="preserve">c. </w:t>
            </w:r>
            <w:r w:rsidRPr="005A79A3">
              <w:rPr>
                <w:rFonts w:cs="Times New Roman"/>
                <w:iCs/>
                <w:sz w:val="20"/>
                <w:szCs w:val="20"/>
              </w:rPr>
              <w:t>M</w:t>
            </w:r>
            <w:r w:rsidR="00086A0B" w:rsidRPr="005A79A3">
              <w:rPr>
                <w:rFonts w:cs="Times New Roman"/>
                <w:iCs/>
                <w:sz w:val="20"/>
                <w:szCs w:val="20"/>
              </w:rPr>
              <w:t>ac</w:t>
            </w:r>
            <w:r w:rsidRPr="005A79A3">
              <w:rPr>
                <w:rFonts w:cs="Times New Roman"/>
                <w:iCs/>
                <w:sz w:val="20"/>
                <w:szCs w:val="20"/>
              </w:rPr>
              <w:t>k</w:t>
            </w:r>
            <w:r w:rsidR="00086A0B" w:rsidRPr="005A79A3">
              <w:rPr>
                <w:rFonts w:cs="Times New Roman"/>
                <w:sz w:val="20"/>
                <w:szCs w:val="20"/>
              </w:rPr>
              <w:t>,</w:t>
            </w:r>
          </w:p>
          <w:p w:rsidR="00086A0B" w:rsidRPr="005A79A3" w:rsidRDefault="00086A0B" w:rsidP="005A79A3">
            <w:pPr>
              <w:rPr>
                <w:rFonts w:cs="Times New Roman"/>
                <w:sz w:val="20"/>
                <w:szCs w:val="20"/>
              </w:rPr>
            </w:pPr>
            <w:r w:rsidRPr="005A79A3">
              <w:rPr>
                <w:rFonts w:cs="Times New Roman"/>
                <w:sz w:val="20"/>
                <w:szCs w:val="20"/>
              </w:rPr>
              <w:t>2014 CSC 5</w:t>
            </w:r>
            <w:r w:rsidR="005A79A3" w:rsidRPr="005A79A3">
              <w:rPr>
                <w:rFonts w:cs="Times New Roman"/>
                <w:sz w:val="20"/>
                <w:szCs w:val="20"/>
              </w:rPr>
              <w:t>8</w:t>
            </w:r>
            <w:r w:rsidRPr="005A79A3">
              <w:rPr>
                <w:rFonts w:cs="Times New Roman"/>
                <w:sz w:val="20"/>
                <w:szCs w:val="20"/>
              </w:rPr>
              <w:t xml:space="preserve">, [2014] 3 R.C.S. </w:t>
            </w:r>
            <w:r w:rsidR="005A79A3">
              <w:rPr>
                <w:rFonts w:cs="Times New Roman"/>
                <w:sz w:val="20"/>
                <w:szCs w:val="20"/>
              </w:rPr>
              <w:t>3</w:t>
            </w:r>
          </w:p>
          <w:p w:rsidR="00086A0B" w:rsidRPr="005A79A3" w:rsidRDefault="00086A0B" w:rsidP="005A79A3">
            <w:pPr>
              <w:rPr>
                <w:rFonts w:cs="Times New Roman"/>
                <w:sz w:val="20"/>
                <w:szCs w:val="20"/>
              </w:rPr>
            </w:pPr>
          </w:p>
          <w:p w:rsidR="00086A0B" w:rsidRPr="005A79A3" w:rsidRDefault="00086A0B" w:rsidP="005A79A3">
            <w:pPr>
              <w:rPr>
                <w:rFonts w:cs="Times New Roman"/>
                <w:sz w:val="20"/>
                <w:szCs w:val="20"/>
              </w:rPr>
            </w:pPr>
            <w:r w:rsidRPr="005A79A3">
              <w:rPr>
                <w:rFonts w:cs="Times New Roman"/>
                <w:sz w:val="20"/>
                <w:szCs w:val="20"/>
              </w:rPr>
              <w:t xml:space="preserve">R. </w:t>
            </w:r>
            <w:r w:rsidRPr="005A79A3">
              <w:rPr>
                <w:rFonts w:cs="Times New Roman"/>
                <w:i/>
                <w:iCs/>
                <w:sz w:val="20"/>
                <w:szCs w:val="20"/>
              </w:rPr>
              <w:t>c.</w:t>
            </w:r>
            <w:r w:rsidRPr="005A79A3">
              <w:rPr>
                <w:rFonts w:cs="Times New Roman"/>
                <w:iCs/>
                <w:sz w:val="20"/>
                <w:szCs w:val="20"/>
              </w:rPr>
              <w:t xml:space="preserve"> </w:t>
            </w:r>
            <w:r w:rsidR="005A79A3" w:rsidRPr="005A79A3">
              <w:rPr>
                <w:rFonts w:cs="Times New Roman"/>
                <w:iCs/>
                <w:sz w:val="20"/>
                <w:szCs w:val="20"/>
              </w:rPr>
              <w:t>Mohamed</w:t>
            </w:r>
            <w:r w:rsidRPr="005A79A3">
              <w:rPr>
                <w:rFonts w:cs="Times New Roman"/>
                <w:sz w:val="20"/>
                <w:szCs w:val="20"/>
              </w:rPr>
              <w:t>,</w:t>
            </w:r>
          </w:p>
          <w:p w:rsidR="00086A0B" w:rsidRPr="005A79A3" w:rsidRDefault="00086A0B" w:rsidP="005A79A3">
            <w:pPr>
              <w:rPr>
                <w:rFonts w:cs="Times New Roman"/>
                <w:sz w:val="20"/>
                <w:szCs w:val="20"/>
              </w:rPr>
            </w:pPr>
            <w:r w:rsidRPr="005A79A3">
              <w:rPr>
                <w:rFonts w:cs="Times New Roman"/>
                <w:sz w:val="20"/>
                <w:szCs w:val="20"/>
              </w:rPr>
              <w:t xml:space="preserve">2014 CSC </w:t>
            </w:r>
            <w:r w:rsidR="005A79A3" w:rsidRPr="005A79A3">
              <w:rPr>
                <w:rFonts w:cs="Times New Roman"/>
                <w:sz w:val="20"/>
                <w:szCs w:val="20"/>
              </w:rPr>
              <w:t>63</w:t>
            </w:r>
            <w:r w:rsidRPr="005A79A3">
              <w:rPr>
                <w:rFonts w:cs="Times New Roman"/>
                <w:sz w:val="20"/>
                <w:szCs w:val="20"/>
              </w:rPr>
              <w:t xml:space="preserve">, [2014] 3 R.C.S. </w:t>
            </w:r>
            <w:r w:rsidR="005A79A3" w:rsidRPr="005A79A3">
              <w:rPr>
                <w:rFonts w:cs="Times New Roman"/>
                <w:sz w:val="20"/>
                <w:szCs w:val="20"/>
              </w:rPr>
              <w:t>280</w:t>
            </w:r>
          </w:p>
          <w:p w:rsidR="00086A0B" w:rsidRPr="005A79A3" w:rsidRDefault="00086A0B" w:rsidP="005A79A3">
            <w:pPr>
              <w:rPr>
                <w:rFonts w:cs="Times New Roman"/>
                <w:sz w:val="20"/>
                <w:szCs w:val="20"/>
              </w:rPr>
            </w:pPr>
          </w:p>
          <w:p w:rsidR="00086A0B" w:rsidRPr="005A79A3" w:rsidRDefault="00086A0B" w:rsidP="005A79A3">
            <w:pPr>
              <w:rPr>
                <w:rFonts w:cs="Times New Roman"/>
                <w:sz w:val="20"/>
                <w:szCs w:val="20"/>
              </w:rPr>
            </w:pPr>
            <w:r w:rsidRPr="005A79A3">
              <w:rPr>
                <w:rFonts w:cs="Times New Roman"/>
                <w:sz w:val="20"/>
                <w:szCs w:val="20"/>
              </w:rPr>
              <w:t xml:space="preserve">R. </w:t>
            </w:r>
            <w:r w:rsidRPr="005A79A3">
              <w:rPr>
                <w:rFonts w:cs="Times New Roman"/>
                <w:i/>
                <w:iCs/>
                <w:sz w:val="20"/>
                <w:szCs w:val="20"/>
              </w:rPr>
              <w:t>c.</w:t>
            </w:r>
            <w:r w:rsidRPr="005A79A3">
              <w:rPr>
                <w:rFonts w:cs="Times New Roman"/>
                <w:iCs/>
                <w:sz w:val="20"/>
                <w:szCs w:val="20"/>
              </w:rPr>
              <w:t xml:space="preserve"> </w:t>
            </w:r>
            <w:r w:rsidR="005A79A3" w:rsidRPr="005A79A3">
              <w:rPr>
                <w:rFonts w:cs="Times New Roman"/>
                <w:iCs/>
                <w:sz w:val="20"/>
                <w:szCs w:val="20"/>
              </w:rPr>
              <w:t>St</w:t>
            </w:r>
            <w:r w:rsidRPr="005A79A3">
              <w:rPr>
                <w:rFonts w:cs="Times New Roman"/>
                <w:iCs/>
                <w:sz w:val="20"/>
                <w:szCs w:val="20"/>
              </w:rPr>
              <w:t>eele</w:t>
            </w:r>
            <w:r w:rsidRPr="005A79A3">
              <w:rPr>
                <w:rFonts w:cs="Times New Roman"/>
                <w:sz w:val="20"/>
                <w:szCs w:val="20"/>
              </w:rPr>
              <w:t>,</w:t>
            </w:r>
          </w:p>
          <w:p w:rsidR="00086A0B" w:rsidRPr="00666EB6" w:rsidRDefault="00086A0B" w:rsidP="005A79A3">
            <w:pPr>
              <w:rPr>
                <w:rFonts w:cs="Times New Roman"/>
                <w:sz w:val="20"/>
                <w:szCs w:val="20"/>
                <w:lang w:val="fr-CA"/>
              </w:rPr>
            </w:pPr>
            <w:r w:rsidRPr="00666EB6">
              <w:rPr>
                <w:rFonts w:cs="Times New Roman"/>
                <w:sz w:val="20"/>
                <w:szCs w:val="20"/>
                <w:lang w:val="fr-CA"/>
              </w:rPr>
              <w:t>2014 CSC 6</w:t>
            </w:r>
            <w:r w:rsidR="005A79A3">
              <w:rPr>
                <w:rFonts w:cs="Times New Roman"/>
                <w:sz w:val="20"/>
                <w:szCs w:val="20"/>
                <w:lang w:val="fr-CA"/>
              </w:rPr>
              <w:t>1</w:t>
            </w:r>
            <w:r w:rsidRPr="00666EB6">
              <w:rPr>
                <w:rFonts w:cs="Times New Roman"/>
                <w:sz w:val="20"/>
                <w:szCs w:val="20"/>
                <w:lang w:val="fr-CA"/>
              </w:rPr>
              <w:t xml:space="preserve">, [2014] </w:t>
            </w:r>
            <w:r>
              <w:rPr>
                <w:rFonts w:cs="Times New Roman"/>
                <w:sz w:val="20"/>
                <w:szCs w:val="20"/>
                <w:lang w:val="fr-CA"/>
              </w:rPr>
              <w:t>3</w:t>
            </w:r>
            <w:r w:rsidRPr="00666EB6">
              <w:rPr>
                <w:rFonts w:cs="Times New Roman"/>
                <w:sz w:val="20"/>
                <w:szCs w:val="20"/>
                <w:lang w:val="fr-CA"/>
              </w:rPr>
              <w:t xml:space="preserve"> R.C.S. </w:t>
            </w:r>
            <w:r w:rsidR="005A79A3">
              <w:rPr>
                <w:rFonts w:cs="Times New Roman"/>
                <w:sz w:val="20"/>
                <w:szCs w:val="20"/>
                <w:lang w:val="fr-CA"/>
              </w:rPr>
              <w:t>1</w:t>
            </w:r>
            <w:r>
              <w:rPr>
                <w:rFonts w:cs="Times New Roman"/>
                <w:sz w:val="20"/>
                <w:szCs w:val="20"/>
                <w:lang w:val="fr-CA"/>
              </w:rPr>
              <w:t>3</w:t>
            </w:r>
            <w:r w:rsidR="005A79A3">
              <w:rPr>
                <w:rFonts w:cs="Times New Roman"/>
                <w:sz w:val="20"/>
                <w:szCs w:val="20"/>
                <w:lang w:val="fr-CA"/>
              </w:rPr>
              <w:t>8</w:t>
            </w:r>
          </w:p>
          <w:p w:rsidR="00086A0B" w:rsidRPr="00666EB6" w:rsidRDefault="00086A0B" w:rsidP="005A79A3">
            <w:pPr>
              <w:rPr>
                <w:rFonts w:cs="Times New Roman"/>
                <w:iCs/>
                <w:sz w:val="20"/>
                <w:szCs w:val="20"/>
                <w:lang w:val="fr-CA"/>
              </w:rPr>
            </w:pPr>
          </w:p>
          <w:p w:rsidR="00086A0B" w:rsidRPr="005A79A3" w:rsidRDefault="00086A0B" w:rsidP="005A79A3">
            <w:pPr>
              <w:rPr>
                <w:rFonts w:cs="Times New Roman"/>
                <w:sz w:val="20"/>
                <w:szCs w:val="20"/>
              </w:rPr>
            </w:pPr>
            <w:r w:rsidRPr="005A79A3">
              <w:rPr>
                <w:rFonts w:cs="Times New Roman"/>
                <w:sz w:val="20"/>
                <w:szCs w:val="20"/>
              </w:rPr>
              <w:t>Tr</w:t>
            </w:r>
            <w:r w:rsidR="005A79A3" w:rsidRPr="005A79A3">
              <w:rPr>
                <w:rFonts w:cs="Times New Roman"/>
                <w:sz w:val="20"/>
                <w:szCs w:val="20"/>
              </w:rPr>
              <w:t>i</w:t>
            </w:r>
            <w:r w:rsidRPr="005A79A3">
              <w:rPr>
                <w:rFonts w:cs="Times New Roman"/>
                <w:sz w:val="20"/>
                <w:szCs w:val="20"/>
              </w:rPr>
              <w:t>al</w:t>
            </w:r>
            <w:r w:rsidR="005A79A3" w:rsidRPr="005A79A3">
              <w:rPr>
                <w:rFonts w:cs="Times New Roman"/>
                <w:sz w:val="20"/>
                <w:szCs w:val="20"/>
              </w:rPr>
              <w:t xml:space="preserve"> Lawy</w:t>
            </w:r>
            <w:r w:rsidRPr="005A79A3">
              <w:rPr>
                <w:rFonts w:cs="Times New Roman"/>
                <w:sz w:val="20"/>
                <w:szCs w:val="20"/>
              </w:rPr>
              <w:t xml:space="preserve">ers </w:t>
            </w:r>
            <w:r w:rsidR="005A79A3" w:rsidRPr="005A79A3">
              <w:rPr>
                <w:rFonts w:cs="Times New Roman"/>
                <w:sz w:val="20"/>
                <w:szCs w:val="20"/>
              </w:rPr>
              <w:t>A</w:t>
            </w:r>
            <w:r w:rsidRPr="005A79A3">
              <w:rPr>
                <w:rFonts w:cs="Times New Roman"/>
                <w:sz w:val="20"/>
                <w:szCs w:val="20"/>
              </w:rPr>
              <w:t>ss</w:t>
            </w:r>
            <w:r w:rsidR="005A79A3" w:rsidRPr="005A79A3">
              <w:rPr>
                <w:rFonts w:cs="Times New Roman"/>
                <w:sz w:val="20"/>
                <w:szCs w:val="20"/>
              </w:rPr>
              <w:t>oc</w:t>
            </w:r>
            <w:r w:rsidRPr="005A79A3">
              <w:rPr>
                <w:rFonts w:cs="Times New Roman"/>
                <w:sz w:val="20"/>
                <w:szCs w:val="20"/>
              </w:rPr>
              <w:t xml:space="preserve">iation </w:t>
            </w:r>
            <w:r w:rsidR="005A79A3" w:rsidRPr="005A79A3">
              <w:rPr>
                <w:rFonts w:cs="Times New Roman"/>
                <w:sz w:val="20"/>
                <w:szCs w:val="20"/>
              </w:rPr>
              <w:t>of B</w:t>
            </w:r>
            <w:r w:rsidRPr="005A79A3">
              <w:rPr>
                <w:rFonts w:cs="Times New Roman"/>
                <w:sz w:val="20"/>
                <w:szCs w:val="20"/>
              </w:rPr>
              <w:t>r</w:t>
            </w:r>
            <w:r w:rsidR="005A79A3" w:rsidRPr="005A79A3">
              <w:rPr>
                <w:rFonts w:cs="Times New Roman"/>
                <w:sz w:val="20"/>
                <w:szCs w:val="20"/>
              </w:rPr>
              <w:t>i</w:t>
            </w:r>
            <w:r w:rsidRPr="005A79A3">
              <w:rPr>
                <w:rFonts w:cs="Times New Roman"/>
                <w:sz w:val="20"/>
                <w:szCs w:val="20"/>
              </w:rPr>
              <w:t>ti</w:t>
            </w:r>
            <w:r w:rsidR="005A79A3" w:rsidRPr="005A79A3">
              <w:rPr>
                <w:rFonts w:cs="Times New Roman"/>
                <w:sz w:val="20"/>
                <w:szCs w:val="20"/>
              </w:rPr>
              <w:t>sh C</w:t>
            </w:r>
            <w:r w:rsidRPr="005A79A3">
              <w:rPr>
                <w:rFonts w:cs="Times New Roman"/>
                <w:sz w:val="20"/>
                <w:szCs w:val="20"/>
              </w:rPr>
              <w:t>ol</w:t>
            </w:r>
            <w:r w:rsidR="005A79A3" w:rsidRPr="005A79A3">
              <w:rPr>
                <w:rFonts w:cs="Times New Roman"/>
                <w:sz w:val="20"/>
                <w:szCs w:val="20"/>
              </w:rPr>
              <w:t>umbi</w:t>
            </w:r>
            <w:r w:rsidRPr="005A79A3">
              <w:rPr>
                <w:rFonts w:cs="Times New Roman"/>
                <w:sz w:val="20"/>
                <w:szCs w:val="20"/>
              </w:rPr>
              <w:t xml:space="preserve">a </w:t>
            </w:r>
            <w:r w:rsidRPr="005A79A3">
              <w:rPr>
                <w:rFonts w:cs="Times New Roman"/>
                <w:i/>
                <w:iCs/>
                <w:sz w:val="20"/>
                <w:szCs w:val="20"/>
              </w:rPr>
              <w:t xml:space="preserve">c. </w:t>
            </w:r>
            <w:r w:rsidRPr="005A79A3">
              <w:rPr>
                <w:rFonts w:cs="Times New Roman"/>
                <w:iCs/>
                <w:sz w:val="20"/>
                <w:szCs w:val="20"/>
              </w:rPr>
              <w:t>Co</w:t>
            </w:r>
            <w:r w:rsidR="005A79A3">
              <w:rPr>
                <w:rFonts w:cs="Times New Roman"/>
                <w:iCs/>
                <w:sz w:val="20"/>
                <w:szCs w:val="20"/>
              </w:rPr>
              <w:t>lo</w:t>
            </w:r>
            <w:r w:rsidRPr="005A79A3">
              <w:rPr>
                <w:rFonts w:cs="Times New Roman"/>
                <w:iCs/>
                <w:sz w:val="20"/>
                <w:szCs w:val="20"/>
              </w:rPr>
              <w:t>m</w:t>
            </w:r>
            <w:r w:rsidR="005A79A3">
              <w:rPr>
                <w:rFonts w:cs="Times New Roman"/>
                <w:iCs/>
                <w:sz w:val="20"/>
                <w:szCs w:val="20"/>
              </w:rPr>
              <w:t>b</w:t>
            </w:r>
            <w:r w:rsidRPr="005A79A3">
              <w:rPr>
                <w:rFonts w:cs="Times New Roman"/>
                <w:iCs/>
                <w:sz w:val="20"/>
                <w:szCs w:val="20"/>
              </w:rPr>
              <w:t>ie</w:t>
            </w:r>
            <w:r w:rsidR="005A79A3">
              <w:rPr>
                <w:rFonts w:cs="Times New Roman"/>
                <w:iCs/>
                <w:sz w:val="20"/>
                <w:szCs w:val="20"/>
              </w:rPr>
              <w:t>-Bri</w:t>
            </w:r>
            <w:r w:rsidRPr="005A79A3">
              <w:rPr>
                <w:rFonts w:cs="Times New Roman"/>
                <w:iCs/>
                <w:sz w:val="20"/>
                <w:szCs w:val="20"/>
              </w:rPr>
              <w:t>t</w:t>
            </w:r>
            <w:r w:rsidR="005A79A3">
              <w:rPr>
                <w:rFonts w:cs="Times New Roman"/>
                <w:iCs/>
                <w:sz w:val="20"/>
                <w:szCs w:val="20"/>
              </w:rPr>
              <w:t>anniq</w:t>
            </w:r>
            <w:r w:rsidRPr="005A79A3">
              <w:rPr>
                <w:rFonts w:cs="Times New Roman"/>
                <w:iCs/>
                <w:sz w:val="20"/>
                <w:szCs w:val="20"/>
              </w:rPr>
              <w:t>u</w:t>
            </w:r>
            <w:r w:rsidR="005A79A3">
              <w:rPr>
                <w:rFonts w:cs="Times New Roman"/>
                <w:iCs/>
                <w:sz w:val="20"/>
                <w:szCs w:val="20"/>
              </w:rPr>
              <w:t>e (Procureur gé</w:t>
            </w:r>
            <w:r w:rsidRPr="005A79A3">
              <w:rPr>
                <w:rFonts w:cs="Times New Roman"/>
                <w:iCs/>
                <w:sz w:val="20"/>
                <w:szCs w:val="20"/>
              </w:rPr>
              <w:t>n</w:t>
            </w:r>
            <w:r w:rsidR="005A79A3">
              <w:rPr>
                <w:rFonts w:cs="Times New Roman"/>
                <w:iCs/>
                <w:sz w:val="20"/>
                <w:szCs w:val="20"/>
              </w:rPr>
              <w:t>ér</w:t>
            </w:r>
            <w:r w:rsidRPr="005A79A3">
              <w:rPr>
                <w:rFonts w:cs="Times New Roman"/>
                <w:iCs/>
                <w:sz w:val="20"/>
                <w:szCs w:val="20"/>
              </w:rPr>
              <w:t>a</w:t>
            </w:r>
            <w:r w:rsidR="005A79A3">
              <w:rPr>
                <w:rFonts w:cs="Times New Roman"/>
                <w:iCs/>
                <w:sz w:val="20"/>
                <w:szCs w:val="20"/>
              </w:rPr>
              <w:t>l)</w:t>
            </w:r>
            <w:r w:rsidRPr="005A79A3">
              <w:rPr>
                <w:rFonts w:cs="Times New Roman"/>
                <w:iCs/>
                <w:sz w:val="20"/>
                <w:szCs w:val="20"/>
              </w:rPr>
              <w:t>,</w:t>
            </w:r>
          </w:p>
          <w:p w:rsidR="00086A0B" w:rsidRPr="00E15380" w:rsidRDefault="00086A0B" w:rsidP="005A79A3">
            <w:pPr>
              <w:rPr>
                <w:rFonts w:cs="Times New Roman"/>
                <w:sz w:val="20"/>
                <w:szCs w:val="20"/>
              </w:rPr>
            </w:pPr>
            <w:r w:rsidRPr="00E15380">
              <w:rPr>
                <w:rFonts w:cs="Times New Roman"/>
                <w:sz w:val="20"/>
                <w:szCs w:val="20"/>
              </w:rPr>
              <w:t>201</w:t>
            </w:r>
            <w:r>
              <w:rPr>
                <w:rFonts w:cs="Times New Roman"/>
                <w:sz w:val="20"/>
                <w:szCs w:val="20"/>
              </w:rPr>
              <w:t>4</w:t>
            </w:r>
            <w:r w:rsidRPr="00E15380">
              <w:rPr>
                <w:rFonts w:cs="Times New Roman"/>
                <w:sz w:val="20"/>
                <w:szCs w:val="20"/>
              </w:rPr>
              <w:t xml:space="preserve"> CSC </w:t>
            </w:r>
            <w:r>
              <w:rPr>
                <w:rFonts w:cs="Times New Roman"/>
                <w:sz w:val="20"/>
                <w:szCs w:val="20"/>
              </w:rPr>
              <w:t>5</w:t>
            </w:r>
            <w:r w:rsidR="00595A41">
              <w:rPr>
                <w:rFonts w:cs="Times New Roman"/>
                <w:sz w:val="20"/>
                <w:szCs w:val="20"/>
              </w:rPr>
              <w:t>9</w:t>
            </w:r>
            <w:r w:rsidRPr="00E15380">
              <w:rPr>
                <w:rFonts w:cs="Times New Roman"/>
                <w:sz w:val="20"/>
                <w:szCs w:val="20"/>
              </w:rPr>
              <w:t>, [201</w:t>
            </w:r>
            <w:r>
              <w:rPr>
                <w:rFonts w:cs="Times New Roman"/>
                <w:sz w:val="20"/>
                <w:szCs w:val="20"/>
              </w:rPr>
              <w:t>4</w:t>
            </w:r>
            <w:r w:rsidRPr="00E15380">
              <w:rPr>
                <w:rFonts w:cs="Times New Roman"/>
                <w:sz w:val="20"/>
                <w:szCs w:val="20"/>
              </w:rPr>
              <w:t xml:space="preserve">] </w:t>
            </w:r>
            <w:r>
              <w:rPr>
                <w:rFonts w:cs="Times New Roman"/>
                <w:sz w:val="20"/>
                <w:szCs w:val="20"/>
              </w:rPr>
              <w:t>3</w:t>
            </w:r>
            <w:r w:rsidRPr="00E15380">
              <w:rPr>
                <w:rFonts w:cs="Times New Roman"/>
                <w:sz w:val="20"/>
                <w:szCs w:val="20"/>
              </w:rPr>
              <w:t xml:space="preserve"> R.C.S. </w:t>
            </w:r>
            <w:r>
              <w:rPr>
                <w:rFonts w:cs="Times New Roman"/>
                <w:sz w:val="20"/>
                <w:szCs w:val="20"/>
              </w:rPr>
              <w:t>3</w:t>
            </w:r>
            <w:r w:rsidR="00595A41">
              <w:rPr>
                <w:rFonts w:cs="Times New Roman"/>
                <w:sz w:val="20"/>
                <w:szCs w:val="20"/>
              </w:rPr>
              <w:t>1</w:t>
            </w:r>
          </w:p>
          <w:p w:rsidR="00086A0B" w:rsidRPr="00E15380" w:rsidRDefault="00086A0B" w:rsidP="005A79A3">
            <w:pPr>
              <w:keepNext/>
              <w:keepLines/>
              <w:rPr>
                <w:rFonts w:cs="Times New Roman"/>
                <w:bCs/>
                <w:sz w:val="20"/>
                <w:szCs w:val="20"/>
              </w:rPr>
            </w:pPr>
          </w:p>
          <w:p w:rsidR="00086A0B" w:rsidRPr="00DD0B49" w:rsidRDefault="00742BC3" w:rsidP="005A79A3">
            <w:pPr>
              <w:rPr>
                <w:rFonts w:cs="Times New Roman"/>
                <w:sz w:val="20"/>
                <w:szCs w:val="20"/>
              </w:rPr>
            </w:pPr>
            <w:r>
              <w:rPr>
                <w:rFonts w:cs="Times New Roman"/>
                <w:sz w:val="20"/>
                <w:szCs w:val="20"/>
              </w:rPr>
              <w:pict>
                <v:rect id="_x0000_i1074" style="width:129.6pt;height:1pt" o:hrpct="600" o:hralign="center" o:hrstd="t" o:hrnoshade="t" o:hr="t" fillcolor="black [3213]" stroked="f"/>
              </w:pict>
            </w:r>
          </w:p>
          <w:p w:rsidR="00086A0B" w:rsidRPr="00DD0B49" w:rsidRDefault="00086A0B" w:rsidP="005A79A3">
            <w:pPr>
              <w:keepNext/>
              <w:keepLines/>
              <w:rPr>
                <w:rFonts w:cs="Times New Roman"/>
                <w:bCs/>
                <w:sz w:val="20"/>
                <w:szCs w:val="20"/>
                <w:lang w:val="fr-CA"/>
              </w:rPr>
            </w:pPr>
          </w:p>
        </w:tc>
      </w:tr>
    </w:tbl>
    <w:p w:rsidR="006B6926" w:rsidRPr="00C50A5C" w:rsidRDefault="006B6926" w:rsidP="00782AE4">
      <w:pPr>
        <w:jc w:val="both"/>
        <w:rPr>
          <w:sz w:val="20"/>
          <w:szCs w:val="20"/>
          <w:lang w:val="fr-CA"/>
        </w:rPr>
        <w:sectPr w:rsidR="006B6926" w:rsidRPr="00C50A5C" w:rsidSect="006B6926">
          <w:headerReference w:type="default" r:id="rId82"/>
          <w:footerReference w:type="default" r:id="rId83"/>
          <w:headerReference w:type="first" r:id="rId84"/>
          <w:footerReference w:type="first" r:id="rId85"/>
          <w:pgSz w:w="12240" w:h="15840"/>
          <w:pgMar w:top="720" w:right="965" w:bottom="1080" w:left="1656" w:header="720" w:footer="965" w:gutter="0"/>
          <w:cols w:space="720"/>
          <w:titlePg/>
          <w:docGrid w:linePitch="326"/>
        </w:sectPr>
      </w:pPr>
    </w:p>
    <w:p w:rsidR="008112A9" w:rsidRPr="002E0C7E" w:rsidRDefault="000A5A7E"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5A79A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A79A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A79A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DECEMBER - DÉCEMBRE</w:t>
            </w:r>
          </w:p>
        </w:tc>
      </w:tr>
      <w:tr w:rsidR="008112A9" w:rsidRPr="002E0C7E" w:rsidTr="005A79A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S</w:t>
            </w:r>
          </w:p>
        </w:tc>
      </w:tr>
      <w:tr w:rsidR="008112A9" w:rsidRPr="002E0C7E" w:rsidTr="005A79A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5A79A3">
            <w:pPr>
              <w:widowControl w:val="0"/>
              <w:jc w:val="center"/>
              <w:rPr>
                <w:rFonts w:ascii="Arial" w:hAnsi="Arial"/>
                <w:b/>
                <w:sz w:val="14"/>
              </w:rPr>
            </w:pPr>
            <w:r>
              <w:rPr>
                <w:rFonts w:ascii="Arial" w:hAnsi="Arial"/>
                <w:b/>
                <w:sz w:val="14"/>
              </w:rPr>
              <w:t>M</w:t>
            </w:r>
          </w:p>
          <w:p w:rsidR="008112A9" w:rsidRPr="002E0C7E" w:rsidRDefault="008112A9" w:rsidP="005A79A3">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6</w:t>
            </w:r>
          </w:p>
        </w:tc>
      </w:tr>
      <w:tr w:rsidR="008112A9" w:rsidRPr="002E0C7E" w:rsidTr="005A79A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5A79A3">
            <w:pPr>
              <w:widowControl w:val="0"/>
              <w:jc w:val="center"/>
              <w:rPr>
                <w:rFonts w:ascii="Arial" w:hAnsi="Arial"/>
                <w:b/>
                <w:sz w:val="14"/>
              </w:rPr>
            </w:pPr>
            <w:r>
              <w:rPr>
                <w:rFonts w:ascii="Arial" w:hAnsi="Arial"/>
                <w:b/>
                <w:sz w:val="14"/>
              </w:rPr>
              <w:t>M</w:t>
            </w:r>
          </w:p>
          <w:p w:rsidR="008112A9" w:rsidRPr="002E0C7E" w:rsidRDefault="008112A9" w:rsidP="005A79A3">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M</w:t>
            </w:r>
          </w:p>
          <w:p w:rsidR="008112A9" w:rsidRPr="002E0C7E" w:rsidRDefault="008112A9" w:rsidP="005A79A3">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13</w:t>
            </w:r>
          </w:p>
        </w:tc>
      </w:tr>
      <w:tr w:rsidR="008112A9" w:rsidRPr="002E0C7E" w:rsidTr="005A79A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5A79A3">
            <w:pPr>
              <w:widowControl w:val="0"/>
              <w:jc w:val="center"/>
              <w:rPr>
                <w:rFonts w:ascii="Arial" w:hAnsi="Arial"/>
                <w:b/>
                <w:sz w:val="14"/>
              </w:rPr>
            </w:pPr>
            <w:r>
              <w:rPr>
                <w:rFonts w:ascii="Arial" w:hAnsi="Arial"/>
                <w:b/>
                <w:sz w:val="14"/>
              </w:rPr>
              <w:t>H</w:t>
            </w: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5A79A3">
            <w:pPr>
              <w:widowControl w:val="0"/>
              <w:jc w:val="center"/>
              <w:rPr>
                <w:rFonts w:ascii="Arial" w:hAnsi="Arial"/>
                <w:b/>
                <w:sz w:val="14"/>
              </w:rPr>
            </w:pPr>
            <w:r w:rsidRPr="004F066E">
              <w:rPr>
                <w:rFonts w:ascii="Arial" w:hAnsi="Arial"/>
                <w:b/>
                <w:sz w:val="14"/>
              </w:rPr>
              <w:t>H</w:t>
            </w:r>
          </w:p>
          <w:p w:rsidR="008112A9" w:rsidRPr="002E0C7E" w:rsidRDefault="008112A9" w:rsidP="005A79A3">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20</w:t>
            </w:r>
          </w:p>
        </w:tc>
      </w:tr>
      <w:tr w:rsidR="008112A9" w:rsidRPr="002E0C7E" w:rsidTr="005A79A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A79A3">
            <w:pPr>
              <w:widowControl w:val="0"/>
              <w:jc w:val="center"/>
              <w:rPr>
                <w:rFonts w:ascii="Arial" w:hAnsi="Arial"/>
                <w:b/>
                <w:sz w:val="14"/>
              </w:rPr>
            </w:pPr>
            <w:r>
              <w:rPr>
                <w:rFonts w:ascii="Arial" w:hAnsi="Arial"/>
                <w:b/>
                <w:sz w:val="14"/>
              </w:rPr>
              <w:t>H</w:t>
            </w:r>
          </w:p>
          <w:p w:rsidR="008112A9" w:rsidRPr="002E0C7E" w:rsidRDefault="008112A9" w:rsidP="005A79A3">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A79A3">
            <w:pPr>
              <w:widowControl w:val="0"/>
              <w:jc w:val="center"/>
              <w:rPr>
                <w:rFonts w:ascii="Arial" w:hAnsi="Arial"/>
                <w:b/>
                <w:sz w:val="14"/>
              </w:rPr>
            </w:pPr>
            <w:r>
              <w:rPr>
                <w:rFonts w:ascii="Arial" w:hAnsi="Arial"/>
                <w:b/>
                <w:sz w:val="14"/>
              </w:rPr>
              <w:t>H</w:t>
            </w:r>
          </w:p>
          <w:p w:rsidR="008112A9" w:rsidRPr="002E0C7E" w:rsidRDefault="008112A9" w:rsidP="005A79A3">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A79A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5A79A3">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5A79A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A79A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A79A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MARCH - MARS</w:t>
            </w:r>
          </w:p>
        </w:tc>
      </w:tr>
      <w:tr w:rsidR="008112A9" w:rsidRPr="002E0C7E" w:rsidTr="005A79A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S</w:t>
            </w:r>
          </w:p>
        </w:tc>
      </w:tr>
      <w:tr w:rsidR="008112A9" w:rsidRPr="002E0C7E" w:rsidTr="005A7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5A79A3">
            <w:pPr>
              <w:widowControl w:val="0"/>
              <w:jc w:val="center"/>
              <w:rPr>
                <w:rFonts w:ascii="Arial" w:hAnsi="Arial"/>
                <w:b/>
                <w:sz w:val="14"/>
              </w:rPr>
            </w:pPr>
            <w:r w:rsidRPr="004F066E">
              <w:rPr>
                <w:rFonts w:ascii="Arial" w:hAnsi="Arial"/>
                <w:b/>
                <w:sz w:val="14"/>
              </w:rPr>
              <w:t>H</w:t>
            </w:r>
          </w:p>
          <w:p w:rsidR="008112A9" w:rsidRPr="002E0C7E" w:rsidRDefault="008112A9" w:rsidP="005A79A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7</w:t>
            </w:r>
          </w:p>
        </w:tc>
      </w:tr>
      <w:tr w:rsidR="008112A9" w:rsidRPr="002E0C7E" w:rsidTr="005A7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5A79A3">
            <w:pPr>
              <w:widowControl w:val="0"/>
              <w:jc w:val="center"/>
              <w:rPr>
                <w:rFonts w:ascii="Arial" w:hAnsi="Arial"/>
                <w:b/>
                <w:sz w:val="14"/>
              </w:rPr>
            </w:pPr>
            <w:r>
              <w:rPr>
                <w:rFonts w:ascii="Arial" w:hAnsi="Arial"/>
                <w:b/>
                <w:sz w:val="14"/>
              </w:rPr>
              <w:t>M</w:t>
            </w:r>
          </w:p>
          <w:p w:rsidR="008112A9" w:rsidRPr="002E0C7E" w:rsidRDefault="008112A9" w:rsidP="005A79A3">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14</w:t>
            </w:r>
          </w:p>
        </w:tc>
      </w:tr>
      <w:tr w:rsidR="008112A9" w:rsidRPr="002E0C7E" w:rsidTr="005A79A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5A79A3">
            <w:pPr>
              <w:widowControl w:val="0"/>
              <w:jc w:val="center"/>
              <w:rPr>
                <w:rFonts w:ascii="Arial" w:hAnsi="Arial"/>
                <w:b/>
                <w:sz w:val="14"/>
              </w:rPr>
            </w:pPr>
            <w:r>
              <w:rPr>
                <w:rFonts w:ascii="Arial" w:hAnsi="Arial"/>
                <w:b/>
                <w:sz w:val="14"/>
              </w:rPr>
              <w:t>M</w:t>
            </w: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5A79A3">
            <w:pPr>
              <w:widowControl w:val="0"/>
              <w:jc w:val="center"/>
              <w:rPr>
                <w:rFonts w:ascii="Arial" w:hAnsi="Arial"/>
                <w:b/>
                <w:sz w:val="14"/>
              </w:rPr>
            </w:pPr>
            <w:r w:rsidRPr="009900C5">
              <w:rPr>
                <w:rFonts w:ascii="Arial" w:hAnsi="Arial"/>
                <w:b/>
                <w:sz w:val="14"/>
              </w:rPr>
              <w:t>M</w:t>
            </w: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5A7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5A79A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5A79A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A79A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A79A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A79A3">
            <w:pPr>
              <w:widowControl w:val="0"/>
              <w:jc w:val="center"/>
              <w:rPr>
                <w:rFonts w:ascii="Arial" w:hAnsi="Arial"/>
                <w:sz w:val="14"/>
              </w:rPr>
            </w:pPr>
            <w:r w:rsidRPr="002E0C7E">
              <w:rPr>
                <w:rFonts w:ascii="Arial" w:hAnsi="Arial"/>
                <w:b/>
                <w:sz w:val="14"/>
              </w:rPr>
              <w:t>JUNE - JUIN</w:t>
            </w:r>
          </w:p>
        </w:tc>
      </w:tr>
      <w:tr w:rsidR="008112A9" w:rsidRPr="002E0C7E" w:rsidTr="005A79A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S</w:t>
            </w:r>
          </w:p>
          <w:p w:rsidR="008112A9" w:rsidRPr="002E0C7E" w:rsidRDefault="008112A9" w:rsidP="005A7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M</w:t>
            </w:r>
          </w:p>
          <w:p w:rsidR="008112A9" w:rsidRPr="002E0C7E" w:rsidRDefault="008112A9" w:rsidP="005A7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W</w:t>
            </w:r>
          </w:p>
          <w:p w:rsidR="008112A9" w:rsidRPr="002E0C7E" w:rsidRDefault="008112A9" w:rsidP="005A7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T</w:t>
            </w:r>
          </w:p>
          <w:p w:rsidR="008112A9" w:rsidRPr="002E0C7E" w:rsidRDefault="008112A9" w:rsidP="005A7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sidRPr="002E0C7E">
              <w:rPr>
                <w:rFonts w:ascii="Arial" w:hAnsi="Arial"/>
                <w:sz w:val="14"/>
              </w:rPr>
              <w:t>F</w:t>
            </w:r>
          </w:p>
          <w:p w:rsidR="008112A9" w:rsidRPr="002E0C7E" w:rsidRDefault="008112A9" w:rsidP="005A79A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r>
              <w:rPr>
                <w:rFonts w:ascii="Arial" w:hAnsi="Arial"/>
                <w:sz w:val="14"/>
              </w:rPr>
              <w:t>S</w:t>
            </w:r>
          </w:p>
          <w:p w:rsidR="008112A9" w:rsidRPr="002E0C7E" w:rsidRDefault="008112A9" w:rsidP="005A79A3">
            <w:pPr>
              <w:widowControl w:val="0"/>
              <w:jc w:val="center"/>
              <w:rPr>
                <w:rFonts w:ascii="Arial" w:hAnsi="Arial"/>
                <w:sz w:val="14"/>
              </w:rPr>
            </w:pPr>
            <w:r>
              <w:rPr>
                <w:rFonts w:ascii="Arial" w:hAnsi="Arial"/>
                <w:sz w:val="14"/>
              </w:rPr>
              <w:t>S</w:t>
            </w:r>
          </w:p>
        </w:tc>
      </w:tr>
      <w:tr w:rsidR="008112A9" w:rsidRPr="002E0C7E" w:rsidTr="005A79A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5A79A3">
            <w:pPr>
              <w:widowControl w:val="0"/>
              <w:jc w:val="center"/>
              <w:rPr>
                <w:rFonts w:ascii="Arial" w:hAnsi="Arial"/>
                <w:b/>
                <w:sz w:val="14"/>
              </w:rPr>
            </w:pPr>
            <w:r>
              <w:rPr>
                <w:rFonts w:ascii="Arial" w:hAnsi="Arial"/>
                <w:b/>
                <w:sz w:val="14"/>
              </w:rPr>
              <w:t>H</w:t>
            </w:r>
          </w:p>
          <w:p w:rsidR="008112A9" w:rsidRPr="002E0C7E" w:rsidRDefault="008112A9" w:rsidP="005A79A3">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6</w:t>
            </w:r>
          </w:p>
        </w:tc>
      </w:tr>
      <w:tr w:rsidR="008112A9" w:rsidRPr="002E0C7E" w:rsidTr="005A79A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5A79A3">
            <w:pPr>
              <w:widowControl w:val="0"/>
              <w:jc w:val="center"/>
              <w:rPr>
                <w:rFonts w:ascii="Arial" w:hAnsi="Arial"/>
                <w:b/>
                <w:sz w:val="14"/>
              </w:rPr>
            </w:pPr>
            <w:r>
              <w:rPr>
                <w:rFonts w:ascii="Arial" w:hAnsi="Arial"/>
                <w:b/>
                <w:sz w:val="14"/>
              </w:rPr>
              <w:t>H</w:t>
            </w:r>
          </w:p>
          <w:p w:rsidR="008112A9" w:rsidRPr="002E0C7E" w:rsidRDefault="008112A9" w:rsidP="005A79A3">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5A79A3">
            <w:pPr>
              <w:widowControl w:val="0"/>
              <w:jc w:val="center"/>
              <w:rPr>
                <w:rFonts w:ascii="Arial" w:hAnsi="Arial"/>
                <w:b/>
                <w:sz w:val="14"/>
              </w:rPr>
            </w:pPr>
            <w:r>
              <w:rPr>
                <w:rFonts w:ascii="Arial" w:hAnsi="Arial"/>
                <w:b/>
                <w:sz w:val="14"/>
              </w:rPr>
              <w:t>M</w:t>
            </w:r>
          </w:p>
          <w:p w:rsidR="008112A9" w:rsidRPr="002E0C7E" w:rsidRDefault="008112A9" w:rsidP="005A79A3">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13</w:t>
            </w:r>
          </w:p>
        </w:tc>
      </w:tr>
      <w:tr w:rsidR="008112A9" w:rsidRPr="002E0C7E" w:rsidTr="005A79A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5A79A3">
            <w:pPr>
              <w:widowControl w:val="0"/>
              <w:jc w:val="center"/>
              <w:rPr>
                <w:rFonts w:ascii="Arial" w:hAnsi="Arial"/>
                <w:b/>
                <w:sz w:val="14"/>
              </w:rPr>
            </w:pPr>
            <w:r>
              <w:rPr>
                <w:rFonts w:ascii="Arial" w:hAnsi="Arial"/>
                <w:b/>
                <w:sz w:val="14"/>
              </w:rPr>
              <w:t>M</w:t>
            </w: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5A79A3">
            <w:pPr>
              <w:widowControl w:val="0"/>
              <w:jc w:val="center"/>
              <w:rPr>
                <w:rFonts w:ascii="Arial" w:hAnsi="Arial"/>
                <w:b/>
                <w:sz w:val="14"/>
              </w:rPr>
            </w:pPr>
            <w:r w:rsidRPr="002453E3">
              <w:rPr>
                <w:rFonts w:ascii="Arial" w:hAnsi="Arial"/>
                <w:b/>
                <w:sz w:val="14"/>
              </w:rPr>
              <w:t>M</w:t>
            </w: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20</w:t>
            </w:r>
          </w:p>
        </w:tc>
      </w:tr>
      <w:tr w:rsidR="008112A9" w:rsidRPr="002E0C7E" w:rsidTr="005A7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5A79A3">
            <w:pPr>
              <w:widowControl w:val="0"/>
              <w:jc w:val="center"/>
              <w:rPr>
                <w:rFonts w:ascii="Arial" w:hAnsi="Arial"/>
                <w:b/>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5A79A3">
            <w:pPr>
              <w:widowControl w:val="0"/>
              <w:jc w:val="center"/>
              <w:rPr>
                <w:rFonts w:ascii="Arial" w:hAnsi="Arial"/>
                <w:b/>
                <w:sz w:val="14"/>
              </w:rPr>
            </w:pPr>
            <w:r>
              <w:rPr>
                <w:rFonts w:ascii="Arial" w:hAnsi="Arial"/>
                <w:b/>
                <w:sz w:val="14"/>
              </w:rPr>
              <w:t>H</w:t>
            </w:r>
          </w:p>
          <w:p w:rsidR="008112A9" w:rsidRPr="002E0C7E" w:rsidRDefault="008112A9" w:rsidP="005A79A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A79A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A79A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5A79A3">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A79A3">
            <w:pPr>
              <w:widowControl w:val="0"/>
              <w:jc w:val="center"/>
              <w:rPr>
                <w:rFonts w:ascii="Arial" w:hAnsi="Arial"/>
                <w:sz w:val="14"/>
              </w:rPr>
            </w:pPr>
          </w:p>
          <w:p w:rsidR="008112A9" w:rsidRPr="002E0C7E" w:rsidRDefault="008112A9" w:rsidP="005A79A3">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5A79A3">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5A79A3">
            <w:pPr>
              <w:widowControl w:val="0"/>
              <w:rPr>
                <w:rFonts w:ascii="Arial" w:hAnsi="Arial"/>
                <w:sz w:val="16"/>
              </w:rPr>
            </w:pPr>
            <w:r w:rsidRPr="002E0C7E">
              <w:rPr>
                <w:rFonts w:ascii="Arial" w:hAnsi="Arial"/>
                <w:sz w:val="16"/>
              </w:rPr>
              <w:t>Sittings of the court:</w:t>
            </w:r>
          </w:p>
          <w:p w:rsidR="008112A9" w:rsidRPr="002E0C7E" w:rsidRDefault="008112A9" w:rsidP="005A79A3">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5A79A3">
            <w:pPr>
              <w:widowControl w:val="0"/>
              <w:rPr>
                <w:rFonts w:ascii="Arial" w:hAnsi="Arial"/>
                <w:sz w:val="16"/>
              </w:rPr>
            </w:pPr>
          </w:p>
          <w:p w:rsidR="008112A9" w:rsidRPr="002E0C7E" w:rsidRDefault="008112A9" w:rsidP="005A79A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A79A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A79A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5A79A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A7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6"/>
      <w:footerReference w:type="default" r:id="rId8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07" w:rsidRDefault="00803007" w:rsidP="00A87207">
      <w:r>
        <w:separator/>
      </w:r>
    </w:p>
  </w:endnote>
  <w:endnote w:type="continuationSeparator" w:id="0">
    <w:p w:rsidR="00803007" w:rsidRDefault="0080300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pPr>
      <w:pStyle w:val="Footer"/>
      <w:rPr>
        <w:lang w:val="fr-CA"/>
      </w:rPr>
    </w:pPr>
    <w:r>
      <w:rPr>
        <w:lang w:val="fr-CA"/>
      </w:rPr>
      <w:pict>
        <v:rect id="_x0000_i1058" style="width:480.95pt;height:1pt" o:hralign="center" o:hrstd="t" o:hrnoshade="t" o:hr="t" fillcolor="black [3213]" stroked="f"/>
      </w:pict>
    </w:r>
  </w:p>
  <w:p w:rsidR="00803007" w:rsidRDefault="00803007" w:rsidP="00245129">
    <w:pPr>
      <w:tabs>
        <w:tab w:val="center" w:pos="4680"/>
      </w:tabs>
    </w:pPr>
    <w:r>
      <w:tab/>
    </w:r>
    <w:r w:rsidRPr="0009648D">
      <w:t xml:space="preserve">- </w:t>
    </w:r>
    <w:r w:rsidR="00CF1118">
      <w:fldChar w:fldCharType="begin"/>
    </w:r>
    <w:r w:rsidR="00CF1118">
      <w:instrText xml:space="preserve"> PAGE   \* MERGEFORMAT </w:instrText>
    </w:r>
    <w:r w:rsidR="00CF1118">
      <w:fldChar w:fldCharType="separate"/>
    </w:r>
    <w:r w:rsidR="00742BC3">
      <w:rPr>
        <w:noProof/>
      </w:rPr>
      <w:t>455</w:t>
    </w:r>
    <w:r w:rsidR="00CF1118">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03007" w:rsidRDefault="0080300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755F22">
    <w:pPr>
      <w:tabs>
        <w:tab w:val="left" w:pos="-1440"/>
        <w:tab w:val="left" w:pos="-720"/>
      </w:tabs>
    </w:pPr>
    <w:r>
      <w:pict>
        <v:rect id="_x0000_i1062" style="width:480.95pt;height:1pt" o:hralign="center" o:hrstd="t" o:hrnoshade="t" o:hr="t" fillcolor="black [3213]" stroked="f"/>
      </w:pict>
    </w:r>
  </w:p>
  <w:p w:rsidR="00803007" w:rsidRDefault="00803007" w:rsidP="00EB2B90">
    <w:pPr>
      <w:tabs>
        <w:tab w:val="center" w:pos="4680"/>
      </w:tabs>
    </w:pPr>
    <w:r>
      <w:tab/>
      <w:t xml:space="preserve">- </w:t>
    </w:r>
    <w:r w:rsidR="00CF1118">
      <w:fldChar w:fldCharType="begin"/>
    </w:r>
    <w:r w:rsidR="00CF1118">
      <w:instrText xml:space="preserve"> PAGE   \* MERGEFORMAT </w:instrText>
    </w:r>
    <w:r w:rsidR="00CF1118">
      <w:fldChar w:fldCharType="separate"/>
    </w:r>
    <w:r w:rsidR="00742BC3">
      <w:rPr>
        <w:noProof/>
      </w:rPr>
      <w:t>477</w:t>
    </w:r>
    <w:r w:rsidR="00CF1118">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EB2B90">
    <w:pPr>
      <w:tabs>
        <w:tab w:val="center" w:pos="4680"/>
      </w:tabs>
    </w:pPr>
    <w:r>
      <w:pict>
        <v:rect id="_x0000_i1063" style="width:480.95pt;height:1pt" o:hralign="center" o:hrstd="t" o:hrnoshade="t" o:hr="t" fillcolor="black [3213]" stroked="f"/>
      </w:pict>
    </w:r>
  </w:p>
  <w:p w:rsidR="00803007" w:rsidRPr="0031432F" w:rsidRDefault="00803007" w:rsidP="00EB2B90">
    <w:pPr>
      <w:tabs>
        <w:tab w:val="center" w:pos="4680"/>
      </w:tabs>
    </w:pPr>
    <w:r>
      <w:tab/>
      <w:t xml:space="preserve">- </w:t>
    </w:r>
    <w:r w:rsidR="00CF1118">
      <w:fldChar w:fldCharType="begin"/>
    </w:r>
    <w:r w:rsidR="00CF1118">
      <w:instrText xml:space="preserve"> PAGE   \* MERGEFORMAT </w:instrText>
    </w:r>
    <w:r w:rsidR="00CF1118">
      <w:fldChar w:fldCharType="separate"/>
    </w:r>
    <w:r w:rsidR="00742BC3">
      <w:rPr>
        <w:noProof/>
      </w:rPr>
      <w:t>475</w:t>
    </w:r>
    <w:r w:rsidR="00CF1118">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03007" w:rsidRDefault="0080300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732DB7">
    <w:r>
      <w:pict>
        <v:rect id="_x0000_i1065" style="width:480.95pt;height:1pt" o:hralign="center" o:hrstd="t" o:hrnoshade="t" o:hr="t" fillcolor="black" stroked="f"/>
      </w:pict>
    </w:r>
  </w:p>
  <w:p w:rsidR="00803007" w:rsidRDefault="00803007">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pPr>
      <w:pStyle w:val="Footer"/>
    </w:pPr>
    <w:r>
      <w:pict>
        <v:rect id="_x0000_i1066" style="width:480.95pt;height:1pt" o:hralign="center" o:hrstd="t" o:hrnoshade="t" o:hr="t" fillcolor="black [3213]" stroked="f"/>
      </w:pict>
    </w:r>
  </w:p>
  <w:p w:rsidR="00803007" w:rsidRPr="003C2C0F" w:rsidRDefault="00803007" w:rsidP="00697C62">
    <w:pPr>
      <w:tabs>
        <w:tab w:val="center" w:pos="4680"/>
      </w:tabs>
    </w:pPr>
    <w:r>
      <w:tab/>
      <w:t xml:space="preserve">- </w:t>
    </w:r>
    <w:r w:rsidR="00CF1118">
      <w:fldChar w:fldCharType="begin"/>
    </w:r>
    <w:r w:rsidR="00CF1118">
      <w:instrText xml:space="preserve"> PAGE   \* MERGEFORMAT </w:instrText>
    </w:r>
    <w:r w:rsidR="00CF1118">
      <w:fldChar w:fldCharType="separate"/>
    </w:r>
    <w:r w:rsidR="00742BC3">
      <w:rPr>
        <w:noProof/>
      </w:rPr>
      <w:t>478</w:t>
    </w:r>
    <w:r w:rsidR="00CF1118">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03007" w:rsidRDefault="00803007">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03007" w:rsidRDefault="00742B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803007" w:rsidRDefault="00803007" w:rsidP="00782AE4">
    <w:pPr>
      <w:tabs>
        <w:tab w:val="center" w:pos="4680"/>
      </w:tabs>
    </w:pPr>
    <w:r>
      <w:tab/>
      <w:t xml:space="preserve">- </w:t>
    </w:r>
    <w:r w:rsidR="000A5A7E" w:rsidRPr="001775C1">
      <w:rPr>
        <w:szCs w:val="24"/>
      </w:rPr>
      <w:fldChar w:fldCharType="begin"/>
    </w:r>
    <w:r w:rsidRPr="001775C1">
      <w:rPr>
        <w:szCs w:val="24"/>
      </w:rPr>
      <w:instrText xml:space="preserve"> PAGE   \* MERGEFORMAT </w:instrText>
    </w:r>
    <w:r w:rsidR="000A5A7E" w:rsidRPr="001775C1">
      <w:rPr>
        <w:szCs w:val="24"/>
      </w:rPr>
      <w:fldChar w:fldCharType="separate"/>
    </w:r>
    <w:r w:rsidR="00742BC3">
      <w:rPr>
        <w:noProof/>
        <w:szCs w:val="24"/>
      </w:rPr>
      <w:t>482</w:t>
    </w:r>
    <w:r w:rsidR="000A5A7E"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782AE4">
    <w:pPr>
      <w:tabs>
        <w:tab w:val="center" w:pos="4680"/>
      </w:tabs>
    </w:pPr>
    <w:r>
      <w:pict>
        <v:rect id="_x0000_i1070" style="width:480.95pt;height:1pt" o:hralign="center" o:hrstd="t" o:hrnoshade="t" o:hr="t" fillcolor="black [3213]" stroked="f"/>
      </w:pict>
    </w:r>
  </w:p>
  <w:p w:rsidR="00803007" w:rsidRDefault="00803007" w:rsidP="00782AE4">
    <w:pPr>
      <w:tabs>
        <w:tab w:val="center" w:pos="4680"/>
      </w:tabs>
    </w:pPr>
    <w:r>
      <w:tab/>
      <w:t xml:space="preserve">- </w:t>
    </w:r>
    <w:r w:rsidR="000A5A7E" w:rsidRPr="001775C1">
      <w:rPr>
        <w:szCs w:val="24"/>
      </w:rPr>
      <w:fldChar w:fldCharType="begin"/>
    </w:r>
    <w:r w:rsidRPr="001775C1">
      <w:rPr>
        <w:szCs w:val="24"/>
      </w:rPr>
      <w:instrText xml:space="preserve"> PAGE   \* MERGEFORMAT </w:instrText>
    </w:r>
    <w:r w:rsidR="000A5A7E" w:rsidRPr="001775C1">
      <w:rPr>
        <w:szCs w:val="24"/>
      </w:rPr>
      <w:fldChar w:fldCharType="separate"/>
    </w:r>
    <w:r w:rsidR="00742BC3">
      <w:rPr>
        <w:noProof/>
        <w:szCs w:val="24"/>
      </w:rPr>
      <w:t>479</w:t>
    </w:r>
    <w:r w:rsidR="000A5A7E"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
      <w:rPr>
        <w:lang w:val="fr-CA"/>
      </w:rPr>
      <w:pict>
        <v:rect id="_x0000_i1075" style="width:480.95pt;height:1pt" o:hralign="center" o:hrstd="t" o:hrnoshade="t" o:hr="t" fillcolor="black [3213]" stroked="f"/>
      </w:pict>
    </w:r>
  </w:p>
  <w:p w:rsidR="00803007" w:rsidRDefault="00803007" w:rsidP="006B6926">
    <w:pPr>
      <w:tabs>
        <w:tab w:val="center" w:pos="4680"/>
      </w:tabs>
    </w:pPr>
    <w:r>
      <w:tab/>
      <w:t xml:space="preserve">- </w:t>
    </w:r>
    <w:r w:rsidR="00CF1118">
      <w:fldChar w:fldCharType="begin"/>
    </w:r>
    <w:r w:rsidR="00CF1118">
      <w:instrText xml:space="preserve">PAGE </w:instrText>
    </w:r>
    <w:r w:rsidR="00CF1118">
      <w:fldChar w:fldCharType="separate"/>
    </w:r>
    <w:r>
      <w:rPr>
        <w:noProof/>
      </w:rPr>
      <w:t>492</w:t>
    </w:r>
    <w:r w:rsidR="00CF1118">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6B6926">
    <w:pPr>
      <w:tabs>
        <w:tab w:val="center" w:pos="4680"/>
      </w:tabs>
      <w:rPr>
        <w:lang w:val="fr-CA"/>
      </w:rPr>
    </w:pPr>
    <w:r>
      <w:rPr>
        <w:lang w:val="fr-CA"/>
      </w:rPr>
      <w:pict>
        <v:rect id="_x0000_i1076" style="width:480.95pt;height:1pt" o:hralign="center" o:hrstd="t" o:hrnoshade="t" o:hr="t" fillcolor="black [3213]" stroked="f"/>
      </w:pict>
    </w:r>
  </w:p>
  <w:p w:rsidR="00803007" w:rsidRDefault="00803007" w:rsidP="006B6926">
    <w:pPr>
      <w:tabs>
        <w:tab w:val="center" w:pos="4680"/>
      </w:tabs>
    </w:pPr>
    <w:r>
      <w:tab/>
      <w:t xml:space="preserve">- </w:t>
    </w:r>
    <w:r w:rsidR="00CF1118">
      <w:fldChar w:fldCharType="begin"/>
    </w:r>
    <w:r w:rsidR="00CF1118">
      <w:instrText xml:space="preserve">PAGE </w:instrText>
    </w:r>
    <w:r w:rsidR="00CF1118">
      <w:fldChar w:fldCharType="separate"/>
    </w:r>
    <w:r w:rsidR="00742BC3">
      <w:rPr>
        <w:noProof/>
      </w:rPr>
      <w:t>483</w:t>
    </w:r>
    <w:r w:rsidR="00CF1118">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Pr="00924065" w:rsidRDefault="0080300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A87207">
    <w:pPr>
      <w:pStyle w:val="Footer"/>
    </w:pPr>
    <w:r>
      <w:pict>
        <v:rect id="_x0000_i1032" style="width:480.95pt;height:1pt" o:hralign="center" o:hrstd="t" o:hrnoshade="t" o:hr="t" fillcolor="black [3213]" stroked="f"/>
      </w:pict>
    </w:r>
  </w:p>
  <w:p w:rsidR="00803007" w:rsidRPr="00B7374B" w:rsidRDefault="00803007" w:rsidP="00B7374B">
    <w:pPr>
      <w:tabs>
        <w:tab w:val="center" w:pos="4680"/>
      </w:tabs>
      <w:rPr>
        <w:szCs w:val="24"/>
      </w:rPr>
    </w:pPr>
    <w:r w:rsidRPr="00954D22">
      <w:rPr>
        <w:szCs w:val="24"/>
      </w:rPr>
      <w:tab/>
      <w:t xml:space="preserve">- </w:t>
    </w:r>
    <w:r w:rsidR="000A5A7E" w:rsidRPr="00954D22">
      <w:rPr>
        <w:szCs w:val="24"/>
      </w:rPr>
      <w:fldChar w:fldCharType="begin"/>
    </w:r>
    <w:r w:rsidRPr="00954D22">
      <w:rPr>
        <w:szCs w:val="24"/>
      </w:rPr>
      <w:instrText xml:space="preserve"> PAGE   \* MERGEFORMAT </w:instrText>
    </w:r>
    <w:r w:rsidR="000A5A7E" w:rsidRPr="00954D22">
      <w:rPr>
        <w:szCs w:val="24"/>
      </w:rPr>
      <w:fldChar w:fldCharType="separate"/>
    </w:r>
    <w:r w:rsidR="00742BC3">
      <w:rPr>
        <w:noProof/>
        <w:szCs w:val="24"/>
      </w:rPr>
      <w:t>453</w:t>
    </w:r>
    <w:r w:rsidR="000A5A7E"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755F22">
    <w:pPr>
      <w:tabs>
        <w:tab w:val="left" w:pos="-1440"/>
        <w:tab w:val="left" w:pos="-720"/>
      </w:tabs>
    </w:pPr>
    <w:r>
      <w:pict>
        <v:rect id="_x0000_i1033" style="width:480.95pt;height:1pt" o:hralign="center" o:hrstd="t" o:hrnoshade="t" o:hr="t" fillcolor="black [3213]" stroked="f"/>
      </w:pict>
    </w:r>
  </w:p>
  <w:p w:rsidR="00803007" w:rsidRPr="00954D22" w:rsidRDefault="00803007" w:rsidP="00B7374B">
    <w:pPr>
      <w:tabs>
        <w:tab w:val="center" w:pos="4680"/>
      </w:tabs>
      <w:rPr>
        <w:szCs w:val="24"/>
      </w:rPr>
    </w:pPr>
    <w:r w:rsidRPr="00954D22">
      <w:rPr>
        <w:szCs w:val="24"/>
      </w:rPr>
      <w:tab/>
      <w:t xml:space="preserve">- </w:t>
    </w:r>
    <w:r w:rsidR="000A5A7E">
      <w:rPr>
        <w:szCs w:val="24"/>
      </w:rPr>
      <w:fldChar w:fldCharType="begin"/>
    </w:r>
    <w:r>
      <w:rPr>
        <w:szCs w:val="24"/>
      </w:rPr>
      <w:instrText xml:space="preserve"> PAGE   \* MERGEFORMAT </w:instrText>
    </w:r>
    <w:r w:rsidR="000A5A7E">
      <w:rPr>
        <w:szCs w:val="24"/>
      </w:rPr>
      <w:fldChar w:fldCharType="separate"/>
    </w:r>
    <w:r w:rsidR="00742BC3">
      <w:rPr>
        <w:noProof/>
        <w:szCs w:val="24"/>
      </w:rPr>
      <w:t>452</w:t>
    </w:r>
    <w:r w:rsidR="000A5A7E">
      <w:rPr>
        <w:szCs w:val="24"/>
      </w:rPr>
      <w:fldChar w:fldCharType="end"/>
    </w:r>
    <w:r w:rsidRPr="00954D22">
      <w:rPr>
        <w:szCs w:val="24"/>
      </w:rPr>
      <w:t xml:space="preserve"> -</w:t>
    </w:r>
  </w:p>
  <w:p w:rsidR="00803007" w:rsidRDefault="008030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A87207">
    <w:pPr>
      <w:pStyle w:val="Footer"/>
    </w:pPr>
    <w:r>
      <w:pict>
        <v:rect id="_x0000_i1035" style="width:480.95pt;height:1pt" o:hralign="center" o:hrstd="t" o:hrnoshade="t" o:hr="t" fillcolor="black [3213]" stroked="f"/>
      </w:pict>
    </w:r>
  </w:p>
  <w:p w:rsidR="00803007" w:rsidRPr="00B7374B" w:rsidRDefault="00803007" w:rsidP="00B7374B">
    <w:pPr>
      <w:tabs>
        <w:tab w:val="center" w:pos="4680"/>
      </w:tabs>
      <w:rPr>
        <w:szCs w:val="24"/>
      </w:rPr>
    </w:pPr>
    <w:r w:rsidRPr="00954D22">
      <w:rPr>
        <w:szCs w:val="24"/>
      </w:rPr>
      <w:tab/>
      <w:t xml:space="preserve">- </w:t>
    </w:r>
    <w:r w:rsidR="000A5A7E" w:rsidRPr="00954D22">
      <w:rPr>
        <w:szCs w:val="24"/>
      </w:rPr>
      <w:fldChar w:fldCharType="begin"/>
    </w:r>
    <w:r w:rsidRPr="00954D22">
      <w:rPr>
        <w:szCs w:val="24"/>
      </w:rPr>
      <w:instrText xml:space="preserve"> PAGE   \* MERGEFORMAT </w:instrText>
    </w:r>
    <w:r w:rsidR="000A5A7E" w:rsidRPr="00954D22">
      <w:rPr>
        <w:szCs w:val="24"/>
      </w:rPr>
      <w:fldChar w:fldCharType="separate"/>
    </w:r>
    <w:r>
      <w:rPr>
        <w:noProof/>
        <w:szCs w:val="24"/>
      </w:rPr>
      <w:t>455</w:t>
    </w:r>
    <w:r w:rsidR="000A5A7E"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803007" w:rsidRPr="00954D22" w:rsidRDefault="00803007" w:rsidP="00B7374B">
    <w:pPr>
      <w:tabs>
        <w:tab w:val="center" w:pos="4680"/>
      </w:tabs>
      <w:rPr>
        <w:szCs w:val="24"/>
      </w:rPr>
    </w:pPr>
    <w:r w:rsidRPr="00954D22">
      <w:rPr>
        <w:szCs w:val="24"/>
      </w:rPr>
      <w:tab/>
      <w:t xml:space="preserve">- </w:t>
    </w:r>
    <w:r w:rsidR="000A5A7E" w:rsidRPr="00954D22">
      <w:rPr>
        <w:szCs w:val="24"/>
      </w:rPr>
      <w:fldChar w:fldCharType="begin"/>
    </w:r>
    <w:r w:rsidRPr="00954D22">
      <w:rPr>
        <w:szCs w:val="24"/>
      </w:rPr>
      <w:instrText xml:space="preserve"> PAGE   \* MERGEFORMAT </w:instrText>
    </w:r>
    <w:r w:rsidR="000A5A7E" w:rsidRPr="00954D22">
      <w:rPr>
        <w:szCs w:val="24"/>
      </w:rPr>
      <w:fldChar w:fldCharType="separate"/>
    </w:r>
    <w:r w:rsidR="00742BC3">
      <w:rPr>
        <w:noProof/>
        <w:szCs w:val="24"/>
      </w:rPr>
      <w:t>454</w:t>
    </w:r>
    <w:r w:rsidR="000A5A7E"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03007" w:rsidRDefault="0080300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742B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803007" w:rsidRPr="0009648D" w:rsidRDefault="00803007" w:rsidP="00ED7E83">
    <w:pPr>
      <w:tabs>
        <w:tab w:val="center" w:pos="4680"/>
      </w:tabs>
    </w:pPr>
    <w:r>
      <w:tab/>
    </w:r>
    <w:r w:rsidRPr="0009648D">
      <w:t xml:space="preserve">- </w:t>
    </w:r>
    <w:r w:rsidR="00CF1118">
      <w:fldChar w:fldCharType="begin"/>
    </w:r>
    <w:r w:rsidR="00CF1118">
      <w:instrText xml:space="preserve"> PAGE   \* MERGEFORMAT </w:instrText>
    </w:r>
    <w:r w:rsidR="00CF1118">
      <w:fldChar w:fldCharType="separate"/>
    </w:r>
    <w:r w:rsidR="00742BC3">
      <w:rPr>
        <w:noProof/>
      </w:rPr>
      <w:t>470</w:t>
    </w:r>
    <w:r w:rsidR="00CF1118">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07" w:rsidRDefault="00803007" w:rsidP="00A87207">
      <w:r>
        <w:separator/>
      </w:r>
    </w:p>
  </w:footnote>
  <w:footnote w:type="continuationSeparator" w:id="0">
    <w:p w:rsidR="00803007" w:rsidRDefault="0080300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03007">
      <w:tc>
        <w:tcPr>
          <w:tcW w:w="4230" w:type="dxa"/>
          <w:tcMar>
            <w:left w:w="0" w:type="dxa"/>
            <w:right w:w="0" w:type="dxa"/>
          </w:tcMar>
        </w:tcPr>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03007" w:rsidRDefault="008030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03007" w:rsidRDefault="008030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03007">
      <w:trPr>
        <w:gridAfter w:val="2"/>
        <w:wAfter w:w="5250" w:type="dxa"/>
      </w:trPr>
      <w:tc>
        <w:tcPr>
          <w:tcW w:w="4230" w:type="dxa"/>
          <w:tcMar>
            <w:left w:w="0" w:type="dxa"/>
            <w:right w:w="0" w:type="dxa"/>
          </w:tcMar>
        </w:tcPr>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03007" w:rsidRPr="00755F22" w:rsidTr="00245129">
      <w:tc>
        <w:tcPr>
          <w:tcW w:w="4230" w:type="dxa"/>
          <w:tcMar>
            <w:left w:w="0" w:type="dxa"/>
            <w:right w:w="0" w:type="dxa"/>
          </w:tcMar>
        </w:tcPr>
        <w:p w:rsidR="00803007" w:rsidRPr="00755F22" w:rsidRDefault="00803007" w:rsidP="00831CA9">
          <w:pPr>
            <w:keepNext/>
            <w:keepLines/>
            <w:rPr>
              <w:sz w:val="20"/>
              <w:szCs w:val="20"/>
            </w:rPr>
          </w:pPr>
          <w:r w:rsidRPr="00755F22">
            <w:rPr>
              <w:sz w:val="20"/>
              <w:szCs w:val="20"/>
            </w:rPr>
            <w:t>MOTIONS</w:t>
          </w:r>
        </w:p>
      </w:tc>
      <w:tc>
        <w:tcPr>
          <w:tcW w:w="1170" w:type="dxa"/>
          <w:tcMar>
            <w:left w:w="0" w:type="dxa"/>
            <w:right w:w="0" w:type="dxa"/>
          </w:tcMar>
        </w:tcPr>
        <w:p w:rsidR="00803007" w:rsidRPr="00755F22" w:rsidRDefault="00803007" w:rsidP="00831CA9">
          <w:pPr>
            <w:keepLines/>
            <w:jc w:val="center"/>
            <w:rPr>
              <w:sz w:val="20"/>
              <w:szCs w:val="20"/>
            </w:rPr>
          </w:pPr>
        </w:p>
        <w:p w:rsidR="00803007" w:rsidRPr="00755F22" w:rsidRDefault="00803007" w:rsidP="00831CA9">
          <w:pPr>
            <w:keepLines/>
            <w:tabs>
              <w:tab w:val="left" w:pos="-1440"/>
              <w:tab w:val="left" w:pos="-720"/>
            </w:tabs>
            <w:jc w:val="center"/>
            <w:rPr>
              <w:sz w:val="20"/>
              <w:szCs w:val="20"/>
            </w:rPr>
          </w:pPr>
        </w:p>
      </w:tc>
      <w:tc>
        <w:tcPr>
          <w:tcW w:w="4080" w:type="dxa"/>
          <w:tcMar>
            <w:left w:w="0" w:type="dxa"/>
            <w:right w:w="0" w:type="dxa"/>
          </w:tcMar>
        </w:tcPr>
        <w:p w:rsidR="00803007" w:rsidRPr="00BA6468" w:rsidRDefault="00803007" w:rsidP="00BA6468">
          <w:pPr>
            <w:keepLines/>
            <w:rPr>
              <w:sz w:val="20"/>
              <w:szCs w:val="20"/>
              <w:lang w:val="fr-CA"/>
            </w:rPr>
          </w:pPr>
          <w:r w:rsidRPr="00BA6468">
            <w:rPr>
              <w:sz w:val="20"/>
              <w:szCs w:val="20"/>
              <w:lang w:val="fr-CA"/>
            </w:rPr>
            <w:t>REQUÊTES</w:t>
          </w:r>
        </w:p>
      </w:tc>
    </w:tr>
  </w:tbl>
  <w:p w:rsidR="00803007" w:rsidRDefault="0080300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03007" w:rsidRPr="00E563A0">
      <w:tc>
        <w:tcPr>
          <w:tcW w:w="4200" w:type="dxa"/>
          <w:tcMar>
            <w:left w:w="0" w:type="dxa"/>
            <w:right w:w="0" w:type="dxa"/>
          </w:tcMar>
        </w:tcPr>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03007" w:rsidRPr="003C2C0F" w:rsidRDefault="008030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03007" w:rsidRPr="003C2C0F"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03007" w:rsidRPr="003C2C0F"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03007" w:rsidRPr="00E563A0" w:rsidTr="00245129">
      <w:tc>
        <w:tcPr>
          <w:tcW w:w="4200" w:type="dxa"/>
          <w:tcMar>
            <w:left w:w="0" w:type="dxa"/>
            <w:right w:w="0" w:type="dxa"/>
          </w:tcMar>
        </w:tcPr>
        <w:p w:rsidR="00803007" w:rsidRPr="00FF6EEC" w:rsidRDefault="00803007" w:rsidP="00FF6EEC">
          <w:pPr>
            <w:rPr>
              <w:sz w:val="20"/>
              <w:szCs w:val="20"/>
            </w:rPr>
          </w:pPr>
          <w:r w:rsidRPr="00FF6EEC">
            <w:rPr>
              <w:sz w:val="20"/>
              <w:szCs w:val="20"/>
            </w:rPr>
            <w:t>PRONOUNCEMENTS OF APPEALS RESERVED</w:t>
          </w:r>
        </w:p>
      </w:tc>
      <w:tc>
        <w:tcPr>
          <w:tcW w:w="1200" w:type="dxa"/>
          <w:tcMar>
            <w:left w:w="0" w:type="dxa"/>
            <w:right w:w="0" w:type="dxa"/>
          </w:tcMar>
        </w:tcPr>
        <w:p w:rsidR="00803007" w:rsidRPr="00FF6EEC" w:rsidRDefault="00803007" w:rsidP="00FF6EEC">
          <w:pPr>
            <w:jc w:val="center"/>
            <w:rPr>
              <w:sz w:val="20"/>
              <w:szCs w:val="20"/>
            </w:rPr>
          </w:pPr>
        </w:p>
        <w:p w:rsidR="00803007" w:rsidRPr="00FF6EEC" w:rsidRDefault="00803007" w:rsidP="00FF6EEC">
          <w:pPr>
            <w:jc w:val="center"/>
            <w:rPr>
              <w:sz w:val="20"/>
              <w:szCs w:val="20"/>
            </w:rPr>
          </w:pPr>
        </w:p>
        <w:p w:rsidR="00803007" w:rsidRPr="00FF6EEC" w:rsidRDefault="00803007" w:rsidP="00FF6EEC">
          <w:pPr>
            <w:jc w:val="center"/>
            <w:rPr>
              <w:sz w:val="20"/>
              <w:szCs w:val="20"/>
            </w:rPr>
          </w:pPr>
        </w:p>
      </w:tc>
      <w:tc>
        <w:tcPr>
          <w:tcW w:w="4080" w:type="dxa"/>
          <w:tcMar>
            <w:left w:w="0" w:type="dxa"/>
            <w:right w:w="0" w:type="dxa"/>
          </w:tcMar>
        </w:tcPr>
        <w:p w:rsidR="00803007" w:rsidRPr="00FF6EEC" w:rsidRDefault="00803007" w:rsidP="00FF6EEC">
          <w:pPr>
            <w:rPr>
              <w:sz w:val="20"/>
              <w:szCs w:val="20"/>
              <w:lang w:val="fr-CA"/>
            </w:rPr>
          </w:pPr>
          <w:r w:rsidRPr="00FF6EEC">
            <w:rPr>
              <w:sz w:val="20"/>
              <w:szCs w:val="20"/>
              <w:lang w:val="fr-CA"/>
            </w:rPr>
            <w:t>JUGEMENTS RENDUS SUR LES APPELS EN DÉLIBÉRÉ</w:t>
          </w:r>
        </w:p>
      </w:tc>
    </w:tr>
  </w:tbl>
  <w:p w:rsidR="00803007" w:rsidRPr="003C2C0F" w:rsidRDefault="0080300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03007">
      <w:tc>
        <w:tcPr>
          <w:tcW w:w="4230" w:type="dxa"/>
          <w:tcMar>
            <w:left w:w="0" w:type="dxa"/>
            <w:right w:w="0" w:type="dxa"/>
          </w:tcMar>
        </w:tcPr>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03007" w:rsidRDefault="008030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03007"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03007" w:rsidRPr="00782AE4" w:rsidTr="00245129">
      <w:tc>
        <w:tcPr>
          <w:tcW w:w="4230" w:type="dxa"/>
          <w:tcMar>
            <w:left w:w="0" w:type="dxa"/>
            <w:right w:w="0" w:type="dxa"/>
          </w:tcMar>
        </w:tcPr>
        <w:p w:rsidR="00803007" w:rsidRPr="00782AE4" w:rsidRDefault="00803007" w:rsidP="00102926">
          <w:pPr>
            <w:keepNext/>
            <w:keepLines/>
            <w:tabs>
              <w:tab w:val="left" w:pos="-1440"/>
              <w:tab w:val="left" w:pos="-720"/>
            </w:tabs>
            <w:rPr>
              <w:sz w:val="20"/>
              <w:szCs w:val="20"/>
            </w:rPr>
          </w:pPr>
          <w:r w:rsidRPr="00782AE4">
            <w:rPr>
              <w:sz w:val="20"/>
              <w:szCs w:val="20"/>
            </w:rPr>
            <w:t xml:space="preserve">HEADNOTES OF RECENT </w:t>
          </w:r>
        </w:p>
        <w:p w:rsidR="00803007" w:rsidRPr="00782AE4"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03007" w:rsidRDefault="00803007" w:rsidP="00102926">
          <w:pPr>
            <w:keepNext/>
            <w:keepLines/>
            <w:tabs>
              <w:tab w:val="left" w:pos="-1440"/>
              <w:tab w:val="left" w:pos="-720"/>
            </w:tabs>
            <w:jc w:val="center"/>
            <w:rPr>
              <w:sz w:val="20"/>
              <w:szCs w:val="20"/>
            </w:rPr>
          </w:pPr>
        </w:p>
        <w:p w:rsidR="00803007" w:rsidRDefault="00803007" w:rsidP="00102926">
          <w:pPr>
            <w:keepNext/>
            <w:keepLines/>
            <w:tabs>
              <w:tab w:val="left" w:pos="-1440"/>
              <w:tab w:val="left" w:pos="-720"/>
            </w:tabs>
            <w:jc w:val="center"/>
            <w:rPr>
              <w:sz w:val="20"/>
              <w:szCs w:val="20"/>
            </w:rPr>
          </w:pPr>
        </w:p>
        <w:p w:rsidR="00803007" w:rsidRPr="00782AE4" w:rsidRDefault="00803007" w:rsidP="00102926">
          <w:pPr>
            <w:keepNext/>
            <w:keepLines/>
            <w:tabs>
              <w:tab w:val="left" w:pos="-1440"/>
              <w:tab w:val="left" w:pos="-720"/>
            </w:tabs>
            <w:jc w:val="center"/>
            <w:rPr>
              <w:sz w:val="20"/>
              <w:szCs w:val="20"/>
            </w:rPr>
          </w:pPr>
        </w:p>
      </w:tc>
      <w:tc>
        <w:tcPr>
          <w:tcW w:w="4080" w:type="dxa"/>
          <w:tcMar>
            <w:left w:w="0" w:type="dxa"/>
            <w:right w:w="0" w:type="dxa"/>
          </w:tcMar>
        </w:tcPr>
        <w:p w:rsidR="00803007" w:rsidRPr="00102926"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03007" w:rsidRPr="00782AE4" w:rsidRDefault="00803007" w:rsidP="00102926">
          <w:pPr>
            <w:keepLines/>
            <w:tabs>
              <w:tab w:val="left" w:pos="-1440"/>
              <w:tab w:val="left" w:pos="-720"/>
            </w:tabs>
            <w:rPr>
              <w:sz w:val="20"/>
              <w:szCs w:val="20"/>
            </w:rPr>
          </w:pPr>
          <w:r w:rsidRPr="00102926">
            <w:rPr>
              <w:sz w:val="20"/>
              <w:szCs w:val="20"/>
              <w:lang w:val="fr-CA"/>
            </w:rPr>
            <w:t>RÉCENTS</w:t>
          </w:r>
        </w:p>
      </w:tc>
    </w:tr>
  </w:tbl>
  <w:p w:rsidR="00803007" w:rsidRDefault="0080300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03007" w:rsidRPr="00E563A0" w:rsidTr="00245129">
      <w:tc>
        <w:tcPr>
          <w:tcW w:w="4320" w:type="dxa"/>
        </w:tcPr>
        <w:p w:rsidR="00803007" w:rsidRPr="006B6926" w:rsidRDefault="00803007" w:rsidP="006B6926">
          <w:pPr>
            <w:keepNext/>
            <w:keepLines/>
            <w:rPr>
              <w:bCs/>
              <w:sz w:val="20"/>
              <w:szCs w:val="20"/>
              <w:lang w:val="en-GB"/>
            </w:rPr>
          </w:pPr>
          <w:r w:rsidRPr="006B6926">
            <w:rPr>
              <w:bCs/>
              <w:sz w:val="20"/>
              <w:szCs w:val="20"/>
              <w:lang w:val="en-GB"/>
            </w:rPr>
            <w:t>SUPREME COURT REPORTS</w:t>
          </w:r>
        </w:p>
      </w:tc>
      <w:tc>
        <w:tcPr>
          <w:tcW w:w="840" w:type="dxa"/>
        </w:tcPr>
        <w:p w:rsidR="00803007" w:rsidRDefault="00803007" w:rsidP="006B6926">
          <w:pPr>
            <w:jc w:val="center"/>
            <w:rPr>
              <w:bCs/>
              <w:sz w:val="20"/>
              <w:szCs w:val="20"/>
              <w:lang w:val="en-GB"/>
            </w:rPr>
          </w:pPr>
        </w:p>
        <w:p w:rsidR="00803007" w:rsidRPr="006B6926" w:rsidRDefault="00803007" w:rsidP="006B6926">
          <w:pPr>
            <w:jc w:val="center"/>
            <w:rPr>
              <w:bCs/>
              <w:sz w:val="20"/>
              <w:szCs w:val="20"/>
              <w:lang w:val="en-GB"/>
            </w:rPr>
          </w:pPr>
        </w:p>
      </w:tc>
      <w:tc>
        <w:tcPr>
          <w:tcW w:w="4320" w:type="dxa"/>
        </w:tcPr>
        <w:p w:rsidR="00803007" w:rsidRPr="006B6926" w:rsidRDefault="00803007" w:rsidP="006B6926">
          <w:pPr>
            <w:keepNext/>
            <w:keepLines/>
            <w:rPr>
              <w:bCs/>
              <w:sz w:val="20"/>
              <w:szCs w:val="20"/>
              <w:lang w:val="fr-CA"/>
            </w:rPr>
          </w:pPr>
          <w:r w:rsidRPr="006B6926">
            <w:rPr>
              <w:bCs/>
              <w:sz w:val="20"/>
              <w:szCs w:val="20"/>
              <w:lang w:val="fr-CA"/>
            </w:rPr>
            <w:t>RECUEIL DES ARRÊTS DE LA COUR SUPRÊME</w:t>
          </w:r>
        </w:p>
      </w:tc>
    </w:tr>
  </w:tbl>
  <w:p w:rsidR="00803007" w:rsidRPr="000924F7" w:rsidRDefault="00803007">
    <w:pPr>
      <w:pStyle w:val="Header"/>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03007" w:rsidRPr="0044776A" w:rsidTr="00245129">
      <w:tc>
        <w:tcPr>
          <w:tcW w:w="4290" w:type="dxa"/>
          <w:tcMar>
            <w:left w:w="0" w:type="dxa"/>
            <w:right w:w="0" w:type="dxa"/>
          </w:tcMar>
        </w:tcPr>
        <w:p w:rsidR="00803007" w:rsidRPr="0044776A" w:rsidRDefault="0080300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03007" w:rsidRPr="0044776A" w:rsidRDefault="00803007" w:rsidP="002E2327">
          <w:pPr>
            <w:keepNext/>
            <w:keepLines/>
            <w:tabs>
              <w:tab w:val="left" w:pos="-1440"/>
              <w:tab w:val="left" w:pos="-720"/>
            </w:tabs>
            <w:jc w:val="center"/>
            <w:rPr>
              <w:sz w:val="20"/>
              <w:szCs w:val="20"/>
            </w:rPr>
          </w:pPr>
        </w:p>
        <w:p w:rsidR="00803007" w:rsidRPr="0044776A" w:rsidRDefault="00803007" w:rsidP="002E2327">
          <w:pPr>
            <w:keepNext/>
            <w:keepLines/>
            <w:tabs>
              <w:tab w:val="left" w:pos="-1440"/>
              <w:tab w:val="left" w:pos="-720"/>
            </w:tabs>
            <w:jc w:val="center"/>
            <w:rPr>
              <w:sz w:val="20"/>
              <w:szCs w:val="20"/>
            </w:rPr>
          </w:pPr>
        </w:p>
        <w:p w:rsidR="00803007" w:rsidRPr="0044776A" w:rsidRDefault="00803007" w:rsidP="002E2327">
          <w:pPr>
            <w:keepNext/>
            <w:keepLines/>
            <w:tabs>
              <w:tab w:val="left" w:pos="-1440"/>
              <w:tab w:val="left" w:pos="-720"/>
            </w:tabs>
            <w:jc w:val="center"/>
            <w:rPr>
              <w:sz w:val="20"/>
              <w:szCs w:val="20"/>
            </w:rPr>
          </w:pPr>
        </w:p>
      </w:tc>
      <w:tc>
        <w:tcPr>
          <w:tcW w:w="4320" w:type="dxa"/>
          <w:tcMar>
            <w:left w:w="0" w:type="dxa"/>
            <w:right w:w="0" w:type="dxa"/>
          </w:tcMar>
        </w:tcPr>
        <w:p w:rsidR="00803007" w:rsidRPr="0044776A" w:rsidRDefault="00803007" w:rsidP="002E2327">
          <w:pPr>
            <w:keepLines/>
            <w:rPr>
              <w:sz w:val="20"/>
              <w:szCs w:val="20"/>
              <w:lang w:val="fr-CA"/>
            </w:rPr>
          </w:pPr>
          <w:r w:rsidRPr="0044776A">
            <w:rPr>
              <w:sz w:val="20"/>
              <w:szCs w:val="20"/>
              <w:lang w:val="fr-CA"/>
            </w:rPr>
            <w:t>DEMANDES D'AUTORISATION D'APPEL DÉPOSÉES</w:t>
          </w:r>
        </w:p>
      </w:tc>
    </w:tr>
  </w:tbl>
  <w:p w:rsidR="00803007" w:rsidRDefault="00803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03007" w:rsidRPr="00E563A0" w:rsidTr="00245129">
      <w:tc>
        <w:tcPr>
          <w:tcW w:w="4200" w:type="dxa"/>
          <w:tcMar>
            <w:left w:w="0" w:type="dxa"/>
            <w:right w:w="0" w:type="dxa"/>
          </w:tcMar>
        </w:tcPr>
        <w:p w:rsidR="00803007" w:rsidRPr="0044776A" w:rsidRDefault="00803007" w:rsidP="0044776A">
          <w:pPr>
            <w:keepNext/>
            <w:keepLines/>
            <w:widowControl w:val="0"/>
            <w:rPr>
              <w:sz w:val="20"/>
              <w:szCs w:val="20"/>
            </w:rPr>
          </w:pPr>
          <w:r>
            <w:rPr>
              <w:sz w:val="20"/>
              <w:szCs w:val="20"/>
            </w:rPr>
            <w:t>APPLICATIONS FOR LEAVE</w:t>
          </w:r>
        </w:p>
        <w:p w:rsidR="00803007" w:rsidRPr="0044776A" w:rsidRDefault="0080300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03007" w:rsidRPr="0044776A" w:rsidRDefault="00803007" w:rsidP="0044776A">
          <w:pPr>
            <w:keepNext/>
            <w:keepLines/>
            <w:widowControl w:val="0"/>
            <w:jc w:val="center"/>
            <w:rPr>
              <w:sz w:val="20"/>
              <w:szCs w:val="20"/>
            </w:rPr>
          </w:pPr>
        </w:p>
        <w:p w:rsidR="00803007" w:rsidRPr="0044776A" w:rsidRDefault="00803007" w:rsidP="0044776A">
          <w:pPr>
            <w:keepNext/>
            <w:keepLines/>
            <w:widowControl w:val="0"/>
            <w:jc w:val="center"/>
            <w:rPr>
              <w:sz w:val="20"/>
              <w:szCs w:val="20"/>
            </w:rPr>
          </w:pPr>
        </w:p>
        <w:p w:rsidR="00803007" w:rsidRPr="0044776A" w:rsidRDefault="00803007" w:rsidP="0044776A">
          <w:pPr>
            <w:keepNext/>
            <w:keepLines/>
            <w:widowControl w:val="0"/>
            <w:jc w:val="center"/>
            <w:rPr>
              <w:sz w:val="20"/>
              <w:szCs w:val="20"/>
            </w:rPr>
          </w:pPr>
        </w:p>
      </w:tc>
      <w:tc>
        <w:tcPr>
          <w:tcW w:w="4080" w:type="dxa"/>
          <w:tcMar>
            <w:left w:w="0" w:type="dxa"/>
            <w:right w:w="0" w:type="dxa"/>
          </w:tcMar>
        </w:tcPr>
        <w:p w:rsidR="00803007" w:rsidRPr="0044776A" w:rsidRDefault="00803007" w:rsidP="0044776A">
          <w:pPr>
            <w:keepLines/>
            <w:widowControl w:val="0"/>
            <w:rPr>
              <w:sz w:val="20"/>
              <w:szCs w:val="20"/>
              <w:lang w:val="fr-CA"/>
            </w:rPr>
          </w:pPr>
          <w:r w:rsidRPr="0044776A">
            <w:rPr>
              <w:sz w:val="20"/>
              <w:szCs w:val="20"/>
              <w:lang w:val="fr-CA"/>
            </w:rPr>
            <w:t>DEMANDES SOUMISES À LA COUR DEPUIS LA DERNIÈRE PARUTION</w:t>
          </w:r>
        </w:p>
        <w:p w:rsidR="00803007" w:rsidRPr="0044776A" w:rsidRDefault="00803007" w:rsidP="0044776A">
          <w:pPr>
            <w:widowControl w:val="0"/>
            <w:rPr>
              <w:sz w:val="20"/>
              <w:szCs w:val="20"/>
              <w:lang w:val="fr-CA"/>
            </w:rPr>
          </w:pPr>
        </w:p>
      </w:tc>
    </w:tr>
  </w:tbl>
  <w:p w:rsidR="00803007" w:rsidRPr="002E2327" w:rsidRDefault="0080300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07" w:rsidRDefault="008030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03007" w:rsidRPr="00E563A0">
      <w:tc>
        <w:tcPr>
          <w:tcW w:w="4200" w:type="dxa"/>
          <w:tcMar>
            <w:left w:w="0" w:type="dxa"/>
            <w:right w:w="0" w:type="dxa"/>
          </w:tcMar>
        </w:tcPr>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03007"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03007" w:rsidRDefault="008030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03007" w:rsidRPr="00FF6BA5" w:rsidRDefault="008030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03007" w:rsidRPr="00FF6BA5"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03007" w:rsidRPr="00FF6BA5"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03007" w:rsidRPr="00FF6BA5" w:rsidRDefault="00803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03007" w:rsidRPr="00E563A0" w:rsidTr="00245129">
      <w:tc>
        <w:tcPr>
          <w:tcW w:w="4200" w:type="dxa"/>
          <w:tcMar>
            <w:left w:w="0" w:type="dxa"/>
            <w:right w:w="0" w:type="dxa"/>
          </w:tcMar>
        </w:tcPr>
        <w:p w:rsidR="00803007" w:rsidRPr="00755F22"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03007" w:rsidRPr="00755F22" w:rsidRDefault="008030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03007" w:rsidRPr="00755F22" w:rsidRDefault="0080300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03007" w:rsidRPr="00755F22" w:rsidRDefault="0080300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03007" w:rsidRPr="00755F22" w:rsidRDefault="0080300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03007" w:rsidRPr="00755F22" w:rsidRDefault="008030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03007" w:rsidRPr="00FF6BA5" w:rsidRDefault="0080300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0911"/>
  </w:hdrShapeDefaults>
  <w:footnotePr>
    <w:footnote w:id="-1"/>
    <w:footnote w:id="0"/>
  </w:footnotePr>
  <w:endnotePr>
    <w:endnote w:id="-1"/>
    <w:endnote w:id="0"/>
  </w:endnotePr>
  <w:compat>
    <w:compatSetting w:name="compatibilityMode" w:uri="http://schemas.microsoft.com/office/word" w:val="12"/>
  </w:compat>
  <w:rsids>
    <w:rsidRoot w:val="00950DE3"/>
    <w:rsid w:val="00020DC3"/>
    <w:rsid w:val="0002632D"/>
    <w:rsid w:val="0003223B"/>
    <w:rsid w:val="000327B2"/>
    <w:rsid w:val="0004528B"/>
    <w:rsid w:val="00055CDF"/>
    <w:rsid w:val="00064FBA"/>
    <w:rsid w:val="00086A0B"/>
    <w:rsid w:val="00091FA6"/>
    <w:rsid w:val="00096BD9"/>
    <w:rsid w:val="000A5A7E"/>
    <w:rsid w:val="000B3C9A"/>
    <w:rsid w:val="000B40A2"/>
    <w:rsid w:val="000B4624"/>
    <w:rsid w:val="000C0ACD"/>
    <w:rsid w:val="000C0D2A"/>
    <w:rsid w:val="000C1D5F"/>
    <w:rsid w:val="000C5CE8"/>
    <w:rsid w:val="000E2959"/>
    <w:rsid w:val="000F0B60"/>
    <w:rsid w:val="00102926"/>
    <w:rsid w:val="0010587F"/>
    <w:rsid w:val="001108A7"/>
    <w:rsid w:val="00111C6B"/>
    <w:rsid w:val="00112E7C"/>
    <w:rsid w:val="0012102B"/>
    <w:rsid w:val="0013369E"/>
    <w:rsid w:val="001646D6"/>
    <w:rsid w:val="00164E6D"/>
    <w:rsid w:val="00167DB3"/>
    <w:rsid w:val="00183454"/>
    <w:rsid w:val="00186B5E"/>
    <w:rsid w:val="00193E19"/>
    <w:rsid w:val="0019768A"/>
    <w:rsid w:val="001B157C"/>
    <w:rsid w:val="001B4006"/>
    <w:rsid w:val="001B5C23"/>
    <w:rsid w:val="001C3120"/>
    <w:rsid w:val="001D0D5F"/>
    <w:rsid w:val="001D6B8C"/>
    <w:rsid w:val="001E5FD5"/>
    <w:rsid w:val="001F1F83"/>
    <w:rsid w:val="001F40DF"/>
    <w:rsid w:val="001F6B2D"/>
    <w:rsid w:val="002021A9"/>
    <w:rsid w:val="002025C1"/>
    <w:rsid w:val="00204846"/>
    <w:rsid w:val="002139A7"/>
    <w:rsid w:val="00215F7C"/>
    <w:rsid w:val="0022323B"/>
    <w:rsid w:val="00225949"/>
    <w:rsid w:val="002410B8"/>
    <w:rsid w:val="00242AEE"/>
    <w:rsid w:val="00245129"/>
    <w:rsid w:val="00245879"/>
    <w:rsid w:val="00267FD5"/>
    <w:rsid w:val="00274D34"/>
    <w:rsid w:val="00283ED8"/>
    <w:rsid w:val="002868D0"/>
    <w:rsid w:val="002A008C"/>
    <w:rsid w:val="002A27D1"/>
    <w:rsid w:val="002A4AFA"/>
    <w:rsid w:val="002B171B"/>
    <w:rsid w:val="002B516C"/>
    <w:rsid w:val="002D0B2C"/>
    <w:rsid w:val="002D72EB"/>
    <w:rsid w:val="002E2327"/>
    <w:rsid w:val="002E3583"/>
    <w:rsid w:val="002E5576"/>
    <w:rsid w:val="00303E71"/>
    <w:rsid w:val="00331B52"/>
    <w:rsid w:val="00334E4E"/>
    <w:rsid w:val="003359D3"/>
    <w:rsid w:val="00355967"/>
    <w:rsid w:val="00382C47"/>
    <w:rsid w:val="00384384"/>
    <w:rsid w:val="003866AE"/>
    <w:rsid w:val="003917E8"/>
    <w:rsid w:val="003B0C67"/>
    <w:rsid w:val="003B3977"/>
    <w:rsid w:val="003E1D4C"/>
    <w:rsid w:val="004137A0"/>
    <w:rsid w:val="00422D9A"/>
    <w:rsid w:val="00430735"/>
    <w:rsid w:val="00432989"/>
    <w:rsid w:val="00440E24"/>
    <w:rsid w:val="0044776A"/>
    <w:rsid w:val="00451188"/>
    <w:rsid w:val="00460AFC"/>
    <w:rsid w:val="0047471F"/>
    <w:rsid w:val="004B195E"/>
    <w:rsid w:val="004B66B4"/>
    <w:rsid w:val="004B7F60"/>
    <w:rsid w:val="004C1AAC"/>
    <w:rsid w:val="004E1E0A"/>
    <w:rsid w:val="004F090E"/>
    <w:rsid w:val="004F1D2C"/>
    <w:rsid w:val="00501F3C"/>
    <w:rsid w:val="00507FEB"/>
    <w:rsid w:val="0052229C"/>
    <w:rsid w:val="00527CC7"/>
    <w:rsid w:val="005520F2"/>
    <w:rsid w:val="00571CA4"/>
    <w:rsid w:val="00582136"/>
    <w:rsid w:val="00595A41"/>
    <w:rsid w:val="005A79A3"/>
    <w:rsid w:val="005C6840"/>
    <w:rsid w:val="005D7DDA"/>
    <w:rsid w:val="005F1ED8"/>
    <w:rsid w:val="005F263E"/>
    <w:rsid w:val="00600252"/>
    <w:rsid w:val="00612A40"/>
    <w:rsid w:val="0062714A"/>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2BC3"/>
    <w:rsid w:val="00745EF7"/>
    <w:rsid w:val="00755F22"/>
    <w:rsid w:val="00766E4A"/>
    <w:rsid w:val="007820CE"/>
    <w:rsid w:val="00782AE4"/>
    <w:rsid w:val="0079724F"/>
    <w:rsid w:val="007A3EAE"/>
    <w:rsid w:val="007A70F6"/>
    <w:rsid w:val="007C04FC"/>
    <w:rsid w:val="007C3DB0"/>
    <w:rsid w:val="007C47C2"/>
    <w:rsid w:val="007D3E0F"/>
    <w:rsid w:val="007E4282"/>
    <w:rsid w:val="007F387B"/>
    <w:rsid w:val="00802863"/>
    <w:rsid w:val="00803007"/>
    <w:rsid w:val="008112A9"/>
    <w:rsid w:val="00815B3C"/>
    <w:rsid w:val="0081610A"/>
    <w:rsid w:val="0082783A"/>
    <w:rsid w:val="00831CA9"/>
    <w:rsid w:val="00841296"/>
    <w:rsid w:val="00845723"/>
    <w:rsid w:val="00850E1F"/>
    <w:rsid w:val="0085476B"/>
    <w:rsid w:val="0086340B"/>
    <w:rsid w:val="00890FEB"/>
    <w:rsid w:val="00895E7E"/>
    <w:rsid w:val="008A1CCF"/>
    <w:rsid w:val="008A2DFC"/>
    <w:rsid w:val="008A5C1A"/>
    <w:rsid w:val="008C6D5E"/>
    <w:rsid w:val="008D292F"/>
    <w:rsid w:val="008E03DC"/>
    <w:rsid w:val="008E5555"/>
    <w:rsid w:val="00902E51"/>
    <w:rsid w:val="00924065"/>
    <w:rsid w:val="00924545"/>
    <w:rsid w:val="00930D68"/>
    <w:rsid w:val="00932DB4"/>
    <w:rsid w:val="00941A4B"/>
    <w:rsid w:val="00946242"/>
    <w:rsid w:val="0095096B"/>
    <w:rsid w:val="00950DE3"/>
    <w:rsid w:val="009707B4"/>
    <w:rsid w:val="00970CD3"/>
    <w:rsid w:val="009723FA"/>
    <w:rsid w:val="00984546"/>
    <w:rsid w:val="00996510"/>
    <w:rsid w:val="009B2DB3"/>
    <w:rsid w:val="009D1F15"/>
    <w:rsid w:val="009D555E"/>
    <w:rsid w:val="009F3024"/>
    <w:rsid w:val="009F39BA"/>
    <w:rsid w:val="00A0355E"/>
    <w:rsid w:val="00A30D3C"/>
    <w:rsid w:val="00A375D1"/>
    <w:rsid w:val="00A51D10"/>
    <w:rsid w:val="00A52A83"/>
    <w:rsid w:val="00A5465E"/>
    <w:rsid w:val="00A6552C"/>
    <w:rsid w:val="00A87207"/>
    <w:rsid w:val="00A935AA"/>
    <w:rsid w:val="00A93CE2"/>
    <w:rsid w:val="00A956D3"/>
    <w:rsid w:val="00A96BDA"/>
    <w:rsid w:val="00AB2201"/>
    <w:rsid w:val="00AD1D34"/>
    <w:rsid w:val="00AD3259"/>
    <w:rsid w:val="00AD7AC6"/>
    <w:rsid w:val="00AF1715"/>
    <w:rsid w:val="00AF3904"/>
    <w:rsid w:val="00B010C0"/>
    <w:rsid w:val="00B2354D"/>
    <w:rsid w:val="00B4740D"/>
    <w:rsid w:val="00B61629"/>
    <w:rsid w:val="00B7374B"/>
    <w:rsid w:val="00B90DC0"/>
    <w:rsid w:val="00BA116A"/>
    <w:rsid w:val="00BA5582"/>
    <w:rsid w:val="00BA6468"/>
    <w:rsid w:val="00BB1D44"/>
    <w:rsid w:val="00BD06DA"/>
    <w:rsid w:val="00BD4217"/>
    <w:rsid w:val="00BE42DA"/>
    <w:rsid w:val="00BF25F3"/>
    <w:rsid w:val="00C1697B"/>
    <w:rsid w:val="00C21644"/>
    <w:rsid w:val="00C21CB5"/>
    <w:rsid w:val="00C350FA"/>
    <w:rsid w:val="00C46376"/>
    <w:rsid w:val="00C50A5C"/>
    <w:rsid w:val="00C50FDF"/>
    <w:rsid w:val="00C63381"/>
    <w:rsid w:val="00C73D06"/>
    <w:rsid w:val="00C73E1B"/>
    <w:rsid w:val="00C759B4"/>
    <w:rsid w:val="00C77713"/>
    <w:rsid w:val="00C85BB7"/>
    <w:rsid w:val="00C93F84"/>
    <w:rsid w:val="00CA2DEA"/>
    <w:rsid w:val="00CB3520"/>
    <w:rsid w:val="00CB43D5"/>
    <w:rsid w:val="00CC4D84"/>
    <w:rsid w:val="00CE198A"/>
    <w:rsid w:val="00CE2F64"/>
    <w:rsid w:val="00CF08C8"/>
    <w:rsid w:val="00CF1118"/>
    <w:rsid w:val="00CF534B"/>
    <w:rsid w:val="00D004FC"/>
    <w:rsid w:val="00D64901"/>
    <w:rsid w:val="00D726F6"/>
    <w:rsid w:val="00D76BDF"/>
    <w:rsid w:val="00D818B6"/>
    <w:rsid w:val="00D862C1"/>
    <w:rsid w:val="00D9078C"/>
    <w:rsid w:val="00D93B50"/>
    <w:rsid w:val="00D94028"/>
    <w:rsid w:val="00D94670"/>
    <w:rsid w:val="00DA46F6"/>
    <w:rsid w:val="00DB64B8"/>
    <w:rsid w:val="00DC6BF5"/>
    <w:rsid w:val="00DD0B49"/>
    <w:rsid w:val="00DE0502"/>
    <w:rsid w:val="00DE349D"/>
    <w:rsid w:val="00E06DFA"/>
    <w:rsid w:val="00E12D69"/>
    <w:rsid w:val="00E20A0A"/>
    <w:rsid w:val="00E240C2"/>
    <w:rsid w:val="00E356C7"/>
    <w:rsid w:val="00E41A5A"/>
    <w:rsid w:val="00E45FE4"/>
    <w:rsid w:val="00E563A0"/>
    <w:rsid w:val="00E64FA7"/>
    <w:rsid w:val="00E770CB"/>
    <w:rsid w:val="00E903A1"/>
    <w:rsid w:val="00E940EB"/>
    <w:rsid w:val="00E961D9"/>
    <w:rsid w:val="00E965E8"/>
    <w:rsid w:val="00E9703F"/>
    <w:rsid w:val="00EB00B9"/>
    <w:rsid w:val="00EB05BE"/>
    <w:rsid w:val="00EB2B90"/>
    <w:rsid w:val="00ED7E83"/>
    <w:rsid w:val="00EE086E"/>
    <w:rsid w:val="00EE091F"/>
    <w:rsid w:val="00EE6982"/>
    <w:rsid w:val="00EF4B63"/>
    <w:rsid w:val="00F0068D"/>
    <w:rsid w:val="00F0576D"/>
    <w:rsid w:val="00F05AE6"/>
    <w:rsid w:val="00F14E6D"/>
    <w:rsid w:val="00F15EA8"/>
    <w:rsid w:val="00F16C8D"/>
    <w:rsid w:val="00F20FD1"/>
    <w:rsid w:val="00F26C61"/>
    <w:rsid w:val="00F33CCE"/>
    <w:rsid w:val="00F3663D"/>
    <w:rsid w:val="00F40249"/>
    <w:rsid w:val="00F526C8"/>
    <w:rsid w:val="00F607D1"/>
    <w:rsid w:val="00F761A3"/>
    <w:rsid w:val="00F77457"/>
    <w:rsid w:val="00F9272D"/>
    <w:rsid w:val="00F9518C"/>
    <w:rsid w:val="00FA316E"/>
    <w:rsid w:val="00FA3373"/>
    <w:rsid w:val="00FA404A"/>
    <w:rsid w:val="00FA59EF"/>
    <w:rsid w:val="00FB19A2"/>
    <w:rsid w:val="00FB458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9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3B0C6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anlii.ca/t/g7k76" TargetMode="External"/><Relationship Id="rId39" Type="http://schemas.openxmlformats.org/officeDocument/2006/relationships/hyperlink" Target="http://canlii.ca/t/g88gn" TargetMode="External"/><Relationship Id="rId21" Type="http://schemas.openxmlformats.org/officeDocument/2006/relationships/header" Target="header6.xml"/><Relationship Id="rId34" Type="http://schemas.openxmlformats.org/officeDocument/2006/relationships/hyperlink" Target="http://www.canlii.org/fr/qc/qcca/doc/2014/2014qcca1309/2014qcca1309.html" TargetMode="External"/><Relationship Id="rId42" Type="http://schemas.openxmlformats.org/officeDocument/2006/relationships/hyperlink" Target="http://canlii.ca/t/g88gn" TargetMode="External"/><Relationship Id="rId47" Type="http://schemas.openxmlformats.org/officeDocument/2006/relationships/hyperlink" Target="http://www.canlii.org/en/sk/skca/doc/2014/2014skca94/2014skca94.html" TargetMode="External"/><Relationship Id="rId50" Type="http://schemas.openxmlformats.org/officeDocument/2006/relationships/hyperlink" Target="http://www.canlii.org/en/sk/skca/doc/2014/2014skca94/2014skca94.html" TargetMode="External"/><Relationship Id="rId55" Type="http://schemas.openxmlformats.org/officeDocument/2006/relationships/hyperlink" Target="http://canlii.ca/t/gdsjv" TargetMode="External"/><Relationship Id="rId63" Type="http://schemas.openxmlformats.org/officeDocument/2006/relationships/header" Target="header11.xml"/><Relationship Id="rId68" Type="http://schemas.openxmlformats.org/officeDocument/2006/relationships/footer" Target="footer13.xml"/><Relationship Id="rId76" Type="http://schemas.openxmlformats.org/officeDocument/2006/relationships/header" Target="header17.xml"/><Relationship Id="rId84" Type="http://schemas.openxmlformats.org/officeDocument/2006/relationships/header" Target="header2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on/onsc/doc/2012/2012onsc4316/2012onsc4316.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on/onca/doc/2014/2014onca417/2014onca417.html" TargetMode="External"/><Relationship Id="rId37" Type="http://schemas.openxmlformats.org/officeDocument/2006/relationships/hyperlink" Target="http://canlii.ca/t/fx8t2" TargetMode="External"/><Relationship Id="rId40" Type="http://schemas.openxmlformats.org/officeDocument/2006/relationships/hyperlink" Target="http://canlii.ca/t/fx8t2" TargetMode="External"/><Relationship Id="rId45" Type="http://schemas.openxmlformats.org/officeDocument/2006/relationships/hyperlink" Target="http://www.canlii.org/en/sk/skqb/doc/2009/2009skqb122/2009skqb122.html" TargetMode="External"/><Relationship Id="rId53" Type="http://schemas.openxmlformats.org/officeDocument/2006/relationships/hyperlink" Target="http://canlii.ca/t/gdsjv" TargetMode="External"/><Relationship Id="rId58" Type="http://schemas.openxmlformats.org/officeDocument/2006/relationships/header" Target="header9.xml"/><Relationship Id="rId66" Type="http://schemas.openxmlformats.org/officeDocument/2006/relationships/footer" Target="footer12.xml"/><Relationship Id="rId74" Type="http://schemas.openxmlformats.org/officeDocument/2006/relationships/footer" Target="footer16.xml"/><Relationship Id="rId79" Type="http://schemas.openxmlformats.org/officeDocument/2006/relationships/footer" Target="footer18.xml"/><Relationship Id="rId87"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header" Target="header20.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g7k76" TargetMode="External"/><Relationship Id="rId30" Type="http://schemas.openxmlformats.org/officeDocument/2006/relationships/hyperlink" Target="http://www.canlii.org/en/on/onca/doc/2014/2014onca417/2014onca417.html" TargetMode="External"/><Relationship Id="rId35" Type="http://schemas.openxmlformats.org/officeDocument/2006/relationships/hyperlink" Target="http://www.canlii.org/fr/qc/qccs/doc/2012/2012qccs4504/2012qccs4504.html" TargetMode="External"/><Relationship Id="rId43" Type="http://schemas.openxmlformats.org/officeDocument/2006/relationships/hyperlink" Target="http://canlii.ca/t/g8qzv" TargetMode="External"/><Relationship Id="rId48" Type="http://schemas.openxmlformats.org/officeDocument/2006/relationships/hyperlink" Target="http://www.canlii.org/en/sk/skqb/doc/2009/2009skqb122/2009skqb122.html" TargetMode="External"/><Relationship Id="rId56" Type="http://schemas.openxmlformats.org/officeDocument/2006/relationships/hyperlink" Target="http://canlii.ca/t/gdsjv" TargetMode="External"/><Relationship Id="rId64" Type="http://schemas.openxmlformats.org/officeDocument/2006/relationships/header" Target="header12.xml"/><Relationship Id="rId69" Type="http://schemas.openxmlformats.org/officeDocument/2006/relationships/header" Target="header14.xml"/><Relationship Id="rId77" Type="http://schemas.openxmlformats.org/officeDocument/2006/relationships/header" Target="header18.xml"/><Relationship Id="rId8" Type="http://schemas.openxmlformats.org/officeDocument/2006/relationships/image" Target="media/image1.wmf"/><Relationship Id="rId51" Type="http://schemas.openxmlformats.org/officeDocument/2006/relationships/hyperlink" Target="http://canlii.ca/t/g83bl" TargetMode="External"/><Relationship Id="rId72" Type="http://schemas.openxmlformats.org/officeDocument/2006/relationships/footer" Target="footer15.xml"/><Relationship Id="rId80" Type="http://schemas.openxmlformats.org/officeDocument/2006/relationships/header" Target="header19.xml"/><Relationship Id="rId85"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g7k76" TargetMode="External"/><Relationship Id="rId33" Type="http://schemas.openxmlformats.org/officeDocument/2006/relationships/hyperlink" Target="http://www.canlii.org/fr/qc/qccs/doc/2012/2012qccs4504/2012qccs4504.html" TargetMode="External"/><Relationship Id="rId38" Type="http://schemas.openxmlformats.org/officeDocument/2006/relationships/hyperlink" Target="http://canlii.ca/t/g2w6k" TargetMode="External"/><Relationship Id="rId46" Type="http://schemas.openxmlformats.org/officeDocument/2006/relationships/hyperlink" Target="http://www.canlii.org/en/sk/skqb/doc/2009/2009skqb125/2009skqb125.html" TargetMode="External"/><Relationship Id="rId59" Type="http://schemas.openxmlformats.org/officeDocument/2006/relationships/footer" Target="footer8.xml"/><Relationship Id="rId67" Type="http://schemas.openxmlformats.org/officeDocument/2006/relationships/header" Target="header13.xml"/><Relationship Id="rId20" Type="http://schemas.openxmlformats.org/officeDocument/2006/relationships/footer" Target="footer5.xml"/><Relationship Id="rId41" Type="http://schemas.openxmlformats.org/officeDocument/2006/relationships/hyperlink" Target="http://canlii.ca/t/g2w6k" TargetMode="External"/><Relationship Id="rId54" Type="http://schemas.openxmlformats.org/officeDocument/2006/relationships/hyperlink" Target="http://canlii.ca/t/gdsjv" TargetMode="External"/><Relationship Id="rId62" Type="http://schemas.openxmlformats.org/officeDocument/2006/relationships/footer" Target="footer10.xml"/><Relationship Id="rId70" Type="http://schemas.openxmlformats.org/officeDocument/2006/relationships/header" Target="header15.xml"/><Relationship Id="rId75" Type="http://schemas.openxmlformats.org/officeDocument/2006/relationships/hyperlink" Target="http://www.scc-csc.ca/case-dossier/info/sum-som-eng.aspx?cas=35669" TargetMode="External"/><Relationship Id="rId83" Type="http://schemas.openxmlformats.org/officeDocument/2006/relationships/footer" Target="footer2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7k76" TargetMode="External"/><Relationship Id="rId36" Type="http://schemas.openxmlformats.org/officeDocument/2006/relationships/hyperlink" Target="http://www.canlii.org/fr/qc/qcca/doc/2014/2014qcca1309/2014qcca1309.html" TargetMode="External"/><Relationship Id="rId49" Type="http://schemas.openxmlformats.org/officeDocument/2006/relationships/hyperlink" Target="http://www.canlii.org/en/sk/skqb/doc/2009/2009skqb125/2009skqb125.html" TargetMode="External"/><Relationship Id="rId57" Type="http://schemas.openxmlformats.org/officeDocument/2006/relationships/header" Target="header8.xml"/><Relationship Id="rId10" Type="http://schemas.openxmlformats.org/officeDocument/2006/relationships/hyperlink" Target="http://www.scc-csc.ca" TargetMode="External"/><Relationship Id="rId31" Type="http://schemas.openxmlformats.org/officeDocument/2006/relationships/hyperlink" Target="http://www.canlii.org/en/on/onsc/doc/2012/2012onsc4316/2012onsc4316.html" TargetMode="External"/><Relationship Id="rId44" Type="http://schemas.openxmlformats.org/officeDocument/2006/relationships/hyperlink" Target="http://canlii.ca/t/g8qzv" TargetMode="External"/><Relationship Id="rId52" Type="http://schemas.openxmlformats.org/officeDocument/2006/relationships/hyperlink" Target="http://canlii.ca/t/g83bl" TargetMode="External"/><Relationship Id="rId60" Type="http://schemas.openxmlformats.org/officeDocument/2006/relationships/footer" Target="footer9.xml"/><Relationship Id="rId65" Type="http://schemas.openxmlformats.org/officeDocument/2006/relationships/footer" Target="footer11.xml"/><Relationship Id="rId73" Type="http://schemas.openxmlformats.org/officeDocument/2006/relationships/header" Target="header16.xml"/><Relationship Id="rId78" Type="http://schemas.openxmlformats.org/officeDocument/2006/relationships/footer" Target="footer17.xml"/><Relationship Id="rId81" Type="http://schemas.openxmlformats.org/officeDocument/2006/relationships/footer" Target="footer19.xml"/><Relationship Id="rId8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A11C8-7F08-4521-AB40-E11EF84D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14222</Words>
  <Characters>81066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2015-03-09T14:37:00Z</dcterms:created>
  <dcterms:modified xsi:type="dcterms:W3CDTF">2015-11-26T21:54:00Z</dcterms:modified>
</cp:coreProperties>
</file>